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88" w:rsidRPr="00AD250C" w:rsidRDefault="00BF7188" w:rsidP="003E59C5">
      <w:pPr>
        <w:spacing w:line="276" w:lineRule="auto"/>
        <w:jc w:val="center"/>
        <w:rPr>
          <w:b/>
          <w:sz w:val="28"/>
          <w:szCs w:val="28"/>
        </w:rPr>
      </w:pPr>
      <w:r w:rsidRPr="00AD250C">
        <w:rPr>
          <w:b/>
          <w:sz w:val="28"/>
          <w:szCs w:val="28"/>
        </w:rPr>
        <w:t>Submission in response to the Productivity Commission’s Issues Paper, Data Availability and Use (April 2016)</w:t>
      </w:r>
    </w:p>
    <w:p w:rsidR="00BF7188" w:rsidRPr="00BF7188" w:rsidRDefault="00BF7188" w:rsidP="003E59C5">
      <w:pPr>
        <w:spacing w:line="276" w:lineRule="auto"/>
        <w:jc w:val="both"/>
        <w:rPr>
          <w:sz w:val="22"/>
          <w:szCs w:val="22"/>
        </w:rPr>
      </w:pPr>
    </w:p>
    <w:p w:rsidR="00BF7188" w:rsidRPr="00BF7188" w:rsidRDefault="00BF7188" w:rsidP="003E59C5">
      <w:pPr>
        <w:spacing w:line="276" w:lineRule="auto"/>
        <w:jc w:val="both"/>
        <w:rPr>
          <w:sz w:val="22"/>
          <w:szCs w:val="22"/>
        </w:rPr>
      </w:pPr>
    </w:p>
    <w:p w:rsidR="00BF7188" w:rsidRPr="00882FAE" w:rsidRDefault="00BF7188" w:rsidP="003E59C5">
      <w:pPr>
        <w:spacing w:line="276" w:lineRule="auto"/>
        <w:jc w:val="both"/>
        <w:rPr>
          <w:sz w:val="22"/>
          <w:szCs w:val="22"/>
        </w:rPr>
      </w:pPr>
      <w:r w:rsidRPr="00882FAE">
        <w:rPr>
          <w:sz w:val="22"/>
          <w:szCs w:val="22"/>
        </w:rPr>
        <w:t>Health Economics Unit,</w:t>
      </w:r>
    </w:p>
    <w:p w:rsidR="00CC134A" w:rsidRDefault="00CC134A" w:rsidP="003E59C5">
      <w:pPr>
        <w:spacing w:line="276" w:lineRule="auto"/>
        <w:jc w:val="both"/>
        <w:rPr>
          <w:sz w:val="22"/>
          <w:szCs w:val="22"/>
        </w:rPr>
      </w:pPr>
      <w:r>
        <w:rPr>
          <w:sz w:val="22"/>
          <w:szCs w:val="22"/>
        </w:rPr>
        <w:t>Centre for Health Policy</w:t>
      </w:r>
    </w:p>
    <w:p w:rsidR="00BF7188" w:rsidRPr="00882FAE" w:rsidRDefault="00BF7188" w:rsidP="003E59C5">
      <w:pPr>
        <w:spacing w:line="276" w:lineRule="auto"/>
        <w:jc w:val="both"/>
        <w:rPr>
          <w:sz w:val="22"/>
          <w:szCs w:val="22"/>
        </w:rPr>
      </w:pPr>
      <w:r w:rsidRPr="00882FAE">
        <w:rPr>
          <w:sz w:val="22"/>
          <w:szCs w:val="22"/>
        </w:rPr>
        <w:t>Melbourne School of Population and Global Health</w:t>
      </w:r>
    </w:p>
    <w:p w:rsidR="00BF7188" w:rsidRPr="00882FAE" w:rsidRDefault="00BF7188" w:rsidP="003E59C5">
      <w:pPr>
        <w:spacing w:line="276" w:lineRule="auto"/>
        <w:jc w:val="both"/>
        <w:rPr>
          <w:sz w:val="22"/>
          <w:szCs w:val="22"/>
        </w:rPr>
      </w:pPr>
      <w:r w:rsidRPr="00882FAE">
        <w:rPr>
          <w:sz w:val="22"/>
          <w:szCs w:val="22"/>
        </w:rPr>
        <w:t>The University of Melbourne</w:t>
      </w:r>
    </w:p>
    <w:p w:rsidR="00BF7188" w:rsidRPr="00882FAE" w:rsidRDefault="00BF7188" w:rsidP="003E59C5">
      <w:pPr>
        <w:spacing w:line="276" w:lineRule="auto"/>
        <w:jc w:val="both"/>
        <w:rPr>
          <w:sz w:val="22"/>
          <w:szCs w:val="22"/>
        </w:rPr>
      </w:pPr>
      <w:r w:rsidRPr="00882FAE">
        <w:rPr>
          <w:sz w:val="22"/>
          <w:szCs w:val="22"/>
        </w:rPr>
        <w:t>207 Bouverie Street</w:t>
      </w:r>
    </w:p>
    <w:p w:rsidR="00BF7188" w:rsidRPr="00882FAE" w:rsidRDefault="00BF7188" w:rsidP="003E59C5">
      <w:pPr>
        <w:spacing w:line="276" w:lineRule="auto"/>
        <w:jc w:val="both"/>
        <w:rPr>
          <w:sz w:val="22"/>
          <w:szCs w:val="22"/>
        </w:rPr>
      </w:pPr>
      <w:r w:rsidRPr="00882FAE">
        <w:rPr>
          <w:sz w:val="22"/>
          <w:szCs w:val="22"/>
        </w:rPr>
        <w:t>Carlton 3053</w:t>
      </w:r>
    </w:p>
    <w:p w:rsidR="00BF7188" w:rsidRPr="00882FAE" w:rsidRDefault="00BF7188" w:rsidP="003E59C5">
      <w:pPr>
        <w:spacing w:line="276" w:lineRule="auto"/>
        <w:jc w:val="both"/>
        <w:rPr>
          <w:sz w:val="22"/>
          <w:szCs w:val="22"/>
        </w:rPr>
      </w:pPr>
      <w:r w:rsidRPr="00882FAE">
        <w:rPr>
          <w:sz w:val="22"/>
          <w:szCs w:val="22"/>
        </w:rPr>
        <w:t>Victoria</w:t>
      </w:r>
      <w:r w:rsidR="00BB7116" w:rsidRPr="00882FAE">
        <w:rPr>
          <w:sz w:val="22"/>
          <w:szCs w:val="22"/>
        </w:rPr>
        <w:t>.</w:t>
      </w:r>
    </w:p>
    <w:p w:rsidR="00BB7116" w:rsidRPr="00882FAE" w:rsidRDefault="00BB7116" w:rsidP="003E59C5">
      <w:pPr>
        <w:spacing w:line="276" w:lineRule="auto"/>
        <w:jc w:val="both"/>
        <w:rPr>
          <w:sz w:val="22"/>
          <w:szCs w:val="22"/>
        </w:rPr>
      </w:pPr>
    </w:p>
    <w:p w:rsidR="00BB7116" w:rsidRDefault="00BB7116" w:rsidP="003E59C5">
      <w:pPr>
        <w:spacing w:line="276" w:lineRule="auto"/>
        <w:jc w:val="both"/>
        <w:rPr>
          <w:sz w:val="22"/>
          <w:szCs w:val="22"/>
        </w:rPr>
      </w:pPr>
      <w:r w:rsidRPr="00882FAE">
        <w:rPr>
          <w:sz w:val="22"/>
          <w:szCs w:val="22"/>
        </w:rPr>
        <w:t>Submitted July 2016</w:t>
      </w:r>
    </w:p>
    <w:p w:rsidR="007567CF" w:rsidRDefault="007567CF" w:rsidP="003E59C5">
      <w:pPr>
        <w:spacing w:line="276" w:lineRule="auto"/>
        <w:jc w:val="both"/>
        <w:rPr>
          <w:sz w:val="22"/>
          <w:szCs w:val="22"/>
        </w:rPr>
      </w:pPr>
    </w:p>
    <w:p w:rsidR="007567CF" w:rsidRPr="00882FAE" w:rsidRDefault="007567CF" w:rsidP="003E59C5">
      <w:pPr>
        <w:spacing w:line="276" w:lineRule="auto"/>
        <w:jc w:val="both"/>
        <w:rPr>
          <w:sz w:val="22"/>
          <w:szCs w:val="22"/>
        </w:rPr>
      </w:pPr>
    </w:p>
    <w:p w:rsidR="00BF7188" w:rsidRPr="00882FAE" w:rsidRDefault="00BF7188" w:rsidP="003E59C5">
      <w:pPr>
        <w:spacing w:line="276" w:lineRule="auto"/>
        <w:jc w:val="both"/>
        <w:rPr>
          <w:sz w:val="22"/>
          <w:szCs w:val="22"/>
        </w:rPr>
      </w:pPr>
    </w:p>
    <w:p w:rsidR="00AD250C" w:rsidRDefault="00AD250C" w:rsidP="003E59C5">
      <w:pPr>
        <w:spacing w:line="276" w:lineRule="auto"/>
        <w:jc w:val="both"/>
        <w:rPr>
          <w:sz w:val="22"/>
          <w:szCs w:val="22"/>
        </w:rPr>
      </w:pPr>
      <w:r w:rsidRPr="00882FAE">
        <w:rPr>
          <w:sz w:val="22"/>
          <w:szCs w:val="22"/>
        </w:rPr>
        <w:t xml:space="preserve">This </w:t>
      </w:r>
      <w:r w:rsidR="00BB7116" w:rsidRPr="00882FAE">
        <w:rPr>
          <w:sz w:val="22"/>
          <w:szCs w:val="22"/>
        </w:rPr>
        <w:t>submission</w:t>
      </w:r>
      <w:r w:rsidRPr="00882FAE">
        <w:rPr>
          <w:sz w:val="22"/>
          <w:szCs w:val="22"/>
        </w:rPr>
        <w:t xml:space="preserve"> </w:t>
      </w:r>
      <w:r w:rsidR="00BB7116" w:rsidRPr="00882FAE">
        <w:rPr>
          <w:sz w:val="22"/>
          <w:szCs w:val="22"/>
        </w:rPr>
        <w:t>was written by Michelle Tew, Kim Dalziel, Dennis Petrie and Philip Clarke, members of the Health Economics Unit</w:t>
      </w:r>
      <w:r w:rsidR="00CC134A">
        <w:rPr>
          <w:sz w:val="22"/>
          <w:szCs w:val="22"/>
        </w:rPr>
        <w:t>, Centre for Health Policy</w:t>
      </w:r>
      <w:r w:rsidR="00BB7116" w:rsidRPr="00882FAE">
        <w:rPr>
          <w:sz w:val="22"/>
          <w:szCs w:val="22"/>
        </w:rPr>
        <w:t xml:space="preserve"> at the Melbourne School of </w:t>
      </w:r>
      <w:bookmarkStart w:id="0" w:name="_GoBack"/>
      <w:bookmarkEnd w:id="0"/>
      <w:r w:rsidR="00BB7116" w:rsidRPr="00882FAE">
        <w:rPr>
          <w:sz w:val="22"/>
          <w:szCs w:val="22"/>
        </w:rPr>
        <w:t xml:space="preserve">Population and Global Health, the University of Melbourne. The opinions in this submission are solely those of the authors and do not necessarily represent the views of the </w:t>
      </w:r>
      <w:r w:rsidR="00CC134A">
        <w:rPr>
          <w:sz w:val="22"/>
          <w:szCs w:val="22"/>
        </w:rPr>
        <w:t xml:space="preserve">Centre, </w:t>
      </w:r>
      <w:r w:rsidR="00BB7116" w:rsidRPr="00882FAE">
        <w:rPr>
          <w:sz w:val="22"/>
          <w:szCs w:val="22"/>
        </w:rPr>
        <w:t>School or the University.</w:t>
      </w:r>
    </w:p>
    <w:p w:rsidR="007567CF" w:rsidRDefault="007567CF" w:rsidP="003E59C5">
      <w:pPr>
        <w:spacing w:line="276" w:lineRule="auto"/>
        <w:jc w:val="both"/>
        <w:rPr>
          <w:sz w:val="22"/>
          <w:szCs w:val="22"/>
        </w:rPr>
      </w:pPr>
    </w:p>
    <w:p w:rsidR="007567CF" w:rsidRDefault="007567CF" w:rsidP="003E59C5">
      <w:pPr>
        <w:spacing w:line="276" w:lineRule="auto"/>
        <w:jc w:val="both"/>
        <w:rPr>
          <w:sz w:val="22"/>
          <w:szCs w:val="22"/>
        </w:rPr>
      </w:pPr>
      <w:r>
        <w:rPr>
          <w:sz w:val="22"/>
          <w:szCs w:val="22"/>
        </w:rPr>
        <w:t>---------------------------------------------------------------------------------------------------------------------------</w:t>
      </w:r>
    </w:p>
    <w:p w:rsidR="002E1147" w:rsidRDefault="002E1147" w:rsidP="003E59C5">
      <w:pPr>
        <w:spacing w:line="276" w:lineRule="auto"/>
        <w:jc w:val="both"/>
        <w:rPr>
          <w:sz w:val="22"/>
          <w:szCs w:val="22"/>
        </w:rPr>
      </w:pPr>
    </w:p>
    <w:p w:rsidR="002E1147" w:rsidRPr="00882FAE" w:rsidRDefault="002E1147" w:rsidP="003E59C5">
      <w:pPr>
        <w:spacing w:line="276" w:lineRule="auto"/>
        <w:jc w:val="both"/>
        <w:rPr>
          <w:sz w:val="22"/>
          <w:szCs w:val="22"/>
        </w:rPr>
      </w:pPr>
      <w:r>
        <w:rPr>
          <w:sz w:val="22"/>
          <w:szCs w:val="22"/>
        </w:rPr>
        <w:t xml:space="preserve">The purpose of this submission is to provide an insight to help address the questions posed by the Commission in the issues paper. </w:t>
      </w:r>
      <w:r w:rsidRPr="00882FAE">
        <w:rPr>
          <w:sz w:val="22"/>
          <w:szCs w:val="22"/>
        </w:rPr>
        <w:t>The evidence presented in this submission highlights several issues identified by the Commission as recurring data-related themes from previous reports (Box 2, p8 of Issues Paper – Data Availability and Use)</w:t>
      </w:r>
      <w:r>
        <w:rPr>
          <w:sz w:val="22"/>
          <w:szCs w:val="22"/>
        </w:rPr>
        <w:t xml:space="preserve"> which include</w:t>
      </w:r>
      <w:r w:rsidRPr="00882FAE">
        <w:rPr>
          <w:sz w:val="22"/>
          <w:szCs w:val="22"/>
        </w:rPr>
        <w:t xml:space="preserve"> insufficient data sharing between agencies, insufficient dataset linkage and limited data access for research</w:t>
      </w:r>
      <w:r w:rsidR="00CC4B07">
        <w:rPr>
          <w:sz w:val="22"/>
          <w:szCs w:val="22"/>
        </w:rPr>
        <w:t xml:space="preserve"> purposes</w:t>
      </w:r>
      <w:r w:rsidRPr="00882FAE">
        <w:rPr>
          <w:sz w:val="22"/>
          <w:szCs w:val="22"/>
        </w:rPr>
        <w:t>.</w:t>
      </w:r>
    </w:p>
    <w:p w:rsidR="002E1147" w:rsidRDefault="002E1147" w:rsidP="003E59C5">
      <w:pPr>
        <w:spacing w:line="276" w:lineRule="auto"/>
        <w:jc w:val="both"/>
        <w:rPr>
          <w:sz w:val="22"/>
          <w:szCs w:val="22"/>
        </w:rPr>
      </w:pPr>
    </w:p>
    <w:p w:rsidR="008B6250" w:rsidRPr="00882FAE" w:rsidRDefault="00DB47EF" w:rsidP="003E59C5">
      <w:pPr>
        <w:spacing w:line="276" w:lineRule="auto"/>
        <w:jc w:val="both"/>
        <w:rPr>
          <w:b/>
          <w:sz w:val="22"/>
          <w:szCs w:val="22"/>
        </w:rPr>
      </w:pPr>
      <w:r w:rsidRPr="00882FAE">
        <w:rPr>
          <w:b/>
          <w:sz w:val="22"/>
          <w:szCs w:val="22"/>
        </w:rPr>
        <w:t xml:space="preserve">Data linkage – an invaluable tool in health </w:t>
      </w:r>
      <w:r w:rsidR="00274A2F">
        <w:rPr>
          <w:b/>
          <w:sz w:val="22"/>
          <w:szCs w:val="22"/>
        </w:rPr>
        <w:t xml:space="preserve">services </w:t>
      </w:r>
      <w:r w:rsidRPr="00882FAE">
        <w:rPr>
          <w:b/>
          <w:sz w:val="22"/>
          <w:szCs w:val="22"/>
        </w:rPr>
        <w:t xml:space="preserve">research </w:t>
      </w:r>
    </w:p>
    <w:p w:rsidR="00BB7116" w:rsidRPr="00882FAE" w:rsidRDefault="00BB7116" w:rsidP="003E59C5">
      <w:pPr>
        <w:spacing w:line="276" w:lineRule="auto"/>
        <w:jc w:val="both"/>
        <w:rPr>
          <w:sz w:val="22"/>
          <w:szCs w:val="22"/>
        </w:rPr>
      </w:pPr>
    </w:p>
    <w:p w:rsidR="002C6265" w:rsidRDefault="00CC4B07" w:rsidP="003E59C5">
      <w:pPr>
        <w:spacing w:line="276" w:lineRule="auto"/>
        <w:jc w:val="both"/>
        <w:rPr>
          <w:sz w:val="22"/>
          <w:szCs w:val="22"/>
        </w:rPr>
      </w:pPr>
      <w:r>
        <w:rPr>
          <w:sz w:val="22"/>
          <w:szCs w:val="22"/>
        </w:rPr>
        <w:t>Health r</w:t>
      </w:r>
      <w:r w:rsidRPr="00882FAE">
        <w:rPr>
          <w:sz w:val="22"/>
          <w:szCs w:val="22"/>
        </w:rPr>
        <w:t>esearch</w:t>
      </w:r>
      <w:r>
        <w:rPr>
          <w:sz w:val="22"/>
          <w:szCs w:val="22"/>
        </w:rPr>
        <w:t xml:space="preserve"> and in particular health services research</w:t>
      </w:r>
      <w:r w:rsidRPr="00882FAE">
        <w:rPr>
          <w:sz w:val="22"/>
          <w:szCs w:val="22"/>
        </w:rPr>
        <w:t xml:space="preserve"> </w:t>
      </w:r>
      <w:r w:rsidR="00DD2648" w:rsidRPr="00882FAE">
        <w:rPr>
          <w:sz w:val="22"/>
          <w:szCs w:val="22"/>
        </w:rPr>
        <w:t>is primarily driven by the availability of</w:t>
      </w:r>
      <w:r w:rsidR="00E313FC">
        <w:rPr>
          <w:sz w:val="22"/>
          <w:szCs w:val="22"/>
        </w:rPr>
        <w:t xml:space="preserve"> quality</w:t>
      </w:r>
      <w:r w:rsidR="00DD2648" w:rsidRPr="00882FAE">
        <w:rPr>
          <w:sz w:val="22"/>
          <w:szCs w:val="22"/>
        </w:rPr>
        <w:t xml:space="preserve"> data</w:t>
      </w:r>
      <w:r w:rsidR="008B6250" w:rsidRPr="00882FAE">
        <w:rPr>
          <w:sz w:val="22"/>
          <w:szCs w:val="22"/>
        </w:rPr>
        <w:t>.</w:t>
      </w:r>
      <w:r w:rsidR="00E433D1" w:rsidRPr="00882FAE">
        <w:rPr>
          <w:sz w:val="22"/>
          <w:szCs w:val="22"/>
        </w:rPr>
        <w:t xml:space="preserve"> </w:t>
      </w:r>
      <w:r w:rsidR="00E313FC">
        <w:rPr>
          <w:sz w:val="22"/>
          <w:szCs w:val="22"/>
        </w:rPr>
        <w:t xml:space="preserve">Health services in Australian including hospitals </w:t>
      </w:r>
      <w:r w:rsidR="00E433D1" w:rsidRPr="00882FAE">
        <w:rPr>
          <w:sz w:val="22"/>
          <w:szCs w:val="22"/>
        </w:rPr>
        <w:t>routinely co</w:t>
      </w:r>
      <w:r w:rsidR="002F13DB" w:rsidRPr="00882FAE">
        <w:rPr>
          <w:sz w:val="22"/>
          <w:szCs w:val="22"/>
        </w:rPr>
        <w:t xml:space="preserve">llect a vast amount of patient information </w:t>
      </w:r>
      <w:r w:rsidR="00E433D1" w:rsidRPr="00882FAE">
        <w:rPr>
          <w:sz w:val="22"/>
          <w:szCs w:val="22"/>
        </w:rPr>
        <w:t>for administrative purposes</w:t>
      </w:r>
      <w:r w:rsidR="00E313FC">
        <w:rPr>
          <w:sz w:val="22"/>
          <w:szCs w:val="22"/>
        </w:rPr>
        <w:t xml:space="preserve"> with such data collection</w:t>
      </w:r>
      <w:r w:rsidR="008C52F2">
        <w:rPr>
          <w:sz w:val="22"/>
          <w:szCs w:val="22"/>
        </w:rPr>
        <w:t xml:space="preserve"> core to their operations. </w:t>
      </w:r>
      <w:r w:rsidR="00E433D1" w:rsidRPr="00882FAE">
        <w:rPr>
          <w:sz w:val="22"/>
          <w:szCs w:val="22"/>
        </w:rPr>
        <w:t xml:space="preserve">The ability </w:t>
      </w:r>
      <w:r>
        <w:rPr>
          <w:sz w:val="22"/>
          <w:szCs w:val="22"/>
        </w:rPr>
        <w:t xml:space="preserve">to </w:t>
      </w:r>
      <w:r w:rsidR="00E433D1" w:rsidRPr="00882FAE">
        <w:rPr>
          <w:sz w:val="22"/>
          <w:szCs w:val="22"/>
        </w:rPr>
        <w:t xml:space="preserve">link </w:t>
      </w:r>
      <w:r w:rsidR="00E313FC">
        <w:rPr>
          <w:sz w:val="22"/>
          <w:szCs w:val="22"/>
        </w:rPr>
        <w:t>this administrative</w:t>
      </w:r>
      <w:r w:rsidR="00E313FC" w:rsidRPr="00882FAE">
        <w:rPr>
          <w:sz w:val="22"/>
          <w:szCs w:val="22"/>
        </w:rPr>
        <w:t xml:space="preserve"> </w:t>
      </w:r>
      <w:r w:rsidR="00E433D1" w:rsidRPr="00882FAE">
        <w:rPr>
          <w:sz w:val="22"/>
          <w:szCs w:val="22"/>
        </w:rPr>
        <w:t xml:space="preserve">data to </w:t>
      </w:r>
      <w:r w:rsidR="00476493" w:rsidRPr="00882FAE">
        <w:rPr>
          <w:sz w:val="22"/>
          <w:szCs w:val="22"/>
        </w:rPr>
        <w:t>specific datasets such as mortality and births</w:t>
      </w:r>
      <w:r w:rsidR="00044A66" w:rsidRPr="00882FAE">
        <w:rPr>
          <w:sz w:val="22"/>
          <w:szCs w:val="22"/>
        </w:rPr>
        <w:t xml:space="preserve"> registries</w:t>
      </w:r>
      <w:r w:rsidR="00476493" w:rsidRPr="00882FAE">
        <w:rPr>
          <w:sz w:val="22"/>
          <w:szCs w:val="22"/>
        </w:rPr>
        <w:t xml:space="preserve"> or to governmental databases such as the Pharmaceutical Benefits Scheme (PBS), Medical Benefits Scheme (MBS), Police Road Traffic</w:t>
      </w:r>
      <w:r w:rsidR="00044A66" w:rsidRPr="00882FAE">
        <w:rPr>
          <w:sz w:val="22"/>
          <w:szCs w:val="22"/>
        </w:rPr>
        <w:t xml:space="preserve"> Accident reports</w:t>
      </w:r>
      <w:r w:rsidR="004019F0">
        <w:rPr>
          <w:sz w:val="22"/>
          <w:szCs w:val="22"/>
        </w:rPr>
        <w:t xml:space="preserve"> or other cohort data</w:t>
      </w:r>
      <w:r w:rsidR="00044A66" w:rsidRPr="00882FAE">
        <w:rPr>
          <w:sz w:val="22"/>
          <w:szCs w:val="22"/>
        </w:rPr>
        <w:t xml:space="preserve"> can provide </w:t>
      </w:r>
      <w:r>
        <w:rPr>
          <w:sz w:val="22"/>
          <w:szCs w:val="22"/>
        </w:rPr>
        <w:t xml:space="preserve">valuable </w:t>
      </w:r>
      <w:r w:rsidR="00044A66" w:rsidRPr="00882FAE">
        <w:rPr>
          <w:sz w:val="22"/>
          <w:szCs w:val="22"/>
        </w:rPr>
        <w:t>information at the population level</w:t>
      </w:r>
      <w:r w:rsidR="002C6265">
        <w:rPr>
          <w:sz w:val="22"/>
          <w:szCs w:val="22"/>
        </w:rPr>
        <w:t xml:space="preserve"> that can be used to better inform public policy</w:t>
      </w:r>
      <w:r w:rsidR="00DC702E" w:rsidRPr="00882FAE">
        <w:rPr>
          <w:sz w:val="22"/>
          <w:szCs w:val="22"/>
        </w:rPr>
        <w:t xml:space="preserve">. Linked administrative health data is an important resource in helping researchers answer specific population health research questions, </w:t>
      </w:r>
      <w:r>
        <w:rPr>
          <w:sz w:val="22"/>
          <w:szCs w:val="22"/>
        </w:rPr>
        <w:t xml:space="preserve">assisting with the </w:t>
      </w:r>
      <w:r w:rsidR="00DC702E" w:rsidRPr="00882FAE">
        <w:rPr>
          <w:sz w:val="22"/>
          <w:szCs w:val="22"/>
        </w:rPr>
        <w:t>plan</w:t>
      </w:r>
      <w:r>
        <w:rPr>
          <w:sz w:val="22"/>
          <w:szCs w:val="22"/>
        </w:rPr>
        <w:t>ning</w:t>
      </w:r>
      <w:r w:rsidR="00DC702E" w:rsidRPr="00882FAE">
        <w:rPr>
          <w:sz w:val="22"/>
          <w:szCs w:val="22"/>
        </w:rPr>
        <w:t xml:space="preserve"> and </w:t>
      </w:r>
      <w:r w:rsidRPr="00882FAE">
        <w:rPr>
          <w:sz w:val="22"/>
          <w:szCs w:val="22"/>
        </w:rPr>
        <w:t>evaluat</w:t>
      </w:r>
      <w:r>
        <w:rPr>
          <w:sz w:val="22"/>
          <w:szCs w:val="22"/>
        </w:rPr>
        <w:t>ion of</w:t>
      </w:r>
      <w:r w:rsidRPr="00882FAE">
        <w:rPr>
          <w:sz w:val="22"/>
          <w:szCs w:val="22"/>
        </w:rPr>
        <w:t xml:space="preserve"> </w:t>
      </w:r>
      <w:r w:rsidR="00DC702E" w:rsidRPr="00882FAE">
        <w:rPr>
          <w:sz w:val="22"/>
          <w:szCs w:val="22"/>
        </w:rPr>
        <w:t>health services and can also serve as</w:t>
      </w:r>
      <w:r w:rsidR="00E313FC">
        <w:rPr>
          <w:sz w:val="22"/>
          <w:szCs w:val="22"/>
        </w:rPr>
        <w:t xml:space="preserve"> crucial</w:t>
      </w:r>
      <w:r w:rsidR="00DC702E" w:rsidRPr="00882FAE">
        <w:rPr>
          <w:sz w:val="22"/>
          <w:szCs w:val="22"/>
        </w:rPr>
        <w:t xml:space="preserve"> evidence </w:t>
      </w:r>
      <w:r w:rsidR="00E313FC">
        <w:rPr>
          <w:sz w:val="22"/>
          <w:szCs w:val="22"/>
        </w:rPr>
        <w:t>to</w:t>
      </w:r>
      <w:r w:rsidR="00E313FC" w:rsidRPr="00882FAE">
        <w:rPr>
          <w:sz w:val="22"/>
          <w:szCs w:val="22"/>
        </w:rPr>
        <w:t xml:space="preserve"> </w:t>
      </w:r>
      <w:r w:rsidR="00DC702E" w:rsidRPr="00882FAE">
        <w:rPr>
          <w:sz w:val="22"/>
          <w:szCs w:val="22"/>
        </w:rPr>
        <w:t xml:space="preserve">inform health policies. </w:t>
      </w:r>
      <w:r w:rsidR="00260024" w:rsidRPr="00882FAE">
        <w:rPr>
          <w:sz w:val="22"/>
          <w:szCs w:val="22"/>
        </w:rPr>
        <w:t>Linked</w:t>
      </w:r>
      <w:r w:rsidR="00DC702E" w:rsidRPr="00882FAE">
        <w:rPr>
          <w:sz w:val="22"/>
          <w:szCs w:val="22"/>
        </w:rPr>
        <w:t xml:space="preserve"> hospital data</w:t>
      </w:r>
      <w:r w:rsidR="006D70DB" w:rsidRPr="00882FAE">
        <w:rPr>
          <w:sz w:val="22"/>
          <w:szCs w:val="22"/>
        </w:rPr>
        <w:t xml:space="preserve"> </w:t>
      </w:r>
      <w:r w:rsidR="00882FAE">
        <w:rPr>
          <w:sz w:val="22"/>
          <w:szCs w:val="22"/>
        </w:rPr>
        <w:t xml:space="preserve">can be </w:t>
      </w:r>
      <w:r w:rsidR="006D70DB" w:rsidRPr="00882FAE">
        <w:rPr>
          <w:sz w:val="22"/>
          <w:szCs w:val="22"/>
        </w:rPr>
        <w:t xml:space="preserve">used to </w:t>
      </w:r>
      <w:r w:rsidR="00882FAE">
        <w:rPr>
          <w:sz w:val="22"/>
          <w:szCs w:val="22"/>
        </w:rPr>
        <w:t xml:space="preserve">study populations which are generally hard </w:t>
      </w:r>
      <w:r w:rsidR="00853BAD">
        <w:rPr>
          <w:sz w:val="22"/>
          <w:szCs w:val="22"/>
        </w:rPr>
        <w:t xml:space="preserve">or expensive </w:t>
      </w:r>
      <w:r w:rsidR="00882FAE">
        <w:rPr>
          <w:sz w:val="22"/>
          <w:szCs w:val="22"/>
        </w:rPr>
        <w:t>to recruit</w:t>
      </w:r>
      <w:r>
        <w:rPr>
          <w:sz w:val="22"/>
          <w:szCs w:val="22"/>
        </w:rPr>
        <w:t>. Examples</w:t>
      </w:r>
      <w:r w:rsidR="002C6265">
        <w:rPr>
          <w:sz w:val="22"/>
          <w:szCs w:val="22"/>
        </w:rPr>
        <w:t xml:space="preserve"> of Australian studies that have made use of linked hospital data include:</w:t>
      </w:r>
      <w:r>
        <w:rPr>
          <w:sz w:val="22"/>
          <w:szCs w:val="22"/>
        </w:rPr>
        <w:t xml:space="preserve"> </w:t>
      </w:r>
      <w:r w:rsidR="002C6265">
        <w:rPr>
          <w:sz w:val="22"/>
          <w:szCs w:val="22"/>
        </w:rPr>
        <w:t>Assessing the morality in the a</w:t>
      </w:r>
      <w:r w:rsidR="006D70DB" w:rsidRPr="00882FAE">
        <w:rPr>
          <w:sz w:val="22"/>
          <w:szCs w:val="22"/>
        </w:rPr>
        <w:t>boriginal population from rheumatic heart disease</w:t>
      </w:r>
      <w:r w:rsidR="002C6265">
        <w:rPr>
          <w:sz w:val="22"/>
          <w:szCs w:val="22"/>
        </w:rPr>
        <w:t xml:space="preserve"> (1);</w:t>
      </w:r>
      <w:r w:rsidR="00A224B4">
        <w:rPr>
          <w:sz w:val="22"/>
          <w:szCs w:val="22"/>
        </w:rPr>
        <w:t xml:space="preserve"> </w:t>
      </w:r>
      <w:r w:rsidR="007E6D1F">
        <w:rPr>
          <w:sz w:val="22"/>
          <w:szCs w:val="22"/>
        </w:rPr>
        <w:t>S</w:t>
      </w:r>
      <w:r w:rsidR="006D70DB" w:rsidRPr="00882FAE">
        <w:rPr>
          <w:sz w:val="22"/>
          <w:szCs w:val="22"/>
        </w:rPr>
        <w:t>tudy</w:t>
      </w:r>
      <w:r w:rsidR="007E6D1F">
        <w:rPr>
          <w:sz w:val="22"/>
          <w:szCs w:val="22"/>
        </w:rPr>
        <w:t>ing</w:t>
      </w:r>
      <w:r w:rsidR="006D70DB" w:rsidRPr="00882FAE">
        <w:rPr>
          <w:sz w:val="22"/>
          <w:szCs w:val="22"/>
        </w:rPr>
        <w:t xml:space="preserve"> disease aetiologies in children (2)</w:t>
      </w:r>
      <w:r w:rsidR="007E6D1F">
        <w:rPr>
          <w:sz w:val="22"/>
          <w:szCs w:val="22"/>
        </w:rPr>
        <w:t>;</w:t>
      </w:r>
      <w:r w:rsidR="00A224B4">
        <w:rPr>
          <w:sz w:val="22"/>
          <w:szCs w:val="22"/>
        </w:rPr>
        <w:t xml:space="preserve"> </w:t>
      </w:r>
      <w:r w:rsidR="002C6265">
        <w:rPr>
          <w:sz w:val="22"/>
          <w:szCs w:val="22"/>
        </w:rPr>
        <w:t>E</w:t>
      </w:r>
      <w:r w:rsidR="008309E4" w:rsidRPr="00882FAE">
        <w:rPr>
          <w:sz w:val="22"/>
          <w:szCs w:val="22"/>
        </w:rPr>
        <w:t>xamin</w:t>
      </w:r>
      <w:r w:rsidR="007E6D1F">
        <w:rPr>
          <w:sz w:val="22"/>
          <w:szCs w:val="22"/>
        </w:rPr>
        <w:t>ing</w:t>
      </w:r>
      <w:r w:rsidR="008309E4" w:rsidRPr="00882FAE">
        <w:rPr>
          <w:sz w:val="22"/>
          <w:szCs w:val="22"/>
        </w:rPr>
        <w:t xml:space="preserve"> rare diseases such as meningococcal disease in children</w:t>
      </w:r>
      <w:r w:rsidR="00B82C6B" w:rsidRPr="00882FAE">
        <w:rPr>
          <w:sz w:val="22"/>
          <w:szCs w:val="22"/>
        </w:rPr>
        <w:t xml:space="preserve"> (3). </w:t>
      </w:r>
    </w:p>
    <w:p w:rsidR="002C6265" w:rsidRDefault="002C6265" w:rsidP="003E59C5">
      <w:pPr>
        <w:spacing w:line="276" w:lineRule="auto"/>
        <w:jc w:val="both"/>
        <w:rPr>
          <w:sz w:val="22"/>
          <w:szCs w:val="22"/>
        </w:rPr>
      </w:pPr>
    </w:p>
    <w:p w:rsidR="004C028A" w:rsidRPr="00882FAE" w:rsidRDefault="00B82C6B" w:rsidP="003E59C5">
      <w:pPr>
        <w:spacing w:line="276" w:lineRule="auto"/>
        <w:jc w:val="both"/>
        <w:rPr>
          <w:sz w:val="22"/>
          <w:szCs w:val="22"/>
        </w:rPr>
      </w:pPr>
      <w:r w:rsidRPr="00882FAE">
        <w:rPr>
          <w:sz w:val="22"/>
          <w:szCs w:val="22"/>
        </w:rPr>
        <w:lastRenderedPageBreak/>
        <w:t xml:space="preserve">Data linkage has </w:t>
      </w:r>
      <w:r w:rsidR="00853BAD">
        <w:rPr>
          <w:sz w:val="22"/>
          <w:szCs w:val="22"/>
        </w:rPr>
        <w:t xml:space="preserve">also </w:t>
      </w:r>
      <w:r w:rsidRPr="00882FAE">
        <w:rPr>
          <w:sz w:val="22"/>
          <w:szCs w:val="22"/>
        </w:rPr>
        <w:t xml:space="preserve">played an important role in </w:t>
      </w:r>
      <w:r w:rsidR="00CC4B07">
        <w:rPr>
          <w:sz w:val="22"/>
          <w:szCs w:val="22"/>
        </w:rPr>
        <w:t xml:space="preserve">extending the value of studies such as </w:t>
      </w:r>
      <w:r w:rsidRPr="00882FAE">
        <w:rPr>
          <w:sz w:val="22"/>
          <w:szCs w:val="22"/>
        </w:rPr>
        <w:t>the 45 and Up Study</w:t>
      </w:r>
      <w:r w:rsidR="00CC4B07">
        <w:rPr>
          <w:sz w:val="22"/>
          <w:szCs w:val="22"/>
        </w:rPr>
        <w:t xml:space="preserve">. Through linking </w:t>
      </w:r>
      <w:r w:rsidR="00853BAD">
        <w:rPr>
          <w:sz w:val="22"/>
          <w:szCs w:val="22"/>
        </w:rPr>
        <w:t>cohort</w:t>
      </w:r>
      <w:r w:rsidR="00CC4B07">
        <w:rPr>
          <w:sz w:val="22"/>
          <w:szCs w:val="22"/>
        </w:rPr>
        <w:t xml:space="preserve"> data t</w:t>
      </w:r>
      <w:r w:rsidR="00E313FC">
        <w:rPr>
          <w:sz w:val="22"/>
          <w:szCs w:val="22"/>
        </w:rPr>
        <w:t>o hospital, pharmaceutical and M</w:t>
      </w:r>
      <w:r w:rsidR="00CC4B07">
        <w:rPr>
          <w:sz w:val="22"/>
          <w:szCs w:val="22"/>
        </w:rPr>
        <w:t xml:space="preserve">edicare administrative data researchers were able </w:t>
      </w:r>
      <w:r w:rsidR="00D0657E" w:rsidRPr="00882FAE">
        <w:rPr>
          <w:sz w:val="22"/>
          <w:szCs w:val="22"/>
        </w:rPr>
        <w:t xml:space="preserve">answer a variety </w:t>
      </w:r>
      <w:r w:rsidR="00AA193F" w:rsidRPr="00882FAE">
        <w:rPr>
          <w:sz w:val="22"/>
          <w:szCs w:val="22"/>
        </w:rPr>
        <w:t xml:space="preserve">of </w:t>
      </w:r>
      <w:r w:rsidR="00AA193F">
        <w:rPr>
          <w:sz w:val="22"/>
          <w:szCs w:val="22"/>
        </w:rPr>
        <w:t>important</w:t>
      </w:r>
      <w:r w:rsidR="00616C2D">
        <w:rPr>
          <w:sz w:val="22"/>
          <w:szCs w:val="22"/>
        </w:rPr>
        <w:t xml:space="preserve"> </w:t>
      </w:r>
      <w:r w:rsidR="00D0657E" w:rsidRPr="00882FAE">
        <w:rPr>
          <w:sz w:val="22"/>
          <w:szCs w:val="22"/>
        </w:rPr>
        <w:t xml:space="preserve">questions on </w:t>
      </w:r>
      <w:r w:rsidR="00CC4B07">
        <w:rPr>
          <w:sz w:val="22"/>
          <w:szCs w:val="22"/>
        </w:rPr>
        <w:t xml:space="preserve">topics such as </w:t>
      </w:r>
      <w:r w:rsidR="00D0657E" w:rsidRPr="00882FAE">
        <w:rPr>
          <w:sz w:val="22"/>
          <w:szCs w:val="22"/>
        </w:rPr>
        <w:t xml:space="preserve">hospitalisations due to specific infections (4) and use of general practice and healthcare cost at end of life (5). </w:t>
      </w:r>
      <w:r w:rsidR="004C028A" w:rsidRPr="00882FAE">
        <w:rPr>
          <w:sz w:val="22"/>
          <w:szCs w:val="22"/>
        </w:rPr>
        <w:t xml:space="preserve">Linked administrative data have also been used </w:t>
      </w:r>
      <w:r w:rsidR="00853BAD">
        <w:rPr>
          <w:sz w:val="22"/>
          <w:szCs w:val="22"/>
        </w:rPr>
        <w:t>to enhance</w:t>
      </w:r>
      <w:r w:rsidR="004C028A" w:rsidRPr="00882FAE">
        <w:rPr>
          <w:sz w:val="22"/>
          <w:szCs w:val="22"/>
        </w:rPr>
        <w:t xml:space="preserve"> numerous costing and economic evaluations as well as to evaluate </w:t>
      </w:r>
      <w:r w:rsidR="00CC4B07">
        <w:rPr>
          <w:sz w:val="22"/>
          <w:szCs w:val="22"/>
        </w:rPr>
        <w:t xml:space="preserve">the impact of </w:t>
      </w:r>
      <w:r w:rsidR="004C028A" w:rsidRPr="00882FAE">
        <w:rPr>
          <w:sz w:val="22"/>
          <w:szCs w:val="22"/>
        </w:rPr>
        <w:t>health service delivery</w:t>
      </w:r>
      <w:r w:rsidR="00CC4B07">
        <w:rPr>
          <w:sz w:val="22"/>
          <w:szCs w:val="22"/>
        </w:rPr>
        <w:t xml:space="preserve"> on patient outcomes</w:t>
      </w:r>
      <w:r w:rsidR="004C028A" w:rsidRPr="00882FAE">
        <w:rPr>
          <w:sz w:val="22"/>
          <w:szCs w:val="22"/>
        </w:rPr>
        <w:t xml:space="preserve">. </w:t>
      </w:r>
      <w:r w:rsidR="008C52F2">
        <w:rPr>
          <w:sz w:val="22"/>
          <w:szCs w:val="22"/>
        </w:rPr>
        <w:t>The advantages of such approaches are the large sample size, accuracy of data compared to self-reported information</w:t>
      </w:r>
      <w:r w:rsidR="00CC4B07">
        <w:rPr>
          <w:sz w:val="22"/>
          <w:szCs w:val="22"/>
        </w:rPr>
        <w:t>, the complete capture of data</w:t>
      </w:r>
      <w:r w:rsidR="00E313FC">
        <w:rPr>
          <w:sz w:val="22"/>
          <w:szCs w:val="22"/>
        </w:rPr>
        <w:t xml:space="preserve"> (overcoming limitations of patient loss to followup)</w:t>
      </w:r>
      <w:r w:rsidR="00CC4B07">
        <w:rPr>
          <w:sz w:val="22"/>
          <w:szCs w:val="22"/>
        </w:rPr>
        <w:t>,</w:t>
      </w:r>
      <w:r w:rsidR="008C52F2">
        <w:rPr>
          <w:sz w:val="22"/>
          <w:szCs w:val="22"/>
        </w:rPr>
        <w:t xml:space="preserve"> and the ability to capture </w:t>
      </w:r>
      <w:r w:rsidR="00CC4B07">
        <w:rPr>
          <w:sz w:val="22"/>
          <w:szCs w:val="22"/>
        </w:rPr>
        <w:t xml:space="preserve">both </w:t>
      </w:r>
      <w:r w:rsidR="008C52F2">
        <w:rPr>
          <w:sz w:val="22"/>
          <w:szCs w:val="22"/>
        </w:rPr>
        <w:t xml:space="preserve">historical and prospective information. </w:t>
      </w:r>
      <w:r w:rsidR="00FE053F">
        <w:rPr>
          <w:sz w:val="22"/>
          <w:szCs w:val="22"/>
        </w:rPr>
        <w:t xml:space="preserve">It also represents an efficient and cost-effective approach </w:t>
      </w:r>
      <w:r w:rsidR="004019F0">
        <w:rPr>
          <w:sz w:val="22"/>
          <w:szCs w:val="22"/>
        </w:rPr>
        <w:t xml:space="preserve">for the long-term follow up of patients in trials or exposed to policy changes </w:t>
      </w:r>
      <w:r w:rsidR="00FE053F">
        <w:rPr>
          <w:sz w:val="22"/>
          <w:szCs w:val="22"/>
        </w:rPr>
        <w:t xml:space="preserve">and health service improvement </w:t>
      </w:r>
      <w:r w:rsidR="004019F0">
        <w:rPr>
          <w:sz w:val="22"/>
          <w:szCs w:val="22"/>
        </w:rPr>
        <w:t xml:space="preserve">more generally </w:t>
      </w:r>
      <w:r w:rsidR="00FE053F">
        <w:rPr>
          <w:sz w:val="22"/>
          <w:szCs w:val="22"/>
        </w:rPr>
        <w:t>because data are acquired from routinely collected information</w:t>
      </w:r>
      <w:r w:rsidR="00CC4B07">
        <w:rPr>
          <w:sz w:val="22"/>
          <w:szCs w:val="22"/>
        </w:rPr>
        <w:t xml:space="preserve"> at a small additional cost but with great additional benefit</w:t>
      </w:r>
      <w:r w:rsidR="00FE053F">
        <w:rPr>
          <w:sz w:val="22"/>
          <w:szCs w:val="22"/>
        </w:rPr>
        <w:t>.</w:t>
      </w:r>
      <w:r w:rsidR="00853BAD">
        <w:rPr>
          <w:sz w:val="22"/>
          <w:szCs w:val="22"/>
        </w:rPr>
        <w:t xml:space="preserve"> While there is some use of linked administrative health data in Australia</w:t>
      </w:r>
      <w:r w:rsidR="00686829">
        <w:rPr>
          <w:sz w:val="22"/>
          <w:szCs w:val="22"/>
        </w:rPr>
        <w:t>,</w:t>
      </w:r>
      <w:r w:rsidR="00853BAD">
        <w:rPr>
          <w:sz w:val="22"/>
          <w:szCs w:val="22"/>
        </w:rPr>
        <w:t xml:space="preserve"> this is minimal compared to other countries such as the UK and Sweden.</w:t>
      </w:r>
    </w:p>
    <w:p w:rsidR="004C028A" w:rsidRPr="00882FAE" w:rsidRDefault="004C028A" w:rsidP="003E59C5">
      <w:pPr>
        <w:spacing w:line="276" w:lineRule="auto"/>
        <w:jc w:val="both"/>
        <w:rPr>
          <w:sz w:val="22"/>
          <w:szCs w:val="22"/>
        </w:rPr>
      </w:pPr>
    </w:p>
    <w:p w:rsidR="004C028A" w:rsidRPr="00882FAE" w:rsidRDefault="004C028A" w:rsidP="003E59C5">
      <w:pPr>
        <w:spacing w:line="276" w:lineRule="auto"/>
        <w:jc w:val="both"/>
        <w:rPr>
          <w:b/>
          <w:sz w:val="22"/>
          <w:szCs w:val="22"/>
        </w:rPr>
      </w:pPr>
      <w:r w:rsidRPr="00882FAE">
        <w:rPr>
          <w:b/>
          <w:sz w:val="22"/>
          <w:szCs w:val="22"/>
        </w:rPr>
        <w:t>Linked hospital data use in Australia</w:t>
      </w:r>
    </w:p>
    <w:p w:rsidR="004C028A" w:rsidRPr="00882FAE" w:rsidRDefault="004C028A" w:rsidP="003E59C5">
      <w:pPr>
        <w:spacing w:line="276" w:lineRule="auto"/>
        <w:jc w:val="both"/>
        <w:rPr>
          <w:sz w:val="22"/>
          <w:szCs w:val="22"/>
        </w:rPr>
      </w:pPr>
    </w:p>
    <w:p w:rsidR="004C028A" w:rsidRPr="00882FAE" w:rsidRDefault="00166F12" w:rsidP="003E59C5">
      <w:pPr>
        <w:spacing w:line="276" w:lineRule="auto"/>
        <w:jc w:val="both"/>
        <w:rPr>
          <w:sz w:val="22"/>
          <w:szCs w:val="22"/>
        </w:rPr>
      </w:pPr>
      <w:r>
        <w:rPr>
          <w:sz w:val="22"/>
          <w:szCs w:val="22"/>
        </w:rPr>
        <w:t xml:space="preserve">Our submission is largely based on </w:t>
      </w:r>
      <w:r w:rsidR="004500F4">
        <w:rPr>
          <w:sz w:val="22"/>
          <w:szCs w:val="22"/>
        </w:rPr>
        <w:t xml:space="preserve">a </w:t>
      </w:r>
      <w:r>
        <w:rPr>
          <w:sz w:val="22"/>
          <w:szCs w:val="22"/>
        </w:rPr>
        <w:t xml:space="preserve">systematic review that provides evidence on the level and type of use </w:t>
      </w:r>
      <w:r w:rsidR="004C028A" w:rsidRPr="00882FAE">
        <w:rPr>
          <w:sz w:val="22"/>
          <w:szCs w:val="22"/>
        </w:rPr>
        <w:t xml:space="preserve">of linked hospital data </w:t>
      </w:r>
      <w:r>
        <w:rPr>
          <w:sz w:val="22"/>
          <w:szCs w:val="22"/>
        </w:rPr>
        <w:t xml:space="preserve">which </w:t>
      </w:r>
      <w:r w:rsidR="004C028A" w:rsidRPr="00882FAE">
        <w:rPr>
          <w:sz w:val="22"/>
          <w:szCs w:val="22"/>
        </w:rPr>
        <w:t>conducted by authors of this submission</w:t>
      </w:r>
      <w:r w:rsidR="004500F4">
        <w:rPr>
          <w:sz w:val="22"/>
          <w:szCs w:val="22"/>
        </w:rPr>
        <w:t xml:space="preserve"> (6)</w:t>
      </w:r>
      <w:r>
        <w:rPr>
          <w:sz w:val="22"/>
          <w:szCs w:val="22"/>
        </w:rPr>
        <w:t>. It</w:t>
      </w:r>
      <w:r w:rsidR="004C028A" w:rsidRPr="00882FAE">
        <w:rPr>
          <w:sz w:val="22"/>
          <w:szCs w:val="22"/>
        </w:rPr>
        <w:t xml:space="preserve"> provide</w:t>
      </w:r>
      <w:r>
        <w:rPr>
          <w:sz w:val="22"/>
          <w:szCs w:val="22"/>
        </w:rPr>
        <w:t>s</w:t>
      </w:r>
      <w:r w:rsidR="004C028A" w:rsidRPr="00882FAE">
        <w:rPr>
          <w:sz w:val="22"/>
          <w:szCs w:val="22"/>
        </w:rPr>
        <w:t xml:space="preserve"> much needed insight into </w:t>
      </w:r>
      <w:r>
        <w:rPr>
          <w:sz w:val="22"/>
          <w:szCs w:val="22"/>
        </w:rPr>
        <w:t xml:space="preserve">the level of current and past </w:t>
      </w:r>
      <w:r w:rsidR="004C028A" w:rsidRPr="00882FAE">
        <w:rPr>
          <w:sz w:val="22"/>
          <w:szCs w:val="22"/>
        </w:rPr>
        <w:t xml:space="preserve">data availability </w:t>
      </w:r>
      <w:r>
        <w:rPr>
          <w:sz w:val="22"/>
          <w:szCs w:val="22"/>
        </w:rPr>
        <w:t>for</w:t>
      </w:r>
      <w:r w:rsidR="004C028A" w:rsidRPr="00882FAE">
        <w:rPr>
          <w:sz w:val="22"/>
          <w:szCs w:val="22"/>
        </w:rPr>
        <w:t xml:space="preserve"> </w:t>
      </w:r>
      <w:r w:rsidR="00E313FC">
        <w:rPr>
          <w:sz w:val="22"/>
          <w:szCs w:val="22"/>
        </w:rPr>
        <w:t>Australian researchers</w:t>
      </w:r>
      <w:r w:rsidR="00616C2D">
        <w:rPr>
          <w:sz w:val="22"/>
          <w:szCs w:val="22"/>
        </w:rPr>
        <w:t xml:space="preserve">. </w:t>
      </w:r>
      <w:r w:rsidR="00AB740E">
        <w:rPr>
          <w:sz w:val="22"/>
          <w:szCs w:val="22"/>
        </w:rPr>
        <w:t xml:space="preserve">This submission </w:t>
      </w:r>
      <w:r w:rsidR="007567CF">
        <w:rPr>
          <w:sz w:val="22"/>
          <w:szCs w:val="22"/>
        </w:rPr>
        <w:t>summarises</w:t>
      </w:r>
      <w:r w:rsidR="004C028A" w:rsidRPr="00882FAE">
        <w:rPr>
          <w:sz w:val="22"/>
          <w:szCs w:val="22"/>
        </w:rPr>
        <w:t xml:space="preserve"> </w:t>
      </w:r>
      <w:r w:rsidR="00AB740E">
        <w:rPr>
          <w:sz w:val="22"/>
          <w:szCs w:val="22"/>
        </w:rPr>
        <w:t>several</w:t>
      </w:r>
      <w:r w:rsidR="004C028A" w:rsidRPr="00882FAE">
        <w:rPr>
          <w:sz w:val="22"/>
          <w:szCs w:val="22"/>
        </w:rPr>
        <w:t xml:space="preserve"> main findings from </w:t>
      </w:r>
      <w:r w:rsidR="00A224B4">
        <w:rPr>
          <w:sz w:val="22"/>
          <w:szCs w:val="22"/>
        </w:rPr>
        <w:t>the</w:t>
      </w:r>
      <w:r w:rsidR="00A224B4" w:rsidRPr="00882FAE">
        <w:rPr>
          <w:sz w:val="22"/>
          <w:szCs w:val="22"/>
        </w:rPr>
        <w:t xml:space="preserve"> </w:t>
      </w:r>
      <w:r w:rsidR="004C028A" w:rsidRPr="00882FAE">
        <w:rPr>
          <w:sz w:val="22"/>
          <w:szCs w:val="22"/>
        </w:rPr>
        <w:t xml:space="preserve">systematic review. </w:t>
      </w:r>
      <w:r w:rsidR="00882FAE">
        <w:rPr>
          <w:sz w:val="22"/>
          <w:szCs w:val="22"/>
        </w:rPr>
        <w:t>T</w:t>
      </w:r>
      <w:r w:rsidR="004C028A" w:rsidRPr="00882FAE">
        <w:rPr>
          <w:sz w:val="22"/>
          <w:szCs w:val="22"/>
        </w:rPr>
        <w:t>here has been an observable growth in the availability of data and its use through data linkage for health research. The number of research outputs</w:t>
      </w:r>
      <w:r w:rsidR="00E313FC">
        <w:rPr>
          <w:sz w:val="22"/>
          <w:szCs w:val="22"/>
        </w:rPr>
        <w:t xml:space="preserve"> (peer-reviewed publications) based on research that uses linked hospital data</w:t>
      </w:r>
      <w:r w:rsidR="004C028A" w:rsidRPr="00882FAE">
        <w:rPr>
          <w:sz w:val="22"/>
          <w:szCs w:val="22"/>
        </w:rPr>
        <w:t xml:space="preserve"> ha</w:t>
      </w:r>
      <w:r w:rsidR="00882FAE">
        <w:rPr>
          <w:sz w:val="22"/>
          <w:szCs w:val="22"/>
        </w:rPr>
        <w:t>s</w:t>
      </w:r>
      <w:r w:rsidR="004C028A" w:rsidRPr="00882FAE">
        <w:rPr>
          <w:sz w:val="22"/>
          <w:szCs w:val="22"/>
        </w:rPr>
        <w:t xml:space="preserve"> increased significantly since the establishment of the first data linkage </w:t>
      </w:r>
      <w:r w:rsidR="00E313FC">
        <w:rPr>
          <w:sz w:val="22"/>
          <w:szCs w:val="22"/>
        </w:rPr>
        <w:t>service</w:t>
      </w:r>
      <w:r w:rsidR="00E313FC" w:rsidRPr="00882FAE">
        <w:rPr>
          <w:sz w:val="22"/>
          <w:szCs w:val="22"/>
        </w:rPr>
        <w:t xml:space="preserve"> </w:t>
      </w:r>
      <w:r w:rsidR="004C028A" w:rsidRPr="00882FAE">
        <w:rPr>
          <w:sz w:val="22"/>
          <w:szCs w:val="22"/>
        </w:rPr>
        <w:t>in Wes</w:t>
      </w:r>
      <w:r w:rsidR="00D15F09">
        <w:rPr>
          <w:sz w:val="22"/>
          <w:szCs w:val="22"/>
        </w:rPr>
        <w:t xml:space="preserve">tern Australia two decades ago and the subsequent establishment of data linkage units in each Australian state. </w:t>
      </w:r>
      <w:r w:rsidR="00882FAE">
        <w:rPr>
          <w:sz w:val="22"/>
          <w:szCs w:val="22"/>
        </w:rPr>
        <w:t xml:space="preserve">However our results show significant variations in research outputs across Australia </w:t>
      </w:r>
      <w:r w:rsidR="00D15F09">
        <w:rPr>
          <w:sz w:val="22"/>
          <w:szCs w:val="22"/>
        </w:rPr>
        <w:t>indicating a great unevenness in the use of linked administrative hospital data in Australia as shown in Figure 1 below. It is evident that</w:t>
      </w:r>
      <w:r w:rsidR="00AB740E">
        <w:rPr>
          <w:sz w:val="22"/>
          <w:szCs w:val="22"/>
        </w:rPr>
        <w:t xml:space="preserve"> two states, New South Wales (NSW) and Western Australia (WA), contributing to more than 80% of publications have clearly outperformed the other states. </w:t>
      </w:r>
      <w:r w:rsidR="00E313FC">
        <w:rPr>
          <w:sz w:val="22"/>
          <w:szCs w:val="22"/>
        </w:rPr>
        <w:t xml:space="preserve">This difference is highly unlikely to be driven by the health needs of the population, nor the availability of able researchers to use such data, but is much more likely to reflect data access issues. </w:t>
      </w:r>
      <w:r w:rsidR="00AB740E">
        <w:rPr>
          <w:sz w:val="22"/>
          <w:szCs w:val="22"/>
        </w:rPr>
        <w:t xml:space="preserve">Our results also show that research areas between NSW and WA are quite different as research using data linkage in WA </w:t>
      </w:r>
      <w:r w:rsidR="00E313FC">
        <w:rPr>
          <w:sz w:val="22"/>
          <w:szCs w:val="22"/>
        </w:rPr>
        <w:t xml:space="preserve">for example </w:t>
      </w:r>
      <w:r w:rsidR="00AB740E">
        <w:rPr>
          <w:sz w:val="22"/>
          <w:szCs w:val="22"/>
        </w:rPr>
        <w:t xml:space="preserve">focused more on the circulatory system whereas NSW has shown a greater emphasis on mother and child health.  </w:t>
      </w:r>
    </w:p>
    <w:p w:rsidR="00D15F09" w:rsidRDefault="00D15F09" w:rsidP="003E59C5">
      <w:pPr>
        <w:spacing w:line="276" w:lineRule="auto"/>
        <w:jc w:val="both"/>
      </w:pPr>
    </w:p>
    <w:p w:rsidR="006713DE" w:rsidRDefault="006713DE" w:rsidP="003E59C5">
      <w:pPr>
        <w:spacing w:line="276" w:lineRule="auto"/>
        <w:jc w:val="both"/>
        <w:rPr>
          <w:sz w:val="22"/>
          <w:szCs w:val="22"/>
        </w:rPr>
      </w:pPr>
      <w:r>
        <w:rPr>
          <w:sz w:val="22"/>
          <w:szCs w:val="22"/>
        </w:rPr>
        <w:t>The practical issues and barriers of conducting cross-jurisdiction research was also highlighted in our findings as our results show only 10 publications using linked data from multiple</w:t>
      </w:r>
      <w:r w:rsidR="00DE5287">
        <w:rPr>
          <w:sz w:val="22"/>
          <w:szCs w:val="22"/>
        </w:rPr>
        <w:t xml:space="preserve"> states</w:t>
      </w:r>
      <w:r w:rsidR="00E313FC">
        <w:rPr>
          <w:sz w:val="22"/>
          <w:szCs w:val="22"/>
        </w:rPr>
        <w:t xml:space="preserve"> which is likely to grossly underestimate the potential to contribute to important cross jurisdictional questions</w:t>
      </w:r>
      <w:r w:rsidR="00DE5287">
        <w:rPr>
          <w:sz w:val="22"/>
          <w:szCs w:val="22"/>
        </w:rPr>
        <w:t xml:space="preserve">. Although there have been considerable improvements in Australia’s data linkage </w:t>
      </w:r>
      <w:r w:rsidR="00274A2F">
        <w:rPr>
          <w:sz w:val="22"/>
          <w:szCs w:val="22"/>
        </w:rPr>
        <w:t>infrastructure</w:t>
      </w:r>
      <w:r w:rsidR="00DE5287">
        <w:rPr>
          <w:sz w:val="22"/>
          <w:szCs w:val="22"/>
        </w:rPr>
        <w:t>, largely due to the</w:t>
      </w:r>
      <w:r w:rsidR="00274A2F">
        <w:rPr>
          <w:sz w:val="22"/>
          <w:szCs w:val="22"/>
        </w:rPr>
        <w:t xml:space="preserve"> substantial</w:t>
      </w:r>
      <w:r w:rsidR="00DE5287">
        <w:rPr>
          <w:sz w:val="22"/>
          <w:szCs w:val="22"/>
        </w:rPr>
        <w:t xml:space="preserve"> investments </w:t>
      </w:r>
      <w:r w:rsidR="0082428B">
        <w:rPr>
          <w:sz w:val="22"/>
          <w:szCs w:val="22"/>
        </w:rPr>
        <w:t>of more than $90 million in the</w:t>
      </w:r>
      <w:r w:rsidR="00DE5287">
        <w:rPr>
          <w:sz w:val="22"/>
          <w:szCs w:val="22"/>
        </w:rPr>
        <w:t xml:space="preserve"> Population Health Research Network (PHRN), it is recognised that researchers continue face significant barriers in gaining access to data through the current data linkage process. </w:t>
      </w:r>
      <w:r w:rsidR="00237320">
        <w:rPr>
          <w:sz w:val="22"/>
          <w:szCs w:val="22"/>
        </w:rPr>
        <w:t>Health data is held by different custodians</w:t>
      </w:r>
      <w:r w:rsidR="00B55FC7">
        <w:rPr>
          <w:sz w:val="22"/>
          <w:szCs w:val="22"/>
        </w:rPr>
        <w:t xml:space="preserve"> which means that researchers </w:t>
      </w:r>
      <w:r w:rsidR="00E313FC">
        <w:rPr>
          <w:sz w:val="22"/>
          <w:szCs w:val="22"/>
        </w:rPr>
        <w:t>need</w:t>
      </w:r>
      <w:r w:rsidR="00B55FC7">
        <w:rPr>
          <w:sz w:val="22"/>
          <w:szCs w:val="22"/>
        </w:rPr>
        <w:t xml:space="preserve"> to approach different organisations or </w:t>
      </w:r>
      <w:r w:rsidR="006C77D9">
        <w:rPr>
          <w:sz w:val="22"/>
          <w:szCs w:val="22"/>
        </w:rPr>
        <w:t xml:space="preserve">levels of </w:t>
      </w:r>
      <w:r w:rsidR="00B55FC7">
        <w:rPr>
          <w:sz w:val="22"/>
          <w:szCs w:val="22"/>
        </w:rPr>
        <w:t>government</w:t>
      </w:r>
      <w:r w:rsidR="006C77D9">
        <w:rPr>
          <w:sz w:val="22"/>
          <w:szCs w:val="22"/>
        </w:rPr>
        <w:t>s</w:t>
      </w:r>
      <w:r w:rsidR="00B55FC7">
        <w:rPr>
          <w:sz w:val="22"/>
          <w:szCs w:val="22"/>
        </w:rPr>
        <w:t xml:space="preserve"> to request access and link the necessary databases. </w:t>
      </w:r>
      <w:r w:rsidR="008C52F2">
        <w:rPr>
          <w:sz w:val="22"/>
          <w:szCs w:val="22"/>
        </w:rPr>
        <w:t>Further, differences in legislative protocols surrounding confidentiality between ethics committees and operating procedures between linkage units can create discord in research progress</w:t>
      </w:r>
      <w:r w:rsidR="00C44675">
        <w:rPr>
          <w:sz w:val="22"/>
          <w:szCs w:val="22"/>
        </w:rPr>
        <w:t xml:space="preserve"> and adds significant</w:t>
      </w:r>
      <w:r w:rsidR="00E91AA9">
        <w:rPr>
          <w:sz w:val="22"/>
          <w:szCs w:val="22"/>
        </w:rPr>
        <w:t xml:space="preserve"> additional</w:t>
      </w:r>
      <w:r w:rsidR="00C44675">
        <w:rPr>
          <w:sz w:val="22"/>
          <w:szCs w:val="22"/>
        </w:rPr>
        <w:t xml:space="preserve"> time</w:t>
      </w:r>
      <w:r w:rsidR="00E91AA9">
        <w:rPr>
          <w:sz w:val="22"/>
          <w:szCs w:val="22"/>
        </w:rPr>
        <w:t xml:space="preserve"> to an already pressing timeline</w:t>
      </w:r>
      <w:r w:rsidR="008C52F2">
        <w:rPr>
          <w:sz w:val="22"/>
          <w:szCs w:val="22"/>
        </w:rPr>
        <w:t xml:space="preserve">. The lack of a streamlined process and excessive duplication </w:t>
      </w:r>
      <w:r w:rsidR="00E313FC">
        <w:rPr>
          <w:sz w:val="22"/>
          <w:szCs w:val="22"/>
        </w:rPr>
        <w:t xml:space="preserve">of process and effort </w:t>
      </w:r>
      <w:r w:rsidR="008C52F2">
        <w:rPr>
          <w:sz w:val="22"/>
          <w:szCs w:val="22"/>
        </w:rPr>
        <w:t>necessitates a significant time investment from the researchers</w:t>
      </w:r>
      <w:r w:rsidR="007567CF">
        <w:rPr>
          <w:sz w:val="22"/>
          <w:szCs w:val="22"/>
        </w:rPr>
        <w:t xml:space="preserve"> on top of possible financial barriers.</w:t>
      </w:r>
    </w:p>
    <w:p w:rsidR="00686829" w:rsidRDefault="004019F0" w:rsidP="003E59C5">
      <w:pPr>
        <w:keepLines/>
        <w:spacing w:line="276" w:lineRule="auto"/>
        <w:jc w:val="both"/>
        <w:rPr>
          <w:sz w:val="22"/>
          <w:szCs w:val="22"/>
        </w:rPr>
      </w:pPr>
      <w:r w:rsidRPr="00AB740E">
        <w:rPr>
          <w:sz w:val="22"/>
          <w:szCs w:val="22"/>
        </w:rPr>
        <w:lastRenderedPageBreak/>
        <w:t xml:space="preserve">Figure 1: Number of publications utilising hospital data linkage by State from 1995-2014. </w:t>
      </w:r>
    </w:p>
    <w:p w:rsidR="006C77D9" w:rsidRDefault="004019F0" w:rsidP="003E59C5">
      <w:pPr>
        <w:keepLines/>
        <w:spacing w:line="276" w:lineRule="auto"/>
        <w:jc w:val="both"/>
        <w:rPr>
          <w:sz w:val="22"/>
          <w:szCs w:val="22"/>
        </w:rPr>
      </w:pPr>
      <w:r>
        <w:rPr>
          <w:noProof/>
        </w:rPr>
        <w:drawing>
          <wp:inline distT="0" distB="0" distL="0" distR="0" wp14:anchorId="1D282E50" wp14:editId="298586E9">
            <wp:extent cx="4997302" cy="3657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1147" w:rsidRDefault="00DC6EB4" w:rsidP="003E59C5">
      <w:pPr>
        <w:pStyle w:val="Para"/>
        <w:autoSpaceDE w:val="0"/>
        <w:autoSpaceDN w:val="0"/>
        <w:adjustRightInd w:val="0"/>
        <w:spacing w:after="240" w:line="276" w:lineRule="auto"/>
        <w:ind w:firstLine="0"/>
        <w:jc w:val="both"/>
        <w:rPr>
          <w:szCs w:val="24"/>
        </w:rPr>
      </w:pPr>
      <w:r>
        <w:rPr>
          <w:szCs w:val="22"/>
        </w:rPr>
        <w:t xml:space="preserve">As a result of significant infrastructure support and investment, all Australian states have established data linkage units with the capacity to provide population-wide data. However </w:t>
      </w:r>
      <w:r w:rsidR="0082428B">
        <w:rPr>
          <w:szCs w:val="22"/>
        </w:rPr>
        <w:t xml:space="preserve">during the course of </w:t>
      </w:r>
      <w:r>
        <w:rPr>
          <w:szCs w:val="22"/>
        </w:rPr>
        <w:t>o</w:t>
      </w:r>
      <w:r w:rsidR="006C77D9">
        <w:rPr>
          <w:szCs w:val="22"/>
        </w:rPr>
        <w:t xml:space="preserve">ur </w:t>
      </w:r>
      <w:r w:rsidR="0082428B">
        <w:rPr>
          <w:szCs w:val="22"/>
        </w:rPr>
        <w:t xml:space="preserve">research </w:t>
      </w:r>
      <w:r w:rsidR="006C77D9">
        <w:rPr>
          <w:szCs w:val="22"/>
        </w:rPr>
        <w:t>we directly contacted each state data linkage unit for information</w:t>
      </w:r>
      <w:r w:rsidR="0082428B">
        <w:rPr>
          <w:szCs w:val="22"/>
        </w:rPr>
        <w:t xml:space="preserve"> and </w:t>
      </w:r>
      <w:r w:rsidR="006C77D9">
        <w:rPr>
          <w:szCs w:val="22"/>
        </w:rPr>
        <w:t xml:space="preserve">found </w:t>
      </w:r>
      <w:r w:rsidR="006C77D9" w:rsidRPr="006C77D9">
        <w:rPr>
          <w:szCs w:val="22"/>
        </w:rPr>
        <w:t xml:space="preserve">significant variation across the states in the </w:t>
      </w:r>
      <w:r w:rsidR="00E313FC">
        <w:rPr>
          <w:szCs w:val="22"/>
        </w:rPr>
        <w:t xml:space="preserve">policies regarding </w:t>
      </w:r>
      <w:r w:rsidR="006C77D9" w:rsidRPr="006C77D9">
        <w:rPr>
          <w:szCs w:val="22"/>
        </w:rPr>
        <w:t>provision of linked data in terms of whether they link all hospitals, and the provision of private and emergency data. Few hospitals provide quality out-patient data</w:t>
      </w:r>
      <w:r w:rsidR="002E1147">
        <w:rPr>
          <w:szCs w:val="22"/>
        </w:rPr>
        <w:t xml:space="preserve"> and n</w:t>
      </w:r>
      <w:r w:rsidR="007A1AB5">
        <w:rPr>
          <w:szCs w:val="22"/>
        </w:rPr>
        <w:t>ot all data linkage units are able to link to private hospi</w:t>
      </w:r>
      <w:r w:rsidR="002E1147">
        <w:rPr>
          <w:szCs w:val="22"/>
        </w:rPr>
        <w:t>tals.</w:t>
      </w:r>
      <w:r w:rsidR="006C77D9" w:rsidRPr="006C77D9">
        <w:rPr>
          <w:szCs w:val="24"/>
        </w:rPr>
        <w:t xml:space="preserve"> </w:t>
      </w:r>
      <w:r w:rsidR="006C77D9">
        <w:rPr>
          <w:szCs w:val="24"/>
        </w:rPr>
        <w:t>The most productive data linkage units such as those from NSW and WA,</w:t>
      </w:r>
      <w:r w:rsidR="007A1AB5">
        <w:rPr>
          <w:szCs w:val="24"/>
        </w:rPr>
        <w:t xml:space="preserve"> charge for their data linkage </w:t>
      </w:r>
      <w:r w:rsidR="006C77D9">
        <w:rPr>
          <w:szCs w:val="24"/>
        </w:rPr>
        <w:t>services, which may indicate that resourcing is required to support research</w:t>
      </w:r>
      <w:r w:rsidR="00E313FC">
        <w:rPr>
          <w:szCs w:val="24"/>
        </w:rPr>
        <w:t xml:space="preserve"> in a timely and consistent manner</w:t>
      </w:r>
      <w:r w:rsidR="006C77D9">
        <w:rPr>
          <w:szCs w:val="24"/>
        </w:rPr>
        <w:t xml:space="preserve">. </w:t>
      </w:r>
      <w:r w:rsidR="007A1AB5">
        <w:rPr>
          <w:szCs w:val="24"/>
        </w:rPr>
        <w:t xml:space="preserve">The more productive units </w:t>
      </w:r>
      <w:r w:rsidR="00E313FC">
        <w:rPr>
          <w:szCs w:val="24"/>
        </w:rPr>
        <w:t xml:space="preserve">at supporting research using linked hospital data </w:t>
      </w:r>
      <w:r w:rsidR="007A1AB5">
        <w:rPr>
          <w:szCs w:val="24"/>
        </w:rPr>
        <w:t>all have clear and established guides and processes for researchers available online.</w:t>
      </w:r>
      <w:r>
        <w:rPr>
          <w:szCs w:val="24"/>
        </w:rPr>
        <w:t xml:space="preserve"> This may help explain the significant disparities in publication output across states.</w:t>
      </w:r>
    </w:p>
    <w:p w:rsidR="0082428B" w:rsidRDefault="0082428B" w:rsidP="003E59C5">
      <w:pPr>
        <w:autoSpaceDE w:val="0"/>
        <w:autoSpaceDN w:val="0"/>
        <w:adjustRightInd w:val="0"/>
        <w:spacing w:line="276" w:lineRule="auto"/>
        <w:jc w:val="both"/>
        <w:rPr>
          <w:color w:val="000000"/>
          <w:szCs w:val="22"/>
        </w:rPr>
      </w:pPr>
      <w:r w:rsidRPr="004500F4">
        <w:rPr>
          <w:color w:val="000000"/>
          <w:sz w:val="22"/>
          <w:szCs w:val="22"/>
          <w:lang w:eastAsia="en-US"/>
        </w:rPr>
        <w:t>Furthermore, the comparable reporting of outcomes by all data linkage units will facilitate comparison across different jurisdictions. Ultimately, we</w:t>
      </w:r>
      <w:r w:rsidRPr="0082428B">
        <w:rPr>
          <w:color w:val="000000"/>
          <w:sz w:val="22"/>
          <w:szCs w:val="22"/>
          <w:lang w:eastAsia="en-US"/>
        </w:rPr>
        <w:t xml:space="preserve"> believe the performance of data linkage units should </w:t>
      </w:r>
      <w:r w:rsidR="008D17BD">
        <w:rPr>
          <w:color w:val="000000"/>
          <w:sz w:val="22"/>
          <w:szCs w:val="22"/>
          <w:lang w:eastAsia="en-US"/>
        </w:rPr>
        <w:t xml:space="preserve">be </w:t>
      </w:r>
      <w:r>
        <w:rPr>
          <w:color w:val="000000"/>
          <w:sz w:val="22"/>
          <w:szCs w:val="22"/>
          <w:lang w:eastAsia="en-US"/>
        </w:rPr>
        <w:t>assessed by quantifying</w:t>
      </w:r>
      <w:r w:rsidRPr="0082428B">
        <w:rPr>
          <w:color w:val="000000"/>
          <w:sz w:val="22"/>
          <w:szCs w:val="22"/>
          <w:lang w:eastAsia="en-US"/>
        </w:rPr>
        <w:t xml:space="preserve"> resource</w:t>
      </w:r>
      <w:r>
        <w:rPr>
          <w:color w:val="000000"/>
          <w:sz w:val="22"/>
          <w:szCs w:val="22"/>
          <w:lang w:eastAsia="en-US"/>
        </w:rPr>
        <w:t xml:space="preserve"> inputs in relation to</w:t>
      </w:r>
      <w:r w:rsidRPr="004500F4">
        <w:rPr>
          <w:color w:val="000000"/>
          <w:sz w:val="22"/>
          <w:szCs w:val="22"/>
          <w:lang w:eastAsia="en-US"/>
        </w:rPr>
        <w:t xml:space="preserve"> </w:t>
      </w:r>
      <w:r>
        <w:rPr>
          <w:color w:val="000000"/>
          <w:sz w:val="22"/>
          <w:szCs w:val="22"/>
          <w:lang w:eastAsia="en-US"/>
        </w:rPr>
        <w:t xml:space="preserve">research </w:t>
      </w:r>
      <w:r w:rsidR="008D17BD">
        <w:rPr>
          <w:color w:val="000000"/>
          <w:sz w:val="22"/>
          <w:szCs w:val="22"/>
          <w:lang w:eastAsia="en-US"/>
        </w:rPr>
        <w:t xml:space="preserve">and other outputs which </w:t>
      </w:r>
      <w:r w:rsidR="004019F0">
        <w:rPr>
          <w:color w:val="000000"/>
          <w:sz w:val="22"/>
          <w:szCs w:val="22"/>
          <w:lang w:eastAsia="en-US"/>
        </w:rPr>
        <w:t xml:space="preserve">make </w:t>
      </w:r>
      <w:r w:rsidR="008D17BD">
        <w:rPr>
          <w:color w:val="000000"/>
          <w:sz w:val="22"/>
          <w:szCs w:val="22"/>
          <w:lang w:eastAsia="en-US"/>
        </w:rPr>
        <w:t xml:space="preserve">use </w:t>
      </w:r>
      <w:r w:rsidR="004019F0">
        <w:rPr>
          <w:color w:val="000000"/>
          <w:sz w:val="22"/>
          <w:szCs w:val="22"/>
          <w:lang w:eastAsia="en-US"/>
        </w:rPr>
        <w:t xml:space="preserve">of </w:t>
      </w:r>
      <w:r w:rsidR="008D17BD">
        <w:rPr>
          <w:color w:val="000000"/>
          <w:sz w:val="22"/>
          <w:szCs w:val="22"/>
          <w:lang w:eastAsia="en-US"/>
        </w:rPr>
        <w:t>the data</w:t>
      </w:r>
      <w:r>
        <w:rPr>
          <w:color w:val="000000"/>
          <w:sz w:val="22"/>
          <w:szCs w:val="22"/>
          <w:lang w:eastAsia="en-US"/>
        </w:rPr>
        <w:t xml:space="preserve">. One potential measure is to quantify the </w:t>
      </w:r>
      <w:r w:rsidRPr="004500F4">
        <w:rPr>
          <w:color w:val="000000"/>
          <w:sz w:val="22"/>
          <w:szCs w:val="22"/>
          <w:lang w:eastAsia="en-US"/>
        </w:rPr>
        <w:t xml:space="preserve">cost per publication, which would facilitate the </w:t>
      </w:r>
      <w:r>
        <w:rPr>
          <w:color w:val="000000"/>
          <w:sz w:val="22"/>
          <w:szCs w:val="22"/>
          <w:lang w:eastAsia="en-US"/>
        </w:rPr>
        <w:t xml:space="preserve">ongoing </w:t>
      </w:r>
      <w:r w:rsidRPr="004500F4">
        <w:rPr>
          <w:color w:val="000000"/>
          <w:sz w:val="22"/>
          <w:szCs w:val="22"/>
          <w:lang w:eastAsia="en-US"/>
        </w:rPr>
        <w:t xml:space="preserve">evaluation of data linkage units in </w:t>
      </w:r>
      <w:r>
        <w:rPr>
          <w:color w:val="000000"/>
          <w:sz w:val="22"/>
          <w:szCs w:val="22"/>
          <w:lang w:eastAsia="en-US"/>
        </w:rPr>
        <w:t>contributing to health and medical research in Australia. Moving to some type of outcome based funding (e</w:t>
      </w:r>
      <w:r w:rsidR="00AA193F">
        <w:rPr>
          <w:color w:val="000000"/>
          <w:sz w:val="22"/>
          <w:szCs w:val="22"/>
          <w:lang w:eastAsia="en-US"/>
        </w:rPr>
        <w:t>.</w:t>
      </w:r>
      <w:r>
        <w:rPr>
          <w:color w:val="000000"/>
          <w:sz w:val="22"/>
          <w:szCs w:val="22"/>
          <w:lang w:eastAsia="en-US"/>
        </w:rPr>
        <w:t>g. paying data linkage units based on the publications produced</w:t>
      </w:r>
      <w:r w:rsidR="008D17BD">
        <w:rPr>
          <w:color w:val="000000"/>
          <w:sz w:val="22"/>
          <w:szCs w:val="22"/>
          <w:lang w:eastAsia="en-US"/>
        </w:rPr>
        <w:t>)</w:t>
      </w:r>
      <w:r>
        <w:rPr>
          <w:color w:val="000000"/>
          <w:sz w:val="22"/>
          <w:szCs w:val="22"/>
          <w:lang w:eastAsia="en-US"/>
        </w:rPr>
        <w:t xml:space="preserve"> could also be considered</w:t>
      </w:r>
      <w:r w:rsidR="004500F4">
        <w:rPr>
          <w:color w:val="000000"/>
          <w:sz w:val="22"/>
          <w:szCs w:val="22"/>
          <w:lang w:eastAsia="en-US"/>
        </w:rPr>
        <w:t>.</w:t>
      </w:r>
      <w:r w:rsidR="008D17BD">
        <w:rPr>
          <w:color w:val="000000"/>
          <w:sz w:val="22"/>
          <w:szCs w:val="22"/>
          <w:lang w:eastAsia="en-US"/>
        </w:rPr>
        <w:t xml:space="preserve"> </w:t>
      </w:r>
    </w:p>
    <w:p w:rsidR="002E1147" w:rsidRDefault="002E1147" w:rsidP="003E59C5">
      <w:pPr>
        <w:pStyle w:val="Para"/>
        <w:autoSpaceDE w:val="0"/>
        <w:autoSpaceDN w:val="0"/>
        <w:adjustRightInd w:val="0"/>
        <w:spacing w:line="276" w:lineRule="auto"/>
        <w:ind w:firstLine="0"/>
        <w:jc w:val="both"/>
        <w:rPr>
          <w:szCs w:val="24"/>
        </w:rPr>
      </w:pPr>
      <w:r>
        <w:rPr>
          <w:szCs w:val="24"/>
        </w:rPr>
        <w:t>Linked administrative health data in Australia have been recognised as an important resource for health services research and informing health policies. It is a huge untapped resource that remains under</w:t>
      </w:r>
      <w:r w:rsidR="00FE053F">
        <w:rPr>
          <w:szCs w:val="24"/>
        </w:rPr>
        <w:t>-</w:t>
      </w:r>
      <w:r>
        <w:rPr>
          <w:szCs w:val="24"/>
        </w:rPr>
        <w:t xml:space="preserve">utilised. </w:t>
      </w:r>
      <w:r w:rsidR="00FE053F">
        <w:rPr>
          <w:szCs w:val="24"/>
        </w:rPr>
        <w:t>Therefore steps towards minimising the barriers of accessibility would be beneficial to improve data availability</w:t>
      </w:r>
      <w:r w:rsidR="00DC6EB4">
        <w:rPr>
          <w:szCs w:val="24"/>
        </w:rPr>
        <w:t xml:space="preserve"> </w:t>
      </w:r>
      <w:r w:rsidR="00FE053F">
        <w:rPr>
          <w:szCs w:val="24"/>
        </w:rPr>
        <w:t xml:space="preserve">and its use to researchers. </w:t>
      </w:r>
      <w:r w:rsidR="004019F0">
        <w:rPr>
          <w:color w:val="000000"/>
          <w:szCs w:val="22"/>
        </w:rPr>
        <w:t xml:space="preserve">It may be beneficial for data custodians of government data to be semi-independent bodies rather than the government itself to reduce potential conflicts of interest that may arise where government officials look for ways to block or delay data access to minimise their own personal reputational risk of undesirable findings being made public. A </w:t>
      </w:r>
      <w:r w:rsidR="004019F0">
        <w:rPr>
          <w:color w:val="000000"/>
          <w:szCs w:val="22"/>
        </w:rPr>
        <w:lastRenderedPageBreak/>
        <w:t xml:space="preserve">better process may be to have standardised timeframes where researchers provide the government with their findings pre-public release so that the government have time to prepare a considered public response. </w:t>
      </w:r>
      <w:r w:rsidR="00DC6EB4">
        <w:rPr>
          <w:szCs w:val="24"/>
        </w:rPr>
        <w:t xml:space="preserve">There </w:t>
      </w:r>
      <w:r w:rsidR="004019F0">
        <w:rPr>
          <w:szCs w:val="24"/>
        </w:rPr>
        <w:t xml:space="preserve">also </w:t>
      </w:r>
      <w:r w:rsidR="00DC6EB4">
        <w:rPr>
          <w:szCs w:val="24"/>
        </w:rPr>
        <w:t xml:space="preserve">needs to be coordination within each data linkage unit with regards to the processes and documentation required from the researcher </w:t>
      </w:r>
      <w:r w:rsidR="00C44675">
        <w:rPr>
          <w:szCs w:val="24"/>
        </w:rPr>
        <w:t>as well as b</w:t>
      </w:r>
      <w:r w:rsidR="00DC6EB4">
        <w:rPr>
          <w:szCs w:val="24"/>
        </w:rPr>
        <w:t xml:space="preserve">etween data linkage units </w:t>
      </w:r>
      <w:r w:rsidR="00C44675">
        <w:rPr>
          <w:szCs w:val="24"/>
        </w:rPr>
        <w:t>to avoid unnecessary duplication of processes.</w:t>
      </w:r>
      <w:r w:rsidR="0068617F">
        <w:rPr>
          <w:szCs w:val="24"/>
        </w:rPr>
        <w:t xml:space="preserve"> There needs to be clear procedural guidelines and timelines available </w:t>
      </w:r>
      <w:r w:rsidR="00D43457">
        <w:rPr>
          <w:szCs w:val="24"/>
        </w:rPr>
        <w:t>to which researchers are able to gauge the feasibility of using linked data services.</w:t>
      </w:r>
      <w:r w:rsidR="00C44675">
        <w:rPr>
          <w:szCs w:val="24"/>
        </w:rPr>
        <w:t xml:space="preserve"> </w:t>
      </w:r>
      <w:r w:rsidR="00E91AA9">
        <w:rPr>
          <w:szCs w:val="24"/>
        </w:rPr>
        <w:t>Beyond developing the infrastructure for comprehensive administrative datasets, there is clearly a need to provide training and funding for analysis if data linkage is to translate into research</w:t>
      </w:r>
      <w:r w:rsidR="004019F0">
        <w:rPr>
          <w:szCs w:val="24"/>
        </w:rPr>
        <w:t xml:space="preserve"> outcomes</w:t>
      </w:r>
      <w:r w:rsidR="00E91AA9">
        <w:rPr>
          <w:szCs w:val="24"/>
        </w:rPr>
        <w:t xml:space="preserve"> and further impact.</w:t>
      </w:r>
    </w:p>
    <w:p w:rsidR="00D43457" w:rsidRDefault="00D43457" w:rsidP="003E59C5">
      <w:pPr>
        <w:pStyle w:val="Para"/>
        <w:autoSpaceDE w:val="0"/>
        <w:autoSpaceDN w:val="0"/>
        <w:adjustRightInd w:val="0"/>
        <w:spacing w:line="276" w:lineRule="auto"/>
        <w:ind w:firstLine="0"/>
        <w:jc w:val="both"/>
        <w:rPr>
          <w:szCs w:val="24"/>
        </w:rPr>
      </w:pPr>
    </w:p>
    <w:p w:rsidR="00AD250C" w:rsidRPr="00882FAE" w:rsidRDefault="00BF7188" w:rsidP="003E59C5">
      <w:pPr>
        <w:spacing w:line="276" w:lineRule="auto"/>
        <w:jc w:val="both"/>
        <w:rPr>
          <w:sz w:val="22"/>
          <w:szCs w:val="22"/>
        </w:rPr>
      </w:pPr>
      <w:r w:rsidRPr="00882FAE">
        <w:rPr>
          <w:sz w:val="22"/>
          <w:szCs w:val="22"/>
        </w:rPr>
        <w:t>Thank you for the opportunity for us to submit our response.</w:t>
      </w:r>
    </w:p>
    <w:p w:rsidR="00AD250C" w:rsidRPr="00882FAE" w:rsidRDefault="00AD250C" w:rsidP="003E59C5">
      <w:pPr>
        <w:spacing w:line="276" w:lineRule="auto"/>
        <w:jc w:val="both"/>
        <w:rPr>
          <w:sz w:val="22"/>
          <w:szCs w:val="22"/>
        </w:rPr>
      </w:pPr>
    </w:p>
    <w:p w:rsidR="00AD250C" w:rsidRPr="00882FAE" w:rsidRDefault="00AD250C" w:rsidP="003E59C5">
      <w:pPr>
        <w:spacing w:line="276" w:lineRule="auto"/>
        <w:jc w:val="both"/>
        <w:rPr>
          <w:sz w:val="22"/>
          <w:szCs w:val="22"/>
        </w:rPr>
      </w:pPr>
    </w:p>
    <w:p w:rsidR="00260024" w:rsidRPr="00882FAE" w:rsidRDefault="00260024" w:rsidP="003E59C5">
      <w:pPr>
        <w:spacing w:line="276" w:lineRule="auto"/>
        <w:jc w:val="both"/>
        <w:rPr>
          <w:sz w:val="22"/>
          <w:szCs w:val="22"/>
        </w:rPr>
      </w:pPr>
    </w:p>
    <w:p w:rsidR="00260024" w:rsidRPr="00AA193F" w:rsidRDefault="00260024" w:rsidP="001B1BD3">
      <w:pPr>
        <w:spacing w:line="276" w:lineRule="auto"/>
        <w:jc w:val="both"/>
        <w:rPr>
          <w:b/>
          <w:sz w:val="22"/>
          <w:szCs w:val="22"/>
        </w:rPr>
      </w:pPr>
      <w:r w:rsidRPr="00AA193F">
        <w:rPr>
          <w:b/>
          <w:sz w:val="22"/>
          <w:szCs w:val="22"/>
        </w:rPr>
        <w:t>References</w:t>
      </w:r>
    </w:p>
    <w:p w:rsidR="00260024" w:rsidRPr="00765DD3" w:rsidRDefault="00260024" w:rsidP="001B1BD3">
      <w:pPr>
        <w:pStyle w:val="ListParagraph"/>
        <w:numPr>
          <w:ilvl w:val="0"/>
          <w:numId w:val="2"/>
        </w:numPr>
        <w:spacing w:line="276" w:lineRule="auto"/>
        <w:jc w:val="both"/>
        <w:rPr>
          <w:sz w:val="22"/>
          <w:szCs w:val="22"/>
        </w:rPr>
      </w:pPr>
      <w:r w:rsidRPr="00765DD3">
        <w:rPr>
          <w:sz w:val="22"/>
          <w:szCs w:val="22"/>
        </w:rPr>
        <w:t>Davies SB, Hofer A, Reeve C. Mortality attributable to rheumatic</w:t>
      </w:r>
      <w:r w:rsidR="00AA193F" w:rsidRPr="00765DD3">
        <w:rPr>
          <w:sz w:val="22"/>
          <w:szCs w:val="22"/>
        </w:rPr>
        <w:t xml:space="preserve"> </w:t>
      </w:r>
      <w:r w:rsidRPr="00765DD3">
        <w:rPr>
          <w:sz w:val="22"/>
          <w:szCs w:val="22"/>
        </w:rPr>
        <w:t xml:space="preserve">heart disease in the Kimberley: a data linkage approach. </w:t>
      </w:r>
      <w:r w:rsidRPr="00765DD3">
        <w:rPr>
          <w:i/>
          <w:sz w:val="22"/>
          <w:szCs w:val="22"/>
        </w:rPr>
        <w:t>Intern Med J</w:t>
      </w:r>
      <w:r w:rsidR="00AA193F" w:rsidRPr="00765DD3">
        <w:rPr>
          <w:sz w:val="22"/>
          <w:szCs w:val="22"/>
        </w:rPr>
        <w:t xml:space="preserve"> </w:t>
      </w:r>
      <w:r w:rsidRPr="00765DD3">
        <w:rPr>
          <w:sz w:val="22"/>
          <w:szCs w:val="22"/>
        </w:rPr>
        <w:t xml:space="preserve">2014; 44: 1074–80. </w:t>
      </w:r>
      <w:hyperlink r:id="rId15" w:history="1">
        <w:r w:rsidR="001B1BD3" w:rsidRPr="00765DD3">
          <w:rPr>
            <w:rStyle w:val="Hyperlink"/>
            <w:sz w:val="22"/>
            <w:szCs w:val="22"/>
          </w:rPr>
          <w:t>doi:10.1111/imj.12540</w:t>
        </w:r>
      </w:hyperlink>
    </w:p>
    <w:p w:rsidR="001B1BD3" w:rsidRPr="00765DD3" w:rsidRDefault="00260024" w:rsidP="001B1BD3">
      <w:pPr>
        <w:pStyle w:val="ListParagraph"/>
        <w:numPr>
          <w:ilvl w:val="0"/>
          <w:numId w:val="2"/>
        </w:numPr>
        <w:spacing w:line="276" w:lineRule="auto"/>
        <w:jc w:val="both"/>
        <w:rPr>
          <w:sz w:val="22"/>
          <w:szCs w:val="22"/>
        </w:rPr>
      </w:pPr>
      <w:r w:rsidRPr="00765DD3">
        <w:rPr>
          <w:sz w:val="22"/>
          <w:szCs w:val="22"/>
        </w:rPr>
        <w:t>Moore HC, de Klerk N, Keil AD, Smith DW, Blyth CC, Richmond P,</w:t>
      </w:r>
      <w:r w:rsidR="00AA193F" w:rsidRPr="00765DD3">
        <w:rPr>
          <w:sz w:val="22"/>
          <w:szCs w:val="22"/>
        </w:rPr>
        <w:t xml:space="preserve"> </w:t>
      </w:r>
      <w:r w:rsidRPr="00765DD3">
        <w:rPr>
          <w:sz w:val="22"/>
          <w:szCs w:val="22"/>
        </w:rPr>
        <w:t>Lehmann D. Use of data linkage to investigate the aetiology of</w:t>
      </w:r>
      <w:r w:rsidR="00AA193F" w:rsidRPr="00765DD3">
        <w:rPr>
          <w:sz w:val="22"/>
          <w:szCs w:val="22"/>
        </w:rPr>
        <w:t xml:space="preserve"> </w:t>
      </w:r>
      <w:r w:rsidRPr="00765DD3">
        <w:rPr>
          <w:sz w:val="22"/>
          <w:szCs w:val="22"/>
        </w:rPr>
        <w:t xml:space="preserve">acute lower respiratory infection hospitalisations in children. </w:t>
      </w:r>
      <w:r w:rsidRPr="00765DD3">
        <w:rPr>
          <w:i/>
          <w:sz w:val="22"/>
          <w:szCs w:val="22"/>
        </w:rPr>
        <w:t>J</w:t>
      </w:r>
      <w:r w:rsidR="00AA193F" w:rsidRPr="00765DD3">
        <w:rPr>
          <w:i/>
          <w:sz w:val="22"/>
          <w:szCs w:val="22"/>
        </w:rPr>
        <w:t xml:space="preserve"> </w:t>
      </w:r>
      <w:r w:rsidRPr="00765DD3">
        <w:rPr>
          <w:i/>
          <w:sz w:val="22"/>
          <w:szCs w:val="22"/>
        </w:rPr>
        <w:t>Paediatr Child Health</w:t>
      </w:r>
      <w:r w:rsidRPr="00765DD3">
        <w:rPr>
          <w:sz w:val="22"/>
          <w:szCs w:val="22"/>
        </w:rPr>
        <w:t xml:space="preserve"> 2012; 48: 520–8. </w:t>
      </w:r>
      <w:hyperlink r:id="rId16" w:history="1">
        <w:r w:rsidR="001B1BD3" w:rsidRPr="00765DD3">
          <w:rPr>
            <w:rStyle w:val="Hyperlink"/>
            <w:sz w:val="22"/>
            <w:szCs w:val="22"/>
          </w:rPr>
          <w:t xml:space="preserve">doi: 10.1111/j.1440-1754.2011.02229.x </w:t>
        </w:r>
      </w:hyperlink>
    </w:p>
    <w:p w:rsidR="008309E4" w:rsidRPr="00765DD3" w:rsidRDefault="008309E4" w:rsidP="001B1BD3">
      <w:pPr>
        <w:pStyle w:val="ListParagraph"/>
        <w:numPr>
          <w:ilvl w:val="0"/>
          <w:numId w:val="2"/>
        </w:numPr>
        <w:spacing w:line="276" w:lineRule="auto"/>
        <w:jc w:val="both"/>
        <w:rPr>
          <w:sz w:val="22"/>
          <w:szCs w:val="22"/>
        </w:rPr>
      </w:pPr>
      <w:r w:rsidRPr="00765DD3">
        <w:rPr>
          <w:sz w:val="22"/>
          <w:szCs w:val="22"/>
        </w:rPr>
        <w:t>Gibson A, Jorm L, McIntyre P. Using linked birth, notification, hospital</w:t>
      </w:r>
      <w:r w:rsidR="00AA193F" w:rsidRPr="00765DD3">
        <w:rPr>
          <w:sz w:val="22"/>
          <w:szCs w:val="22"/>
        </w:rPr>
        <w:t xml:space="preserve"> </w:t>
      </w:r>
      <w:r w:rsidRPr="00765DD3">
        <w:rPr>
          <w:sz w:val="22"/>
          <w:szCs w:val="22"/>
        </w:rPr>
        <w:t>and mortality data to examine false-positive meningococcal disease</w:t>
      </w:r>
      <w:r w:rsidR="00AA193F" w:rsidRPr="00765DD3">
        <w:rPr>
          <w:sz w:val="22"/>
          <w:szCs w:val="22"/>
        </w:rPr>
        <w:t xml:space="preserve"> </w:t>
      </w:r>
      <w:r w:rsidRPr="00765DD3">
        <w:rPr>
          <w:sz w:val="22"/>
          <w:szCs w:val="22"/>
        </w:rPr>
        <w:t>reporting and adjust disease incidence estimates for children in New</w:t>
      </w:r>
      <w:r w:rsidR="00AA193F" w:rsidRPr="00765DD3">
        <w:rPr>
          <w:sz w:val="22"/>
          <w:szCs w:val="22"/>
        </w:rPr>
        <w:t xml:space="preserve"> </w:t>
      </w:r>
      <w:r w:rsidRPr="00765DD3">
        <w:rPr>
          <w:sz w:val="22"/>
          <w:szCs w:val="22"/>
        </w:rPr>
        <w:t xml:space="preserve">South Wales, Australia. </w:t>
      </w:r>
      <w:r w:rsidRPr="00765DD3">
        <w:rPr>
          <w:i/>
          <w:sz w:val="22"/>
          <w:szCs w:val="22"/>
        </w:rPr>
        <w:t>Epidemiol Infect</w:t>
      </w:r>
      <w:r w:rsidRPr="00765DD3">
        <w:rPr>
          <w:sz w:val="22"/>
          <w:szCs w:val="22"/>
        </w:rPr>
        <w:t xml:space="preserve"> 2015; 143: 2570–9. </w:t>
      </w:r>
      <w:hyperlink r:id="rId17" w:history="1">
        <w:r w:rsidR="001B1BD3" w:rsidRPr="00765DD3">
          <w:rPr>
            <w:rStyle w:val="Hyperlink"/>
            <w:sz w:val="22"/>
            <w:szCs w:val="22"/>
          </w:rPr>
          <w:t>doi:10.1017/S0950268814003355</w:t>
        </w:r>
      </w:hyperlink>
    </w:p>
    <w:p w:rsidR="00D0657E" w:rsidRPr="00765DD3" w:rsidRDefault="00D0657E" w:rsidP="001B1BD3">
      <w:pPr>
        <w:pStyle w:val="ListParagraph"/>
        <w:numPr>
          <w:ilvl w:val="0"/>
          <w:numId w:val="2"/>
        </w:numPr>
        <w:spacing w:line="276" w:lineRule="auto"/>
        <w:jc w:val="both"/>
        <w:rPr>
          <w:sz w:val="22"/>
          <w:szCs w:val="22"/>
        </w:rPr>
      </w:pPr>
      <w:r w:rsidRPr="00765DD3">
        <w:rPr>
          <w:sz w:val="22"/>
          <w:szCs w:val="22"/>
        </w:rPr>
        <w:t>Chen Y, Liu BC, Glass K, Kirk MD. High incidence of hospitalisation due to infectious gastroenteritis in older people associated with poor self-rated health. </w:t>
      </w:r>
      <w:r w:rsidRPr="00765DD3">
        <w:rPr>
          <w:i/>
          <w:sz w:val="22"/>
          <w:szCs w:val="22"/>
        </w:rPr>
        <w:t>BMJ Open</w:t>
      </w:r>
      <w:r w:rsidRPr="00765DD3">
        <w:rPr>
          <w:sz w:val="22"/>
          <w:szCs w:val="22"/>
        </w:rPr>
        <w:t xml:space="preserve"> [Internet] 2015;5(12):e010161. </w:t>
      </w:r>
      <w:hyperlink r:id="rId18" w:history="1">
        <w:r w:rsidR="001B1BD3" w:rsidRPr="00765DD3">
          <w:rPr>
            <w:rStyle w:val="Hyperlink"/>
            <w:sz w:val="22"/>
            <w:szCs w:val="22"/>
          </w:rPr>
          <w:t>doi:10.1136/bmjopen-2015-010161</w:t>
        </w:r>
      </w:hyperlink>
    </w:p>
    <w:p w:rsidR="00D0657E" w:rsidRPr="00765DD3" w:rsidRDefault="00D0657E" w:rsidP="001B1BD3">
      <w:pPr>
        <w:pStyle w:val="ListParagraph"/>
        <w:numPr>
          <w:ilvl w:val="0"/>
          <w:numId w:val="2"/>
        </w:numPr>
        <w:spacing w:line="276" w:lineRule="auto"/>
        <w:jc w:val="both"/>
        <w:rPr>
          <w:sz w:val="22"/>
          <w:szCs w:val="22"/>
        </w:rPr>
      </w:pPr>
      <w:r w:rsidRPr="00765DD3">
        <w:rPr>
          <w:sz w:val="22"/>
          <w:szCs w:val="22"/>
        </w:rPr>
        <w:t>Tran, B, Falster MO, Girosi Federico, Jorm L. Relationship between use of general practice and healthcare costs at the end of life: a data linkage study in New South Wales, Australia. </w:t>
      </w:r>
      <w:r w:rsidRPr="00765DD3">
        <w:rPr>
          <w:i/>
          <w:sz w:val="22"/>
          <w:szCs w:val="22"/>
        </w:rPr>
        <w:t>BMJ Open</w:t>
      </w:r>
      <w:r w:rsidRPr="00765DD3">
        <w:rPr>
          <w:sz w:val="22"/>
          <w:szCs w:val="22"/>
        </w:rPr>
        <w:t xml:space="preserve"> [Internet] 2016;6(1):e009410. </w:t>
      </w:r>
      <w:hyperlink r:id="rId19" w:history="1">
        <w:r w:rsidRPr="00765DD3">
          <w:rPr>
            <w:rStyle w:val="Hyperlink"/>
            <w:sz w:val="22"/>
            <w:szCs w:val="22"/>
          </w:rPr>
          <w:t>doi: 10.1136/bmjopen-2015-009410</w:t>
        </w:r>
      </w:hyperlink>
    </w:p>
    <w:p w:rsidR="00337A83" w:rsidRPr="00765DD3" w:rsidRDefault="00337A83" w:rsidP="001B1BD3">
      <w:pPr>
        <w:pStyle w:val="ListParagraph"/>
        <w:numPr>
          <w:ilvl w:val="0"/>
          <w:numId w:val="2"/>
        </w:numPr>
        <w:spacing w:line="276" w:lineRule="auto"/>
        <w:jc w:val="both"/>
        <w:rPr>
          <w:sz w:val="22"/>
          <w:szCs w:val="22"/>
        </w:rPr>
      </w:pPr>
      <w:r w:rsidRPr="00765DD3">
        <w:rPr>
          <w:sz w:val="22"/>
          <w:szCs w:val="22"/>
        </w:rPr>
        <w:t>Tew, Michelle, Dalziel, Kim M., Petrie, Dennis J., and Clarke, Philip M. (2016). Growth of linked hospital data use in Australia: a systematic review. </w:t>
      </w:r>
      <w:r w:rsidRPr="00765DD3">
        <w:rPr>
          <w:i/>
          <w:sz w:val="22"/>
          <w:szCs w:val="22"/>
        </w:rPr>
        <w:t>Aust. Health</w:t>
      </w:r>
      <w:r w:rsidR="008D17BD" w:rsidRPr="00765DD3">
        <w:rPr>
          <w:i/>
          <w:sz w:val="22"/>
          <w:szCs w:val="22"/>
        </w:rPr>
        <w:t xml:space="preserve"> </w:t>
      </w:r>
      <w:r w:rsidRPr="00765DD3">
        <w:rPr>
          <w:i/>
          <w:sz w:val="22"/>
          <w:szCs w:val="22"/>
        </w:rPr>
        <w:t>Review</w:t>
      </w:r>
      <w:r w:rsidRPr="00765DD3">
        <w:rPr>
          <w:sz w:val="22"/>
          <w:szCs w:val="22"/>
        </w:rPr>
        <w:t>, </w:t>
      </w:r>
      <w:hyperlink r:id="rId20" w:history="1">
        <w:r w:rsidR="008D17BD" w:rsidRPr="00765DD3">
          <w:rPr>
            <w:rStyle w:val="Hyperlink"/>
            <w:sz w:val="22"/>
            <w:szCs w:val="22"/>
          </w:rPr>
          <w:t>http://dx.doi.org/10.1071/AH16034</w:t>
        </w:r>
      </w:hyperlink>
      <w:r w:rsidR="008D17BD" w:rsidRPr="00765DD3">
        <w:rPr>
          <w:sz w:val="22"/>
          <w:szCs w:val="22"/>
        </w:rPr>
        <w:t xml:space="preserve"> </w:t>
      </w:r>
    </w:p>
    <w:sectPr w:rsidR="00337A83" w:rsidRPr="00765DD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9C" w:rsidRDefault="00597B9C" w:rsidP="00765DD3">
      <w:r>
        <w:separator/>
      </w:r>
    </w:p>
  </w:endnote>
  <w:endnote w:type="continuationSeparator" w:id="0">
    <w:p w:rsidR="00597B9C" w:rsidRDefault="00597B9C" w:rsidP="0076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70976"/>
      <w:docPartObj>
        <w:docPartGallery w:val="Page Numbers (Bottom of Page)"/>
        <w:docPartUnique/>
      </w:docPartObj>
    </w:sdtPr>
    <w:sdtEndPr>
      <w:rPr>
        <w:noProof/>
        <w:sz w:val="16"/>
        <w:szCs w:val="16"/>
      </w:rPr>
    </w:sdtEndPr>
    <w:sdtContent>
      <w:p w:rsidR="00765DD3" w:rsidRPr="00765DD3" w:rsidRDefault="00765DD3">
        <w:pPr>
          <w:pStyle w:val="Footer"/>
          <w:jc w:val="right"/>
          <w:rPr>
            <w:sz w:val="16"/>
            <w:szCs w:val="16"/>
          </w:rPr>
        </w:pPr>
        <w:r w:rsidRPr="00765DD3">
          <w:rPr>
            <w:sz w:val="16"/>
            <w:szCs w:val="16"/>
          </w:rPr>
          <w:fldChar w:fldCharType="begin"/>
        </w:r>
        <w:r w:rsidRPr="00765DD3">
          <w:rPr>
            <w:sz w:val="16"/>
            <w:szCs w:val="16"/>
          </w:rPr>
          <w:instrText xml:space="preserve"> PAGE   \* MERGEFORMAT </w:instrText>
        </w:r>
        <w:r w:rsidRPr="00765DD3">
          <w:rPr>
            <w:sz w:val="16"/>
            <w:szCs w:val="16"/>
          </w:rPr>
          <w:fldChar w:fldCharType="separate"/>
        </w:r>
        <w:r w:rsidR="00825969">
          <w:rPr>
            <w:noProof/>
            <w:sz w:val="16"/>
            <w:szCs w:val="16"/>
          </w:rPr>
          <w:t>1</w:t>
        </w:r>
        <w:r w:rsidRPr="00765DD3">
          <w:rPr>
            <w:noProof/>
            <w:sz w:val="16"/>
            <w:szCs w:val="16"/>
          </w:rPr>
          <w:fldChar w:fldCharType="end"/>
        </w:r>
      </w:p>
    </w:sdtContent>
  </w:sdt>
  <w:p w:rsidR="00765DD3" w:rsidRDefault="00765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9C" w:rsidRDefault="00597B9C" w:rsidP="00765DD3">
      <w:r>
        <w:separator/>
      </w:r>
    </w:p>
  </w:footnote>
  <w:footnote w:type="continuationSeparator" w:id="0">
    <w:p w:rsidR="00597B9C" w:rsidRDefault="00597B9C" w:rsidP="0076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D3" w:rsidRDefault="00765DD3">
    <w:pPr>
      <w:pStyle w:val="Header"/>
      <w:jc w:val="right"/>
    </w:pPr>
  </w:p>
  <w:p w:rsidR="00765DD3" w:rsidRDefault="00765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B14FF"/>
    <w:multiLevelType w:val="hybridMultilevel"/>
    <w:tmpl w:val="2BEA3E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2C490F"/>
    <w:multiLevelType w:val="hybridMultilevel"/>
    <w:tmpl w:val="F2680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DE"/>
    <w:rsid w:val="00044A66"/>
    <w:rsid w:val="00166F12"/>
    <w:rsid w:val="001B1BD3"/>
    <w:rsid w:val="001C7010"/>
    <w:rsid w:val="001E5B3E"/>
    <w:rsid w:val="00237320"/>
    <w:rsid w:val="00260024"/>
    <w:rsid w:val="00274A2F"/>
    <w:rsid w:val="002C6265"/>
    <w:rsid w:val="002E1147"/>
    <w:rsid w:val="002F13DB"/>
    <w:rsid w:val="002F26ED"/>
    <w:rsid w:val="00337A83"/>
    <w:rsid w:val="003E59C5"/>
    <w:rsid w:val="003E63DE"/>
    <w:rsid w:val="004019F0"/>
    <w:rsid w:val="004500F4"/>
    <w:rsid w:val="00476493"/>
    <w:rsid w:val="004C028A"/>
    <w:rsid w:val="005550BF"/>
    <w:rsid w:val="00584D12"/>
    <w:rsid w:val="005853CD"/>
    <w:rsid w:val="00597B9C"/>
    <w:rsid w:val="005D19DB"/>
    <w:rsid w:val="00616C2D"/>
    <w:rsid w:val="006713DE"/>
    <w:rsid w:val="0068617F"/>
    <w:rsid w:val="00686829"/>
    <w:rsid w:val="006C77D9"/>
    <w:rsid w:val="006D70DB"/>
    <w:rsid w:val="006F2748"/>
    <w:rsid w:val="007567CF"/>
    <w:rsid w:val="00765DD3"/>
    <w:rsid w:val="007A1AB5"/>
    <w:rsid w:val="007E6D1F"/>
    <w:rsid w:val="0082428B"/>
    <w:rsid w:val="00825969"/>
    <w:rsid w:val="008309E4"/>
    <w:rsid w:val="0084276D"/>
    <w:rsid w:val="00853BAD"/>
    <w:rsid w:val="00882FAE"/>
    <w:rsid w:val="008B0765"/>
    <w:rsid w:val="008B1342"/>
    <w:rsid w:val="008B6250"/>
    <w:rsid w:val="008C52F2"/>
    <w:rsid w:val="008D17BD"/>
    <w:rsid w:val="00926A2E"/>
    <w:rsid w:val="009B571C"/>
    <w:rsid w:val="00A224B4"/>
    <w:rsid w:val="00AA193F"/>
    <w:rsid w:val="00AB740E"/>
    <w:rsid w:val="00AD250C"/>
    <w:rsid w:val="00AF7D1A"/>
    <w:rsid w:val="00B21F6A"/>
    <w:rsid w:val="00B55FC7"/>
    <w:rsid w:val="00B625C4"/>
    <w:rsid w:val="00B82C6B"/>
    <w:rsid w:val="00BB7116"/>
    <w:rsid w:val="00BF7188"/>
    <w:rsid w:val="00C44675"/>
    <w:rsid w:val="00C81349"/>
    <w:rsid w:val="00CC134A"/>
    <w:rsid w:val="00CC4B07"/>
    <w:rsid w:val="00CF17D2"/>
    <w:rsid w:val="00D0657E"/>
    <w:rsid w:val="00D15F09"/>
    <w:rsid w:val="00D43457"/>
    <w:rsid w:val="00DB47EF"/>
    <w:rsid w:val="00DC6EB4"/>
    <w:rsid w:val="00DC702E"/>
    <w:rsid w:val="00DD2648"/>
    <w:rsid w:val="00DE5287"/>
    <w:rsid w:val="00E313FC"/>
    <w:rsid w:val="00E433D1"/>
    <w:rsid w:val="00E83B14"/>
    <w:rsid w:val="00E91AA9"/>
    <w:rsid w:val="00EE05CD"/>
    <w:rsid w:val="00F37FAD"/>
    <w:rsid w:val="00F84B08"/>
    <w:rsid w:val="00FE0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D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024"/>
    <w:pPr>
      <w:ind w:left="720"/>
      <w:contextualSpacing/>
    </w:pPr>
  </w:style>
  <w:style w:type="character" w:styleId="Hyperlink">
    <w:name w:val="Hyperlink"/>
    <w:basedOn w:val="DefaultParagraphFont"/>
    <w:uiPriority w:val="99"/>
    <w:unhideWhenUsed/>
    <w:rsid w:val="00D0657E"/>
    <w:rPr>
      <w:color w:val="0000FF"/>
      <w:u w:val="single"/>
    </w:rPr>
  </w:style>
  <w:style w:type="character" w:customStyle="1" w:styleId="apple-converted-space">
    <w:name w:val="apple-converted-space"/>
    <w:basedOn w:val="DefaultParagraphFont"/>
    <w:rsid w:val="00D0657E"/>
  </w:style>
  <w:style w:type="character" w:styleId="Emphasis">
    <w:name w:val="Emphasis"/>
    <w:basedOn w:val="DefaultParagraphFont"/>
    <w:uiPriority w:val="20"/>
    <w:qFormat/>
    <w:rsid w:val="00337A83"/>
    <w:rPr>
      <w:i/>
      <w:iCs/>
    </w:rPr>
  </w:style>
  <w:style w:type="paragraph" w:styleId="BalloonText">
    <w:name w:val="Balloon Text"/>
    <w:basedOn w:val="Normal"/>
    <w:link w:val="BalloonTextChar"/>
    <w:uiPriority w:val="99"/>
    <w:semiHidden/>
    <w:unhideWhenUsed/>
    <w:rsid w:val="00D15F09"/>
    <w:rPr>
      <w:rFonts w:ascii="Tahoma" w:hAnsi="Tahoma" w:cs="Tahoma"/>
      <w:sz w:val="16"/>
      <w:szCs w:val="16"/>
    </w:rPr>
  </w:style>
  <w:style w:type="character" w:customStyle="1" w:styleId="BalloonTextChar">
    <w:name w:val="Balloon Text Char"/>
    <w:basedOn w:val="DefaultParagraphFont"/>
    <w:link w:val="BalloonText"/>
    <w:uiPriority w:val="99"/>
    <w:semiHidden/>
    <w:rsid w:val="00D15F09"/>
    <w:rPr>
      <w:rFonts w:ascii="Tahoma" w:hAnsi="Tahoma" w:cs="Tahoma"/>
      <w:sz w:val="16"/>
      <w:szCs w:val="16"/>
      <w:lang w:eastAsia="en-AU"/>
    </w:rPr>
  </w:style>
  <w:style w:type="paragraph" w:customStyle="1" w:styleId="Para">
    <w:name w:val="Para"/>
    <w:basedOn w:val="Normal"/>
    <w:rsid w:val="006C77D9"/>
    <w:pPr>
      <w:spacing w:before="120" w:line="360" w:lineRule="auto"/>
      <w:ind w:firstLine="230"/>
    </w:pPr>
    <w:rPr>
      <w:rFonts w:eastAsia="Times New Roman"/>
      <w:sz w:val="22"/>
      <w:szCs w:val="20"/>
      <w:lang w:eastAsia="en-US"/>
    </w:rPr>
  </w:style>
  <w:style w:type="character" w:customStyle="1" w:styleId="citebib">
    <w:name w:val="cite_bib"/>
    <w:basedOn w:val="DefaultParagraphFont"/>
    <w:rsid w:val="00C44675"/>
    <w:rPr>
      <w:sz w:val="22"/>
      <w:bdr w:val="none" w:sz="0" w:space="0" w:color="auto"/>
      <w:shd w:val="clear" w:color="auto" w:fill="00FFFF"/>
    </w:rPr>
  </w:style>
  <w:style w:type="character" w:styleId="CommentReference">
    <w:name w:val="annotation reference"/>
    <w:basedOn w:val="DefaultParagraphFont"/>
    <w:uiPriority w:val="99"/>
    <w:semiHidden/>
    <w:unhideWhenUsed/>
    <w:rsid w:val="00166F12"/>
    <w:rPr>
      <w:sz w:val="16"/>
      <w:szCs w:val="16"/>
    </w:rPr>
  </w:style>
  <w:style w:type="paragraph" w:styleId="CommentText">
    <w:name w:val="annotation text"/>
    <w:basedOn w:val="Normal"/>
    <w:link w:val="CommentTextChar"/>
    <w:uiPriority w:val="99"/>
    <w:semiHidden/>
    <w:unhideWhenUsed/>
    <w:rsid w:val="00166F12"/>
    <w:rPr>
      <w:sz w:val="20"/>
      <w:szCs w:val="20"/>
    </w:rPr>
  </w:style>
  <w:style w:type="character" w:customStyle="1" w:styleId="CommentTextChar">
    <w:name w:val="Comment Text Char"/>
    <w:basedOn w:val="DefaultParagraphFont"/>
    <w:link w:val="CommentText"/>
    <w:uiPriority w:val="99"/>
    <w:semiHidden/>
    <w:rsid w:val="00166F12"/>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66F12"/>
    <w:rPr>
      <w:b/>
      <w:bCs/>
    </w:rPr>
  </w:style>
  <w:style w:type="character" w:customStyle="1" w:styleId="CommentSubjectChar">
    <w:name w:val="Comment Subject Char"/>
    <w:basedOn w:val="CommentTextChar"/>
    <w:link w:val="CommentSubject"/>
    <w:uiPriority w:val="99"/>
    <w:semiHidden/>
    <w:rsid w:val="00166F12"/>
    <w:rPr>
      <w:rFonts w:ascii="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AA193F"/>
    <w:rPr>
      <w:color w:val="800080" w:themeColor="followedHyperlink"/>
      <w:u w:val="single"/>
    </w:rPr>
  </w:style>
  <w:style w:type="character" w:customStyle="1" w:styleId="bibdoi">
    <w:name w:val="bib_doi"/>
    <w:basedOn w:val="DefaultParagraphFont"/>
    <w:rsid w:val="001B1BD3"/>
    <w:rPr>
      <w:sz w:val="20"/>
      <w:bdr w:val="none" w:sz="0" w:space="0" w:color="auto"/>
      <w:shd w:val="clear" w:color="auto" w:fill="00FF00"/>
    </w:rPr>
  </w:style>
  <w:style w:type="paragraph" w:styleId="Header">
    <w:name w:val="header"/>
    <w:basedOn w:val="Normal"/>
    <w:link w:val="HeaderChar"/>
    <w:uiPriority w:val="99"/>
    <w:unhideWhenUsed/>
    <w:rsid w:val="00765DD3"/>
    <w:pPr>
      <w:tabs>
        <w:tab w:val="center" w:pos="4513"/>
        <w:tab w:val="right" w:pos="9026"/>
      </w:tabs>
    </w:pPr>
  </w:style>
  <w:style w:type="character" w:customStyle="1" w:styleId="HeaderChar">
    <w:name w:val="Header Char"/>
    <w:basedOn w:val="DefaultParagraphFont"/>
    <w:link w:val="Header"/>
    <w:uiPriority w:val="99"/>
    <w:rsid w:val="00765DD3"/>
    <w:rPr>
      <w:rFonts w:ascii="Times New Roman" w:hAnsi="Times New Roman" w:cs="Times New Roman"/>
      <w:sz w:val="24"/>
      <w:szCs w:val="24"/>
      <w:lang w:eastAsia="en-AU"/>
    </w:rPr>
  </w:style>
  <w:style w:type="paragraph" w:styleId="Footer">
    <w:name w:val="footer"/>
    <w:basedOn w:val="Normal"/>
    <w:link w:val="FooterChar"/>
    <w:uiPriority w:val="99"/>
    <w:unhideWhenUsed/>
    <w:rsid w:val="00765DD3"/>
    <w:pPr>
      <w:tabs>
        <w:tab w:val="center" w:pos="4513"/>
        <w:tab w:val="right" w:pos="9026"/>
      </w:tabs>
    </w:pPr>
  </w:style>
  <w:style w:type="character" w:customStyle="1" w:styleId="FooterChar">
    <w:name w:val="Footer Char"/>
    <w:basedOn w:val="DefaultParagraphFont"/>
    <w:link w:val="Footer"/>
    <w:uiPriority w:val="99"/>
    <w:rsid w:val="00765DD3"/>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D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024"/>
    <w:pPr>
      <w:ind w:left="720"/>
      <w:contextualSpacing/>
    </w:pPr>
  </w:style>
  <w:style w:type="character" w:styleId="Hyperlink">
    <w:name w:val="Hyperlink"/>
    <w:basedOn w:val="DefaultParagraphFont"/>
    <w:uiPriority w:val="99"/>
    <w:unhideWhenUsed/>
    <w:rsid w:val="00D0657E"/>
    <w:rPr>
      <w:color w:val="0000FF"/>
      <w:u w:val="single"/>
    </w:rPr>
  </w:style>
  <w:style w:type="character" w:customStyle="1" w:styleId="apple-converted-space">
    <w:name w:val="apple-converted-space"/>
    <w:basedOn w:val="DefaultParagraphFont"/>
    <w:rsid w:val="00D0657E"/>
  </w:style>
  <w:style w:type="character" w:styleId="Emphasis">
    <w:name w:val="Emphasis"/>
    <w:basedOn w:val="DefaultParagraphFont"/>
    <w:uiPriority w:val="20"/>
    <w:qFormat/>
    <w:rsid w:val="00337A83"/>
    <w:rPr>
      <w:i/>
      <w:iCs/>
    </w:rPr>
  </w:style>
  <w:style w:type="paragraph" w:styleId="BalloonText">
    <w:name w:val="Balloon Text"/>
    <w:basedOn w:val="Normal"/>
    <w:link w:val="BalloonTextChar"/>
    <w:uiPriority w:val="99"/>
    <w:semiHidden/>
    <w:unhideWhenUsed/>
    <w:rsid w:val="00D15F09"/>
    <w:rPr>
      <w:rFonts w:ascii="Tahoma" w:hAnsi="Tahoma" w:cs="Tahoma"/>
      <w:sz w:val="16"/>
      <w:szCs w:val="16"/>
    </w:rPr>
  </w:style>
  <w:style w:type="character" w:customStyle="1" w:styleId="BalloonTextChar">
    <w:name w:val="Balloon Text Char"/>
    <w:basedOn w:val="DefaultParagraphFont"/>
    <w:link w:val="BalloonText"/>
    <w:uiPriority w:val="99"/>
    <w:semiHidden/>
    <w:rsid w:val="00D15F09"/>
    <w:rPr>
      <w:rFonts w:ascii="Tahoma" w:hAnsi="Tahoma" w:cs="Tahoma"/>
      <w:sz w:val="16"/>
      <w:szCs w:val="16"/>
      <w:lang w:eastAsia="en-AU"/>
    </w:rPr>
  </w:style>
  <w:style w:type="paragraph" w:customStyle="1" w:styleId="Para">
    <w:name w:val="Para"/>
    <w:basedOn w:val="Normal"/>
    <w:rsid w:val="006C77D9"/>
    <w:pPr>
      <w:spacing w:before="120" w:line="360" w:lineRule="auto"/>
      <w:ind w:firstLine="230"/>
    </w:pPr>
    <w:rPr>
      <w:rFonts w:eastAsia="Times New Roman"/>
      <w:sz w:val="22"/>
      <w:szCs w:val="20"/>
      <w:lang w:eastAsia="en-US"/>
    </w:rPr>
  </w:style>
  <w:style w:type="character" w:customStyle="1" w:styleId="citebib">
    <w:name w:val="cite_bib"/>
    <w:basedOn w:val="DefaultParagraphFont"/>
    <w:rsid w:val="00C44675"/>
    <w:rPr>
      <w:sz w:val="22"/>
      <w:bdr w:val="none" w:sz="0" w:space="0" w:color="auto"/>
      <w:shd w:val="clear" w:color="auto" w:fill="00FFFF"/>
    </w:rPr>
  </w:style>
  <w:style w:type="character" w:styleId="CommentReference">
    <w:name w:val="annotation reference"/>
    <w:basedOn w:val="DefaultParagraphFont"/>
    <w:uiPriority w:val="99"/>
    <w:semiHidden/>
    <w:unhideWhenUsed/>
    <w:rsid w:val="00166F12"/>
    <w:rPr>
      <w:sz w:val="16"/>
      <w:szCs w:val="16"/>
    </w:rPr>
  </w:style>
  <w:style w:type="paragraph" w:styleId="CommentText">
    <w:name w:val="annotation text"/>
    <w:basedOn w:val="Normal"/>
    <w:link w:val="CommentTextChar"/>
    <w:uiPriority w:val="99"/>
    <w:semiHidden/>
    <w:unhideWhenUsed/>
    <w:rsid w:val="00166F12"/>
    <w:rPr>
      <w:sz w:val="20"/>
      <w:szCs w:val="20"/>
    </w:rPr>
  </w:style>
  <w:style w:type="character" w:customStyle="1" w:styleId="CommentTextChar">
    <w:name w:val="Comment Text Char"/>
    <w:basedOn w:val="DefaultParagraphFont"/>
    <w:link w:val="CommentText"/>
    <w:uiPriority w:val="99"/>
    <w:semiHidden/>
    <w:rsid w:val="00166F12"/>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66F12"/>
    <w:rPr>
      <w:b/>
      <w:bCs/>
    </w:rPr>
  </w:style>
  <w:style w:type="character" w:customStyle="1" w:styleId="CommentSubjectChar">
    <w:name w:val="Comment Subject Char"/>
    <w:basedOn w:val="CommentTextChar"/>
    <w:link w:val="CommentSubject"/>
    <w:uiPriority w:val="99"/>
    <w:semiHidden/>
    <w:rsid w:val="00166F12"/>
    <w:rPr>
      <w:rFonts w:ascii="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AA193F"/>
    <w:rPr>
      <w:color w:val="800080" w:themeColor="followedHyperlink"/>
      <w:u w:val="single"/>
    </w:rPr>
  </w:style>
  <w:style w:type="character" w:customStyle="1" w:styleId="bibdoi">
    <w:name w:val="bib_doi"/>
    <w:basedOn w:val="DefaultParagraphFont"/>
    <w:rsid w:val="001B1BD3"/>
    <w:rPr>
      <w:sz w:val="20"/>
      <w:bdr w:val="none" w:sz="0" w:space="0" w:color="auto"/>
      <w:shd w:val="clear" w:color="auto" w:fill="00FF00"/>
    </w:rPr>
  </w:style>
  <w:style w:type="paragraph" w:styleId="Header">
    <w:name w:val="header"/>
    <w:basedOn w:val="Normal"/>
    <w:link w:val="HeaderChar"/>
    <w:uiPriority w:val="99"/>
    <w:unhideWhenUsed/>
    <w:rsid w:val="00765DD3"/>
    <w:pPr>
      <w:tabs>
        <w:tab w:val="center" w:pos="4513"/>
        <w:tab w:val="right" w:pos="9026"/>
      </w:tabs>
    </w:pPr>
  </w:style>
  <w:style w:type="character" w:customStyle="1" w:styleId="HeaderChar">
    <w:name w:val="Header Char"/>
    <w:basedOn w:val="DefaultParagraphFont"/>
    <w:link w:val="Header"/>
    <w:uiPriority w:val="99"/>
    <w:rsid w:val="00765DD3"/>
    <w:rPr>
      <w:rFonts w:ascii="Times New Roman" w:hAnsi="Times New Roman" w:cs="Times New Roman"/>
      <w:sz w:val="24"/>
      <w:szCs w:val="24"/>
      <w:lang w:eastAsia="en-AU"/>
    </w:rPr>
  </w:style>
  <w:style w:type="paragraph" w:styleId="Footer">
    <w:name w:val="footer"/>
    <w:basedOn w:val="Normal"/>
    <w:link w:val="FooterChar"/>
    <w:uiPriority w:val="99"/>
    <w:unhideWhenUsed/>
    <w:rsid w:val="00765DD3"/>
    <w:pPr>
      <w:tabs>
        <w:tab w:val="center" w:pos="4513"/>
        <w:tab w:val="right" w:pos="9026"/>
      </w:tabs>
    </w:pPr>
  </w:style>
  <w:style w:type="character" w:customStyle="1" w:styleId="FooterChar">
    <w:name w:val="Footer Char"/>
    <w:basedOn w:val="DefaultParagraphFont"/>
    <w:link w:val="Footer"/>
    <w:uiPriority w:val="99"/>
    <w:rsid w:val="00765DD3"/>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3352">
      <w:bodyDiv w:val="1"/>
      <w:marLeft w:val="0"/>
      <w:marRight w:val="0"/>
      <w:marTop w:val="0"/>
      <w:marBottom w:val="0"/>
      <w:divBdr>
        <w:top w:val="none" w:sz="0" w:space="0" w:color="auto"/>
        <w:left w:val="none" w:sz="0" w:space="0" w:color="auto"/>
        <w:bottom w:val="none" w:sz="0" w:space="0" w:color="auto"/>
        <w:right w:val="none" w:sz="0" w:space="0" w:color="auto"/>
      </w:divBdr>
    </w:div>
    <w:div w:id="12223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bmjopen.bmj.com/content/5/12/e010161.short?rss%253D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dx.doi.org/10.1017/S0950268814003355" TargetMode="External"/><Relationship Id="rId2" Type="http://schemas.openxmlformats.org/officeDocument/2006/relationships/customXml" Target="../customXml/item2.xml"/><Relationship Id="rId16" Type="http://schemas.openxmlformats.org/officeDocument/2006/relationships/hyperlink" Target="http://dx.doi.org/10.1017/S0950268814003355" TargetMode="External"/><Relationship Id="rId20" Type="http://schemas.openxmlformats.org/officeDocument/2006/relationships/hyperlink" Target="http://dx.doi.org/10.1071/AH1603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x.doi.org/10.1111/imj.12540"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bmjopen.bmj.com/content/6/1/e009410.ful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ewm\Dropbox\MT%20-%20unimelb\Hosp%20data%20link%20search\FINAL_Hosp%20data%20linkage%20data_numbers_searchli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15117496578481"/>
          <c:y val="4.0879126486341059E-2"/>
          <c:w val="0.8489460985906806"/>
          <c:h val="0.71120785378352691"/>
        </c:manualLayout>
      </c:layout>
      <c:lineChart>
        <c:grouping val="standard"/>
        <c:varyColors val="0"/>
        <c:ser>
          <c:idx val="2"/>
          <c:order val="0"/>
          <c:tx>
            <c:strRef>
              <c:f>'Main result pub#by state'!$D$4</c:f>
              <c:strCache>
                <c:ptCount val="1"/>
                <c:pt idx="0">
                  <c:v>NSW</c:v>
                </c:pt>
              </c:strCache>
            </c:strRef>
          </c:tx>
          <c:spPr>
            <a:ln>
              <a:solidFill>
                <a:schemeClr val="tx1"/>
              </a:solidFill>
              <a:prstDash val="sysDot"/>
            </a:ln>
          </c:spPr>
          <c:marker>
            <c:symbol val="none"/>
          </c:marker>
          <c:cat>
            <c:numRef>
              <c:f>'Main result pub#by state'!$B$10:$B$29</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'Main result pub#by state'!$D$10:$D$29</c:f>
              <c:numCache>
                <c:formatCode>General</c:formatCode>
                <c:ptCount val="20"/>
                <c:pt idx="0">
                  <c:v>1</c:v>
                </c:pt>
                <c:pt idx="1">
                  <c:v>1</c:v>
                </c:pt>
                <c:pt idx="2">
                  <c:v>0</c:v>
                </c:pt>
                <c:pt idx="3">
                  <c:v>2</c:v>
                </c:pt>
                <c:pt idx="4">
                  <c:v>2</c:v>
                </c:pt>
                <c:pt idx="5">
                  <c:v>1</c:v>
                </c:pt>
                <c:pt idx="6">
                  <c:v>3</c:v>
                </c:pt>
                <c:pt idx="7">
                  <c:v>0</c:v>
                </c:pt>
                <c:pt idx="8">
                  <c:v>2</c:v>
                </c:pt>
                <c:pt idx="9">
                  <c:v>1</c:v>
                </c:pt>
                <c:pt idx="10">
                  <c:v>5</c:v>
                </c:pt>
                <c:pt idx="11">
                  <c:v>6</c:v>
                </c:pt>
                <c:pt idx="12">
                  <c:v>9</c:v>
                </c:pt>
                <c:pt idx="13">
                  <c:v>12</c:v>
                </c:pt>
                <c:pt idx="14">
                  <c:v>13</c:v>
                </c:pt>
                <c:pt idx="15">
                  <c:v>8</c:v>
                </c:pt>
                <c:pt idx="16">
                  <c:v>14</c:v>
                </c:pt>
                <c:pt idx="17">
                  <c:v>33</c:v>
                </c:pt>
                <c:pt idx="18">
                  <c:v>40</c:v>
                </c:pt>
                <c:pt idx="19">
                  <c:v>50</c:v>
                </c:pt>
              </c:numCache>
            </c:numRef>
          </c:val>
          <c:smooth val="0"/>
        </c:ser>
        <c:ser>
          <c:idx val="3"/>
          <c:order val="1"/>
          <c:tx>
            <c:strRef>
              <c:f>'Main result pub#by state'!$E$4</c:f>
              <c:strCache>
                <c:ptCount val="1"/>
                <c:pt idx="0">
                  <c:v>QLD</c:v>
                </c:pt>
              </c:strCache>
            </c:strRef>
          </c:tx>
          <c:spPr>
            <a:ln>
              <a:solidFill>
                <a:schemeClr val="tx1"/>
              </a:solidFill>
              <a:prstDash val="solid"/>
            </a:ln>
          </c:spPr>
          <c:marker>
            <c:symbol val="circle"/>
            <c:size val="5"/>
            <c:spPr>
              <a:solidFill>
                <a:schemeClr val="tx1"/>
              </a:solidFill>
            </c:spPr>
          </c:marker>
          <c:cat>
            <c:numRef>
              <c:f>'Main result pub#by state'!$B$10:$B$29</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'Main result pub#by state'!$E$10:$E$29</c:f>
              <c:numCache>
                <c:formatCode>General</c:formatCode>
                <c:ptCount val="20"/>
                <c:pt idx="0">
                  <c:v>0</c:v>
                </c:pt>
                <c:pt idx="1">
                  <c:v>0</c:v>
                </c:pt>
                <c:pt idx="2">
                  <c:v>0</c:v>
                </c:pt>
                <c:pt idx="3">
                  <c:v>0</c:v>
                </c:pt>
                <c:pt idx="4">
                  <c:v>0</c:v>
                </c:pt>
                <c:pt idx="5">
                  <c:v>0</c:v>
                </c:pt>
                <c:pt idx="6">
                  <c:v>0</c:v>
                </c:pt>
                <c:pt idx="7">
                  <c:v>0</c:v>
                </c:pt>
                <c:pt idx="8">
                  <c:v>0</c:v>
                </c:pt>
                <c:pt idx="9">
                  <c:v>1</c:v>
                </c:pt>
                <c:pt idx="10">
                  <c:v>0</c:v>
                </c:pt>
                <c:pt idx="11">
                  <c:v>2</c:v>
                </c:pt>
                <c:pt idx="12">
                  <c:v>0</c:v>
                </c:pt>
                <c:pt idx="13">
                  <c:v>1</c:v>
                </c:pt>
                <c:pt idx="14">
                  <c:v>3</c:v>
                </c:pt>
                <c:pt idx="15">
                  <c:v>1</c:v>
                </c:pt>
                <c:pt idx="16">
                  <c:v>4</c:v>
                </c:pt>
                <c:pt idx="17">
                  <c:v>4</c:v>
                </c:pt>
                <c:pt idx="18">
                  <c:v>5</c:v>
                </c:pt>
                <c:pt idx="19">
                  <c:v>4</c:v>
                </c:pt>
              </c:numCache>
            </c:numRef>
          </c:val>
          <c:smooth val="0"/>
        </c:ser>
        <c:ser>
          <c:idx val="4"/>
          <c:order val="2"/>
          <c:tx>
            <c:strRef>
              <c:f>'Main result pub#by state'!$F$4</c:f>
              <c:strCache>
                <c:ptCount val="1"/>
                <c:pt idx="0">
                  <c:v>SA/NT</c:v>
                </c:pt>
              </c:strCache>
            </c:strRef>
          </c:tx>
          <c:spPr>
            <a:ln>
              <a:solidFill>
                <a:schemeClr val="tx1"/>
              </a:solidFill>
              <a:prstDash val="dashDot"/>
            </a:ln>
          </c:spPr>
          <c:marker>
            <c:symbol val="none"/>
          </c:marker>
          <c:cat>
            <c:numRef>
              <c:f>'Main result pub#by state'!$B$10:$B$29</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'Main result pub#by state'!$F$10:$F$29</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3</c:v>
                </c:pt>
                <c:pt idx="14">
                  <c:v>2</c:v>
                </c:pt>
                <c:pt idx="15">
                  <c:v>1</c:v>
                </c:pt>
                <c:pt idx="16">
                  <c:v>5</c:v>
                </c:pt>
                <c:pt idx="17">
                  <c:v>5</c:v>
                </c:pt>
                <c:pt idx="18">
                  <c:v>6</c:v>
                </c:pt>
                <c:pt idx="19">
                  <c:v>2</c:v>
                </c:pt>
              </c:numCache>
            </c:numRef>
          </c:val>
          <c:smooth val="0"/>
        </c:ser>
        <c:ser>
          <c:idx val="6"/>
          <c:order val="3"/>
          <c:tx>
            <c:strRef>
              <c:f>'Main result pub#by state'!$H$4</c:f>
              <c:strCache>
                <c:ptCount val="1"/>
                <c:pt idx="0">
                  <c:v>VIC</c:v>
                </c:pt>
              </c:strCache>
            </c:strRef>
          </c:tx>
          <c:spPr>
            <a:ln>
              <a:solidFill>
                <a:schemeClr val="bg1">
                  <a:lumMod val="65000"/>
                </a:schemeClr>
              </a:solidFill>
            </a:ln>
          </c:spPr>
          <c:marker>
            <c:symbol val="triangle"/>
            <c:size val="5"/>
            <c:spPr>
              <a:solidFill>
                <a:schemeClr val="bg1">
                  <a:lumMod val="65000"/>
                </a:schemeClr>
              </a:solidFill>
            </c:spPr>
          </c:marker>
          <c:cat>
            <c:numRef>
              <c:f>'Main result pub#by state'!$B$10:$B$29</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'Main result pub#by state'!$H$10:$H$29</c:f>
              <c:numCache>
                <c:formatCode>General</c:formatCode>
                <c:ptCount val="20"/>
                <c:pt idx="0">
                  <c:v>1</c:v>
                </c:pt>
                <c:pt idx="1">
                  <c:v>2</c:v>
                </c:pt>
                <c:pt idx="2">
                  <c:v>0</c:v>
                </c:pt>
                <c:pt idx="3">
                  <c:v>0</c:v>
                </c:pt>
                <c:pt idx="4">
                  <c:v>1</c:v>
                </c:pt>
                <c:pt idx="5">
                  <c:v>1</c:v>
                </c:pt>
                <c:pt idx="6">
                  <c:v>0</c:v>
                </c:pt>
                <c:pt idx="7">
                  <c:v>1</c:v>
                </c:pt>
                <c:pt idx="8">
                  <c:v>0</c:v>
                </c:pt>
                <c:pt idx="9">
                  <c:v>0</c:v>
                </c:pt>
                <c:pt idx="10">
                  <c:v>0</c:v>
                </c:pt>
                <c:pt idx="11">
                  <c:v>4</c:v>
                </c:pt>
                <c:pt idx="12">
                  <c:v>2</c:v>
                </c:pt>
                <c:pt idx="13">
                  <c:v>4</c:v>
                </c:pt>
                <c:pt idx="14">
                  <c:v>3</c:v>
                </c:pt>
                <c:pt idx="15">
                  <c:v>4</c:v>
                </c:pt>
                <c:pt idx="16">
                  <c:v>7</c:v>
                </c:pt>
                <c:pt idx="17">
                  <c:v>7</c:v>
                </c:pt>
                <c:pt idx="18">
                  <c:v>8</c:v>
                </c:pt>
                <c:pt idx="19">
                  <c:v>3</c:v>
                </c:pt>
              </c:numCache>
            </c:numRef>
          </c:val>
          <c:smooth val="0"/>
        </c:ser>
        <c:ser>
          <c:idx val="7"/>
          <c:order val="4"/>
          <c:tx>
            <c:strRef>
              <c:f>'Main result pub#by state'!$I$4</c:f>
              <c:strCache>
                <c:ptCount val="1"/>
                <c:pt idx="0">
                  <c:v>WA</c:v>
                </c:pt>
              </c:strCache>
            </c:strRef>
          </c:tx>
          <c:spPr>
            <a:ln>
              <a:solidFill>
                <a:schemeClr val="tx1"/>
              </a:solidFill>
              <a:prstDash val="dash"/>
            </a:ln>
          </c:spPr>
          <c:marker>
            <c:symbol val="none"/>
          </c:marker>
          <c:cat>
            <c:numRef>
              <c:f>'Main result pub#by state'!$B$10:$B$29</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'Main result pub#by state'!$I$10:$I$29</c:f>
              <c:numCache>
                <c:formatCode>General</c:formatCode>
                <c:ptCount val="20"/>
                <c:pt idx="0">
                  <c:v>1</c:v>
                </c:pt>
                <c:pt idx="1">
                  <c:v>3</c:v>
                </c:pt>
                <c:pt idx="2">
                  <c:v>0</c:v>
                </c:pt>
                <c:pt idx="3">
                  <c:v>3</c:v>
                </c:pt>
                <c:pt idx="4">
                  <c:v>6</c:v>
                </c:pt>
                <c:pt idx="5">
                  <c:v>5</c:v>
                </c:pt>
                <c:pt idx="6">
                  <c:v>3</c:v>
                </c:pt>
                <c:pt idx="7">
                  <c:v>8</c:v>
                </c:pt>
                <c:pt idx="8">
                  <c:v>15</c:v>
                </c:pt>
                <c:pt idx="9">
                  <c:v>18</c:v>
                </c:pt>
                <c:pt idx="10">
                  <c:v>14</c:v>
                </c:pt>
                <c:pt idx="11">
                  <c:v>16</c:v>
                </c:pt>
                <c:pt idx="12">
                  <c:v>24</c:v>
                </c:pt>
                <c:pt idx="13">
                  <c:v>21</c:v>
                </c:pt>
                <c:pt idx="14">
                  <c:v>22</c:v>
                </c:pt>
                <c:pt idx="15">
                  <c:v>29</c:v>
                </c:pt>
                <c:pt idx="16">
                  <c:v>28</c:v>
                </c:pt>
                <c:pt idx="17">
                  <c:v>25</c:v>
                </c:pt>
                <c:pt idx="18">
                  <c:v>41</c:v>
                </c:pt>
                <c:pt idx="19">
                  <c:v>33</c:v>
                </c:pt>
              </c:numCache>
            </c:numRef>
          </c:val>
          <c:smooth val="0"/>
        </c:ser>
        <c:dLbls>
          <c:showLegendKey val="0"/>
          <c:showVal val="0"/>
          <c:showCatName val="0"/>
          <c:showSerName val="0"/>
          <c:showPercent val="0"/>
          <c:showBubbleSize val="0"/>
        </c:dLbls>
        <c:marker val="1"/>
        <c:smooth val="0"/>
        <c:axId val="198608000"/>
        <c:axId val="198609920"/>
      </c:lineChart>
      <c:catAx>
        <c:axId val="198608000"/>
        <c:scaling>
          <c:orientation val="minMax"/>
        </c:scaling>
        <c:delete val="0"/>
        <c:axPos val="b"/>
        <c:title>
          <c:tx>
            <c:rich>
              <a:bodyPr/>
              <a:lstStyle/>
              <a:p>
                <a:pPr>
                  <a:defRPr sz="800">
                    <a:latin typeface="Arial" panose="020B0604020202020204" pitchFamily="34" charset="0"/>
                    <a:cs typeface="Arial" panose="020B0604020202020204" pitchFamily="34" charset="0"/>
                  </a:defRPr>
                </a:pPr>
                <a:r>
                  <a:rPr lang="en-US" sz="800">
                    <a:latin typeface="Arial" panose="020B0604020202020204" pitchFamily="34" charset="0"/>
                    <a:cs typeface="Arial" panose="020B0604020202020204" pitchFamily="34" charset="0"/>
                  </a:rPr>
                  <a:t>Year</a:t>
                </a:r>
              </a:p>
            </c:rich>
          </c:tx>
          <c:layout/>
          <c:overlay val="0"/>
        </c:title>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98609920"/>
        <c:crosses val="autoZero"/>
        <c:auto val="1"/>
        <c:lblAlgn val="ctr"/>
        <c:lblOffset val="100"/>
        <c:noMultiLvlLbl val="0"/>
      </c:catAx>
      <c:valAx>
        <c:axId val="198609920"/>
        <c:scaling>
          <c:orientation val="minMax"/>
        </c:scaling>
        <c:delete val="0"/>
        <c:axPos val="l"/>
        <c:majorGridlines/>
        <c:title>
          <c:tx>
            <c:rich>
              <a:bodyPr rot="-5400000" vert="horz"/>
              <a:lstStyle/>
              <a:p>
                <a:pPr>
                  <a:defRPr sz="800">
                    <a:latin typeface="Arial" panose="020B0604020202020204" pitchFamily="34" charset="0"/>
                    <a:cs typeface="Arial" panose="020B0604020202020204" pitchFamily="34" charset="0"/>
                  </a:defRPr>
                </a:pPr>
                <a:r>
                  <a:rPr lang="en-US" sz="800">
                    <a:latin typeface="Arial" panose="020B0604020202020204" pitchFamily="34" charset="0"/>
                    <a:cs typeface="Arial" panose="020B0604020202020204" pitchFamily="34" charset="0"/>
                  </a:rPr>
                  <a:t>Number of publications</a:t>
                </a:r>
              </a:p>
            </c:rich>
          </c:tx>
          <c:layout/>
          <c:overlay val="0"/>
        </c:title>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98608000"/>
        <c:crosses val="autoZero"/>
        <c:crossBetween val="between"/>
      </c:valAx>
    </c:plotArea>
    <c:legend>
      <c:legendPos val="r"/>
      <c:layout>
        <c:manualLayout>
          <c:xMode val="edge"/>
          <c:yMode val="edge"/>
          <c:x val="0.11544322827557767"/>
          <c:y val="6.2424729839193678E-2"/>
          <c:w val="0.74602821522309715"/>
          <c:h val="8.8421745995207066E-2"/>
        </c:manualLayout>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0.08594</cdr:x>
      <cdr:y>0.87036</cdr:y>
    </cdr:from>
    <cdr:to>
      <cdr:x>0.93722</cdr:x>
      <cdr:y>0.98395</cdr:y>
    </cdr:to>
    <cdr:sp macro="" textlink="">
      <cdr:nvSpPr>
        <cdr:cNvPr id="2" name="TextBox 1"/>
        <cdr:cNvSpPr txBox="1"/>
      </cdr:nvSpPr>
      <cdr:spPr>
        <a:xfrm xmlns:a="http://schemas.openxmlformats.org/drawingml/2006/main">
          <a:off x="429426" y="3183432"/>
          <a:ext cx="4253689" cy="4154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effectLst/>
              <a:latin typeface="Arial" panose="020B0604020202020204" pitchFamily="34" charset="0"/>
              <a:ea typeface="+mn-ea"/>
              <a:cs typeface="Arial" panose="020B0604020202020204" pitchFamily="34" charset="0"/>
            </a:rPr>
            <a:t>*ACT and Tasmania had  a total of</a:t>
          </a:r>
          <a:r>
            <a:rPr lang="en-AU" sz="800" baseline="0">
              <a:effectLst/>
              <a:latin typeface="Arial" panose="020B0604020202020204" pitchFamily="34" charset="0"/>
              <a:ea typeface="+mn-ea"/>
              <a:cs typeface="Arial" panose="020B0604020202020204" pitchFamily="34" charset="0"/>
            </a:rPr>
            <a:t> </a:t>
          </a:r>
          <a:r>
            <a:rPr lang="en-AU" sz="800">
              <a:effectLst/>
              <a:latin typeface="Arial" panose="020B0604020202020204" pitchFamily="34" charset="0"/>
              <a:ea typeface="+mn-ea"/>
              <a:cs typeface="Arial" panose="020B0604020202020204" pitchFamily="34" charset="0"/>
            </a:rPr>
            <a:t>3</a:t>
          </a:r>
          <a:r>
            <a:rPr lang="en-AU" sz="800" baseline="0">
              <a:effectLst/>
              <a:latin typeface="Arial" panose="020B0604020202020204" pitchFamily="34" charset="0"/>
              <a:ea typeface="+mn-ea"/>
              <a:cs typeface="Arial" panose="020B0604020202020204" pitchFamily="34" charset="0"/>
            </a:rPr>
            <a:t> and 4 publications respectively over the years hence were not represented on the graph. Source: Australian Health Review (6)</a:t>
          </a:r>
          <a:endParaRPr lang="en-AU" sz="800">
            <a:effectLst/>
            <a:latin typeface="Arial" panose="020B0604020202020204" pitchFamily="34" charset="0"/>
            <a:cs typeface="Arial" panose="020B0604020202020204" pitchFamily="34" charset="0"/>
          </a:endParaRPr>
        </a:p>
        <a:p xmlns:a="http://schemas.openxmlformats.org/drawingml/2006/main">
          <a:endParaRPr lang="en-AU"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93851E5-CA3E-4DDE-A3E5-75D86B608598}">
  <ds:schemaRefs>
    <ds:schemaRef ds:uri="http://schemas.microsoft.com/office/2006/metadata/customXsn"/>
  </ds:schemaRefs>
</ds:datastoreItem>
</file>

<file path=customXml/itemProps2.xml><?xml version="1.0" encoding="utf-8"?>
<ds:datastoreItem xmlns:ds="http://schemas.openxmlformats.org/officeDocument/2006/customXml" ds:itemID="{EACEABAE-7C4F-491F-8A84-F5F281488BEC}">
  <ds:schemaRefs>
    <ds:schemaRef ds:uri="Microsoft.SharePoint.Taxonomy.ContentTypeSync"/>
  </ds:schemaRefs>
</ds:datastoreItem>
</file>

<file path=customXml/itemProps3.xml><?xml version="1.0" encoding="utf-8"?>
<ds:datastoreItem xmlns:ds="http://schemas.openxmlformats.org/officeDocument/2006/customXml" ds:itemID="{08B4D4A5-8F11-42CF-BD32-57ED162899FB}">
  <ds:schemaRefs>
    <ds:schemaRef ds:uri="http://purl.org/dc/terms/"/>
    <ds:schemaRef ds:uri="http://purl.org/dc/dcmitype/"/>
    <ds:schemaRef ds:uri="8044c801-d84b-4ee1-a77e-678f8dcdee17"/>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3f4bcce7-ac1a-4c9d-aa3e-7e77695652d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A5DE74-9FD3-4B64-89C5-59879A823FB0}">
  <ds:schemaRefs>
    <ds:schemaRef ds:uri="http://schemas.microsoft.com/sharepoint/v3/contenttype/forms"/>
  </ds:schemaRefs>
</ds:datastoreItem>
</file>

<file path=customXml/itemProps5.xml><?xml version="1.0" encoding="utf-8"?>
<ds:datastoreItem xmlns:ds="http://schemas.openxmlformats.org/officeDocument/2006/customXml" ds:itemID="{ADB8CD43-888E-427D-8051-FCE2283AD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2959C2-707C-41E2-9AEA-B9C77EE8A0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79 - University of Melbourne - Data Availability and Use - Public inquiry</vt:lpstr>
    </vt:vector>
  </TitlesOfParts>
  <Company>University of Melbourne</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79 - University of Melbourne - Data Availability and Use - Public inquiry</dc:title>
  <dc:creator>University of Melbourne</dc:creator>
  <cp:keywords/>
  <cp:lastModifiedBy>Productivity Commission</cp:lastModifiedBy>
  <cp:revision>3</cp:revision>
  <dcterms:created xsi:type="dcterms:W3CDTF">2016-07-29T04:20:00Z</dcterms:created>
  <dcterms:modified xsi:type="dcterms:W3CDTF">2016-08-02T03:52:00Z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10500</vt:r8>
  </property>
  <property fmtid="{D5CDD505-2E9C-101B-9397-08002B2CF9AE}" pid="4" name="TaxKeyword">
    <vt:lpwstr/>
  </property>
  <property fmtid="{D5CDD505-2E9C-101B-9397-08002B2CF9AE}" pid="5" name="Record Tag">
    <vt:lpwstr>139;#Submissions|c6e0dbf8-5444-433c-844d-d567dd519a05</vt:lpwstr>
  </property>
</Properties>
</file>