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C36BEC" w14:textId="0410092A" w:rsidR="00F05930" w:rsidRDefault="00F05930" w:rsidP="00A740AF">
      <w:pPr>
        <w:spacing w:line="276" w:lineRule="auto"/>
        <w:rPr>
          <w:rFonts w:asciiTheme="majorHAnsi" w:hAnsiTheme="majorHAnsi"/>
          <w:b/>
          <w:bCs/>
          <w:color w:val="6D3291"/>
          <w:sz w:val="8"/>
          <w:szCs w:val="44"/>
          <w:lang w:val="en-AU"/>
        </w:rPr>
      </w:pPr>
    </w:p>
    <w:p w14:paraId="763C4E38" w14:textId="0291C2DE" w:rsidR="00F05930" w:rsidRDefault="00F05930" w:rsidP="00A740AF">
      <w:pPr>
        <w:spacing w:line="276" w:lineRule="auto"/>
        <w:rPr>
          <w:rFonts w:asciiTheme="majorHAnsi" w:hAnsiTheme="majorHAnsi"/>
          <w:b/>
          <w:bCs/>
          <w:color w:val="6D3291"/>
          <w:sz w:val="8"/>
          <w:szCs w:val="44"/>
          <w:lang w:val="en-AU"/>
        </w:rPr>
      </w:pPr>
    </w:p>
    <w:p w14:paraId="2CED7054" w14:textId="77777777" w:rsidR="00F05930" w:rsidRDefault="00F05930" w:rsidP="00A740AF">
      <w:pPr>
        <w:spacing w:line="276" w:lineRule="auto"/>
        <w:rPr>
          <w:rFonts w:asciiTheme="majorHAnsi" w:hAnsiTheme="majorHAnsi"/>
          <w:b/>
          <w:bCs/>
          <w:color w:val="6D3291"/>
          <w:sz w:val="8"/>
          <w:szCs w:val="44"/>
          <w:lang w:val="en-AU"/>
        </w:rPr>
      </w:pPr>
    </w:p>
    <w:p w14:paraId="4F62B531" w14:textId="2605B673" w:rsidR="004A614B" w:rsidRPr="00A740AF" w:rsidRDefault="00987AD8" w:rsidP="00A740AF">
      <w:pPr>
        <w:spacing w:line="276" w:lineRule="auto"/>
        <w:rPr>
          <w:rFonts w:ascii="Bahnschrift" w:hAnsi="Bahnschrift"/>
          <w:b/>
          <w:bCs/>
          <w:color w:val="6D3291"/>
          <w:sz w:val="52"/>
          <w:szCs w:val="44"/>
        </w:rPr>
      </w:pPr>
      <w:r>
        <w:rPr>
          <w:rFonts w:ascii="Bahnschrift" w:hAnsi="Bahnschrift"/>
          <w:b/>
          <w:bCs/>
          <w:color w:val="6D3291"/>
          <w:sz w:val="52"/>
          <w:szCs w:val="44"/>
        </w:rPr>
        <w:t>PRODUCTIVITY COMMISSION</w:t>
      </w:r>
      <w:r>
        <w:rPr>
          <w:rFonts w:ascii="Bahnschrift" w:hAnsi="Bahnschrift"/>
          <w:b/>
          <w:bCs/>
          <w:color w:val="6D3291"/>
          <w:sz w:val="52"/>
          <w:szCs w:val="44"/>
        </w:rPr>
        <w:br/>
        <w:t>DRAFT REPORT</w:t>
      </w:r>
    </w:p>
    <w:p w14:paraId="18CDE575" w14:textId="52693996" w:rsidR="00987AD8" w:rsidRPr="00A740AF" w:rsidRDefault="00987AD8" w:rsidP="00987AD8">
      <w:pPr>
        <w:spacing w:line="276" w:lineRule="auto"/>
        <w:rPr>
          <w:rFonts w:ascii="Bahnschrift Light" w:hAnsi="Bahnschrift Light"/>
          <w:bCs/>
          <w:color w:val="6D3291"/>
          <w:sz w:val="52"/>
          <w:szCs w:val="44"/>
        </w:rPr>
      </w:pPr>
      <w:r>
        <w:rPr>
          <w:rFonts w:ascii="Bahnschrift Light" w:hAnsi="Bahnschrift Light"/>
          <w:bCs/>
          <w:color w:val="6D3291"/>
          <w:sz w:val="52"/>
          <w:szCs w:val="44"/>
        </w:rPr>
        <w:t xml:space="preserve">COMPENSATION AND </w:t>
      </w:r>
      <w:r w:rsidR="00F05930">
        <w:rPr>
          <w:rFonts w:ascii="Bahnschrift Light" w:hAnsi="Bahnschrift Light"/>
          <w:bCs/>
          <w:color w:val="6D3291"/>
          <w:sz w:val="52"/>
          <w:szCs w:val="44"/>
        </w:rPr>
        <w:br/>
      </w:r>
      <w:r>
        <w:rPr>
          <w:rFonts w:ascii="Bahnschrift Light" w:hAnsi="Bahnschrift Light"/>
          <w:bCs/>
          <w:color w:val="6D3291"/>
          <w:sz w:val="52"/>
          <w:szCs w:val="44"/>
        </w:rPr>
        <w:t xml:space="preserve">REHABILITATION FOR </w:t>
      </w:r>
      <w:r w:rsidR="00F05930">
        <w:rPr>
          <w:rFonts w:ascii="Bahnschrift Light" w:hAnsi="Bahnschrift Light"/>
          <w:bCs/>
          <w:color w:val="6D3291"/>
          <w:sz w:val="52"/>
          <w:szCs w:val="44"/>
        </w:rPr>
        <w:br/>
      </w:r>
      <w:r>
        <w:rPr>
          <w:rFonts w:ascii="Bahnschrift Light" w:hAnsi="Bahnschrift Light"/>
          <w:bCs/>
          <w:color w:val="6D3291"/>
          <w:sz w:val="52"/>
          <w:szCs w:val="44"/>
        </w:rPr>
        <w:t>VETERANS</w:t>
      </w:r>
    </w:p>
    <w:p w14:paraId="5006769B" w14:textId="3F05D436" w:rsidR="00C93C37" w:rsidRDefault="00C93C37" w:rsidP="00A740AF">
      <w:pPr>
        <w:spacing w:line="276" w:lineRule="auto"/>
        <w:rPr>
          <w:rFonts w:asciiTheme="majorHAnsi" w:hAnsiTheme="majorHAnsi"/>
          <w:bCs/>
          <w:color w:val="6D3291"/>
          <w:sz w:val="40"/>
          <w:szCs w:val="44"/>
        </w:rPr>
      </w:pPr>
    </w:p>
    <w:p w14:paraId="3F4D780C" w14:textId="1A8B7B64" w:rsidR="00832EFE" w:rsidRPr="002B4DEE" w:rsidRDefault="004A614B" w:rsidP="00A740AF">
      <w:pPr>
        <w:spacing w:line="276" w:lineRule="auto"/>
        <w:rPr>
          <w:rFonts w:ascii="Bahnschrift" w:hAnsi="Bahnschrift"/>
          <w:b/>
          <w:bCs/>
          <w:color w:val="6D3291"/>
          <w:sz w:val="52"/>
          <w:szCs w:val="44"/>
        </w:rPr>
      </w:pPr>
      <w:r w:rsidRPr="002B4DEE">
        <w:rPr>
          <w:rFonts w:ascii="Bahnschrift" w:hAnsi="Bahnschrift"/>
          <w:b/>
          <w:bCs/>
          <w:color w:val="6D3291"/>
          <w:sz w:val="52"/>
          <w:szCs w:val="44"/>
        </w:rPr>
        <w:t>Febru</w:t>
      </w:r>
      <w:r w:rsidR="008118E6" w:rsidRPr="002B4DEE">
        <w:rPr>
          <w:rFonts w:ascii="Bahnschrift" w:hAnsi="Bahnschrift"/>
          <w:b/>
          <w:bCs/>
          <w:color w:val="6D3291"/>
          <w:sz w:val="52"/>
          <w:szCs w:val="44"/>
        </w:rPr>
        <w:t>ary</w:t>
      </w:r>
      <w:r w:rsidR="00832EFE" w:rsidRPr="002B4DEE">
        <w:rPr>
          <w:rFonts w:ascii="Bahnschrift" w:hAnsi="Bahnschrift"/>
          <w:b/>
          <w:bCs/>
          <w:color w:val="6D3291"/>
          <w:sz w:val="52"/>
          <w:szCs w:val="44"/>
        </w:rPr>
        <w:t xml:space="preserve"> 201</w:t>
      </w:r>
      <w:r w:rsidR="008118E6" w:rsidRPr="002B4DEE">
        <w:rPr>
          <w:rFonts w:ascii="Bahnschrift" w:hAnsi="Bahnschrift"/>
          <w:b/>
          <w:bCs/>
          <w:color w:val="6D3291"/>
          <w:sz w:val="52"/>
          <w:szCs w:val="44"/>
        </w:rPr>
        <w:t>9</w:t>
      </w:r>
    </w:p>
    <w:p w14:paraId="3F4D780D" w14:textId="77777777" w:rsidR="00832EFE" w:rsidRDefault="00832EFE" w:rsidP="00A740AF">
      <w:pPr>
        <w:pStyle w:val="Heading2"/>
        <w:shd w:val="clear" w:color="auto" w:fill="FFFFFF"/>
        <w:spacing w:before="0" w:beforeAutospacing="0" w:after="0" w:afterAutospacing="0" w:line="276" w:lineRule="auto"/>
        <w:rPr>
          <w:rFonts w:asciiTheme="minorHAnsi" w:hAnsiTheme="minorHAnsi" w:cs="Helvetica"/>
          <w:b w:val="0"/>
          <w:bCs w:val="0"/>
          <w:color w:val="9E2062"/>
          <w:kern w:val="36"/>
          <w:sz w:val="44"/>
          <w:szCs w:val="28"/>
        </w:rPr>
      </w:pPr>
    </w:p>
    <w:p w14:paraId="2EC0F7B3" w14:textId="3BEB501D" w:rsidR="007E0742" w:rsidRDefault="007E0742" w:rsidP="00A740AF">
      <w:pPr>
        <w:spacing w:line="276" w:lineRule="auto"/>
        <w:rPr>
          <w:rFonts w:asciiTheme="majorHAnsi" w:hAnsiTheme="majorHAnsi" w:cstheme="majorHAnsi"/>
          <w:color w:val="404040" w:themeColor="text1" w:themeTint="BF"/>
          <w:sz w:val="22"/>
        </w:rPr>
      </w:pPr>
    </w:p>
    <w:p w14:paraId="4D6D4A51" w14:textId="74C8E0D6" w:rsidR="007E0742" w:rsidRDefault="007E0742" w:rsidP="00A740AF">
      <w:pPr>
        <w:spacing w:line="276" w:lineRule="auto"/>
        <w:rPr>
          <w:rFonts w:asciiTheme="majorHAnsi" w:hAnsiTheme="majorHAnsi" w:cstheme="majorHAnsi"/>
          <w:color w:val="404040" w:themeColor="text1" w:themeTint="BF"/>
          <w:sz w:val="22"/>
        </w:rPr>
      </w:pPr>
    </w:p>
    <w:p w14:paraId="596662A8" w14:textId="47E3BD0B" w:rsidR="007E0742" w:rsidRDefault="007E0742" w:rsidP="00A740AF">
      <w:pPr>
        <w:spacing w:line="276" w:lineRule="auto"/>
        <w:rPr>
          <w:rFonts w:asciiTheme="majorHAnsi" w:hAnsiTheme="majorHAnsi" w:cstheme="majorHAnsi"/>
          <w:color w:val="404040" w:themeColor="text1" w:themeTint="BF"/>
          <w:sz w:val="22"/>
        </w:rPr>
      </w:pPr>
    </w:p>
    <w:p w14:paraId="06D82C10" w14:textId="2E1F05DB" w:rsidR="007E0742" w:rsidRDefault="007E0742" w:rsidP="00A740AF">
      <w:pPr>
        <w:spacing w:line="276" w:lineRule="auto"/>
        <w:rPr>
          <w:rFonts w:asciiTheme="majorHAnsi" w:hAnsiTheme="majorHAnsi" w:cstheme="majorHAnsi"/>
          <w:color w:val="404040" w:themeColor="text1" w:themeTint="BF"/>
          <w:sz w:val="22"/>
        </w:rPr>
      </w:pPr>
    </w:p>
    <w:p w14:paraId="7834EA77" w14:textId="4F3014CB" w:rsidR="004A614B" w:rsidRDefault="004A614B" w:rsidP="00A740AF">
      <w:pPr>
        <w:spacing w:line="276" w:lineRule="auto"/>
        <w:rPr>
          <w:rFonts w:asciiTheme="majorHAnsi" w:hAnsiTheme="majorHAnsi" w:cstheme="majorHAnsi"/>
          <w:color w:val="404040" w:themeColor="text1" w:themeTint="BF"/>
          <w:sz w:val="22"/>
        </w:rPr>
      </w:pPr>
    </w:p>
    <w:p w14:paraId="029A822C" w14:textId="77777777" w:rsidR="00B65915" w:rsidRDefault="00B65915" w:rsidP="00A740AF">
      <w:pPr>
        <w:spacing w:line="276" w:lineRule="auto"/>
        <w:rPr>
          <w:rFonts w:asciiTheme="majorHAnsi" w:hAnsiTheme="majorHAnsi" w:cstheme="majorHAnsi"/>
          <w:color w:val="404040" w:themeColor="text1" w:themeTint="BF"/>
          <w:sz w:val="22"/>
        </w:rPr>
      </w:pPr>
    </w:p>
    <w:p w14:paraId="12E31C23" w14:textId="2DBB33B2" w:rsidR="004A614B" w:rsidRDefault="004A614B" w:rsidP="00A740AF">
      <w:pPr>
        <w:spacing w:line="276" w:lineRule="auto"/>
        <w:rPr>
          <w:rFonts w:asciiTheme="majorHAnsi" w:hAnsiTheme="majorHAnsi" w:cstheme="majorHAnsi"/>
          <w:color w:val="404040" w:themeColor="text1" w:themeTint="BF"/>
          <w:sz w:val="22"/>
        </w:rPr>
      </w:pPr>
    </w:p>
    <w:p w14:paraId="01BB0A5C" w14:textId="77777777" w:rsidR="004A614B" w:rsidRDefault="004A614B" w:rsidP="00A740AF">
      <w:pPr>
        <w:spacing w:line="276" w:lineRule="auto"/>
        <w:rPr>
          <w:rFonts w:asciiTheme="majorHAnsi" w:hAnsiTheme="majorHAnsi" w:cstheme="majorHAnsi"/>
          <w:color w:val="404040" w:themeColor="text1" w:themeTint="BF"/>
          <w:sz w:val="22"/>
        </w:rPr>
      </w:pPr>
    </w:p>
    <w:p w14:paraId="08631785" w14:textId="48992CB2" w:rsidR="00E27FBE" w:rsidRDefault="00E27FBE" w:rsidP="00A740AF">
      <w:pPr>
        <w:spacing w:line="276" w:lineRule="auto"/>
        <w:rPr>
          <w:rFonts w:asciiTheme="majorHAnsi" w:hAnsiTheme="majorHAnsi" w:cstheme="majorHAnsi"/>
          <w:color w:val="404040" w:themeColor="text1" w:themeTint="BF"/>
          <w:sz w:val="22"/>
        </w:rPr>
      </w:pPr>
    </w:p>
    <w:p w14:paraId="375480A1" w14:textId="4B196285" w:rsidR="008118E6" w:rsidRDefault="008118E6" w:rsidP="00A740AF">
      <w:pPr>
        <w:spacing w:line="276" w:lineRule="auto"/>
        <w:rPr>
          <w:rFonts w:asciiTheme="majorHAnsi" w:hAnsiTheme="majorHAnsi" w:cstheme="majorHAnsi"/>
          <w:color w:val="404040" w:themeColor="text1" w:themeTint="BF"/>
          <w:sz w:val="22"/>
        </w:rPr>
      </w:pPr>
    </w:p>
    <w:p w14:paraId="27E56CB9" w14:textId="77777777" w:rsidR="00F05930" w:rsidRDefault="00F05930" w:rsidP="00A740AF">
      <w:pPr>
        <w:spacing w:line="276" w:lineRule="auto"/>
        <w:rPr>
          <w:rFonts w:asciiTheme="majorHAnsi" w:hAnsiTheme="majorHAnsi" w:cstheme="majorHAnsi"/>
          <w:color w:val="404040" w:themeColor="text1" w:themeTint="BF"/>
          <w:sz w:val="22"/>
        </w:rPr>
      </w:pPr>
    </w:p>
    <w:p w14:paraId="49E6E9E4" w14:textId="77777777" w:rsidR="008118E6" w:rsidRDefault="008118E6" w:rsidP="00A740AF">
      <w:pPr>
        <w:spacing w:line="276" w:lineRule="auto"/>
        <w:rPr>
          <w:rFonts w:asciiTheme="majorHAnsi" w:hAnsiTheme="majorHAnsi" w:cstheme="majorHAnsi"/>
          <w:color w:val="404040" w:themeColor="text1" w:themeTint="BF"/>
          <w:sz w:val="22"/>
        </w:rPr>
      </w:pPr>
    </w:p>
    <w:p w14:paraId="4C928B4F" w14:textId="77777777" w:rsidR="00B807B3" w:rsidRPr="00B446E7" w:rsidRDefault="00B807B3" w:rsidP="00A740AF">
      <w:pPr>
        <w:spacing w:line="276" w:lineRule="auto"/>
        <w:rPr>
          <w:rFonts w:asciiTheme="majorHAnsi" w:hAnsiTheme="majorHAnsi" w:cstheme="majorHAnsi"/>
          <w:color w:val="404040" w:themeColor="text1" w:themeTint="BF"/>
          <w:sz w:val="22"/>
        </w:rPr>
      </w:pPr>
    </w:p>
    <w:p w14:paraId="3F4D7818" w14:textId="77777777" w:rsidR="00832EFE" w:rsidRPr="00B446E7" w:rsidRDefault="00832EFE" w:rsidP="00A740AF">
      <w:pPr>
        <w:spacing w:line="276" w:lineRule="auto"/>
        <w:rPr>
          <w:rFonts w:asciiTheme="majorHAnsi" w:hAnsiTheme="majorHAnsi" w:cstheme="majorHAnsi"/>
          <w:color w:val="404040" w:themeColor="text1" w:themeTint="BF"/>
          <w:sz w:val="22"/>
        </w:rPr>
      </w:pPr>
      <w:r w:rsidRPr="00B446E7">
        <w:rPr>
          <w:rFonts w:asciiTheme="majorHAnsi" w:hAnsiTheme="majorHAnsi" w:cstheme="majorHAnsi"/>
          <w:color w:val="404040" w:themeColor="text1" w:themeTint="BF"/>
          <w:sz w:val="22"/>
        </w:rPr>
        <w:t>Allied Health Professions Australia</w:t>
      </w:r>
    </w:p>
    <w:p w14:paraId="3F4D7819" w14:textId="1A11A63A" w:rsidR="00832EFE" w:rsidRPr="00B446E7" w:rsidRDefault="00832EFE" w:rsidP="00A740AF">
      <w:pPr>
        <w:spacing w:line="276" w:lineRule="auto"/>
        <w:rPr>
          <w:rFonts w:asciiTheme="majorHAnsi" w:hAnsiTheme="majorHAnsi" w:cstheme="majorHAnsi"/>
          <w:color w:val="404040" w:themeColor="text1" w:themeTint="BF"/>
          <w:sz w:val="22"/>
        </w:rPr>
      </w:pPr>
      <w:r w:rsidRPr="00B446E7">
        <w:rPr>
          <w:rFonts w:asciiTheme="majorHAnsi" w:hAnsiTheme="majorHAnsi" w:cstheme="majorHAnsi"/>
          <w:color w:val="404040" w:themeColor="text1" w:themeTint="BF"/>
          <w:sz w:val="22"/>
        </w:rPr>
        <w:t>Level 3, 257 Collins Street</w:t>
      </w:r>
      <w:r w:rsidR="00906602">
        <w:rPr>
          <w:rFonts w:asciiTheme="majorHAnsi" w:hAnsiTheme="majorHAnsi" w:cstheme="majorHAnsi"/>
          <w:color w:val="404040" w:themeColor="text1" w:themeTint="BF"/>
          <w:sz w:val="22"/>
        </w:rPr>
        <w:t xml:space="preserve">, </w:t>
      </w:r>
      <w:r w:rsidRPr="00B446E7">
        <w:rPr>
          <w:rFonts w:asciiTheme="majorHAnsi" w:hAnsiTheme="majorHAnsi" w:cstheme="majorHAnsi"/>
          <w:color w:val="404040" w:themeColor="text1" w:themeTint="BF"/>
          <w:sz w:val="22"/>
        </w:rPr>
        <w:t>Melbourne VIC 3000</w:t>
      </w:r>
    </w:p>
    <w:p w14:paraId="3F4D781B" w14:textId="7CFF6920" w:rsidR="00832EFE" w:rsidRPr="00B446E7" w:rsidRDefault="00832EFE" w:rsidP="00A740AF">
      <w:pPr>
        <w:spacing w:line="276" w:lineRule="auto"/>
        <w:rPr>
          <w:rFonts w:asciiTheme="majorHAnsi" w:hAnsiTheme="majorHAnsi" w:cstheme="majorHAnsi"/>
          <w:bCs/>
          <w:color w:val="404040" w:themeColor="text1" w:themeTint="BF"/>
          <w:sz w:val="22"/>
        </w:rPr>
      </w:pPr>
      <w:r w:rsidRPr="00B446E7">
        <w:rPr>
          <w:rFonts w:asciiTheme="majorHAnsi" w:hAnsiTheme="majorHAnsi" w:cstheme="majorHAnsi"/>
          <w:color w:val="404040" w:themeColor="text1" w:themeTint="BF"/>
          <w:sz w:val="22"/>
        </w:rPr>
        <w:t>P</w:t>
      </w:r>
      <w:r w:rsidR="00B807B3">
        <w:rPr>
          <w:rFonts w:asciiTheme="majorHAnsi" w:hAnsiTheme="majorHAnsi" w:cstheme="majorHAnsi"/>
          <w:color w:val="404040" w:themeColor="text1" w:themeTint="BF"/>
          <w:sz w:val="22"/>
        </w:rPr>
        <w:t>hone</w:t>
      </w:r>
      <w:r w:rsidRPr="00B446E7">
        <w:rPr>
          <w:rFonts w:asciiTheme="majorHAnsi" w:hAnsiTheme="majorHAnsi" w:cstheme="majorHAnsi"/>
          <w:color w:val="404040" w:themeColor="text1" w:themeTint="BF"/>
          <w:sz w:val="22"/>
        </w:rPr>
        <w:t>: 03 8</w:t>
      </w:r>
      <w:r w:rsidR="00012226" w:rsidRPr="00B446E7">
        <w:rPr>
          <w:rFonts w:asciiTheme="majorHAnsi" w:hAnsiTheme="majorHAnsi" w:cstheme="majorHAnsi"/>
          <w:color w:val="404040" w:themeColor="text1" w:themeTint="BF"/>
          <w:sz w:val="22"/>
        </w:rPr>
        <w:t>375</w:t>
      </w:r>
      <w:r w:rsidRPr="00B446E7">
        <w:rPr>
          <w:rFonts w:asciiTheme="majorHAnsi" w:hAnsiTheme="majorHAnsi" w:cstheme="majorHAnsi"/>
          <w:color w:val="404040" w:themeColor="text1" w:themeTint="BF"/>
          <w:sz w:val="22"/>
        </w:rPr>
        <w:t xml:space="preserve"> </w:t>
      </w:r>
      <w:r w:rsidR="00012226" w:rsidRPr="00B446E7">
        <w:rPr>
          <w:rFonts w:asciiTheme="majorHAnsi" w:hAnsiTheme="majorHAnsi" w:cstheme="majorHAnsi"/>
          <w:color w:val="404040" w:themeColor="text1" w:themeTint="BF"/>
          <w:sz w:val="22"/>
        </w:rPr>
        <w:t>9652</w:t>
      </w:r>
      <w:r w:rsidRPr="00B446E7">
        <w:rPr>
          <w:rFonts w:asciiTheme="majorHAnsi" w:hAnsiTheme="majorHAnsi" w:cstheme="majorHAnsi"/>
          <w:color w:val="404040" w:themeColor="text1" w:themeTint="BF"/>
          <w:sz w:val="22"/>
        </w:rPr>
        <w:t xml:space="preserve"> </w:t>
      </w:r>
      <w:r w:rsidRPr="00B446E7">
        <w:rPr>
          <w:rFonts w:asciiTheme="majorHAnsi" w:hAnsiTheme="majorHAnsi" w:cstheme="majorHAnsi"/>
          <w:bCs/>
          <w:color w:val="404040" w:themeColor="text1" w:themeTint="BF"/>
          <w:sz w:val="22"/>
        </w:rPr>
        <w:t>E</w:t>
      </w:r>
      <w:r w:rsidR="00B807B3">
        <w:rPr>
          <w:rFonts w:asciiTheme="majorHAnsi" w:hAnsiTheme="majorHAnsi" w:cstheme="majorHAnsi"/>
          <w:bCs/>
          <w:color w:val="404040" w:themeColor="text1" w:themeTint="BF"/>
          <w:sz w:val="22"/>
        </w:rPr>
        <w:t>mail</w:t>
      </w:r>
      <w:r w:rsidRPr="00B446E7">
        <w:rPr>
          <w:rFonts w:asciiTheme="majorHAnsi" w:hAnsiTheme="majorHAnsi" w:cstheme="majorHAnsi"/>
          <w:bCs/>
          <w:color w:val="404040" w:themeColor="text1" w:themeTint="BF"/>
          <w:sz w:val="22"/>
        </w:rPr>
        <w:t xml:space="preserve">: </w:t>
      </w:r>
      <w:hyperlink r:id="rId11" w:history="1">
        <w:r w:rsidRPr="00B446E7">
          <w:rPr>
            <w:rStyle w:val="Hyperlink"/>
            <w:rFonts w:asciiTheme="majorHAnsi" w:hAnsiTheme="majorHAnsi" w:cstheme="majorHAnsi"/>
            <w:bCs/>
            <w:color w:val="404040" w:themeColor="text1" w:themeTint="BF"/>
            <w:sz w:val="22"/>
          </w:rPr>
          <w:t>office@ahpa.com.au</w:t>
        </w:r>
      </w:hyperlink>
    </w:p>
    <w:p w14:paraId="3F4D781C" w14:textId="77777777" w:rsidR="00832EFE" w:rsidRPr="00B446E7" w:rsidRDefault="00832EFE" w:rsidP="00A740AF">
      <w:pPr>
        <w:spacing w:line="276" w:lineRule="auto"/>
        <w:rPr>
          <w:rFonts w:asciiTheme="majorHAnsi" w:hAnsiTheme="majorHAnsi" w:cstheme="majorHAnsi"/>
          <w:sz w:val="22"/>
        </w:rPr>
      </w:pPr>
      <w:r w:rsidRPr="00B446E7">
        <w:rPr>
          <w:rFonts w:asciiTheme="majorHAnsi" w:hAnsiTheme="majorHAnsi" w:cstheme="majorHAnsi"/>
          <w:bCs/>
          <w:color w:val="404040" w:themeColor="text1" w:themeTint="BF"/>
          <w:sz w:val="22"/>
        </w:rPr>
        <w:t xml:space="preserve">Website: </w:t>
      </w:r>
      <w:hyperlink r:id="rId12" w:history="1">
        <w:r w:rsidRPr="00B446E7">
          <w:rPr>
            <w:rStyle w:val="Hyperlink"/>
            <w:rFonts w:asciiTheme="majorHAnsi" w:hAnsiTheme="majorHAnsi" w:cstheme="majorHAnsi"/>
            <w:bCs/>
            <w:color w:val="404040" w:themeColor="text1" w:themeTint="BF"/>
            <w:sz w:val="22"/>
          </w:rPr>
          <w:t>www.ahpa.com.au</w:t>
        </w:r>
      </w:hyperlink>
    </w:p>
    <w:p w14:paraId="2FE04DE7" w14:textId="77777777" w:rsidR="00F05930" w:rsidRDefault="00F05930">
      <w:pPr>
        <w:rPr>
          <w:rFonts w:ascii="Bahnschrift SemiBold" w:hAnsi="Bahnschrift SemiBold"/>
          <w:b/>
          <w:bCs/>
          <w:color w:val="6D3291"/>
          <w:sz w:val="36"/>
          <w:szCs w:val="44"/>
        </w:rPr>
      </w:pPr>
      <w:r>
        <w:rPr>
          <w:rFonts w:ascii="Bahnschrift SemiBold" w:hAnsi="Bahnschrift SemiBold"/>
          <w:b/>
          <w:bCs/>
          <w:color w:val="6D3291"/>
          <w:sz w:val="36"/>
          <w:szCs w:val="44"/>
        </w:rPr>
        <w:br w:type="page"/>
      </w:r>
    </w:p>
    <w:p w14:paraId="3F4D781E" w14:textId="0B5AA7B4" w:rsidR="00832EFE" w:rsidRPr="00A740AF" w:rsidRDefault="00832EFE" w:rsidP="00A740AF">
      <w:pPr>
        <w:spacing w:line="276" w:lineRule="auto"/>
        <w:rPr>
          <w:rFonts w:ascii="Bahnschrift SemiBold" w:hAnsi="Bahnschrift SemiBold"/>
          <w:b/>
          <w:bCs/>
          <w:color w:val="6D3291"/>
          <w:sz w:val="36"/>
          <w:szCs w:val="44"/>
        </w:rPr>
      </w:pPr>
      <w:r w:rsidRPr="00A740AF">
        <w:rPr>
          <w:rFonts w:ascii="Bahnschrift SemiBold" w:hAnsi="Bahnschrift SemiBold"/>
          <w:b/>
          <w:bCs/>
          <w:color w:val="6D3291"/>
          <w:sz w:val="36"/>
          <w:szCs w:val="44"/>
        </w:rPr>
        <w:lastRenderedPageBreak/>
        <w:t>Introduction</w:t>
      </w:r>
    </w:p>
    <w:p w14:paraId="3F4D781F" w14:textId="77777777" w:rsidR="00832EFE" w:rsidRPr="00423BCA" w:rsidRDefault="00832EFE" w:rsidP="00A740AF">
      <w:pPr>
        <w:spacing w:line="276" w:lineRule="auto"/>
        <w:rPr>
          <w:rFonts w:ascii="Georgia" w:hAnsi="Georgia"/>
          <w:color w:val="E36C0A" w:themeColor="accent6" w:themeShade="BF"/>
          <w:sz w:val="14"/>
          <w:szCs w:val="80"/>
        </w:rPr>
      </w:pPr>
    </w:p>
    <w:p w14:paraId="38432054" w14:textId="4B3DF093" w:rsidR="00B02DD1" w:rsidRDefault="00B02DD1" w:rsidP="00B02DD1">
      <w:pPr>
        <w:spacing w:line="276" w:lineRule="auto"/>
        <w:rPr>
          <w:rFonts w:asciiTheme="majorHAnsi" w:hAnsiTheme="majorHAnsi" w:cstheme="majorHAnsi"/>
          <w:bCs/>
          <w:color w:val="404040" w:themeColor="text1" w:themeTint="BF"/>
          <w:sz w:val="22"/>
          <w:lang w:val="en-AU"/>
        </w:rPr>
      </w:pPr>
      <w:r w:rsidRPr="00B02DD1">
        <w:rPr>
          <w:rFonts w:asciiTheme="majorHAnsi" w:hAnsiTheme="majorHAnsi" w:cstheme="majorHAnsi"/>
          <w:bCs/>
          <w:color w:val="404040" w:themeColor="text1" w:themeTint="BF"/>
          <w:sz w:val="22"/>
          <w:lang w:val="en-AU"/>
        </w:rPr>
        <w:t xml:space="preserve">Thank you for the opportunity to respond to the Productivity Commission’s Draft Report into Compensation and Rehabilitation for Veterans. Allied Health Professions Australia (AHPA) works on behalf of 20 individual allied health profession members and a further six affiliate members, together representing some 100,000 allied health professionals. Given the age profile and health needs of Australia’s veterans, allied health professionals are important providers of </w:t>
      </w:r>
      <w:r w:rsidR="00F67723">
        <w:rPr>
          <w:rFonts w:asciiTheme="majorHAnsi" w:hAnsiTheme="majorHAnsi" w:cstheme="majorHAnsi"/>
          <w:bCs/>
          <w:color w:val="404040" w:themeColor="text1" w:themeTint="BF"/>
          <w:sz w:val="22"/>
          <w:lang w:val="en-AU"/>
        </w:rPr>
        <w:t>care</w:t>
      </w:r>
      <w:r w:rsidRPr="00B02DD1">
        <w:rPr>
          <w:rFonts w:asciiTheme="majorHAnsi" w:hAnsiTheme="majorHAnsi" w:cstheme="majorHAnsi"/>
          <w:bCs/>
          <w:color w:val="404040" w:themeColor="text1" w:themeTint="BF"/>
          <w:sz w:val="22"/>
          <w:lang w:val="en-AU"/>
        </w:rPr>
        <w:t xml:space="preserve">. The role of Department of Veterans Affairs (DVA) funding is particularly important in the context of allied health </w:t>
      </w:r>
      <w:bookmarkStart w:id="0" w:name="_GoBack"/>
      <w:bookmarkEnd w:id="0"/>
      <w:r w:rsidRPr="00B02DD1">
        <w:rPr>
          <w:rFonts w:asciiTheme="majorHAnsi" w:hAnsiTheme="majorHAnsi" w:cstheme="majorHAnsi"/>
          <w:bCs/>
          <w:color w:val="404040" w:themeColor="text1" w:themeTint="BF"/>
          <w:sz w:val="22"/>
          <w:lang w:val="en-AU"/>
        </w:rPr>
        <w:t>care due to the structural issues that currently limit access to services via Medicare.</w:t>
      </w:r>
    </w:p>
    <w:p w14:paraId="22431271" w14:textId="77777777" w:rsidR="00987AD8" w:rsidRPr="00B02DD1" w:rsidRDefault="00987AD8" w:rsidP="00B02DD1">
      <w:pPr>
        <w:spacing w:line="276" w:lineRule="auto"/>
        <w:rPr>
          <w:rFonts w:asciiTheme="majorHAnsi" w:hAnsiTheme="majorHAnsi" w:cstheme="majorHAnsi"/>
          <w:bCs/>
          <w:color w:val="404040" w:themeColor="text1" w:themeTint="BF"/>
          <w:sz w:val="22"/>
          <w:lang w:val="en-AU"/>
        </w:rPr>
      </w:pPr>
    </w:p>
    <w:p w14:paraId="35266261" w14:textId="77777777" w:rsidR="00B02DD1" w:rsidRDefault="00B02DD1" w:rsidP="00B02DD1">
      <w:pPr>
        <w:spacing w:line="276" w:lineRule="auto"/>
        <w:rPr>
          <w:rFonts w:asciiTheme="majorHAnsi" w:hAnsiTheme="majorHAnsi" w:cstheme="majorHAnsi"/>
          <w:bCs/>
          <w:color w:val="404040" w:themeColor="text1" w:themeTint="BF"/>
          <w:sz w:val="22"/>
          <w:lang w:val="en-AU"/>
        </w:rPr>
      </w:pPr>
      <w:r w:rsidRPr="00B02DD1">
        <w:rPr>
          <w:rFonts w:asciiTheme="majorHAnsi" w:hAnsiTheme="majorHAnsi" w:cstheme="majorHAnsi"/>
          <w:bCs/>
          <w:color w:val="404040" w:themeColor="text1" w:themeTint="BF"/>
          <w:sz w:val="22"/>
          <w:lang w:val="en-AU"/>
        </w:rPr>
        <w:t xml:space="preserve">In responding to this consultation, AHPA has chosen to comment only on those areas we feel we have sufficient knowledge and expertise. Those responses have been structured according to the individual recommendation, request for information or section. In broad terms, AHPA supports the overall recommendations of the draft report as a means to create a more sustainable system which provides appropriate access to services, which is easier to navigate for all concerned and we agree that reform is needed. </w:t>
      </w:r>
    </w:p>
    <w:p w14:paraId="315D5A87" w14:textId="77777777" w:rsidR="00B02DD1" w:rsidRDefault="00B02DD1" w:rsidP="00B02DD1">
      <w:pPr>
        <w:spacing w:line="276" w:lineRule="auto"/>
        <w:rPr>
          <w:rFonts w:asciiTheme="majorHAnsi" w:hAnsiTheme="majorHAnsi" w:cstheme="majorHAnsi"/>
          <w:color w:val="404040" w:themeColor="text1" w:themeTint="BF"/>
          <w:sz w:val="22"/>
          <w:lang w:val="en-AU"/>
        </w:rPr>
      </w:pPr>
    </w:p>
    <w:p w14:paraId="7B54BDC6" w14:textId="00C7A7BF" w:rsidR="00B02DD1" w:rsidRPr="00654800" w:rsidRDefault="00B02DD1" w:rsidP="00B02DD1">
      <w:pPr>
        <w:spacing w:line="276" w:lineRule="auto"/>
        <w:rPr>
          <w:rFonts w:asciiTheme="majorHAnsi" w:hAnsiTheme="majorHAnsi" w:cstheme="majorHAnsi"/>
          <w:color w:val="404040" w:themeColor="text1" w:themeTint="BF"/>
          <w:sz w:val="22"/>
          <w:lang w:val="en-AU"/>
        </w:rPr>
      </w:pPr>
      <w:r w:rsidRPr="00654800">
        <w:rPr>
          <w:rFonts w:asciiTheme="majorHAnsi" w:hAnsiTheme="majorHAnsi" w:cstheme="majorHAnsi"/>
          <w:color w:val="404040" w:themeColor="text1" w:themeTint="BF"/>
          <w:sz w:val="22"/>
          <w:lang w:val="en-AU"/>
        </w:rPr>
        <w:t xml:space="preserve">In addition to the specific feedback in this response, AHPA also encourages a review of our 2017 submission to the to the Senate Standing Committee on Community Affairs inquiry into the value and affordability of private health insurance and out-of-pocket medical costs (please see </w:t>
      </w:r>
      <w:hyperlink r:id="rId13" w:history="1">
        <w:r w:rsidRPr="00654800">
          <w:rPr>
            <w:rStyle w:val="Hyperlink"/>
            <w:rFonts w:asciiTheme="majorHAnsi" w:hAnsiTheme="majorHAnsi" w:cstheme="majorHAnsi"/>
            <w:sz w:val="22"/>
            <w:lang w:val="en-AU"/>
          </w:rPr>
          <w:t>https://ahpa.com.au/advocacy/value-affordability-private-health-insurance-submission/</w:t>
        </w:r>
      </w:hyperlink>
      <w:r w:rsidRPr="00654800">
        <w:rPr>
          <w:rFonts w:asciiTheme="majorHAnsi" w:hAnsiTheme="majorHAnsi" w:cstheme="majorHAnsi"/>
          <w:color w:val="404040" w:themeColor="text1" w:themeTint="BF"/>
          <w:sz w:val="22"/>
          <w:lang w:val="en-AU"/>
        </w:rPr>
        <w:t>)</w:t>
      </w:r>
      <w:r w:rsidR="00C16361">
        <w:rPr>
          <w:rFonts w:asciiTheme="majorHAnsi" w:hAnsiTheme="majorHAnsi" w:cstheme="majorHAnsi"/>
          <w:color w:val="404040" w:themeColor="text1" w:themeTint="BF"/>
          <w:sz w:val="22"/>
          <w:lang w:val="en-AU"/>
        </w:rPr>
        <w:t xml:space="preserve"> and our submissions to the Medicare Review (</w:t>
      </w:r>
      <w:hyperlink r:id="rId14" w:history="1">
        <w:r w:rsidR="009A6FEB" w:rsidRPr="0070329E">
          <w:rPr>
            <w:rStyle w:val="Hyperlink"/>
            <w:rFonts w:asciiTheme="majorHAnsi" w:hAnsiTheme="majorHAnsi" w:cstheme="majorHAnsi"/>
            <w:sz w:val="22"/>
            <w:lang w:val="en-AU"/>
          </w:rPr>
          <w:t>https://ahpa.com.au/advocacy/mbs-review-framework-improving-access-allied-health-services/</w:t>
        </w:r>
      </w:hyperlink>
      <w:r w:rsidR="009A6FEB">
        <w:rPr>
          <w:rFonts w:asciiTheme="majorHAnsi" w:hAnsiTheme="majorHAnsi" w:cstheme="majorHAnsi"/>
          <w:color w:val="404040" w:themeColor="text1" w:themeTint="BF"/>
          <w:sz w:val="22"/>
          <w:lang w:val="en-AU"/>
        </w:rPr>
        <w:t>)</w:t>
      </w:r>
      <w:r w:rsidRPr="00654800">
        <w:rPr>
          <w:rFonts w:asciiTheme="majorHAnsi" w:hAnsiTheme="majorHAnsi" w:cstheme="majorHAnsi"/>
          <w:color w:val="404040" w:themeColor="text1" w:themeTint="BF"/>
          <w:sz w:val="22"/>
          <w:lang w:val="en-AU"/>
        </w:rPr>
        <w:t>.</w:t>
      </w:r>
      <w:r w:rsidR="009A6FEB">
        <w:rPr>
          <w:rFonts w:asciiTheme="majorHAnsi" w:hAnsiTheme="majorHAnsi" w:cstheme="majorHAnsi"/>
          <w:color w:val="404040" w:themeColor="text1" w:themeTint="BF"/>
          <w:sz w:val="22"/>
          <w:lang w:val="en-AU"/>
        </w:rPr>
        <w:t xml:space="preserve"> </w:t>
      </w:r>
      <w:r w:rsidRPr="00654800">
        <w:rPr>
          <w:rFonts w:asciiTheme="majorHAnsi" w:hAnsiTheme="majorHAnsi" w:cstheme="majorHAnsi"/>
          <w:color w:val="404040" w:themeColor="text1" w:themeTint="BF"/>
          <w:sz w:val="22"/>
          <w:lang w:val="en-AU"/>
        </w:rPr>
        <w:t xml:space="preserve"> </w:t>
      </w:r>
      <w:r w:rsidR="0089160D">
        <w:rPr>
          <w:rFonts w:asciiTheme="majorHAnsi" w:hAnsiTheme="majorHAnsi" w:cstheme="majorHAnsi"/>
          <w:color w:val="404040" w:themeColor="text1" w:themeTint="BF"/>
          <w:sz w:val="22"/>
          <w:lang w:val="en-AU"/>
        </w:rPr>
        <w:br/>
      </w:r>
    </w:p>
    <w:p w14:paraId="023C05F2" w14:textId="77777777" w:rsidR="00B02DD1" w:rsidRPr="00B02DD1" w:rsidRDefault="00B02DD1" w:rsidP="00B02DD1">
      <w:pPr>
        <w:spacing w:line="276" w:lineRule="auto"/>
        <w:rPr>
          <w:rFonts w:asciiTheme="majorHAnsi" w:hAnsiTheme="majorHAnsi" w:cstheme="majorHAnsi"/>
          <w:bCs/>
          <w:color w:val="404040" w:themeColor="text1" w:themeTint="BF"/>
          <w:sz w:val="22"/>
          <w:lang w:val="en-AU"/>
        </w:rPr>
      </w:pPr>
    </w:p>
    <w:p w14:paraId="53BCB6B5" w14:textId="2BA3071F" w:rsidR="00B02DD1" w:rsidRPr="0089160D" w:rsidRDefault="00B02DD1" w:rsidP="0089160D">
      <w:pPr>
        <w:rPr>
          <w:rFonts w:asciiTheme="majorHAnsi" w:hAnsiTheme="majorHAnsi" w:cstheme="majorHAnsi"/>
          <w:bCs/>
          <w:color w:val="404040" w:themeColor="text1" w:themeTint="BF"/>
        </w:rPr>
      </w:pPr>
      <w:r w:rsidRPr="0089160D">
        <w:rPr>
          <w:rFonts w:asciiTheme="majorHAnsi" w:hAnsiTheme="majorHAnsi" w:cstheme="majorHAnsi"/>
          <w:b/>
          <w:bCs/>
          <w:color w:val="6D3291"/>
          <w:sz w:val="22"/>
          <w:szCs w:val="44"/>
        </w:rPr>
        <w:t xml:space="preserve">The specific areas of the report in which we have an interest </w:t>
      </w:r>
      <w:r w:rsidR="0089160D">
        <w:rPr>
          <w:rFonts w:asciiTheme="majorHAnsi" w:hAnsiTheme="majorHAnsi" w:cstheme="majorHAnsi"/>
          <w:b/>
          <w:bCs/>
          <w:color w:val="6D3291"/>
          <w:sz w:val="22"/>
          <w:szCs w:val="44"/>
        </w:rPr>
        <w:t xml:space="preserve">and have developed responses </w:t>
      </w:r>
      <w:r w:rsidRPr="0089160D">
        <w:rPr>
          <w:rFonts w:asciiTheme="majorHAnsi" w:hAnsiTheme="majorHAnsi" w:cstheme="majorHAnsi"/>
          <w:b/>
          <w:bCs/>
          <w:color w:val="6D3291"/>
          <w:sz w:val="22"/>
          <w:szCs w:val="44"/>
        </w:rPr>
        <w:t>are:</w:t>
      </w:r>
      <w:r w:rsidR="00F05930" w:rsidRPr="0089160D">
        <w:rPr>
          <w:rFonts w:asciiTheme="majorHAnsi" w:hAnsiTheme="majorHAnsi" w:cstheme="majorHAnsi"/>
          <w:b/>
          <w:bCs/>
          <w:color w:val="6D3291"/>
          <w:sz w:val="22"/>
          <w:szCs w:val="44"/>
        </w:rPr>
        <w:br/>
      </w:r>
    </w:p>
    <w:p w14:paraId="09BA1487" w14:textId="0BCED187" w:rsidR="00B02DD1" w:rsidRPr="0089160D" w:rsidRDefault="00C756E0" w:rsidP="0089160D">
      <w:pPr>
        <w:pStyle w:val="ListParagraph"/>
        <w:numPr>
          <w:ilvl w:val="0"/>
          <w:numId w:val="37"/>
        </w:numPr>
        <w:rPr>
          <w:rFonts w:asciiTheme="majorHAnsi" w:hAnsiTheme="majorHAnsi" w:cstheme="majorHAnsi"/>
          <w:b/>
          <w:bCs/>
          <w:color w:val="6D3291"/>
          <w:szCs w:val="44"/>
        </w:rPr>
      </w:pPr>
      <w:r w:rsidRPr="0089160D">
        <w:rPr>
          <w:rFonts w:asciiTheme="majorHAnsi" w:hAnsiTheme="majorHAnsi" w:cstheme="majorHAnsi"/>
          <w:b/>
          <w:bCs/>
          <w:color w:val="6D3291"/>
          <w:szCs w:val="44"/>
        </w:rPr>
        <w:t>Draft Recommendation 4.1 – Objectives and principles</w:t>
      </w:r>
    </w:p>
    <w:p w14:paraId="1848E809" w14:textId="2A3575C0" w:rsidR="00C756E0" w:rsidRPr="0089160D" w:rsidRDefault="00C756E0" w:rsidP="0089160D">
      <w:pPr>
        <w:pStyle w:val="ListParagraph"/>
        <w:numPr>
          <w:ilvl w:val="0"/>
          <w:numId w:val="37"/>
        </w:numPr>
        <w:rPr>
          <w:rFonts w:asciiTheme="majorHAnsi" w:hAnsiTheme="majorHAnsi" w:cstheme="majorHAnsi"/>
          <w:b/>
          <w:bCs/>
          <w:color w:val="6D3291"/>
          <w:szCs w:val="44"/>
        </w:rPr>
      </w:pPr>
      <w:r w:rsidRPr="0089160D">
        <w:rPr>
          <w:rFonts w:asciiTheme="majorHAnsi" w:hAnsiTheme="majorHAnsi" w:cstheme="majorHAnsi"/>
          <w:b/>
          <w:bCs/>
          <w:color w:val="6D3291"/>
          <w:szCs w:val="44"/>
        </w:rPr>
        <w:t>Draft Recommendation 6.3 – Transition arrangements</w:t>
      </w:r>
    </w:p>
    <w:p w14:paraId="5FF322C3" w14:textId="4A2A1126" w:rsidR="00C756E0" w:rsidRPr="0089160D" w:rsidRDefault="00C756E0" w:rsidP="0089160D">
      <w:pPr>
        <w:pStyle w:val="ListParagraph"/>
        <w:numPr>
          <w:ilvl w:val="0"/>
          <w:numId w:val="37"/>
        </w:numPr>
        <w:rPr>
          <w:rFonts w:asciiTheme="majorHAnsi" w:hAnsiTheme="majorHAnsi" w:cstheme="majorHAnsi"/>
          <w:b/>
          <w:bCs/>
          <w:color w:val="6D3291"/>
          <w:szCs w:val="44"/>
        </w:rPr>
      </w:pPr>
      <w:r w:rsidRPr="0089160D">
        <w:rPr>
          <w:rFonts w:asciiTheme="majorHAnsi" w:hAnsiTheme="majorHAnsi" w:cstheme="majorHAnsi"/>
          <w:b/>
          <w:bCs/>
          <w:color w:val="6D3291"/>
          <w:szCs w:val="44"/>
        </w:rPr>
        <w:t>Section 6.4 - Commissioning of services</w:t>
      </w:r>
    </w:p>
    <w:p w14:paraId="4AE0CA40" w14:textId="5D026077" w:rsidR="00C756E0" w:rsidRPr="0089160D" w:rsidRDefault="001E1B3C" w:rsidP="0089160D">
      <w:pPr>
        <w:pStyle w:val="ListParagraph"/>
        <w:numPr>
          <w:ilvl w:val="0"/>
          <w:numId w:val="37"/>
        </w:numPr>
        <w:rPr>
          <w:rFonts w:asciiTheme="majorHAnsi" w:hAnsiTheme="majorHAnsi" w:cstheme="majorHAnsi"/>
          <w:b/>
          <w:bCs/>
          <w:color w:val="6D3291"/>
          <w:szCs w:val="44"/>
        </w:rPr>
      </w:pPr>
      <w:r w:rsidRPr="0089160D">
        <w:rPr>
          <w:rFonts w:asciiTheme="majorHAnsi" w:hAnsiTheme="majorHAnsi" w:cstheme="majorHAnsi"/>
          <w:b/>
          <w:bCs/>
          <w:color w:val="6D3291"/>
          <w:szCs w:val="44"/>
        </w:rPr>
        <w:t>Information Request 6.2 – Consumer-directed care</w:t>
      </w:r>
    </w:p>
    <w:p w14:paraId="3F3BAC97" w14:textId="3FB74BBC" w:rsidR="001E1B3C" w:rsidRPr="0089160D" w:rsidRDefault="00F11709" w:rsidP="0089160D">
      <w:pPr>
        <w:pStyle w:val="ListParagraph"/>
        <w:numPr>
          <w:ilvl w:val="0"/>
          <w:numId w:val="37"/>
        </w:numPr>
        <w:rPr>
          <w:rFonts w:asciiTheme="majorHAnsi" w:hAnsiTheme="majorHAnsi" w:cstheme="majorHAnsi"/>
          <w:b/>
          <w:bCs/>
          <w:color w:val="6D3291"/>
          <w:szCs w:val="44"/>
        </w:rPr>
      </w:pPr>
      <w:r w:rsidRPr="0089160D">
        <w:rPr>
          <w:rFonts w:asciiTheme="majorHAnsi" w:hAnsiTheme="majorHAnsi" w:cstheme="majorHAnsi"/>
          <w:b/>
          <w:bCs/>
          <w:color w:val="6D3291"/>
          <w:szCs w:val="44"/>
        </w:rPr>
        <w:t>Recommendation 15.1 – White and Gold Card eligibility</w:t>
      </w:r>
    </w:p>
    <w:p w14:paraId="75E13FAA" w14:textId="6143F058" w:rsidR="00F11709" w:rsidRPr="0089160D" w:rsidRDefault="00B65915" w:rsidP="0089160D">
      <w:pPr>
        <w:pStyle w:val="ListParagraph"/>
        <w:numPr>
          <w:ilvl w:val="0"/>
          <w:numId w:val="37"/>
        </w:numPr>
        <w:rPr>
          <w:rFonts w:asciiTheme="majorHAnsi" w:hAnsiTheme="majorHAnsi" w:cstheme="majorHAnsi"/>
          <w:b/>
          <w:bCs/>
          <w:color w:val="6D3291"/>
          <w:szCs w:val="44"/>
        </w:rPr>
      </w:pPr>
      <w:r w:rsidRPr="0089160D">
        <w:rPr>
          <w:rFonts w:asciiTheme="majorHAnsi" w:hAnsiTheme="majorHAnsi" w:cstheme="majorHAnsi"/>
          <w:b/>
          <w:bCs/>
          <w:color w:val="6D3291"/>
          <w:szCs w:val="44"/>
        </w:rPr>
        <w:t>Recommendation 15.2 – Risk-based funding approaches</w:t>
      </w:r>
    </w:p>
    <w:p w14:paraId="0668517D" w14:textId="674A5BCF" w:rsidR="00B65915" w:rsidRPr="0089160D" w:rsidRDefault="0089160D" w:rsidP="0089160D">
      <w:pPr>
        <w:pStyle w:val="ListParagraph"/>
        <w:numPr>
          <w:ilvl w:val="0"/>
          <w:numId w:val="37"/>
        </w:numPr>
        <w:rPr>
          <w:rFonts w:asciiTheme="majorHAnsi" w:hAnsiTheme="majorHAnsi" w:cstheme="majorHAnsi"/>
          <w:b/>
          <w:bCs/>
          <w:color w:val="6D3291"/>
          <w:szCs w:val="44"/>
        </w:rPr>
      </w:pPr>
      <w:r w:rsidRPr="0089160D">
        <w:rPr>
          <w:rFonts w:asciiTheme="majorHAnsi" w:hAnsiTheme="majorHAnsi" w:cstheme="majorHAnsi"/>
          <w:b/>
          <w:bCs/>
          <w:color w:val="6D3291"/>
          <w:szCs w:val="44"/>
        </w:rPr>
        <w:t>Information Request 15.2 – Fee-setting arrangements</w:t>
      </w:r>
    </w:p>
    <w:p w14:paraId="2AB1112E" w14:textId="2C653715" w:rsidR="0089160D" w:rsidRDefault="0089160D" w:rsidP="0089160D">
      <w:pPr>
        <w:pStyle w:val="ListParagraph"/>
        <w:numPr>
          <w:ilvl w:val="0"/>
          <w:numId w:val="37"/>
        </w:numPr>
        <w:rPr>
          <w:rFonts w:asciiTheme="majorHAnsi" w:hAnsiTheme="majorHAnsi" w:cstheme="majorHAnsi"/>
          <w:b/>
          <w:bCs/>
          <w:color w:val="6D3291"/>
          <w:szCs w:val="44"/>
        </w:rPr>
      </w:pPr>
      <w:r w:rsidRPr="0089160D">
        <w:rPr>
          <w:rFonts w:asciiTheme="majorHAnsi" w:hAnsiTheme="majorHAnsi" w:cstheme="majorHAnsi"/>
          <w:b/>
          <w:bCs/>
          <w:color w:val="6D3291"/>
          <w:szCs w:val="44"/>
        </w:rPr>
        <w:t>Recommendation 15.3 – Review of mental health services</w:t>
      </w:r>
    </w:p>
    <w:p w14:paraId="41FED8D3" w14:textId="5D1B2AE0" w:rsidR="00A0330B" w:rsidRDefault="00527AA5" w:rsidP="0089160D">
      <w:pPr>
        <w:pStyle w:val="ListParagraph"/>
        <w:numPr>
          <w:ilvl w:val="0"/>
          <w:numId w:val="37"/>
        </w:numPr>
        <w:rPr>
          <w:rFonts w:asciiTheme="majorHAnsi" w:hAnsiTheme="majorHAnsi" w:cstheme="majorHAnsi"/>
          <w:b/>
          <w:bCs/>
          <w:color w:val="6D3291"/>
          <w:szCs w:val="44"/>
        </w:rPr>
      </w:pPr>
      <w:r w:rsidRPr="00527AA5">
        <w:rPr>
          <w:rFonts w:asciiTheme="majorHAnsi" w:hAnsiTheme="majorHAnsi" w:cstheme="majorHAnsi"/>
          <w:b/>
          <w:bCs/>
          <w:color w:val="6D3291"/>
          <w:szCs w:val="44"/>
        </w:rPr>
        <w:t>Information request 15.3 – Subsidising private health insurance</w:t>
      </w:r>
    </w:p>
    <w:p w14:paraId="7648C184" w14:textId="44CCAC7F" w:rsidR="00527AA5" w:rsidRPr="0089160D" w:rsidRDefault="00BE6ACD" w:rsidP="0089160D">
      <w:pPr>
        <w:pStyle w:val="ListParagraph"/>
        <w:numPr>
          <w:ilvl w:val="0"/>
          <w:numId w:val="37"/>
        </w:numPr>
        <w:rPr>
          <w:rFonts w:asciiTheme="majorHAnsi" w:hAnsiTheme="majorHAnsi" w:cstheme="majorHAnsi"/>
          <w:b/>
          <w:bCs/>
          <w:color w:val="6D3291"/>
          <w:szCs w:val="44"/>
        </w:rPr>
      </w:pPr>
      <w:r w:rsidRPr="00BE6ACD">
        <w:rPr>
          <w:rFonts w:asciiTheme="majorHAnsi" w:hAnsiTheme="majorHAnsi" w:cstheme="majorHAnsi"/>
          <w:b/>
          <w:bCs/>
          <w:color w:val="6D3291"/>
          <w:szCs w:val="44"/>
        </w:rPr>
        <w:t>Achieving a cost effective system</w:t>
      </w:r>
      <w:r>
        <w:rPr>
          <w:rFonts w:asciiTheme="majorHAnsi" w:hAnsiTheme="majorHAnsi" w:cstheme="majorHAnsi"/>
          <w:b/>
          <w:bCs/>
          <w:color w:val="6D3291"/>
          <w:szCs w:val="44"/>
        </w:rPr>
        <w:t xml:space="preserve"> </w:t>
      </w:r>
      <w:r w:rsidR="00527AA5" w:rsidRPr="00527AA5">
        <w:rPr>
          <w:rFonts w:asciiTheme="majorHAnsi" w:hAnsiTheme="majorHAnsi" w:cstheme="majorHAnsi"/>
          <w:b/>
          <w:bCs/>
          <w:color w:val="6D3291"/>
          <w:szCs w:val="44"/>
        </w:rPr>
        <w:t>- Allied health arrangements</w:t>
      </w:r>
    </w:p>
    <w:p w14:paraId="42B23032" w14:textId="77777777" w:rsidR="00B02DD1" w:rsidRPr="00B02DD1" w:rsidRDefault="00B02DD1" w:rsidP="00B02DD1">
      <w:pPr>
        <w:spacing w:line="276" w:lineRule="auto"/>
        <w:rPr>
          <w:rFonts w:asciiTheme="majorHAnsi" w:hAnsiTheme="majorHAnsi" w:cstheme="majorHAnsi"/>
          <w:bCs/>
          <w:color w:val="404040" w:themeColor="text1" w:themeTint="BF"/>
          <w:sz w:val="22"/>
          <w:lang w:val="en-AU"/>
        </w:rPr>
      </w:pPr>
    </w:p>
    <w:p w14:paraId="7EE2546E" w14:textId="77777777" w:rsidR="00B02DD1" w:rsidRDefault="00B02DD1" w:rsidP="00B02DD1">
      <w:pPr>
        <w:spacing w:line="276" w:lineRule="auto"/>
        <w:rPr>
          <w:rFonts w:asciiTheme="majorHAnsi" w:hAnsiTheme="majorHAnsi" w:cstheme="majorHAnsi"/>
          <w:bCs/>
          <w:color w:val="404040" w:themeColor="text1" w:themeTint="BF"/>
          <w:sz w:val="22"/>
          <w:lang w:val="en-AU"/>
        </w:rPr>
      </w:pPr>
    </w:p>
    <w:p w14:paraId="4C4CE423" w14:textId="77777777" w:rsidR="0089160D" w:rsidRDefault="0089160D">
      <w:pPr>
        <w:rPr>
          <w:rFonts w:ascii="Bahnschrift SemiBold" w:hAnsi="Bahnschrift SemiBold"/>
          <w:b/>
          <w:bCs/>
          <w:color w:val="6D3291"/>
          <w:sz w:val="36"/>
          <w:szCs w:val="44"/>
        </w:rPr>
      </w:pPr>
      <w:r>
        <w:rPr>
          <w:rFonts w:ascii="Bahnschrift SemiBold" w:hAnsi="Bahnschrift SemiBold"/>
          <w:b/>
          <w:bCs/>
          <w:color w:val="6D3291"/>
          <w:sz w:val="36"/>
          <w:szCs w:val="44"/>
        </w:rPr>
        <w:br w:type="page"/>
      </w:r>
    </w:p>
    <w:p w14:paraId="48EFCDFF" w14:textId="05489370" w:rsidR="00B02DD1" w:rsidRPr="00B02DD1" w:rsidRDefault="00B02DD1" w:rsidP="00B02DD1">
      <w:pPr>
        <w:spacing w:line="276" w:lineRule="auto"/>
        <w:rPr>
          <w:rFonts w:ascii="Bahnschrift SemiBold" w:hAnsi="Bahnschrift SemiBold"/>
          <w:b/>
          <w:bCs/>
          <w:color w:val="6D3291"/>
          <w:sz w:val="36"/>
          <w:szCs w:val="44"/>
        </w:rPr>
      </w:pPr>
      <w:r w:rsidRPr="00B02DD1">
        <w:rPr>
          <w:rFonts w:ascii="Bahnschrift SemiBold" w:hAnsi="Bahnschrift SemiBold"/>
          <w:b/>
          <w:bCs/>
          <w:color w:val="6D3291"/>
          <w:sz w:val="36"/>
          <w:szCs w:val="44"/>
        </w:rPr>
        <w:lastRenderedPageBreak/>
        <w:t xml:space="preserve">Responses to individual recommendations and </w:t>
      </w:r>
      <w:r w:rsidR="00F05930">
        <w:rPr>
          <w:rFonts w:ascii="Bahnschrift SemiBold" w:hAnsi="Bahnschrift SemiBold"/>
          <w:b/>
          <w:bCs/>
          <w:color w:val="6D3291"/>
          <w:sz w:val="36"/>
          <w:szCs w:val="44"/>
        </w:rPr>
        <w:br/>
      </w:r>
      <w:r w:rsidRPr="00B02DD1">
        <w:rPr>
          <w:rFonts w:ascii="Bahnschrift SemiBold" w:hAnsi="Bahnschrift SemiBold"/>
          <w:b/>
          <w:bCs/>
          <w:color w:val="6D3291"/>
          <w:sz w:val="36"/>
          <w:szCs w:val="44"/>
        </w:rPr>
        <w:t>requests for information</w:t>
      </w:r>
    </w:p>
    <w:p w14:paraId="0F6F207C" w14:textId="77777777" w:rsidR="00F05930" w:rsidRDefault="00F05930" w:rsidP="00B02DD1">
      <w:pPr>
        <w:spacing w:line="276" w:lineRule="auto"/>
        <w:rPr>
          <w:rFonts w:asciiTheme="majorHAnsi" w:hAnsiTheme="majorHAnsi" w:cstheme="majorHAnsi"/>
          <w:bCs/>
          <w:color w:val="404040" w:themeColor="text1" w:themeTint="BF"/>
          <w:sz w:val="22"/>
          <w:lang w:val="en-AU"/>
        </w:rPr>
      </w:pPr>
    </w:p>
    <w:p w14:paraId="32BE95B1" w14:textId="003613E4" w:rsidR="00B02DD1" w:rsidRPr="00B02DD1" w:rsidRDefault="00B02DD1" w:rsidP="00B02DD1">
      <w:pPr>
        <w:spacing w:line="276" w:lineRule="auto"/>
        <w:rPr>
          <w:rFonts w:ascii="Bahnschrift SemiBold" w:hAnsi="Bahnschrift SemiBold"/>
          <w:b/>
          <w:bCs/>
          <w:color w:val="6D3291"/>
          <w:sz w:val="28"/>
          <w:szCs w:val="44"/>
        </w:rPr>
      </w:pPr>
      <w:r w:rsidRPr="00B02DD1">
        <w:rPr>
          <w:rFonts w:ascii="Bahnschrift SemiBold" w:hAnsi="Bahnschrift SemiBold"/>
          <w:b/>
          <w:bCs/>
          <w:color w:val="6D3291"/>
          <w:sz w:val="28"/>
          <w:szCs w:val="44"/>
        </w:rPr>
        <w:t xml:space="preserve">Draft Recommendation 4.1 – </w:t>
      </w:r>
      <w:r w:rsidR="00C756E0">
        <w:rPr>
          <w:rFonts w:ascii="Bahnschrift SemiBold" w:hAnsi="Bahnschrift SemiBold"/>
          <w:b/>
          <w:bCs/>
          <w:color w:val="6D3291"/>
          <w:sz w:val="28"/>
          <w:szCs w:val="44"/>
        </w:rPr>
        <w:t>Objectives and principles</w:t>
      </w:r>
    </w:p>
    <w:p w14:paraId="060901A0" w14:textId="77777777" w:rsidR="00F05930" w:rsidRPr="00F05930" w:rsidRDefault="00F05930" w:rsidP="00B02DD1">
      <w:pPr>
        <w:spacing w:line="276" w:lineRule="auto"/>
        <w:rPr>
          <w:rFonts w:asciiTheme="majorHAnsi" w:hAnsiTheme="majorHAnsi" w:cstheme="majorHAnsi"/>
          <w:bCs/>
          <w:color w:val="404040" w:themeColor="text1" w:themeTint="BF"/>
          <w:sz w:val="8"/>
          <w:lang w:val="en-AU"/>
        </w:rPr>
      </w:pPr>
    </w:p>
    <w:p w14:paraId="548169E9" w14:textId="3FFA5964" w:rsidR="00B02DD1" w:rsidRDefault="00B02DD1" w:rsidP="00B02DD1">
      <w:pPr>
        <w:spacing w:line="276" w:lineRule="auto"/>
        <w:rPr>
          <w:rFonts w:asciiTheme="majorHAnsi" w:hAnsiTheme="majorHAnsi" w:cstheme="majorHAnsi"/>
          <w:bCs/>
          <w:color w:val="404040" w:themeColor="text1" w:themeTint="BF"/>
          <w:sz w:val="22"/>
          <w:lang w:val="en-AU"/>
        </w:rPr>
      </w:pPr>
      <w:r w:rsidRPr="00B02DD1">
        <w:rPr>
          <w:rFonts w:asciiTheme="majorHAnsi" w:hAnsiTheme="majorHAnsi" w:cstheme="majorHAnsi"/>
          <w:bCs/>
          <w:color w:val="404040" w:themeColor="text1" w:themeTint="BF"/>
          <w:sz w:val="22"/>
          <w:lang w:val="en-AU"/>
        </w:rPr>
        <w:t>AHPA fully supports the objectives and principles outlined in draft recommendation 4.1 as the basis for a more effective and equitable scheme to support Australia’s veterans. We very much recognise the need to enshrine the right values and principles and support the need for a holistic wellness approach that has at its core a focus on wellness and a strengths-based approach. Given that the experience of many veterans, in the context of needing services, will be a situation of diminished ability and the significant challenges this presents, a more positive and empowering approach is essential. In this context we note that the types of interventions provided by allied health providers very much fit within this paradigm and we encourage greater emphasis on the value of allied health interventions.</w:t>
      </w:r>
    </w:p>
    <w:p w14:paraId="02442D0B" w14:textId="77777777" w:rsidR="00C756E0" w:rsidRPr="00B02DD1" w:rsidRDefault="00C756E0" w:rsidP="00B02DD1">
      <w:pPr>
        <w:spacing w:line="276" w:lineRule="auto"/>
        <w:rPr>
          <w:rFonts w:asciiTheme="majorHAnsi" w:hAnsiTheme="majorHAnsi" w:cstheme="majorHAnsi"/>
          <w:bCs/>
          <w:color w:val="404040" w:themeColor="text1" w:themeTint="BF"/>
          <w:sz w:val="22"/>
          <w:lang w:val="en-AU"/>
        </w:rPr>
      </w:pPr>
    </w:p>
    <w:p w14:paraId="4BC7F342" w14:textId="22D406F3" w:rsidR="00F05930" w:rsidRDefault="00B02DD1" w:rsidP="00B02DD1">
      <w:pPr>
        <w:spacing w:line="276" w:lineRule="auto"/>
        <w:rPr>
          <w:rFonts w:asciiTheme="majorHAnsi" w:hAnsiTheme="majorHAnsi" w:cstheme="majorHAnsi"/>
          <w:bCs/>
          <w:color w:val="404040" w:themeColor="text1" w:themeTint="BF"/>
          <w:sz w:val="22"/>
          <w:lang w:val="en-AU"/>
        </w:rPr>
      </w:pPr>
      <w:r w:rsidRPr="00B02DD1">
        <w:rPr>
          <w:rFonts w:asciiTheme="majorHAnsi" w:hAnsiTheme="majorHAnsi" w:cstheme="majorHAnsi"/>
          <w:bCs/>
          <w:color w:val="404040" w:themeColor="text1" w:themeTint="BF"/>
          <w:sz w:val="22"/>
          <w:lang w:val="en-AU"/>
        </w:rPr>
        <w:t>We feel it is important to raise concern</w:t>
      </w:r>
      <w:r w:rsidR="00F05930">
        <w:rPr>
          <w:rFonts w:asciiTheme="majorHAnsi" w:hAnsiTheme="majorHAnsi" w:cstheme="majorHAnsi"/>
          <w:bCs/>
          <w:color w:val="404040" w:themeColor="text1" w:themeTint="BF"/>
          <w:sz w:val="22"/>
          <w:lang w:val="en-AU"/>
        </w:rPr>
        <w:t>s</w:t>
      </w:r>
      <w:r w:rsidRPr="00B02DD1">
        <w:rPr>
          <w:rFonts w:asciiTheme="majorHAnsi" w:hAnsiTheme="majorHAnsi" w:cstheme="majorHAnsi"/>
          <w:bCs/>
          <w:color w:val="404040" w:themeColor="text1" w:themeTint="BF"/>
          <w:sz w:val="22"/>
          <w:lang w:val="en-AU"/>
        </w:rPr>
        <w:t xml:space="preserve"> about </w:t>
      </w:r>
      <w:r w:rsidR="00F05930">
        <w:rPr>
          <w:rFonts w:asciiTheme="majorHAnsi" w:hAnsiTheme="majorHAnsi" w:cstheme="majorHAnsi"/>
          <w:bCs/>
          <w:color w:val="404040" w:themeColor="text1" w:themeTint="BF"/>
          <w:sz w:val="22"/>
          <w:lang w:val="en-AU"/>
        </w:rPr>
        <w:t xml:space="preserve">the draft report’s </w:t>
      </w:r>
      <w:r w:rsidRPr="00B02DD1">
        <w:rPr>
          <w:rFonts w:asciiTheme="majorHAnsi" w:hAnsiTheme="majorHAnsi" w:cstheme="majorHAnsi"/>
          <w:bCs/>
          <w:color w:val="404040" w:themeColor="text1" w:themeTint="BF"/>
          <w:sz w:val="22"/>
          <w:lang w:val="en-AU"/>
        </w:rPr>
        <w:t>references to financial affordability as a key principle and strongly recommend that the Commission apply caution when focusing on sustainability and financial affordability. While we very much support the need for reforms that ensure the scheme is using its funds effectively, our experience suggests that sustainability is often a de</w:t>
      </w:r>
      <w:r w:rsidR="00012D9B">
        <w:rPr>
          <w:rFonts w:asciiTheme="majorHAnsi" w:hAnsiTheme="majorHAnsi" w:cstheme="majorHAnsi"/>
          <w:bCs/>
          <w:color w:val="404040" w:themeColor="text1" w:themeTint="BF"/>
          <w:sz w:val="22"/>
          <w:lang w:val="en-AU"/>
        </w:rPr>
        <w:t xml:space="preserve"> </w:t>
      </w:r>
      <w:r w:rsidRPr="00B02DD1">
        <w:rPr>
          <w:rFonts w:asciiTheme="majorHAnsi" w:hAnsiTheme="majorHAnsi" w:cstheme="majorHAnsi"/>
          <w:bCs/>
          <w:color w:val="404040" w:themeColor="text1" w:themeTint="BF"/>
          <w:sz w:val="22"/>
          <w:lang w:val="en-AU"/>
        </w:rPr>
        <w:t xml:space="preserve">facto means of applying non-evidence-based rationing. This in turn can end up leaving consumers choosing one health service over another, even where this may be less appropriate, due to funding structures arising from rationing. </w:t>
      </w:r>
    </w:p>
    <w:p w14:paraId="4128F1D6" w14:textId="77777777" w:rsidR="00F05930" w:rsidRDefault="00F05930" w:rsidP="00B02DD1">
      <w:pPr>
        <w:spacing w:line="276" w:lineRule="auto"/>
        <w:rPr>
          <w:rFonts w:asciiTheme="majorHAnsi" w:hAnsiTheme="majorHAnsi" w:cstheme="majorHAnsi"/>
          <w:bCs/>
          <w:color w:val="404040" w:themeColor="text1" w:themeTint="BF"/>
          <w:sz w:val="22"/>
          <w:lang w:val="en-AU"/>
        </w:rPr>
      </w:pPr>
    </w:p>
    <w:p w14:paraId="03C8FBD8" w14:textId="50CC1AB2" w:rsidR="00B02DD1" w:rsidRPr="00B02DD1" w:rsidRDefault="00B02DD1" w:rsidP="00B02DD1">
      <w:pPr>
        <w:spacing w:line="276" w:lineRule="auto"/>
        <w:rPr>
          <w:rFonts w:asciiTheme="majorHAnsi" w:hAnsiTheme="majorHAnsi" w:cstheme="majorHAnsi"/>
          <w:bCs/>
          <w:color w:val="404040" w:themeColor="text1" w:themeTint="BF"/>
          <w:sz w:val="22"/>
          <w:lang w:val="en-AU"/>
        </w:rPr>
      </w:pPr>
      <w:r w:rsidRPr="00B02DD1">
        <w:rPr>
          <w:rFonts w:asciiTheme="majorHAnsi" w:hAnsiTheme="majorHAnsi" w:cstheme="majorHAnsi"/>
          <w:bCs/>
          <w:color w:val="404040" w:themeColor="text1" w:themeTint="BF"/>
          <w:sz w:val="22"/>
          <w:lang w:val="en-AU"/>
        </w:rPr>
        <w:t xml:space="preserve">The current Medicare system is a perfect example of consumers being driven to seek what may be less appropriate care due to lack of funded access. In the context of health and disability-related services, this can often mean that access becomes limited to reactive needs where health outcomes may often be poorer as a result. We firmly argue for the need to keep a strong focus on preventative and early-intervention approaches that can make a significant difference to longer term outcomes for veterans. </w:t>
      </w:r>
    </w:p>
    <w:p w14:paraId="553B16E4" w14:textId="77777777" w:rsidR="00F05930" w:rsidRPr="00B02DD1" w:rsidRDefault="00F05930" w:rsidP="00B02DD1">
      <w:pPr>
        <w:spacing w:line="276" w:lineRule="auto"/>
        <w:rPr>
          <w:rFonts w:asciiTheme="majorHAnsi" w:hAnsiTheme="majorHAnsi" w:cstheme="majorHAnsi"/>
          <w:bCs/>
          <w:color w:val="404040" w:themeColor="text1" w:themeTint="BF"/>
          <w:sz w:val="22"/>
          <w:lang w:val="en-AU"/>
        </w:rPr>
      </w:pPr>
    </w:p>
    <w:p w14:paraId="4BDBC272" w14:textId="7EBCB94E" w:rsidR="00B02DD1" w:rsidRPr="00B02DD1" w:rsidRDefault="00B02DD1" w:rsidP="00B02DD1">
      <w:pPr>
        <w:spacing w:line="276" w:lineRule="auto"/>
        <w:rPr>
          <w:rFonts w:ascii="Bahnschrift SemiBold" w:hAnsi="Bahnschrift SemiBold"/>
          <w:b/>
          <w:bCs/>
          <w:color w:val="6D3291"/>
          <w:sz w:val="28"/>
          <w:szCs w:val="44"/>
        </w:rPr>
      </w:pPr>
      <w:r w:rsidRPr="00B02DD1">
        <w:rPr>
          <w:rFonts w:ascii="Bahnschrift SemiBold" w:hAnsi="Bahnschrift SemiBold"/>
          <w:b/>
          <w:bCs/>
          <w:color w:val="6D3291"/>
          <w:sz w:val="28"/>
          <w:szCs w:val="44"/>
        </w:rPr>
        <w:t>Draft Recommendation 6.3</w:t>
      </w:r>
      <w:r w:rsidR="00C756E0">
        <w:rPr>
          <w:rFonts w:ascii="Bahnschrift SemiBold" w:hAnsi="Bahnschrift SemiBold"/>
          <w:b/>
          <w:bCs/>
          <w:color w:val="6D3291"/>
          <w:sz w:val="28"/>
          <w:szCs w:val="44"/>
        </w:rPr>
        <w:t xml:space="preserve"> – Transition arrangements</w:t>
      </w:r>
    </w:p>
    <w:p w14:paraId="6978372C" w14:textId="77777777" w:rsidR="00F05930" w:rsidRPr="00F05930" w:rsidRDefault="00F05930" w:rsidP="00B02DD1">
      <w:pPr>
        <w:spacing w:line="276" w:lineRule="auto"/>
        <w:rPr>
          <w:rFonts w:asciiTheme="majorHAnsi" w:hAnsiTheme="majorHAnsi" w:cstheme="majorHAnsi"/>
          <w:bCs/>
          <w:color w:val="404040" w:themeColor="text1" w:themeTint="BF"/>
          <w:sz w:val="8"/>
          <w:lang w:val="en-AU"/>
        </w:rPr>
      </w:pPr>
    </w:p>
    <w:p w14:paraId="48BF6CB3" w14:textId="22900D3A" w:rsidR="00B02DD1" w:rsidRDefault="00B02DD1" w:rsidP="00B02DD1">
      <w:pPr>
        <w:spacing w:line="276" w:lineRule="auto"/>
        <w:rPr>
          <w:rFonts w:asciiTheme="majorHAnsi" w:hAnsiTheme="majorHAnsi" w:cstheme="majorHAnsi"/>
          <w:bCs/>
          <w:color w:val="404040" w:themeColor="text1" w:themeTint="BF"/>
          <w:sz w:val="22"/>
          <w:lang w:val="en-AU"/>
        </w:rPr>
      </w:pPr>
      <w:r w:rsidRPr="00B02DD1">
        <w:rPr>
          <w:rFonts w:asciiTheme="majorHAnsi" w:hAnsiTheme="majorHAnsi" w:cstheme="majorHAnsi"/>
          <w:bCs/>
          <w:color w:val="404040" w:themeColor="text1" w:themeTint="BF"/>
          <w:sz w:val="22"/>
          <w:lang w:val="en-AU"/>
        </w:rPr>
        <w:t>AHPA strongly supports changes to the transition arrangements for veterans in need of rehabilitation services moving out of the Australian Defence Force. We support the recommendation that responsibility for managing this transition is managed by Joint Transition Command. We also support the recommendation that services remain in place until claims under the DVA scheme have been processed to ensure that veterans are able to access services during the interval between discharge and a successful DVA claim. Continuity of care not only increases the likelihood that veterans achieve appropriate rehabilitative outcomes, it also provides greater certainty for both veterans and the providers delivering care. This can ensure that both are able to focus on addressing the needs of the veteran rather than wrestling with uncertain funding arrangements.</w:t>
      </w:r>
    </w:p>
    <w:p w14:paraId="0B582318" w14:textId="77777777" w:rsidR="00F05930" w:rsidRPr="00B02DD1" w:rsidRDefault="00F05930" w:rsidP="00B02DD1">
      <w:pPr>
        <w:spacing w:line="276" w:lineRule="auto"/>
        <w:rPr>
          <w:rFonts w:asciiTheme="majorHAnsi" w:hAnsiTheme="majorHAnsi" w:cstheme="majorHAnsi"/>
          <w:bCs/>
          <w:color w:val="404040" w:themeColor="text1" w:themeTint="BF"/>
          <w:sz w:val="22"/>
          <w:lang w:val="en-AU"/>
        </w:rPr>
      </w:pPr>
    </w:p>
    <w:p w14:paraId="72B9EE55" w14:textId="56511874" w:rsidR="00B02DD1" w:rsidRDefault="00B02DD1" w:rsidP="00B02DD1">
      <w:pPr>
        <w:spacing w:line="276" w:lineRule="auto"/>
        <w:rPr>
          <w:rFonts w:asciiTheme="majorHAnsi" w:hAnsiTheme="majorHAnsi" w:cstheme="majorHAnsi"/>
          <w:bCs/>
          <w:color w:val="404040" w:themeColor="text1" w:themeTint="BF"/>
          <w:sz w:val="22"/>
          <w:lang w:val="en-AU"/>
        </w:rPr>
      </w:pPr>
      <w:r w:rsidRPr="00B02DD1">
        <w:rPr>
          <w:rFonts w:asciiTheme="majorHAnsi" w:hAnsiTheme="majorHAnsi" w:cstheme="majorHAnsi"/>
          <w:bCs/>
          <w:color w:val="404040" w:themeColor="text1" w:themeTint="BF"/>
          <w:sz w:val="22"/>
          <w:lang w:val="en-AU"/>
        </w:rPr>
        <w:t xml:space="preserve">AHPA also recognises and supports the need for rehabilitative care to be based on evidence-based approaches and that there is value in ensuring that outcomes are measured and reported. However, </w:t>
      </w:r>
      <w:r w:rsidRPr="00B02DD1">
        <w:rPr>
          <w:rFonts w:asciiTheme="majorHAnsi" w:hAnsiTheme="majorHAnsi" w:cstheme="majorHAnsi"/>
          <w:bCs/>
          <w:color w:val="404040" w:themeColor="text1" w:themeTint="BF"/>
          <w:sz w:val="22"/>
          <w:lang w:val="en-AU"/>
        </w:rPr>
        <w:lastRenderedPageBreak/>
        <w:t xml:space="preserve">we argue that caution is needed in applying this recommendation. We note, for example, that the recent Medicare Review has found that a large proportion of the care funded through the Medicare Benefits Schedule has only a minimal evidence base. This by no means suggests that the funded treatment is ineffective, rather it is the result of the significant costs and complexities involved in developing a vigorous evidence base. Instead we suggest that this recommendation limits funding for any interventions where evidence has shown that they are ineffective. A recent example is the use of knee arthroscopy for osteoarthritis. </w:t>
      </w:r>
    </w:p>
    <w:p w14:paraId="73A2B7B4" w14:textId="77777777" w:rsidR="00F05930" w:rsidRPr="00B02DD1" w:rsidRDefault="00F05930" w:rsidP="00B02DD1">
      <w:pPr>
        <w:spacing w:line="276" w:lineRule="auto"/>
        <w:rPr>
          <w:rFonts w:asciiTheme="majorHAnsi" w:hAnsiTheme="majorHAnsi" w:cstheme="majorHAnsi"/>
          <w:bCs/>
          <w:color w:val="404040" w:themeColor="text1" w:themeTint="BF"/>
          <w:sz w:val="22"/>
          <w:lang w:val="en-AU"/>
        </w:rPr>
      </w:pPr>
    </w:p>
    <w:p w14:paraId="61F934E1" w14:textId="77777777" w:rsidR="00B02DD1" w:rsidRPr="00B02DD1" w:rsidRDefault="00B02DD1" w:rsidP="00B02DD1">
      <w:pPr>
        <w:spacing w:line="276" w:lineRule="auto"/>
        <w:rPr>
          <w:rFonts w:asciiTheme="majorHAnsi" w:hAnsiTheme="majorHAnsi" w:cstheme="majorHAnsi"/>
          <w:bCs/>
          <w:color w:val="404040" w:themeColor="text1" w:themeTint="BF"/>
          <w:sz w:val="22"/>
          <w:lang w:val="en-AU"/>
        </w:rPr>
      </w:pPr>
      <w:r w:rsidRPr="00B02DD1">
        <w:rPr>
          <w:rFonts w:asciiTheme="majorHAnsi" w:hAnsiTheme="majorHAnsi" w:cstheme="majorHAnsi"/>
          <w:bCs/>
          <w:color w:val="404040" w:themeColor="text1" w:themeTint="BF"/>
          <w:sz w:val="22"/>
          <w:lang w:val="en-AU"/>
        </w:rPr>
        <w:t xml:space="preserve">We also note the significant challenge of reporting on outcomes given the current lack of agreed outcome measures, the lack of consistent systems to measure and report on these outcomes and the multitude of factors and time delays that can be involved in achieving outcomes. Many outcomes are heavily dependent on factors that are beyond the practitioner’s control. We propose that an initial step towards the implementation of this recommendation is work with the relevant parts of the health and social support sectors in order to begin mapping consistent outcomes measures that could be applied across different types of rehabilitation service. </w:t>
      </w:r>
    </w:p>
    <w:p w14:paraId="306E7B46" w14:textId="446E5E57" w:rsidR="00B02DD1" w:rsidRDefault="00B02DD1" w:rsidP="00B02DD1">
      <w:pPr>
        <w:spacing w:line="276" w:lineRule="auto"/>
        <w:rPr>
          <w:rFonts w:asciiTheme="majorHAnsi" w:hAnsiTheme="majorHAnsi" w:cstheme="majorHAnsi"/>
          <w:bCs/>
          <w:color w:val="404040" w:themeColor="text1" w:themeTint="BF"/>
          <w:sz w:val="22"/>
          <w:lang w:val="en-AU"/>
        </w:rPr>
      </w:pPr>
      <w:r w:rsidRPr="00B02DD1">
        <w:rPr>
          <w:rFonts w:asciiTheme="majorHAnsi" w:hAnsiTheme="majorHAnsi" w:cstheme="majorHAnsi"/>
          <w:bCs/>
          <w:color w:val="404040" w:themeColor="text1" w:themeTint="BF"/>
          <w:sz w:val="22"/>
          <w:lang w:val="en-AU"/>
        </w:rPr>
        <w:t>It will be important to consider whether these outcomes measures are able to align with the outcomes sought by veterans as part of a move to consumer-directed care. In conjunction with this work, it will be important for the DVA to begin mapping the capacity of different parts of the sector to measure and report these outcomes with the existing systems that are utilised or whether new systems will be required. If the latter, it will be essential to ensure that providers are supported to implement these systems and that such requirements do not inadvertently squeeze out smaller providers who may play an essential role in providing care, particularly in rural and remote areas with limited services.</w:t>
      </w:r>
    </w:p>
    <w:p w14:paraId="59260373" w14:textId="77777777" w:rsidR="00F05930" w:rsidRPr="00B02DD1" w:rsidRDefault="00F05930" w:rsidP="00B02DD1">
      <w:pPr>
        <w:spacing w:line="276" w:lineRule="auto"/>
        <w:rPr>
          <w:rFonts w:asciiTheme="majorHAnsi" w:hAnsiTheme="majorHAnsi" w:cstheme="majorHAnsi"/>
          <w:bCs/>
          <w:color w:val="404040" w:themeColor="text1" w:themeTint="BF"/>
          <w:sz w:val="22"/>
          <w:lang w:val="en-AU"/>
        </w:rPr>
      </w:pPr>
    </w:p>
    <w:p w14:paraId="197BF69D" w14:textId="11F48806" w:rsidR="00B02DD1" w:rsidRPr="00F05930" w:rsidRDefault="00B02DD1" w:rsidP="00B02DD1">
      <w:pPr>
        <w:spacing w:line="276" w:lineRule="auto"/>
        <w:rPr>
          <w:rFonts w:ascii="Bahnschrift SemiBold" w:hAnsi="Bahnschrift SemiBold"/>
          <w:b/>
          <w:bCs/>
          <w:color w:val="6D3291"/>
          <w:sz w:val="28"/>
          <w:szCs w:val="44"/>
        </w:rPr>
      </w:pPr>
      <w:r w:rsidRPr="00B02DD1">
        <w:rPr>
          <w:rFonts w:ascii="Bahnschrift SemiBold" w:hAnsi="Bahnschrift SemiBold"/>
          <w:b/>
          <w:bCs/>
          <w:color w:val="6D3291"/>
          <w:sz w:val="28"/>
          <w:szCs w:val="44"/>
        </w:rPr>
        <w:t xml:space="preserve">Section 6.4 </w:t>
      </w:r>
      <w:r w:rsidR="00F05930">
        <w:rPr>
          <w:rFonts w:ascii="Bahnschrift SemiBold" w:hAnsi="Bahnschrift SemiBold"/>
          <w:b/>
          <w:bCs/>
          <w:color w:val="6D3291"/>
          <w:sz w:val="28"/>
          <w:szCs w:val="44"/>
        </w:rPr>
        <w:t xml:space="preserve">- </w:t>
      </w:r>
      <w:r w:rsidRPr="00B02DD1">
        <w:rPr>
          <w:rFonts w:ascii="Bahnschrift SemiBold" w:hAnsi="Bahnschrift SemiBold"/>
          <w:b/>
          <w:bCs/>
          <w:color w:val="6D3291"/>
          <w:sz w:val="28"/>
          <w:szCs w:val="44"/>
        </w:rPr>
        <w:t xml:space="preserve">Commissioning of services </w:t>
      </w:r>
    </w:p>
    <w:p w14:paraId="39B80A21" w14:textId="77777777" w:rsidR="00F05930" w:rsidRPr="00B02DD1" w:rsidRDefault="00F05930" w:rsidP="00B02DD1">
      <w:pPr>
        <w:spacing w:line="276" w:lineRule="auto"/>
        <w:rPr>
          <w:rFonts w:asciiTheme="majorHAnsi" w:hAnsiTheme="majorHAnsi" w:cstheme="majorHAnsi"/>
          <w:bCs/>
          <w:color w:val="404040" w:themeColor="text1" w:themeTint="BF"/>
          <w:sz w:val="8"/>
          <w:lang w:val="en-AU"/>
        </w:rPr>
      </w:pPr>
    </w:p>
    <w:p w14:paraId="43B091C4" w14:textId="2CBBE539" w:rsidR="00B02DD1" w:rsidRPr="00B02DD1" w:rsidRDefault="00B02DD1" w:rsidP="00B02DD1">
      <w:pPr>
        <w:spacing w:line="276" w:lineRule="auto"/>
        <w:rPr>
          <w:rFonts w:asciiTheme="majorHAnsi" w:hAnsiTheme="majorHAnsi" w:cstheme="majorHAnsi"/>
          <w:bCs/>
          <w:color w:val="404040" w:themeColor="text1" w:themeTint="BF"/>
          <w:sz w:val="22"/>
          <w:lang w:val="en-AU"/>
        </w:rPr>
      </w:pPr>
      <w:r w:rsidRPr="00B02DD1">
        <w:rPr>
          <w:rFonts w:asciiTheme="majorHAnsi" w:hAnsiTheme="majorHAnsi" w:cstheme="majorHAnsi"/>
          <w:bCs/>
          <w:color w:val="404040" w:themeColor="text1" w:themeTint="BF"/>
          <w:sz w:val="22"/>
          <w:lang w:val="en-AU"/>
        </w:rPr>
        <w:t>The draft report suggests changes are required in the context of commissioning of rehabilitation services. More specifically, the report suggests options including:</w:t>
      </w:r>
      <w:r w:rsidR="00C756E0">
        <w:rPr>
          <w:rFonts w:asciiTheme="majorHAnsi" w:hAnsiTheme="majorHAnsi" w:cstheme="majorHAnsi"/>
          <w:bCs/>
          <w:color w:val="404040" w:themeColor="text1" w:themeTint="BF"/>
          <w:sz w:val="22"/>
          <w:lang w:val="en-AU"/>
        </w:rPr>
        <w:br/>
      </w:r>
    </w:p>
    <w:p w14:paraId="67D4F6E6" w14:textId="77777777" w:rsidR="00B02DD1" w:rsidRPr="00B02DD1" w:rsidRDefault="00B02DD1" w:rsidP="00C756E0">
      <w:pPr>
        <w:spacing w:line="276" w:lineRule="auto"/>
        <w:ind w:left="720"/>
        <w:rPr>
          <w:rFonts w:asciiTheme="majorHAnsi" w:hAnsiTheme="majorHAnsi" w:cstheme="majorHAnsi"/>
          <w:i/>
          <w:color w:val="404040" w:themeColor="text1" w:themeTint="BF"/>
          <w:sz w:val="22"/>
          <w:lang w:val="en-AU"/>
        </w:rPr>
      </w:pPr>
      <w:r w:rsidRPr="00B02DD1">
        <w:rPr>
          <w:rFonts w:asciiTheme="majorHAnsi" w:hAnsiTheme="majorHAnsi" w:cstheme="majorHAnsi"/>
          <w:i/>
          <w:color w:val="404040" w:themeColor="text1" w:themeTint="BF"/>
          <w:sz w:val="22"/>
          <w:lang w:val="en-AU"/>
        </w:rPr>
        <w:t>The outsourcing of much of the rehabilitation management, coordination and provision to established service providers. This could be done on a state</w:t>
      </w:r>
      <w:r w:rsidRPr="00B02DD1">
        <w:rPr>
          <w:rFonts w:asciiTheme="majorHAnsi" w:hAnsiTheme="majorHAnsi" w:cstheme="majorHAnsi"/>
          <w:i/>
          <w:color w:val="404040" w:themeColor="text1" w:themeTint="BF"/>
          <w:sz w:val="22"/>
          <w:lang w:val="en-AU"/>
        </w:rPr>
        <w:noBreakHyphen/>
        <w:t>by</w:t>
      </w:r>
      <w:r w:rsidRPr="00B02DD1">
        <w:rPr>
          <w:rFonts w:asciiTheme="majorHAnsi" w:hAnsiTheme="majorHAnsi" w:cstheme="majorHAnsi"/>
          <w:i/>
          <w:color w:val="404040" w:themeColor="text1" w:themeTint="BF"/>
          <w:sz w:val="22"/>
          <w:lang w:val="en-AU"/>
        </w:rPr>
        <w:noBreakHyphen/>
        <w:t>state basis so that there may be only one (or two) providers per state or territory with the aim to have a small number (nationally) of high</w:t>
      </w:r>
      <w:r w:rsidRPr="00B02DD1">
        <w:rPr>
          <w:rFonts w:asciiTheme="majorHAnsi" w:hAnsiTheme="majorHAnsi" w:cstheme="majorHAnsi"/>
          <w:i/>
          <w:color w:val="404040" w:themeColor="text1" w:themeTint="BF"/>
          <w:sz w:val="22"/>
          <w:lang w:val="en-AU"/>
        </w:rPr>
        <w:noBreakHyphen/>
        <w:t>quality and well</w:t>
      </w:r>
      <w:r w:rsidRPr="00B02DD1">
        <w:rPr>
          <w:rFonts w:asciiTheme="majorHAnsi" w:hAnsiTheme="majorHAnsi" w:cstheme="majorHAnsi"/>
          <w:i/>
          <w:color w:val="404040" w:themeColor="text1" w:themeTint="BF"/>
          <w:sz w:val="22"/>
          <w:lang w:val="en-AU"/>
        </w:rPr>
        <w:noBreakHyphen/>
        <w:t>monitored providers, creating a competitive environment based on best practice approaches and outcomes.</w:t>
      </w:r>
    </w:p>
    <w:p w14:paraId="4FDE5E79" w14:textId="77777777" w:rsidR="00C756E0" w:rsidRDefault="00C756E0" w:rsidP="00B02DD1">
      <w:pPr>
        <w:spacing w:line="276" w:lineRule="auto"/>
        <w:rPr>
          <w:rFonts w:asciiTheme="majorHAnsi" w:hAnsiTheme="majorHAnsi" w:cstheme="majorHAnsi"/>
          <w:bCs/>
          <w:color w:val="404040" w:themeColor="text1" w:themeTint="BF"/>
          <w:sz w:val="22"/>
          <w:lang w:val="en-AU"/>
        </w:rPr>
      </w:pPr>
    </w:p>
    <w:p w14:paraId="2CD07814" w14:textId="77777777" w:rsidR="001E1B3C" w:rsidRDefault="00B02DD1" w:rsidP="00B02DD1">
      <w:pPr>
        <w:spacing w:line="276" w:lineRule="auto"/>
        <w:rPr>
          <w:rFonts w:asciiTheme="majorHAnsi" w:hAnsiTheme="majorHAnsi" w:cstheme="majorHAnsi"/>
          <w:bCs/>
          <w:color w:val="404040" w:themeColor="text1" w:themeTint="BF"/>
          <w:sz w:val="22"/>
          <w:lang w:val="en-AU"/>
        </w:rPr>
      </w:pPr>
      <w:r w:rsidRPr="00B02DD1">
        <w:rPr>
          <w:rFonts w:asciiTheme="majorHAnsi" w:hAnsiTheme="majorHAnsi" w:cstheme="majorHAnsi"/>
          <w:bCs/>
          <w:color w:val="404040" w:themeColor="text1" w:themeTint="BF"/>
          <w:sz w:val="22"/>
          <w:lang w:val="en-AU"/>
        </w:rPr>
        <w:t xml:space="preserve">AHPA has significant concerns about the potential impact of this approach on consumer choice and competition, on access to services in regions with lower demand and lower volumes of care, and on the overall quality of care provided to veterans. The allied health sector is an important provider of rehabilitation services to veterans, both physical and psychological. Currently a large majority of those allied health services are provided by private practitioners working in solo or small businesses. The move to have all services delivered by a small number of state-based or national organisations is likely to significantly impact the size of the marketplace, reducing choice for consumers, limiting access to quality services, and reducing individual incomes for providers who may be forced into employment or contractual arrangements with these providers. </w:t>
      </w:r>
    </w:p>
    <w:p w14:paraId="66161B1B" w14:textId="77777777" w:rsidR="001E1B3C" w:rsidRDefault="001E1B3C" w:rsidP="00B02DD1">
      <w:pPr>
        <w:spacing w:line="276" w:lineRule="auto"/>
        <w:rPr>
          <w:rFonts w:asciiTheme="majorHAnsi" w:hAnsiTheme="majorHAnsi" w:cstheme="majorHAnsi"/>
          <w:bCs/>
          <w:color w:val="404040" w:themeColor="text1" w:themeTint="BF"/>
          <w:sz w:val="22"/>
          <w:lang w:val="en-AU"/>
        </w:rPr>
      </w:pPr>
    </w:p>
    <w:p w14:paraId="4EEB5BE9" w14:textId="7E5E9599" w:rsidR="00B02DD1" w:rsidRDefault="00B02DD1" w:rsidP="00B02DD1">
      <w:pPr>
        <w:spacing w:line="276" w:lineRule="auto"/>
        <w:rPr>
          <w:rFonts w:asciiTheme="majorHAnsi" w:hAnsiTheme="majorHAnsi" w:cstheme="majorHAnsi"/>
          <w:bCs/>
          <w:color w:val="404040" w:themeColor="text1" w:themeTint="BF"/>
          <w:sz w:val="22"/>
          <w:lang w:val="en-AU"/>
        </w:rPr>
      </w:pPr>
      <w:r w:rsidRPr="00B02DD1">
        <w:rPr>
          <w:rFonts w:asciiTheme="majorHAnsi" w:hAnsiTheme="majorHAnsi" w:cstheme="majorHAnsi"/>
          <w:bCs/>
          <w:color w:val="404040" w:themeColor="text1" w:themeTint="BF"/>
          <w:sz w:val="22"/>
          <w:lang w:val="en-AU"/>
        </w:rPr>
        <w:lastRenderedPageBreak/>
        <w:t>The allied health sector’s experience with the NDIS is showing that even without a focus on several large providers, smaller operators are effectively being squeezed out of the market by onerous compliance costs and regulations.</w:t>
      </w:r>
      <w:r w:rsidR="001E1B3C">
        <w:rPr>
          <w:rFonts w:asciiTheme="majorHAnsi" w:hAnsiTheme="majorHAnsi" w:cstheme="majorHAnsi"/>
          <w:bCs/>
          <w:color w:val="404040" w:themeColor="text1" w:themeTint="BF"/>
          <w:sz w:val="22"/>
          <w:lang w:val="en-AU"/>
        </w:rPr>
        <w:t xml:space="preserve"> </w:t>
      </w:r>
      <w:r w:rsidRPr="00B02DD1">
        <w:rPr>
          <w:rFonts w:asciiTheme="majorHAnsi" w:hAnsiTheme="majorHAnsi" w:cstheme="majorHAnsi"/>
          <w:bCs/>
          <w:color w:val="404040" w:themeColor="text1" w:themeTint="BF"/>
          <w:sz w:val="22"/>
          <w:lang w:val="en-AU"/>
        </w:rPr>
        <w:t>AHPA is concerned that none of the current options sufficiently consider the structure of the allied health landscape or the impact of these different commissioning models on access to services or sustainability of those providers on whom veterans depend. As such, we strongly argue for the need to undertake additional work and consultation in this space ahead of a final report, focused on engagement with the allied health sector, aimed at ensuring the right balance is struck between efficient commissioning systems, quality, accessibility, and choice for consumers, and not endangering the viability of providers, particularly those in rural and remote regions.</w:t>
      </w:r>
    </w:p>
    <w:p w14:paraId="0D9E0DF7" w14:textId="77777777" w:rsidR="001E1B3C" w:rsidRPr="00B02DD1" w:rsidRDefault="001E1B3C" w:rsidP="00B02DD1">
      <w:pPr>
        <w:spacing w:line="276" w:lineRule="auto"/>
        <w:rPr>
          <w:rFonts w:asciiTheme="majorHAnsi" w:hAnsiTheme="majorHAnsi" w:cstheme="majorHAnsi"/>
          <w:bCs/>
          <w:color w:val="404040" w:themeColor="text1" w:themeTint="BF"/>
          <w:sz w:val="22"/>
          <w:lang w:val="en-AU"/>
        </w:rPr>
      </w:pPr>
    </w:p>
    <w:p w14:paraId="51C1441B" w14:textId="18CD1D12" w:rsidR="001E1B3C" w:rsidRPr="001E1B3C" w:rsidRDefault="00B02DD1" w:rsidP="00B02DD1">
      <w:pPr>
        <w:spacing w:line="276" w:lineRule="auto"/>
        <w:rPr>
          <w:rFonts w:asciiTheme="majorHAnsi" w:hAnsiTheme="majorHAnsi" w:cstheme="majorHAnsi"/>
          <w:bCs/>
          <w:color w:val="404040" w:themeColor="text1" w:themeTint="BF"/>
          <w:sz w:val="8"/>
          <w:lang w:val="en-AU"/>
        </w:rPr>
      </w:pPr>
      <w:r w:rsidRPr="00B02DD1">
        <w:rPr>
          <w:rFonts w:ascii="Bahnschrift SemiBold" w:hAnsi="Bahnschrift SemiBold"/>
          <w:b/>
          <w:bCs/>
          <w:color w:val="6D3291"/>
          <w:sz w:val="28"/>
          <w:szCs w:val="44"/>
        </w:rPr>
        <w:t>Information Request 6.2</w:t>
      </w:r>
      <w:r w:rsidR="001E1B3C">
        <w:rPr>
          <w:rFonts w:ascii="Bahnschrift SemiBold" w:hAnsi="Bahnschrift SemiBold"/>
          <w:b/>
          <w:bCs/>
          <w:color w:val="6D3291"/>
          <w:sz w:val="28"/>
          <w:szCs w:val="44"/>
        </w:rPr>
        <w:t xml:space="preserve"> – Consumer-directed care</w:t>
      </w:r>
      <w:r w:rsidRPr="00B02DD1">
        <w:rPr>
          <w:rFonts w:ascii="Bahnschrift SemiBold" w:hAnsi="Bahnschrift SemiBold"/>
          <w:b/>
          <w:bCs/>
          <w:color w:val="6D3291"/>
          <w:sz w:val="28"/>
          <w:szCs w:val="44"/>
        </w:rPr>
        <w:br/>
      </w:r>
    </w:p>
    <w:p w14:paraId="3631CF97" w14:textId="716686EA" w:rsidR="00B02DD1" w:rsidRDefault="00B02DD1" w:rsidP="00B02DD1">
      <w:pPr>
        <w:spacing w:line="276" w:lineRule="auto"/>
        <w:rPr>
          <w:rFonts w:asciiTheme="majorHAnsi" w:hAnsiTheme="majorHAnsi" w:cstheme="majorHAnsi"/>
          <w:bCs/>
          <w:i/>
          <w:color w:val="404040" w:themeColor="text1" w:themeTint="BF"/>
          <w:sz w:val="22"/>
          <w:lang w:val="en-AU"/>
        </w:rPr>
      </w:pPr>
      <w:r w:rsidRPr="00B02DD1">
        <w:rPr>
          <w:rFonts w:asciiTheme="majorHAnsi" w:hAnsiTheme="majorHAnsi" w:cstheme="majorHAnsi"/>
          <w:bCs/>
          <w:color w:val="404040" w:themeColor="text1" w:themeTint="BF"/>
          <w:sz w:val="22"/>
          <w:lang w:val="en-AU"/>
        </w:rPr>
        <w:t>T</w:t>
      </w:r>
      <w:r w:rsidRPr="00B02DD1">
        <w:rPr>
          <w:rFonts w:asciiTheme="majorHAnsi" w:hAnsiTheme="majorHAnsi" w:cstheme="majorHAnsi"/>
          <w:bCs/>
          <w:i/>
          <w:color w:val="404040" w:themeColor="text1" w:themeTint="BF"/>
          <w:sz w:val="22"/>
          <w:lang w:val="en-AU"/>
        </w:rPr>
        <w:t>he Commission is seeking further views on the potential use of consumer</w:t>
      </w:r>
      <w:r w:rsidRPr="00B02DD1">
        <w:rPr>
          <w:rFonts w:asciiTheme="majorHAnsi" w:hAnsiTheme="majorHAnsi" w:cstheme="majorHAnsi"/>
          <w:bCs/>
          <w:i/>
          <w:color w:val="404040" w:themeColor="text1" w:themeTint="BF"/>
          <w:sz w:val="22"/>
          <w:lang w:val="en-AU"/>
        </w:rPr>
        <w:noBreakHyphen/>
        <w:t>directed care for the rehabilitation services provided to veterans, or on alternatives for providing more tailored, person</w:t>
      </w:r>
      <w:r w:rsidRPr="00B02DD1">
        <w:rPr>
          <w:rFonts w:asciiTheme="majorHAnsi" w:hAnsiTheme="majorHAnsi" w:cstheme="majorHAnsi"/>
          <w:bCs/>
          <w:i/>
          <w:color w:val="404040" w:themeColor="text1" w:themeTint="BF"/>
          <w:sz w:val="22"/>
          <w:lang w:val="en-AU"/>
        </w:rPr>
        <w:noBreakHyphen/>
        <w:t>centred rehabilitation services.</w:t>
      </w:r>
    </w:p>
    <w:p w14:paraId="0552B1A7" w14:textId="77777777" w:rsidR="001E1B3C" w:rsidRPr="00B02DD1" w:rsidRDefault="001E1B3C" w:rsidP="00B02DD1">
      <w:pPr>
        <w:spacing w:line="276" w:lineRule="auto"/>
        <w:rPr>
          <w:rFonts w:asciiTheme="majorHAnsi" w:hAnsiTheme="majorHAnsi" w:cstheme="majorHAnsi"/>
          <w:bCs/>
          <w:color w:val="404040" w:themeColor="text1" w:themeTint="BF"/>
          <w:sz w:val="22"/>
          <w:lang w:val="en-AU"/>
        </w:rPr>
      </w:pPr>
    </w:p>
    <w:p w14:paraId="2FF59472" w14:textId="6F590441" w:rsidR="00B02DD1" w:rsidRDefault="00B02DD1" w:rsidP="00B02DD1">
      <w:pPr>
        <w:spacing w:line="276" w:lineRule="auto"/>
        <w:rPr>
          <w:rFonts w:asciiTheme="majorHAnsi" w:hAnsiTheme="majorHAnsi" w:cstheme="majorHAnsi"/>
          <w:bCs/>
          <w:color w:val="404040" w:themeColor="text1" w:themeTint="BF"/>
          <w:sz w:val="22"/>
          <w:lang w:val="en-AU"/>
        </w:rPr>
      </w:pPr>
      <w:r w:rsidRPr="00B02DD1">
        <w:rPr>
          <w:rFonts w:asciiTheme="majorHAnsi" w:hAnsiTheme="majorHAnsi" w:cstheme="majorHAnsi"/>
          <w:bCs/>
          <w:color w:val="404040" w:themeColor="text1" w:themeTint="BF"/>
          <w:sz w:val="22"/>
          <w:lang w:val="en-AU"/>
        </w:rPr>
        <w:t>AHPA strongly supports a move to provide veterans with a more active role in directing their own care. A wide body of research has shown the positive impact that consumer-directed approaches can have on outcomes for consumers, allowing them to determine the outcomes that are important to them, providing greater choice and flexibility and providing greater dignity and empowerment to people who are in situations where they may feel that they have lost control and choice.</w:t>
      </w:r>
    </w:p>
    <w:p w14:paraId="450524EE" w14:textId="77777777" w:rsidR="001E1B3C" w:rsidRPr="00B02DD1" w:rsidRDefault="001E1B3C" w:rsidP="00B02DD1">
      <w:pPr>
        <w:spacing w:line="276" w:lineRule="auto"/>
        <w:rPr>
          <w:rFonts w:asciiTheme="majorHAnsi" w:hAnsiTheme="majorHAnsi" w:cstheme="majorHAnsi"/>
          <w:bCs/>
          <w:color w:val="404040" w:themeColor="text1" w:themeTint="BF"/>
          <w:sz w:val="22"/>
          <w:lang w:val="en-AU"/>
        </w:rPr>
      </w:pPr>
    </w:p>
    <w:p w14:paraId="5A7E6DCD" w14:textId="34914F36" w:rsidR="001E1B3C" w:rsidRDefault="00B02DD1" w:rsidP="00B02DD1">
      <w:pPr>
        <w:spacing w:line="276" w:lineRule="auto"/>
        <w:rPr>
          <w:rFonts w:asciiTheme="majorHAnsi" w:hAnsiTheme="majorHAnsi" w:cstheme="majorHAnsi"/>
          <w:bCs/>
          <w:color w:val="404040" w:themeColor="text1" w:themeTint="BF"/>
          <w:sz w:val="22"/>
          <w:lang w:val="en-AU"/>
        </w:rPr>
      </w:pPr>
      <w:r w:rsidRPr="00B02DD1">
        <w:rPr>
          <w:rFonts w:asciiTheme="majorHAnsi" w:hAnsiTheme="majorHAnsi" w:cstheme="majorHAnsi"/>
          <w:bCs/>
          <w:color w:val="404040" w:themeColor="text1" w:themeTint="BF"/>
          <w:sz w:val="22"/>
          <w:lang w:val="en-AU"/>
        </w:rPr>
        <w:t>However, while AHPA strongly supports this approach, we advise caution and careful consideration in the design of a system based around consumer-directed care. The experience of those allied health providers delivering services across disability and aged care suggests that while some consumers are very health literate and well able to self -advocate, many more are not</w:t>
      </w:r>
      <w:r w:rsidR="00615DBF">
        <w:rPr>
          <w:rFonts w:asciiTheme="majorHAnsi" w:hAnsiTheme="majorHAnsi" w:cstheme="majorHAnsi"/>
          <w:bCs/>
          <w:color w:val="404040" w:themeColor="text1" w:themeTint="BF"/>
          <w:sz w:val="22"/>
          <w:lang w:val="en-AU"/>
        </w:rPr>
        <w:t>,</w:t>
      </w:r>
      <w:r w:rsidRPr="00B02DD1">
        <w:rPr>
          <w:rFonts w:asciiTheme="majorHAnsi" w:hAnsiTheme="majorHAnsi" w:cstheme="majorHAnsi"/>
          <w:bCs/>
          <w:color w:val="404040" w:themeColor="text1" w:themeTint="BF"/>
          <w:sz w:val="22"/>
          <w:lang w:val="en-AU"/>
        </w:rPr>
        <w:t xml:space="preserve"> and this can lead to significant differences in outcomes. We argue that being able to manage and direct one’s own care requires substantial health literacy and for many consumers is likely to require significant support at the outset through a care coordinator or planner, as is provided under the National Disability Insurance Scheme (NDIS). </w:t>
      </w:r>
    </w:p>
    <w:p w14:paraId="2C717E67" w14:textId="77777777" w:rsidR="001E1B3C" w:rsidRDefault="001E1B3C" w:rsidP="00B02DD1">
      <w:pPr>
        <w:spacing w:line="276" w:lineRule="auto"/>
        <w:rPr>
          <w:rFonts w:asciiTheme="majorHAnsi" w:hAnsiTheme="majorHAnsi" w:cstheme="majorHAnsi"/>
          <w:bCs/>
          <w:color w:val="404040" w:themeColor="text1" w:themeTint="BF"/>
          <w:sz w:val="22"/>
          <w:lang w:val="en-AU"/>
        </w:rPr>
      </w:pPr>
    </w:p>
    <w:p w14:paraId="7B4CA2EA" w14:textId="3F4746BC" w:rsidR="00B02DD1" w:rsidRPr="00B02DD1" w:rsidRDefault="00B02DD1" w:rsidP="00B02DD1">
      <w:pPr>
        <w:spacing w:line="276" w:lineRule="auto"/>
        <w:rPr>
          <w:rFonts w:asciiTheme="majorHAnsi" w:hAnsiTheme="majorHAnsi" w:cstheme="majorHAnsi"/>
          <w:bCs/>
          <w:color w:val="404040" w:themeColor="text1" w:themeTint="BF"/>
          <w:sz w:val="22"/>
          <w:lang w:val="en-AU"/>
        </w:rPr>
      </w:pPr>
      <w:r w:rsidRPr="00B02DD1">
        <w:rPr>
          <w:rFonts w:asciiTheme="majorHAnsi" w:hAnsiTheme="majorHAnsi" w:cstheme="majorHAnsi"/>
          <w:bCs/>
          <w:color w:val="404040" w:themeColor="text1" w:themeTint="BF"/>
          <w:sz w:val="22"/>
          <w:lang w:val="en-AU"/>
        </w:rPr>
        <w:t>Importantly, our experience with the NDIS suggests that many planners and coordinators themselves lack knowledge and experience and this can impact negatively on the people they support. We argue that it will be vital to ensure that any providers involved in supporting care coordination and planning have the appropriate qualifications, training, and experience to understand the complex range of services and systems that make up our health and social support sectors. Only then can we ensure that veterans are provided expert, safe and appropriate support that allows them to build the knowledge and confidence to fully manage their own care.</w:t>
      </w:r>
    </w:p>
    <w:p w14:paraId="56723E60" w14:textId="77777777" w:rsidR="001E1B3C" w:rsidRDefault="001E1B3C" w:rsidP="00B02DD1">
      <w:pPr>
        <w:spacing w:line="276" w:lineRule="auto"/>
        <w:rPr>
          <w:rFonts w:asciiTheme="majorHAnsi" w:hAnsiTheme="majorHAnsi" w:cstheme="majorHAnsi"/>
          <w:bCs/>
          <w:color w:val="404040" w:themeColor="text1" w:themeTint="BF"/>
          <w:sz w:val="22"/>
          <w:lang w:val="en-AU"/>
        </w:rPr>
      </w:pPr>
    </w:p>
    <w:p w14:paraId="4612F27A" w14:textId="45989C5D" w:rsidR="00B02DD1" w:rsidRPr="00B02DD1" w:rsidRDefault="00F11709" w:rsidP="00B02DD1">
      <w:pPr>
        <w:spacing w:line="276" w:lineRule="auto"/>
        <w:rPr>
          <w:rFonts w:asciiTheme="majorHAnsi" w:hAnsiTheme="majorHAnsi" w:cstheme="majorHAnsi"/>
          <w:bCs/>
          <w:color w:val="404040" w:themeColor="text1" w:themeTint="BF"/>
          <w:sz w:val="22"/>
          <w:lang w:val="en-AU"/>
        </w:rPr>
      </w:pPr>
      <w:r>
        <w:rPr>
          <w:rFonts w:asciiTheme="majorHAnsi" w:hAnsiTheme="majorHAnsi" w:cstheme="majorHAnsi"/>
          <w:bCs/>
          <w:color w:val="404040" w:themeColor="text1" w:themeTint="BF"/>
          <w:sz w:val="22"/>
          <w:lang w:val="en-AU"/>
        </w:rPr>
        <w:t>O</w:t>
      </w:r>
      <w:r w:rsidR="00B02DD1" w:rsidRPr="00B02DD1">
        <w:rPr>
          <w:rFonts w:asciiTheme="majorHAnsi" w:hAnsiTheme="majorHAnsi" w:cstheme="majorHAnsi"/>
          <w:bCs/>
          <w:color w:val="404040" w:themeColor="text1" w:themeTint="BF"/>
          <w:sz w:val="22"/>
          <w:lang w:val="en-AU"/>
        </w:rPr>
        <w:t xml:space="preserve">ur recommendation is for a system that is based around consumer-directed care and funding of veterans based on their own needs with significant capacity to control how that funding is utilised. However, we recommend that as part of the transition to such services, all veterans are provided initial support to improve their understanding of their own needs and how the health and social support systems can support addressing those needs. This planning and coordination support should </w:t>
      </w:r>
      <w:r w:rsidR="00B02DD1" w:rsidRPr="00B02DD1">
        <w:rPr>
          <w:rFonts w:asciiTheme="majorHAnsi" w:hAnsiTheme="majorHAnsi" w:cstheme="majorHAnsi"/>
          <w:bCs/>
          <w:color w:val="404040" w:themeColor="text1" w:themeTint="BF"/>
          <w:sz w:val="22"/>
          <w:lang w:val="en-AU"/>
        </w:rPr>
        <w:lastRenderedPageBreak/>
        <w:t>aim to withdraw as the veteran</w:t>
      </w:r>
      <w:r w:rsidR="00615DBF">
        <w:rPr>
          <w:rFonts w:asciiTheme="majorHAnsi" w:hAnsiTheme="majorHAnsi" w:cstheme="majorHAnsi"/>
          <w:bCs/>
          <w:color w:val="404040" w:themeColor="text1" w:themeTint="BF"/>
          <w:sz w:val="22"/>
          <w:lang w:val="en-AU"/>
        </w:rPr>
        <w:t>,</w:t>
      </w:r>
      <w:r w:rsidR="00B02DD1" w:rsidRPr="00B02DD1">
        <w:rPr>
          <w:rFonts w:asciiTheme="majorHAnsi" w:hAnsiTheme="majorHAnsi" w:cstheme="majorHAnsi"/>
          <w:bCs/>
          <w:color w:val="404040" w:themeColor="text1" w:themeTint="BF"/>
          <w:sz w:val="22"/>
          <w:lang w:val="en-AU"/>
        </w:rPr>
        <w:t xml:space="preserve"> or their family support system is able to take on the role independently.</w:t>
      </w:r>
    </w:p>
    <w:p w14:paraId="264E37AB" w14:textId="77777777" w:rsidR="00B02DD1" w:rsidRPr="00B02DD1" w:rsidRDefault="00B02DD1" w:rsidP="00B02DD1">
      <w:pPr>
        <w:spacing w:line="276" w:lineRule="auto"/>
        <w:rPr>
          <w:rFonts w:asciiTheme="majorHAnsi" w:hAnsiTheme="majorHAnsi" w:cstheme="majorHAnsi"/>
          <w:bCs/>
          <w:color w:val="404040" w:themeColor="text1" w:themeTint="BF"/>
          <w:sz w:val="22"/>
          <w:lang w:val="en-AU"/>
        </w:rPr>
      </w:pPr>
    </w:p>
    <w:p w14:paraId="21BA6753" w14:textId="77777777" w:rsidR="00B02DD1" w:rsidRPr="00B02DD1" w:rsidRDefault="00B02DD1" w:rsidP="00B02DD1">
      <w:pPr>
        <w:spacing w:line="276" w:lineRule="auto"/>
        <w:rPr>
          <w:rFonts w:ascii="Bahnschrift SemiBold" w:hAnsi="Bahnschrift SemiBold"/>
          <w:b/>
          <w:bCs/>
          <w:color w:val="6D3291"/>
          <w:sz w:val="28"/>
          <w:szCs w:val="44"/>
        </w:rPr>
      </w:pPr>
      <w:r w:rsidRPr="00B02DD1">
        <w:rPr>
          <w:rFonts w:ascii="Bahnschrift SemiBold" w:hAnsi="Bahnschrift SemiBold"/>
          <w:b/>
          <w:bCs/>
          <w:color w:val="6D3291"/>
          <w:sz w:val="28"/>
          <w:szCs w:val="44"/>
        </w:rPr>
        <w:t>Recommendation 15.1 – White and Gold Card eligibility</w:t>
      </w:r>
    </w:p>
    <w:p w14:paraId="5D9A9393" w14:textId="77777777" w:rsidR="00F11709" w:rsidRPr="00F11709" w:rsidRDefault="00F11709" w:rsidP="00B02DD1">
      <w:pPr>
        <w:spacing w:line="276" w:lineRule="auto"/>
        <w:rPr>
          <w:rFonts w:asciiTheme="majorHAnsi" w:hAnsiTheme="majorHAnsi" w:cstheme="majorHAnsi"/>
          <w:color w:val="404040" w:themeColor="text1" w:themeTint="BF"/>
          <w:sz w:val="8"/>
          <w:lang w:val="en-AU"/>
        </w:rPr>
      </w:pPr>
    </w:p>
    <w:p w14:paraId="071AAA95" w14:textId="5D544AD3" w:rsidR="00B02DD1" w:rsidRDefault="00B02DD1" w:rsidP="00B02DD1">
      <w:pPr>
        <w:spacing w:line="276" w:lineRule="auto"/>
        <w:rPr>
          <w:rFonts w:asciiTheme="majorHAnsi" w:hAnsiTheme="majorHAnsi" w:cstheme="majorHAnsi"/>
          <w:color w:val="404040" w:themeColor="text1" w:themeTint="BF"/>
          <w:sz w:val="22"/>
          <w:lang w:val="en-AU"/>
        </w:rPr>
      </w:pPr>
      <w:r w:rsidRPr="00B02DD1">
        <w:rPr>
          <w:rFonts w:asciiTheme="majorHAnsi" w:hAnsiTheme="majorHAnsi" w:cstheme="majorHAnsi"/>
          <w:color w:val="404040" w:themeColor="text1" w:themeTint="BF"/>
          <w:sz w:val="22"/>
          <w:lang w:val="en-AU"/>
        </w:rPr>
        <w:t>AHPA generally agrees that the Gold card should not be extended to new categories and that the White card system is appropriate for those with service- related injury or disability. However, we wish to state our strong concerns about the stated premise that access to health care has now changed and that those not eligible for either card can rely on systems other than the Department of Veteran’s Affairs for access to the care they may require. We strongly object to the notion that ‘Australia’s universal public health system means that veterans will have access to health care regardless of their financial circumstances’ through Medicare and the fact that ‘private health insurance is subsidised by the government’. Given our concerns, the Commission may wish to revisit the assumptions that underpin this recommendation for the final report.</w:t>
      </w:r>
    </w:p>
    <w:p w14:paraId="05C77A6A" w14:textId="77777777" w:rsidR="00F11709" w:rsidRPr="00B02DD1" w:rsidRDefault="00F11709" w:rsidP="00B02DD1">
      <w:pPr>
        <w:spacing w:line="276" w:lineRule="auto"/>
        <w:rPr>
          <w:rFonts w:asciiTheme="majorHAnsi" w:hAnsiTheme="majorHAnsi" w:cstheme="majorHAnsi"/>
          <w:color w:val="404040" w:themeColor="text1" w:themeTint="BF"/>
          <w:sz w:val="22"/>
          <w:lang w:val="en-AU"/>
        </w:rPr>
      </w:pPr>
    </w:p>
    <w:p w14:paraId="250EB7EC" w14:textId="50AFEE5A" w:rsidR="00B02DD1" w:rsidRDefault="00B02DD1" w:rsidP="00B02DD1">
      <w:pPr>
        <w:spacing w:line="276" w:lineRule="auto"/>
        <w:rPr>
          <w:rFonts w:asciiTheme="majorHAnsi" w:hAnsiTheme="majorHAnsi" w:cstheme="majorHAnsi"/>
          <w:color w:val="404040" w:themeColor="text1" w:themeTint="BF"/>
          <w:sz w:val="22"/>
          <w:lang w:val="en-AU"/>
        </w:rPr>
      </w:pPr>
      <w:r w:rsidRPr="00B02DD1">
        <w:rPr>
          <w:rFonts w:asciiTheme="majorHAnsi" w:hAnsiTheme="majorHAnsi" w:cstheme="majorHAnsi"/>
          <w:color w:val="404040" w:themeColor="text1" w:themeTint="BF"/>
          <w:sz w:val="22"/>
          <w:lang w:val="en-AU"/>
        </w:rPr>
        <w:t xml:space="preserve">There is extensive evidence from a wide range of expert commentators, showing that while Australians generally have access to a universal medical care scheme, the same does not apply to health care more broadly. Medicare provides only severely limited access to any allied health service and only for those with chronic and complex conditions. Annual limits on services severely restrict services even for those that are eligible and substantial ‘gap’ fees are the norm. In this context we note that recent reports from the Medicare Benefits Review as well as submissions by organisations including our own highlight the many access issues under the current structure. While some recommendations have been made for improvements, these are still subject to implementation and it will be important for the Commission to carefully monitor the outcomes of this work. </w:t>
      </w:r>
    </w:p>
    <w:p w14:paraId="0857D53B" w14:textId="77777777" w:rsidR="00F11709" w:rsidRPr="00B02DD1" w:rsidRDefault="00F11709" w:rsidP="00B02DD1">
      <w:pPr>
        <w:spacing w:line="276" w:lineRule="auto"/>
        <w:rPr>
          <w:rFonts w:asciiTheme="majorHAnsi" w:hAnsiTheme="majorHAnsi" w:cstheme="majorHAnsi"/>
          <w:color w:val="404040" w:themeColor="text1" w:themeTint="BF"/>
          <w:sz w:val="22"/>
          <w:lang w:val="en-AU"/>
        </w:rPr>
      </w:pPr>
    </w:p>
    <w:p w14:paraId="40B2AF80" w14:textId="2C9BE671" w:rsidR="00B02DD1" w:rsidRDefault="00B02DD1" w:rsidP="00B02DD1">
      <w:pPr>
        <w:spacing w:line="276" w:lineRule="auto"/>
        <w:rPr>
          <w:rFonts w:asciiTheme="majorHAnsi" w:hAnsiTheme="majorHAnsi" w:cstheme="majorHAnsi"/>
          <w:color w:val="404040" w:themeColor="text1" w:themeTint="BF"/>
          <w:sz w:val="22"/>
          <w:lang w:val="en-AU"/>
        </w:rPr>
      </w:pPr>
      <w:r w:rsidRPr="00B02DD1">
        <w:rPr>
          <w:rFonts w:asciiTheme="majorHAnsi" w:hAnsiTheme="majorHAnsi" w:cstheme="majorHAnsi"/>
          <w:color w:val="404040" w:themeColor="text1" w:themeTint="BF"/>
          <w:sz w:val="22"/>
          <w:lang w:val="en-AU"/>
        </w:rPr>
        <w:t>Leaving aside Medicare, private health insurance products are highly variable and generally provide only limited access to rebates for services provided by a small number of allied health professions. This access is not tied to the severity of the health condition and is not a genuine insurance product. Furthermore, these products are only available to those consumers with the capacity to pay for insurance. Current rates suggest that only around half of Australia’s population has access to general treatment cover. We direct the Commission to our own submissions around private health insurance for further information about the issues that exist for consumers.</w:t>
      </w:r>
    </w:p>
    <w:p w14:paraId="73E444C1" w14:textId="77777777" w:rsidR="00F11709" w:rsidRPr="00B02DD1" w:rsidRDefault="00F11709" w:rsidP="00B02DD1">
      <w:pPr>
        <w:spacing w:line="276" w:lineRule="auto"/>
        <w:rPr>
          <w:rFonts w:asciiTheme="majorHAnsi" w:hAnsiTheme="majorHAnsi" w:cstheme="majorHAnsi"/>
          <w:color w:val="404040" w:themeColor="text1" w:themeTint="BF"/>
          <w:sz w:val="22"/>
          <w:lang w:val="en-AU"/>
        </w:rPr>
      </w:pPr>
    </w:p>
    <w:p w14:paraId="2203A861" w14:textId="172E99CD" w:rsidR="00B02DD1" w:rsidRDefault="00B02DD1" w:rsidP="00B02DD1">
      <w:pPr>
        <w:spacing w:line="276" w:lineRule="auto"/>
        <w:rPr>
          <w:rFonts w:asciiTheme="majorHAnsi" w:hAnsiTheme="majorHAnsi" w:cstheme="majorHAnsi"/>
          <w:color w:val="404040" w:themeColor="text1" w:themeTint="BF"/>
          <w:sz w:val="22"/>
          <w:lang w:val="en-AU"/>
        </w:rPr>
      </w:pPr>
      <w:r w:rsidRPr="00B02DD1">
        <w:rPr>
          <w:rFonts w:asciiTheme="majorHAnsi" w:hAnsiTheme="majorHAnsi" w:cstheme="majorHAnsi"/>
          <w:color w:val="404040" w:themeColor="text1" w:themeTint="BF"/>
          <w:sz w:val="22"/>
          <w:lang w:val="en-AU"/>
        </w:rPr>
        <w:t>For those that can’t access the health services they need via Medicare or private health insurance, their only option is to attempt to access publicly-funded State and Territory services, which generally have long waiting lists. All of these access issues are exacerbated further by rurality and remoteness. This flawed system has its greatest impact on the lower socio-economic groups whose access to ‘universal health care’ is effectively non-existent.</w:t>
      </w:r>
    </w:p>
    <w:p w14:paraId="71CF0059" w14:textId="77777777" w:rsidR="00F11709" w:rsidRPr="00B02DD1" w:rsidRDefault="00F11709" w:rsidP="00B02DD1">
      <w:pPr>
        <w:spacing w:line="276" w:lineRule="auto"/>
        <w:rPr>
          <w:rFonts w:asciiTheme="majorHAnsi" w:hAnsiTheme="majorHAnsi" w:cstheme="majorHAnsi"/>
          <w:color w:val="404040" w:themeColor="text1" w:themeTint="BF"/>
          <w:sz w:val="22"/>
          <w:lang w:val="en-AU"/>
        </w:rPr>
      </w:pPr>
    </w:p>
    <w:p w14:paraId="015F53C7" w14:textId="504F7FE5" w:rsidR="00B02DD1" w:rsidRPr="00B02DD1" w:rsidRDefault="00B02DD1" w:rsidP="00B02DD1">
      <w:pPr>
        <w:spacing w:line="276" w:lineRule="auto"/>
        <w:rPr>
          <w:rFonts w:ascii="Bahnschrift SemiBold" w:hAnsi="Bahnschrift SemiBold"/>
          <w:b/>
          <w:bCs/>
          <w:color w:val="6D3291"/>
          <w:sz w:val="28"/>
          <w:szCs w:val="44"/>
        </w:rPr>
      </w:pPr>
      <w:r w:rsidRPr="00B02DD1">
        <w:rPr>
          <w:rFonts w:ascii="Bahnschrift SemiBold" w:hAnsi="Bahnschrift SemiBold"/>
          <w:b/>
          <w:bCs/>
          <w:color w:val="6D3291"/>
          <w:sz w:val="28"/>
          <w:szCs w:val="44"/>
        </w:rPr>
        <w:t xml:space="preserve">Recommendation 15.2 – </w:t>
      </w:r>
      <w:r w:rsidR="005F03EC">
        <w:rPr>
          <w:rFonts w:ascii="Bahnschrift SemiBold" w:hAnsi="Bahnschrift SemiBold"/>
          <w:b/>
          <w:bCs/>
          <w:color w:val="6D3291"/>
          <w:sz w:val="28"/>
          <w:szCs w:val="44"/>
        </w:rPr>
        <w:t>Coordinated Veterans’ Care program</w:t>
      </w:r>
    </w:p>
    <w:p w14:paraId="34D9C5F0" w14:textId="77777777" w:rsidR="008577DC" w:rsidRPr="008577DC" w:rsidRDefault="008577DC" w:rsidP="00B02DD1">
      <w:pPr>
        <w:spacing w:line="276" w:lineRule="auto"/>
        <w:rPr>
          <w:rFonts w:asciiTheme="majorHAnsi" w:hAnsiTheme="majorHAnsi" w:cstheme="majorHAnsi"/>
          <w:bCs/>
          <w:color w:val="404040" w:themeColor="text1" w:themeTint="BF"/>
          <w:sz w:val="8"/>
          <w:lang w:val="en-AU"/>
        </w:rPr>
      </w:pPr>
    </w:p>
    <w:p w14:paraId="223AF53D" w14:textId="5CD531AF" w:rsidR="008702D7" w:rsidRDefault="004C17DA" w:rsidP="00B02DD1">
      <w:pPr>
        <w:spacing w:line="276" w:lineRule="auto"/>
        <w:rPr>
          <w:rFonts w:asciiTheme="majorHAnsi" w:hAnsiTheme="majorHAnsi" w:cstheme="majorHAnsi"/>
          <w:bCs/>
          <w:color w:val="404040" w:themeColor="text1" w:themeTint="BF"/>
          <w:sz w:val="22"/>
          <w:lang w:val="en-AU"/>
        </w:rPr>
      </w:pPr>
      <w:r>
        <w:rPr>
          <w:rFonts w:asciiTheme="majorHAnsi" w:hAnsiTheme="majorHAnsi" w:cstheme="majorHAnsi"/>
          <w:bCs/>
          <w:color w:val="404040" w:themeColor="text1" w:themeTint="BF"/>
          <w:sz w:val="22"/>
          <w:lang w:val="en-AU"/>
        </w:rPr>
        <w:t xml:space="preserve">AHPA strongly supports the need to provide additional coordination and support when </w:t>
      </w:r>
      <w:r w:rsidR="0089142F">
        <w:rPr>
          <w:rFonts w:asciiTheme="majorHAnsi" w:hAnsiTheme="majorHAnsi" w:cstheme="majorHAnsi"/>
          <w:bCs/>
          <w:color w:val="404040" w:themeColor="text1" w:themeTint="BF"/>
          <w:sz w:val="22"/>
          <w:lang w:val="en-AU"/>
        </w:rPr>
        <w:t>veterans are at risk of hospitalisation. We note that the current</w:t>
      </w:r>
      <w:r w:rsidR="005F03EC" w:rsidRPr="005F03EC">
        <w:rPr>
          <w:rFonts w:asciiTheme="majorHAnsi" w:hAnsiTheme="majorHAnsi" w:cstheme="majorHAnsi"/>
          <w:bCs/>
          <w:color w:val="404040" w:themeColor="text1" w:themeTint="BF"/>
          <w:sz w:val="22"/>
          <w:lang w:val="en-AU"/>
        </w:rPr>
        <w:t xml:space="preserve"> Coordinated Veterans’ Care </w:t>
      </w:r>
      <w:r w:rsidR="003E241E">
        <w:rPr>
          <w:rFonts w:asciiTheme="majorHAnsi" w:hAnsiTheme="majorHAnsi" w:cstheme="majorHAnsi"/>
          <w:bCs/>
          <w:color w:val="404040" w:themeColor="text1" w:themeTint="BF"/>
          <w:sz w:val="22"/>
          <w:lang w:val="en-AU"/>
        </w:rPr>
        <w:t xml:space="preserve">(CVC) </w:t>
      </w:r>
      <w:r w:rsidR="005F03EC" w:rsidRPr="005F03EC">
        <w:rPr>
          <w:rFonts w:asciiTheme="majorHAnsi" w:hAnsiTheme="majorHAnsi" w:cstheme="majorHAnsi"/>
          <w:bCs/>
          <w:color w:val="404040" w:themeColor="text1" w:themeTint="BF"/>
          <w:sz w:val="22"/>
          <w:lang w:val="en-AU"/>
        </w:rPr>
        <w:t>program, which funds</w:t>
      </w:r>
      <w:r w:rsidR="0089142F">
        <w:rPr>
          <w:rFonts w:asciiTheme="majorHAnsi" w:hAnsiTheme="majorHAnsi" w:cstheme="majorHAnsi"/>
          <w:bCs/>
          <w:color w:val="404040" w:themeColor="text1" w:themeTint="BF"/>
          <w:sz w:val="22"/>
          <w:lang w:val="en-AU"/>
        </w:rPr>
        <w:t xml:space="preserve"> general practices to provide more intensive support via block funding has shown some </w:t>
      </w:r>
      <w:r w:rsidR="000E69B5">
        <w:rPr>
          <w:rFonts w:asciiTheme="majorHAnsi" w:hAnsiTheme="majorHAnsi" w:cstheme="majorHAnsi"/>
          <w:bCs/>
          <w:color w:val="404040" w:themeColor="text1" w:themeTint="BF"/>
          <w:sz w:val="22"/>
          <w:lang w:val="en-AU"/>
        </w:rPr>
        <w:t>positive outcomes but is also showing higher costs and utilisation of medical services.</w:t>
      </w:r>
      <w:r w:rsidR="0023213E">
        <w:rPr>
          <w:rFonts w:asciiTheme="majorHAnsi" w:hAnsiTheme="majorHAnsi" w:cstheme="majorHAnsi"/>
          <w:bCs/>
          <w:color w:val="404040" w:themeColor="text1" w:themeTint="BF"/>
          <w:sz w:val="22"/>
          <w:lang w:val="en-AU"/>
        </w:rPr>
        <w:t xml:space="preserve"> We argue that </w:t>
      </w:r>
      <w:r w:rsidR="0023213E">
        <w:rPr>
          <w:rFonts w:asciiTheme="majorHAnsi" w:hAnsiTheme="majorHAnsi" w:cstheme="majorHAnsi"/>
          <w:bCs/>
          <w:color w:val="404040" w:themeColor="text1" w:themeTint="BF"/>
          <w:sz w:val="22"/>
          <w:lang w:val="en-AU"/>
        </w:rPr>
        <w:lastRenderedPageBreak/>
        <w:t>th</w:t>
      </w:r>
      <w:r w:rsidR="00F26CD3">
        <w:rPr>
          <w:rFonts w:asciiTheme="majorHAnsi" w:hAnsiTheme="majorHAnsi" w:cstheme="majorHAnsi"/>
          <w:bCs/>
          <w:color w:val="404040" w:themeColor="text1" w:themeTint="BF"/>
          <w:sz w:val="22"/>
          <w:lang w:val="en-AU"/>
        </w:rPr>
        <w:t xml:space="preserve">ere is good reason to continue with the program though </w:t>
      </w:r>
      <w:r w:rsidR="003E241E">
        <w:rPr>
          <w:rFonts w:asciiTheme="majorHAnsi" w:hAnsiTheme="majorHAnsi" w:cstheme="majorHAnsi"/>
          <w:bCs/>
          <w:color w:val="404040" w:themeColor="text1" w:themeTint="BF"/>
          <w:sz w:val="22"/>
          <w:lang w:val="en-AU"/>
        </w:rPr>
        <w:t>we recommend additional work is done to make sure the program is working effectively.</w:t>
      </w:r>
      <w:r w:rsidR="0023213E">
        <w:rPr>
          <w:rFonts w:asciiTheme="majorHAnsi" w:hAnsiTheme="majorHAnsi" w:cstheme="majorHAnsi"/>
          <w:bCs/>
          <w:color w:val="404040" w:themeColor="text1" w:themeTint="BF"/>
          <w:sz w:val="22"/>
          <w:lang w:val="en-AU"/>
        </w:rPr>
        <w:t xml:space="preserve"> </w:t>
      </w:r>
    </w:p>
    <w:p w14:paraId="62F8AD93" w14:textId="22AB763D" w:rsidR="008702D7" w:rsidRDefault="008702D7" w:rsidP="00B02DD1">
      <w:pPr>
        <w:spacing w:line="276" w:lineRule="auto"/>
        <w:rPr>
          <w:rFonts w:asciiTheme="majorHAnsi" w:hAnsiTheme="majorHAnsi" w:cstheme="majorHAnsi"/>
          <w:bCs/>
          <w:color w:val="404040" w:themeColor="text1" w:themeTint="BF"/>
          <w:sz w:val="22"/>
          <w:lang w:val="en-AU"/>
        </w:rPr>
      </w:pPr>
    </w:p>
    <w:p w14:paraId="53CC3683" w14:textId="395B859D" w:rsidR="005F03EC" w:rsidRDefault="00FD20A2" w:rsidP="00B02DD1">
      <w:pPr>
        <w:spacing w:line="276" w:lineRule="auto"/>
        <w:rPr>
          <w:rFonts w:asciiTheme="majorHAnsi" w:hAnsiTheme="majorHAnsi" w:cstheme="majorHAnsi"/>
          <w:bCs/>
          <w:color w:val="404040" w:themeColor="text1" w:themeTint="BF"/>
          <w:sz w:val="22"/>
          <w:lang w:val="en-AU"/>
        </w:rPr>
      </w:pPr>
      <w:r>
        <w:rPr>
          <w:rFonts w:asciiTheme="majorHAnsi" w:hAnsiTheme="majorHAnsi" w:cstheme="majorHAnsi"/>
          <w:bCs/>
          <w:color w:val="404040" w:themeColor="text1" w:themeTint="BF"/>
          <w:sz w:val="22"/>
          <w:lang w:val="en-AU"/>
        </w:rPr>
        <w:t>The draft report currently limits its recommendations to a risk-based fee schedule</w:t>
      </w:r>
      <w:r w:rsidR="00C17EAB">
        <w:rPr>
          <w:rFonts w:asciiTheme="majorHAnsi" w:hAnsiTheme="majorHAnsi" w:cstheme="majorHAnsi"/>
          <w:bCs/>
          <w:color w:val="404040" w:themeColor="text1" w:themeTint="BF"/>
          <w:sz w:val="22"/>
          <w:lang w:val="en-AU"/>
        </w:rPr>
        <w:t xml:space="preserve">, which appears similar to what has been utilised for the government’s Health Care Homes program. This is despite a note that the program could be </w:t>
      </w:r>
      <w:r w:rsidR="005F03EC" w:rsidRPr="005F03EC">
        <w:rPr>
          <w:rFonts w:asciiTheme="majorHAnsi" w:hAnsiTheme="majorHAnsi" w:cstheme="majorHAnsi"/>
          <w:bCs/>
          <w:color w:val="404040" w:themeColor="text1" w:themeTint="BF"/>
          <w:sz w:val="22"/>
          <w:lang w:val="en-AU"/>
        </w:rPr>
        <w:t xml:space="preserve">improved by better targeting and measuring of outcomes. </w:t>
      </w:r>
      <w:r w:rsidR="00BD6086">
        <w:rPr>
          <w:rFonts w:asciiTheme="majorHAnsi" w:hAnsiTheme="majorHAnsi" w:cstheme="majorHAnsi"/>
          <w:bCs/>
          <w:color w:val="404040" w:themeColor="text1" w:themeTint="BF"/>
          <w:sz w:val="22"/>
          <w:lang w:val="en-AU"/>
        </w:rPr>
        <w:t>While we support an approach that ensures there is not an incentive to enrol veterans inappropriately</w:t>
      </w:r>
      <w:r w:rsidR="00CE1B3A">
        <w:rPr>
          <w:rFonts w:asciiTheme="majorHAnsi" w:hAnsiTheme="majorHAnsi" w:cstheme="majorHAnsi"/>
          <w:bCs/>
          <w:color w:val="404040" w:themeColor="text1" w:themeTint="BF"/>
          <w:sz w:val="22"/>
          <w:lang w:val="en-AU"/>
        </w:rPr>
        <w:t>,</w:t>
      </w:r>
      <w:r w:rsidR="00BD6086">
        <w:rPr>
          <w:rFonts w:asciiTheme="majorHAnsi" w:hAnsiTheme="majorHAnsi" w:cstheme="majorHAnsi"/>
          <w:bCs/>
          <w:color w:val="404040" w:themeColor="text1" w:themeTint="BF"/>
          <w:sz w:val="22"/>
          <w:lang w:val="en-AU"/>
        </w:rPr>
        <w:t xml:space="preserve"> we are concerned that it does not seek to review how effective the program design is in meeting the needs of those patients.</w:t>
      </w:r>
    </w:p>
    <w:p w14:paraId="14BDEBA3" w14:textId="77777777" w:rsidR="005F03EC" w:rsidRDefault="005F03EC" w:rsidP="00B02DD1">
      <w:pPr>
        <w:spacing w:line="276" w:lineRule="auto"/>
        <w:rPr>
          <w:rFonts w:asciiTheme="majorHAnsi" w:hAnsiTheme="majorHAnsi" w:cstheme="majorHAnsi"/>
          <w:bCs/>
          <w:color w:val="404040" w:themeColor="text1" w:themeTint="BF"/>
          <w:sz w:val="22"/>
          <w:lang w:val="en-AU"/>
        </w:rPr>
      </w:pPr>
    </w:p>
    <w:p w14:paraId="40D45D55" w14:textId="0721A07F" w:rsidR="008577DC" w:rsidRDefault="009B029B" w:rsidP="00B02DD1">
      <w:pPr>
        <w:spacing w:line="276" w:lineRule="auto"/>
        <w:rPr>
          <w:rFonts w:asciiTheme="majorHAnsi" w:hAnsiTheme="majorHAnsi" w:cstheme="majorHAnsi"/>
          <w:bCs/>
          <w:color w:val="404040" w:themeColor="text1" w:themeTint="BF"/>
          <w:sz w:val="22"/>
          <w:lang w:val="en-AU"/>
        </w:rPr>
      </w:pPr>
      <w:r>
        <w:rPr>
          <w:rFonts w:asciiTheme="majorHAnsi" w:hAnsiTheme="majorHAnsi" w:cstheme="majorHAnsi"/>
          <w:bCs/>
          <w:color w:val="404040" w:themeColor="text1" w:themeTint="BF"/>
          <w:sz w:val="22"/>
          <w:lang w:val="en-AU"/>
        </w:rPr>
        <w:t>O</w:t>
      </w:r>
      <w:r w:rsidR="003E241E">
        <w:rPr>
          <w:rFonts w:asciiTheme="majorHAnsi" w:hAnsiTheme="majorHAnsi" w:cstheme="majorHAnsi"/>
          <w:bCs/>
          <w:color w:val="404040" w:themeColor="text1" w:themeTint="BF"/>
          <w:sz w:val="22"/>
          <w:lang w:val="en-AU"/>
        </w:rPr>
        <w:t>ur c</w:t>
      </w:r>
      <w:r w:rsidR="00B02DD1" w:rsidRPr="00B02DD1">
        <w:rPr>
          <w:rFonts w:asciiTheme="majorHAnsi" w:hAnsiTheme="majorHAnsi" w:cstheme="majorHAnsi"/>
          <w:bCs/>
          <w:color w:val="404040" w:themeColor="text1" w:themeTint="BF"/>
          <w:sz w:val="22"/>
          <w:lang w:val="en-AU"/>
        </w:rPr>
        <w:t xml:space="preserve">oncern about the </w:t>
      </w:r>
      <w:r w:rsidR="003E241E">
        <w:rPr>
          <w:rFonts w:asciiTheme="majorHAnsi" w:hAnsiTheme="majorHAnsi" w:cstheme="majorHAnsi"/>
          <w:bCs/>
          <w:color w:val="404040" w:themeColor="text1" w:themeTint="BF"/>
          <w:sz w:val="22"/>
          <w:lang w:val="en-AU"/>
        </w:rPr>
        <w:t xml:space="preserve">current </w:t>
      </w:r>
      <w:r w:rsidR="00B02DD1" w:rsidRPr="00B02DD1">
        <w:rPr>
          <w:rFonts w:asciiTheme="majorHAnsi" w:hAnsiTheme="majorHAnsi" w:cstheme="majorHAnsi"/>
          <w:bCs/>
          <w:color w:val="404040" w:themeColor="text1" w:themeTint="BF"/>
          <w:sz w:val="22"/>
          <w:lang w:val="en-AU"/>
        </w:rPr>
        <w:t xml:space="preserve">CVC program </w:t>
      </w:r>
      <w:r w:rsidR="003E241E" w:rsidRPr="003E241E">
        <w:rPr>
          <w:rFonts w:asciiTheme="majorHAnsi" w:hAnsiTheme="majorHAnsi" w:cstheme="majorHAnsi"/>
          <w:bCs/>
          <w:color w:val="404040" w:themeColor="text1" w:themeTint="BF"/>
          <w:sz w:val="22"/>
          <w:lang w:val="en-AU"/>
        </w:rPr>
        <w:t xml:space="preserve">is that </w:t>
      </w:r>
      <w:r w:rsidR="003E241E">
        <w:rPr>
          <w:rFonts w:asciiTheme="majorHAnsi" w:hAnsiTheme="majorHAnsi" w:cstheme="majorHAnsi"/>
          <w:bCs/>
          <w:color w:val="404040" w:themeColor="text1" w:themeTint="BF"/>
          <w:sz w:val="22"/>
          <w:lang w:val="en-AU"/>
        </w:rPr>
        <w:t xml:space="preserve">it focuses entirely on </w:t>
      </w:r>
      <w:r>
        <w:rPr>
          <w:rFonts w:asciiTheme="majorHAnsi" w:hAnsiTheme="majorHAnsi" w:cstheme="majorHAnsi"/>
          <w:bCs/>
          <w:color w:val="404040" w:themeColor="text1" w:themeTint="BF"/>
          <w:sz w:val="22"/>
          <w:lang w:val="en-AU"/>
        </w:rPr>
        <w:t>interventions</w:t>
      </w:r>
      <w:r w:rsidR="003E241E">
        <w:rPr>
          <w:rFonts w:asciiTheme="majorHAnsi" w:hAnsiTheme="majorHAnsi" w:cstheme="majorHAnsi"/>
          <w:bCs/>
          <w:color w:val="404040" w:themeColor="text1" w:themeTint="BF"/>
          <w:sz w:val="22"/>
          <w:lang w:val="en-AU"/>
        </w:rPr>
        <w:t xml:space="preserve"> by </w:t>
      </w:r>
      <w:r w:rsidR="00B02DD1" w:rsidRPr="00B02DD1">
        <w:rPr>
          <w:rFonts w:asciiTheme="majorHAnsi" w:hAnsiTheme="majorHAnsi" w:cstheme="majorHAnsi"/>
          <w:bCs/>
          <w:color w:val="404040" w:themeColor="text1" w:themeTint="BF"/>
          <w:sz w:val="22"/>
          <w:lang w:val="en-AU"/>
        </w:rPr>
        <w:t xml:space="preserve">GPs and practice nurses </w:t>
      </w:r>
      <w:r>
        <w:rPr>
          <w:rFonts w:asciiTheme="majorHAnsi" w:hAnsiTheme="majorHAnsi" w:cstheme="majorHAnsi"/>
          <w:bCs/>
          <w:color w:val="404040" w:themeColor="text1" w:themeTint="BF"/>
          <w:sz w:val="22"/>
          <w:lang w:val="en-AU"/>
        </w:rPr>
        <w:t xml:space="preserve">despite a wealth of </w:t>
      </w:r>
      <w:r w:rsidR="00B02DD1" w:rsidRPr="00B02DD1">
        <w:rPr>
          <w:rFonts w:asciiTheme="majorHAnsi" w:hAnsiTheme="majorHAnsi" w:cstheme="majorHAnsi"/>
          <w:bCs/>
          <w:color w:val="404040" w:themeColor="text1" w:themeTint="BF"/>
          <w:sz w:val="22"/>
          <w:lang w:val="en-AU"/>
        </w:rPr>
        <w:t xml:space="preserve">evidence </w:t>
      </w:r>
      <w:r>
        <w:rPr>
          <w:rFonts w:asciiTheme="majorHAnsi" w:hAnsiTheme="majorHAnsi" w:cstheme="majorHAnsi"/>
          <w:bCs/>
          <w:color w:val="404040" w:themeColor="text1" w:themeTint="BF"/>
          <w:sz w:val="22"/>
          <w:lang w:val="en-AU"/>
        </w:rPr>
        <w:t>showing</w:t>
      </w:r>
      <w:r w:rsidR="00B02DD1" w:rsidRPr="00B02DD1">
        <w:rPr>
          <w:rFonts w:asciiTheme="majorHAnsi" w:hAnsiTheme="majorHAnsi" w:cstheme="majorHAnsi"/>
          <w:bCs/>
          <w:color w:val="404040" w:themeColor="text1" w:themeTint="BF"/>
          <w:sz w:val="22"/>
          <w:lang w:val="en-AU"/>
        </w:rPr>
        <w:t xml:space="preserve"> that </w:t>
      </w:r>
      <w:r w:rsidR="002F46BD">
        <w:rPr>
          <w:rFonts w:asciiTheme="majorHAnsi" w:hAnsiTheme="majorHAnsi" w:cstheme="majorHAnsi"/>
          <w:bCs/>
          <w:color w:val="404040" w:themeColor="text1" w:themeTint="BF"/>
          <w:sz w:val="22"/>
          <w:lang w:val="en-AU"/>
        </w:rPr>
        <w:t>improving outcomes for people with</w:t>
      </w:r>
      <w:r w:rsidR="00B02DD1" w:rsidRPr="00B02DD1">
        <w:rPr>
          <w:rFonts w:asciiTheme="majorHAnsi" w:hAnsiTheme="majorHAnsi" w:cstheme="majorHAnsi"/>
          <w:bCs/>
          <w:color w:val="404040" w:themeColor="text1" w:themeTint="BF"/>
          <w:sz w:val="22"/>
          <w:lang w:val="en-AU"/>
        </w:rPr>
        <w:t xml:space="preserve"> chronic conditions </w:t>
      </w:r>
      <w:r w:rsidR="002F46BD">
        <w:rPr>
          <w:rFonts w:asciiTheme="majorHAnsi" w:hAnsiTheme="majorHAnsi" w:cstheme="majorHAnsi"/>
          <w:bCs/>
          <w:color w:val="404040" w:themeColor="text1" w:themeTint="BF"/>
          <w:sz w:val="22"/>
          <w:lang w:val="en-AU"/>
        </w:rPr>
        <w:t xml:space="preserve">requires </w:t>
      </w:r>
      <w:r w:rsidR="00B02DD1" w:rsidRPr="00B02DD1">
        <w:rPr>
          <w:rFonts w:asciiTheme="majorHAnsi" w:hAnsiTheme="majorHAnsi" w:cstheme="majorHAnsi"/>
          <w:bCs/>
          <w:color w:val="404040" w:themeColor="text1" w:themeTint="BF"/>
          <w:sz w:val="22"/>
          <w:lang w:val="en-AU"/>
        </w:rPr>
        <w:t>a multidisciplinary approach</w:t>
      </w:r>
      <w:r w:rsidR="002F46BD">
        <w:rPr>
          <w:rFonts w:asciiTheme="majorHAnsi" w:hAnsiTheme="majorHAnsi" w:cstheme="majorHAnsi"/>
          <w:bCs/>
          <w:color w:val="404040" w:themeColor="text1" w:themeTint="BF"/>
          <w:sz w:val="22"/>
          <w:lang w:val="en-AU"/>
        </w:rPr>
        <w:t>. GPs play an essential role in risk-identification, diagnosis</w:t>
      </w:r>
      <w:r w:rsidR="00D56B6A">
        <w:rPr>
          <w:rFonts w:asciiTheme="majorHAnsi" w:hAnsiTheme="majorHAnsi" w:cstheme="majorHAnsi"/>
          <w:bCs/>
          <w:color w:val="404040" w:themeColor="text1" w:themeTint="BF"/>
          <w:sz w:val="22"/>
          <w:lang w:val="en-AU"/>
        </w:rPr>
        <w:t xml:space="preserve">, medication prescription and referral. Similarly practice nurses can provide important coaching, education and </w:t>
      </w:r>
      <w:r w:rsidR="001F4BBC">
        <w:rPr>
          <w:rFonts w:asciiTheme="majorHAnsi" w:hAnsiTheme="majorHAnsi" w:cstheme="majorHAnsi"/>
          <w:bCs/>
          <w:color w:val="404040" w:themeColor="text1" w:themeTint="BF"/>
          <w:sz w:val="22"/>
          <w:lang w:val="en-AU"/>
        </w:rPr>
        <w:t xml:space="preserve">other support. </w:t>
      </w:r>
      <w:r w:rsidR="00D56B6A">
        <w:rPr>
          <w:rFonts w:asciiTheme="majorHAnsi" w:hAnsiTheme="majorHAnsi" w:cstheme="majorHAnsi"/>
          <w:bCs/>
          <w:color w:val="404040" w:themeColor="text1" w:themeTint="BF"/>
          <w:sz w:val="22"/>
          <w:lang w:val="en-AU"/>
        </w:rPr>
        <w:t xml:space="preserve">But this is only part of </w:t>
      </w:r>
      <w:r w:rsidR="001F4BBC">
        <w:rPr>
          <w:rFonts w:asciiTheme="majorHAnsi" w:hAnsiTheme="majorHAnsi" w:cstheme="majorHAnsi"/>
          <w:bCs/>
          <w:color w:val="404040" w:themeColor="text1" w:themeTint="BF"/>
          <w:sz w:val="22"/>
          <w:lang w:val="en-AU"/>
        </w:rPr>
        <w:t>what</w:t>
      </w:r>
      <w:r w:rsidR="00B02DD1" w:rsidRPr="00B02DD1">
        <w:rPr>
          <w:rFonts w:asciiTheme="majorHAnsi" w:hAnsiTheme="majorHAnsi" w:cstheme="majorHAnsi"/>
          <w:bCs/>
          <w:color w:val="404040" w:themeColor="text1" w:themeTint="BF"/>
          <w:sz w:val="22"/>
          <w:lang w:val="en-AU"/>
        </w:rPr>
        <w:t xml:space="preserve"> is required to produce effective outcomes</w:t>
      </w:r>
      <w:r w:rsidR="001F4BBC">
        <w:rPr>
          <w:rFonts w:asciiTheme="majorHAnsi" w:hAnsiTheme="majorHAnsi" w:cstheme="majorHAnsi"/>
          <w:bCs/>
          <w:color w:val="404040" w:themeColor="text1" w:themeTint="BF"/>
          <w:sz w:val="22"/>
          <w:lang w:val="en-AU"/>
        </w:rPr>
        <w:t>. F</w:t>
      </w:r>
      <w:r w:rsidR="00B02DD1" w:rsidRPr="00B02DD1">
        <w:rPr>
          <w:rFonts w:asciiTheme="majorHAnsi" w:hAnsiTheme="majorHAnsi" w:cstheme="majorHAnsi"/>
          <w:bCs/>
          <w:color w:val="404040" w:themeColor="text1" w:themeTint="BF"/>
          <w:sz w:val="22"/>
          <w:lang w:val="en-AU"/>
        </w:rPr>
        <w:t>or example</w:t>
      </w:r>
      <w:r w:rsidR="00CE1B3A">
        <w:rPr>
          <w:rFonts w:asciiTheme="majorHAnsi" w:hAnsiTheme="majorHAnsi" w:cstheme="majorHAnsi"/>
          <w:bCs/>
          <w:color w:val="404040" w:themeColor="text1" w:themeTint="BF"/>
          <w:sz w:val="22"/>
          <w:lang w:val="en-AU"/>
        </w:rPr>
        <w:t>,</w:t>
      </w:r>
      <w:r w:rsidR="00B02DD1" w:rsidRPr="00B02DD1">
        <w:rPr>
          <w:rFonts w:asciiTheme="majorHAnsi" w:hAnsiTheme="majorHAnsi" w:cstheme="majorHAnsi"/>
          <w:bCs/>
          <w:color w:val="404040" w:themeColor="text1" w:themeTint="BF"/>
          <w:sz w:val="22"/>
          <w:lang w:val="en-AU"/>
        </w:rPr>
        <w:t xml:space="preserve"> a person with diabetes and a high risk foot </w:t>
      </w:r>
      <w:r w:rsidR="001F4BBC">
        <w:rPr>
          <w:rFonts w:asciiTheme="majorHAnsi" w:hAnsiTheme="majorHAnsi" w:cstheme="majorHAnsi"/>
          <w:bCs/>
          <w:color w:val="404040" w:themeColor="text1" w:themeTint="BF"/>
          <w:sz w:val="22"/>
          <w:lang w:val="en-AU"/>
        </w:rPr>
        <w:t xml:space="preserve">is at a </w:t>
      </w:r>
      <w:r w:rsidR="00B02DD1" w:rsidRPr="00B02DD1">
        <w:rPr>
          <w:rFonts w:asciiTheme="majorHAnsi" w:hAnsiTheme="majorHAnsi" w:cstheme="majorHAnsi"/>
          <w:bCs/>
          <w:color w:val="404040" w:themeColor="text1" w:themeTint="BF"/>
          <w:sz w:val="22"/>
          <w:lang w:val="en-AU"/>
        </w:rPr>
        <w:t>high risk</w:t>
      </w:r>
      <w:r w:rsidR="001F4BBC">
        <w:rPr>
          <w:rFonts w:asciiTheme="majorHAnsi" w:hAnsiTheme="majorHAnsi" w:cstheme="majorHAnsi"/>
          <w:bCs/>
          <w:color w:val="404040" w:themeColor="text1" w:themeTint="BF"/>
          <w:sz w:val="22"/>
          <w:lang w:val="en-AU"/>
        </w:rPr>
        <w:t xml:space="preserve"> of amputatio</w:t>
      </w:r>
      <w:r w:rsidR="00F37708">
        <w:rPr>
          <w:rFonts w:asciiTheme="majorHAnsi" w:hAnsiTheme="majorHAnsi" w:cstheme="majorHAnsi"/>
          <w:bCs/>
          <w:color w:val="404040" w:themeColor="text1" w:themeTint="BF"/>
          <w:sz w:val="22"/>
          <w:lang w:val="en-AU"/>
        </w:rPr>
        <w:t xml:space="preserve">n. Dealing with the diabetic foot effectively requires intensive care by </w:t>
      </w:r>
      <w:r w:rsidR="00B02DD1" w:rsidRPr="00B02DD1">
        <w:rPr>
          <w:rFonts w:asciiTheme="majorHAnsi" w:hAnsiTheme="majorHAnsi" w:cstheme="majorHAnsi"/>
          <w:bCs/>
          <w:color w:val="404040" w:themeColor="text1" w:themeTint="BF"/>
          <w:sz w:val="22"/>
          <w:lang w:val="en-AU"/>
        </w:rPr>
        <w:t>a podiatrist</w:t>
      </w:r>
      <w:r w:rsidR="00F37708">
        <w:rPr>
          <w:rFonts w:asciiTheme="majorHAnsi" w:hAnsiTheme="majorHAnsi" w:cstheme="majorHAnsi"/>
          <w:bCs/>
          <w:color w:val="404040" w:themeColor="text1" w:themeTint="BF"/>
          <w:sz w:val="22"/>
          <w:lang w:val="en-AU"/>
        </w:rPr>
        <w:t xml:space="preserve"> or orthotist</w:t>
      </w:r>
      <w:r w:rsidR="00B02DD1" w:rsidRPr="00B02DD1">
        <w:rPr>
          <w:rFonts w:asciiTheme="majorHAnsi" w:hAnsiTheme="majorHAnsi" w:cstheme="majorHAnsi"/>
          <w:bCs/>
          <w:color w:val="404040" w:themeColor="text1" w:themeTint="BF"/>
          <w:sz w:val="22"/>
          <w:lang w:val="en-AU"/>
        </w:rPr>
        <w:t>, not a GP or a practice nurse.</w:t>
      </w:r>
    </w:p>
    <w:p w14:paraId="4F5DA733" w14:textId="77777777" w:rsidR="008577DC" w:rsidRDefault="008577DC" w:rsidP="00B02DD1">
      <w:pPr>
        <w:spacing w:line="276" w:lineRule="auto"/>
        <w:rPr>
          <w:rFonts w:asciiTheme="majorHAnsi" w:hAnsiTheme="majorHAnsi" w:cstheme="majorHAnsi"/>
          <w:bCs/>
          <w:color w:val="404040" w:themeColor="text1" w:themeTint="BF"/>
          <w:sz w:val="22"/>
          <w:lang w:val="en-AU"/>
        </w:rPr>
      </w:pPr>
    </w:p>
    <w:p w14:paraId="411DB828" w14:textId="1E1DCB5E" w:rsidR="00B02DD1" w:rsidRPr="00B02DD1" w:rsidRDefault="00DD2343" w:rsidP="00B02DD1">
      <w:pPr>
        <w:spacing w:line="276" w:lineRule="auto"/>
        <w:rPr>
          <w:rFonts w:asciiTheme="majorHAnsi" w:hAnsiTheme="majorHAnsi" w:cstheme="majorHAnsi"/>
          <w:bCs/>
          <w:color w:val="404040" w:themeColor="text1" w:themeTint="BF"/>
          <w:sz w:val="22"/>
          <w:lang w:val="en-AU"/>
        </w:rPr>
      </w:pPr>
      <w:r>
        <w:rPr>
          <w:rFonts w:asciiTheme="majorHAnsi" w:hAnsiTheme="majorHAnsi" w:cstheme="majorHAnsi"/>
          <w:bCs/>
          <w:color w:val="404040" w:themeColor="text1" w:themeTint="BF"/>
          <w:sz w:val="22"/>
          <w:lang w:val="en-AU"/>
        </w:rPr>
        <w:t>We argue that this</w:t>
      </w:r>
      <w:r w:rsidR="00B02DD1" w:rsidRPr="00B02DD1">
        <w:rPr>
          <w:rFonts w:asciiTheme="majorHAnsi" w:hAnsiTheme="majorHAnsi" w:cstheme="majorHAnsi"/>
          <w:bCs/>
          <w:color w:val="404040" w:themeColor="text1" w:themeTint="BF"/>
          <w:sz w:val="22"/>
          <w:lang w:val="en-AU"/>
        </w:rPr>
        <w:t xml:space="preserve"> is a fundamental flaw of the planning and development of </w:t>
      </w:r>
      <w:r w:rsidR="00F37708">
        <w:rPr>
          <w:rFonts w:asciiTheme="majorHAnsi" w:hAnsiTheme="majorHAnsi" w:cstheme="majorHAnsi"/>
          <w:bCs/>
          <w:color w:val="404040" w:themeColor="text1" w:themeTint="BF"/>
          <w:sz w:val="22"/>
          <w:lang w:val="en-AU"/>
        </w:rPr>
        <w:t xml:space="preserve">the current </w:t>
      </w:r>
      <w:r w:rsidR="00B02DD1" w:rsidRPr="00B02DD1">
        <w:rPr>
          <w:rFonts w:asciiTheme="majorHAnsi" w:hAnsiTheme="majorHAnsi" w:cstheme="majorHAnsi"/>
          <w:bCs/>
          <w:color w:val="404040" w:themeColor="text1" w:themeTint="BF"/>
          <w:sz w:val="22"/>
          <w:lang w:val="en-AU"/>
        </w:rPr>
        <w:t>health care homes</w:t>
      </w:r>
      <w:r w:rsidR="00F37708">
        <w:rPr>
          <w:rFonts w:asciiTheme="majorHAnsi" w:hAnsiTheme="majorHAnsi" w:cstheme="majorHAnsi"/>
          <w:bCs/>
          <w:color w:val="404040" w:themeColor="text1" w:themeTint="BF"/>
          <w:sz w:val="22"/>
          <w:lang w:val="en-AU"/>
        </w:rPr>
        <w:t xml:space="preserve"> program</w:t>
      </w:r>
      <w:r>
        <w:rPr>
          <w:rFonts w:asciiTheme="majorHAnsi" w:hAnsiTheme="majorHAnsi" w:cstheme="majorHAnsi"/>
          <w:bCs/>
          <w:color w:val="404040" w:themeColor="text1" w:themeTint="BF"/>
          <w:sz w:val="22"/>
          <w:lang w:val="en-AU"/>
        </w:rPr>
        <w:t xml:space="preserve"> and that it is similarly a flaw in the design of the CVC program. </w:t>
      </w:r>
      <w:r w:rsidR="00CE1B3A">
        <w:rPr>
          <w:rFonts w:asciiTheme="majorHAnsi" w:hAnsiTheme="majorHAnsi" w:cstheme="majorHAnsi"/>
          <w:bCs/>
          <w:color w:val="404040" w:themeColor="text1" w:themeTint="BF"/>
          <w:sz w:val="22"/>
          <w:lang w:val="en-AU"/>
        </w:rPr>
        <w:t>If</w:t>
      </w:r>
      <w:r w:rsidR="00052D12">
        <w:rPr>
          <w:rFonts w:asciiTheme="majorHAnsi" w:hAnsiTheme="majorHAnsi" w:cstheme="majorHAnsi"/>
          <w:bCs/>
          <w:color w:val="404040" w:themeColor="text1" w:themeTint="BF"/>
          <w:sz w:val="22"/>
          <w:lang w:val="en-AU"/>
        </w:rPr>
        <w:t xml:space="preserve"> programs like these artificially isolate </w:t>
      </w:r>
      <w:r>
        <w:rPr>
          <w:rFonts w:asciiTheme="majorHAnsi" w:hAnsiTheme="majorHAnsi" w:cstheme="majorHAnsi"/>
          <w:bCs/>
          <w:color w:val="404040" w:themeColor="text1" w:themeTint="BF"/>
          <w:sz w:val="22"/>
          <w:lang w:val="en-AU"/>
        </w:rPr>
        <w:t>general practice from the rest o</w:t>
      </w:r>
      <w:r w:rsidR="00052D12">
        <w:rPr>
          <w:rFonts w:asciiTheme="majorHAnsi" w:hAnsiTheme="majorHAnsi" w:cstheme="majorHAnsi"/>
          <w:bCs/>
          <w:color w:val="404040" w:themeColor="text1" w:themeTint="BF"/>
          <w:sz w:val="22"/>
          <w:lang w:val="en-AU"/>
        </w:rPr>
        <w:t>f the primary care sector</w:t>
      </w:r>
      <w:r>
        <w:rPr>
          <w:rFonts w:asciiTheme="majorHAnsi" w:hAnsiTheme="majorHAnsi" w:cstheme="majorHAnsi"/>
          <w:bCs/>
          <w:color w:val="404040" w:themeColor="text1" w:themeTint="BF"/>
          <w:sz w:val="22"/>
          <w:lang w:val="en-AU"/>
        </w:rPr>
        <w:t xml:space="preserve">, we </w:t>
      </w:r>
      <w:r w:rsidR="00513737">
        <w:rPr>
          <w:rFonts w:asciiTheme="majorHAnsi" w:hAnsiTheme="majorHAnsi" w:cstheme="majorHAnsi"/>
          <w:bCs/>
          <w:color w:val="404040" w:themeColor="text1" w:themeTint="BF"/>
          <w:sz w:val="22"/>
          <w:lang w:val="en-AU"/>
        </w:rPr>
        <w:t>do not believe veterans will get the coordinated care they need</w:t>
      </w:r>
      <w:r w:rsidR="007243A2">
        <w:rPr>
          <w:rFonts w:asciiTheme="majorHAnsi" w:hAnsiTheme="majorHAnsi" w:cstheme="majorHAnsi"/>
          <w:bCs/>
          <w:color w:val="404040" w:themeColor="text1" w:themeTint="BF"/>
          <w:sz w:val="22"/>
          <w:lang w:val="en-AU"/>
        </w:rPr>
        <w:t>;</w:t>
      </w:r>
      <w:r w:rsidR="00513737">
        <w:rPr>
          <w:rFonts w:asciiTheme="majorHAnsi" w:hAnsiTheme="majorHAnsi" w:cstheme="majorHAnsi"/>
          <w:bCs/>
          <w:color w:val="404040" w:themeColor="text1" w:themeTint="BF"/>
          <w:sz w:val="22"/>
          <w:lang w:val="en-AU"/>
        </w:rPr>
        <w:t xml:space="preserve"> and the system will not utilise the most cost-effective and </w:t>
      </w:r>
      <w:r w:rsidR="00913F73">
        <w:rPr>
          <w:rFonts w:asciiTheme="majorHAnsi" w:hAnsiTheme="majorHAnsi" w:cstheme="majorHAnsi"/>
          <w:bCs/>
          <w:color w:val="404040" w:themeColor="text1" w:themeTint="BF"/>
          <w:sz w:val="22"/>
          <w:lang w:val="en-AU"/>
        </w:rPr>
        <w:t>outcomes focused approaches.</w:t>
      </w:r>
      <w:r w:rsidR="00052D12">
        <w:rPr>
          <w:rFonts w:asciiTheme="majorHAnsi" w:hAnsiTheme="majorHAnsi" w:cstheme="majorHAnsi"/>
          <w:bCs/>
          <w:color w:val="404040" w:themeColor="text1" w:themeTint="BF"/>
          <w:sz w:val="22"/>
          <w:lang w:val="en-AU"/>
        </w:rPr>
        <w:t xml:space="preserve"> </w:t>
      </w:r>
      <w:r w:rsidR="00B02DD1" w:rsidRPr="00B02DD1">
        <w:rPr>
          <w:rFonts w:asciiTheme="majorHAnsi" w:hAnsiTheme="majorHAnsi" w:cstheme="majorHAnsi"/>
          <w:bCs/>
          <w:color w:val="404040" w:themeColor="text1" w:themeTint="BF"/>
          <w:sz w:val="22"/>
          <w:lang w:val="en-AU"/>
        </w:rPr>
        <w:t>AHPA strongly urges a</w:t>
      </w:r>
      <w:r w:rsidR="00913F73">
        <w:rPr>
          <w:rFonts w:asciiTheme="majorHAnsi" w:hAnsiTheme="majorHAnsi" w:cstheme="majorHAnsi"/>
          <w:bCs/>
          <w:color w:val="404040" w:themeColor="text1" w:themeTint="BF"/>
          <w:sz w:val="22"/>
          <w:lang w:val="en-AU"/>
        </w:rPr>
        <w:t xml:space="preserve"> review of the program with the intention of expanding the involvement of the rest of the primary care sector, based around a strong</w:t>
      </w:r>
      <w:r w:rsidR="00B02DD1" w:rsidRPr="00B02DD1">
        <w:rPr>
          <w:rFonts w:asciiTheme="majorHAnsi" w:hAnsiTheme="majorHAnsi" w:cstheme="majorHAnsi"/>
          <w:bCs/>
          <w:color w:val="404040" w:themeColor="text1" w:themeTint="BF"/>
          <w:sz w:val="22"/>
          <w:lang w:val="en-AU"/>
        </w:rPr>
        <w:t xml:space="preserve"> evidence</w:t>
      </w:r>
      <w:r w:rsidR="00913F73">
        <w:rPr>
          <w:rFonts w:asciiTheme="majorHAnsi" w:hAnsiTheme="majorHAnsi" w:cstheme="majorHAnsi"/>
          <w:bCs/>
          <w:color w:val="404040" w:themeColor="text1" w:themeTint="BF"/>
          <w:sz w:val="22"/>
          <w:lang w:val="en-AU"/>
        </w:rPr>
        <w:t>-</w:t>
      </w:r>
      <w:r w:rsidR="00B02DD1" w:rsidRPr="00B02DD1">
        <w:rPr>
          <w:rFonts w:asciiTheme="majorHAnsi" w:hAnsiTheme="majorHAnsi" w:cstheme="majorHAnsi"/>
          <w:bCs/>
          <w:color w:val="404040" w:themeColor="text1" w:themeTint="BF"/>
          <w:sz w:val="22"/>
          <w:lang w:val="en-AU"/>
        </w:rPr>
        <w:t xml:space="preserve">based approach </w:t>
      </w:r>
      <w:r w:rsidR="00913F73">
        <w:rPr>
          <w:rFonts w:asciiTheme="majorHAnsi" w:hAnsiTheme="majorHAnsi" w:cstheme="majorHAnsi"/>
          <w:bCs/>
          <w:color w:val="404040" w:themeColor="text1" w:themeTint="BF"/>
          <w:sz w:val="22"/>
          <w:lang w:val="en-AU"/>
        </w:rPr>
        <w:t xml:space="preserve">that delivers best practice care to </w:t>
      </w:r>
      <w:r w:rsidR="00CE0D86">
        <w:rPr>
          <w:rFonts w:asciiTheme="majorHAnsi" w:hAnsiTheme="majorHAnsi" w:cstheme="majorHAnsi"/>
          <w:bCs/>
          <w:color w:val="404040" w:themeColor="text1" w:themeTint="BF"/>
          <w:sz w:val="22"/>
          <w:lang w:val="en-AU"/>
        </w:rPr>
        <w:t>enrolled veterans.</w:t>
      </w:r>
    </w:p>
    <w:p w14:paraId="2C2EBF95" w14:textId="77777777" w:rsidR="00B02DD1" w:rsidRPr="00B02DD1" w:rsidRDefault="00B02DD1" w:rsidP="00B02DD1">
      <w:pPr>
        <w:spacing w:line="276" w:lineRule="auto"/>
        <w:rPr>
          <w:rFonts w:asciiTheme="majorHAnsi" w:hAnsiTheme="majorHAnsi" w:cstheme="majorHAnsi"/>
          <w:bCs/>
          <w:color w:val="404040" w:themeColor="text1" w:themeTint="BF"/>
          <w:sz w:val="22"/>
          <w:lang w:val="en-AU"/>
        </w:rPr>
      </w:pPr>
    </w:p>
    <w:p w14:paraId="18788F66" w14:textId="181EDC57" w:rsidR="00B02DD1" w:rsidRDefault="00B02DD1" w:rsidP="00B02DD1">
      <w:pPr>
        <w:spacing w:line="276" w:lineRule="auto"/>
        <w:rPr>
          <w:rFonts w:ascii="Bahnschrift SemiBold" w:hAnsi="Bahnschrift SemiBold"/>
          <w:b/>
          <w:bCs/>
          <w:color w:val="6D3291"/>
          <w:sz w:val="28"/>
          <w:szCs w:val="44"/>
        </w:rPr>
      </w:pPr>
      <w:bookmarkStart w:id="1" w:name="_Hlk1375067"/>
      <w:r w:rsidRPr="00B02DD1">
        <w:rPr>
          <w:rFonts w:ascii="Bahnschrift SemiBold" w:hAnsi="Bahnschrift SemiBold"/>
          <w:b/>
          <w:bCs/>
          <w:color w:val="6D3291"/>
          <w:sz w:val="28"/>
          <w:szCs w:val="44"/>
        </w:rPr>
        <w:t>I</w:t>
      </w:r>
      <w:r w:rsidR="008577DC">
        <w:rPr>
          <w:rFonts w:ascii="Bahnschrift SemiBold" w:hAnsi="Bahnschrift SemiBold"/>
          <w:b/>
          <w:bCs/>
          <w:color w:val="6D3291"/>
          <w:sz w:val="28"/>
          <w:szCs w:val="44"/>
        </w:rPr>
        <w:t xml:space="preserve">nformation Request </w:t>
      </w:r>
      <w:r w:rsidRPr="00B02DD1">
        <w:rPr>
          <w:rFonts w:ascii="Bahnschrift SemiBold" w:hAnsi="Bahnschrift SemiBold"/>
          <w:b/>
          <w:bCs/>
          <w:color w:val="6D3291"/>
          <w:sz w:val="28"/>
          <w:szCs w:val="44"/>
        </w:rPr>
        <w:t xml:space="preserve">15.2 </w:t>
      </w:r>
      <w:r w:rsidR="008577DC">
        <w:rPr>
          <w:rFonts w:ascii="Bahnschrift SemiBold" w:hAnsi="Bahnschrift SemiBold"/>
          <w:b/>
          <w:bCs/>
          <w:color w:val="6D3291"/>
          <w:sz w:val="28"/>
          <w:szCs w:val="44"/>
        </w:rPr>
        <w:t>– Fee-setting arrangements</w:t>
      </w:r>
    </w:p>
    <w:bookmarkEnd w:id="1"/>
    <w:p w14:paraId="72F7A7BB" w14:textId="77777777" w:rsidR="008577DC" w:rsidRPr="00B02DD1" w:rsidRDefault="008577DC" w:rsidP="00B02DD1">
      <w:pPr>
        <w:spacing w:line="276" w:lineRule="auto"/>
        <w:rPr>
          <w:rFonts w:ascii="Bahnschrift SemiBold" w:hAnsi="Bahnschrift SemiBold"/>
          <w:b/>
          <w:bCs/>
          <w:color w:val="6D3291"/>
          <w:sz w:val="8"/>
          <w:szCs w:val="44"/>
        </w:rPr>
      </w:pPr>
    </w:p>
    <w:p w14:paraId="6421EE7B" w14:textId="758D8B36" w:rsidR="00B02DD1" w:rsidRDefault="00B02DD1" w:rsidP="00B02DD1">
      <w:pPr>
        <w:spacing w:line="276" w:lineRule="auto"/>
        <w:rPr>
          <w:rFonts w:asciiTheme="majorHAnsi" w:hAnsiTheme="majorHAnsi" w:cstheme="majorHAnsi"/>
          <w:i/>
          <w:iCs/>
          <w:color w:val="404040" w:themeColor="text1" w:themeTint="BF"/>
          <w:sz w:val="22"/>
          <w:lang w:val="en-AU"/>
        </w:rPr>
      </w:pPr>
      <w:r w:rsidRPr="00B02DD1">
        <w:rPr>
          <w:rFonts w:asciiTheme="majorHAnsi" w:hAnsiTheme="majorHAnsi" w:cstheme="majorHAnsi"/>
          <w:i/>
          <w:iCs/>
          <w:color w:val="404040" w:themeColor="text1" w:themeTint="BF"/>
          <w:sz w:val="22"/>
          <w:lang w:val="en-AU"/>
        </w:rPr>
        <w:t xml:space="preserve">The Commission is seeking participants’ views on fee-setting arrangements for veterans’ health care that would promote accessible services while maintaining a cost-effective system. </w:t>
      </w:r>
    </w:p>
    <w:p w14:paraId="52229133" w14:textId="77777777" w:rsidR="0089160D" w:rsidRPr="00B02DD1" w:rsidRDefault="0089160D" w:rsidP="00B02DD1">
      <w:pPr>
        <w:spacing w:line="276" w:lineRule="auto"/>
        <w:rPr>
          <w:rFonts w:asciiTheme="majorHAnsi" w:hAnsiTheme="majorHAnsi" w:cstheme="majorHAnsi"/>
          <w:color w:val="404040" w:themeColor="text1" w:themeTint="BF"/>
          <w:sz w:val="22"/>
          <w:lang w:val="en-AU"/>
        </w:rPr>
      </w:pPr>
    </w:p>
    <w:p w14:paraId="04C6C7E5" w14:textId="1DDAA012" w:rsidR="00B02DD1" w:rsidRDefault="00B02DD1" w:rsidP="00B02DD1">
      <w:pPr>
        <w:spacing w:line="276" w:lineRule="auto"/>
        <w:rPr>
          <w:rFonts w:asciiTheme="majorHAnsi" w:hAnsiTheme="majorHAnsi" w:cstheme="majorHAnsi"/>
          <w:i/>
          <w:iCs/>
          <w:color w:val="404040" w:themeColor="text1" w:themeTint="BF"/>
          <w:sz w:val="22"/>
          <w:lang w:val="en-AU"/>
        </w:rPr>
      </w:pPr>
      <w:r w:rsidRPr="00B02DD1">
        <w:rPr>
          <w:rFonts w:asciiTheme="majorHAnsi" w:hAnsiTheme="majorHAnsi" w:cstheme="majorHAnsi"/>
          <w:i/>
          <w:iCs/>
          <w:color w:val="404040" w:themeColor="text1" w:themeTint="BF"/>
          <w:sz w:val="22"/>
          <w:lang w:val="en-AU"/>
        </w:rPr>
        <w:t xml:space="preserve">What would be the benefits and costs of separate fee-setting arrangements for Gold Card and White Card holders? To allow cardholders more choice of provider, should providers be allowed to charge co-payments? Should co-payments, if permitted, be restricted to treatment of non-service related conditions? </w:t>
      </w:r>
    </w:p>
    <w:p w14:paraId="673BA09D" w14:textId="77777777" w:rsidR="0089160D" w:rsidRPr="00B02DD1" w:rsidRDefault="0089160D" w:rsidP="00B02DD1">
      <w:pPr>
        <w:spacing w:line="276" w:lineRule="auto"/>
        <w:rPr>
          <w:rFonts w:asciiTheme="majorHAnsi" w:hAnsiTheme="majorHAnsi" w:cstheme="majorHAnsi"/>
          <w:color w:val="404040" w:themeColor="text1" w:themeTint="BF"/>
          <w:sz w:val="22"/>
          <w:lang w:val="en-AU"/>
        </w:rPr>
      </w:pPr>
    </w:p>
    <w:p w14:paraId="58EF3C2F" w14:textId="3B2CF8C3" w:rsidR="00B02DD1" w:rsidRPr="00B02DD1" w:rsidRDefault="00B02DD1" w:rsidP="00B02DD1">
      <w:pPr>
        <w:spacing w:line="276" w:lineRule="auto"/>
        <w:rPr>
          <w:rFonts w:asciiTheme="majorHAnsi" w:hAnsiTheme="majorHAnsi" w:cstheme="majorHAnsi"/>
          <w:bCs/>
          <w:color w:val="404040" w:themeColor="text1" w:themeTint="BF"/>
          <w:sz w:val="22"/>
          <w:lang w:val="en-AU"/>
        </w:rPr>
      </w:pPr>
      <w:r w:rsidRPr="00B02DD1">
        <w:rPr>
          <w:rFonts w:asciiTheme="majorHAnsi" w:hAnsiTheme="majorHAnsi" w:cstheme="majorHAnsi"/>
          <w:bCs/>
          <w:color w:val="404040" w:themeColor="text1" w:themeTint="BF"/>
          <w:sz w:val="22"/>
          <w:lang w:val="en-AU"/>
        </w:rPr>
        <w:t>AHPA and its members have longstanding concerns about the rates paid by DVA for veterans and have spent significant time lobbying for increased fees in order to ensure greater access to services. Feedback from practitioners across a range of professions and across a range of locations and settings suggests that the low rates paid by DVA are a genuine barrier to access to high quality services, provided by experienced practitioners. Our view is that current rates are not sustainable and result in providers either refusing to provide services, using less experienced staff to deliver care, or to effectively subsidise services by charging lower than appropriate rates. None of these options are conducive to ensuring the best outcomes for veterans or supporting genuine choice.</w:t>
      </w:r>
      <w:r w:rsidR="001F1545">
        <w:rPr>
          <w:rFonts w:asciiTheme="majorHAnsi" w:hAnsiTheme="majorHAnsi" w:cstheme="majorHAnsi"/>
          <w:bCs/>
          <w:color w:val="404040" w:themeColor="text1" w:themeTint="BF"/>
          <w:sz w:val="22"/>
          <w:lang w:val="en-AU"/>
        </w:rPr>
        <w:t xml:space="preserve"> We </w:t>
      </w:r>
      <w:r w:rsidR="001F1545">
        <w:rPr>
          <w:rFonts w:asciiTheme="majorHAnsi" w:hAnsiTheme="majorHAnsi" w:cstheme="majorHAnsi"/>
          <w:bCs/>
          <w:color w:val="404040" w:themeColor="text1" w:themeTint="BF"/>
          <w:sz w:val="22"/>
          <w:lang w:val="en-AU"/>
        </w:rPr>
        <w:lastRenderedPageBreak/>
        <w:t>argue that an urgent review of fees is required to ensure the scheme remains sustainable for providers.</w:t>
      </w:r>
    </w:p>
    <w:p w14:paraId="2E62FBF5" w14:textId="77777777" w:rsidR="0089160D" w:rsidRDefault="0089160D" w:rsidP="00B02DD1">
      <w:pPr>
        <w:spacing w:line="276" w:lineRule="auto"/>
        <w:rPr>
          <w:rFonts w:asciiTheme="majorHAnsi" w:hAnsiTheme="majorHAnsi" w:cstheme="majorHAnsi"/>
          <w:bCs/>
          <w:color w:val="404040" w:themeColor="text1" w:themeTint="BF"/>
          <w:sz w:val="22"/>
          <w:lang w:val="en-AU"/>
        </w:rPr>
      </w:pPr>
    </w:p>
    <w:p w14:paraId="6CE4C66A" w14:textId="4D2DFA69" w:rsidR="00B02DD1" w:rsidRDefault="00B02DD1" w:rsidP="00B02DD1">
      <w:pPr>
        <w:spacing w:line="276" w:lineRule="auto"/>
        <w:rPr>
          <w:rFonts w:asciiTheme="majorHAnsi" w:hAnsiTheme="majorHAnsi" w:cstheme="majorHAnsi"/>
          <w:bCs/>
          <w:color w:val="404040" w:themeColor="text1" w:themeTint="BF"/>
          <w:sz w:val="22"/>
          <w:lang w:val="en-AU"/>
        </w:rPr>
      </w:pPr>
      <w:r w:rsidRPr="00B02DD1">
        <w:rPr>
          <w:rFonts w:asciiTheme="majorHAnsi" w:hAnsiTheme="majorHAnsi" w:cstheme="majorHAnsi"/>
          <w:bCs/>
          <w:color w:val="404040" w:themeColor="text1" w:themeTint="BF"/>
          <w:sz w:val="22"/>
          <w:lang w:val="en-AU"/>
        </w:rPr>
        <w:t xml:space="preserve">With regard to the request for information </w:t>
      </w:r>
      <w:r w:rsidR="0009658E">
        <w:rPr>
          <w:rFonts w:asciiTheme="majorHAnsi" w:hAnsiTheme="majorHAnsi" w:cstheme="majorHAnsi"/>
          <w:bCs/>
          <w:color w:val="404040" w:themeColor="text1" w:themeTint="BF"/>
          <w:sz w:val="22"/>
          <w:lang w:val="en-AU"/>
        </w:rPr>
        <w:t>‘</w:t>
      </w:r>
      <w:r w:rsidRPr="00B02DD1">
        <w:rPr>
          <w:rFonts w:asciiTheme="majorHAnsi" w:hAnsiTheme="majorHAnsi" w:cstheme="majorHAnsi"/>
          <w:bCs/>
          <w:i/>
          <w:color w:val="404040" w:themeColor="text1" w:themeTint="BF"/>
          <w:sz w:val="22"/>
          <w:lang w:val="en-AU"/>
        </w:rPr>
        <w:t>What would be the benefits and costs of separate fee-setting arrangements for Gold Card and White Card holders?</w:t>
      </w:r>
      <w:r w:rsidR="0009658E">
        <w:rPr>
          <w:rFonts w:asciiTheme="majorHAnsi" w:hAnsiTheme="majorHAnsi" w:cstheme="majorHAnsi"/>
          <w:bCs/>
          <w:i/>
          <w:color w:val="404040" w:themeColor="text1" w:themeTint="BF"/>
          <w:sz w:val="22"/>
          <w:lang w:val="en-AU"/>
        </w:rPr>
        <w:t>’</w:t>
      </w:r>
      <w:r w:rsidRPr="00B02DD1">
        <w:rPr>
          <w:rFonts w:asciiTheme="majorHAnsi" w:hAnsiTheme="majorHAnsi" w:cstheme="majorHAnsi"/>
          <w:bCs/>
          <w:i/>
          <w:color w:val="404040" w:themeColor="text1" w:themeTint="BF"/>
          <w:sz w:val="22"/>
          <w:lang w:val="en-AU"/>
        </w:rPr>
        <w:t xml:space="preserve"> </w:t>
      </w:r>
      <w:r w:rsidR="0009658E">
        <w:rPr>
          <w:rFonts w:asciiTheme="majorHAnsi" w:hAnsiTheme="majorHAnsi" w:cstheme="majorHAnsi"/>
          <w:bCs/>
          <w:color w:val="404040" w:themeColor="text1" w:themeTint="BF"/>
          <w:sz w:val="22"/>
          <w:lang w:val="en-AU"/>
        </w:rPr>
        <w:t>we consider that t</w:t>
      </w:r>
      <w:r w:rsidRPr="00B02DD1">
        <w:rPr>
          <w:rFonts w:asciiTheme="majorHAnsi" w:hAnsiTheme="majorHAnsi" w:cstheme="majorHAnsi"/>
          <w:bCs/>
          <w:color w:val="404040" w:themeColor="text1" w:themeTint="BF"/>
          <w:sz w:val="22"/>
          <w:lang w:val="en-AU"/>
        </w:rPr>
        <w:t xml:space="preserve">his would appear to be a reasonable approach </w:t>
      </w:r>
      <w:r w:rsidR="0009658E">
        <w:rPr>
          <w:rFonts w:asciiTheme="majorHAnsi" w:hAnsiTheme="majorHAnsi" w:cstheme="majorHAnsi"/>
          <w:bCs/>
          <w:color w:val="404040" w:themeColor="text1" w:themeTint="BF"/>
          <w:sz w:val="22"/>
          <w:lang w:val="en-AU"/>
        </w:rPr>
        <w:t xml:space="preserve">whereby </w:t>
      </w:r>
      <w:r w:rsidRPr="00B02DD1">
        <w:rPr>
          <w:rFonts w:asciiTheme="majorHAnsi" w:hAnsiTheme="majorHAnsi" w:cstheme="majorHAnsi"/>
          <w:bCs/>
          <w:color w:val="404040" w:themeColor="text1" w:themeTint="BF"/>
          <w:sz w:val="22"/>
          <w:lang w:val="en-AU"/>
        </w:rPr>
        <w:t>those with service</w:t>
      </w:r>
      <w:r w:rsidR="000D0238">
        <w:rPr>
          <w:rFonts w:asciiTheme="majorHAnsi" w:hAnsiTheme="majorHAnsi" w:cstheme="majorHAnsi"/>
          <w:bCs/>
          <w:color w:val="404040" w:themeColor="text1" w:themeTint="BF"/>
          <w:sz w:val="22"/>
          <w:lang w:val="en-AU"/>
        </w:rPr>
        <w:t>-</w:t>
      </w:r>
      <w:r w:rsidRPr="00B02DD1">
        <w:rPr>
          <w:rFonts w:asciiTheme="majorHAnsi" w:hAnsiTheme="majorHAnsi" w:cstheme="majorHAnsi"/>
          <w:bCs/>
          <w:color w:val="404040" w:themeColor="text1" w:themeTint="BF"/>
          <w:sz w:val="22"/>
          <w:lang w:val="en-AU"/>
        </w:rPr>
        <w:t xml:space="preserve">related injury and impairment </w:t>
      </w:r>
      <w:r w:rsidR="0009658E">
        <w:rPr>
          <w:rFonts w:asciiTheme="majorHAnsi" w:hAnsiTheme="majorHAnsi" w:cstheme="majorHAnsi"/>
          <w:bCs/>
          <w:color w:val="404040" w:themeColor="text1" w:themeTint="BF"/>
          <w:sz w:val="22"/>
          <w:lang w:val="en-AU"/>
        </w:rPr>
        <w:t xml:space="preserve">have </w:t>
      </w:r>
      <w:r w:rsidRPr="00B02DD1">
        <w:rPr>
          <w:rFonts w:asciiTheme="majorHAnsi" w:hAnsiTheme="majorHAnsi" w:cstheme="majorHAnsi"/>
          <w:bCs/>
          <w:color w:val="404040" w:themeColor="text1" w:themeTint="BF"/>
          <w:sz w:val="22"/>
          <w:lang w:val="en-AU"/>
        </w:rPr>
        <w:t xml:space="preserve">access to </w:t>
      </w:r>
      <w:r w:rsidR="0009658E">
        <w:rPr>
          <w:rFonts w:asciiTheme="majorHAnsi" w:hAnsiTheme="majorHAnsi" w:cstheme="majorHAnsi"/>
          <w:bCs/>
          <w:color w:val="404040" w:themeColor="text1" w:themeTint="BF"/>
          <w:sz w:val="22"/>
          <w:lang w:val="en-AU"/>
        </w:rPr>
        <w:t xml:space="preserve">a </w:t>
      </w:r>
      <w:r w:rsidRPr="00B02DD1">
        <w:rPr>
          <w:rFonts w:asciiTheme="majorHAnsi" w:hAnsiTheme="majorHAnsi" w:cstheme="majorHAnsi"/>
          <w:bCs/>
          <w:color w:val="404040" w:themeColor="text1" w:themeTint="BF"/>
          <w:sz w:val="22"/>
          <w:lang w:val="en-AU"/>
        </w:rPr>
        <w:t xml:space="preserve">higher </w:t>
      </w:r>
      <w:r w:rsidR="0009658E">
        <w:rPr>
          <w:rFonts w:asciiTheme="majorHAnsi" w:hAnsiTheme="majorHAnsi" w:cstheme="majorHAnsi"/>
          <w:bCs/>
          <w:color w:val="404040" w:themeColor="text1" w:themeTint="BF"/>
          <w:sz w:val="22"/>
          <w:lang w:val="en-AU"/>
        </w:rPr>
        <w:t xml:space="preserve">level of </w:t>
      </w:r>
      <w:r w:rsidRPr="00B02DD1">
        <w:rPr>
          <w:rFonts w:asciiTheme="majorHAnsi" w:hAnsiTheme="majorHAnsi" w:cstheme="majorHAnsi"/>
          <w:bCs/>
          <w:color w:val="404040" w:themeColor="text1" w:themeTint="BF"/>
          <w:sz w:val="22"/>
          <w:lang w:val="en-AU"/>
        </w:rPr>
        <w:t>benefits</w:t>
      </w:r>
      <w:r w:rsidR="00C71EDB">
        <w:rPr>
          <w:rFonts w:asciiTheme="majorHAnsi" w:hAnsiTheme="majorHAnsi" w:cstheme="majorHAnsi"/>
          <w:bCs/>
          <w:color w:val="404040" w:themeColor="text1" w:themeTint="BF"/>
          <w:sz w:val="22"/>
          <w:lang w:val="en-AU"/>
        </w:rPr>
        <w:t xml:space="preserve"> with the intention being to pay a higher rate for services and continuing to fully fund care</w:t>
      </w:r>
      <w:r w:rsidR="000D0238">
        <w:rPr>
          <w:rFonts w:asciiTheme="majorHAnsi" w:hAnsiTheme="majorHAnsi" w:cstheme="majorHAnsi"/>
          <w:bCs/>
          <w:color w:val="404040" w:themeColor="text1" w:themeTint="BF"/>
          <w:sz w:val="22"/>
          <w:lang w:val="en-AU"/>
        </w:rPr>
        <w:t>.</w:t>
      </w:r>
      <w:r w:rsidR="00F04B40">
        <w:rPr>
          <w:rFonts w:asciiTheme="majorHAnsi" w:hAnsiTheme="majorHAnsi" w:cstheme="majorHAnsi"/>
          <w:bCs/>
          <w:color w:val="404040" w:themeColor="text1" w:themeTint="BF"/>
          <w:sz w:val="22"/>
          <w:lang w:val="en-AU"/>
        </w:rPr>
        <w:t xml:space="preserve"> </w:t>
      </w:r>
    </w:p>
    <w:p w14:paraId="1B60D579" w14:textId="77777777" w:rsidR="0089160D" w:rsidRPr="00B02DD1" w:rsidRDefault="0089160D" w:rsidP="00B02DD1">
      <w:pPr>
        <w:spacing w:line="276" w:lineRule="auto"/>
        <w:rPr>
          <w:rFonts w:asciiTheme="majorHAnsi" w:hAnsiTheme="majorHAnsi" w:cstheme="majorHAnsi"/>
          <w:bCs/>
          <w:color w:val="404040" w:themeColor="text1" w:themeTint="BF"/>
          <w:sz w:val="22"/>
          <w:lang w:val="en-AU"/>
        </w:rPr>
      </w:pPr>
    </w:p>
    <w:p w14:paraId="6FC4172B" w14:textId="15EE9A6F" w:rsidR="0089160D" w:rsidRDefault="00B02DD1" w:rsidP="00B02DD1">
      <w:pPr>
        <w:spacing w:line="276" w:lineRule="auto"/>
        <w:rPr>
          <w:rFonts w:asciiTheme="majorHAnsi" w:hAnsiTheme="majorHAnsi" w:cstheme="majorHAnsi"/>
          <w:bCs/>
          <w:i/>
          <w:color w:val="404040" w:themeColor="text1" w:themeTint="BF"/>
          <w:sz w:val="22"/>
          <w:lang w:val="en-AU"/>
        </w:rPr>
      </w:pPr>
      <w:r w:rsidRPr="00B02DD1">
        <w:rPr>
          <w:rFonts w:asciiTheme="majorHAnsi" w:hAnsiTheme="majorHAnsi" w:cstheme="majorHAnsi"/>
          <w:bCs/>
          <w:i/>
          <w:color w:val="404040" w:themeColor="text1" w:themeTint="BF"/>
          <w:sz w:val="22"/>
          <w:lang w:val="en-AU"/>
        </w:rPr>
        <w:t>To allow cardholders more choice of provider, should providers be allowed to charge co</w:t>
      </w:r>
      <w:r w:rsidRPr="00B02DD1">
        <w:rPr>
          <w:rFonts w:asciiTheme="majorHAnsi" w:hAnsiTheme="majorHAnsi" w:cstheme="majorHAnsi"/>
          <w:bCs/>
          <w:i/>
          <w:color w:val="404040" w:themeColor="text1" w:themeTint="BF"/>
          <w:sz w:val="22"/>
          <w:lang w:val="en-AU"/>
        </w:rPr>
        <w:noBreakHyphen/>
        <w:t xml:space="preserve">payments? </w:t>
      </w:r>
    </w:p>
    <w:p w14:paraId="20F04A47" w14:textId="77777777" w:rsidR="00123ADD" w:rsidRDefault="00B02DD1" w:rsidP="00B02DD1">
      <w:pPr>
        <w:spacing w:line="276" w:lineRule="auto"/>
        <w:rPr>
          <w:rFonts w:asciiTheme="majorHAnsi" w:hAnsiTheme="majorHAnsi" w:cstheme="majorHAnsi"/>
          <w:bCs/>
          <w:i/>
          <w:color w:val="404040" w:themeColor="text1" w:themeTint="BF"/>
          <w:sz w:val="22"/>
          <w:lang w:val="en-AU"/>
        </w:rPr>
      </w:pPr>
      <w:r w:rsidRPr="00B02DD1">
        <w:rPr>
          <w:rFonts w:asciiTheme="majorHAnsi" w:hAnsiTheme="majorHAnsi" w:cstheme="majorHAnsi"/>
          <w:bCs/>
          <w:i/>
          <w:color w:val="404040" w:themeColor="text1" w:themeTint="BF"/>
          <w:sz w:val="22"/>
          <w:lang w:val="en-AU"/>
        </w:rPr>
        <w:t xml:space="preserve">Should co-payments, if permitted, be restricted to treatment of non-service related conditions? </w:t>
      </w:r>
    </w:p>
    <w:p w14:paraId="67CFA3CC" w14:textId="77777777" w:rsidR="00123ADD" w:rsidRDefault="00123ADD" w:rsidP="00B02DD1">
      <w:pPr>
        <w:spacing w:line="276" w:lineRule="auto"/>
        <w:rPr>
          <w:rFonts w:asciiTheme="majorHAnsi" w:hAnsiTheme="majorHAnsi" w:cstheme="majorHAnsi"/>
          <w:bCs/>
          <w:color w:val="404040" w:themeColor="text1" w:themeTint="BF"/>
          <w:sz w:val="22"/>
          <w:lang w:val="en-AU"/>
        </w:rPr>
      </w:pPr>
    </w:p>
    <w:p w14:paraId="05FC01A9" w14:textId="79225A1B" w:rsidR="003D10BB" w:rsidRDefault="008E0D4B" w:rsidP="00B02DD1">
      <w:pPr>
        <w:spacing w:line="276" w:lineRule="auto"/>
        <w:rPr>
          <w:rFonts w:asciiTheme="majorHAnsi" w:hAnsiTheme="majorHAnsi" w:cstheme="majorHAnsi"/>
          <w:bCs/>
          <w:color w:val="404040" w:themeColor="text1" w:themeTint="BF"/>
          <w:sz w:val="22"/>
          <w:lang w:val="en-AU"/>
        </w:rPr>
      </w:pPr>
      <w:r>
        <w:rPr>
          <w:rFonts w:asciiTheme="majorHAnsi" w:hAnsiTheme="majorHAnsi" w:cstheme="majorHAnsi"/>
          <w:bCs/>
          <w:color w:val="404040" w:themeColor="text1" w:themeTint="BF"/>
          <w:sz w:val="22"/>
          <w:lang w:val="en-AU"/>
        </w:rPr>
        <w:t>AHPA is cautiously supportive of an ability to charge co-payments for Gold Car</w:t>
      </w:r>
      <w:r w:rsidR="007243A2">
        <w:rPr>
          <w:rFonts w:asciiTheme="majorHAnsi" w:hAnsiTheme="majorHAnsi" w:cstheme="majorHAnsi"/>
          <w:bCs/>
          <w:color w:val="404040" w:themeColor="text1" w:themeTint="BF"/>
          <w:sz w:val="22"/>
          <w:lang w:val="en-AU"/>
        </w:rPr>
        <w:t>d</w:t>
      </w:r>
      <w:r>
        <w:rPr>
          <w:rFonts w:asciiTheme="majorHAnsi" w:hAnsiTheme="majorHAnsi" w:cstheme="majorHAnsi"/>
          <w:bCs/>
          <w:color w:val="404040" w:themeColor="text1" w:themeTint="BF"/>
          <w:sz w:val="22"/>
          <w:lang w:val="en-AU"/>
        </w:rPr>
        <w:t xml:space="preserve"> holders, however we believe that White Car</w:t>
      </w:r>
      <w:r w:rsidR="007243A2">
        <w:rPr>
          <w:rFonts w:asciiTheme="majorHAnsi" w:hAnsiTheme="majorHAnsi" w:cstheme="majorHAnsi"/>
          <w:bCs/>
          <w:color w:val="404040" w:themeColor="text1" w:themeTint="BF"/>
          <w:sz w:val="22"/>
          <w:lang w:val="en-AU"/>
        </w:rPr>
        <w:t>d</w:t>
      </w:r>
      <w:r>
        <w:rPr>
          <w:rFonts w:asciiTheme="majorHAnsi" w:hAnsiTheme="majorHAnsi" w:cstheme="majorHAnsi"/>
          <w:bCs/>
          <w:color w:val="404040" w:themeColor="text1" w:themeTint="BF"/>
          <w:sz w:val="22"/>
          <w:lang w:val="en-AU"/>
        </w:rPr>
        <w:t xml:space="preserve"> holders should have their care</w:t>
      </w:r>
      <w:r w:rsidR="00F87E4F">
        <w:rPr>
          <w:rFonts w:asciiTheme="majorHAnsi" w:hAnsiTheme="majorHAnsi" w:cstheme="majorHAnsi"/>
          <w:bCs/>
          <w:color w:val="404040" w:themeColor="text1" w:themeTint="BF"/>
          <w:sz w:val="22"/>
          <w:lang w:val="en-AU"/>
        </w:rPr>
        <w:t xml:space="preserve"> fully funded by means of a higher rate of fee</w:t>
      </w:r>
      <w:r w:rsidR="00B02DD1" w:rsidRPr="00B02DD1">
        <w:rPr>
          <w:rFonts w:asciiTheme="majorHAnsi" w:hAnsiTheme="majorHAnsi" w:cstheme="majorHAnsi"/>
          <w:bCs/>
          <w:color w:val="404040" w:themeColor="text1" w:themeTint="BF"/>
          <w:sz w:val="22"/>
          <w:lang w:val="en-AU"/>
        </w:rPr>
        <w:t>.</w:t>
      </w:r>
      <w:r w:rsidR="00F87E4F">
        <w:rPr>
          <w:rFonts w:asciiTheme="majorHAnsi" w:hAnsiTheme="majorHAnsi" w:cstheme="majorHAnsi"/>
          <w:bCs/>
          <w:color w:val="404040" w:themeColor="text1" w:themeTint="BF"/>
          <w:sz w:val="22"/>
          <w:lang w:val="en-AU"/>
        </w:rPr>
        <w:t xml:space="preserve"> One of the biggest barriers to high quality care and consumer choice under the current DVA fee structure is the low levels paid for service.</w:t>
      </w:r>
      <w:r w:rsidR="00745CA3">
        <w:rPr>
          <w:rFonts w:asciiTheme="majorHAnsi" w:hAnsiTheme="majorHAnsi" w:cstheme="majorHAnsi"/>
          <w:bCs/>
          <w:color w:val="404040" w:themeColor="text1" w:themeTint="BF"/>
          <w:sz w:val="22"/>
          <w:lang w:val="en-AU"/>
        </w:rPr>
        <w:t xml:space="preserve"> This has been noted in the report and is something providers frequently report to their peak associations. </w:t>
      </w:r>
      <w:r w:rsidR="00F87E4F">
        <w:rPr>
          <w:rFonts w:asciiTheme="majorHAnsi" w:hAnsiTheme="majorHAnsi" w:cstheme="majorHAnsi"/>
          <w:bCs/>
          <w:color w:val="404040" w:themeColor="text1" w:themeTint="BF"/>
          <w:sz w:val="22"/>
          <w:lang w:val="en-AU"/>
        </w:rPr>
        <w:t xml:space="preserve"> As such there is a strong argument to be made that allowing a co-payment to be charged would allow DVA to </w:t>
      </w:r>
      <w:r w:rsidR="000672F0">
        <w:rPr>
          <w:rFonts w:asciiTheme="majorHAnsi" w:hAnsiTheme="majorHAnsi" w:cstheme="majorHAnsi"/>
          <w:bCs/>
          <w:color w:val="404040" w:themeColor="text1" w:themeTint="BF"/>
          <w:sz w:val="22"/>
          <w:lang w:val="en-AU"/>
        </w:rPr>
        <w:t>minimise</w:t>
      </w:r>
      <w:r w:rsidR="003D10BB">
        <w:rPr>
          <w:rFonts w:asciiTheme="majorHAnsi" w:hAnsiTheme="majorHAnsi" w:cstheme="majorHAnsi"/>
          <w:bCs/>
          <w:color w:val="404040" w:themeColor="text1" w:themeTint="BF"/>
          <w:sz w:val="22"/>
          <w:lang w:val="en-AU"/>
        </w:rPr>
        <w:t xml:space="preserve"> fee</w:t>
      </w:r>
      <w:r w:rsidR="000672F0">
        <w:rPr>
          <w:rFonts w:asciiTheme="majorHAnsi" w:hAnsiTheme="majorHAnsi" w:cstheme="majorHAnsi"/>
          <w:bCs/>
          <w:color w:val="404040" w:themeColor="text1" w:themeTint="BF"/>
          <w:sz w:val="22"/>
          <w:lang w:val="en-AU"/>
        </w:rPr>
        <w:t xml:space="preserve"> increases f</w:t>
      </w:r>
      <w:r w:rsidR="003D10BB">
        <w:rPr>
          <w:rFonts w:asciiTheme="majorHAnsi" w:hAnsiTheme="majorHAnsi" w:cstheme="majorHAnsi"/>
          <w:bCs/>
          <w:color w:val="404040" w:themeColor="text1" w:themeTint="BF"/>
          <w:sz w:val="22"/>
          <w:lang w:val="en-AU"/>
        </w:rPr>
        <w:t>or Gold Car</w:t>
      </w:r>
      <w:r w:rsidR="007243A2">
        <w:rPr>
          <w:rFonts w:asciiTheme="majorHAnsi" w:hAnsiTheme="majorHAnsi" w:cstheme="majorHAnsi"/>
          <w:bCs/>
          <w:color w:val="404040" w:themeColor="text1" w:themeTint="BF"/>
          <w:sz w:val="22"/>
          <w:lang w:val="en-AU"/>
        </w:rPr>
        <w:t>d</w:t>
      </w:r>
      <w:r w:rsidR="003D10BB">
        <w:rPr>
          <w:rFonts w:asciiTheme="majorHAnsi" w:hAnsiTheme="majorHAnsi" w:cstheme="majorHAnsi"/>
          <w:bCs/>
          <w:color w:val="404040" w:themeColor="text1" w:themeTint="BF"/>
          <w:sz w:val="22"/>
          <w:lang w:val="en-AU"/>
        </w:rPr>
        <w:t xml:space="preserve"> holders while increasing the capacity of providers to charge a sustainable rate.</w:t>
      </w:r>
    </w:p>
    <w:p w14:paraId="18C3230C" w14:textId="77777777" w:rsidR="003D10BB" w:rsidRDefault="003D10BB" w:rsidP="00B02DD1">
      <w:pPr>
        <w:spacing w:line="276" w:lineRule="auto"/>
        <w:rPr>
          <w:rFonts w:asciiTheme="majorHAnsi" w:hAnsiTheme="majorHAnsi" w:cstheme="majorHAnsi"/>
          <w:bCs/>
          <w:color w:val="404040" w:themeColor="text1" w:themeTint="BF"/>
          <w:sz w:val="22"/>
          <w:lang w:val="en-AU"/>
        </w:rPr>
      </w:pPr>
    </w:p>
    <w:p w14:paraId="7EAF9515" w14:textId="1690E97E" w:rsidR="00FA02A6" w:rsidRDefault="003D10BB" w:rsidP="00B02DD1">
      <w:pPr>
        <w:spacing w:line="276" w:lineRule="auto"/>
        <w:rPr>
          <w:rFonts w:asciiTheme="majorHAnsi" w:hAnsiTheme="majorHAnsi" w:cstheme="majorHAnsi"/>
          <w:bCs/>
          <w:color w:val="404040" w:themeColor="text1" w:themeTint="BF"/>
          <w:sz w:val="22"/>
          <w:lang w:val="en-AU"/>
        </w:rPr>
      </w:pPr>
      <w:r>
        <w:rPr>
          <w:rFonts w:asciiTheme="majorHAnsi" w:hAnsiTheme="majorHAnsi" w:cstheme="majorHAnsi"/>
          <w:bCs/>
          <w:color w:val="404040" w:themeColor="text1" w:themeTint="BF"/>
          <w:sz w:val="22"/>
          <w:lang w:val="en-AU"/>
        </w:rPr>
        <w:t>However,</w:t>
      </w:r>
      <w:r w:rsidR="00B02DD1" w:rsidRPr="00B02DD1">
        <w:rPr>
          <w:rFonts w:asciiTheme="majorHAnsi" w:hAnsiTheme="majorHAnsi" w:cstheme="majorHAnsi"/>
          <w:bCs/>
          <w:color w:val="404040" w:themeColor="text1" w:themeTint="BF"/>
          <w:sz w:val="22"/>
          <w:lang w:val="en-AU"/>
        </w:rPr>
        <w:t xml:space="preserve"> </w:t>
      </w:r>
      <w:r>
        <w:rPr>
          <w:rFonts w:asciiTheme="majorHAnsi" w:hAnsiTheme="majorHAnsi" w:cstheme="majorHAnsi"/>
          <w:bCs/>
          <w:color w:val="404040" w:themeColor="text1" w:themeTint="BF"/>
          <w:sz w:val="22"/>
          <w:lang w:val="en-AU"/>
        </w:rPr>
        <w:t>t</w:t>
      </w:r>
      <w:r w:rsidR="00B02DD1" w:rsidRPr="00B02DD1">
        <w:rPr>
          <w:rFonts w:asciiTheme="majorHAnsi" w:hAnsiTheme="majorHAnsi" w:cstheme="majorHAnsi"/>
          <w:bCs/>
          <w:color w:val="404040" w:themeColor="text1" w:themeTint="BF"/>
          <w:sz w:val="22"/>
          <w:lang w:val="en-AU"/>
        </w:rPr>
        <w:t>here is plenty of evidence that co-payments for those in vulnerable positions are a significant deterrent to accessing services</w:t>
      </w:r>
      <w:r w:rsidR="00102F47">
        <w:rPr>
          <w:rFonts w:asciiTheme="majorHAnsi" w:hAnsiTheme="majorHAnsi" w:cstheme="majorHAnsi"/>
          <w:bCs/>
          <w:color w:val="404040" w:themeColor="text1" w:themeTint="BF"/>
          <w:sz w:val="22"/>
          <w:lang w:val="en-AU"/>
        </w:rPr>
        <w:t xml:space="preserve"> and we are concerned about the consequences of such a change in terms of the accessibility of services for veterans and their dependants</w:t>
      </w:r>
      <w:r w:rsidR="00B02DD1" w:rsidRPr="00B02DD1">
        <w:rPr>
          <w:rFonts w:asciiTheme="majorHAnsi" w:hAnsiTheme="majorHAnsi" w:cstheme="majorHAnsi"/>
          <w:bCs/>
          <w:color w:val="404040" w:themeColor="text1" w:themeTint="BF"/>
          <w:sz w:val="22"/>
          <w:lang w:val="en-AU"/>
        </w:rPr>
        <w:t xml:space="preserve">. </w:t>
      </w:r>
      <w:r w:rsidR="00102F47">
        <w:rPr>
          <w:rFonts w:asciiTheme="majorHAnsi" w:hAnsiTheme="majorHAnsi" w:cstheme="majorHAnsi"/>
          <w:bCs/>
          <w:color w:val="404040" w:themeColor="text1" w:themeTint="BF"/>
          <w:sz w:val="22"/>
          <w:lang w:val="en-AU"/>
        </w:rPr>
        <w:t xml:space="preserve">While </w:t>
      </w:r>
      <w:r w:rsidR="00B02DD1" w:rsidRPr="00B02DD1">
        <w:rPr>
          <w:rFonts w:asciiTheme="majorHAnsi" w:hAnsiTheme="majorHAnsi" w:cstheme="majorHAnsi"/>
          <w:bCs/>
          <w:color w:val="404040" w:themeColor="text1" w:themeTint="BF"/>
          <w:sz w:val="22"/>
          <w:lang w:val="en-AU"/>
        </w:rPr>
        <w:t>AHPA suggests that introducing co-payments for non-service related conditions would make provision of services to veterans or their dependents more viable for allied health practitioners</w:t>
      </w:r>
      <w:r w:rsidR="00102F47">
        <w:rPr>
          <w:rFonts w:asciiTheme="majorHAnsi" w:hAnsiTheme="majorHAnsi" w:cstheme="majorHAnsi"/>
          <w:bCs/>
          <w:color w:val="404040" w:themeColor="text1" w:themeTint="BF"/>
          <w:sz w:val="22"/>
          <w:lang w:val="en-AU"/>
        </w:rPr>
        <w:t xml:space="preserve">, </w:t>
      </w:r>
      <w:r w:rsidR="00A00C23">
        <w:rPr>
          <w:rFonts w:asciiTheme="majorHAnsi" w:hAnsiTheme="majorHAnsi" w:cstheme="majorHAnsi"/>
          <w:bCs/>
          <w:color w:val="404040" w:themeColor="text1" w:themeTint="BF"/>
          <w:sz w:val="22"/>
          <w:lang w:val="en-AU"/>
        </w:rPr>
        <w:t xml:space="preserve">we recommend that changes are carefully evaluated to ensure that access does not become an issue for </w:t>
      </w:r>
      <w:r w:rsidR="00FA02A6">
        <w:rPr>
          <w:rFonts w:asciiTheme="majorHAnsi" w:hAnsiTheme="majorHAnsi" w:cstheme="majorHAnsi"/>
          <w:bCs/>
          <w:color w:val="404040" w:themeColor="text1" w:themeTint="BF"/>
          <w:sz w:val="22"/>
          <w:lang w:val="en-AU"/>
        </w:rPr>
        <w:t>Gold Car</w:t>
      </w:r>
      <w:r w:rsidR="00C54880">
        <w:rPr>
          <w:rFonts w:asciiTheme="majorHAnsi" w:hAnsiTheme="majorHAnsi" w:cstheme="majorHAnsi"/>
          <w:bCs/>
          <w:color w:val="404040" w:themeColor="text1" w:themeTint="BF"/>
          <w:sz w:val="22"/>
          <w:lang w:val="en-AU"/>
        </w:rPr>
        <w:t>d</w:t>
      </w:r>
      <w:r w:rsidR="00FA02A6">
        <w:rPr>
          <w:rFonts w:asciiTheme="majorHAnsi" w:hAnsiTheme="majorHAnsi" w:cstheme="majorHAnsi"/>
          <w:bCs/>
          <w:color w:val="404040" w:themeColor="text1" w:themeTint="BF"/>
          <w:sz w:val="22"/>
          <w:lang w:val="en-AU"/>
        </w:rPr>
        <w:t xml:space="preserve"> holders</w:t>
      </w:r>
      <w:r w:rsidR="00B02DD1" w:rsidRPr="00B02DD1">
        <w:rPr>
          <w:rFonts w:asciiTheme="majorHAnsi" w:hAnsiTheme="majorHAnsi" w:cstheme="majorHAnsi"/>
          <w:bCs/>
          <w:color w:val="404040" w:themeColor="text1" w:themeTint="BF"/>
          <w:sz w:val="22"/>
          <w:lang w:val="en-AU"/>
        </w:rPr>
        <w:t xml:space="preserve">. </w:t>
      </w:r>
      <w:r w:rsidR="000672F0">
        <w:rPr>
          <w:rFonts w:asciiTheme="majorHAnsi" w:hAnsiTheme="majorHAnsi" w:cstheme="majorHAnsi"/>
          <w:bCs/>
          <w:color w:val="404040" w:themeColor="text1" w:themeTint="BF"/>
          <w:sz w:val="22"/>
          <w:lang w:val="en-AU"/>
        </w:rPr>
        <w:t>We reiterate our belief that White Car</w:t>
      </w:r>
      <w:r w:rsidR="007243A2">
        <w:rPr>
          <w:rFonts w:asciiTheme="majorHAnsi" w:hAnsiTheme="majorHAnsi" w:cstheme="majorHAnsi"/>
          <w:bCs/>
          <w:color w:val="404040" w:themeColor="text1" w:themeTint="BF"/>
          <w:sz w:val="22"/>
          <w:lang w:val="en-AU"/>
        </w:rPr>
        <w:t>d</w:t>
      </w:r>
      <w:r w:rsidR="000672F0">
        <w:rPr>
          <w:rFonts w:asciiTheme="majorHAnsi" w:hAnsiTheme="majorHAnsi" w:cstheme="majorHAnsi"/>
          <w:bCs/>
          <w:color w:val="404040" w:themeColor="text1" w:themeTint="BF"/>
          <w:sz w:val="22"/>
          <w:lang w:val="en-AU"/>
        </w:rPr>
        <w:t xml:space="preserve"> holders should have their care fully funded and that this care should be paid at a sustainable rate</w:t>
      </w:r>
      <w:r w:rsidR="00DC039F">
        <w:rPr>
          <w:rFonts w:asciiTheme="majorHAnsi" w:hAnsiTheme="majorHAnsi" w:cstheme="majorHAnsi"/>
          <w:bCs/>
          <w:color w:val="404040" w:themeColor="text1" w:themeTint="BF"/>
          <w:sz w:val="22"/>
          <w:lang w:val="en-AU"/>
        </w:rPr>
        <w:t xml:space="preserve"> that is set much higher than the current rebates.</w:t>
      </w:r>
    </w:p>
    <w:p w14:paraId="7EDD3B78" w14:textId="77777777" w:rsidR="0089160D" w:rsidRDefault="0089160D" w:rsidP="00B02DD1">
      <w:pPr>
        <w:spacing w:line="276" w:lineRule="auto"/>
        <w:rPr>
          <w:rFonts w:asciiTheme="majorHAnsi" w:hAnsiTheme="majorHAnsi" w:cstheme="majorHAnsi"/>
          <w:bCs/>
          <w:color w:val="404040" w:themeColor="text1" w:themeTint="BF"/>
          <w:sz w:val="22"/>
          <w:lang w:val="en-AU"/>
        </w:rPr>
      </w:pPr>
    </w:p>
    <w:p w14:paraId="1C4A4A3D" w14:textId="083F7537" w:rsidR="00B02DD1" w:rsidRPr="0089160D" w:rsidRDefault="00B02DD1" w:rsidP="00B02DD1">
      <w:pPr>
        <w:spacing w:line="276" w:lineRule="auto"/>
        <w:rPr>
          <w:rFonts w:ascii="Bahnschrift SemiBold" w:hAnsi="Bahnschrift SemiBold"/>
          <w:b/>
          <w:bCs/>
          <w:color w:val="6D3291"/>
          <w:sz w:val="28"/>
          <w:szCs w:val="44"/>
        </w:rPr>
      </w:pPr>
      <w:r w:rsidRPr="00B02DD1">
        <w:rPr>
          <w:rFonts w:ascii="Bahnschrift SemiBold" w:hAnsi="Bahnschrift SemiBold"/>
          <w:b/>
          <w:bCs/>
          <w:color w:val="6D3291"/>
          <w:sz w:val="28"/>
          <w:szCs w:val="44"/>
        </w:rPr>
        <w:t xml:space="preserve">Recommendation 15.3 – Review of mental health services </w:t>
      </w:r>
    </w:p>
    <w:p w14:paraId="058073F5" w14:textId="77777777" w:rsidR="0089160D" w:rsidRPr="00B02DD1" w:rsidRDefault="0089160D" w:rsidP="00B02DD1">
      <w:pPr>
        <w:spacing w:line="276" w:lineRule="auto"/>
        <w:rPr>
          <w:rFonts w:asciiTheme="majorHAnsi" w:hAnsiTheme="majorHAnsi" w:cstheme="majorHAnsi"/>
          <w:bCs/>
          <w:color w:val="404040" w:themeColor="text1" w:themeTint="BF"/>
          <w:sz w:val="8"/>
          <w:lang w:val="en-AU"/>
        </w:rPr>
      </w:pPr>
    </w:p>
    <w:p w14:paraId="40641427" w14:textId="77777777" w:rsidR="00BE6ACD" w:rsidRDefault="00B02DD1" w:rsidP="00B02DD1">
      <w:pPr>
        <w:spacing w:line="276" w:lineRule="auto"/>
        <w:rPr>
          <w:rFonts w:asciiTheme="majorHAnsi" w:hAnsiTheme="majorHAnsi" w:cstheme="majorHAnsi"/>
          <w:bCs/>
          <w:color w:val="404040" w:themeColor="text1" w:themeTint="BF"/>
          <w:sz w:val="22"/>
          <w:lang w:val="en-AU"/>
        </w:rPr>
      </w:pPr>
      <w:r w:rsidRPr="00B02DD1">
        <w:rPr>
          <w:rFonts w:asciiTheme="majorHAnsi" w:hAnsiTheme="majorHAnsi" w:cstheme="majorHAnsi"/>
          <w:bCs/>
          <w:color w:val="404040" w:themeColor="text1" w:themeTint="BF"/>
          <w:sz w:val="22"/>
          <w:lang w:val="en-AU"/>
        </w:rPr>
        <w:t xml:space="preserve">AHPA supports the need to review mental health services and notes the range of recommendations and submissions made by other organisations and stakeholders. We also note that some work is already underway to review the quality of training. Given the range of other commentators on mental health, we have chosen to limit our comments in this space. However, while we very much support the recommendations made by other providers and strongly support an evidence-based approach, we note our strong contention that fundamental reforms are required in how we approach mental health services to reduce the artificial barrier between mental and physical health. </w:t>
      </w:r>
    </w:p>
    <w:p w14:paraId="16EE81A1" w14:textId="77777777" w:rsidR="00BE6ACD" w:rsidRDefault="00BE6ACD" w:rsidP="00B02DD1">
      <w:pPr>
        <w:spacing w:line="276" w:lineRule="auto"/>
        <w:rPr>
          <w:rFonts w:asciiTheme="majorHAnsi" w:hAnsiTheme="majorHAnsi" w:cstheme="majorHAnsi"/>
          <w:bCs/>
          <w:color w:val="404040" w:themeColor="text1" w:themeTint="BF"/>
          <w:sz w:val="22"/>
          <w:lang w:val="en-AU"/>
        </w:rPr>
      </w:pPr>
    </w:p>
    <w:p w14:paraId="690EC087" w14:textId="6B4405EE" w:rsidR="00B02DD1" w:rsidRPr="00B02DD1" w:rsidRDefault="00B02DD1" w:rsidP="00B02DD1">
      <w:pPr>
        <w:spacing w:line="276" w:lineRule="auto"/>
        <w:rPr>
          <w:rFonts w:asciiTheme="majorHAnsi" w:hAnsiTheme="majorHAnsi" w:cstheme="majorHAnsi"/>
          <w:bCs/>
          <w:color w:val="404040" w:themeColor="text1" w:themeTint="BF"/>
          <w:sz w:val="22"/>
          <w:lang w:val="en-AU"/>
        </w:rPr>
      </w:pPr>
      <w:r w:rsidRPr="00B02DD1">
        <w:rPr>
          <w:rFonts w:asciiTheme="majorHAnsi" w:hAnsiTheme="majorHAnsi" w:cstheme="majorHAnsi"/>
          <w:bCs/>
          <w:color w:val="404040" w:themeColor="text1" w:themeTint="BF"/>
          <w:sz w:val="22"/>
          <w:lang w:val="en-AU"/>
        </w:rPr>
        <w:t xml:space="preserve">A growing body of evidence is showing the significant impact that physical factors can have on mental health with a range of research showing that diet and exercise interventions can be an important factor in supporting improved mental health. Similarly, a range of health and health-related issues, including communication issues or injuries resulting in loss of function can exacerbate mental health issues. Separating the approaches used to address mental health issues and those </w:t>
      </w:r>
      <w:r w:rsidRPr="00B02DD1">
        <w:rPr>
          <w:rFonts w:asciiTheme="majorHAnsi" w:hAnsiTheme="majorHAnsi" w:cstheme="majorHAnsi"/>
          <w:bCs/>
          <w:color w:val="404040" w:themeColor="text1" w:themeTint="BF"/>
          <w:sz w:val="22"/>
          <w:lang w:val="en-AU"/>
        </w:rPr>
        <w:lastRenderedPageBreak/>
        <w:t xml:space="preserve">related to physical health issues can be an </w:t>
      </w:r>
      <w:r w:rsidR="007243A2">
        <w:rPr>
          <w:rFonts w:asciiTheme="majorHAnsi" w:hAnsiTheme="majorHAnsi" w:cstheme="majorHAnsi"/>
          <w:bCs/>
          <w:color w:val="404040" w:themeColor="text1" w:themeTint="BF"/>
          <w:sz w:val="22"/>
          <w:lang w:val="en-AU"/>
        </w:rPr>
        <w:t>impediment to</w:t>
      </w:r>
      <w:r w:rsidRPr="00B02DD1">
        <w:rPr>
          <w:rFonts w:asciiTheme="majorHAnsi" w:hAnsiTheme="majorHAnsi" w:cstheme="majorHAnsi"/>
          <w:bCs/>
          <w:color w:val="404040" w:themeColor="text1" w:themeTint="BF"/>
          <w:sz w:val="22"/>
          <w:lang w:val="en-AU"/>
        </w:rPr>
        <w:t xml:space="preserve"> coordinated and effective care for a veteran.</w:t>
      </w:r>
    </w:p>
    <w:p w14:paraId="48B7739D" w14:textId="77777777" w:rsidR="00BE6ACD" w:rsidRDefault="00BE6ACD" w:rsidP="00B02DD1">
      <w:pPr>
        <w:spacing w:line="276" w:lineRule="auto"/>
        <w:rPr>
          <w:rFonts w:asciiTheme="majorHAnsi" w:hAnsiTheme="majorHAnsi" w:cstheme="majorHAnsi"/>
          <w:bCs/>
          <w:color w:val="404040" w:themeColor="text1" w:themeTint="BF"/>
          <w:sz w:val="22"/>
          <w:lang w:val="en-AU"/>
        </w:rPr>
      </w:pPr>
    </w:p>
    <w:p w14:paraId="75FCE7FC" w14:textId="2F9653AE" w:rsidR="00B02DD1" w:rsidRPr="00B02DD1" w:rsidRDefault="00B02DD1" w:rsidP="00B02DD1">
      <w:pPr>
        <w:spacing w:line="276" w:lineRule="auto"/>
        <w:rPr>
          <w:rFonts w:asciiTheme="majorHAnsi" w:hAnsiTheme="majorHAnsi" w:cstheme="majorHAnsi"/>
          <w:bCs/>
          <w:color w:val="404040" w:themeColor="text1" w:themeTint="BF"/>
          <w:sz w:val="22"/>
          <w:lang w:val="en-AU"/>
        </w:rPr>
      </w:pPr>
      <w:r w:rsidRPr="00B02DD1">
        <w:rPr>
          <w:rFonts w:asciiTheme="majorHAnsi" w:hAnsiTheme="majorHAnsi" w:cstheme="majorHAnsi"/>
          <w:bCs/>
          <w:color w:val="404040" w:themeColor="text1" w:themeTint="BF"/>
          <w:sz w:val="22"/>
          <w:lang w:val="en-AU"/>
        </w:rPr>
        <w:t xml:space="preserve">We also note that those experiencing significant mental health issues are likely to require additional support to address physical </w:t>
      </w:r>
      <w:r w:rsidR="00615DBF">
        <w:rPr>
          <w:rFonts w:asciiTheme="majorHAnsi" w:hAnsiTheme="majorHAnsi" w:cstheme="majorHAnsi"/>
          <w:bCs/>
          <w:color w:val="404040" w:themeColor="text1" w:themeTint="BF"/>
          <w:sz w:val="22"/>
          <w:lang w:val="en-AU"/>
        </w:rPr>
        <w:t>ill-</w:t>
      </w:r>
      <w:r w:rsidR="00CE1B3A">
        <w:rPr>
          <w:rFonts w:asciiTheme="majorHAnsi" w:hAnsiTheme="majorHAnsi" w:cstheme="majorHAnsi"/>
          <w:bCs/>
          <w:color w:val="404040" w:themeColor="text1" w:themeTint="BF"/>
          <w:sz w:val="22"/>
          <w:lang w:val="en-AU"/>
        </w:rPr>
        <w:t xml:space="preserve">health </w:t>
      </w:r>
      <w:r w:rsidR="00CE1B3A" w:rsidRPr="00B02DD1">
        <w:rPr>
          <w:rFonts w:asciiTheme="majorHAnsi" w:hAnsiTheme="majorHAnsi" w:cstheme="majorHAnsi"/>
          <w:bCs/>
          <w:color w:val="404040" w:themeColor="text1" w:themeTint="BF"/>
          <w:sz w:val="22"/>
          <w:lang w:val="en-AU"/>
        </w:rPr>
        <w:t>that</w:t>
      </w:r>
      <w:r w:rsidRPr="00B02DD1">
        <w:rPr>
          <w:rFonts w:asciiTheme="majorHAnsi" w:hAnsiTheme="majorHAnsi" w:cstheme="majorHAnsi"/>
          <w:bCs/>
          <w:color w:val="404040" w:themeColor="text1" w:themeTint="BF"/>
          <w:sz w:val="22"/>
          <w:lang w:val="en-AU"/>
        </w:rPr>
        <w:t xml:space="preserve"> can arise from </w:t>
      </w:r>
      <w:r w:rsidR="00615DBF">
        <w:rPr>
          <w:rFonts w:asciiTheme="majorHAnsi" w:hAnsiTheme="majorHAnsi" w:cstheme="majorHAnsi"/>
          <w:bCs/>
          <w:color w:val="404040" w:themeColor="text1" w:themeTint="BF"/>
          <w:sz w:val="22"/>
          <w:lang w:val="en-AU"/>
        </w:rPr>
        <w:t>the impact of their mental health condition, including psychotropic medications</w:t>
      </w:r>
      <w:r w:rsidRPr="00B02DD1">
        <w:rPr>
          <w:rFonts w:asciiTheme="majorHAnsi" w:hAnsiTheme="majorHAnsi" w:cstheme="majorHAnsi"/>
          <w:bCs/>
          <w:color w:val="404040" w:themeColor="text1" w:themeTint="BF"/>
          <w:sz w:val="22"/>
          <w:lang w:val="en-AU"/>
        </w:rPr>
        <w:t>. Those experiencing mental illness have significantly higher rates of chronic illness and it is these chronic conditions such as cardiovascular disease and diabetes that often result in reduced life expectation and overall health outcomes. AHPA recommends that in considering an improved respo</w:t>
      </w:r>
      <w:r w:rsidR="007243A2">
        <w:rPr>
          <w:rFonts w:asciiTheme="majorHAnsi" w:hAnsiTheme="majorHAnsi" w:cstheme="majorHAnsi"/>
          <w:bCs/>
          <w:color w:val="404040" w:themeColor="text1" w:themeTint="BF"/>
          <w:sz w:val="22"/>
          <w:lang w:val="en-AU"/>
        </w:rPr>
        <w:t>n</w:t>
      </w:r>
      <w:r w:rsidRPr="00B02DD1">
        <w:rPr>
          <w:rFonts w:asciiTheme="majorHAnsi" w:hAnsiTheme="majorHAnsi" w:cstheme="majorHAnsi"/>
          <w:bCs/>
          <w:color w:val="404040" w:themeColor="text1" w:themeTint="BF"/>
          <w:sz w:val="22"/>
          <w:lang w:val="en-AU"/>
        </w:rPr>
        <w:t>se to the mental health issues of veterans, the same wellness approach that is being consider in relation to rehabilitation should also be applied to mental health.</w:t>
      </w:r>
    </w:p>
    <w:p w14:paraId="52A94F61" w14:textId="77777777" w:rsidR="002F4486" w:rsidRDefault="002F4486" w:rsidP="00B02DD1">
      <w:pPr>
        <w:spacing w:line="276" w:lineRule="auto"/>
        <w:rPr>
          <w:rFonts w:asciiTheme="majorHAnsi" w:hAnsiTheme="majorHAnsi" w:cstheme="majorHAnsi"/>
          <w:bCs/>
          <w:color w:val="404040" w:themeColor="text1" w:themeTint="BF"/>
          <w:sz w:val="22"/>
          <w:lang w:val="en-AU"/>
        </w:rPr>
      </w:pPr>
    </w:p>
    <w:p w14:paraId="025CB2CD" w14:textId="7B02F765" w:rsidR="00B02DD1" w:rsidRPr="00B02DD1" w:rsidRDefault="00B02DD1" w:rsidP="00B02DD1">
      <w:pPr>
        <w:spacing w:line="276" w:lineRule="auto"/>
        <w:rPr>
          <w:rFonts w:ascii="Bahnschrift SemiBold" w:hAnsi="Bahnschrift SemiBold"/>
          <w:b/>
          <w:bCs/>
          <w:color w:val="6D3291"/>
          <w:sz w:val="28"/>
          <w:szCs w:val="44"/>
        </w:rPr>
      </w:pPr>
      <w:r w:rsidRPr="00B02DD1">
        <w:rPr>
          <w:rFonts w:ascii="Bahnschrift SemiBold" w:hAnsi="Bahnschrift SemiBold"/>
          <w:b/>
          <w:bCs/>
          <w:color w:val="6D3291"/>
          <w:sz w:val="28"/>
          <w:szCs w:val="44"/>
        </w:rPr>
        <w:t>Information request 15.3</w:t>
      </w:r>
      <w:r w:rsidR="00A0330B">
        <w:rPr>
          <w:rFonts w:ascii="Bahnschrift SemiBold" w:hAnsi="Bahnschrift SemiBold"/>
          <w:b/>
          <w:bCs/>
          <w:color w:val="6D3291"/>
          <w:sz w:val="28"/>
          <w:szCs w:val="44"/>
        </w:rPr>
        <w:t xml:space="preserve"> – Subsidising private health insurance</w:t>
      </w:r>
    </w:p>
    <w:p w14:paraId="5A788023" w14:textId="77777777" w:rsidR="002F4486" w:rsidRPr="00A0330B" w:rsidRDefault="002F4486" w:rsidP="00B02DD1">
      <w:pPr>
        <w:spacing w:line="276" w:lineRule="auto"/>
        <w:rPr>
          <w:rFonts w:asciiTheme="majorHAnsi" w:hAnsiTheme="majorHAnsi" w:cstheme="majorHAnsi"/>
          <w:bCs/>
          <w:color w:val="404040" w:themeColor="text1" w:themeTint="BF"/>
          <w:sz w:val="8"/>
          <w:lang w:val="en-AU"/>
        </w:rPr>
      </w:pPr>
    </w:p>
    <w:p w14:paraId="39440684" w14:textId="5BD8A31E" w:rsidR="00B02DD1" w:rsidRPr="00B02DD1" w:rsidRDefault="00B02DD1" w:rsidP="00B02DD1">
      <w:pPr>
        <w:spacing w:line="276" w:lineRule="auto"/>
        <w:rPr>
          <w:rFonts w:asciiTheme="majorHAnsi" w:hAnsiTheme="majorHAnsi" w:cstheme="majorHAnsi"/>
          <w:bCs/>
          <w:i/>
          <w:color w:val="404040" w:themeColor="text1" w:themeTint="BF"/>
          <w:sz w:val="22"/>
          <w:lang w:val="en-AU"/>
        </w:rPr>
      </w:pPr>
      <w:r w:rsidRPr="00B02DD1">
        <w:rPr>
          <w:rFonts w:asciiTheme="majorHAnsi" w:hAnsiTheme="majorHAnsi" w:cstheme="majorHAnsi"/>
          <w:bCs/>
          <w:i/>
          <w:color w:val="404040" w:themeColor="text1" w:themeTint="BF"/>
          <w:sz w:val="22"/>
          <w:lang w:val="en-AU"/>
        </w:rPr>
        <w:t>The Commission is seeking participants’ views on the desirability of subsidising private health insurance for veterans and dependants in place of other forms of healthcare assistance.</w:t>
      </w:r>
    </w:p>
    <w:p w14:paraId="303F7CF3" w14:textId="77777777" w:rsidR="002F4486" w:rsidRDefault="002F4486" w:rsidP="00B02DD1">
      <w:pPr>
        <w:spacing w:line="276" w:lineRule="auto"/>
        <w:rPr>
          <w:rFonts w:asciiTheme="majorHAnsi" w:hAnsiTheme="majorHAnsi" w:cstheme="majorHAnsi"/>
          <w:bCs/>
          <w:color w:val="404040" w:themeColor="text1" w:themeTint="BF"/>
          <w:sz w:val="22"/>
          <w:lang w:val="en-AU"/>
        </w:rPr>
      </w:pPr>
    </w:p>
    <w:p w14:paraId="01BAB799" w14:textId="2C783747" w:rsidR="00B02DD1" w:rsidRDefault="00B02DD1" w:rsidP="00B02DD1">
      <w:pPr>
        <w:spacing w:line="276" w:lineRule="auto"/>
        <w:rPr>
          <w:rFonts w:asciiTheme="majorHAnsi" w:hAnsiTheme="majorHAnsi" w:cstheme="majorHAnsi"/>
          <w:bCs/>
          <w:color w:val="404040" w:themeColor="text1" w:themeTint="BF"/>
          <w:sz w:val="22"/>
          <w:lang w:val="en-AU"/>
        </w:rPr>
      </w:pPr>
      <w:r w:rsidRPr="00B02DD1">
        <w:rPr>
          <w:rFonts w:asciiTheme="majorHAnsi" w:hAnsiTheme="majorHAnsi" w:cstheme="majorHAnsi"/>
          <w:bCs/>
          <w:color w:val="404040" w:themeColor="text1" w:themeTint="BF"/>
          <w:sz w:val="22"/>
          <w:lang w:val="en-AU"/>
        </w:rPr>
        <w:t xml:space="preserve">AHPA strongly argues against any move to consider replacing the current DVA healthcare assistance mechanisms with private health insurance </w:t>
      </w:r>
      <w:r w:rsidR="00CE1B3A" w:rsidRPr="00B02DD1">
        <w:rPr>
          <w:rFonts w:asciiTheme="majorHAnsi" w:hAnsiTheme="majorHAnsi" w:cstheme="majorHAnsi"/>
          <w:bCs/>
          <w:color w:val="404040" w:themeColor="text1" w:themeTint="BF"/>
          <w:sz w:val="22"/>
          <w:lang w:val="en-AU"/>
        </w:rPr>
        <w:t>considering</w:t>
      </w:r>
      <w:r w:rsidRPr="00B02DD1">
        <w:rPr>
          <w:rFonts w:asciiTheme="majorHAnsi" w:hAnsiTheme="majorHAnsi" w:cstheme="majorHAnsi"/>
          <w:bCs/>
          <w:color w:val="404040" w:themeColor="text1" w:themeTint="BF"/>
          <w:sz w:val="22"/>
          <w:lang w:val="en-AU"/>
        </w:rPr>
        <w:t xml:space="preserve"> the many structural issues that are currently limiting the effectiveness of private health insurance more generally as well as the specific problems with general treatment cover that mean consumers with cover are not receiving fit-for-purpose or value-for-money services. We note that while our current government is attempting to improve insurance for consumers, many consumers are allowing their insurance to lapse at the same time as many expert commentators are challenging the question of whether government investment in private health insurance is effective. We have previously noted our specific concerns around access to allied health services through general treatment cover and further note that private health insurance is currently limited by structural limitations that limit rehabilitation services to in-patient services only. We strongly question whether the current structure of private health insurance products is likely to meet the needs of our veterans.</w:t>
      </w:r>
    </w:p>
    <w:p w14:paraId="1999D5B4" w14:textId="77777777" w:rsidR="000F67E5" w:rsidRPr="00B02DD1" w:rsidRDefault="000F67E5" w:rsidP="00B02DD1">
      <w:pPr>
        <w:spacing w:line="276" w:lineRule="auto"/>
        <w:rPr>
          <w:rFonts w:asciiTheme="majorHAnsi" w:hAnsiTheme="majorHAnsi" w:cstheme="majorHAnsi"/>
          <w:bCs/>
          <w:color w:val="404040" w:themeColor="text1" w:themeTint="BF"/>
          <w:sz w:val="22"/>
          <w:lang w:val="en-AU"/>
        </w:rPr>
      </w:pPr>
    </w:p>
    <w:p w14:paraId="73221131" w14:textId="4742172C" w:rsidR="00B02DD1" w:rsidRPr="00B02DD1" w:rsidRDefault="00B02DD1" w:rsidP="00B02DD1">
      <w:pPr>
        <w:spacing w:line="276" w:lineRule="auto"/>
        <w:rPr>
          <w:rFonts w:asciiTheme="majorHAnsi" w:hAnsiTheme="majorHAnsi" w:cstheme="majorHAnsi"/>
          <w:bCs/>
          <w:color w:val="404040" w:themeColor="text1" w:themeTint="BF"/>
          <w:sz w:val="22"/>
          <w:lang w:val="en-AU"/>
        </w:rPr>
      </w:pPr>
      <w:r w:rsidRPr="00B02DD1">
        <w:rPr>
          <w:rFonts w:asciiTheme="majorHAnsi" w:hAnsiTheme="majorHAnsi" w:cstheme="majorHAnsi"/>
          <w:bCs/>
          <w:color w:val="404040" w:themeColor="text1" w:themeTint="BF"/>
          <w:sz w:val="22"/>
          <w:lang w:val="en-AU"/>
        </w:rPr>
        <w:t xml:space="preserve">We also note again the dependence of private health insurance coverage on the ability of a veteran or dependent to pay the </w:t>
      </w:r>
      <w:r w:rsidR="007243A2">
        <w:rPr>
          <w:rFonts w:asciiTheme="majorHAnsi" w:hAnsiTheme="majorHAnsi" w:cstheme="majorHAnsi"/>
          <w:bCs/>
          <w:color w:val="404040" w:themeColor="text1" w:themeTint="BF"/>
          <w:sz w:val="22"/>
          <w:lang w:val="en-AU"/>
        </w:rPr>
        <w:t>premiums</w:t>
      </w:r>
      <w:r w:rsidR="007243A2" w:rsidRPr="00B02DD1">
        <w:rPr>
          <w:rFonts w:asciiTheme="majorHAnsi" w:hAnsiTheme="majorHAnsi" w:cstheme="majorHAnsi"/>
          <w:bCs/>
          <w:color w:val="404040" w:themeColor="text1" w:themeTint="BF"/>
          <w:sz w:val="22"/>
          <w:lang w:val="en-AU"/>
        </w:rPr>
        <w:t xml:space="preserve"> </w:t>
      </w:r>
      <w:r w:rsidRPr="00B02DD1">
        <w:rPr>
          <w:rFonts w:asciiTheme="majorHAnsi" w:hAnsiTheme="majorHAnsi" w:cstheme="majorHAnsi"/>
          <w:bCs/>
          <w:color w:val="404040" w:themeColor="text1" w:themeTint="BF"/>
          <w:sz w:val="22"/>
          <w:lang w:val="en-AU"/>
        </w:rPr>
        <w:t>and the gaps fees. This is particularly the case for general treatment services, which do not provide adequate access to allied health services and are dependent on the level of cover and arbitrary caps. Indeed the ‘cover’ for allied health services is not actually ‘insurance’ and has been previously described as a set of variable, poorly-targeted discount vouchers.</w:t>
      </w:r>
    </w:p>
    <w:p w14:paraId="2EA2C482" w14:textId="77777777" w:rsidR="00B02DD1" w:rsidRPr="00B02DD1" w:rsidRDefault="00B02DD1" w:rsidP="00B02DD1">
      <w:pPr>
        <w:spacing w:line="276" w:lineRule="auto"/>
        <w:rPr>
          <w:rFonts w:asciiTheme="majorHAnsi" w:hAnsiTheme="majorHAnsi" w:cstheme="majorHAnsi"/>
          <w:b/>
          <w:color w:val="404040" w:themeColor="text1" w:themeTint="BF"/>
          <w:sz w:val="22"/>
          <w:lang w:val="en-AU"/>
        </w:rPr>
      </w:pPr>
    </w:p>
    <w:p w14:paraId="64585FEC" w14:textId="1F3EB820" w:rsidR="00D965FF" w:rsidRPr="00527AA5" w:rsidRDefault="00BE6ACD" w:rsidP="00B02DD1">
      <w:pPr>
        <w:spacing w:line="276" w:lineRule="auto"/>
        <w:rPr>
          <w:rFonts w:asciiTheme="majorHAnsi" w:hAnsiTheme="majorHAnsi" w:cstheme="majorHAnsi"/>
          <w:color w:val="404040" w:themeColor="text1" w:themeTint="BF"/>
          <w:sz w:val="8"/>
          <w:lang w:val="en-AU"/>
        </w:rPr>
      </w:pPr>
      <w:r w:rsidRPr="00BE6ACD">
        <w:rPr>
          <w:rFonts w:ascii="Bahnschrift SemiBold" w:hAnsi="Bahnschrift SemiBold"/>
          <w:b/>
          <w:bCs/>
          <w:color w:val="6D3291"/>
          <w:sz w:val="28"/>
          <w:szCs w:val="44"/>
        </w:rPr>
        <w:t xml:space="preserve">Achieving a </w:t>
      </w:r>
      <w:r w:rsidR="00CE1B3A" w:rsidRPr="00BE6ACD">
        <w:rPr>
          <w:rFonts w:ascii="Bahnschrift SemiBold" w:hAnsi="Bahnschrift SemiBold"/>
          <w:b/>
          <w:bCs/>
          <w:color w:val="6D3291"/>
          <w:sz w:val="28"/>
          <w:szCs w:val="44"/>
        </w:rPr>
        <w:t>cost-effective</w:t>
      </w:r>
      <w:r w:rsidRPr="00BE6ACD">
        <w:rPr>
          <w:rFonts w:ascii="Bahnschrift SemiBold" w:hAnsi="Bahnschrift SemiBold"/>
          <w:b/>
          <w:bCs/>
          <w:color w:val="6D3291"/>
          <w:sz w:val="28"/>
          <w:szCs w:val="44"/>
        </w:rPr>
        <w:t xml:space="preserve"> system - Allied health arrangements</w:t>
      </w:r>
    </w:p>
    <w:p w14:paraId="0BB2E87C" w14:textId="77777777" w:rsidR="00BE6ACD" w:rsidRPr="00BE6ACD" w:rsidRDefault="00BE6ACD" w:rsidP="00B02DD1">
      <w:pPr>
        <w:spacing w:line="276" w:lineRule="auto"/>
        <w:rPr>
          <w:rFonts w:asciiTheme="majorHAnsi" w:hAnsiTheme="majorHAnsi" w:cstheme="majorHAnsi"/>
          <w:color w:val="404040" w:themeColor="text1" w:themeTint="BF"/>
          <w:sz w:val="8"/>
          <w:lang w:val="en-AU"/>
        </w:rPr>
      </w:pPr>
    </w:p>
    <w:p w14:paraId="23514293" w14:textId="7DFB0AC6" w:rsidR="00AA343C" w:rsidRDefault="002E2239" w:rsidP="00B02DD1">
      <w:pPr>
        <w:spacing w:line="276" w:lineRule="auto"/>
        <w:rPr>
          <w:rFonts w:asciiTheme="majorHAnsi" w:hAnsiTheme="majorHAnsi" w:cstheme="majorHAnsi"/>
          <w:color w:val="404040" w:themeColor="text1" w:themeTint="BF"/>
          <w:sz w:val="22"/>
          <w:lang w:val="en-AU"/>
        </w:rPr>
      </w:pPr>
      <w:r>
        <w:rPr>
          <w:rFonts w:asciiTheme="majorHAnsi" w:hAnsiTheme="majorHAnsi" w:cstheme="majorHAnsi"/>
          <w:color w:val="404040" w:themeColor="text1" w:themeTint="BF"/>
          <w:sz w:val="22"/>
          <w:lang w:val="en-AU"/>
        </w:rPr>
        <w:t xml:space="preserve">AHPA wishes to </w:t>
      </w:r>
      <w:r w:rsidR="00AA343C">
        <w:rPr>
          <w:rFonts w:asciiTheme="majorHAnsi" w:hAnsiTheme="majorHAnsi" w:cstheme="majorHAnsi"/>
          <w:color w:val="404040" w:themeColor="text1" w:themeTint="BF"/>
          <w:sz w:val="22"/>
          <w:lang w:val="en-AU"/>
        </w:rPr>
        <w:t>raise a concern</w:t>
      </w:r>
      <w:r w:rsidR="00B02DD1" w:rsidRPr="00B02DD1">
        <w:rPr>
          <w:rFonts w:asciiTheme="majorHAnsi" w:hAnsiTheme="majorHAnsi" w:cstheme="majorHAnsi"/>
          <w:color w:val="404040" w:themeColor="text1" w:themeTint="BF"/>
          <w:sz w:val="22"/>
          <w:lang w:val="en-AU"/>
        </w:rPr>
        <w:t xml:space="preserve"> </w:t>
      </w:r>
      <w:r w:rsidR="00D965FF">
        <w:rPr>
          <w:rFonts w:asciiTheme="majorHAnsi" w:hAnsiTheme="majorHAnsi" w:cstheme="majorHAnsi"/>
          <w:color w:val="404040" w:themeColor="text1" w:themeTint="BF"/>
          <w:sz w:val="22"/>
          <w:lang w:val="en-AU"/>
        </w:rPr>
        <w:t xml:space="preserve">that the current draft report </w:t>
      </w:r>
      <w:r w:rsidR="00B02DD1" w:rsidRPr="00B02DD1">
        <w:rPr>
          <w:rFonts w:asciiTheme="majorHAnsi" w:hAnsiTheme="majorHAnsi" w:cstheme="majorHAnsi"/>
          <w:color w:val="404040" w:themeColor="text1" w:themeTint="BF"/>
          <w:sz w:val="22"/>
          <w:lang w:val="en-AU"/>
        </w:rPr>
        <w:t>reference</w:t>
      </w:r>
      <w:r w:rsidR="009A774E">
        <w:rPr>
          <w:rFonts w:asciiTheme="majorHAnsi" w:hAnsiTheme="majorHAnsi" w:cstheme="majorHAnsi"/>
          <w:color w:val="404040" w:themeColor="text1" w:themeTint="BF"/>
          <w:sz w:val="22"/>
          <w:lang w:val="en-AU"/>
        </w:rPr>
        <w:t>s the Australian Medical Association</w:t>
      </w:r>
      <w:r w:rsidR="00527AA5">
        <w:rPr>
          <w:rFonts w:asciiTheme="majorHAnsi" w:hAnsiTheme="majorHAnsi" w:cstheme="majorHAnsi"/>
          <w:color w:val="404040" w:themeColor="text1" w:themeTint="BF"/>
          <w:sz w:val="22"/>
          <w:lang w:val="en-AU"/>
        </w:rPr>
        <w:t xml:space="preserve"> (p602)</w:t>
      </w:r>
      <w:r w:rsidR="006F5855">
        <w:rPr>
          <w:rFonts w:asciiTheme="majorHAnsi" w:hAnsiTheme="majorHAnsi" w:cstheme="majorHAnsi"/>
          <w:color w:val="404040" w:themeColor="text1" w:themeTint="BF"/>
          <w:sz w:val="22"/>
          <w:lang w:val="en-AU"/>
        </w:rPr>
        <w:t xml:space="preserve"> in suggesting that </w:t>
      </w:r>
      <w:r w:rsidR="006F5855" w:rsidRPr="006F5855">
        <w:rPr>
          <w:rFonts w:asciiTheme="majorHAnsi" w:hAnsiTheme="majorHAnsi" w:cstheme="majorHAnsi"/>
          <w:color w:val="404040" w:themeColor="text1" w:themeTint="BF"/>
          <w:sz w:val="22"/>
          <w:lang w:val="en-AU"/>
        </w:rPr>
        <w:t>DVA’s allied health arrangements do not sufficiently guard against high levels of service usage</w:t>
      </w:r>
      <w:r w:rsidR="006F5855">
        <w:rPr>
          <w:rFonts w:asciiTheme="majorHAnsi" w:hAnsiTheme="majorHAnsi" w:cstheme="majorHAnsi"/>
          <w:color w:val="404040" w:themeColor="text1" w:themeTint="BF"/>
          <w:sz w:val="22"/>
          <w:lang w:val="en-AU"/>
        </w:rPr>
        <w:t xml:space="preserve">. </w:t>
      </w:r>
      <w:r w:rsidR="00AA343C">
        <w:rPr>
          <w:rFonts w:asciiTheme="majorHAnsi" w:hAnsiTheme="majorHAnsi" w:cstheme="majorHAnsi"/>
          <w:color w:val="404040" w:themeColor="text1" w:themeTint="BF"/>
          <w:sz w:val="22"/>
          <w:lang w:val="en-AU"/>
        </w:rPr>
        <w:t>We question the factual basis for this argument a</w:t>
      </w:r>
      <w:r w:rsidR="004826CA">
        <w:rPr>
          <w:rFonts w:asciiTheme="majorHAnsi" w:hAnsiTheme="majorHAnsi" w:cstheme="majorHAnsi"/>
          <w:color w:val="404040" w:themeColor="text1" w:themeTint="BF"/>
          <w:sz w:val="22"/>
          <w:lang w:val="en-AU"/>
        </w:rPr>
        <w:t>s well as</w:t>
      </w:r>
      <w:r w:rsidR="00AA343C">
        <w:rPr>
          <w:rFonts w:asciiTheme="majorHAnsi" w:hAnsiTheme="majorHAnsi" w:cstheme="majorHAnsi"/>
          <w:color w:val="404040" w:themeColor="text1" w:themeTint="BF"/>
          <w:sz w:val="22"/>
          <w:lang w:val="en-AU"/>
        </w:rPr>
        <w:t xml:space="preserve"> the capacity </w:t>
      </w:r>
      <w:r w:rsidR="004826CA">
        <w:rPr>
          <w:rFonts w:asciiTheme="majorHAnsi" w:hAnsiTheme="majorHAnsi" w:cstheme="majorHAnsi"/>
          <w:color w:val="404040" w:themeColor="text1" w:themeTint="BF"/>
          <w:sz w:val="22"/>
          <w:lang w:val="en-AU"/>
        </w:rPr>
        <w:t xml:space="preserve">and role of GPs in determining an appropriate amount of care by the treating allied health professional. While AHPA acknowledges that there may be </w:t>
      </w:r>
      <w:r w:rsidR="00C36DC2">
        <w:rPr>
          <w:rFonts w:asciiTheme="majorHAnsi" w:hAnsiTheme="majorHAnsi" w:cstheme="majorHAnsi"/>
          <w:color w:val="404040" w:themeColor="text1" w:themeTint="BF"/>
          <w:sz w:val="22"/>
          <w:lang w:val="en-AU"/>
        </w:rPr>
        <w:t xml:space="preserve">occasions of overtreatment by </w:t>
      </w:r>
      <w:r w:rsidR="00615DBF">
        <w:rPr>
          <w:rFonts w:asciiTheme="majorHAnsi" w:hAnsiTheme="majorHAnsi" w:cstheme="majorHAnsi"/>
          <w:color w:val="404040" w:themeColor="text1" w:themeTint="BF"/>
          <w:sz w:val="22"/>
          <w:lang w:val="en-AU"/>
        </w:rPr>
        <w:t xml:space="preserve">any </w:t>
      </w:r>
      <w:r w:rsidR="00C36DC2">
        <w:rPr>
          <w:rFonts w:asciiTheme="majorHAnsi" w:hAnsiTheme="majorHAnsi" w:cstheme="majorHAnsi"/>
          <w:color w:val="404040" w:themeColor="text1" w:themeTint="BF"/>
          <w:sz w:val="22"/>
          <w:lang w:val="en-AU"/>
        </w:rPr>
        <w:t>health professional</w:t>
      </w:r>
      <w:r w:rsidR="00615DBF">
        <w:rPr>
          <w:rFonts w:asciiTheme="majorHAnsi" w:hAnsiTheme="majorHAnsi" w:cstheme="majorHAnsi"/>
          <w:color w:val="404040" w:themeColor="text1" w:themeTint="BF"/>
          <w:sz w:val="22"/>
          <w:lang w:val="en-AU"/>
        </w:rPr>
        <w:t xml:space="preserve"> group</w:t>
      </w:r>
      <w:r w:rsidR="00C36DC2">
        <w:rPr>
          <w:rFonts w:asciiTheme="majorHAnsi" w:hAnsiTheme="majorHAnsi" w:cstheme="majorHAnsi"/>
          <w:color w:val="404040" w:themeColor="text1" w:themeTint="BF"/>
          <w:sz w:val="22"/>
          <w:lang w:val="en-AU"/>
        </w:rPr>
        <w:t xml:space="preserve">, we do not see that it is the role of one profession to police another. </w:t>
      </w:r>
    </w:p>
    <w:p w14:paraId="16DA774C" w14:textId="77777777" w:rsidR="00AA343C" w:rsidRDefault="00AA343C" w:rsidP="00B02DD1">
      <w:pPr>
        <w:spacing w:line="276" w:lineRule="auto"/>
        <w:rPr>
          <w:rFonts w:asciiTheme="majorHAnsi" w:hAnsiTheme="majorHAnsi" w:cstheme="majorHAnsi"/>
          <w:color w:val="404040" w:themeColor="text1" w:themeTint="BF"/>
          <w:sz w:val="22"/>
          <w:lang w:val="en-AU"/>
        </w:rPr>
      </w:pPr>
    </w:p>
    <w:p w14:paraId="3CAF0B9B" w14:textId="0E7CEAA0" w:rsidR="00313B8E" w:rsidRDefault="00C36DC2" w:rsidP="00B02DD1">
      <w:pPr>
        <w:spacing w:line="276" w:lineRule="auto"/>
        <w:rPr>
          <w:rFonts w:asciiTheme="majorHAnsi" w:hAnsiTheme="majorHAnsi" w:cstheme="majorHAnsi"/>
          <w:color w:val="404040" w:themeColor="text1" w:themeTint="BF"/>
          <w:sz w:val="22"/>
          <w:lang w:val="en-AU"/>
        </w:rPr>
      </w:pPr>
      <w:r>
        <w:rPr>
          <w:rFonts w:asciiTheme="majorHAnsi" w:hAnsiTheme="majorHAnsi" w:cstheme="majorHAnsi"/>
          <w:color w:val="404040" w:themeColor="text1" w:themeTint="BF"/>
          <w:sz w:val="22"/>
          <w:lang w:val="en-AU"/>
        </w:rPr>
        <w:lastRenderedPageBreak/>
        <w:t xml:space="preserve">More broadly, </w:t>
      </w:r>
      <w:r w:rsidR="005C7821">
        <w:rPr>
          <w:rFonts w:asciiTheme="majorHAnsi" w:hAnsiTheme="majorHAnsi" w:cstheme="majorHAnsi"/>
          <w:color w:val="404040" w:themeColor="text1" w:themeTint="BF"/>
          <w:sz w:val="22"/>
          <w:lang w:val="en-AU"/>
        </w:rPr>
        <w:t>AHPA strongly supports structures that ensure better information-sharing between health professionals, particularly where a service referral has been made</w:t>
      </w:r>
      <w:r w:rsidR="00AF55DC">
        <w:rPr>
          <w:rFonts w:asciiTheme="majorHAnsi" w:hAnsiTheme="majorHAnsi" w:cstheme="majorHAnsi"/>
          <w:color w:val="404040" w:themeColor="text1" w:themeTint="BF"/>
          <w:sz w:val="22"/>
          <w:lang w:val="en-AU"/>
        </w:rPr>
        <w:t>, and support the need to have reports sent back to the treating practitioner</w:t>
      </w:r>
      <w:r w:rsidR="005C7821">
        <w:rPr>
          <w:rFonts w:asciiTheme="majorHAnsi" w:hAnsiTheme="majorHAnsi" w:cstheme="majorHAnsi"/>
          <w:color w:val="404040" w:themeColor="text1" w:themeTint="BF"/>
          <w:sz w:val="22"/>
          <w:lang w:val="en-AU"/>
        </w:rPr>
        <w:t xml:space="preserve">. </w:t>
      </w:r>
      <w:r>
        <w:rPr>
          <w:rFonts w:asciiTheme="majorHAnsi" w:hAnsiTheme="majorHAnsi" w:cstheme="majorHAnsi"/>
          <w:color w:val="404040" w:themeColor="text1" w:themeTint="BF"/>
          <w:sz w:val="22"/>
          <w:lang w:val="en-AU"/>
        </w:rPr>
        <w:t xml:space="preserve">We </w:t>
      </w:r>
      <w:r w:rsidR="00AF55DC">
        <w:rPr>
          <w:rFonts w:asciiTheme="majorHAnsi" w:hAnsiTheme="majorHAnsi" w:cstheme="majorHAnsi"/>
          <w:color w:val="404040" w:themeColor="text1" w:themeTint="BF"/>
          <w:sz w:val="22"/>
          <w:lang w:val="en-AU"/>
        </w:rPr>
        <w:t xml:space="preserve">further </w:t>
      </w:r>
      <w:r>
        <w:rPr>
          <w:rFonts w:asciiTheme="majorHAnsi" w:hAnsiTheme="majorHAnsi" w:cstheme="majorHAnsi"/>
          <w:color w:val="404040" w:themeColor="text1" w:themeTint="BF"/>
          <w:sz w:val="22"/>
          <w:lang w:val="en-AU"/>
        </w:rPr>
        <w:t>argue that initiatives such as My Health Record can be an important means of improving understanding and awareness among the entire care team about the health care a veteran is receiving</w:t>
      </w:r>
      <w:r w:rsidR="00615DBF">
        <w:rPr>
          <w:rFonts w:asciiTheme="majorHAnsi" w:hAnsiTheme="majorHAnsi" w:cstheme="majorHAnsi"/>
          <w:color w:val="404040" w:themeColor="text1" w:themeTint="BF"/>
          <w:sz w:val="22"/>
          <w:lang w:val="en-AU"/>
        </w:rPr>
        <w:t>,</w:t>
      </w:r>
      <w:r w:rsidR="00AF55DC">
        <w:rPr>
          <w:rFonts w:asciiTheme="majorHAnsi" w:hAnsiTheme="majorHAnsi" w:cstheme="majorHAnsi"/>
          <w:color w:val="404040" w:themeColor="text1" w:themeTint="BF"/>
          <w:sz w:val="22"/>
          <w:lang w:val="en-AU"/>
        </w:rPr>
        <w:t xml:space="preserve"> and it may be appropriate to increase use of </w:t>
      </w:r>
      <w:r w:rsidR="00A0330B">
        <w:rPr>
          <w:rFonts w:asciiTheme="majorHAnsi" w:hAnsiTheme="majorHAnsi" w:cstheme="majorHAnsi"/>
          <w:color w:val="404040" w:themeColor="text1" w:themeTint="BF"/>
          <w:sz w:val="22"/>
          <w:lang w:val="en-AU"/>
        </w:rPr>
        <w:t>this system for veterans</w:t>
      </w:r>
      <w:r>
        <w:rPr>
          <w:rFonts w:asciiTheme="majorHAnsi" w:hAnsiTheme="majorHAnsi" w:cstheme="majorHAnsi"/>
          <w:color w:val="404040" w:themeColor="text1" w:themeTint="BF"/>
          <w:sz w:val="22"/>
          <w:lang w:val="en-AU"/>
        </w:rPr>
        <w:t>.</w:t>
      </w:r>
    </w:p>
    <w:p w14:paraId="6D56BEE3" w14:textId="77777777" w:rsidR="00F04B40" w:rsidRDefault="00F04B40" w:rsidP="00B02DD1">
      <w:pPr>
        <w:spacing w:line="276" w:lineRule="auto"/>
        <w:rPr>
          <w:rFonts w:asciiTheme="majorHAnsi" w:hAnsiTheme="majorHAnsi" w:cstheme="majorHAnsi"/>
          <w:color w:val="404040" w:themeColor="text1" w:themeTint="BF"/>
          <w:sz w:val="22"/>
          <w:lang w:val="en-AU"/>
        </w:rPr>
      </w:pPr>
    </w:p>
    <w:p w14:paraId="69D5DB54" w14:textId="1BC79BC8" w:rsidR="00FB3344" w:rsidRDefault="005C7821" w:rsidP="00B02DD1">
      <w:pPr>
        <w:spacing w:line="276" w:lineRule="auto"/>
        <w:rPr>
          <w:rFonts w:asciiTheme="majorHAnsi" w:hAnsiTheme="majorHAnsi" w:cstheme="majorHAnsi"/>
          <w:color w:val="404040" w:themeColor="text1" w:themeTint="BF"/>
          <w:sz w:val="22"/>
          <w:lang w:val="en-AU"/>
        </w:rPr>
      </w:pPr>
      <w:r>
        <w:rPr>
          <w:rFonts w:asciiTheme="majorHAnsi" w:hAnsiTheme="majorHAnsi" w:cstheme="majorHAnsi"/>
          <w:color w:val="404040" w:themeColor="text1" w:themeTint="BF"/>
          <w:sz w:val="22"/>
          <w:lang w:val="en-AU"/>
        </w:rPr>
        <w:t>Similarly</w:t>
      </w:r>
      <w:r w:rsidR="002F548E">
        <w:rPr>
          <w:rFonts w:asciiTheme="majorHAnsi" w:hAnsiTheme="majorHAnsi" w:cstheme="majorHAnsi"/>
          <w:color w:val="404040" w:themeColor="text1" w:themeTint="BF"/>
          <w:sz w:val="22"/>
          <w:lang w:val="en-AU"/>
        </w:rPr>
        <w:t>,</w:t>
      </w:r>
      <w:r>
        <w:rPr>
          <w:rFonts w:asciiTheme="majorHAnsi" w:hAnsiTheme="majorHAnsi" w:cstheme="majorHAnsi"/>
          <w:color w:val="404040" w:themeColor="text1" w:themeTint="BF"/>
          <w:sz w:val="22"/>
          <w:lang w:val="en-AU"/>
        </w:rPr>
        <w:t xml:space="preserve"> we very strongly argue for improved usage of </w:t>
      </w:r>
      <w:r w:rsidR="00576F69">
        <w:rPr>
          <w:rFonts w:asciiTheme="majorHAnsi" w:hAnsiTheme="majorHAnsi" w:cstheme="majorHAnsi"/>
          <w:color w:val="404040" w:themeColor="text1" w:themeTint="BF"/>
          <w:sz w:val="22"/>
          <w:lang w:val="en-AU"/>
        </w:rPr>
        <w:t xml:space="preserve">multidisciplinary care and greater </w:t>
      </w:r>
      <w:r>
        <w:rPr>
          <w:rFonts w:asciiTheme="majorHAnsi" w:hAnsiTheme="majorHAnsi" w:cstheme="majorHAnsi"/>
          <w:color w:val="404040" w:themeColor="text1" w:themeTint="BF"/>
          <w:sz w:val="22"/>
          <w:lang w:val="en-AU"/>
        </w:rPr>
        <w:t>referrals to allied health services</w:t>
      </w:r>
      <w:r w:rsidR="00576F69">
        <w:rPr>
          <w:rFonts w:asciiTheme="majorHAnsi" w:hAnsiTheme="majorHAnsi" w:cstheme="majorHAnsi"/>
          <w:color w:val="404040" w:themeColor="text1" w:themeTint="BF"/>
          <w:sz w:val="22"/>
          <w:lang w:val="en-AU"/>
        </w:rPr>
        <w:t>. We note</w:t>
      </w:r>
      <w:r>
        <w:rPr>
          <w:rFonts w:asciiTheme="majorHAnsi" w:hAnsiTheme="majorHAnsi" w:cstheme="majorHAnsi"/>
          <w:color w:val="404040" w:themeColor="text1" w:themeTint="BF"/>
          <w:sz w:val="22"/>
          <w:lang w:val="en-AU"/>
        </w:rPr>
        <w:t xml:space="preserve"> </w:t>
      </w:r>
      <w:r w:rsidR="004511BA">
        <w:rPr>
          <w:rFonts w:asciiTheme="majorHAnsi" w:hAnsiTheme="majorHAnsi" w:cstheme="majorHAnsi"/>
          <w:color w:val="404040" w:themeColor="text1" w:themeTint="BF"/>
          <w:sz w:val="22"/>
          <w:lang w:val="en-AU"/>
        </w:rPr>
        <w:t>for example that GP referral rates for psycholo</w:t>
      </w:r>
      <w:r w:rsidR="002F548E">
        <w:rPr>
          <w:rFonts w:asciiTheme="majorHAnsi" w:hAnsiTheme="majorHAnsi" w:cstheme="majorHAnsi"/>
          <w:color w:val="404040" w:themeColor="text1" w:themeTint="BF"/>
          <w:sz w:val="22"/>
          <w:lang w:val="en-AU"/>
        </w:rPr>
        <w:t>gical services are far lower than rates of prescription for medications to people presenting with mental health issues. Our concern is that the prima</w:t>
      </w:r>
      <w:r w:rsidR="0002367F">
        <w:rPr>
          <w:rFonts w:asciiTheme="majorHAnsi" w:hAnsiTheme="majorHAnsi" w:cstheme="majorHAnsi"/>
          <w:color w:val="404040" w:themeColor="text1" w:themeTint="BF"/>
          <w:sz w:val="22"/>
          <w:lang w:val="en-AU"/>
        </w:rPr>
        <w:t xml:space="preserve">ry care sector generally is not yet working as effectively as it could in supporting multidisciplinary care. </w:t>
      </w:r>
    </w:p>
    <w:p w14:paraId="1FF0F9C9" w14:textId="77777777" w:rsidR="00FB3344" w:rsidRDefault="00FB3344" w:rsidP="00B02DD1">
      <w:pPr>
        <w:spacing w:line="276" w:lineRule="auto"/>
        <w:rPr>
          <w:rFonts w:asciiTheme="majorHAnsi" w:hAnsiTheme="majorHAnsi" w:cstheme="majorHAnsi"/>
          <w:color w:val="404040" w:themeColor="text1" w:themeTint="BF"/>
          <w:sz w:val="22"/>
          <w:lang w:val="en-AU"/>
        </w:rPr>
      </w:pPr>
    </w:p>
    <w:p w14:paraId="6CB63E9C" w14:textId="571BE845" w:rsidR="00B02DD1" w:rsidRPr="00B02DD1" w:rsidRDefault="00B02DD1" w:rsidP="00B02DD1">
      <w:pPr>
        <w:spacing w:line="276" w:lineRule="auto"/>
        <w:rPr>
          <w:rFonts w:asciiTheme="majorHAnsi" w:hAnsiTheme="majorHAnsi" w:cstheme="majorHAnsi"/>
          <w:b/>
          <w:color w:val="404040" w:themeColor="text1" w:themeTint="BF"/>
          <w:sz w:val="22"/>
          <w:lang w:val="en-AU"/>
        </w:rPr>
      </w:pPr>
    </w:p>
    <w:p w14:paraId="15B07FC0" w14:textId="77777777" w:rsidR="00B02DD1" w:rsidRPr="00654800" w:rsidRDefault="00B02DD1" w:rsidP="00B02DD1">
      <w:pPr>
        <w:spacing w:line="276" w:lineRule="auto"/>
        <w:rPr>
          <w:rFonts w:asciiTheme="majorHAnsi" w:hAnsiTheme="majorHAnsi" w:cstheme="majorHAnsi"/>
          <w:b/>
          <w:color w:val="404040" w:themeColor="text1" w:themeTint="BF"/>
          <w:sz w:val="22"/>
          <w:lang w:val="en-AU"/>
        </w:rPr>
      </w:pPr>
    </w:p>
    <w:p w14:paraId="3BA22380" w14:textId="77777777" w:rsidR="007705E0" w:rsidRDefault="007705E0" w:rsidP="00A740AF">
      <w:pPr>
        <w:shd w:val="clear" w:color="auto" w:fill="FFFFFF"/>
        <w:spacing w:line="276" w:lineRule="auto"/>
        <w:rPr>
          <w:rFonts w:ascii="inherit" w:eastAsia="Times New Roman" w:hAnsi="inherit"/>
          <w:color w:val="222222"/>
          <w:sz w:val="23"/>
          <w:szCs w:val="23"/>
          <w:lang w:eastAsia="en-AU"/>
        </w:rPr>
      </w:pPr>
    </w:p>
    <w:sectPr w:rsidR="007705E0" w:rsidSect="00C321F5">
      <w:headerReference w:type="even" r:id="rId15"/>
      <w:headerReference w:type="default" r:id="rId16"/>
      <w:footerReference w:type="even" r:id="rId17"/>
      <w:footerReference w:type="default" r:id="rId18"/>
      <w:headerReference w:type="first" r:id="rId19"/>
      <w:footerReference w:type="first" r:id="rId20"/>
      <w:type w:val="continuous"/>
      <w:pgSz w:w="11900" w:h="16840"/>
      <w:pgMar w:top="1440" w:right="1440" w:bottom="1440" w:left="1440" w:header="0"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EA74E9" w14:textId="77777777" w:rsidR="00A03331" w:rsidRDefault="00A03331" w:rsidP="00C12128">
      <w:r>
        <w:separator/>
      </w:r>
    </w:p>
  </w:endnote>
  <w:endnote w:type="continuationSeparator" w:id="0">
    <w:p w14:paraId="41485161" w14:textId="77777777" w:rsidR="00A03331" w:rsidRDefault="00A03331" w:rsidP="00C121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Gotham-Book">
    <w:altName w:val="Calibri"/>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useo Sans 500">
    <w:charset w:val="00"/>
    <w:family w:val="auto"/>
    <w:pitch w:val="variable"/>
    <w:sig w:usb0="A00000AF" w:usb1="4000004A" w:usb2="00000000" w:usb3="00000000" w:csb0="00000093" w:csb1="00000000"/>
  </w:font>
  <w:font w:name="Segoe UI">
    <w:panose1 w:val="020B0502040204020203"/>
    <w:charset w:val="00"/>
    <w:family w:val="swiss"/>
    <w:pitch w:val="variable"/>
    <w:sig w:usb0="E4002EFF" w:usb1="C000E47F" w:usb2="00000009" w:usb3="00000000" w:csb0="000001FF" w:csb1="00000000"/>
  </w:font>
  <w:font w:name="Bahnschrift">
    <w:altName w:val="Calibri"/>
    <w:panose1 w:val="020B0502040204020203"/>
    <w:charset w:val="00"/>
    <w:family w:val="swiss"/>
    <w:pitch w:val="variable"/>
    <w:sig w:usb0="A00002C7" w:usb1="00000002" w:usb2="00000000" w:usb3="00000000" w:csb0="0000019F" w:csb1="00000000"/>
  </w:font>
  <w:font w:name="Bahnschrift Light">
    <w:altName w:val="Calibri"/>
    <w:panose1 w:val="020B0502040204020203"/>
    <w:charset w:val="00"/>
    <w:family w:val="swiss"/>
    <w:pitch w:val="variable"/>
    <w:sig w:usb0="A00002C7" w:usb1="00000002"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Bahnschrift SemiBold">
    <w:altName w:val="Calibri"/>
    <w:panose1 w:val="020B0502040204020203"/>
    <w:charset w:val="00"/>
    <w:family w:val="swiss"/>
    <w:pitch w:val="variable"/>
    <w:sig w:usb0="A00002C7" w:usb1="00000002" w:usb2="00000000" w:usb3="00000000" w:csb0="0000019F" w:csb1="00000000"/>
  </w:font>
  <w:font w:name="Georgia">
    <w:panose1 w:val="02040502050405020303"/>
    <w:charset w:val="00"/>
    <w:family w:val="roman"/>
    <w:pitch w:val="variable"/>
    <w:sig w:usb0="00000287" w:usb1="00000000" w:usb2="00000000" w:usb3="00000000" w:csb0="0000009F" w:csb1="00000000"/>
  </w:font>
  <w:font w:name="inherit">
    <w:altName w:val="Calibri"/>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4D7870" w14:textId="77777777" w:rsidR="00DF4D11" w:rsidRDefault="00AB437B">
    <w:pPr>
      <w:pStyle w:val="Footer"/>
    </w:pPr>
    <w:r>
      <w:rPr>
        <w:noProof/>
        <w:lang w:val="en-GB" w:eastAsia="en-GB"/>
      </w:rPr>
      <w:pict w14:anchorId="3F4D78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80" type="#_x0000_t75" style="position:absolute;margin-left:0;margin-top:0;width:2480pt;height:3507pt;z-index:-251655680;mso-position-horizontal:center;mso-position-horizontal-relative:margin;mso-position-vertical:center;mso-position-vertical-relative:margin" o:allowincell="f">
          <v:imagedata r:id="rId1" o:title="letterhead-watermark2"/>
          <w10:wrap anchorx="margin" anchory="margin"/>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4D7871" w14:textId="77777777" w:rsidR="0056184F" w:rsidRDefault="0056184F">
    <w:pPr>
      <w:pStyle w:val="Footer"/>
    </w:pPr>
    <w:r w:rsidRPr="003476D5">
      <w:rPr>
        <w:noProof/>
        <w:color w:val="6D3291"/>
        <w:lang w:val="en-AU" w:eastAsia="en-AU"/>
      </w:rPr>
      <mc:AlternateContent>
        <mc:Choice Requires="wpg">
          <w:drawing>
            <wp:anchor distT="0" distB="0" distL="114300" distR="114300" simplePos="0" relativeHeight="251677184" behindDoc="0" locked="0" layoutInCell="1" allowOverlap="1" wp14:anchorId="3F4D787F" wp14:editId="0B4C444F">
              <wp:simplePos x="0" y="0"/>
              <wp:positionH relativeFrom="column">
                <wp:posOffset>-769974</wp:posOffset>
              </wp:positionH>
              <wp:positionV relativeFrom="paragraph">
                <wp:posOffset>-1833481</wp:posOffset>
              </wp:positionV>
              <wp:extent cx="7485914" cy="1785233"/>
              <wp:effectExtent l="38100" t="171450" r="39370" b="5715"/>
              <wp:wrapNone/>
              <wp:docPr id="1" name="Group 1"/>
              <wp:cNvGraphicFramePr/>
              <a:graphic xmlns:a="http://schemas.openxmlformats.org/drawingml/2006/main">
                <a:graphicData uri="http://schemas.microsoft.com/office/word/2010/wordprocessingGroup">
                  <wpg:wgp>
                    <wpg:cNvGrpSpPr/>
                    <wpg:grpSpPr>
                      <a:xfrm>
                        <a:off x="0" y="0"/>
                        <a:ext cx="7485914" cy="1785233"/>
                        <a:chOff x="-152400" y="542925"/>
                        <a:chExt cx="7485914" cy="1785233"/>
                      </a:xfrm>
                      <a:solidFill>
                        <a:srgbClr val="6D3291"/>
                      </a:solidFill>
                    </wpg:grpSpPr>
                    <wps:wsp>
                      <wps:cNvPr id="2" name="Rectangle 2"/>
                      <wps:cNvSpPr/>
                      <wps:spPr>
                        <a:xfrm>
                          <a:off x="-98397" y="817411"/>
                          <a:ext cx="7132016" cy="1510747"/>
                        </a:xfrm>
                        <a:prstGeom prst="rect">
                          <a:avLst/>
                        </a:prstGeom>
                        <a:grp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Rectangle 6"/>
                      <wps:cNvSpPr/>
                      <wps:spPr>
                        <a:xfrm rot="21446393">
                          <a:off x="-152400" y="542925"/>
                          <a:ext cx="7485914" cy="1327868"/>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9EEB160" id="Group 1" o:spid="_x0000_s1026" style="position:absolute;margin-left:-60.65pt;margin-top:-144.35pt;width:589.45pt;height:140.55pt;z-index:251677184;mso-width-relative:margin;mso-height-relative:margin" coordorigin="-1524,5429" coordsize="74859,17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">
              <v:rect id="Rectangle 2" o:spid="_x0000_s1027" style="position:absolute;left:-983;top:8174;width:71319;height:151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" filled="f" stroked="f"/>
              <v:rect id="Rectangle 6" o:spid="_x0000_s1028" style="position:absolute;left:-1524;top:5429;width:74859;height:13278;rotation:-16778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" fillcolor="white [3212]" stroked="f"/>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4D787C" w14:textId="64963384" w:rsidR="00E755F7" w:rsidRDefault="00B446E7">
    <w:pPr>
      <w:pStyle w:val="Footer"/>
    </w:pPr>
    <w:r>
      <w:rPr>
        <w:rFonts w:ascii="Times New Roman" w:hAnsi="Times New Roman" w:cs="Times New Roman"/>
        <w:noProof/>
        <w:lang w:val="en-AU" w:eastAsia="en-AU"/>
      </w:rPr>
      <mc:AlternateContent>
        <mc:Choice Requires="wps">
          <w:drawing>
            <wp:anchor distT="0" distB="0" distL="114300" distR="114300" simplePos="0" relativeHeight="251660288" behindDoc="0" locked="0" layoutInCell="1" allowOverlap="1" wp14:anchorId="3F4D7885" wp14:editId="0D861996">
              <wp:simplePos x="0" y="0"/>
              <wp:positionH relativeFrom="column">
                <wp:posOffset>-543560</wp:posOffset>
              </wp:positionH>
              <wp:positionV relativeFrom="paragraph">
                <wp:posOffset>-709457</wp:posOffset>
              </wp:positionV>
              <wp:extent cx="6877050" cy="815340"/>
              <wp:effectExtent l="0" t="0" r="0" b="381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7050" cy="815340"/>
                      </a:xfrm>
                      <a:prstGeom prst="rect">
                        <a:avLst/>
                      </a:prstGeom>
                      <a:noFill/>
                      <a:ln w="9525">
                        <a:noFill/>
                        <a:miter lim="800000"/>
                        <a:headEnd/>
                        <a:tailEnd/>
                      </a:ln>
                    </wps:spPr>
                    <wps:txbx>
                      <w:txbxContent>
                        <w:p w14:paraId="3F4D788A" w14:textId="77777777" w:rsidR="00CB122A" w:rsidRDefault="00CB122A" w:rsidP="00B446E7">
                          <w:pPr>
                            <w:spacing w:line="204" w:lineRule="auto"/>
                            <w:jc w:val="both"/>
                            <w:rPr>
                              <w:rFonts w:asciiTheme="majorHAnsi" w:hAnsiTheme="majorHAnsi"/>
                              <w:color w:val="FFFFFF" w:themeColor="background1"/>
                              <w:sz w:val="15"/>
                              <w:szCs w:val="15"/>
                            </w:rPr>
                          </w:pPr>
                          <w:r>
                            <w:rPr>
                              <w:rFonts w:asciiTheme="majorHAnsi" w:hAnsiTheme="majorHAnsi"/>
                              <w:noProof/>
                              <w:color w:val="FFFFFF" w:themeColor="background1"/>
                              <w:sz w:val="15"/>
                              <w:szCs w:val="15"/>
                            </w:rPr>
                            <w:t>Audiology Australia, Australian Podiatry Association, Australasian Society of Genetic Counsellors, Australian Association of Social Workers, Australian Society of Medical Imaging and Radiation Therapy, Australian Music Therapy Association, Australian Orthotic Prosthetic Association, Australian Physiotherapy Association, Australian Psychological Society, Australian and New Zealand Arts Therapy Association, Australian and New Zealand College of Perfusionists, Chiropractor’s Association of Australia, Dietitians Association of Australia, Exercise and Sports Science Australia, Occupational Therapy Australia, Optometry Australia, Orthoptics Australia, Osteopathy Australia, Rehabilitation Counselling Association of Australasia, Speech Pathology Australia.</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F4D7885" id="_x0000_t202" coordsize="21600,21600" o:spt="202" path="m,l,21600r21600,l21600,xe">
              <v:stroke joinstyle="miter"/>
              <v:path gradientshapeok="t" o:connecttype="rect"/>
            </v:shapetype>
            <v:shape id="Text Box 9" o:spid="_x0000_s1027" type="#_x0000_t202" style="position:absolute;margin-left:-42.8pt;margin-top:-55.85pt;width:541.5pt;height:64.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" filled="f" stroked="f">
              <v:textbox>
                <w:txbxContent>
                  <w:p w14:paraId="3F4D788A" w14:textId="77777777" w:rsidR="00CB122A" w:rsidRDefault="00CB122A" w:rsidP="00B446E7">
                    <w:pPr>
                      <w:spacing w:line="204" w:lineRule="auto"/>
                      <w:jc w:val="both"/>
                      <w:rPr>
                        <w:rFonts w:asciiTheme="majorHAnsi" w:hAnsiTheme="majorHAnsi"/>
                        <w:color w:val="FFFFFF" w:themeColor="background1"/>
                        <w:sz w:val="15"/>
                        <w:szCs w:val="15"/>
                      </w:rPr>
                    </w:pPr>
                    <w:r>
                      <w:rPr>
                        <w:rFonts w:asciiTheme="majorHAnsi" w:hAnsiTheme="majorHAnsi"/>
                        <w:noProof/>
                        <w:color w:val="FFFFFF" w:themeColor="background1"/>
                        <w:sz w:val="15"/>
                        <w:szCs w:val="15"/>
                      </w:rPr>
                      <w:t>Audiology Australia, Australian Podiatry Association, Australasian Society of Genetic Counsellors, Australian Association of Social Workers, Australian Society of Medical Imaging and Radiation Therapy, Australian Music Therapy Association, Australian Orthotic Prosthetic Association, Australian Physiotherapy Association, Australian Psychological Society, Australian and New Zealand Arts Therapy Association, Australian and New Zealand College of Perfusionists, Chiropractor’s Association of Australia, Dietitians Association of Australia, Exercise and Sports Science Australia, Occupational Therapy Australia, Optometry Australia, Orthoptics Australia, Osteopathy Australia, Rehabilitation Counselling Association of Australasia, Speech Pathology Australia.</w:t>
                    </w:r>
                  </w:p>
                </w:txbxContent>
              </v:textbox>
            </v:shape>
          </w:pict>
        </mc:Fallback>
      </mc:AlternateContent>
    </w:r>
    <w:r>
      <w:rPr>
        <w:noProof/>
        <w:lang w:val="en-AU" w:eastAsia="en-AU"/>
      </w:rPr>
      <mc:AlternateContent>
        <mc:Choice Requires="wpg">
          <w:drawing>
            <wp:anchor distT="0" distB="0" distL="114300" distR="114300" simplePos="0" relativeHeight="251656192" behindDoc="0" locked="0" layoutInCell="1" allowOverlap="1" wp14:anchorId="3F4D7887" wp14:editId="71434E2E">
              <wp:simplePos x="0" y="0"/>
              <wp:positionH relativeFrom="column">
                <wp:posOffset>-734060</wp:posOffset>
              </wp:positionH>
              <wp:positionV relativeFrom="paragraph">
                <wp:posOffset>-2296160</wp:posOffset>
              </wp:positionV>
              <wp:extent cx="7485380" cy="2251710"/>
              <wp:effectExtent l="38100" t="190500" r="39370" b="0"/>
              <wp:wrapNone/>
              <wp:docPr id="5" name="Group 5"/>
              <wp:cNvGraphicFramePr/>
              <a:graphic xmlns:a="http://schemas.openxmlformats.org/drawingml/2006/main">
                <a:graphicData uri="http://schemas.microsoft.com/office/word/2010/wordprocessingGroup">
                  <wpg:wgp>
                    <wpg:cNvGrpSpPr/>
                    <wpg:grpSpPr>
                      <a:xfrm>
                        <a:off x="0" y="0"/>
                        <a:ext cx="7485380" cy="2251710"/>
                        <a:chOff x="-152400" y="75946"/>
                        <a:chExt cx="7485914" cy="2252212"/>
                      </a:xfrm>
                    </wpg:grpSpPr>
                    <wps:wsp>
                      <wps:cNvPr id="3" name="Rectangle 3"/>
                      <wps:cNvSpPr/>
                      <wps:spPr>
                        <a:xfrm>
                          <a:off x="-98397" y="817411"/>
                          <a:ext cx="7132016" cy="1510747"/>
                        </a:xfrm>
                        <a:prstGeom prst="rect">
                          <a:avLst/>
                        </a:prstGeom>
                        <a:solidFill>
                          <a:srgbClr val="6D329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Rectangle 4"/>
                      <wps:cNvSpPr/>
                      <wps:spPr>
                        <a:xfrm rot="163648">
                          <a:off x="-152400" y="75946"/>
                          <a:ext cx="7485914" cy="1327868"/>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2437D09" id="Group 5" o:spid="_x0000_s1026" style="position:absolute;margin-left:-57.8pt;margin-top:-180.8pt;width:589.4pt;height:177.3pt;z-index:251656192;mso-width-relative:margin;mso-height-relative:margin" coordorigin="-1524,759" coordsize="74859,22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">
              <v:rect id="Rectangle 3" o:spid="_x0000_s1027" style="position:absolute;left:-983;top:8174;width:71319;height:151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" fillcolor="#6d3291" stroked="f"/>
              <v:rect id="Rectangle 4" o:spid="_x0000_s1028" style="position:absolute;left:-1524;top:759;width:74859;height:13279;rotation:17874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" fillcolor="white [3212]" stroked="f"/>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68CF37" w14:textId="77777777" w:rsidR="00A03331" w:rsidRDefault="00A03331" w:rsidP="00C12128">
      <w:r>
        <w:separator/>
      </w:r>
    </w:p>
  </w:footnote>
  <w:footnote w:type="continuationSeparator" w:id="0">
    <w:p w14:paraId="513B8710" w14:textId="77777777" w:rsidR="00A03331" w:rsidRDefault="00A03331" w:rsidP="00C1212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4D786F" w14:textId="77777777" w:rsidR="001A5B16" w:rsidRDefault="00AB437B">
    <w:pPr>
      <w:pStyle w:val="Header"/>
    </w:pPr>
    <w:r>
      <w:rPr>
        <w:noProof/>
        <w:lang w:val="en-GB" w:eastAsia="en-GB"/>
      </w:rPr>
      <w:pict w14:anchorId="3F4D78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76" type="#_x0000_t75" style="position:absolute;margin-left:0;margin-top:0;width:595.3pt;height:841.9pt;z-index:-251658752;mso-position-horizontal:center;mso-position-horizontal-relative:margin;mso-position-vertical:center;mso-position-vertical-relative:margin" o:allowincell="f">
          <v:imagedata r:id="rId1" o:title="letterhead-wm-tex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B54910" w14:textId="77777777" w:rsidR="00C321F5" w:rsidRDefault="00C321F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4D7872" w14:textId="77777777" w:rsidR="001A5B16" w:rsidRDefault="001A5B16" w:rsidP="00CD7EE0">
    <w:pPr>
      <w:pStyle w:val="Header"/>
      <w:jc w:val="right"/>
      <w:rPr>
        <w:noProof/>
        <w:lang w:val="en-AU" w:eastAsia="en-AU"/>
      </w:rPr>
    </w:pPr>
  </w:p>
  <w:p w14:paraId="3F4D7873" w14:textId="77777777" w:rsidR="00CD7EE0" w:rsidRDefault="00CD7EE0" w:rsidP="00CD7EE0">
    <w:pPr>
      <w:pStyle w:val="Header"/>
      <w:jc w:val="center"/>
      <w:rPr>
        <w:noProof/>
        <w:lang w:val="en-AU" w:eastAsia="en-AU"/>
      </w:rPr>
    </w:pPr>
  </w:p>
  <w:p w14:paraId="3F4D7874" w14:textId="2E4F0347" w:rsidR="00CD7EE0" w:rsidRDefault="006930DD" w:rsidP="00CD7EE0">
    <w:pPr>
      <w:pStyle w:val="Header"/>
      <w:jc w:val="center"/>
      <w:rPr>
        <w:noProof/>
        <w:lang w:val="en-AU" w:eastAsia="en-AU"/>
      </w:rPr>
    </w:pPr>
    <w:r>
      <w:rPr>
        <w:noProof/>
        <w:lang w:val="en-AU" w:eastAsia="en-AU"/>
      </w:rPr>
      <w:tab/>
    </w:r>
  </w:p>
  <w:p w14:paraId="3F4D7875" w14:textId="283D9828" w:rsidR="00CD7EE0" w:rsidRDefault="006A5C86" w:rsidP="00CD7EE0">
    <w:pPr>
      <w:spacing w:line="280" w:lineRule="exact"/>
      <w:jc w:val="right"/>
      <w:rPr>
        <w:rFonts w:ascii="Calibri" w:hAnsi="Calibri"/>
        <w:b/>
        <w:bCs/>
        <w:color w:val="402E7F"/>
        <w:sz w:val="48"/>
        <w:szCs w:val="16"/>
        <w:lang w:val="en-AU"/>
      </w:rPr>
    </w:pPr>
    <w:r w:rsidRPr="00CD7EE0">
      <w:rPr>
        <w:noProof/>
        <w:lang w:val="en-AU" w:eastAsia="en-AU"/>
      </w:rPr>
      <mc:AlternateContent>
        <mc:Choice Requires="wps">
          <w:drawing>
            <wp:anchor distT="45720" distB="45720" distL="114300" distR="114300" simplePos="0" relativeHeight="251674112" behindDoc="0" locked="0" layoutInCell="1" allowOverlap="1" wp14:anchorId="3F4D7881" wp14:editId="44A61686">
              <wp:simplePos x="0" y="0"/>
              <wp:positionH relativeFrom="margin">
                <wp:posOffset>-93980</wp:posOffset>
              </wp:positionH>
              <wp:positionV relativeFrom="paragraph">
                <wp:posOffset>62230</wp:posOffset>
              </wp:positionV>
              <wp:extent cx="3579495" cy="1112520"/>
              <wp:effectExtent l="0" t="0" r="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9495" cy="1112520"/>
                      </a:xfrm>
                      <a:prstGeom prst="rect">
                        <a:avLst/>
                      </a:prstGeom>
                      <a:noFill/>
                      <a:ln w="9525">
                        <a:noFill/>
                        <a:miter lim="800000"/>
                        <a:headEnd/>
                        <a:tailEnd/>
                      </a:ln>
                    </wps:spPr>
                    <wps:txbx>
                      <w:txbxContent>
                        <w:p w14:paraId="3F4D7889" w14:textId="77777777" w:rsidR="00CD7EE0" w:rsidRPr="00DD0D8E" w:rsidRDefault="00DD0D8E" w:rsidP="008E61F9">
                          <w:pPr>
                            <w:spacing w:line="168" w:lineRule="auto"/>
                            <w:rPr>
                              <w:rFonts w:asciiTheme="majorHAnsi" w:hAnsiTheme="majorHAnsi"/>
                              <w:b/>
                              <w:bCs/>
                              <w:color w:val="6D3291"/>
                              <w:sz w:val="80"/>
                              <w:szCs w:val="80"/>
                              <w:lang w:val="en-AU"/>
                            </w:rPr>
                          </w:pPr>
                          <w:r w:rsidRPr="00DD0D8E">
                            <w:rPr>
                              <w:rFonts w:asciiTheme="majorHAnsi" w:hAnsiTheme="majorHAnsi"/>
                              <w:b/>
                              <w:bCs/>
                              <w:color w:val="6D3291"/>
                              <w:sz w:val="80"/>
                              <w:szCs w:val="80"/>
                              <w:lang w:val="en-AU"/>
                            </w:rPr>
                            <w:t>CONSULTATION RESPONSE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F4D7881" id="_x0000_t202" coordsize="21600,21600" o:spt="202" path="m,l,21600r21600,l21600,xe">
              <v:stroke joinstyle="miter"/>
              <v:path gradientshapeok="t" o:connecttype="rect"/>
            </v:shapetype>
            <v:shape id="Text Box 2" o:spid="_x0000_s1026" type="#_x0000_t202" style="position:absolute;left:0;text-align:left;margin-left:-7.4pt;margin-top:4.9pt;width:281.85pt;height:87.6pt;z-index:251674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" filled="f" stroked="f">
              <v:textbox>
                <w:txbxContent>
                  <w:p w14:paraId="3F4D7889" w14:textId="77777777" w:rsidR="00CD7EE0" w:rsidRPr="00DD0D8E" w:rsidRDefault="00DD0D8E" w:rsidP="008E61F9">
                    <w:pPr>
                      <w:spacing w:line="168" w:lineRule="auto"/>
                      <w:rPr>
                        <w:rFonts w:asciiTheme="majorHAnsi" w:hAnsiTheme="majorHAnsi"/>
                        <w:b/>
                        <w:bCs/>
                        <w:color w:val="6D3291"/>
                        <w:sz w:val="80"/>
                        <w:szCs w:val="80"/>
                        <w:lang w:val="en-AU"/>
                      </w:rPr>
                    </w:pPr>
                    <w:r w:rsidRPr="00DD0D8E">
                      <w:rPr>
                        <w:rFonts w:asciiTheme="majorHAnsi" w:hAnsiTheme="majorHAnsi"/>
                        <w:b/>
                        <w:bCs/>
                        <w:color w:val="6D3291"/>
                        <w:sz w:val="80"/>
                        <w:szCs w:val="80"/>
                        <w:lang w:val="en-AU"/>
                      </w:rPr>
                      <w:t>CONSULTATION RESPONSE</w:t>
                    </w:r>
                  </w:p>
                </w:txbxContent>
              </v:textbox>
              <w10:wrap type="square" anchorx="margin"/>
            </v:shape>
          </w:pict>
        </mc:Fallback>
      </mc:AlternateContent>
    </w:r>
    <w:r w:rsidR="00E446C9">
      <w:rPr>
        <w:noProof/>
        <w:lang w:val="en-AU" w:eastAsia="en-AU"/>
      </w:rPr>
      <w:drawing>
        <wp:anchor distT="0" distB="0" distL="114300" distR="114300" simplePos="0" relativeHeight="251658240" behindDoc="0" locked="0" layoutInCell="1" allowOverlap="1" wp14:anchorId="3F4D7883" wp14:editId="40F20776">
          <wp:simplePos x="0" y="0"/>
          <wp:positionH relativeFrom="column">
            <wp:posOffset>4647565</wp:posOffset>
          </wp:positionH>
          <wp:positionV relativeFrom="paragraph">
            <wp:posOffset>6985</wp:posOffset>
          </wp:positionV>
          <wp:extent cx="1381125" cy="2110357"/>
          <wp:effectExtent l="0" t="0" r="0" b="444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hpa-logo-vertical-rgb.jpg"/>
                  <pic:cNvPicPr/>
                </pic:nvPicPr>
                <pic:blipFill>
                  <a:blip r:embed="rId1">
                    <a:extLst>
                      <a:ext uri="{28A0092B-C50C-407E-A947-70E740481C1C}">
                        <a14:useLocalDpi xmlns:a14="http://schemas.microsoft.com/office/drawing/2010/main" val="0"/>
                      </a:ext>
                    </a:extLst>
                  </a:blip>
                  <a:stretch>
                    <a:fillRect/>
                  </a:stretch>
                </pic:blipFill>
                <pic:spPr>
                  <a:xfrm>
                    <a:off x="0" y="0"/>
                    <a:ext cx="1381125" cy="2110357"/>
                  </a:xfrm>
                  <a:prstGeom prst="rect">
                    <a:avLst/>
                  </a:prstGeom>
                </pic:spPr>
              </pic:pic>
            </a:graphicData>
          </a:graphic>
          <wp14:sizeRelH relativeFrom="page">
            <wp14:pctWidth>0</wp14:pctWidth>
          </wp14:sizeRelH>
          <wp14:sizeRelV relativeFrom="page">
            <wp14:pctHeight>0</wp14:pctHeight>
          </wp14:sizeRelV>
        </wp:anchor>
      </w:drawing>
    </w:r>
  </w:p>
  <w:p w14:paraId="3F4D7876" w14:textId="77777777" w:rsidR="00CD7EE0" w:rsidRDefault="00CD7EE0" w:rsidP="00CD7EE0">
    <w:pPr>
      <w:spacing w:line="280" w:lineRule="exact"/>
      <w:jc w:val="right"/>
      <w:rPr>
        <w:rFonts w:ascii="Calibri" w:hAnsi="Calibri"/>
        <w:b/>
        <w:bCs/>
        <w:color w:val="402E7F"/>
        <w:sz w:val="48"/>
        <w:szCs w:val="16"/>
        <w:lang w:val="en-AU"/>
      </w:rPr>
    </w:pPr>
  </w:p>
  <w:p w14:paraId="3F4D7877" w14:textId="77777777" w:rsidR="006930DD" w:rsidRDefault="006930DD" w:rsidP="00CD7EE0">
    <w:pPr>
      <w:pStyle w:val="Header"/>
      <w:tabs>
        <w:tab w:val="clear" w:pos="4320"/>
        <w:tab w:val="clear" w:pos="8640"/>
        <w:tab w:val="left" w:pos="5895"/>
      </w:tabs>
      <w:jc w:val="right"/>
      <w:rPr>
        <w:noProof/>
        <w:lang w:val="en-AU" w:eastAsia="en-AU"/>
      </w:rPr>
    </w:pPr>
  </w:p>
  <w:p w14:paraId="3F4D7878" w14:textId="77777777" w:rsidR="006930DD" w:rsidRDefault="006930DD" w:rsidP="00CD7EE0">
    <w:pPr>
      <w:pStyle w:val="Header"/>
      <w:jc w:val="right"/>
      <w:rPr>
        <w:noProof/>
        <w:lang w:val="en-AU" w:eastAsia="en-AU"/>
      </w:rPr>
    </w:pPr>
  </w:p>
  <w:p w14:paraId="3F4D7879" w14:textId="77777777" w:rsidR="006930DD" w:rsidRDefault="006930DD" w:rsidP="00CD7EE0">
    <w:pPr>
      <w:pStyle w:val="Header"/>
      <w:jc w:val="right"/>
      <w:rPr>
        <w:noProof/>
        <w:lang w:val="en-AU" w:eastAsia="en-AU"/>
      </w:rPr>
    </w:pPr>
  </w:p>
  <w:p w14:paraId="3F4D787A" w14:textId="77777777" w:rsidR="006930DD" w:rsidRDefault="006930DD" w:rsidP="00CD7EE0">
    <w:pPr>
      <w:pStyle w:val="Header"/>
      <w:jc w:val="right"/>
      <w:rPr>
        <w:noProof/>
        <w:lang w:val="en-AU" w:eastAsia="en-AU"/>
      </w:rPr>
    </w:pPr>
  </w:p>
  <w:p w14:paraId="3F4D787B" w14:textId="77777777" w:rsidR="006930DD" w:rsidRDefault="006930DD" w:rsidP="00CD7EE0">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C87845"/>
    <w:multiLevelType w:val="hybridMultilevel"/>
    <w:tmpl w:val="A6CA19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320D2E"/>
    <w:multiLevelType w:val="hybridMultilevel"/>
    <w:tmpl w:val="A7C499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704DBC"/>
    <w:multiLevelType w:val="hybridMultilevel"/>
    <w:tmpl w:val="CC906AB6"/>
    <w:lvl w:ilvl="0" w:tplc="E3F4A0C2">
      <w:start w:val="1"/>
      <w:numFmt w:val="decimal"/>
      <w:lvlText w:val="%1."/>
      <w:lvlJc w:val="left"/>
      <w:pPr>
        <w:ind w:left="810" w:hanging="45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FE5F20"/>
    <w:multiLevelType w:val="hybridMultilevel"/>
    <w:tmpl w:val="10DAFF96"/>
    <w:lvl w:ilvl="0" w:tplc="7E400124">
      <w:start w:val="1"/>
      <w:numFmt w:val="bullet"/>
      <w:lvlText w:val="-"/>
      <w:lvlJc w:val="left"/>
      <w:pPr>
        <w:ind w:left="720" w:hanging="360"/>
      </w:pPr>
      <w:rPr>
        <w:rFonts w:ascii="Calibri" w:eastAsia="Calibr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15:restartNumberingAfterBreak="0">
    <w:nsid w:val="1075135A"/>
    <w:multiLevelType w:val="hybridMultilevel"/>
    <w:tmpl w:val="13A62E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E439C1"/>
    <w:multiLevelType w:val="hybridMultilevel"/>
    <w:tmpl w:val="881072FA"/>
    <w:lvl w:ilvl="0" w:tplc="7CAC3E40">
      <w:start w:val="1"/>
      <w:numFmt w:val="bullet"/>
      <w:lvlText w:val=""/>
      <w:lvlJc w:val="left"/>
      <w:pPr>
        <w:ind w:left="720" w:hanging="360"/>
      </w:pPr>
      <w:rPr>
        <w:rFonts w:ascii="Symbol" w:hAnsi="Symbol" w:hint="default"/>
        <w:color w:val="7030A0"/>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2E80B50"/>
    <w:multiLevelType w:val="hybridMultilevel"/>
    <w:tmpl w:val="4D60C0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4CD2352"/>
    <w:multiLevelType w:val="hybridMultilevel"/>
    <w:tmpl w:val="A4F606C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5D95AEF"/>
    <w:multiLevelType w:val="hybridMultilevel"/>
    <w:tmpl w:val="7C8EB90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8676D7A"/>
    <w:multiLevelType w:val="hybridMultilevel"/>
    <w:tmpl w:val="B0961CA0"/>
    <w:lvl w:ilvl="0" w:tplc="9BA0E1CC">
      <w:start w:val="1"/>
      <w:numFmt w:val="bullet"/>
      <w:lvlText w:val=""/>
      <w:lvlJc w:val="left"/>
      <w:pPr>
        <w:ind w:left="360" w:hanging="360"/>
      </w:pPr>
      <w:rPr>
        <w:rFonts w:ascii="Symbol" w:hAnsi="Symbol" w:hint="default"/>
        <w:color w:val="7030A0"/>
        <w:sz w:val="20"/>
        <w:szCs w:val="2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197963BE"/>
    <w:multiLevelType w:val="hybridMultilevel"/>
    <w:tmpl w:val="DC2C20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B181935"/>
    <w:multiLevelType w:val="multilevel"/>
    <w:tmpl w:val="54D27C1E"/>
    <w:lvl w:ilvl="0">
      <w:start w:val="1"/>
      <w:numFmt w:val="lowerLetter"/>
      <w:lvlText w:val="%1."/>
      <w:lvlJc w:val="left"/>
      <w:pPr>
        <w:tabs>
          <w:tab w:val="num" w:pos="360"/>
        </w:tabs>
        <w:ind w:left="360" w:hanging="360"/>
      </w:pPr>
    </w:lvl>
    <w:lvl w:ilvl="1">
      <w:start w:val="1"/>
      <w:numFmt w:val="lowerRoman"/>
      <w:lvlText w:val="%2."/>
      <w:lvlJc w:val="right"/>
      <w:pPr>
        <w:tabs>
          <w:tab w:val="num" w:pos="1080"/>
        </w:tabs>
        <w:ind w:left="1080" w:hanging="360"/>
      </w:pPr>
    </w:lvl>
    <w:lvl w:ilvl="2">
      <w:start w:val="1"/>
      <w:numFmt w:val="lowerLetter"/>
      <w:lvlText w:val="%3."/>
      <w:lvlJc w:val="left"/>
      <w:pPr>
        <w:tabs>
          <w:tab w:val="num" w:pos="1800"/>
        </w:tabs>
        <w:ind w:left="1800" w:hanging="360"/>
      </w:pPr>
    </w:lvl>
    <w:lvl w:ilvl="3">
      <w:start w:val="1"/>
      <w:numFmt w:val="lowerLetter"/>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Letter"/>
      <w:lvlText w:val="%6."/>
      <w:lvlJc w:val="left"/>
      <w:pPr>
        <w:tabs>
          <w:tab w:val="num" w:pos="3960"/>
        </w:tabs>
        <w:ind w:left="3960" w:hanging="360"/>
      </w:pPr>
    </w:lvl>
    <w:lvl w:ilvl="6">
      <w:start w:val="1"/>
      <w:numFmt w:val="lowerLetter"/>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Letter"/>
      <w:lvlText w:val="%9."/>
      <w:lvlJc w:val="left"/>
      <w:pPr>
        <w:tabs>
          <w:tab w:val="num" w:pos="6120"/>
        </w:tabs>
        <w:ind w:left="6120" w:hanging="360"/>
      </w:pPr>
    </w:lvl>
  </w:abstractNum>
  <w:abstractNum w:abstractNumId="12" w15:restartNumberingAfterBreak="0">
    <w:nsid w:val="1C8256ED"/>
    <w:multiLevelType w:val="hybridMultilevel"/>
    <w:tmpl w:val="C01099A2"/>
    <w:lvl w:ilvl="0" w:tplc="6BFC3118">
      <w:start w:val="2"/>
      <w:numFmt w:val="bullet"/>
      <w:lvlText w:val="-"/>
      <w:lvlJc w:val="left"/>
      <w:pPr>
        <w:ind w:left="1080" w:hanging="360"/>
      </w:pPr>
      <w:rPr>
        <w:rFonts w:ascii="Calibri" w:eastAsiaTheme="minorHAnsi"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 w15:restartNumberingAfterBreak="0">
    <w:nsid w:val="22D62F4E"/>
    <w:multiLevelType w:val="hybridMultilevel"/>
    <w:tmpl w:val="FA8EA04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9E29DBD"/>
    <w:multiLevelType w:val="hybridMultilevel"/>
    <w:tmpl w:val="AF6351F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2F854D8E"/>
    <w:multiLevelType w:val="hybridMultilevel"/>
    <w:tmpl w:val="1BDC06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FD1209A"/>
    <w:multiLevelType w:val="hybridMultilevel"/>
    <w:tmpl w:val="BFF469DE"/>
    <w:lvl w:ilvl="0" w:tplc="75524612">
      <w:start w:val="1"/>
      <w:numFmt w:val="bullet"/>
      <w:lvlText w:val="•"/>
      <w:lvlJc w:val="left"/>
      <w:pPr>
        <w:ind w:left="720" w:hanging="720"/>
      </w:pPr>
      <w:rPr>
        <w:rFonts w:ascii="Calibri" w:eastAsiaTheme="minorEastAsia"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25112CF"/>
    <w:multiLevelType w:val="hybridMultilevel"/>
    <w:tmpl w:val="6646F946"/>
    <w:lvl w:ilvl="0" w:tplc="75524612">
      <w:start w:val="1"/>
      <w:numFmt w:val="bullet"/>
      <w:lvlText w:val="•"/>
      <w:lvlJc w:val="left"/>
      <w:pPr>
        <w:ind w:left="720" w:hanging="720"/>
      </w:pPr>
      <w:rPr>
        <w:rFonts w:ascii="Calibri" w:eastAsiaTheme="minorEastAsia"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6314619"/>
    <w:multiLevelType w:val="hybridMultilevel"/>
    <w:tmpl w:val="CCC8CDE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7C23A9C"/>
    <w:multiLevelType w:val="hybridMultilevel"/>
    <w:tmpl w:val="7FF2FA94"/>
    <w:lvl w:ilvl="0" w:tplc="0C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3A41AEA"/>
    <w:multiLevelType w:val="hybridMultilevel"/>
    <w:tmpl w:val="6A34A9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0510C49"/>
    <w:multiLevelType w:val="hybridMultilevel"/>
    <w:tmpl w:val="CFFEE62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A11A13EE">
      <w:start w:val="1"/>
      <w:numFmt w:val="bullet"/>
      <w:lvlText w:val="•"/>
      <w:lvlJc w:val="left"/>
      <w:pPr>
        <w:ind w:left="2160" w:hanging="720"/>
      </w:pPr>
      <w:rPr>
        <w:rFonts w:ascii="Calibri" w:eastAsiaTheme="minorEastAsia" w:hAnsi="Calibri"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51C23C24"/>
    <w:multiLevelType w:val="hybridMultilevel"/>
    <w:tmpl w:val="A8126ACE"/>
    <w:lvl w:ilvl="0" w:tplc="75524612">
      <w:start w:val="1"/>
      <w:numFmt w:val="bullet"/>
      <w:lvlText w:val="•"/>
      <w:lvlJc w:val="left"/>
      <w:pPr>
        <w:ind w:left="720" w:hanging="720"/>
      </w:pPr>
      <w:rPr>
        <w:rFonts w:ascii="Calibri" w:eastAsiaTheme="minorEastAsia" w:hAnsi="Calibri"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53731AC5"/>
    <w:multiLevelType w:val="hybridMultilevel"/>
    <w:tmpl w:val="77567ECE"/>
    <w:lvl w:ilvl="0" w:tplc="75524612">
      <w:start w:val="1"/>
      <w:numFmt w:val="bullet"/>
      <w:lvlText w:val="•"/>
      <w:lvlJc w:val="left"/>
      <w:pPr>
        <w:ind w:left="720" w:hanging="720"/>
      </w:pPr>
      <w:rPr>
        <w:rFonts w:ascii="Calibri" w:eastAsiaTheme="minorEastAsia"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67B77A0"/>
    <w:multiLevelType w:val="hybridMultilevel"/>
    <w:tmpl w:val="47CCD05C"/>
    <w:lvl w:ilvl="0" w:tplc="25628DD2">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6C2140B"/>
    <w:multiLevelType w:val="hybridMultilevel"/>
    <w:tmpl w:val="378A0AB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57064336"/>
    <w:multiLevelType w:val="hybridMultilevel"/>
    <w:tmpl w:val="5ABC612E"/>
    <w:lvl w:ilvl="0" w:tplc="B6FEC238">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63B733CF"/>
    <w:multiLevelType w:val="hybridMultilevel"/>
    <w:tmpl w:val="8AB6ED7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65AF3A38"/>
    <w:multiLevelType w:val="hybridMultilevel"/>
    <w:tmpl w:val="CC906AB6"/>
    <w:lvl w:ilvl="0" w:tplc="E3F4A0C2">
      <w:start w:val="1"/>
      <w:numFmt w:val="decimal"/>
      <w:lvlText w:val="%1."/>
      <w:lvlJc w:val="left"/>
      <w:pPr>
        <w:ind w:left="810" w:hanging="45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7DB1381"/>
    <w:multiLevelType w:val="multilevel"/>
    <w:tmpl w:val="647EB4E0"/>
    <w:lvl w:ilvl="0">
      <w:start w:val="1"/>
      <w:numFmt w:val="decimal"/>
      <w:lvlText w:val="%1."/>
      <w:lvlJc w:val="left"/>
      <w:pPr>
        <w:ind w:left="360" w:hanging="360"/>
      </w:pPr>
      <w:rPr>
        <w:rFonts w:asciiTheme="majorHAnsi" w:hAnsiTheme="majorHAnsi" w:cs="Arial" w:hint="default"/>
        <w:b w:val="0"/>
        <w:sz w:val="28"/>
        <w:szCs w:val="28"/>
      </w:rPr>
    </w:lvl>
    <w:lvl w:ilvl="1">
      <w:start w:val="1"/>
      <w:numFmt w:val="decimal"/>
      <w:isLgl/>
      <w:lvlText w:val="%1.%2"/>
      <w:lvlJc w:val="left"/>
      <w:pPr>
        <w:ind w:left="1440" w:hanging="720"/>
      </w:pPr>
    </w:lvl>
    <w:lvl w:ilvl="2">
      <w:start w:val="1"/>
      <w:numFmt w:val="decimal"/>
      <w:isLgl/>
      <w:lvlText w:val="%1.%2.%3"/>
      <w:lvlJc w:val="left"/>
      <w:pPr>
        <w:ind w:left="1800" w:hanging="720"/>
      </w:pPr>
    </w:lvl>
    <w:lvl w:ilvl="3">
      <w:start w:val="1"/>
      <w:numFmt w:val="decimal"/>
      <w:isLgl/>
      <w:lvlText w:val="%1.%2.%3.%4"/>
      <w:lvlJc w:val="left"/>
      <w:pPr>
        <w:ind w:left="2520" w:hanging="1080"/>
      </w:pPr>
    </w:lvl>
    <w:lvl w:ilvl="4">
      <w:start w:val="1"/>
      <w:numFmt w:val="decimal"/>
      <w:isLgl/>
      <w:lvlText w:val="%1.%2.%3.%4.%5"/>
      <w:lvlJc w:val="left"/>
      <w:pPr>
        <w:ind w:left="3240" w:hanging="1440"/>
      </w:pPr>
    </w:lvl>
    <w:lvl w:ilvl="5">
      <w:start w:val="1"/>
      <w:numFmt w:val="decimal"/>
      <w:isLgl/>
      <w:lvlText w:val="%1.%2.%3.%4.%5.%6"/>
      <w:lvlJc w:val="left"/>
      <w:pPr>
        <w:ind w:left="3600" w:hanging="1440"/>
      </w:pPr>
    </w:lvl>
    <w:lvl w:ilvl="6">
      <w:start w:val="1"/>
      <w:numFmt w:val="decimal"/>
      <w:isLgl/>
      <w:lvlText w:val="%1.%2.%3.%4.%5.%6.%7"/>
      <w:lvlJc w:val="left"/>
      <w:pPr>
        <w:ind w:left="4320" w:hanging="1800"/>
      </w:pPr>
    </w:lvl>
    <w:lvl w:ilvl="7">
      <w:start w:val="1"/>
      <w:numFmt w:val="decimal"/>
      <w:isLgl/>
      <w:lvlText w:val="%1.%2.%3.%4.%5.%6.%7.%8"/>
      <w:lvlJc w:val="left"/>
      <w:pPr>
        <w:ind w:left="5040" w:hanging="2160"/>
      </w:pPr>
    </w:lvl>
    <w:lvl w:ilvl="8">
      <w:start w:val="1"/>
      <w:numFmt w:val="decimal"/>
      <w:isLgl/>
      <w:lvlText w:val="%1.%2.%3.%4.%5.%6.%7.%8.%9"/>
      <w:lvlJc w:val="left"/>
      <w:pPr>
        <w:ind w:left="5400" w:hanging="2160"/>
      </w:pPr>
    </w:lvl>
  </w:abstractNum>
  <w:abstractNum w:abstractNumId="30" w15:restartNumberingAfterBreak="0">
    <w:nsid w:val="684A29CB"/>
    <w:multiLevelType w:val="hybridMultilevel"/>
    <w:tmpl w:val="23BEB33C"/>
    <w:lvl w:ilvl="0" w:tplc="75524612">
      <w:start w:val="1"/>
      <w:numFmt w:val="bullet"/>
      <w:lvlText w:val="•"/>
      <w:lvlJc w:val="left"/>
      <w:pPr>
        <w:ind w:left="720" w:hanging="720"/>
      </w:pPr>
      <w:rPr>
        <w:rFonts w:ascii="Calibri" w:eastAsiaTheme="minorEastAsia"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87932EF"/>
    <w:multiLevelType w:val="multilevel"/>
    <w:tmpl w:val="54D27C1E"/>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32" w15:restartNumberingAfterBreak="0">
    <w:nsid w:val="70757E9A"/>
    <w:multiLevelType w:val="hybridMultilevel"/>
    <w:tmpl w:val="FE78CAA0"/>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7167472B"/>
    <w:multiLevelType w:val="hybridMultilevel"/>
    <w:tmpl w:val="DC8EED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3B3633F"/>
    <w:multiLevelType w:val="hybridMultilevel"/>
    <w:tmpl w:val="6D164B3A"/>
    <w:lvl w:ilvl="0" w:tplc="75524612">
      <w:start w:val="1"/>
      <w:numFmt w:val="bullet"/>
      <w:lvlText w:val="•"/>
      <w:lvlJc w:val="left"/>
      <w:pPr>
        <w:ind w:left="720" w:hanging="720"/>
      </w:pPr>
      <w:rPr>
        <w:rFonts w:ascii="Calibri" w:eastAsiaTheme="minorEastAsia"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67D79C7"/>
    <w:multiLevelType w:val="hybridMultilevel"/>
    <w:tmpl w:val="4F025978"/>
    <w:lvl w:ilvl="0" w:tplc="70C6C840">
      <w:numFmt w:val="bullet"/>
      <w:lvlText w:val="•"/>
      <w:lvlJc w:val="left"/>
      <w:pPr>
        <w:ind w:left="720" w:hanging="360"/>
      </w:pPr>
      <w:rPr>
        <w:rFonts w:ascii="Gotham-Book" w:eastAsiaTheme="minorHAnsi" w:hAnsi="Gotham-Book" w:cs="Gotham-Book"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E222F52"/>
    <w:multiLevelType w:val="hybridMultilevel"/>
    <w:tmpl w:val="4856777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num>
  <w:num w:numId="3">
    <w:abstractNumId w:val="5"/>
  </w:num>
  <w:num w:numId="4">
    <w:abstractNumId w:val="4"/>
  </w:num>
  <w:num w:numId="5">
    <w:abstractNumId w:val="7"/>
  </w:num>
  <w:num w:numId="6">
    <w:abstractNumId w:val="10"/>
  </w:num>
  <w:num w:numId="7">
    <w:abstractNumId w:val="25"/>
  </w:num>
  <w:num w:numId="8">
    <w:abstractNumId w:val="21"/>
  </w:num>
  <w:num w:numId="9">
    <w:abstractNumId w:val="33"/>
  </w:num>
  <w:num w:numId="10">
    <w:abstractNumId w:val="19"/>
  </w:num>
  <w:num w:numId="11">
    <w:abstractNumId w:val="22"/>
  </w:num>
  <w:num w:numId="12">
    <w:abstractNumId w:val="34"/>
  </w:num>
  <w:num w:numId="13">
    <w:abstractNumId w:val="23"/>
  </w:num>
  <w:num w:numId="14">
    <w:abstractNumId w:val="0"/>
  </w:num>
  <w:num w:numId="15">
    <w:abstractNumId w:val="15"/>
  </w:num>
  <w:num w:numId="16">
    <w:abstractNumId w:val="28"/>
  </w:num>
  <w:num w:numId="17">
    <w:abstractNumId w:val="17"/>
  </w:num>
  <w:num w:numId="18">
    <w:abstractNumId w:val="30"/>
  </w:num>
  <w:num w:numId="19">
    <w:abstractNumId w:val="16"/>
  </w:num>
  <w:num w:numId="20">
    <w:abstractNumId w:val="2"/>
  </w:num>
  <w:num w:numId="21">
    <w:abstractNumId w:val="3"/>
  </w:num>
  <w:num w:numId="22">
    <w:abstractNumId w:val="27"/>
  </w:num>
  <w:num w:numId="23">
    <w:abstractNumId w:val="8"/>
  </w:num>
  <w:num w:numId="24">
    <w:abstractNumId w:val="18"/>
  </w:num>
  <w:num w:numId="2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1"/>
  </w:num>
  <w:num w:numId="27">
    <w:abstractNumId w:val="32"/>
  </w:num>
  <w:num w:numId="28">
    <w:abstractNumId w:val="26"/>
  </w:num>
  <w:num w:numId="29">
    <w:abstractNumId w:val="13"/>
  </w:num>
  <w:num w:numId="30">
    <w:abstractNumId w:val="12"/>
  </w:num>
  <w:num w:numId="31">
    <w:abstractNumId w:val="14"/>
  </w:num>
  <w:num w:numId="32">
    <w:abstractNumId w:val="6"/>
  </w:num>
  <w:num w:numId="33">
    <w:abstractNumId w:val="24"/>
  </w:num>
  <w:num w:numId="34">
    <w:abstractNumId w:val="35"/>
  </w:num>
  <w:num w:numId="35">
    <w:abstractNumId w:val="36"/>
  </w:num>
  <w:num w:numId="36">
    <w:abstractNumId w:val="1"/>
  </w:num>
  <w:num w:numId="3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8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2128"/>
    <w:rsid w:val="00000D77"/>
    <w:rsid w:val="00001F94"/>
    <w:rsid w:val="0000517D"/>
    <w:rsid w:val="00006B1B"/>
    <w:rsid w:val="000079FE"/>
    <w:rsid w:val="00011EF3"/>
    <w:rsid w:val="00012226"/>
    <w:rsid w:val="00012D9B"/>
    <w:rsid w:val="00014853"/>
    <w:rsid w:val="00014CFE"/>
    <w:rsid w:val="000235DF"/>
    <w:rsid w:val="0002367F"/>
    <w:rsid w:val="0002382B"/>
    <w:rsid w:val="00024C39"/>
    <w:rsid w:val="00027055"/>
    <w:rsid w:val="000308F5"/>
    <w:rsid w:val="00033A79"/>
    <w:rsid w:val="00034937"/>
    <w:rsid w:val="00037BC0"/>
    <w:rsid w:val="00042BAB"/>
    <w:rsid w:val="00043C0D"/>
    <w:rsid w:val="00043C9F"/>
    <w:rsid w:val="000473B4"/>
    <w:rsid w:val="00050E3D"/>
    <w:rsid w:val="00052D12"/>
    <w:rsid w:val="00060E9E"/>
    <w:rsid w:val="000616A5"/>
    <w:rsid w:val="00064648"/>
    <w:rsid w:val="00066187"/>
    <w:rsid w:val="0006664C"/>
    <w:rsid w:val="000672F0"/>
    <w:rsid w:val="00070996"/>
    <w:rsid w:val="00071DB0"/>
    <w:rsid w:val="00080AF9"/>
    <w:rsid w:val="00084F20"/>
    <w:rsid w:val="000900E9"/>
    <w:rsid w:val="00090BFA"/>
    <w:rsid w:val="00091AB5"/>
    <w:rsid w:val="000942C6"/>
    <w:rsid w:val="0009658E"/>
    <w:rsid w:val="000A0591"/>
    <w:rsid w:val="000A16D8"/>
    <w:rsid w:val="000A3BDC"/>
    <w:rsid w:val="000A45D9"/>
    <w:rsid w:val="000A6ED9"/>
    <w:rsid w:val="000A78F8"/>
    <w:rsid w:val="000B2BA9"/>
    <w:rsid w:val="000B351C"/>
    <w:rsid w:val="000B3B09"/>
    <w:rsid w:val="000B4EB4"/>
    <w:rsid w:val="000B684D"/>
    <w:rsid w:val="000B7D90"/>
    <w:rsid w:val="000C45ED"/>
    <w:rsid w:val="000C4788"/>
    <w:rsid w:val="000C6D96"/>
    <w:rsid w:val="000C7A9F"/>
    <w:rsid w:val="000D0238"/>
    <w:rsid w:val="000D10DE"/>
    <w:rsid w:val="000E44D4"/>
    <w:rsid w:val="000E69B5"/>
    <w:rsid w:val="000F3FC0"/>
    <w:rsid w:val="000F67E5"/>
    <w:rsid w:val="001009EE"/>
    <w:rsid w:val="00101278"/>
    <w:rsid w:val="00102570"/>
    <w:rsid w:val="00102F47"/>
    <w:rsid w:val="001078FF"/>
    <w:rsid w:val="00107F42"/>
    <w:rsid w:val="0011188F"/>
    <w:rsid w:val="00111D75"/>
    <w:rsid w:val="00113AF6"/>
    <w:rsid w:val="00113D85"/>
    <w:rsid w:val="001154A6"/>
    <w:rsid w:val="00116338"/>
    <w:rsid w:val="00116EC6"/>
    <w:rsid w:val="0012153F"/>
    <w:rsid w:val="00123ADD"/>
    <w:rsid w:val="0012539E"/>
    <w:rsid w:val="00126072"/>
    <w:rsid w:val="00137E78"/>
    <w:rsid w:val="00141910"/>
    <w:rsid w:val="00154E1E"/>
    <w:rsid w:val="001552F9"/>
    <w:rsid w:val="001579DC"/>
    <w:rsid w:val="001606B4"/>
    <w:rsid w:val="001610D5"/>
    <w:rsid w:val="00161A1E"/>
    <w:rsid w:val="001749A8"/>
    <w:rsid w:val="00177B38"/>
    <w:rsid w:val="00185068"/>
    <w:rsid w:val="00187BF6"/>
    <w:rsid w:val="00190C78"/>
    <w:rsid w:val="001917E1"/>
    <w:rsid w:val="001929BA"/>
    <w:rsid w:val="00192BCF"/>
    <w:rsid w:val="001A1188"/>
    <w:rsid w:val="001A1B8A"/>
    <w:rsid w:val="001A265D"/>
    <w:rsid w:val="001A3C41"/>
    <w:rsid w:val="001A5B16"/>
    <w:rsid w:val="001B651E"/>
    <w:rsid w:val="001B6CCD"/>
    <w:rsid w:val="001C0EAE"/>
    <w:rsid w:val="001C356D"/>
    <w:rsid w:val="001C521A"/>
    <w:rsid w:val="001C5FCF"/>
    <w:rsid w:val="001C71D5"/>
    <w:rsid w:val="001D3E04"/>
    <w:rsid w:val="001D7CE6"/>
    <w:rsid w:val="001E1410"/>
    <w:rsid w:val="001E1B3C"/>
    <w:rsid w:val="001E3CFB"/>
    <w:rsid w:val="001E43A4"/>
    <w:rsid w:val="001E4FA9"/>
    <w:rsid w:val="001E6121"/>
    <w:rsid w:val="001E7B0E"/>
    <w:rsid w:val="001F0DA6"/>
    <w:rsid w:val="001F1545"/>
    <w:rsid w:val="001F4BBC"/>
    <w:rsid w:val="001F569C"/>
    <w:rsid w:val="001F6834"/>
    <w:rsid w:val="002026C9"/>
    <w:rsid w:val="002114DE"/>
    <w:rsid w:val="0021509A"/>
    <w:rsid w:val="0022320B"/>
    <w:rsid w:val="00230D46"/>
    <w:rsid w:val="0023213E"/>
    <w:rsid w:val="0023482F"/>
    <w:rsid w:val="00234F3C"/>
    <w:rsid w:val="002357B1"/>
    <w:rsid w:val="00236190"/>
    <w:rsid w:val="00236249"/>
    <w:rsid w:val="0024749B"/>
    <w:rsid w:val="002568C0"/>
    <w:rsid w:val="00264AE2"/>
    <w:rsid w:val="00265878"/>
    <w:rsid w:val="002675EB"/>
    <w:rsid w:val="002753E8"/>
    <w:rsid w:val="00275C6B"/>
    <w:rsid w:val="00277D03"/>
    <w:rsid w:val="002811B8"/>
    <w:rsid w:val="00285134"/>
    <w:rsid w:val="00297706"/>
    <w:rsid w:val="00297A66"/>
    <w:rsid w:val="002A08F3"/>
    <w:rsid w:val="002A5631"/>
    <w:rsid w:val="002A5799"/>
    <w:rsid w:val="002A6914"/>
    <w:rsid w:val="002A6B99"/>
    <w:rsid w:val="002B32B9"/>
    <w:rsid w:val="002B4DEE"/>
    <w:rsid w:val="002C0165"/>
    <w:rsid w:val="002C2952"/>
    <w:rsid w:val="002C4F31"/>
    <w:rsid w:val="002C63C6"/>
    <w:rsid w:val="002C730C"/>
    <w:rsid w:val="002D5239"/>
    <w:rsid w:val="002D60B0"/>
    <w:rsid w:val="002D6A03"/>
    <w:rsid w:val="002D73D7"/>
    <w:rsid w:val="002D7D32"/>
    <w:rsid w:val="002E2239"/>
    <w:rsid w:val="002E37C1"/>
    <w:rsid w:val="002E3DE7"/>
    <w:rsid w:val="002E4128"/>
    <w:rsid w:val="002E7E48"/>
    <w:rsid w:val="002F0E48"/>
    <w:rsid w:val="002F4486"/>
    <w:rsid w:val="002F46BD"/>
    <w:rsid w:val="002F548E"/>
    <w:rsid w:val="00305992"/>
    <w:rsid w:val="00310D18"/>
    <w:rsid w:val="00310F5D"/>
    <w:rsid w:val="00313B8E"/>
    <w:rsid w:val="00315293"/>
    <w:rsid w:val="00315AE1"/>
    <w:rsid w:val="00322D8C"/>
    <w:rsid w:val="003245B4"/>
    <w:rsid w:val="00325188"/>
    <w:rsid w:val="00325BA1"/>
    <w:rsid w:val="00326A2F"/>
    <w:rsid w:val="003274A0"/>
    <w:rsid w:val="00331CBE"/>
    <w:rsid w:val="00332026"/>
    <w:rsid w:val="003341A7"/>
    <w:rsid w:val="00335173"/>
    <w:rsid w:val="00335909"/>
    <w:rsid w:val="00346DBE"/>
    <w:rsid w:val="003476D5"/>
    <w:rsid w:val="0035270B"/>
    <w:rsid w:val="0035462F"/>
    <w:rsid w:val="0035679B"/>
    <w:rsid w:val="00357B17"/>
    <w:rsid w:val="00362FBA"/>
    <w:rsid w:val="0036316D"/>
    <w:rsid w:val="0036379D"/>
    <w:rsid w:val="0036660B"/>
    <w:rsid w:val="00371F70"/>
    <w:rsid w:val="0037228A"/>
    <w:rsid w:val="00384AC2"/>
    <w:rsid w:val="00384F90"/>
    <w:rsid w:val="003919DA"/>
    <w:rsid w:val="0039793D"/>
    <w:rsid w:val="003A05B6"/>
    <w:rsid w:val="003A290A"/>
    <w:rsid w:val="003B6DAA"/>
    <w:rsid w:val="003C1404"/>
    <w:rsid w:val="003C6CEA"/>
    <w:rsid w:val="003D0F1E"/>
    <w:rsid w:val="003D10BB"/>
    <w:rsid w:val="003D568B"/>
    <w:rsid w:val="003D69ED"/>
    <w:rsid w:val="003D6C70"/>
    <w:rsid w:val="003D7F79"/>
    <w:rsid w:val="003E1E10"/>
    <w:rsid w:val="003E241E"/>
    <w:rsid w:val="003E2C97"/>
    <w:rsid w:val="003E7B17"/>
    <w:rsid w:val="003F1811"/>
    <w:rsid w:val="003F26F2"/>
    <w:rsid w:val="003F2F38"/>
    <w:rsid w:val="003F42CB"/>
    <w:rsid w:val="00404452"/>
    <w:rsid w:val="00410E38"/>
    <w:rsid w:val="00411873"/>
    <w:rsid w:val="00412807"/>
    <w:rsid w:val="00414105"/>
    <w:rsid w:val="00420D2E"/>
    <w:rsid w:val="00421487"/>
    <w:rsid w:val="004234CD"/>
    <w:rsid w:val="00425150"/>
    <w:rsid w:val="0042605F"/>
    <w:rsid w:val="00433390"/>
    <w:rsid w:val="0043643D"/>
    <w:rsid w:val="00440067"/>
    <w:rsid w:val="00440ADC"/>
    <w:rsid w:val="00441B87"/>
    <w:rsid w:val="00443476"/>
    <w:rsid w:val="004470AF"/>
    <w:rsid w:val="00447E08"/>
    <w:rsid w:val="004511BA"/>
    <w:rsid w:val="00452265"/>
    <w:rsid w:val="004526B5"/>
    <w:rsid w:val="00456D8F"/>
    <w:rsid w:val="0046040B"/>
    <w:rsid w:val="0046107A"/>
    <w:rsid w:val="00463394"/>
    <w:rsid w:val="00467098"/>
    <w:rsid w:val="004716D4"/>
    <w:rsid w:val="00471C91"/>
    <w:rsid w:val="00471EA3"/>
    <w:rsid w:val="00474696"/>
    <w:rsid w:val="00474809"/>
    <w:rsid w:val="004826CA"/>
    <w:rsid w:val="00484410"/>
    <w:rsid w:val="00486B1B"/>
    <w:rsid w:val="00493861"/>
    <w:rsid w:val="00493934"/>
    <w:rsid w:val="004A2108"/>
    <w:rsid w:val="004A440A"/>
    <w:rsid w:val="004A45E7"/>
    <w:rsid w:val="004A51FB"/>
    <w:rsid w:val="004A614B"/>
    <w:rsid w:val="004B0F53"/>
    <w:rsid w:val="004B1847"/>
    <w:rsid w:val="004B6019"/>
    <w:rsid w:val="004B616E"/>
    <w:rsid w:val="004C17DA"/>
    <w:rsid w:val="004C3C18"/>
    <w:rsid w:val="004D0089"/>
    <w:rsid w:val="004D2DDA"/>
    <w:rsid w:val="004E44BB"/>
    <w:rsid w:val="004E6C13"/>
    <w:rsid w:val="004F03EE"/>
    <w:rsid w:val="004F0B4F"/>
    <w:rsid w:val="004F7921"/>
    <w:rsid w:val="00503741"/>
    <w:rsid w:val="0050488A"/>
    <w:rsid w:val="00505E85"/>
    <w:rsid w:val="0050657D"/>
    <w:rsid w:val="00513737"/>
    <w:rsid w:val="00527AA5"/>
    <w:rsid w:val="00530FE5"/>
    <w:rsid w:val="00531350"/>
    <w:rsid w:val="005341B1"/>
    <w:rsid w:val="0053568E"/>
    <w:rsid w:val="00536457"/>
    <w:rsid w:val="00537824"/>
    <w:rsid w:val="0054371A"/>
    <w:rsid w:val="00544A13"/>
    <w:rsid w:val="00544E1F"/>
    <w:rsid w:val="005465C3"/>
    <w:rsid w:val="005467B6"/>
    <w:rsid w:val="005600D8"/>
    <w:rsid w:val="0056184F"/>
    <w:rsid w:val="00563ABE"/>
    <w:rsid w:val="00567557"/>
    <w:rsid w:val="005712E7"/>
    <w:rsid w:val="0057566D"/>
    <w:rsid w:val="00576F69"/>
    <w:rsid w:val="00577688"/>
    <w:rsid w:val="00592231"/>
    <w:rsid w:val="0059446B"/>
    <w:rsid w:val="005A0933"/>
    <w:rsid w:val="005A36D8"/>
    <w:rsid w:val="005A3F57"/>
    <w:rsid w:val="005A6ED8"/>
    <w:rsid w:val="005B14C6"/>
    <w:rsid w:val="005B242F"/>
    <w:rsid w:val="005B2B08"/>
    <w:rsid w:val="005B4290"/>
    <w:rsid w:val="005B5BC1"/>
    <w:rsid w:val="005B63C4"/>
    <w:rsid w:val="005B6645"/>
    <w:rsid w:val="005B7C54"/>
    <w:rsid w:val="005C2578"/>
    <w:rsid w:val="005C6678"/>
    <w:rsid w:val="005C7821"/>
    <w:rsid w:val="005C78E1"/>
    <w:rsid w:val="005D14A7"/>
    <w:rsid w:val="005D31A9"/>
    <w:rsid w:val="005D5749"/>
    <w:rsid w:val="005D58E6"/>
    <w:rsid w:val="005E2673"/>
    <w:rsid w:val="005E28DA"/>
    <w:rsid w:val="005E4FDC"/>
    <w:rsid w:val="005E7AA5"/>
    <w:rsid w:val="005F03EC"/>
    <w:rsid w:val="005F6A48"/>
    <w:rsid w:val="006001FC"/>
    <w:rsid w:val="00611E6B"/>
    <w:rsid w:val="0061204E"/>
    <w:rsid w:val="006124AE"/>
    <w:rsid w:val="0061341E"/>
    <w:rsid w:val="00615DBF"/>
    <w:rsid w:val="00620A5C"/>
    <w:rsid w:val="00622D98"/>
    <w:rsid w:val="00624626"/>
    <w:rsid w:val="00625E5A"/>
    <w:rsid w:val="00627B20"/>
    <w:rsid w:val="00627F5F"/>
    <w:rsid w:val="00634F5A"/>
    <w:rsid w:val="006405C1"/>
    <w:rsid w:val="00650066"/>
    <w:rsid w:val="00650FAE"/>
    <w:rsid w:val="006522AD"/>
    <w:rsid w:val="00654800"/>
    <w:rsid w:val="00654F35"/>
    <w:rsid w:val="00661C60"/>
    <w:rsid w:val="00665429"/>
    <w:rsid w:val="0066561E"/>
    <w:rsid w:val="006672BB"/>
    <w:rsid w:val="0067265A"/>
    <w:rsid w:val="00672B9C"/>
    <w:rsid w:val="0067538E"/>
    <w:rsid w:val="0068352F"/>
    <w:rsid w:val="006930DD"/>
    <w:rsid w:val="00695326"/>
    <w:rsid w:val="006A11BB"/>
    <w:rsid w:val="006A1DCA"/>
    <w:rsid w:val="006A462B"/>
    <w:rsid w:val="006A49C3"/>
    <w:rsid w:val="006A5C86"/>
    <w:rsid w:val="006B77B6"/>
    <w:rsid w:val="006C3A42"/>
    <w:rsid w:val="006D48EC"/>
    <w:rsid w:val="006E0D62"/>
    <w:rsid w:val="006E421E"/>
    <w:rsid w:val="006E6D89"/>
    <w:rsid w:val="006F0276"/>
    <w:rsid w:val="006F0CD0"/>
    <w:rsid w:val="006F5855"/>
    <w:rsid w:val="006F65F0"/>
    <w:rsid w:val="006F7587"/>
    <w:rsid w:val="006F7FED"/>
    <w:rsid w:val="00705A38"/>
    <w:rsid w:val="00706828"/>
    <w:rsid w:val="007106E1"/>
    <w:rsid w:val="00711BC4"/>
    <w:rsid w:val="0071370A"/>
    <w:rsid w:val="00714DB5"/>
    <w:rsid w:val="00714F5B"/>
    <w:rsid w:val="00714FCB"/>
    <w:rsid w:val="0071504C"/>
    <w:rsid w:val="00717A43"/>
    <w:rsid w:val="00720BCB"/>
    <w:rsid w:val="00722C28"/>
    <w:rsid w:val="007243A2"/>
    <w:rsid w:val="00725A10"/>
    <w:rsid w:val="007320CA"/>
    <w:rsid w:val="00741FB8"/>
    <w:rsid w:val="00742E0F"/>
    <w:rsid w:val="00744242"/>
    <w:rsid w:val="007453A1"/>
    <w:rsid w:val="00745CA3"/>
    <w:rsid w:val="00747AB8"/>
    <w:rsid w:val="007558E6"/>
    <w:rsid w:val="00755E9F"/>
    <w:rsid w:val="00755F1B"/>
    <w:rsid w:val="00764AC7"/>
    <w:rsid w:val="00764D92"/>
    <w:rsid w:val="00766C91"/>
    <w:rsid w:val="00767124"/>
    <w:rsid w:val="007705E0"/>
    <w:rsid w:val="0078135C"/>
    <w:rsid w:val="00781652"/>
    <w:rsid w:val="00781764"/>
    <w:rsid w:val="00784D5F"/>
    <w:rsid w:val="00795091"/>
    <w:rsid w:val="007A28DD"/>
    <w:rsid w:val="007A442F"/>
    <w:rsid w:val="007A5074"/>
    <w:rsid w:val="007A61AC"/>
    <w:rsid w:val="007A6297"/>
    <w:rsid w:val="007A6F40"/>
    <w:rsid w:val="007B0A3A"/>
    <w:rsid w:val="007B0C50"/>
    <w:rsid w:val="007B162B"/>
    <w:rsid w:val="007C01E4"/>
    <w:rsid w:val="007C239C"/>
    <w:rsid w:val="007C3EC7"/>
    <w:rsid w:val="007C570E"/>
    <w:rsid w:val="007D394E"/>
    <w:rsid w:val="007D6289"/>
    <w:rsid w:val="007D6AC9"/>
    <w:rsid w:val="007D7088"/>
    <w:rsid w:val="007E0742"/>
    <w:rsid w:val="007E240A"/>
    <w:rsid w:val="007E57EC"/>
    <w:rsid w:val="007E6D39"/>
    <w:rsid w:val="007F27AE"/>
    <w:rsid w:val="007F2DD3"/>
    <w:rsid w:val="007F6B50"/>
    <w:rsid w:val="0080287C"/>
    <w:rsid w:val="008028DD"/>
    <w:rsid w:val="00802D66"/>
    <w:rsid w:val="00805D5D"/>
    <w:rsid w:val="00806EA5"/>
    <w:rsid w:val="0081110C"/>
    <w:rsid w:val="008118E6"/>
    <w:rsid w:val="00812568"/>
    <w:rsid w:val="00813429"/>
    <w:rsid w:val="008134EE"/>
    <w:rsid w:val="00816C59"/>
    <w:rsid w:val="00817E94"/>
    <w:rsid w:val="00821843"/>
    <w:rsid w:val="00832EFE"/>
    <w:rsid w:val="00833E3A"/>
    <w:rsid w:val="00841BB5"/>
    <w:rsid w:val="00845FD7"/>
    <w:rsid w:val="0084652A"/>
    <w:rsid w:val="00851BF2"/>
    <w:rsid w:val="00853F62"/>
    <w:rsid w:val="0085493A"/>
    <w:rsid w:val="00854A37"/>
    <w:rsid w:val="008566DC"/>
    <w:rsid w:val="008577DC"/>
    <w:rsid w:val="008604C3"/>
    <w:rsid w:val="00860DC9"/>
    <w:rsid w:val="0086399B"/>
    <w:rsid w:val="00865A07"/>
    <w:rsid w:val="00866AB2"/>
    <w:rsid w:val="008677D7"/>
    <w:rsid w:val="008702D7"/>
    <w:rsid w:val="0087306D"/>
    <w:rsid w:val="0087397F"/>
    <w:rsid w:val="008756B1"/>
    <w:rsid w:val="0088396B"/>
    <w:rsid w:val="008854AA"/>
    <w:rsid w:val="00886F70"/>
    <w:rsid w:val="0089142F"/>
    <w:rsid w:val="0089160D"/>
    <w:rsid w:val="0089174C"/>
    <w:rsid w:val="008946A5"/>
    <w:rsid w:val="00896E04"/>
    <w:rsid w:val="008A6296"/>
    <w:rsid w:val="008B2D35"/>
    <w:rsid w:val="008B4757"/>
    <w:rsid w:val="008B7675"/>
    <w:rsid w:val="008C1FF7"/>
    <w:rsid w:val="008C57D3"/>
    <w:rsid w:val="008C63B1"/>
    <w:rsid w:val="008D246C"/>
    <w:rsid w:val="008E0D4B"/>
    <w:rsid w:val="008E4A4D"/>
    <w:rsid w:val="008E5C1F"/>
    <w:rsid w:val="008E61F9"/>
    <w:rsid w:val="008F1D4D"/>
    <w:rsid w:val="008F6368"/>
    <w:rsid w:val="008F79B8"/>
    <w:rsid w:val="009032D5"/>
    <w:rsid w:val="00906602"/>
    <w:rsid w:val="009100C1"/>
    <w:rsid w:val="00912BFC"/>
    <w:rsid w:val="00913F73"/>
    <w:rsid w:val="00915DD4"/>
    <w:rsid w:val="00915E05"/>
    <w:rsid w:val="0092025A"/>
    <w:rsid w:val="009202CE"/>
    <w:rsid w:val="00921F69"/>
    <w:rsid w:val="00935982"/>
    <w:rsid w:val="00937580"/>
    <w:rsid w:val="00941A5A"/>
    <w:rsid w:val="009434E6"/>
    <w:rsid w:val="00943EA2"/>
    <w:rsid w:val="0094540D"/>
    <w:rsid w:val="009465C7"/>
    <w:rsid w:val="00946ADB"/>
    <w:rsid w:val="009516B2"/>
    <w:rsid w:val="00951735"/>
    <w:rsid w:val="00954437"/>
    <w:rsid w:val="009629CE"/>
    <w:rsid w:val="009638AF"/>
    <w:rsid w:val="0096670A"/>
    <w:rsid w:val="009705B6"/>
    <w:rsid w:val="009734D8"/>
    <w:rsid w:val="00975B96"/>
    <w:rsid w:val="00983C56"/>
    <w:rsid w:val="00985263"/>
    <w:rsid w:val="00987AD8"/>
    <w:rsid w:val="00995D67"/>
    <w:rsid w:val="00997BE7"/>
    <w:rsid w:val="009A0332"/>
    <w:rsid w:val="009A5421"/>
    <w:rsid w:val="009A6FEB"/>
    <w:rsid w:val="009A774E"/>
    <w:rsid w:val="009B029B"/>
    <w:rsid w:val="009B0642"/>
    <w:rsid w:val="009B334A"/>
    <w:rsid w:val="009B5145"/>
    <w:rsid w:val="009C1AFA"/>
    <w:rsid w:val="009D1A60"/>
    <w:rsid w:val="009D1B9D"/>
    <w:rsid w:val="009D4D34"/>
    <w:rsid w:val="009D54E5"/>
    <w:rsid w:val="009D590C"/>
    <w:rsid w:val="009D6297"/>
    <w:rsid w:val="009D7EBC"/>
    <w:rsid w:val="009E4D0D"/>
    <w:rsid w:val="009E7EE1"/>
    <w:rsid w:val="009F315C"/>
    <w:rsid w:val="009F7836"/>
    <w:rsid w:val="009F79B2"/>
    <w:rsid w:val="00A00C23"/>
    <w:rsid w:val="00A01295"/>
    <w:rsid w:val="00A02E52"/>
    <w:rsid w:val="00A02FBF"/>
    <w:rsid w:val="00A0330B"/>
    <w:rsid w:val="00A03331"/>
    <w:rsid w:val="00A0589C"/>
    <w:rsid w:val="00A05D8D"/>
    <w:rsid w:val="00A06BAD"/>
    <w:rsid w:val="00A146BE"/>
    <w:rsid w:val="00A20CE0"/>
    <w:rsid w:val="00A2241A"/>
    <w:rsid w:val="00A2343A"/>
    <w:rsid w:val="00A3185E"/>
    <w:rsid w:val="00A42378"/>
    <w:rsid w:val="00A43EB2"/>
    <w:rsid w:val="00A44007"/>
    <w:rsid w:val="00A50602"/>
    <w:rsid w:val="00A50F89"/>
    <w:rsid w:val="00A519DC"/>
    <w:rsid w:val="00A51FA1"/>
    <w:rsid w:val="00A52AFE"/>
    <w:rsid w:val="00A561AC"/>
    <w:rsid w:val="00A565C5"/>
    <w:rsid w:val="00A62C2E"/>
    <w:rsid w:val="00A71497"/>
    <w:rsid w:val="00A73C50"/>
    <w:rsid w:val="00A740AF"/>
    <w:rsid w:val="00A7548B"/>
    <w:rsid w:val="00A756BF"/>
    <w:rsid w:val="00A779F8"/>
    <w:rsid w:val="00A80DA3"/>
    <w:rsid w:val="00A80EDE"/>
    <w:rsid w:val="00A848CC"/>
    <w:rsid w:val="00A84B99"/>
    <w:rsid w:val="00A850B4"/>
    <w:rsid w:val="00A8796C"/>
    <w:rsid w:val="00A87A15"/>
    <w:rsid w:val="00AA1008"/>
    <w:rsid w:val="00AA343C"/>
    <w:rsid w:val="00AA3510"/>
    <w:rsid w:val="00AA46BA"/>
    <w:rsid w:val="00AA7F47"/>
    <w:rsid w:val="00AB0C6C"/>
    <w:rsid w:val="00AB13BA"/>
    <w:rsid w:val="00AB15A6"/>
    <w:rsid w:val="00AB3CCC"/>
    <w:rsid w:val="00AB3D04"/>
    <w:rsid w:val="00AB437B"/>
    <w:rsid w:val="00AB565F"/>
    <w:rsid w:val="00AB5F20"/>
    <w:rsid w:val="00AB71A9"/>
    <w:rsid w:val="00AB792D"/>
    <w:rsid w:val="00AC06AB"/>
    <w:rsid w:val="00AC0964"/>
    <w:rsid w:val="00AC6E61"/>
    <w:rsid w:val="00AE3CC2"/>
    <w:rsid w:val="00AE598E"/>
    <w:rsid w:val="00AE59FE"/>
    <w:rsid w:val="00AF0A1D"/>
    <w:rsid w:val="00AF48F8"/>
    <w:rsid w:val="00AF4CF8"/>
    <w:rsid w:val="00AF55DC"/>
    <w:rsid w:val="00AF7FB3"/>
    <w:rsid w:val="00B00EB1"/>
    <w:rsid w:val="00B01520"/>
    <w:rsid w:val="00B02DD1"/>
    <w:rsid w:val="00B05570"/>
    <w:rsid w:val="00B06ABF"/>
    <w:rsid w:val="00B10AB9"/>
    <w:rsid w:val="00B209F1"/>
    <w:rsid w:val="00B2120E"/>
    <w:rsid w:val="00B21AD1"/>
    <w:rsid w:val="00B237A4"/>
    <w:rsid w:val="00B24E24"/>
    <w:rsid w:val="00B251B9"/>
    <w:rsid w:val="00B252C8"/>
    <w:rsid w:val="00B25C20"/>
    <w:rsid w:val="00B26B74"/>
    <w:rsid w:val="00B27FF4"/>
    <w:rsid w:val="00B324FB"/>
    <w:rsid w:val="00B32AF7"/>
    <w:rsid w:val="00B35046"/>
    <w:rsid w:val="00B37F8F"/>
    <w:rsid w:val="00B4259E"/>
    <w:rsid w:val="00B4345E"/>
    <w:rsid w:val="00B446E7"/>
    <w:rsid w:val="00B45250"/>
    <w:rsid w:val="00B5421E"/>
    <w:rsid w:val="00B55805"/>
    <w:rsid w:val="00B56418"/>
    <w:rsid w:val="00B65915"/>
    <w:rsid w:val="00B65D0C"/>
    <w:rsid w:val="00B66C89"/>
    <w:rsid w:val="00B7025F"/>
    <w:rsid w:val="00B71CFD"/>
    <w:rsid w:val="00B72427"/>
    <w:rsid w:val="00B72A8C"/>
    <w:rsid w:val="00B77AF3"/>
    <w:rsid w:val="00B807B3"/>
    <w:rsid w:val="00B81D69"/>
    <w:rsid w:val="00B83998"/>
    <w:rsid w:val="00B83BA5"/>
    <w:rsid w:val="00B85DD2"/>
    <w:rsid w:val="00B95D81"/>
    <w:rsid w:val="00BA2370"/>
    <w:rsid w:val="00BA459A"/>
    <w:rsid w:val="00BB0F6C"/>
    <w:rsid w:val="00BB7225"/>
    <w:rsid w:val="00BC4500"/>
    <w:rsid w:val="00BC5639"/>
    <w:rsid w:val="00BD01A4"/>
    <w:rsid w:val="00BD606E"/>
    <w:rsid w:val="00BD6086"/>
    <w:rsid w:val="00BE0A49"/>
    <w:rsid w:val="00BE0D31"/>
    <w:rsid w:val="00BE4178"/>
    <w:rsid w:val="00BE4EAD"/>
    <w:rsid w:val="00BE53F0"/>
    <w:rsid w:val="00BE6ACD"/>
    <w:rsid w:val="00BF5288"/>
    <w:rsid w:val="00BF5E9C"/>
    <w:rsid w:val="00BF788A"/>
    <w:rsid w:val="00C04B7D"/>
    <w:rsid w:val="00C12128"/>
    <w:rsid w:val="00C12E6E"/>
    <w:rsid w:val="00C16361"/>
    <w:rsid w:val="00C17EAB"/>
    <w:rsid w:val="00C239C3"/>
    <w:rsid w:val="00C23F03"/>
    <w:rsid w:val="00C25F64"/>
    <w:rsid w:val="00C27D02"/>
    <w:rsid w:val="00C30F9C"/>
    <w:rsid w:val="00C321F5"/>
    <w:rsid w:val="00C32BFE"/>
    <w:rsid w:val="00C3367E"/>
    <w:rsid w:val="00C36DC2"/>
    <w:rsid w:val="00C40776"/>
    <w:rsid w:val="00C419C5"/>
    <w:rsid w:val="00C4443B"/>
    <w:rsid w:val="00C44C77"/>
    <w:rsid w:val="00C474A6"/>
    <w:rsid w:val="00C50B29"/>
    <w:rsid w:val="00C54880"/>
    <w:rsid w:val="00C56055"/>
    <w:rsid w:val="00C600AC"/>
    <w:rsid w:val="00C624C9"/>
    <w:rsid w:val="00C71EDB"/>
    <w:rsid w:val="00C756E0"/>
    <w:rsid w:val="00C82012"/>
    <w:rsid w:val="00C91832"/>
    <w:rsid w:val="00C91969"/>
    <w:rsid w:val="00C92F72"/>
    <w:rsid w:val="00C93C37"/>
    <w:rsid w:val="00C94381"/>
    <w:rsid w:val="00C96EC7"/>
    <w:rsid w:val="00C973B0"/>
    <w:rsid w:val="00CA0CFC"/>
    <w:rsid w:val="00CA1AED"/>
    <w:rsid w:val="00CA3478"/>
    <w:rsid w:val="00CA5220"/>
    <w:rsid w:val="00CA73E1"/>
    <w:rsid w:val="00CA7CBA"/>
    <w:rsid w:val="00CA7E10"/>
    <w:rsid w:val="00CB122A"/>
    <w:rsid w:val="00CC067D"/>
    <w:rsid w:val="00CC46F0"/>
    <w:rsid w:val="00CC533E"/>
    <w:rsid w:val="00CC7D93"/>
    <w:rsid w:val="00CD7EE0"/>
    <w:rsid w:val="00CE07DD"/>
    <w:rsid w:val="00CE0D86"/>
    <w:rsid w:val="00CE0F2A"/>
    <w:rsid w:val="00CE1B3A"/>
    <w:rsid w:val="00CE3C26"/>
    <w:rsid w:val="00CE5659"/>
    <w:rsid w:val="00CF2533"/>
    <w:rsid w:val="00CF4ED5"/>
    <w:rsid w:val="00D02AE0"/>
    <w:rsid w:val="00D04E87"/>
    <w:rsid w:val="00D07E20"/>
    <w:rsid w:val="00D10DC2"/>
    <w:rsid w:val="00D14EE5"/>
    <w:rsid w:val="00D166FA"/>
    <w:rsid w:val="00D17BBB"/>
    <w:rsid w:val="00D215D8"/>
    <w:rsid w:val="00D218EB"/>
    <w:rsid w:val="00D2304B"/>
    <w:rsid w:val="00D2550C"/>
    <w:rsid w:val="00D25B40"/>
    <w:rsid w:val="00D26188"/>
    <w:rsid w:val="00D26B8A"/>
    <w:rsid w:val="00D27E03"/>
    <w:rsid w:val="00D30347"/>
    <w:rsid w:val="00D336FC"/>
    <w:rsid w:val="00D350BC"/>
    <w:rsid w:val="00D373A7"/>
    <w:rsid w:val="00D40F20"/>
    <w:rsid w:val="00D42AE3"/>
    <w:rsid w:val="00D442CA"/>
    <w:rsid w:val="00D50761"/>
    <w:rsid w:val="00D5115E"/>
    <w:rsid w:val="00D54DD9"/>
    <w:rsid w:val="00D56B6A"/>
    <w:rsid w:val="00D6484F"/>
    <w:rsid w:val="00D6578C"/>
    <w:rsid w:val="00D658BA"/>
    <w:rsid w:val="00D7183E"/>
    <w:rsid w:val="00D71BD7"/>
    <w:rsid w:val="00D726CB"/>
    <w:rsid w:val="00D7414A"/>
    <w:rsid w:val="00D8020D"/>
    <w:rsid w:val="00D80D56"/>
    <w:rsid w:val="00D82A99"/>
    <w:rsid w:val="00D8584E"/>
    <w:rsid w:val="00D86B90"/>
    <w:rsid w:val="00D94E31"/>
    <w:rsid w:val="00D965FF"/>
    <w:rsid w:val="00DA191F"/>
    <w:rsid w:val="00DA27B2"/>
    <w:rsid w:val="00DA4513"/>
    <w:rsid w:val="00DA79AB"/>
    <w:rsid w:val="00DB060D"/>
    <w:rsid w:val="00DB5A50"/>
    <w:rsid w:val="00DB6C4E"/>
    <w:rsid w:val="00DB77DA"/>
    <w:rsid w:val="00DC039F"/>
    <w:rsid w:val="00DC306A"/>
    <w:rsid w:val="00DD0D8E"/>
    <w:rsid w:val="00DD2343"/>
    <w:rsid w:val="00DD4082"/>
    <w:rsid w:val="00DD4386"/>
    <w:rsid w:val="00DD62DA"/>
    <w:rsid w:val="00DD6737"/>
    <w:rsid w:val="00DE08A3"/>
    <w:rsid w:val="00DE21A0"/>
    <w:rsid w:val="00DE503C"/>
    <w:rsid w:val="00DF1469"/>
    <w:rsid w:val="00DF1603"/>
    <w:rsid w:val="00DF171B"/>
    <w:rsid w:val="00DF2F8A"/>
    <w:rsid w:val="00DF346E"/>
    <w:rsid w:val="00DF4D11"/>
    <w:rsid w:val="00DF6EBB"/>
    <w:rsid w:val="00E00A72"/>
    <w:rsid w:val="00E162D5"/>
    <w:rsid w:val="00E219FD"/>
    <w:rsid w:val="00E221D5"/>
    <w:rsid w:val="00E231E3"/>
    <w:rsid w:val="00E23CC2"/>
    <w:rsid w:val="00E2453A"/>
    <w:rsid w:val="00E27FBE"/>
    <w:rsid w:val="00E27FFD"/>
    <w:rsid w:val="00E314EC"/>
    <w:rsid w:val="00E3184D"/>
    <w:rsid w:val="00E34F33"/>
    <w:rsid w:val="00E37264"/>
    <w:rsid w:val="00E418BC"/>
    <w:rsid w:val="00E4229B"/>
    <w:rsid w:val="00E44046"/>
    <w:rsid w:val="00E446C9"/>
    <w:rsid w:val="00E50DE2"/>
    <w:rsid w:val="00E57BC7"/>
    <w:rsid w:val="00E659C8"/>
    <w:rsid w:val="00E67C31"/>
    <w:rsid w:val="00E7100B"/>
    <w:rsid w:val="00E74ECB"/>
    <w:rsid w:val="00E755F7"/>
    <w:rsid w:val="00E84211"/>
    <w:rsid w:val="00E8473A"/>
    <w:rsid w:val="00E90A29"/>
    <w:rsid w:val="00E93F3E"/>
    <w:rsid w:val="00EA1B84"/>
    <w:rsid w:val="00EA4C8C"/>
    <w:rsid w:val="00EA4E44"/>
    <w:rsid w:val="00EA64EA"/>
    <w:rsid w:val="00EB1363"/>
    <w:rsid w:val="00EB3428"/>
    <w:rsid w:val="00EB3E46"/>
    <w:rsid w:val="00EB3E6E"/>
    <w:rsid w:val="00EB4E77"/>
    <w:rsid w:val="00EB4F2F"/>
    <w:rsid w:val="00EB7709"/>
    <w:rsid w:val="00EC0943"/>
    <w:rsid w:val="00EC108D"/>
    <w:rsid w:val="00EC1299"/>
    <w:rsid w:val="00EC1D1F"/>
    <w:rsid w:val="00EC4283"/>
    <w:rsid w:val="00EC549A"/>
    <w:rsid w:val="00EC6186"/>
    <w:rsid w:val="00EC7DC1"/>
    <w:rsid w:val="00ED2968"/>
    <w:rsid w:val="00ED5ADA"/>
    <w:rsid w:val="00EE22CE"/>
    <w:rsid w:val="00EE34E1"/>
    <w:rsid w:val="00EE5D6F"/>
    <w:rsid w:val="00EF2698"/>
    <w:rsid w:val="00EF374D"/>
    <w:rsid w:val="00EF483D"/>
    <w:rsid w:val="00F00A11"/>
    <w:rsid w:val="00F01346"/>
    <w:rsid w:val="00F02A4A"/>
    <w:rsid w:val="00F0481D"/>
    <w:rsid w:val="00F04B40"/>
    <w:rsid w:val="00F05930"/>
    <w:rsid w:val="00F11709"/>
    <w:rsid w:val="00F11736"/>
    <w:rsid w:val="00F12FA7"/>
    <w:rsid w:val="00F1571C"/>
    <w:rsid w:val="00F206A7"/>
    <w:rsid w:val="00F26CD3"/>
    <w:rsid w:val="00F320F3"/>
    <w:rsid w:val="00F351B5"/>
    <w:rsid w:val="00F35A77"/>
    <w:rsid w:val="00F37708"/>
    <w:rsid w:val="00F401BE"/>
    <w:rsid w:val="00F403C8"/>
    <w:rsid w:val="00F41710"/>
    <w:rsid w:val="00F4441D"/>
    <w:rsid w:val="00F4707F"/>
    <w:rsid w:val="00F50794"/>
    <w:rsid w:val="00F55240"/>
    <w:rsid w:val="00F57141"/>
    <w:rsid w:val="00F577B6"/>
    <w:rsid w:val="00F57D9E"/>
    <w:rsid w:val="00F65DA6"/>
    <w:rsid w:val="00F6602B"/>
    <w:rsid w:val="00F66231"/>
    <w:rsid w:val="00F671C4"/>
    <w:rsid w:val="00F67723"/>
    <w:rsid w:val="00F7062E"/>
    <w:rsid w:val="00F73B8D"/>
    <w:rsid w:val="00F75D29"/>
    <w:rsid w:val="00F836BB"/>
    <w:rsid w:val="00F85043"/>
    <w:rsid w:val="00F87E4F"/>
    <w:rsid w:val="00F914CF"/>
    <w:rsid w:val="00F94D15"/>
    <w:rsid w:val="00F95350"/>
    <w:rsid w:val="00FA02A6"/>
    <w:rsid w:val="00FA2CBA"/>
    <w:rsid w:val="00FA2FC2"/>
    <w:rsid w:val="00FB2158"/>
    <w:rsid w:val="00FB3344"/>
    <w:rsid w:val="00FC06B4"/>
    <w:rsid w:val="00FC0850"/>
    <w:rsid w:val="00FC0C73"/>
    <w:rsid w:val="00FC1785"/>
    <w:rsid w:val="00FC2EED"/>
    <w:rsid w:val="00FC422C"/>
    <w:rsid w:val="00FC53F6"/>
    <w:rsid w:val="00FC6563"/>
    <w:rsid w:val="00FC6914"/>
    <w:rsid w:val="00FD16AB"/>
    <w:rsid w:val="00FD20A2"/>
    <w:rsid w:val="00FD6BB9"/>
    <w:rsid w:val="00FE2309"/>
    <w:rsid w:val="00FE2A0C"/>
    <w:rsid w:val="00FF1699"/>
    <w:rsid w:val="00FF2525"/>
    <w:rsid w:val="00FF72F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81"/>
    <o:shapelayout v:ext="edit">
      <o:idmap v:ext="edit" data="1"/>
    </o:shapelayout>
  </w:shapeDefaults>
  <w:decimalSymbol w:val="."/>
  <w:listSeparator w:val=","/>
  <w14:docId w14:val="3F4D780B"/>
  <w14:defaultImageDpi w14:val="300"/>
  <w15:docId w15:val="{EB83DB18-7725-4683-A7D1-760B664B91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7AB8"/>
  </w:style>
  <w:style w:type="paragraph" w:styleId="Heading1">
    <w:name w:val="heading 1"/>
    <w:basedOn w:val="Normal"/>
    <w:next w:val="Normal"/>
    <w:link w:val="Heading1Char"/>
    <w:uiPriority w:val="9"/>
    <w:qFormat/>
    <w:rsid w:val="00E7100B"/>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832EFE"/>
    <w:pPr>
      <w:spacing w:before="100" w:beforeAutospacing="1" w:after="100" w:afterAutospacing="1"/>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BE6ACD"/>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12128"/>
    <w:pPr>
      <w:tabs>
        <w:tab w:val="center" w:pos="4320"/>
        <w:tab w:val="right" w:pos="8640"/>
      </w:tabs>
    </w:pPr>
  </w:style>
  <w:style w:type="character" w:customStyle="1" w:styleId="HeaderChar">
    <w:name w:val="Header Char"/>
    <w:basedOn w:val="DefaultParagraphFont"/>
    <w:link w:val="Header"/>
    <w:uiPriority w:val="99"/>
    <w:rsid w:val="00C12128"/>
  </w:style>
  <w:style w:type="paragraph" w:styleId="Footer">
    <w:name w:val="footer"/>
    <w:basedOn w:val="Normal"/>
    <w:link w:val="FooterChar"/>
    <w:uiPriority w:val="99"/>
    <w:unhideWhenUsed/>
    <w:rsid w:val="00C12128"/>
    <w:pPr>
      <w:tabs>
        <w:tab w:val="center" w:pos="4320"/>
        <w:tab w:val="right" w:pos="8640"/>
      </w:tabs>
    </w:pPr>
  </w:style>
  <w:style w:type="character" w:customStyle="1" w:styleId="FooterChar">
    <w:name w:val="Footer Char"/>
    <w:basedOn w:val="DefaultParagraphFont"/>
    <w:link w:val="Footer"/>
    <w:uiPriority w:val="99"/>
    <w:rsid w:val="00C12128"/>
  </w:style>
  <w:style w:type="paragraph" w:customStyle="1" w:styleId="p1">
    <w:name w:val="p1"/>
    <w:basedOn w:val="Normal"/>
    <w:rsid w:val="00DF4D11"/>
    <w:pPr>
      <w:spacing w:after="120" w:line="210" w:lineRule="atLeast"/>
    </w:pPr>
    <w:rPr>
      <w:rFonts w:ascii="Museo Sans 500" w:hAnsi="Museo Sans 500"/>
      <w:color w:val="00507D"/>
      <w:sz w:val="15"/>
      <w:szCs w:val="15"/>
      <w:lang w:val="en-GB" w:eastAsia="en-GB"/>
    </w:rPr>
  </w:style>
  <w:style w:type="paragraph" w:customStyle="1" w:styleId="p2">
    <w:name w:val="p2"/>
    <w:basedOn w:val="Normal"/>
    <w:rsid w:val="00DF4D11"/>
    <w:pPr>
      <w:spacing w:after="120" w:line="210" w:lineRule="atLeast"/>
    </w:pPr>
    <w:rPr>
      <w:rFonts w:ascii="Museo Sans 500" w:hAnsi="Museo Sans 500"/>
      <w:sz w:val="15"/>
      <w:szCs w:val="15"/>
      <w:lang w:val="en-GB" w:eastAsia="en-GB"/>
    </w:rPr>
  </w:style>
  <w:style w:type="character" w:customStyle="1" w:styleId="s1">
    <w:name w:val="s1"/>
    <w:basedOn w:val="DefaultParagraphFont"/>
    <w:rsid w:val="00DF4D11"/>
    <w:rPr>
      <w:color w:val="000000"/>
    </w:rPr>
  </w:style>
  <w:style w:type="character" w:styleId="Hyperlink">
    <w:name w:val="Hyperlink"/>
    <w:basedOn w:val="DefaultParagraphFont"/>
    <w:uiPriority w:val="99"/>
    <w:unhideWhenUsed/>
    <w:rsid w:val="007320CA"/>
    <w:rPr>
      <w:color w:val="0000FF" w:themeColor="hyperlink"/>
      <w:u w:val="single"/>
    </w:rPr>
  </w:style>
  <w:style w:type="paragraph" w:styleId="ListParagraph">
    <w:name w:val="List Paragraph"/>
    <w:basedOn w:val="Normal"/>
    <w:uiPriority w:val="34"/>
    <w:qFormat/>
    <w:rsid w:val="00F65DA6"/>
    <w:pPr>
      <w:spacing w:after="200" w:line="276" w:lineRule="auto"/>
      <w:ind w:left="720"/>
      <w:contextualSpacing/>
    </w:pPr>
    <w:rPr>
      <w:rFonts w:ascii="Calibri" w:eastAsia="Calibri" w:hAnsi="Calibri" w:cs="Times New Roman"/>
      <w:sz w:val="22"/>
      <w:szCs w:val="22"/>
      <w:lang w:val="en-AU"/>
    </w:rPr>
  </w:style>
  <w:style w:type="table" w:styleId="TableGrid">
    <w:name w:val="Table Grid"/>
    <w:basedOn w:val="TableNormal"/>
    <w:uiPriority w:val="59"/>
    <w:rsid w:val="00AC6E61"/>
    <w:rPr>
      <w:rFonts w:eastAsiaTheme="minorHAns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8A6296"/>
    <w:rPr>
      <w:color w:val="800080" w:themeColor="followedHyperlink"/>
      <w:u w:val="single"/>
    </w:rPr>
  </w:style>
  <w:style w:type="paragraph" w:styleId="BalloonText">
    <w:name w:val="Balloon Text"/>
    <w:basedOn w:val="Normal"/>
    <w:link w:val="BalloonTextChar"/>
    <w:uiPriority w:val="99"/>
    <w:semiHidden/>
    <w:unhideWhenUsed/>
    <w:rsid w:val="00410E3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10E38"/>
    <w:rPr>
      <w:rFonts w:ascii="Segoe UI" w:hAnsi="Segoe UI" w:cs="Segoe UI"/>
      <w:sz w:val="18"/>
      <w:szCs w:val="18"/>
    </w:rPr>
  </w:style>
  <w:style w:type="character" w:customStyle="1" w:styleId="Heading2Char">
    <w:name w:val="Heading 2 Char"/>
    <w:basedOn w:val="DefaultParagraphFont"/>
    <w:link w:val="Heading2"/>
    <w:uiPriority w:val="9"/>
    <w:rsid w:val="00832EFE"/>
    <w:rPr>
      <w:rFonts w:ascii="Times New Roman" w:eastAsia="Times New Roman" w:hAnsi="Times New Roman" w:cs="Times New Roman"/>
      <w:b/>
      <w:bCs/>
      <w:sz w:val="36"/>
      <w:szCs w:val="36"/>
    </w:rPr>
  </w:style>
  <w:style w:type="paragraph" w:styleId="EndnoteText">
    <w:name w:val="endnote text"/>
    <w:basedOn w:val="Normal"/>
    <w:link w:val="EndnoteTextChar"/>
    <w:uiPriority w:val="99"/>
    <w:unhideWhenUsed/>
    <w:rsid w:val="00440067"/>
    <w:rPr>
      <w:sz w:val="20"/>
      <w:szCs w:val="20"/>
    </w:rPr>
  </w:style>
  <w:style w:type="character" w:customStyle="1" w:styleId="EndnoteTextChar">
    <w:name w:val="Endnote Text Char"/>
    <w:basedOn w:val="DefaultParagraphFont"/>
    <w:link w:val="EndnoteText"/>
    <w:uiPriority w:val="99"/>
    <w:rsid w:val="00440067"/>
    <w:rPr>
      <w:sz w:val="20"/>
      <w:szCs w:val="20"/>
    </w:rPr>
  </w:style>
  <w:style w:type="character" w:styleId="EndnoteReference">
    <w:name w:val="endnote reference"/>
    <w:basedOn w:val="DefaultParagraphFont"/>
    <w:uiPriority w:val="99"/>
    <w:semiHidden/>
    <w:unhideWhenUsed/>
    <w:rsid w:val="00440067"/>
    <w:rPr>
      <w:vertAlign w:val="superscript"/>
    </w:rPr>
  </w:style>
  <w:style w:type="character" w:customStyle="1" w:styleId="Heading1Char">
    <w:name w:val="Heading 1 Char"/>
    <w:basedOn w:val="DefaultParagraphFont"/>
    <w:link w:val="Heading1"/>
    <w:uiPriority w:val="9"/>
    <w:rsid w:val="00E7100B"/>
    <w:rPr>
      <w:rFonts w:asciiTheme="majorHAnsi" w:eastAsiaTheme="majorEastAsia" w:hAnsiTheme="majorHAnsi" w:cstheme="majorBidi"/>
      <w:color w:val="365F91" w:themeColor="accent1" w:themeShade="BF"/>
      <w:sz w:val="32"/>
      <w:szCs w:val="32"/>
    </w:rPr>
  </w:style>
  <w:style w:type="character" w:customStyle="1" w:styleId="UnresolvedMention">
    <w:name w:val="Unresolved Mention"/>
    <w:basedOn w:val="DefaultParagraphFont"/>
    <w:uiPriority w:val="99"/>
    <w:semiHidden/>
    <w:unhideWhenUsed/>
    <w:rsid w:val="00420D2E"/>
    <w:rPr>
      <w:color w:val="605E5C"/>
      <w:shd w:val="clear" w:color="auto" w:fill="E1DFDD"/>
    </w:rPr>
  </w:style>
  <w:style w:type="character" w:customStyle="1" w:styleId="Heading3Char">
    <w:name w:val="Heading 3 Char"/>
    <w:basedOn w:val="DefaultParagraphFont"/>
    <w:link w:val="Heading3"/>
    <w:uiPriority w:val="9"/>
    <w:semiHidden/>
    <w:rsid w:val="00BE6ACD"/>
    <w:rPr>
      <w:rFonts w:asciiTheme="majorHAnsi" w:eastAsiaTheme="majorEastAsia" w:hAnsiTheme="majorHAnsi" w:cstheme="majorBidi"/>
      <w:color w:val="243F60" w:themeColor="accent1" w:themeShade="7F"/>
    </w:rPr>
  </w:style>
  <w:style w:type="character" w:styleId="CommentReference">
    <w:name w:val="annotation reference"/>
    <w:basedOn w:val="DefaultParagraphFont"/>
    <w:uiPriority w:val="99"/>
    <w:semiHidden/>
    <w:unhideWhenUsed/>
    <w:rsid w:val="007243A2"/>
    <w:rPr>
      <w:sz w:val="16"/>
      <w:szCs w:val="16"/>
    </w:rPr>
  </w:style>
  <w:style w:type="paragraph" w:styleId="CommentText">
    <w:name w:val="annotation text"/>
    <w:basedOn w:val="Normal"/>
    <w:link w:val="CommentTextChar"/>
    <w:uiPriority w:val="99"/>
    <w:semiHidden/>
    <w:unhideWhenUsed/>
    <w:rsid w:val="007243A2"/>
    <w:rPr>
      <w:sz w:val="20"/>
      <w:szCs w:val="20"/>
    </w:rPr>
  </w:style>
  <w:style w:type="character" w:customStyle="1" w:styleId="CommentTextChar">
    <w:name w:val="Comment Text Char"/>
    <w:basedOn w:val="DefaultParagraphFont"/>
    <w:link w:val="CommentText"/>
    <w:uiPriority w:val="99"/>
    <w:semiHidden/>
    <w:rsid w:val="007243A2"/>
    <w:rPr>
      <w:sz w:val="20"/>
      <w:szCs w:val="20"/>
    </w:rPr>
  </w:style>
  <w:style w:type="paragraph" w:styleId="CommentSubject">
    <w:name w:val="annotation subject"/>
    <w:basedOn w:val="CommentText"/>
    <w:next w:val="CommentText"/>
    <w:link w:val="CommentSubjectChar"/>
    <w:uiPriority w:val="99"/>
    <w:semiHidden/>
    <w:unhideWhenUsed/>
    <w:rsid w:val="007243A2"/>
    <w:rPr>
      <w:b/>
      <w:bCs/>
    </w:rPr>
  </w:style>
  <w:style w:type="character" w:customStyle="1" w:styleId="CommentSubjectChar">
    <w:name w:val="Comment Subject Char"/>
    <w:basedOn w:val="CommentTextChar"/>
    <w:link w:val="CommentSubject"/>
    <w:uiPriority w:val="99"/>
    <w:semiHidden/>
    <w:rsid w:val="007243A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314018">
      <w:bodyDiv w:val="1"/>
      <w:marLeft w:val="0"/>
      <w:marRight w:val="0"/>
      <w:marTop w:val="0"/>
      <w:marBottom w:val="0"/>
      <w:divBdr>
        <w:top w:val="none" w:sz="0" w:space="0" w:color="auto"/>
        <w:left w:val="none" w:sz="0" w:space="0" w:color="auto"/>
        <w:bottom w:val="none" w:sz="0" w:space="0" w:color="auto"/>
        <w:right w:val="none" w:sz="0" w:space="0" w:color="auto"/>
      </w:divBdr>
    </w:div>
    <w:div w:id="123542765">
      <w:bodyDiv w:val="1"/>
      <w:marLeft w:val="0"/>
      <w:marRight w:val="0"/>
      <w:marTop w:val="0"/>
      <w:marBottom w:val="0"/>
      <w:divBdr>
        <w:top w:val="none" w:sz="0" w:space="0" w:color="auto"/>
        <w:left w:val="none" w:sz="0" w:space="0" w:color="auto"/>
        <w:bottom w:val="none" w:sz="0" w:space="0" w:color="auto"/>
        <w:right w:val="none" w:sz="0" w:space="0" w:color="auto"/>
      </w:divBdr>
    </w:div>
    <w:div w:id="368533713">
      <w:bodyDiv w:val="1"/>
      <w:marLeft w:val="0"/>
      <w:marRight w:val="0"/>
      <w:marTop w:val="0"/>
      <w:marBottom w:val="0"/>
      <w:divBdr>
        <w:top w:val="none" w:sz="0" w:space="0" w:color="auto"/>
        <w:left w:val="none" w:sz="0" w:space="0" w:color="auto"/>
        <w:bottom w:val="none" w:sz="0" w:space="0" w:color="auto"/>
        <w:right w:val="none" w:sz="0" w:space="0" w:color="auto"/>
      </w:divBdr>
    </w:div>
    <w:div w:id="461193315">
      <w:bodyDiv w:val="1"/>
      <w:marLeft w:val="0"/>
      <w:marRight w:val="0"/>
      <w:marTop w:val="0"/>
      <w:marBottom w:val="0"/>
      <w:divBdr>
        <w:top w:val="none" w:sz="0" w:space="0" w:color="auto"/>
        <w:left w:val="none" w:sz="0" w:space="0" w:color="auto"/>
        <w:bottom w:val="none" w:sz="0" w:space="0" w:color="auto"/>
        <w:right w:val="none" w:sz="0" w:space="0" w:color="auto"/>
      </w:divBdr>
    </w:div>
    <w:div w:id="516040613">
      <w:bodyDiv w:val="1"/>
      <w:marLeft w:val="0"/>
      <w:marRight w:val="0"/>
      <w:marTop w:val="0"/>
      <w:marBottom w:val="0"/>
      <w:divBdr>
        <w:top w:val="none" w:sz="0" w:space="0" w:color="auto"/>
        <w:left w:val="none" w:sz="0" w:space="0" w:color="auto"/>
        <w:bottom w:val="none" w:sz="0" w:space="0" w:color="auto"/>
        <w:right w:val="none" w:sz="0" w:space="0" w:color="auto"/>
      </w:divBdr>
    </w:div>
    <w:div w:id="553854871">
      <w:bodyDiv w:val="1"/>
      <w:marLeft w:val="0"/>
      <w:marRight w:val="0"/>
      <w:marTop w:val="0"/>
      <w:marBottom w:val="0"/>
      <w:divBdr>
        <w:top w:val="none" w:sz="0" w:space="0" w:color="auto"/>
        <w:left w:val="none" w:sz="0" w:space="0" w:color="auto"/>
        <w:bottom w:val="none" w:sz="0" w:space="0" w:color="auto"/>
        <w:right w:val="none" w:sz="0" w:space="0" w:color="auto"/>
      </w:divBdr>
    </w:div>
    <w:div w:id="758864550">
      <w:bodyDiv w:val="1"/>
      <w:marLeft w:val="0"/>
      <w:marRight w:val="0"/>
      <w:marTop w:val="0"/>
      <w:marBottom w:val="0"/>
      <w:divBdr>
        <w:top w:val="none" w:sz="0" w:space="0" w:color="auto"/>
        <w:left w:val="none" w:sz="0" w:space="0" w:color="auto"/>
        <w:bottom w:val="none" w:sz="0" w:space="0" w:color="auto"/>
        <w:right w:val="none" w:sz="0" w:space="0" w:color="auto"/>
      </w:divBdr>
    </w:div>
    <w:div w:id="829297239">
      <w:bodyDiv w:val="1"/>
      <w:marLeft w:val="0"/>
      <w:marRight w:val="0"/>
      <w:marTop w:val="0"/>
      <w:marBottom w:val="0"/>
      <w:divBdr>
        <w:top w:val="none" w:sz="0" w:space="0" w:color="auto"/>
        <w:left w:val="none" w:sz="0" w:space="0" w:color="auto"/>
        <w:bottom w:val="none" w:sz="0" w:space="0" w:color="auto"/>
        <w:right w:val="none" w:sz="0" w:space="0" w:color="auto"/>
      </w:divBdr>
    </w:div>
    <w:div w:id="985083930">
      <w:bodyDiv w:val="1"/>
      <w:marLeft w:val="0"/>
      <w:marRight w:val="0"/>
      <w:marTop w:val="0"/>
      <w:marBottom w:val="0"/>
      <w:divBdr>
        <w:top w:val="none" w:sz="0" w:space="0" w:color="auto"/>
        <w:left w:val="none" w:sz="0" w:space="0" w:color="auto"/>
        <w:bottom w:val="none" w:sz="0" w:space="0" w:color="auto"/>
        <w:right w:val="none" w:sz="0" w:space="0" w:color="auto"/>
      </w:divBdr>
    </w:div>
    <w:div w:id="1031295803">
      <w:bodyDiv w:val="1"/>
      <w:marLeft w:val="0"/>
      <w:marRight w:val="0"/>
      <w:marTop w:val="0"/>
      <w:marBottom w:val="0"/>
      <w:divBdr>
        <w:top w:val="none" w:sz="0" w:space="0" w:color="auto"/>
        <w:left w:val="none" w:sz="0" w:space="0" w:color="auto"/>
        <w:bottom w:val="none" w:sz="0" w:space="0" w:color="auto"/>
        <w:right w:val="none" w:sz="0" w:space="0" w:color="auto"/>
      </w:divBdr>
    </w:div>
    <w:div w:id="1048720353">
      <w:bodyDiv w:val="1"/>
      <w:marLeft w:val="0"/>
      <w:marRight w:val="0"/>
      <w:marTop w:val="0"/>
      <w:marBottom w:val="0"/>
      <w:divBdr>
        <w:top w:val="none" w:sz="0" w:space="0" w:color="auto"/>
        <w:left w:val="none" w:sz="0" w:space="0" w:color="auto"/>
        <w:bottom w:val="none" w:sz="0" w:space="0" w:color="auto"/>
        <w:right w:val="none" w:sz="0" w:space="0" w:color="auto"/>
      </w:divBdr>
    </w:div>
    <w:div w:id="1169520416">
      <w:bodyDiv w:val="1"/>
      <w:marLeft w:val="0"/>
      <w:marRight w:val="0"/>
      <w:marTop w:val="0"/>
      <w:marBottom w:val="0"/>
      <w:divBdr>
        <w:top w:val="none" w:sz="0" w:space="0" w:color="auto"/>
        <w:left w:val="none" w:sz="0" w:space="0" w:color="auto"/>
        <w:bottom w:val="none" w:sz="0" w:space="0" w:color="auto"/>
        <w:right w:val="none" w:sz="0" w:space="0" w:color="auto"/>
      </w:divBdr>
    </w:div>
    <w:div w:id="1419250706">
      <w:bodyDiv w:val="1"/>
      <w:marLeft w:val="0"/>
      <w:marRight w:val="0"/>
      <w:marTop w:val="0"/>
      <w:marBottom w:val="0"/>
      <w:divBdr>
        <w:top w:val="none" w:sz="0" w:space="0" w:color="auto"/>
        <w:left w:val="none" w:sz="0" w:space="0" w:color="auto"/>
        <w:bottom w:val="none" w:sz="0" w:space="0" w:color="auto"/>
        <w:right w:val="none" w:sz="0" w:space="0" w:color="auto"/>
      </w:divBdr>
    </w:div>
    <w:div w:id="1569341872">
      <w:bodyDiv w:val="1"/>
      <w:marLeft w:val="0"/>
      <w:marRight w:val="0"/>
      <w:marTop w:val="0"/>
      <w:marBottom w:val="0"/>
      <w:divBdr>
        <w:top w:val="none" w:sz="0" w:space="0" w:color="auto"/>
        <w:left w:val="none" w:sz="0" w:space="0" w:color="auto"/>
        <w:bottom w:val="none" w:sz="0" w:space="0" w:color="auto"/>
        <w:right w:val="none" w:sz="0" w:space="0" w:color="auto"/>
      </w:divBdr>
    </w:div>
    <w:div w:id="190067623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ahpa.com.au/advocacy/value-affordability-private-health-insurance-submission/"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www.ahpa.com.au"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office@ahpa.com.au"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ahpa.com.au/advocacy/mbs-review-framework-improving-access-allied-health-services/"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99D4F1592FC0344BE570BCEF7897CF8" ma:contentTypeVersion="8" ma:contentTypeDescription="Create a new document." ma:contentTypeScope="" ma:versionID="0b24154b4fa38fba40d514d8347bb65e">
  <xsd:schema xmlns:xsd="http://www.w3.org/2001/XMLSchema" xmlns:xs="http://www.w3.org/2001/XMLSchema" xmlns:p="http://schemas.microsoft.com/office/2006/metadata/properties" xmlns:ns2="d581ceaa-e9df-490e-85c6-8863378bce40" targetNamespace="http://schemas.microsoft.com/office/2006/metadata/properties" ma:root="true" ma:fieldsID="04963418be99561416cffcbf2670abd2" ns2:_="">
    <xsd:import namespace="d581ceaa-e9df-490e-85c6-8863378bce4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EventHashCode" minOccurs="0"/>
                <xsd:element ref="ns2: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81ceaa-e9df-490e-85c6-8863378bce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C92F535C-61A7-481D-BF62-4CD00145A4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581ceaa-e9df-490e-85c6-8863378bce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40B5362-2D08-4D9C-9721-4E1918A5A36B}">
  <ds:schemaRefs>
    <ds:schemaRef ds:uri="http://schemas.microsoft.com/sharepoint/v3/contenttype/forms"/>
  </ds:schemaRefs>
</ds:datastoreItem>
</file>

<file path=customXml/itemProps3.xml><?xml version="1.0" encoding="utf-8"?>
<ds:datastoreItem xmlns:ds="http://schemas.openxmlformats.org/officeDocument/2006/customXml" ds:itemID="{69CD4E58-D220-4BBD-B71D-B7898F3EFA25}">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d581ceaa-e9df-490e-85c6-8863378bce40"/>
    <ds:schemaRef ds:uri="http://www.w3.org/XML/1998/namespace"/>
    <ds:schemaRef ds:uri="http://purl.org/dc/dcmitype/"/>
  </ds:schemaRefs>
</ds:datastoreItem>
</file>

<file path=customXml/itemProps4.xml><?xml version="1.0" encoding="utf-8"?>
<ds:datastoreItem xmlns:ds="http://schemas.openxmlformats.org/officeDocument/2006/customXml" ds:itemID="{F2E7C883-A6A8-4D6F-839F-22AF7A90D6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10</Pages>
  <Words>4113</Words>
  <Characters>23449</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Submission DR261 - Allied Health Professions Australia (AHPA) - Compensation and Rehabilitation for Veterans - Public inquiry</vt:lpstr>
    </vt:vector>
  </TitlesOfParts>
  <Company>Allied Health Professions Australia (AHPA) </Company>
  <LinksUpToDate>false</LinksUpToDate>
  <CharactersWithSpaces>27507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DR261 - Allied Health Professions Australia (AHPA) - Compensation and Rehabilitation for Veterans - Public inquiry</dc:title>
  <dc:creator>Allied Health Professions Australia (AHPA) </dc:creator>
  <cp:lastModifiedBy>Productivity Commission</cp:lastModifiedBy>
  <cp:revision>3</cp:revision>
  <cp:lastPrinted>2019-01-29T05:36:00Z</cp:lastPrinted>
  <dcterms:created xsi:type="dcterms:W3CDTF">2019-02-18T02:38:00Z</dcterms:created>
  <dcterms:modified xsi:type="dcterms:W3CDTF">2019-03-03T23:36:00Z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0x010100C99D4F1592FC0344BE570BCEF7897CF8</vt:lpwstr>
  </property>
</Properties>
</file>