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B257C" w14:textId="3030A284" w:rsidR="00716BBA" w:rsidRPr="00716BBA" w:rsidRDefault="00221D8F" w:rsidP="00CA4815">
      <w:r w:rsidRPr="00EA37FC">
        <w:rPr>
          <w:b/>
          <w:bCs/>
          <w:noProof/>
          <w:color w:val="004C6C" w:themeColor="background2"/>
          <w:shd w:val="clear" w:color="auto" w:fill="E6E6E6"/>
        </w:rPr>
        <w:drawing>
          <wp:anchor distT="0" distB="0" distL="114300" distR="114300" simplePos="0" relativeHeight="251658240" behindDoc="1" locked="1" layoutInCell="1" allowOverlap="1" wp14:anchorId="3A664A55" wp14:editId="3C999529">
            <wp:simplePos x="0" y="0"/>
            <wp:positionH relativeFrom="page">
              <wp:posOffset>9525</wp:posOffset>
            </wp:positionH>
            <wp:positionV relativeFrom="page">
              <wp:posOffset>-95250</wp:posOffset>
            </wp:positionV>
            <wp:extent cx="7541895" cy="10665460"/>
            <wp:effectExtent l="0" t="0" r="1905" b="254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1895" cy="10665460"/>
                    </a:xfrm>
                    <a:prstGeom prst="rect">
                      <a:avLst/>
                    </a:prstGeom>
                  </pic:spPr>
                </pic:pic>
              </a:graphicData>
            </a:graphic>
            <wp14:sizeRelH relativeFrom="page">
              <wp14:pctWidth>0</wp14:pctWidth>
            </wp14:sizeRelH>
            <wp14:sizeRelV relativeFrom="page">
              <wp14:pctHeight>0</wp14:pctHeight>
            </wp14:sizeRelV>
          </wp:anchor>
        </w:drawing>
      </w:r>
      <w:r w:rsidR="00496B91">
        <w:rPr>
          <w:noProof/>
        </w:rPr>
        <w:drawing>
          <wp:inline distT="0" distB="0" distL="0" distR="0" wp14:anchorId="608E6625" wp14:editId="51F17F1E">
            <wp:extent cx="2269172" cy="554400"/>
            <wp:effectExtent l="0" t="0" r="0" b="0"/>
            <wp:docPr id="7" name="Graphic 7"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269172" cy="554400"/>
                    </a:xfrm>
                    <a:prstGeom prst="rect">
                      <a:avLst/>
                    </a:prstGeom>
                  </pic:spPr>
                </pic:pic>
              </a:graphicData>
            </a:graphic>
          </wp:inline>
        </w:drawing>
      </w:r>
    </w:p>
    <w:p w14:paraId="6894FC02" w14:textId="1E49759A" w:rsidR="00716BBA" w:rsidRPr="00EA37FC" w:rsidRDefault="00DE78B7" w:rsidP="00D81CE7">
      <w:pPr>
        <w:pStyle w:val="Heading1"/>
        <w:rPr>
          <w:color w:val="004C6C" w:themeColor="background2"/>
        </w:rPr>
      </w:pPr>
      <w:bookmarkStart w:id="0" w:name="_Toc126923146"/>
      <w:bookmarkStart w:id="1" w:name="_Toc126923157"/>
      <w:r w:rsidRPr="00D81CE7">
        <w:rPr>
          <w:rFonts w:eastAsiaTheme="minorHAnsi"/>
        </w:rPr>
        <w:t>Productivity Commission Inquiry into Early Childhood Education and Care</w:t>
      </w:r>
      <w:bookmarkEnd w:id="0"/>
      <w:bookmarkEnd w:id="1"/>
    </w:p>
    <w:p w14:paraId="05CD12AC" w14:textId="08247ABA" w:rsidR="00E51A84" w:rsidRDefault="00ED6019" w:rsidP="00E51A84">
      <w:pPr>
        <w:pStyle w:val="Subtitle"/>
      </w:pPr>
      <w:r w:rsidRPr="00527546">
        <w:t>Australian Government Department of Education Submission, May 2023</w:t>
      </w:r>
    </w:p>
    <w:p w14:paraId="52B6A2FE" w14:textId="2752096F" w:rsidR="00107D87" w:rsidRPr="009251BB" w:rsidRDefault="00C3696E" w:rsidP="009251BB">
      <w:pPr>
        <w:pStyle w:val="SubSubtitle"/>
        <w:sectPr w:rsidR="00107D87" w:rsidRPr="009251BB" w:rsidSect="00221D8F">
          <w:headerReference w:type="even" r:id="rId15"/>
          <w:headerReference w:type="default" r:id="rId16"/>
          <w:footerReference w:type="even" r:id="rId17"/>
          <w:footerReference w:type="default" r:id="rId18"/>
          <w:headerReference w:type="first" r:id="rId19"/>
          <w:footerReference w:type="first" r:id="rId20"/>
          <w:pgSz w:w="11906" w:h="16838"/>
          <w:pgMar w:top="1814" w:right="1440" w:bottom="1440" w:left="1440" w:header="709" w:footer="709" w:gutter="0"/>
          <w:cols w:space="708"/>
          <w:docGrid w:linePitch="360"/>
        </w:sectPr>
      </w:pPr>
      <w:r>
        <w:t xml:space="preserve"> </w:t>
      </w:r>
    </w:p>
    <w:p w14:paraId="12FB676C" w14:textId="745D79D7" w:rsidR="00716BBA" w:rsidRPr="00716BBA" w:rsidRDefault="00716BBA" w:rsidP="00ED0DDF">
      <w:pPr>
        <w:spacing w:before="8760"/>
        <w:rPr>
          <w:rStyle w:val="Strong"/>
          <w:b w:val="0"/>
          <w:bCs w:val="0"/>
        </w:rPr>
      </w:pPr>
    </w:p>
    <w:p w14:paraId="32A152B7" w14:textId="77777777" w:rsidR="00716BBA" w:rsidRPr="00716BBA" w:rsidRDefault="00107D87" w:rsidP="0017134D">
      <w:r>
        <w:rPr>
          <w:noProof/>
          <w:color w:val="2B579A"/>
          <w:shd w:val="clear" w:color="auto" w:fill="E6E6E6"/>
        </w:rPr>
        <w:drawing>
          <wp:inline distT="0" distB="0" distL="0" distR="0" wp14:anchorId="1E6818DF" wp14:editId="1A8EECF8">
            <wp:extent cx="843643" cy="295275"/>
            <wp:effectExtent l="0" t="0" r="0" b="0"/>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logo."/>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53901" cy="298865"/>
                    </a:xfrm>
                    <a:prstGeom prst="rect">
                      <a:avLst/>
                    </a:prstGeom>
                  </pic:spPr>
                </pic:pic>
              </a:graphicData>
            </a:graphic>
          </wp:inline>
        </w:drawing>
      </w:r>
    </w:p>
    <w:p w14:paraId="2C5066AE" w14:textId="77777777" w:rsidR="00716BBA" w:rsidRPr="00716BBA" w:rsidRDefault="0017134D" w:rsidP="0017134D">
      <w:r>
        <w:t xml:space="preserve">With the exception of the Commonwealth Coat of Arms, the Department’s logo, any material protected by a trade mark and where otherwise noted all material presented in this document is provided under a </w:t>
      </w:r>
      <w:hyperlink r:id="rId22" w:history="1">
        <w:r w:rsidRPr="007B2CA1">
          <w:rPr>
            <w:rStyle w:val="Hyperlink"/>
          </w:rPr>
          <w:t>Creative Commons Attribution 4.0 International</w:t>
        </w:r>
      </w:hyperlink>
      <w:r>
        <w:t xml:space="preserve"> (</w:t>
      </w:r>
      <w:r w:rsidR="00107D87" w:rsidRPr="007B2CA1">
        <w:t>https://creativecommons.org/licenses/by/4.0/</w:t>
      </w:r>
      <w:r>
        <w:t>)</w:t>
      </w:r>
      <w:r w:rsidR="00107D87">
        <w:t xml:space="preserve"> </w:t>
      </w:r>
      <w:r>
        <w:t>licence.</w:t>
      </w:r>
    </w:p>
    <w:p w14:paraId="469A27EC" w14:textId="77777777" w:rsidR="00716BBA" w:rsidRPr="00716BBA" w:rsidRDefault="0017134D" w:rsidP="0017134D">
      <w:r>
        <w:t xml:space="preserve">The details of the relevant licence conditions are available on the Creative Commons website (accessible using the links provided) as is the full legal code for the </w:t>
      </w:r>
      <w:hyperlink r:id="rId23" w:history="1">
        <w:r w:rsidRPr="007B2CA1">
          <w:rPr>
            <w:rStyle w:val="Hyperlink"/>
          </w:rPr>
          <w:t>CC BY 4.0 International</w:t>
        </w:r>
      </w:hyperlink>
      <w:r>
        <w:t xml:space="preserve"> (</w:t>
      </w:r>
      <w:r w:rsidR="00107D87" w:rsidRPr="007B2CA1">
        <w:t>https://creativecommons.org/licenses/by/4.0/legalcode</w:t>
      </w:r>
      <w:r>
        <w:t>)</w:t>
      </w:r>
      <w:r w:rsidR="00107D87">
        <w:t xml:space="preserve"> </w:t>
      </w:r>
    </w:p>
    <w:p w14:paraId="715D82EC" w14:textId="257D3612" w:rsidR="00716BBA" w:rsidRPr="00716BBA" w:rsidRDefault="0017134D" w:rsidP="0017134D">
      <w:r>
        <w:t xml:space="preserve">The document must </w:t>
      </w:r>
      <w:r w:rsidRPr="003C319B">
        <w:t xml:space="preserve">be attributed as </w:t>
      </w:r>
      <w:r w:rsidR="00D45EAC" w:rsidRPr="003C319B">
        <w:t>Productivity Commission Inquiry into Early Childhood Education and Care</w:t>
      </w:r>
      <w:r w:rsidR="00600696" w:rsidRPr="003C319B">
        <w:t xml:space="preserve"> – </w:t>
      </w:r>
      <w:r w:rsidR="00D45EAC" w:rsidRPr="003C319B">
        <w:t>Australian</w:t>
      </w:r>
      <w:r w:rsidR="00600696" w:rsidRPr="003C319B">
        <w:t xml:space="preserve"> </w:t>
      </w:r>
      <w:r w:rsidR="00D45EAC" w:rsidRPr="003C319B">
        <w:t>Government Department of Education Submission</w:t>
      </w:r>
      <w:r w:rsidRPr="003C319B">
        <w:t>.</w:t>
      </w:r>
    </w:p>
    <w:p w14:paraId="1F2E6EF6" w14:textId="44E71D58" w:rsidR="00107D87" w:rsidRDefault="00107D87" w:rsidP="0017134D">
      <w:pPr>
        <w:sectPr w:rsidR="00107D87">
          <w:pgSz w:w="11906" w:h="16838"/>
          <w:pgMar w:top="1440" w:right="1440" w:bottom="1440" w:left="1440" w:header="708" w:footer="708" w:gutter="0"/>
          <w:cols w:space="708"/>
          <w:docGrid w:linePitch="360"/>
        </w:sectPr>
      </w:pPr>
    </w:p>
    <w:p w14:paraId="3EE15B77" w14:textId="2C8E8AFA" w:rsidR="005D7792" w:rsidRPr="005D7792" w:rsidRDefault="005D7792" w:rsidP="004A7D90">
      <w:pPr>
        <w:pStyle w:val="TOC1"/>
      </w:pPr>
      <w:r w:rsidRPr="005D7792">
        <w:lastRenderedPageBreak/>
        <w:t>Contents</w:t>
      </w:r>
    </w:p>
    <w:p w14:paraId="7A2E1D9F" w14:textId="4F9B4BA9" w:rsidR="00654A69" w:rsidRDefault="008A351F">
      <w:pPr>
        <w:pStyle w:val="TOC1"/>
        <w:rPr>
          <w:rFonts w:eastAsiaTheme="minorEastAsia"/>
          <w:b w:val="0"/>
          <w:bCs w:val="0"/>
          <w:noProof/>
          <w:lang w:eastAsia="en-AU"/>
        </w:rPr>
      </w:pPr>
      <w:r>
        <w:fldChar w:fldCharType="begin"/>
      </w:r>
      <w:r>
        <w:rPr>
          <w:shd w:val="clear" w:color="auto" w:fill="E6E6E6"/>
        </w:rPr>
        <w:instrText xml:space="preserve"> TOC \h \z \t "Sub: Chapter heading,1,Sub: Section Heading,2,Sub: No Number Heading,2,Sub: No Number Chapter Heading,1" </w:instrText>
      </w:r>
      <w:r>
        <w:fldChar w:fldCharType="separate"/>
      </w:r>
      <w:hyperlink w:anchor="_Toc135404842" w:history="1">
        <w:r w:rsidR="00654A69" w:rsidRPr="002A2281">
          <w:rPr>
            <w:rStyle w:val="Hyperlink"/>
            <w:noProof/>
          </w:rPr>
          <w:t>1. Introduction</w:t>
        </w:r>
        <w:r w:rsidR="00654A69">
          <w:rPr>
            <w:noProof/>
            <w:webHidden/>
          </w:rPr>
          <w:tab/>
        </w:r>
        <w:r w:rsidR="00654A69">
          <w:rPr>
            <w:noProof/>
            <w:webHidden/>
          </w:rPr>
          <w:fldChar w:fldCharType="begin"/>
        </w:r>
        <w:r w:rsidR="00654A69">
          <w:rPr>
            <w:noProof/>
            <w:webHidden/>
          </w:rPr>
          <w:instrText xml:space="preserve"> PAGEREF _Toc135404842 \h </w:instrText>
        </w:r>
        <w:r w:rsidR="00654A69">
          <w:rPr>
            <w:noProof/>
            <w:webHidden/>
          </w:rPr>
        </w:r>
        <w:r w:rsidR="00654A69">
          <w:rPr>
            <w:noProof/>
            <w:webHidden/>
          </w:rPr>
          <w:fldChar w:fldCharType="separate"/>
        </w:r>
        <w:r w:rsidR="00D307AC">
          <w:rPr>
            <w:noProof/>
            <w:webHidden/>
          </w:rPr>
          <w:t>4</w:t>
        </w:r>
        <w:r w:rsidR="00654A69">
          <w:rPr>
            <w:noProof/>
            <w:webHidden/>
          </w:rPr>
          <w:fldChar w:fldCharType="end"/>
        </w:r>
      </w:hyperlink>
    </w:p>
    <w:p w14:paraId="56335C83" w14:textId="25AFB80C" w:rsidR="00654A69" w:rsidRDefault="008256DF">
      <w:pPr>
        <w:pStyle w:val="TOC2"/>
        <w:rPr>
          <w:rFonts w:eastAsiaTheme="minorEastAsia"/>
          <w:noProof/>
          <w:lang w:eastAsia="en-AU"/>
        </w:rPr>
      </w:pPr>
      <w:hyperlink w:anchor="_Toc135404843" w:history="1">
        <w:r w:rsidR="00654A69" w:rsidRPr="002A2281">
          <w:rPr>
            <w:rStyle w:val="Hyperlink"/>
            <w:noProof/>
          </w:rPr>
          <w:t>Glossary</w:t>
        </w:r>
        <w:r w:rsidR="00654A69">
          <w:rPr>
            <w:noProof/>
            <w:webHidden/>
          </w:rPr>
          <w:tab/>
        </w:r>
        <w:r w:rsidR="00654A69">
          <w:rPr>
            <w:noProof/>
            <w:webHidden/>
          </w:rPr>
          <w:fldChar w:fldCharType="begin"/>
        </w:r>
        <w:r w:rsidR="00654A69">
          <w:rPr>
            <w:noProof/>
            <w:webHidden/>
          </w:rPr>
          <w:instrText xml:space="preserve"> PAGEREF _Toc135404843 \h </w:instrText>
        </w:r>
        <w:r w:rsidR="00654A69">
          <w:rPr>
            <w:noProof/>
            <w:webHidden/>
          </w:rPr>
        </w:r>
        <w:r w:rsidR="00654A69">
          <w:rPr>
            <w:noProof/>
            <w:webHidden/>
          </w:rPr>
          <w:fldChar w:fldCharType="separate"/>
        </w:r>
        <w:r w:rsidR="00D307AC">
          <w:rPr>
            <w:noProof/>
            <w:webHidden/>
          </w:rPr>
          <w:t>6</w:t>
        </w:r>
        <w:r w:rsidR="00654A69">
          <w:rPr>
            <w:noProof/>
            <w:webHidden/>
          </w:rPr>
          <w:fldChar w:fldCharType="end"/>
        </w:r>
      </w:hyperlink>
    </w:p>
    <w:p w14:paraId="0B710242" w14:textId="30BB772C" w:rsidR="00654A69" w:rsidRDefault="008256DF">
      <w:pPr>
        <w:pStyle w:val="TOC1"/>
        <w:rPr>
          <w:rFonts w:eastAsiaTheme="minorEastAsia"/>
          <w:b w:val="0"/>
          <w:bCs w:val="0"/>
          <w:noProof/>
          <w:lang w:eastAsia="en-AU"/>
        </w:rPr>
      </w:pPr>
      <w:hyperlink w:anchor="_Toc135404844" w:history="1">
        <w:r w:rsidR="00654A69" w:rsidRPr="002A2281">
          <w:rPr>
            <w:rStyle w:val="Hyperlink"/>
            <w:noProof/>
          </w:rPr>
          <w:t>2. Australia’s Early Childhood Education and Care System</w:t>
        </w:r>
        <w:r w:rsidR="00654A69">
          <w:rPr>
            <w:noProof/>
            <w:webHidden/>
          </w:rPr>
          <w:tab/>
        </w:r>
        <w:r w:rsidR="00654A69">
          <w:rPr>
            <w:noProof/>
            <w:webHidden/>
          </w:rPr>
          <w:fldChar w:fldCharType="begin"/>
        </w:r>
        <w:r w:rsidR="00654A69">
          <w:rPr>
            <w:noProof/>
            <w:webHidden/>
          </w:rPr>
          <w:instrText xml:space="preserve"> PAGEREF _Toc135404844 \h </w:instrText>
        </w:r>
        <w:r w:rsidR="00654A69">
          <w:rPr>
            <w:noProof/>
            <w:webHidden/>
          </w:rPr>
        </w:r>
        <w:r w:rsidR="00654A69">
          <w:rPr>
            <w:noProof/>
            <w:webHidden/>
          </w:rPr>
          <w:fldChar w:fldCharType="separate"/>
        </w:r>
        <w:r w:rsidR="00D307AC">
          <w:rPr>
            <w:noProof/>
            <w:webHidden/>
          </w:rPr>
          <w:t>7</w:t>
        </w:r>
        <w:r w:rsidR="00654A69">
          <w:rPr>
            <w:noProof/>
            <w:webHidden/>
          </w:rPr>
          <w:fldChar w:fldCharType="end"/>
        </w:r>
      </w:hyperlink>
    </w:p>
    <w:p w14:paraId="09704A56" w14:textId="46E5AE22" w:rsidR="00654A69" w:rsidRDefault="008256DF">
      <w:pPr>
        <w:pStyle w:val="TOC2"/>
        <w:rPr>
          <w:rFonts w:eastAsiaTheme="minorEastAsia"/>
          <w:noProof/>
          <w:lang w:eastAsia="en-AU"/>
        </w:rPr>
      </w:pPr>
      <w:hyperlink w:anchor="_Toc135404845" w:history="1">
        <w:r w:rsidR="00654A69" w:rsidRPr="002A2281">
          <w:rPr>
            <w:rStyle w:val="Hyperlink"/>
            <w:noProof/>
          </w:rPr>
          <w:t>2.1 Policy Objectives of Early Childhood Education and Care</w:t>
        </w:r>
        <w:r w:rsidR="00654A69">
          <w:rPr>
            <w:noProof/>
            <w:webHidden/>
          </w:rPr>
          <w:tab/>
        </w:r>
        <w:r w:rsidR="00654A69">
          <w:rPr>
            <w:noProof/>
            <w:webHidden/>
          </w:rPr>
          <w:fldChar w:fldCharType="begin"/>
        </w:r>
        <w:r w:rsidR="00654A69">
          <w:rPr>
            <w:noProof/>
            <w:webHidden/>
          </w:rPr>
          <w:instrText xml:space="preserve"> PAGEREF _Toc135404845 \h </w:instrText>
        </w:r>
        <w:r w:rsidR="00654A69">
          <w:rPr>
            <w:noProof/>
            <w:webHidden/>
          </w:rPr>
        </w:r>
        <w:r w:rsidR="00654A69">
          <w:rPr>
            <w:noProof/>
            <w:webHidden/>
          </w:rPr>
          <w:fldChar w:fldCharType="separate"/>
        </w:r>
        <w:r w:rsidR="00D307AC">
          <w:rPr>
            <w:noProof/>
            <w:webHidden/>
          </w:rPr>
          <w:t>8</w:t>
        </w:r>
        <w:r w:rsidR="00654A69">
          <w:rPr>
            <w:noProof/>
            <w:webHidden/>
          </w:rPr>
          <w:fldChar w:fldCharType="end"/>
        </w:r>
      </w:hyperlink>
    </w:p>
    <w:p w14:paraId="33E08D19" w14:textId="2B2510E2" w:rsidR="00654A69" w:rsidRDefault="008256DF">
      <w:pPr>
        <w:pStyle w:val="TOC2"/>
        <w:rPr>
          <w:rFonts w:eastAsiaTheme="minorEastAsia"/>
          <w:noProof/>
          <w:lang w:eastAsia="en-AU"/>
        </w:rPr>
      </w:pPr>
      <w:hyperlink w:anchor="_Toc135404846" w:history="1">
        <w:r w:rsidR="00654A69" w:rsidRPr="002A2281">
          <w:rPr>
            <w:rStyle w:val="Hyperlink"/>
            <w:noProof/>
          </w:rPr>
          <w:t>2.2 Early</w:t>
        </w:r>
        <w:r w:rsidR="00654A69" w:rsidRPr="002A2281">
          <w:rPr>
            <w:rStyle w:val="Hyperlink"/>
            <w:bCs/>
            <w:noProof/>
          </w:rPr>
          <w:t xml:space="preserve"> Childhood Education and Care System Actors</w:t>
        </w:r>
        <w:r w:rsidR="00654A69">
          <w:rPr>
            <w:noProof/>
            <w:webHidden/>
          </w:rPr>
          <w:tab/>
        </w:r>
        <w:r w:rsidR="00654A69">
          <w:rPr>
            <w:noProof/>
            <w:webHidden/>
          </w:rPr>
          <w:fldChar w:fldCharType="begin"/>
        </w:r>
        <w:r w:rsidR="00654A69">
          <w:rPr>
            <w:noProof/>
            <w:webHidden/>
          </w:rPr>
          <w:instrText xml:space="preserve"> PAGEREF _Toc135404846 \h </w:instrText>
        </w:r>
        <w:r w:rsidR="00654A69">
          <w:rPr>
            <w:noProof/>
            <w:webHidden/>
          </w:rPr>
        </w:r>
        <w:r w:rsidR="00654A69">
          <w:rPr>
            <w:noProof/>
            <w:webHidden/>
          </w:rPr>
          <w:fldChar w:fldCharType="separate"/>
        </w:r>
        <w:r w:rsidR="00D307AC">
          <w:rPr>
            <w:noProof/>
            <w:webHidden/>
          </w:rPr>
          <w:t>9</w:t>
        </w:r>
        <w:r w:rsidR="00654A69">
          <w:rPr>
            <w:noProof/>
            <w:webHidden/>
          </w:rPr>
          <w:fldChar w:fldCharType="end"/>
        </w:r>
      </w:hyperlink>
    </w:p>
    <w:p w14:paraId="4891D957" w14:textId="16C9FF66" w:rsidR="00654A69" w:rsidRDefault="008256DF">
      <w:pPr>
        <w:pStyle w:val="TOC2"/>
        <w:rPr>
          <w:rFonts w:eastAsiaTheme="minorEastAsia"/>
          <w:noProof/>
          <w:lang w:eastAsia="en-AU"/>
        </w:rPr>
      </w:pPr>
      <w:hyperlink w:anchor="_Toc135404847" w:history="1">
        <w:r w:rsidR="00654A69" w:rsidRPr="002A2281">
          <w:rPr>
            <w:rStyle w:val="Hyperlink"/>
            <w:noProof/>
          </w:rPr>
          <w:t>2.3 Care Types</w:t>
        </w:r>
        <w:r w:rsidR="00654A69">
          <w:rPr>
            <w:noProof/>
            <w:webHidden/>
          </w:rPr>
          <w:tab/>
        </w:r>
        <w:r w:rsidR="00654A69">
          <w:rPr>
            <w:noProof/>
            <w:webHidden/>
          </w:rPr>
          <w:fldChar w:fldCharType="begin"/>
        </w:r>
        <w:r w:rsidR="00654A69">
          <w:rPr>
            <w:noProof/>
            <w:webHidden/>
          </w:rPr>
          <w:instrText xml:space="preserve"> PAGEREF _Toc135404847 \h </w:instrText>
        </w:r>
        <w:r w:rsidR="00654A69">
          <w:rPr>
            <w:noProof/>
            <w:webHidden/>
          </w:rPr>
        </w:r>
        <w:r w:rsidR="00654A69">
          <w:rPr>
            <w:noProof/>
            <w:webHidden/>
          </w:rPr>
          <w:fldChar w:fldCharType="separate"/>
        </w:r>
        <w:r w:rsidR="00D307AC">
          <w:rPr>
            <w:noProof/>
            <w:webHidden/>
          </w:rPr>
          <w:t>10</w:t>
        </w:r>
        <w:r w:rsidR="00654A69">
          <w:rPr>
            <w:noProof/>
            <w:webHidden/>
          </w:rPr>
          <w:fldChar w:fldCharType="end"/>
        </w:r>
      </w:hyperlink>
    </w:p>
    <w:p w14:paraId="1E4BAF9B" w14:textId="6433A332" w:rsidR="00654A69" w:rsidRDefault="008256DF">
      <w:pPr>
        <w:pStyle w:val="TOC2"/>
        <w:rPr>
          <w:rFonts w:eastAsiaTheme="minorEastAsia"/>
          <w:noProof/>
          <w:lang w:eastAsia="en-AU"/>
        </w:rPr>
      </w:pPr>
      <w:hyperlink w:anchor="_Toc135404848" w:history="1">
        <w:r w:rsidR="00654A69" w:rsidRPr="002A2281">
          <w:rPr>
            <w:rStyle w:val="Hyperlink"/>
            <w:noProof/>
          </w:rPr>
          <w:t>2.4 Child Care Subsidy Market</w:t>
        </w:r>
        <w:r w:rsidR="00654A69">
          <w:rPr>
            <w:noProof/>
            <w:webHidden/>
          </w:rPr>
          <w:tab/>
        </w:r>
        <w:r w:rsidR="00654A69">
          <w:rPr>
            <w:noProof/>
            <w:webHidden/>
          </w:rPr>
          <w:fldChar w:fldCharType="begin"/>
        </w:r>
        <w:r w:rsidR="00654A69">
          <w:rPr>
            <w:noProof/>
            <w:webHidden/>
          </w:rPr>
          <w:instrText xml:space="preserve"> PAGEREF _Toc135404848 \h </w:instrText>
        </w:r>
        <w:r w:rsidR="00654A69">
          <w:rPr>
            <w:noProof/>
            <w:webHidden/>
          </w:rPr>
        </w:r>
        <w:r w:rsidR="00654A69">
          <w:rPr>
            <w:noProof/>
            <w:webHidden/>
          </w:rPr>
          <w:fldChar w:fldCharType="separate"/>
        </w:r>
        <w:r w:rsidR="00D307AC">
          <w:rPr>
            <w:noProof/>
            <w:webHidden/>
          </w:rPr>
          <w:t>12</w:t>
        </w:r>
        <w:r w:rsidR="00654A69">
          <w:rPr>
            <w:noProof/>
            <w:webHidden/>
          </w:rPr>
          <w:fldChar w:fldCharType="end"/>
        </w:r>
      </w:hyperlink>
    </w:p>
    <w:p w14:paraId="589C8E58" w14:textId="612356DC" w:rsidR="00654A69" w:rsidRDefault="008256DF">
      <w:pPr>
        <w:pStyle w:val="TOC2"/>
        <w:rPr>
          <w:rFonts w:eastAsiaTheme="minorEastAsia"/>
          <w:noProof/>
          <w:lang w:eastAsia="en-AU"/>
        </w:rPr>
      </w:pPr>
      <w:hyperlink w:anchor="_Toc135404849" w:history="1">
        <w:r w:rsidR="00654A69" w:rsidRPr="002A2281">
          <w:rPr>
            <w:rStyle w:val="Hyperlink"/>
            <w:noProof/>
          </w:rPr>
          <w:t>2.5 Workforce</w:t>
        </w:r>
        <w:r w:rsidR="00654A69">
          <w:rPr>
            <w:noProof/>
            <w:webHidden/>
          </w:rPr>
          <w:tab/>
        </w:r>
        <w:r w:rsidR="00654A69">
          <w:rPr>
            <w:noProof/>
            <w:webHidden/>
          </w:rPr>
          <w:fldChar w:fldCharType="begin"/>
        </w:r>
        <w:r w:rsidR="00654A69">
          <w:rPr>
            <w:noProof/>
            <w:webHidden/>
          </w:rPr>
          <w:instrText xml:space="preserve"> PAGEREF _Toc135404849 \h </w:instrText>
        </w:r>
        <w:r w:rsidR="00654A69">
          <w:rPr>
            <w:noProof/>
            <w:webHidden/>
          </w:rPr>
        </w:r>
        <w:r w:rsidR="00654A69">
          <w:rPr>
            <w:noProof/>
            <w:webHidden/>
          </w:rPr>
          <w:fldChar w:fldCharType="separate"/>
        </w:r>
        <w:r w:rsidR="00D307AC">
          <w:rPr>
            <w:noProof/>
            <w:webHidden/>
          </w:rPr>
          <w:t>16</w:t>
        </w:r>
        <w:r w:rsidR="00654A69">
          <w:rPr>
            <w:noProof/>
            <w:webHidden/>
          </w:rPr>
          <w:fldChar w:fldCharType="end"/>
        </w:r>
      </w:hyperlink>
    </w:p>
    <w:p w14:paraId="090DB949" w14:textId="4E64AE40" w:rsidR="00654A69" w:rsidRDefault="008256DF">
      <w:pPr>
        <w:pStyle w:val="TOC1"/>
        <w:rPr>
          <w:rFonts w:eastAsiaTheme="minorEastAsia"/>
          <w:b w:val="0"/>
          <w:bCs w:val="0"/>
          <w:noProof/>
          <w:lang w:eastAsia="en-AU"/>
        </w:rPr>
      </w:pPr>
      <w:hyperlink w:anchor="_Toc135404850" w:history="1">
        <w:r w:rsidR="00654A69" w:rsidRPr="002A2281">
          <w:rPr>
            <w:rStyle w:val="Hyperlink"/>
            <w:noProof/>
          </w:rPr>
          <w:t>3. Roles and Responsibilities of the Australian Government in the ECEC system</w:t>
        </w:r>
        <w:r w:rsidR="00654A69">
          <w:rPr>
            <w:noProof/>
            <w:webHidden/>
          </w:rPr>
          <w:tab/>
        </w:r>
        <w:r w:rsidR="00654A69">
          <w:rPr>
            <w:noProof/>
            <w:webHidden/>
          </w:rPr>
          <w:fldChar w:fldCharType="begin"/>
        </w:r>
        <w:r w:rsidR="00654A69">
          <w:rPr>
            <w:noProof/>
            <w:webHidden/>
          </w:rPr>
          <w:instrText xml:space="preserve"> PAGEREF _Toc135404850 \h </w:instrText>
        </w:r>
        <w:r w:rsidR="00654A69">
          <w:rPr>
            <w:noProof/>
            <w:webHidden/>
          </w:rPr>
        </w:r>
        <w:r w:rsidR="00654A69">
          <w:rPr>
            <w:noProof/>
            <w:webHidden/>
          </w:rPr>
          <w:fldChar w:fldCharType="separate"/>
        </w:r>
        <w:r w:rsidR="00D307AC">
          <w:rPr>
            <w:noProof/>
            <w:webHidden/>
          </w:rPr>
          <w:t>17</w:t>
        </w:r>
        <w:r w:rsidR="00654A69">
          <w:rPr>
            <w:noProof/>
            <w:webHidden/>
          </w:rPr>
          <w:fldChar w:fldCharType="end"/>
        </w:r>
      </w:hyperlink>
    </w:p>
    <w:p w14:paraId="6E89EDE6" w14:textId="7C4BDA55" w:rsidR="00654A69" w:rsidRDefault="008256DF">
      <w:pPr>
        <w:pStyle w:val="TOC2"/>
        <w:rPr>
          <w:rFonts w:eastAsiaTheme="minorEastAsia"/>
          <w:noProof/>
          <w:lang w:eastAsia="en-AU"/>
        </w:rPr>
      </w:pPr>
      <w:hyperlink w:anchor="_Toc135404851" w:history="1">
        <w:r w:rsidR="00654A69" w:rsidRPr="002A2281">
          <w:rPr>
            <w:rStyle w:val="Hyperlink"/>
            <w:noProof/>
          </w:rPr>
          <w:t>3.1 Child Care Subsidy</w:t>
        </w:r>
        <w:r w:rsidR="00654A69">
          <w:rPr>
            <w:noProof/>
            <w:webHidden/>
          </w:rPr>
          <w:tab/>
        </w:r>
        <w:r w:rsidR="00654A69">
          <w:rPr>
            <w:noProof/>
            <w:webHidden/>
          </w:rPr>
          <w:fldChar w:fldCharType="begin"/>
        </w:r>
        <w:r w:rsidR="00654A69">
          <w:rPr>
            <w:noProof/>
            <w:webHidden/>
          </w:rPr>
          <w:instrText xml:space="preserve"> PAGEREF _Toc135404851 \h </w:instrText>
        </w:r>
        <w:r w:rsidR="00654A69">
          <w:rPr>
            <w:noProof/>
            <w:webHidden/>
          </w:rPr>
        </w:r>
        <w:r w:rsidR="00654A69">
          <w:rPr>
            <w:noProof/>
            <w:webHidden/>
          </w:rPr>
          <w:fldChar w:fldCharType="separate"/>
        </w:r>
        <w:r w:rsidR="00D307AC">
          <w:rPr>
            <w:noProof/>
            <w:webHidden/>
          </w:rPr>
          <w:t>17</w:t>
        </w:r>
        <w:r w:rsidR="00654A69">
          <w:rPr>
            <w:noProof/>
            <w:webHidden/>
          </w:rPr>
          <w:fldChar w:fldCharType="end"/>
        </w:r>
      </w:hyperlink>
    </w:p>
    <w:p w14:paraId="3C787C3A" w14:textId="01D29792" w:rsidR="00654A69" w:rsidRDefault="008256DF">
      <w:pPr>
        <w:pStyle w:val="TOC2"/>
        <w:rPr>
          <w:rFonts w:eastAsiaTheme="minorEastAsia"/>
          <w:noProof/>
          <w:lang w:eastAsia="en-AU"/>
        </w:rPr>
      </w:pPr>
      <w:hyperlink w:anchor="_Toc135404852" w:history="1">
        <w:r w:rsidR="00654A69" w:rsidRPr="002A2281">
          <w:rPr>
            <w:rStyle w:val="Hyperlink"/>
            <w:noProof/>
          </w:rPr>
          <w:t>3.2 Child Care Safety Net</w:t>
        </w:r>
        <w:r w:rsidR="00654A69">
          <w:rPr>
            <w:noProof/>
            <w:webHidden/>
          </w:rPr>
          <w:tab/>
        </w:r>
        <w:r w:rsidR="00654A69">
          <w:rPr>
            <w:noProof/>
            <w:webHidden/>
          </w:rPr>
          <w:fldChar w:fldCharType="begin"/>
        </w:r>
        <w:r w:rsidR="00654A69">
          <w:rPr>
            <w:noProof/>
            <w:webHidden/>
          </w:rPr>
          <w:instrText xml:space="preserve"> PAGEREF _Toc135404852 \h </w:instrText>
        </w:r>
        <w:r w:rsidR="00654A69">
          <w:rPr>
            <w:noProof/>
            <w:webHidden/>
          </w:rPr>
        </w:r>
        <w:r w:rsidR="00654A69">
          <w:rPr>
            <w:noProof/>
            <w:webHidden/>
          </w:rPr>
          <w:fldChar w:fldCharType="separate"/>
        </w:r>
        <w:r w:rsidR="00D307AC">
          <w:rPr>
            <w:noProof/>
            <w:webHidden/>
          </w:rPr>
          <w:t>21</w:t>
        </w:r>
        <w:r w:rsidR="00654A69">
          <w:rPr>
            <w:noProof/>
            <w:webHidden/>
          </w:rPr>
          <w:fldChar w:fldCharType="end"/>
        </w:r>
      </w:hyperlink>
    </w:p>
    <w:p w14:paraId="754297A8" w14:textId="2A36C439" w:rsidR="00654A69" w:rsidRDefault="008256DF">
      <w:pPr>
        <w:pStyle w:val="TOC2"/>
        <w:rPr>
          <w:rFonts w:eastAsiaTheme="minorEastAsia"/>
          <w:noProof/>
          <w:lang w:eastAsia="en-AU"/>
        </w:rPr>
      </w:pPr>
      <w:hyperlink w:anchor="_Toc135404853" w:history="1">
        <w:r w:rsidR="00654A69" w:rsidRPr="002A2281">
          <w:rPr>
            <w:rStyle w:val="Hyperlink"/>
            <w:noProof/>
          </w:rPr>
          <w:t>3.3 Child Care Subsidy Regulation and Integrity</w:t>
        </w:r>
        <w:r w:rsidR="00654A69">
          <w:rPr>
            <w:noProof/>
            <w:webHidden/>
          </w:rPr>
          <w:tab/>
        </w:r>
        <w:r w:rsidR="00654A69">
          <w:rPr>
            <w:noProof/>
            <w:webHidden/>
          </w:rPr>
          <w:fldChar w:fldCharType="begin"/>
        </w:r>
        <w:r w:rsidR="00654A69">
          <w:rPr>
            <w:noProof/>
            <w:webHidden/>
          </w:rPr>
          <w:instrText xml:space="preserve"> PAGEREF _Toc135404853 \h </w:instrText>
        </w:r>
        <w:r w:rsidR="00654A69">
          <w:rPr>
            <w:noProof/>
            <w:webHidden/>
          </w:rPr>
        </w:r>
        <w:r w:rsidR="00654A69">
          <w:rPr>
            <w:noProof/>
            <w:webHidden/>
          </w:rPr>
          <w:fldChar w:fldCharType="separate"/>
        </w:r>
        <w:r w:rsidR="00D307AC">
          <w:rPr>
            <w:noProof/>
            <w:webHidden/>
          </w:rPr>
          <w:t>24</w:t>
        </w:r>
        <w:r w:rsidR="00654A69">
          <w:rPr>
            <w:noProof/>
            <w:webHidden/>
          </w:rPr>
          <w:fldChar w:fldCharType="end"/>
        </w:r>
      </w:hyperlink>
    </w:p>
    <w:p w14:paraId="16C0F907" w14:textId="6C2E02AE" w:rsidR="00654A69" w:rsidRDefault="008256DF">
      <w:pPr>
        <w:pStyle w:val="TOC2"/>
        <w:rPr>
          <w:rFonts w:eastAsiaTheme="minorEastAsia"/>
          <w:noProof/>
          <w:lang w:eastAsia="en-AU"/>
        </w:rPr>
      </w:pPr>
      <w:hyperlink w:anchor="_Toc135404854" w:history="1">
        <w:r w:rsidR="00654A69" w:rsidRPr="002A2281">
          <w:rPr>
            <w:rStyle w:val="Hyperlink"/>
            <w:noProof/>
          </w:rPr>
          <w:t>3.4 Preschool (Year Before Full-time School)</w:t>
        </w:r>
        <w:r w:rsidR="00654A69">
          <w:rPr>
            <w:noProof/>
            <w:webHidden/>
          </w:rPr>
          <w:tab/>
        </w:r>
        <w:r w:rsidR="00654A69">
          <w:rPr>
            <w:noProof/>
            <w:webHidden/>
          </w:rPr>
          <w:fldChar w:fldCharType="begin"/>
        </w:r>
        <w:r w:rsidR="00654A69">
          <w:rPr>
            <w:noProof/>
            <w:webHidden/>
          </w:rPr>
          <w:instrText xml:space="preserve"> PAGEREF _Toc135404854 \h </w:instrText>
        </w:r>
        <w:r w:rsidR="00654A69">
          <w:rPr>
            <w:noProof/>
            <w:webHidden/>
          </w:rPr>
        </w:r>
        <w:r w:rsidR="00654A69">
          <w:rPr>
            <w:noProof/>
            <w:webHidden/>
          </w:rPr>
          <w:fldChar w:fldCharType="separate"/>
        </w:r>
        <w:r w:rsidR="00D307AC">
          <w:rPr>
            <w:noProof/>
            <w:webHidden/>
          </w:rPr>
          <w:t>25</w:t>
        </w:r>
        <w:r w:rsidR="00654A69">
          <w:rPr>
            <w:noProof/>
            <w:webHidden/>
          </w:rPr>
          <w:fldChar w:fldCharType="end"/>
        </w:r>
      </w:hyperlink>
    </w:p>
    <w:p w14:paraId="041E31BA" w14:textId="264390A0" w:rsidR="00654A69" w:rsidRDefault="008256DF">
      <w:pPr>
        <w:pStyle w:val="TOC2"/>
        <w:rPr>
          <w:rFonts w:eastAsiaTheme="minorEastAsia"/>
          <w:noProof/>
          <w:lang w:eastAsia="en-AU"/>
        </w:rPr>
      </w:pPr>
      <w:hyperlink w:anchor="_Toc135404855" w:history="1">
        <w:r w:rsidR="00654A69" w:rsidRPr="002A2281">
          <w:rPr>
            <w:rStyle w:val="Hyperlink"/>
            <w:noProof/>
          </w:rPr>
          <w:t>3.5 National Quality Framework</w:t>
        </w:r>
        <w:r w:rsidR="00654A69">
          <w:rPr>
            <w:noProof/>
            <w:webHidden/>
          </w:rPr>
          <w:tab/>
        </w:r>
        <w:r w:rsidR="00654A69">
          <w:rPr>
            <w:noProof/>
            <w:webHidden/>
          </w:rPr>
          <w:fldChar w:fldCharType="begin"/>
        </w:r>
        <w:r w:rsidR="00654A69">
          <w:rPr>
            <w:noProof/>
            <w:webHidden/>
          </w:rPr>
          <w:instrText xml:space="preserve"> PAGEREF _Toc135404855 \h </w:instrText>
        </w:r>
        <w:r w:rsidR="00654A69">
          <w:rPr>
            <w:noProof/>
            <w:webHidden/>
          </w:rPr>
        </w:r>
        <w:r w:rsidR="00654A69">
          <w:rPr>
            <w:noProof/>
            <w:webHidden/>
          </w:rPr>
          <w:fldChar w:fldCharType="separate"/>
        </w:r>
        <w:r w:rsidR="00D307AC">
          <w:rPr>
            <w:noProof/>
            <w:webHidden/>
          </w:rPr>
          <w:t>27</w:t>
        </w:r>
        <w:r w:rsidR="00654A69">
          <w:rPr>
            <w:noProof/>
            <w:webHidden/>
          </w:rPr>
          <w:fldChar w:fldCharType="end"/>
        </w:r>
      </w:hyperlink>
    </w:p>
    <w:p w14:paraId="1566582E" w14:textId="49FBBB04" w:rsidR="00654A69" w:rsidRDefault="008256DF">
      <w:pPr>
        <w:pStyle w:val="TOC1"/>
        <w:rPr>
          <w:rFonts w:eastAsiaTheme="minorEastAsia"/>
          <w:b w:val="0"/>
          <w:bCs w:val="0"/>
          <w:noProof/>
          <w:lang w:eastAsia="en-AU"/>
        </w:rPr>
      </w:pPr>
      <w:hyperlink w:anchor="_Toc135404856" w:history="1">
        <w:r w:rsidR="00654A69" w:rsidRPr="002A2281">
          <w:rPr>
            <w:rStyle w:val="Hyperlink"/>
            <w:noProof/>
          </w:rPr>
          <w:t>4. Australian Government and Joint Initiatives</w:t>
        </w:r>
        <w:r w:rsidR="00654A69">
          <w:rPr>
            <w:noProof/>
            <w:webHidden/>
          </w:rPr>
          <w:tab/>
        </w:r>
        <w:r w:rsidR="00654A69">
          <w:rPr>
            <w:noProof/>
            <w:webHidden/>
          </w:rPr>
          <w:fldChar w:fldCharType="begin"/>
        </w:r>
        <w:r w:rsidR="00654A69">
          <w:rPr>
            <w:noProof/>
            <w:webHidden/>
          </w:rPr>
          <w:instrText xml:space="preserve"> PAGEREF _Toc135404856 \h </w:instrText>
        </w:r>
        <w:r w:rsidR="00654A69">
          <w:rPr>
            <w:noProof/>
            <w:webHidden/>
          </w:rPr>
        </w:r>
        <w:r w:rsidR="00654A69">
          <w:rPr>
            <w:noProof/>
            <w:webHidden/>
          </w:rPr>
          <w:fldChar w:fldCharType="separate"/>
        </w:r>
        <w:r w:rsidR="00D307AC">
          <w:rPr>
            <w:noProof/>
            <w:webHidden/>
          </w:rPr>
          <w:t>29</w:t>
        </w:r>
        <w:r w:rsidR="00654A69">
          <w:rPr>
            <w:noProof/>
            <w:webHidden/>
          </w:rPr>
          <w:fldChar w:fldCharType="end"/>
        </w:r>
      </w:hyperlink>
    </w:p>
    <w:p w14:paraId="1251AB9D" w14:textId="637C8083" w:rsidR="00654A69" w:rsidRDefault="008256DF">
      <w:pPr>
        <w:pStyle w:val="TOC2"/>
        <w:rPr>
          <w:rFonts w:eastAsiaTheme="minorEastAsia"/>
          <w:noProof/>
          <w:lang w:eastAsia="en-AU"/>
        </w:rPr>
      </w:pPr>
      <w:hyperlink w:anchor="_Toc135404857" w:history="1">
        <w:r w:rsidR="00654A69" w:rsidRPr="002A2281">
          <w:rPr>
            <w:rStyle w:val="Hyperlink"/>
            <w:noProof/>
          </w:rPr>
          <w:t>4.1 Cheaper Child Care</w:t>
        </w:r>
        <w:r w:rsidR="00654A69">
          <w:rPr>
            <w:noProof/>
            <w:webHidden/>
          </w:rPr>
          <w:tab/>
        </w:r>
        <w:r w:rsidR="00654A69">
          <w:rPr>
            <w:noProof/>
            <w:webHidden/>
          </w:rPr>
          <w:fldChar w:fldCharType="begin"/>
        </w:r>
        <w:r w:rsidR="00654A69">
          <w:rPr>
            <w:noProof/>
            <w:webHidden/>
          </w:rPr>
          <w:instrText xml:space="preserve"> PAGEREF _Toc135404857 \h </w:instrText>
        </w:r>
        <w:r w:rsidR="00654A69">
          <w:rPr>
            <w:noProof/>
            <w:webHidden/>
          </w:rPr>
        </w:r>
        <w:r w:rsidR="00654A69">
          <w:rPr>
            <w:noProof/>
            <w:webHidden/>
          </w:rPr>
          <w:fldChar w:fldCharType="separate"/>
        </w:r>
        <w:r w:rsidR="00D307AC">
          <w:rPr>
            <w:noProof/>
            <w:webHidden/>
          </w:rPr>
          <w:t>30</w:t>
        </w:r>
        <w:r w:rsidR="00654A69">
          <w:rPr>
            <w:noProof/>
            <w:webHidden/>
          </w:rPr>
          <w:fldChar w:fldCharType="end"/>
        </w:r>
      </w:hyperlink>
    </w:p>
    <w:p w14:paraId="623163C6" w14:textId="4F751C3F" w:rsidR="00654A69" w:rsidRDefault="008256DF">
      <w:pPr>
        <w:pStyle w:val="TOC2"/>
        <w:rPr>
          <w:rFonts w:eastAsiaTheme="minorEastAsia"/>
          <w:noProof/>
          <w:lang w:eastAsia="en-AU"/>
        </w:rPr>
      </w:pPr>
      <w:hyperlink w:anchor="_Toc135404858" w:history="1">
        <w:r w:rsidR="00654A69" w:rsidRPr="002A2281">
          <w:rPr>
            <w:rStyle w:val="Hyperlink"/>
            <w:noProof/>
          </w:rPr>
          <w:t>4.2 2023–24 Budget Measures</w:t>
        </w:r>
        <w:r w:rsidR="00654A69">
          <w:rPr>
            <w:noProof/>
            <w:webHidden/>
          </w:rPr>
          <w:tab/>
        </w:r>
        <w:r w:rsidR="00654A69">
          <w:rPr>
            <w:noProof/>
            <w:webHidden/>
          </w:rPr>
          <w:fldChar w:fldCharType="begin"/>
        </w:r>
        <w:r w:rsidR="00654A69">
          <w:rPr>
            <w:noProof/>
            <w:webHidden/>
          </w:rPr>
          <w:instrText xml:space="preserve"> PAGEREF _Toc135404858 \h </w:instrText>
        </w:r>
        <w:r w:rsidR="00654A69">
          <w:rPr>
            <w:noProof/>
            <w:webHidden/>
          </w:rPr>
        </w:r>
        <w:r w:rsidR="00654A69">
          <w:rPr>
            <w:noProof/>
            <w:webHidden/>
          </w:rPr>
          <w:fldChar w:fldCharType="separate"/>
        </w:r>
        <w:r w:rsidR="00D307AC">
          <w:rPr>
            <w:noProof/>
            <w:webHidden/>
          </w:rPr>
          <w:t>31</w:t>
        </w:r>
        <w:r w:rsidR="00654A69">
          <w:rPr>
            <w:noProof/>
            <w:webHidden/>
          </w:rPr>
          <w:fldChar w:fldCharType="end"/>
        </w:r>
      </w:hyperlink>
    </w:p>
    <w:p w14:paraId="1BCD968C" w14:textId="7BF1055B" w:rsidR="00654A69" w:rsidRDefault="008256DF">
      <w:pPr>
        <w:pStyle w:val="TOC2"/>
        <w:rPr>
          <w:rFonts w:eastAsiaTheme="minorEastAsia"/>
          <w:noProof/>
          <w:lang w:eastAsia="en-AU"/>
        </w:rPr>
      </w:pPr>
      <w:hyperlink w:anchor="_Toc135404859" w:history="1">
        <w:r w:rsidR="00654A69" w:rsidRPr="002A2281">
          <w:rPr>
            <w:rStyle w:val="Hyperlink"/>
            <w:noProof/>
          </w:rPr>
          <w:t>4.3 Australian Competition and Consumer Commission Price Inquiry</w:t>
        </w:r>
        <w:r w:rsidR="00654A69">
          <w:rPr>
            <w:noProof/>
            <w:webHidden/>
          </w:rPr>
          <w:tab/>
        </w:r>
        <w:r w:rsidR="00654A69">
          <w:rPr>
            <w:noProof/>
            <w:webHidden/>
          </w:rPr>
          <w:fldChar w:fldCharType="begin"/>
        </w:r>
        <w:r w:rsidR="00654A69">
          <w:rPr>
            <w:noProof/>
            <w:webHidden/>
          </w:rPr>
          <w:instrText xml:space="preserve"> PAGEREF _Toc135404859 \h </w:instrText>
        </w:r>
        <w:r w:rsidR="00654A69">
          <w:rPr>
            <w:noProof/>
            <w:webHidden/>
          </w:rPr>
        </w:r>
        <w:r w:rsidR="00654A69">
          <w:rPr>
            <w:noProof/>
            <w:webHidden/>
          </w:rPr>
          <w:fldChar w:fldCharType="separate"/>
        </w:r>
        <w:r w:rsidR="00D307AC">
          <w:rPr>
            <w:noProof/>
            <w:webHidden/>
          </w:rPr>
          <w:t>32</w:t>
        </w:r>
        <w:r w:rsidR="00654A69">
          <w:rPr>
            <w:noProof/>
            <w:webHidden/>
          </w:rPr>
          <w:fldChar w:fldCharType="end"/>
        </w:r>
      </w:hyperlink>
    </w:p>
    <w:p w14:paraId="391536C0" w14:textId="60324AB5" w:rsidR="00654A69" w:rsidRDefault="008256DF">
      <w:pPr>
        <w:pStyle w:val="TOC2"/>
        <w:rPr>
          <w:rFonts w:eastAsiaTheme="minorEastAsia"/>
          <w:noProof/>
          <w:lang w:eastAsia="en-AU"/>
        </w:rPr>
      </w:pPr>
      <w:hyperlink w:anchor="_Toc135404860" w:history="1">
        <w:r w:rsidR="00654A69" w:rsidRPr="002A2281">
          <w:rPr>
            <w:rStyle w:val="Hyperlink"/>
            <w:noProof/>
          </w:rPr>
          <w:t>4.4 Closing the Gap–Commonwealth Focus Areas</w:t>
        </w:r>
        <w:r w:rsidR="00654A69">
          <w:rPr>
            <w:noProof/>
            <w:webHidden/>
          </w:rPr>
          <w:tab/>
        </w:r>
        <w:r w:rsidR="00654A69">
          <w:rPr>
            <w:noProof/>
            <w:webHidden/>
          </w:rPr>
          <w:fldChar w:fldCharType="begin"/>
        </w:r>
        <w:r w:rsidR="00654A69">
          <w:rPr>
            <w:noProof/>
            <w:webHidden/>
          </w:rPr>
          <w:instrText xml:space="preserve"> PAGEREF _Toc135404860 \h </w:instrText>
        </w:r>
        <w:r w:rsidR="00654A69">
          <w:rPr>
            <w:noProof/>
            <w:webHidden/>
          </w:rPr>
        </w:r>
        <w:r w:rsidR="00654A69">
          <w:rPr>
            <w:noProof/>
            <w:webHidden/>
          </w:rPr>
          <w:fldChar w:fldCharType="separate"/>
        </w:r>
        <w:r w:rsidR="00D307AC">
          <w:rPr>
            <w:noProof/>
            <w:webHidden/>
          </w:rPr>
          <w:t>33</w:t>
        </w:r>
        <w:r w:rsidR="00654A69">
          <w:rPr>
            <w:noProof/>
            <w:webHidden/>
          </w:rPr>
          <w:fldChar w:fldCharType="end"/>
        </w:r>
      </w:hyperlink>
    </w:p>
    <w:p w14:paraId="7DE23EEF" w14:textId="49B999FB" w:rsidR="00654A69" w:rsidRDefault="008256DF">
      <w:pPr>
        <w:pStyle w:val="TOC2"/>
        <w:rPr>
          <w:rFonts w:eastAsiaTheme="minorEastAsia"/>
          <w:noProof/>
          <w:lang w:eastAsia="en-AU"/>
        </w:rPr>
      </w:pPr>
      <w:hyperlink w:anchor="_Toc135404861" w:history="1">
        <w:r w:rsidR="00654A69" w:rsidRPr="002A2281">
          <w:rPr>
            <w:rStyle w:val="Hyperlink"/>
            <w:noProof/>
          </w:rPr>
          <w:t>4.5 National Vision</w:t>
        </w:r>
        <w:r w:rsidR="00654A69">
          <w:rPr>
            <w:noProof/>
            <w:webHidden/>
          </w:rPr>
          <w:tab/>
        </w:r>
        <w:r w:rsidR="00654A69">
          <w:rPr>
            <w:noProof/>
            <w:webHidden/>
          </w:rPr>
          <w:fldChar w:fldCharType="begin"/>
        </w:r>
        <w:r w:rsidR="00654A69">
          <w:rPr>
            <w:noProof/>
            <w:webHidden/>
          </w:rPr>
          <w:instrText xml:space="preserve"> PAGEREF _Toc135404861 \h </w:instrText>
        </w:r>
        <w:r w:rsidR="00654A69">
          <w:rPr>
            <w:noProof/>
            <w:webHidden/>
          </w:rPr>
        </w:r>
        <w:r w:rsidR="00654A69">
          <w:rPr>
            <w:noProof/>
            <w:webHidden/>
          </w:rPr>
          <w:fldChar w:fldCharType="separate"/>
        </w:r>
        <w:r w:rsidR="00D307AC">
          <w:rPr>
            <w:noProof/>
            <w:webHidden/>
          </w:rPr>
          <w:t>35</w:t>
        </w:r>
        <w:r w:rsidR="00654A69">
          <w:rPr>
            <w:noProof/>
            <w:webHidden/>
          </w:rPr>
          <w:fldChar w:fldCharType="end"/>
        </w:r>
      </w:hyperlink>
    </w:p>
    <w:p w14:paraId="6B955932" w14:textId="08E37D8E" w:rsidR="00654A69" w:rsidRDefault="008256DF">
      <w:pPr>
        <w:pStyle w:val="TOC2"/>
        <w:rPr>
          <w:rFonts w:eastAsiaTheme="minorEastAsia"/>
          <w:noProof/>
          <w:lang w:eastAsia="en-AU"/>
        </w:rPr>
      </w:pPr>
      <w:hyperlink w:anchor="_Toc135404862" w:history="1">
        <w:r w:rsidR="00654A69" w:rsidRPr="002A2281">
          <w:rPr>
            <w:rStyle w:val="Hyperlink"/>
            <w:noProof/>
          </w:rPr>
          <w:t>4.6 Early Years Strategy</w:t>
        </w:r>
        <w:r w:rsidR="00654A69">
          <w:rPr>
            <w:noProof/>
            <w:webHidden/>
          </w:rPr>
          <w:tab/>
        </w:r>
        <w:r w:rsidR="00654A69">
          <w:rPr>
            <w:noProof/>
            <w:webHidden/>
          </w:rPr>
          <w:fldChar w:fldCharType="begin"/>
        </w:r>
        <w:r w:rsidR="00654A69">
          <w:rPr>
            <w:noProof/>
            <w:webHidden/>
          </w:rPr>
          <w:instrText xml:space="preserve"> PAGEREF _Toc135404862 \h </w:instrText>
        </w:r>
        <w:r w:rsidR="00654A69">
          <w:rPr>
            <w:noProof/>
            <w:webHidden/>
          </w:rPr>
        </w:r>
        <w:r w:rsidR="00654A69">
          <w:rPr>
            <w:noProof/>
            <w:webHidden/>
          </w:rPr>
          <w:fldChar w:fldCharType="separate"/>
        </w:r>
        <w:r w:rsidR="00D307AC">
          <w:rPr>
            <w:noProof/>
            <w:webHidden/>
          </w:rPr>
          <w:t>35</w:t>
        </w:r>
        <w:r w:rsidR="00654A69">
          <w:rPr>
            <w:noProof/>
            <w:webHidden/>
          </w:rPr>
          <w:fldChar w:fldCharType="end"/>
        </w:r>
      </w:hyperlink>
    </w:p>
    <w:p w14:paraId="5B8BD577" w14:textId="32D48862" w:rsidR="00654A69" w:rsidRDefault="008256DF">
      <w:pPr>
        <w:pStyle w:val="TOC1"/>
        <w:rPr>
          <w:rFonts w:eastAsiaTheme="minorEastAsia"/>
          <w:b w:val="0"/>
          <w:bCs w:val="0"/>
          <w:noProof/>
          <w:lang w:eastAsia="en-AU"/>
        </w:rPr>
      </w:pPr>
      <w:hyperlink w:anchor="_Toc135404863" w:history="1">
        <w:r w:rsidR="00654A69" w:rsidRPr="002A2281">
          <w:rPr>
            <w:rStyle w:val="Hyperlink"/>
            <w:noProof/>
          </w:rPr>
          <w:t>5. Key Issues</w:t>
        </w:r>
        <w:r w:rsidR="00654A69">
          <w:rPr>
            <w:noProof/>
            <w:webHidden/>
          </w:rPr>
          <w:tab/>
        </w:r>
        <w:r w:rsidR="00654A69">
          <w:rPr>
            <w:noProof/>
            <w:webHidden/>
          </w:rPr>
          <w:fldChar w:fldCharType="begin"/>
        </w:r>
        <w:r w:rsidR="00654A69">
          <w:rPr>
            <w:noProof/>
            <w:webHidden/>
          </w:rPr>
          <w:instrText xml:space="preserve"> PAGEREF _Toc135404863 \h </w:instrText>
        </w:r>
        <w:r w:rsidR="00654A69">
          <w:rPr>
            <w:noProof/>
            <w:webHidden/>
          </w:rPr>
        </w:r>
        <w:r w:rsidR="00654A69">
          <w:rPr>
            <w:noProof/>
            <w:webHidden/>
          </w:rPr>
          <w:fldChar w:fldCharType="separate"/>
        </w:r>
        <w:r w:rsidR="00D307AC">
          <w:rPr>
            <w:noProof/>
            <w:webHidden/>
          </w:rPr>
          <w:t>36</w:t>
        </w:r>
        <w:r w:rsidR="00654A69">
          <w:rPr>
            <w:noProof/>
            <w:webHidden/>
          </w:rPr>
          <w:fldChar w:fldCharType="end"/>
        </w:r>
      </w:hyperlink>
    </w:p>
    <w:p w14:paraId="1E890B47" w14:textId="505734C7" w:rsidR="00654A69" w:rsidRDefault="008256DF">
      <w:pPr>
        <w:pStyle w:val="TOC2"/>
        <w:rPr>
          <w:rFonts w:eastAsiaTheme="minorEastAsia"/>
          <w:noProof/>
          <w:lang w:eastAsia="en-AU"/>
        </w:rPr>
      </w:pPr>
      <w:hyperlink w:anchor="_Toc135404864" w:history="1">
        <w:r w:rsidR="00654A69" w:rsidRPr="002A2281">
          <w:rPr>
            <w:rStyle w:val="Hyperlink"/>
            <w:noProof/>
          </w:rPr>
          <w:t>5.1 Cost and Affordability</w:t>
        </w:r>
        <w:r w:rsidR="00654A69">
          <w:rPr>
            <w:noProof/>
            <w:webHidden/>
          </w:rPr>
          <w:tab/>
        </w:r>
        <w:r w:rsidR="00654A69">
          <w:rPr>
            <w:noProof/>
            <w:webHidden/>
          </w:rPr>
          <w:fldChar w:fldCharType="begin"/>
        </w:r>
        <w:r w:rsidR="00654A69">
          <w:rPr>
            <w:noProof/>
            <w:webHidden/>
          </w:rPr>
          <w:instrText xml:space="preserve"> PAGEREF _Toc135404864 \h </w:instrText>
        </w:r>
        <w:r w:rsidR="00654A69">
          <w:rPr>
            <w:noProof/>
            <w:webHidden/>
          </w:rPr>
        </w:r>
        <w:r w:rsidR="00654A69">
          <w:rPr>
            <w:noProof/>
            <w:webHidden/>
          </w:rPr>
          <w:fldChar w:fldCharType="separate"/>
        </w:r>
        <w:r w:rsidR="00D307AC">
          <w:rPr>
            <w:noProof/>
            <w:webHidden/>
          </w:rPr>
          <w:t>36</w:t>
        </w:r>
        <w:r w:rsidR="00654A69">
          <w:rPr>
            <w:noProof/>
            <w:webHidden/>
          </w:rPr>
          <w:fldChar w:fldCharType="end"/>
        </w:r>
      </w:hyperlink>
    </w:p>
    <w:p w14:paraId="0A825C7E" w14:textId="136E9D93" w:rsidR="00654A69" w:rsidRDefault="008256DF">
      <w:pPr>
        <w:pStyle w:val="TOC2"/>
        <w:rPr>
          <w:rFonts w:eastAsiaTheme="minorEastAsia"/>
          <w:noProof/>
          <w:lang w:eastAsia="en-AU"/>
        </w:rPr>
      </w:pPr>
      <w:hyperlink w:anchor="_Toc135404865" w:history="1">
        <w:r w:rsidR="00654A69" w:rsidRPr="002A2281">
          <w:rPr>
            <w:rStyle w:val="Hyperlink"/>
            <w:noProof/>
          </w:rPr>
          <w:t>5.2 Supply and Access</w:t>
        </w:r>
        <w:r w:rsidR="00654A69">
          <w:rPr>
            <w:noProof/>
            <w:webHidden/>
          </w:rPr>
          <w:tab/>
        </w:r>
        <w:r w:rsidR="00654A69">
          <w:rPr>
            <w:noProof/>
            <w:webHidden/>
          </w:rPr>
          <w:fldChar w:fldCharType="begin"/>
        </w:r>
        <w:r w:rsidR="00654A69">
          <w:rPr>
            <w:noProof/>
            <w:webHidden/>
          </w:rPr>
          <w:instrText xml:space="preserve"> PAGEREF _Toc135404865 \h </w:instrText>
        </w:r>
        <w:r w:rsidR="00654A69">
          <w:rPr>
            <w:noProof/>
            <w:webHidden/>
          </w:rPr>
        </w:r>
        <w:r w:rsidR="00654A69">
          <w:rPr>
            <w:noProof/>
            <w:webHidden/>
          </w:rPr>
          <w:fldChar w:fldCharType="separate"/>
        </w:r>
        <w:r w:rsidR="00D307AC">
          <w:rPr>
            <w:noProof/>
            <w:webHidden/>
          </w:rPr>
          <w:t>39</w:t>
        </w:r>
        <w:r w:rsidR="00654A69">
          <w:rPr>
            <w:noProof/>
            <w:webHidden/>
          </w:rPr>
          <w:fldChar w:fldCharType="end"/>
        </w:r>
      </w:hyperlink>
    </w:p>
    <w:p w14:paraId="4622FC01" w14:textId="2F3588E0" w:rsidR="00654A69" w:rsidRDefault="008256DF">
      <w:pPr>
        <w:pStyle w:val="TOC2"/>
        <w:rPr>
          <w:rFonts w:eastAsiaTheme="minorEastAsia"/>
          <w:noProof/>
          <w:lang w:eastAsia="en-AU"/>
        </w:rPr>
      </w:pPr>
      <w:hyperlink w:anchor="_Toc135404866" w:history="1">
        <w:r w:rsidR="00654A69" w:rsidRPr="002A2281">
          <w:rPr>
            <w:rStyle w:val="Hyperlink"/>
            <w:noProof/>
          </w:rPr>
          <w:t>5.3 Flexibility</w:t>
        </w:r>
        <w:r w:rsidR="00654A69">
          <w:rPr>
            <w:noProof/>
            <w:webHidden/>
          </w:rPr>
          <w:tab/>
        </w:r>
        <w:r w:rsidR="00654A69">
          <w:rPr>
            <w:noProof/>
            <w:webHidden/>
          </w:rPr>
          <w:fldChar w:fldCharType="begin"/>
        </w:r>
        <w:r w:rsidR="00654A69">
          <w:rPr>
            <w:noProof/>
            <w:webHidden/>
          </w:rPr>
          <w:instrText xml:space="preserve"> PAGEREF _Toc135404866 \h </w:instrText>
        </w:r>
        <w:r w:rsidR="00654A69">
          <w:rPr>
            <w:noProof/>
            <w:webHidden/>
          </w:rPr>
        </w:r>
        <w:r w:rsidR="00654A69">
          <w:rPr>
            <w:noProof/>
            <w:webHidden/>
          </w:rPr>
          <w:fldChar w:fldCharType="separate"/>
        </w:r>
        <w:r w:rsidR="00D307AC">
          <w:rPr>
            <w:noProof/>
            <w:webHidden/>
          </w:rPr>
          <w:t>41</w:t>
        </w:r>
        <w:r w:rsidR="00654A69">
          <w:rPr>
            <w:noProof/>
            <w:webHidden/>
          </w:rPr>
          <w:fldChar w:fldCharType="end"/>
        </w:r>
      </w:hyperlink>
    </w:p>
    <w:p w14:paraId="472A8EF9" w14:textId="6A07DBE5" w:rsidR="00654A69" w:rsidRDefault="008256DF">
      <w:pPr>
        <w:pStyle w:val="TOC2"/>
        <w:rPr>
          <w:rFonts w:eastAsiaTheme="minorEastAsia"/>
          <w:noProof/>
          <w:lang w:eastAsia="en-AU"/>
        </w:rPr>
      </w:pPr>
      <w:hyperlink w:anchor="_Toc135404867" w:history="1">
        <w:r w:rsidR="00654A69" w:rsidRPr="002A2281">
          <w:rPr>
            <w:rStyle w:val="Hyperlink"/>
            <w:noProof/>
          </w:rPr>
          <w:t>5.4 Early Childhood Education and Care Workforce</w:t>
        </w:r>
        <w:r w:rsidR="00654A69">
          <w:rPr>
            <w:noProof/>
            <w:webHidden/>
          </w:rPr>
          <w:tab/>
        </w:r>
        <w:r w:rsidR="00654A69">
          <w:rPr>
            <w:noProof/>
            <w:webHidden/>
          </w:rPr>
          <w:fldChar w:fldCharType="begin"/>
        </w:r>
        <w:r w:rsidR="00654A69">
          <w:rPr>
            <w:noProof/>
            <w:webHidden/>
          </w:rPr>
          <w:instrText xml:space="preserve"> PAGEREF _Toc135404867 \h </w:instrText>
        </w:r>
        <w:r w:rsidR="00654A69">
          <w:rPr>
            <w:noProof/>
            <w:webHidden/>
          </w:rPr>
        </w:r>
        <w:r w:rsidR="00654A69">
          <w:rPr>
            <w:noProof/>
            <w:webHidden/>
          </w:rPr>
          <w:fldChar w:fldCharType="separate"/>
        </w:r>
        <w:r w:rsidR="00D307AC">
          <w:rPr>
            <w:noProof/>
            <w:webHidden/>
          </w:rPr>
          <w:t>42</w:t>
        </w:r>
        <w:r w:rsidR="00654A69">
          <w:rPr>
            <w:noProof/>
            <w:webHidden/>
          </w:rPr>
          <w:fldChar w:fldCharType="end"/>
        </w:r>
      </w:hyperlink>
    </w:p>
    <w:p w14:paraId="69856FB7" w14:textId="46BBD3C7" w:rsidR="00716BBA" w:rsidRPr="00716BBA" w:rsidRDefault="008A351F">
      <w:r>
        <w:rPr>
          <w:color w:val="2B579A"/>
          <w:shd w:val="clear" w:color="auto" w:fill="E6E6E6"/>
        </w:rPr>
        <w:fldChar w:fldCharType="end"/>
      </w:r>
      <w:r w:rsidR="0017134D">
        <w:br w:type="page"/>
      </w:r>
    </w:p>
    <w:p w14:paraId="12A77D49" w14:textId="77777777" w:rsidR="00716BBA" w:rsidRPr="003E6B9B" w:rsidRDefault="09CC09E7" w:rsidP="003E6B9B">
      <w:pPr>
        <w:pStyle w:val="SubChapterheading"/>
      </w:pPr>
      <w:bookmarkStart w:id="2" w:name="_Toc133073597"/>
      <w:bookmarkStart w:id="3" w:name="_Toc134023004"/>
      <w:bookmarkStart w:id="4" w:name="_Toc134173407"/>
      <w:bookmarkStart w:id="5" w:name="_Toc135404842"/>
      <w:r w:rsidRPr="003E6B9B">
        <w:t>Introduction</w:t>
      </w:r>
      <w:bookmarkEnd w:id="2"/>
      <w:bookmarkEnd w:id="3"/>
      <w:bookmarkEnd w:id="4"/>
      <w:bookmarkEnd w:id="5"/>
    </w:p>
    <w:p w14:paraId="101BEAD5" w14:textId="77777777" w:rsidR="00716BBA" w:rsidRPr="00716BBA" w:rsidRDefault="00340CB7" w:rsidP="009251BB">
      <w:pPr>
        <w:pStyle w:val="SubNumberedList"/>
        <w:rPr>
          <w:rStyle w:val="normaltextrun"/>
        </w:rPr>
      </w:pPr>
      <w:r w:rsidRPr="00EF1F98">
        <w:rPr>
          <w:rStyle w:val="normaltextrun"/>
        </w:rPr>
        <w:t xml:space="preserve">The </w:t>
      </w:r>
      <w:r w:rsidR="001304A4">
        <w:rPr>
          <w:rStyle w:val="normaltextrun"/>
        </w:rPr>
        <w:t xml:space="preserve">Australian Government </w:t>
      </w:r>
      <w:r w:rsidRPr="00EF1F98">
        <w:rPr>
          <w:rStyle w:val="normaltextrun"/>
        </w:rPr>
        <w:t xml:space="preserve">Department of Education welcomes the Productivity Commission’s </w:t>
      </w:r>
      <w:r w:rsidR="008A2F4E">
        <w:rPr>
          <w:rStyle w:val="normaltextrun"/>
        </w:rPr>
        <w:t>I</w:t>
      </w:r>
      <w:r w:rsidRPr="00EF1F98">
        <w:rPr>
          <w:rStyle w:val="normaltextrun"/>
        </w:rPr>
        <w:t xml:space="preserve">nquiry into </w:t>
      </w:r>
      <w:r w:rsidR="008A2F4E">
        <w:rPr>
          <w:rStyle w:val="normaltextrun"/>
        </w:rPr>
        <w:t>E</w:t>
      </w:r>
      <w:r w:rsidRPr="00EF1F98">
        <w:rPr>
          <w:rStyle w:val="normaltextrun"/>
        </w:rPr>
        <w:t xml:space="preserve">arly </w:t>
      </w:r>
      <w:r w:rsidR="008A2F4E">
        <w:rPr>
          <w:rStyle w:val="normaltextrun"/>
        </w:rPr>
        <w:t>C</w:t>
      </w:r>
      <w:r w:rsidRPr="00EF1F98">
        <w:rPr>
          <w:rStyle w:val="normaltextrun"/>
        </w:rPr>
        <w:t xml:space="preserve">hildhood </w:t>
      </w:r>
      <w:r w:rsidR="008A2F4E">
        <w:rPr>
          <w:rStyle w:val="normaltextrun"/>
        </w:rPr>
        <w:t>E</w:t>
      </w:r>
      <w:r w:rsidRPr="00EF1F98">
        <w:rPr>
          <w:rStyle w:val="normaltextrun"/>
        </w:rPr>
        <w:t xml:space="preserve">ducation and </w:t>
      </w:r>
      <w:r w:rsidR="008A2F4E">
        <w:rPr>
          <w:rStyle w:val="normaltextrun"/>
        </w:rPr>
        <w:t>C</w:t>
      </w:r>
      <w:r w:rsidRPr="00EF1F98">
        <w:rPr>
          <w:rStyle w:val="normaltextrun"/>
        </w:rPr>
        <w:t>are</w:t>
      </w:r>
      <w:r w:rsidR="00976A69">
        <w:rPr>
          <w:rStyle w:val="normaltextrun"/>
        </w:rPr>
        <w:t xml:space="preserve"> </w:t>
      </w:r>
      <w:r w:rsidR="008A2F4E">
        <w:rPr>
          <w:rStyle w:val="normaltextrun"/>
        </w:rPr>
        <w:t>(the inquiry)</w:t>
      </w:r>
      <w:r w:rsidRPr="00EF1F98">
        <w:rPr>
          <w:rStyle w:val="normaltextrun"/>
        </w:rPr>
        <w:t>.</w:t>
      </w:r>
    </w:p>
    <w:p w14:paraId="7D4F765D" w14:textId="6A335335" w:rsidR="00716BBA" w:rsidRPr="00716BBA" w:rsidRDefault="00662A68" w:rsidP="009251BB">
      <w:pPr>
        <w:pStyle w:val="SubNumberedList"/>
        <w:rPr>
          <w:rStyle w:val="normaltextrun"/>
        </w:rPr>
      </w:pPr>
      <w:r>
        <w:rPr>
          <w:rStyle w:val="normaltextrun"/>
        </w:rPr>
        <w:t>Participation in q</w:t>
      </w:r>
      <w:r w:rsidR="000C03C9" w:rsidRPr="00EF1F98">
        <w:rPr>
          <w:rStyle w:val="normaltextrun"/>
        </w:rPr>
        <w:t xml:space="preserve">uality </w:t>
      </w:r>
      <w:r w:rsidR="004F3F49">
        <w:rPr>
          <w:rStyle w:val="normaltextrun"/>
        </w:rPr>
        <w:t xml:space="preserve">early childhood education </w:t>
      </w:r>
      <w:r w:rsidR="00980EE0">
        <w:rPr>
          <w:rStyle w:val="normaltextrun"/>
        </w:rPr>
        <w:t xml:space="preserve">and </w:t>
      </w:r>
      <w:r w:rsidR="004F3F49">
        <w:rPr>
          <w:rStyle w:val="normaltextrun"/>
        </w:rPr>
        <w:t xml:space="preserve">care </w:t>
      </w:r>
      <w:r w:rsidR="00980EE0">
        <w:rPr>
          <w:rStyle w:val="normaltextrun"/>
        </w:rPr>
        <w:t>(ECEC)</w:t>
      </w:r>
      <w:r w:rsidR="00340CB7" w:rsidRPr="00EF1F98">
        <w:rPr>
          <w:rStyle w:val="normaltextrun"/>
        </w:rPr>
        <w:t xml:space="preserve"> help</w:t>
      </w:r>
      <w:r w:rsidR="000C03C9" w:rsidRPr="00EF1F98">
        <w:rPr>
          <w:rStyle w:val="normaltextrun"/>
        </w:rPr>
        <w:t>s</w:t>
      </w:r>
      <w:r w:rsidR="00340CB7" w:rsidRPr="00EF1F98">
        <w:rPr>
          <w:rStyle w:val="normaltextrun"/>
        </w:rPr>
        <w:t xml:space="preserve"> children learn and grow in the early years, contributing to their learning in school and later life outcomes.</w:t>
      </w:r>
      <w:r w:rsidR="002B7E94">
        <w:rPr>
          <w:rStyle w:val="normaltextrun"/>
        </w:rPr>
        <w:t xml:space="preserve"> </w:t>
      </w:r>
      <w:r w:rsidR="0062337F" w:rsidRPr="00EF1F98">
        <w:rPr>
          <w:rStyle w:val="normaltextrun"/>
        </w:rPr>
        <w:t>It</w:t>
      </w:r>
      <w:r w:rsidR="00A060DC">
        <w:rPr>
          <w:rStyle w:val="normaltextrun"/>
        </w:rPr>
        <w:t> </w:t>
      </w:r>
      <w:r w:rsidR="0062337F" w:rsidRPr="00EF1F98">
        <w:rPr>
          <w:rStyle w:val="normaltextrun"/>
        </w:rPr>
        <w:t>also enables parents and carers to participate in the workforce, increasing labour supply and productivity.</w:t>
      </w:r>
    </w:p>
    <w:p w14:paraId="417CD1DB" w14:textId="77777777" w:rsidR="00716BBA" w:rsidRPr="00716BBA" w:rsidRDefault="00340CB7" w:rsidP="009251BB">
      <w:pPr>
        <w:pStyle w:val="SubNumberedList"/>
        <w:rPr>
          <w:rStyle w:val="normaltextrun"/>
        </w:rPr>
      </w:pPr>
      <w:r w:rsidRPr="00EF1F98">
        <w:rPr>
          <w:rStyle w:val="normaltextrun"/>
          <w:rFonts w:cs="Calibri"/>
          <w:shd w:val="clear" w:color="auto" w:fill="FFFFFF"/>
        </w:rPr>
        <w:t>The Governmen</w:t>
      </w:r>
      <w:r w:rsidR="0062337F" w:rsidRPr="00EF1F98">
        <w:rPr>
          <w:rStyle w:val="normaltextrun"/>
          <w:rFonts w:cs="Calibri"/>
          <w:shd w:val="clear" w:color="auto" w:fill="FFFFFF"/>
        </w:rPr>
        <w:t xml:space="preserve">t </w:t>
      </w:r>
      <w:r w:rsidR="00EF1F98" w:rsidRPr="00EF1F98">
        <w:rPr>
          <w:rStyle w:val="normaltextrun"/>
          <w:rFonts w:cs="Calibri"/>
          <w:shd w:val="clear" w:color="auto" w:fill="FFFFFF"/>
        </w:rPr>
        <w:t>is committed to</w:t>
      </w:r>
      <w:r w:rsidR="00CD0840">
        <w:rPr>
          <w:rStyle w:val="normaltextrun"/>
          <w:rFonts w:cs="Calibri"/>
          <w:shd w:val="clear" w:color="auto" w:fill="FFFFFF"/>
        </w:rPr>
        <w:t xml:space="preserve"> providing </w:t>
      </w:r>
      <w:r w:rsidR="00EF1F98" w:rsidRPr="00EF1F98">
        <w:rPr>
          <w:rStyle w:val="normaltextrun"/>
          <w:rFonts w:cs="Calibri"/>
          <w:shd w:val="clear" w:color="auto" w:fill="FFFFFF"/>
        </w:rPr>
        <w:t xml:space="preserve">all Australian children </w:t>
      </w:r>
      <w:r w:rsidRPr="00EF1F98">
        <w:rPr>
          <w:rStyle w:val="normaltextrun"/>
          <w:rFonts w:cs="Calibri"/>
          <w:shd w:val="clear" w:color="auto" w:fill="FFFFFF"/>
        </w:rPr>
        <w:t>access to affordable, equitable and high-quality ECEC</w:t>
      </w:r>
      <w:r w:rsidR="00976A69">
        <w:rPr>
          <w:rStyle w:val="normaltextrun"/>
          <w:rFonts w:cs="Calibri"/>
          <w:shd w:val="clear" w:color="auto" w:fill="FFFFFF"/>
        </w:rPr>
        <w:t>.</w:t>
      </w:r>
    </w:p>
    <w:p w14:paraId="4436729B" w14:textId="69773594" w:rsidR="00716BBA" w:rsidRPr="00716BBA" w:rsidRDefault="57C23D84" w:rsidP="009251BB">
      <w:pPr>
        <w:pStyle w:val="SubNumberedList"/>
        <w:rPr>
          <w:shd w:val="clear" w:color="auto" w:fill="FFFFFF"/>
        </w:rPr>
      </w:pPr>
      <w:r>
        <w:t>The ECEC sector is a large and complex system</w:t>
      </w:r>
      <w:r w:rsidR="343FE764">
        <w:t>,</w:t>
      </w:r>
      <w:r w:rsidR="00F6572B">
        <w:t xml:space="preserve"> and</w:t>
      </w:r>
      <w:r w:rsidR="343FE764">
        <w:t xml:space="preserve"> governments of all levels play </w:t>
      </w:r>
      <w:r w:rsidR="00421DEA">
        <w:t>a role</w:t>
      </w:r>
      <w:r w:rsidR="3A9E6C92">
        <w:t>.</w:t>
      </w:r>
      <w:r w:rsidR="5D9F81DD">
        <w:t xml:space="preserve"> </w:t>
      </w:r>
      <w:r w:rsidR="67ADEBCE">
        <w:t xml:space="preserve">The sector </w:t>
      </w:r>
      <w:r w:rsidR="5D9F81DD">
        <w:t>deliver</w:t>
      </w:r>
      <w:r w:rsidR="1B6DF021">
        <w:t>s</w:t>
      </w:r>
      <w:r>
        <w:t xml:space="preserve"> 2 broad and overlapping service types: child care services, focused on early learning and care primarily provided to</w:t>
      </w:r>
      <w:r w:rsidR="283C2994">
        <w:t xml:space="preserve"> </w:t>
      </w:r>
      <w:r>
        <w:t>children aged zero to 12, and preschool services that administer structured,</w:t>
      </w:r>
      <w:r w:rsidR="7916200A">
        <w:t xml:space="preserve"> </w:t>
      </w:r>
      <w:r>
        <w:t>play</w:t>
      </w:r>
      <w:r w:rsidR="00763F49">
        <w:noBreakHyphen/>
      </w:r>
      <w:r>
        <w:t>based learning programs.</w:t>
      </w:r>
    </w:p>
    <w:p w14:paraId="7CA17CD8" w14:textId="02994DF7" w:rsidR="00716BBA" w:rsidRPr="00716BBA" w:rsidRDefault="2586DB33" w:rsidP="009251BB">
      <w:pPr>
        <w:pStyle w:val="SubNumberedList"/>
        <w:rPr>
          <w:shd w:val="clear" w:color="auto" w:fill="FFFFFF"/>
        </w:rPr>
      </w:pPr>
      <w:r>
        <w:t>In Australia, ECEC services are delivered by a mix of public and private (both for-profit and not-for-profit) providers. The foundation of the system is a set of market-oriented arrangements where parents make choices about the type of service they require for their children and the price they are willing and able to pay.</w:t>
      </w:r>
      <w:r w:rsidR="05EEA2C9">
        <w:t xml:space="preserve"> Fee subsidies are available to eligible families through the Australian Government </w:t>
      </w:r>
      <w:r w:rsidR="00F6572B">
        <w:t>C</w:t>
      </w:r>
      <w:r w:rsidR="05EEA2C9">
        <w:t xml:space="preserve">hild </w:t>
      </w:r>
      <w:r w:rsidR="00F6572B">
        <w:t>C</w:t>
      </w:r>
      <w:r w:rsidR="05EEA2C9">
        <w:t xml:space="preserve">are </w:t>
      </w:r>
      <w:r w:rsidR="00F6572B">
        <w:t>S</w:t>
      </w:r>
      <w:r w:rsidR="05EEA2C9">
        <w:t xml:space="preserve">ubsidy </w:t>
      </w:r>
      <w:r w:rsidR="001A26A1">
        <w:t xml:space="preserve">(CCS) </w:t>
      </w:r>
      <w:r w:rsidR="05EEA2C9">
        <w:t>system.</w:t>
      </w:r>
    </w:p>
    <w:p w14:paraId="03B0E000" w14:textId="73501918" w:rsidR="00F16117" w:rsidRDefault="4DB82D2C">
      <w:pPr>
        <w:pStyle w:val="SubNumberedList"/>
      </w:pPr>
      <w:r>
        <w:t xml:space="preserve">A broad spectrum of providers deliver </w:t>
      </w:r>
      <w:r w:rsidR="00F16117">
        <w:t xml:space="preserve">child care </w:t>
      </w:r>
      <w:r>
        <w:t xml:space="preserve">services, from large providers with </w:t>
      </w:r>
      <w:r w:rsidR="118536CB">
        <w:t xml:space="preserve">significant administrative infrastructure and </w:t>
      </w:r>
      <w:r>
        <w:t>hundreds of services, to small providers with one or</w:t>
      </w:r>
      <w:r w:rsidR="002A6D64">
        <w:t> </w:t>
      </w:r>
      <w:r>
        <w:t>2</w:t>
      </w:r>
      <w:r w:rsidR="002A6D64">
        <w:t> </w:t>
      </w:r>
      <w:r>
        <w:t xml:space="preserve">services. </w:t>
      </w:r>
      <w:r w:rsidR="359F5124">
        <w:t xml:space="preserve">The largest </w:t>
      </w:r>
      <w:r w:rsidR="0082376D">
        <w:t>percentage</w:t>
      </w:r>
      <w:r w:rsidR="359F5124">
        <w:t xml:space="preserve"> of services are </w:t>
      </w:r>
      <w:r w:rsidR="0CADDB01">
        <w:t>delivered</w:t>
      </w:r>
      <w:r w:rsidR="359F5124">
        <w:t xml:space="preserve"> by these small organisations. </w:t>
      </w:r>
      <w:r>
        <w:t xml:space="preserve">Businesses are a mixture of for-profit, </w:t>
      </w:r>
      <w:r w:rsidR="00552E50">
        <w:t>not-for-profit,</w:t>
      </w:r>
      <w:r>
        <w:t xml:space="preserve"> and sole traders.</w:t>
      </w:r>
      <w:r w:rsidR="00B4248A">
        <w:t xml:space="preserve"> F</w:t>
      </w:r>
      <w:r w:rsidR="2027CAD0">
        <w:t>ormal</w:t>
      </w:r>
      <w:r w:rsidR="004EE167">
        <w:t xml:space="preserve"> </w:t>
      </w:r>
      <w:r w:rsidR="00F16117">
        <w:t>child care</w:t>
      </w:r>
      <w:r w:rsidR="7EDD20A6">
        <w:t xml:space="preserve"> </w:t>
      </w:r>
      <w:r>
        <w:t>services can be divided into 4 sub-markets (care types), including centre-based day care (CBDC</w:t>
      </w:r>
      <w:r w:rsidR="007C66C8">
        <w:t>)</w:t>
      </w:r>
      <w:r w:rsidR="08F5DAA0">
        <w:t>,</w:t>
      </w:r>
      <w:r>
        <w:t xml:space="preserve"> which includes long day care and occasional care</w:t>
      </w:r>
      <w:r w:rsidR="007C66C8">
        <w:t>;</w:t>
      </w:r>
      <w:r>
        <w:t xml:space="preserve"> outside of</w:t>
      </w:r>
      <w:r w:rsidR="002A6D64">
        <w:t> </w:t>
      </w:r>
      <w:r>
        <w:t>school hours care (OSHC)</w:t>
      </w:r>
      <w:r w:rsidR="007C66C8">
        <w:t>;</w:t>
      </w:r>
      <w:r>
        <w:t xml:space="preserve"> family day care (FDC)</w:t>
      </w:r>
      <w:r w:rsidR="007C66C8">
        <w:t>;</w:t>
      </w:r>
      <w:r>
        <w:t xml:space="preserve"> and in home care (IHC).</w:t>
      </w:r>
    </w:p>
    <w:p w14:paraId="26F9F132" w14:textId="62DF8FDF" w:rsidR="00B43EAF" w:rsidRPr="00B64B04" w:rsidRDefault="00F87605">
      <w:pPr>
        <w:pStyle w:val="SubNumberedList"/>
      </w:pPr>
      <w:r w:rsidRPr="1DA29D51">
        <w:rPr>
          <w:rStyle w:val="normaltextrun"/>
          <w:rFonts w:cs="Calibri"/>
          <w:color w:val="000000" w:themeColor="text1"/>
        </w:rPr>
        <w:t>The Australian Government provides funding to state and territory governments to facilitate the delivery of preschool</w:t>
      </w:r>
      <w:r w:rsidR="001E6405" w:rsidRPr="1DA29D51">
        <w:rPr>
          <w:rStyle w:val="normaltextrun"/>
          <w:rFonts w:cs="Calibri"/>
          <w:color w:val="000000" w:themeColor="text1"/>
        </w:rPr>
        <w:t xml:space="preserve"> </w:t>
      </w:r>
      <w:r w:rsidR="00291752" w:rsidRPr="1DA29D51">
        <w:rPr>
          <w:rStyle w:val="normaltextrun"/>
          <w:rFonts w:cs="Calibri"/>
          <w:color w:val="000000" w:themeColor="text1"/>
        </w:rPr>
        <w:t>programs</w:t>
      </w:r>
      <w:r w:rsidR="00543442" w:rsidRPr="1DA29D51">
        <w:rPr>
          <w:rStyle w:val="normaltextrun"/>
          <w:rFonts w:cs="Calibri"/>
          <w:color w:val="000000" w:themeColor="text1"/>
        </w:rPr>
        <w:t>.</w:t>
      </w:r>
      <w:r w:rsidR="00A20608" w:rsidRPr="1DA29D51">
        <w:rPr>
          <w:rStyle w:val="normaltextrun"/>
          <w:rFonts w:cs="Calibri"/>
          <w:color w:val="000000" w:themeColor="text1"/>
        </w:rPr>
        <w:t xml:space="preserve"> Preschool programs </w:t>
      </w:r>
      <w:r w:rsidR="001E6405" w:rsidRPr="1DA29D51">
        <w:rPr>
          <w:rStyle w:val="normaltextrun"/>
          <w:rFonts w:cs="Calibri"/>
          <w:color w:val="000000" w:themeColor="text1"/>
        </w:rPr>
        <w:t xml:space="preserve">are delivered </w:t>
      </w:r>
      <w:r w:rsidR="00A20608">
        <w:t>by early childhood teachers to children in the year</w:t>
      </w:r>
      <w:r w:rsidR="00651141">
        <w:t xml:space="preserve"> </w:t>
      </w:r>
      <w:r w:rsidR="00A20608">
        <w:t>before full-time school</w:t>
      </w:r>
      <w:r w:rsidR="00D704F1">
        <w:t>,</w:t>
      </w:r>
      <w:r w:rsidR="00A20608" w:rsidRPr="1DA29D51">
        <w:rPr>
          <w:rStyle w:val="normaltextrun"/>
          <w:rFonts w:cs="Calibri"/>
          <w:color w:val="000000" w:themeColor="text1"/>
        </w:rPr>
        <w:t xml:space="preserve"> </w:t>
      </w:r>
      <w:r w:rsidR="00291752" w:rsidRPr="1DA29D51">
        <w:rPr>
          <w:rStyle w:val="normaltextrun"/>
          <w:rFonts w:cs="Calibri"/>
          <w:color w:val="000000" w:themeColor="text1"/>
        </w:rPr>
        <w:t xml:space="preserve">both </w:t>
      </w:r>
      <w:r w:rsidR="00D704F1" w:rsidRPr="1DA29D51">
        <w:rPr>
          <w:rStyle w:val="normaltextrun"/>
          <w:rFonts w:cs="Calibri"/>
          <w:color w:val="000000" w:themeColor="text1"/>
        </w:rPr>
        <w:t xml:space="preserve">in </w:t>
      </w:r>
      <w:r w:rsidR="00291752" w:rsidRPr="1DA29D51">
        <w:rPr>
          <w:rStyle w:val="normaltextrun"/>
          <w:rFonts w:cs="Calibri"/>
          <w:color w:val="000000" w:themeColor="text1"/>
        </w:rPr>
        <w:t xml:space="preserve">standalone preschools </w:t>
      </w:r>
      <w:r w:rsidR="00A65C86" w:rsidRPr="1DA29D51">
        <w:rPr>
          <w:rStyle w:val="normaltextrun"/>
          <w:rFonts w:cs="Calibri"/>
          <w:color w:val="000000" w:themeColor="text1"/>
        </w:rPr>
        <w:t xml:space="preserve">and </w:t>
      </w:r>
      <w:r w:rsidR="001B77F7" w:rsidRPr="1DA29D51">
        <w:rPr>
          <w:rStyle w:val="normaltextrun"/>
          <w:rFonts w:cs="Calibri"/>
          <w:color w:val="000000" w:themeColor="text1"/>
        </w:rPr>
        <w:t>CBDC</w:t>
      </w:r>
      <w:r w:rsidR="00931318" w:rsidRPr="1DA29D51">
        <w:rPr>
          <w:rStyle w:val="normaltextrun"/>
          <w:rFonts w:cs="Calibri"/>
          <w:color w:val="000000" w:themeColor="text1"/>
        </w:rPr>
        <w:t xml:space="preserve"> </w:t>
      </w:r>
      <w:r w:rsidR="0033463B" w:rsidRPr="1DA29D51">
        <w:rPr>
          <w:rStyle w:val="normaltextrun"/>
          <w:rFonts w:cs="Calibri"/>
          <w:color w:val="000000" w:themeColor="text1"/>
        </w:rPr>
        <w:t>environments.</w:t>
      </w:r>
      <w:r w:rsidR="000C3874" w:rsidRPr="1DA29D51">
        <w:rPr>
          <w:rStyle w:val="normaltextrun"/>
          <w:rFonts w:cs="Calibri"/>
          <w:color w:val="000000" w:themeColor="text1"/>
        </w:rPr>
        <w:t xml:space="preserve"> </w:t>
      </w:r>
      <w:r w:rsidR="00B43EAF">
        <w:t>Some states and territories are also expanding access to preschool programs for 3-year-olds.</w:t>
      </w:r>
    </w:p>
    <w:p w14:paraId="1E4CD33E" w14:textId="276F2F74" w:rsidR="00716BBA" w:rsidRPr="00716BBA" w:rsidRDefault="36A7C425" w:rsidP="009251BB">
      <w:pPr>
        <w:pStyle w:val="SubNumberedList"/>
        <w:rPr>
          <w:rStyle w:val="FootnoteReference"/>
          <w:shd w:val="clear" w:color="auto" w:fill="FFFFFF"/>
          <w:vertAlign w:val="baseline"/>
        </w:rPr>
      </w:pPr>
      <w:r w:rsidRPr="009A4CF8">
        <w:t>Th</w:t>
      </w:r>
      <w:r w:rsidRPr="009A4CF8">
        <w:rPr>
          <w:rStyle w:val="normaltextrun"/>
          <w:rFonts w:cs="Calibri"/>
          <w:color w:val="000000"/>
          <w:shd w:val="clear" w:color="auto" w:fill="FFFFFF"/>
        </w:rPr>
        <w:t xml:space="preserve">e </w:t>
      </w:r>
      <w:r w:rsidR="488AE7D0" w:rsidRPr="009A4CF8">
        <w:rPr>
          <w:rStyle w:val="normaltextrun"/>
          <w:rFonts w:cs="Calibri"/>
          <w:color w:val="000000"/>
          <w:shd w:val="clear" w:color="auto" w:fill="FFFFFF"/>
        </w:rPr>
        <w:t xml:space="preserve">Australian </w:t>
      </w:r>
      <w:r w:rsidR="4E013E71" w:rsidRPr="009A4CF8">
        <w:rPr>
          <w:rStyle w:val="normaltextrun"/>
          <w:rFonts w:cs="Calibri"/>
          <w:color w:val="000000"/>
          <w:shd w:val="clear" w:color="auto" w:fill="FFFFFF"/>
        </w:rPr>
        <w:t>G</w:t>
      </w:r>
      <w:r w:rsidRPr="009A4CF8">
        <w:rPr>
          <w:rStyle w:val="normaltextrun"/>
          <w:rFonts w:cs="Calibri"/>
          <w:color w:val="000000"/>
          <w:shd w:val="clear" w:color="auto" w:fill="FFFFFF"/>
        </w:rPr>
        <w:t xml:space="preserve">overnment is the main source of funding for </w:t>
      </w:r>
      <w:r w:rsidR="00F16117">
        <w:rPr>
          <w:rStyle w:val="normaltextrun"/>
          <w:rFonts w:cs="Calibri"/>
          <w:color w:val="000000"/>
          <w:shd w:val="clear" w:color="auto" w:fill="FFFFFF"/>
        </w:rPr>
        <w:t>child care</w:t>
      </w:r>
      <w:r w:rsidR="00F16117" w:rsidRPr="009A4CF8">
        <w:rPr>
          <w:rStyle w:val="normaltextrun"/>
          <w:rFonts w:cs="Calibri"/>
          <w:color w:val="000000"/>
          <w:shd w:val="clear" w:color="auto" w:fill="FFFFFF"/>
        </w:rPr>
        <w:t xml:space="preserve"> </w:t>
      </w:r>
      <w:r w:rsidRPr="009A4CF8">
        <w:rPr>
          <w:rStyle w:val="normaltextrun"/>
          <w:rFonts w:cs="Calibri"/>
          <w:color w:val="000000"/>
          <w:shd w:val="clear" w:color="auto" w:fill="FFFFFF"/>
        </w:rPr>
        <w:t>services in Australia</w:t>
      </w:r>
      <w:r w:rsidR="45855DAB" w:rsidRPr="009A4CF8">
        <w:rPr>
          <w:rStyle w:val="normaltextrun"/>
          <w:rFonts w:cs="Calibri"/>
          <w:color w:val="000000"/>
          <w:shd w:val="clear" w:color="auto" w:fill="FFFFFF"/>
        </w:rPr>
        <w:t>—</w:t>
      </w:r>
      <w:r w:rsidRPr="009A4CF8">
        <w:rPr>
          <w:rStyle w:val="normaltextrun"/>
          <w:rFonts w:cs="Calibri"/>
          <w:color w:val="000000"/>
          <w:shd w:val="clear" w:color="auto" w:fill="FFFFFF"/>
        </w:rPr>
        <w:t xml:space="preserve">primarily through the </w:t>
      </w:r>
      <w:r w:rsidR="001A26A1">
        <w:rPr>
          <w:rStyle w:val="normaltextrun"/>
          <w:rFonts w:cs="Calibri"/>
          <w:color w:val="000000"/>
          <w:shd w:val="clear" w:color="auto" w:fill="FFFFFF"/>
        </w:rPr>
        <w:t>CCS</w:t>
      </w:r>
      <w:r w:rsidRPr="009A4CF8">
        <w:rPr>
          <w:rStyle w:val="normaltextrun"/>
          <w:rFonts w:cs="Calibri"/>
          <w:color w:val="000000"/>
          <w:shd w:val="clear" w:color="auto" w:fill="FFFFFF"/>
        </w:rPr>
        <w:t xml:space="preserve"> and the Child Care Safety Net. It</w:t>
      </w:r>
      <w:r w:rsidR="15CACE6D" w:rsidRPr="009A4CF8">
        <w:rPr>
          <w:rStyle w:val="normaltextrun"/>
          <w:rFonts w:cs="Calibri"/>
          <w:color w:val="000000"/>
          <w:shd w:val="clear" w:color="auto" w:fill="FFFFFF"/>
        </w:rPr>
        <w:t xml:space="preserve"> also</w:t>
      </w:r>
      <w:r w:rsidRPr="009A4CF8">
        <w:rPr>
          <w:rStyle w:val="normaltextrun"/>
          <w:rFonts w:cs="Calibri"/>
          <w:color w:val="000000"/>
          <w:shd w:val="clear" w:color="auto" w:fill="FFFFFF"/>
        </w:rPr>
        <w:t xml:space="preserve"> </w:t>
      </w:r>
      <w:r w:rsidR="635C88F0" w:rsidRPr="009A4CF8">
        <w:rPr>
          <w:rStyle w:val="normaltextrun"/>
          <w:rFonts w:cs="Calibri"/>
          <w:color w:val="000000"/>
          <w:shd w:val="clear" w:color="auto" w:fill="FFFFFF"/>
        </w:rPr>
        <w:t>funds</w:t>
      </w:r>
      <w:r w:rsidRPr="009A4CF8">
        <w:rPr>
          <w:rStyle w:val="normaltextrun"/>
          <w:rFonts w:cs="Calibri"/>
          <w:color w:val="000000"/>
          <w:shd w:val="clear" w:color="auto" w:fill="FFFFFF"/>
        </w:rPr>
        <w:t xml:space="preserve"> the Australian Children’s Education </w:t>
      </w:r>
      <w:r w:rsidR="00DC341C">
        <w:rPr>
          <w:rStyle w:val="normaltextrun"/>
          <w:rFonts w:cs="Calibri"/>
          <w:color w:val="000000" w:themeColor="text1"/>
        </w:rPr>
        <w:t>and</w:t>
      </w:r>
      <w:r w:rsidR="00DC341C" w:rsidRPr="009A4CF8">
        <w:rPr>
          <w:rStyle w:val="normaltextrun"/>
          <w:rFonts w:cs="Calibri"/>
          <w:color w:val="000000"/>
          <w:shd w:val="clear" w:color="auto" w:fill="FFFFFF"/>
        </w:rPr>
        <w:t xml:space="preserve"> </w:t>
      </w:r>
      <w:r w:rsidRPr="009A4CF8">
        <w:rPr>
          <w:rStyle w:val="normaltextrun"/>
          <w:rFonts w:cs="Calibri"/>
          <w:color w:val="000000"/>
          <w:shd w:val="clear" w:color="auto" w:fill="FFFFFF"/>
        </w:rPr>
        <w:t>Care Quality Authority (ACECQA)</w:t>
      </w:r>
      <w:r w:rsidR="488AE7D0" w:rsidRPr="009A4CF8">
        <w:rPr>
          <w:rStyle w:val="normaltextrun"/>
          <w:rFonts w:cs="Calibri"/>
          <w:color w:val="000000"/>
          <w:shd w:val="clear" w:color="auto" w:fill="FFFFFF"/>
        </w:rPr>
        <w:t xml:space="preserve">, </w:t>
      </w:r>
      <w:r w:rsidR="01CADEF9">
        <w:rPr>
          <w:rStyle w:val="normaltextrun"/>
          <w:rFonts w:cs="Calibri"/>
          <w:color w:val="000000"/>
          <w:shd w:val="clear" w:color="auto" w:fill="FFFFFF"/>
        </w:rPr>
        <w:t>to support</w:t>
      </w:r>
      <w:r w:rsidRPr="009A4CF8">
        <w:rPr>
          <w:rStyle w:val="normaltextrun"/>
          <w:rFonts w:cs="Calibri"/>
          <w:color w:val="000000"/>
          <w:shd w:val="clear" w:color="auto" w:fill="FFFFFF"/>
        </w:rPr>
        <w:t xml:space="preserve"> the N</w:t>
      </w:r>
      <w:r w:rsidR="765E4FB7" w:rsidRPr="009A4CF8">
        <w:rPr>
          <w:rStyle w:val="normaltextrun"/>
          <w:rFonts w:cs="Calibri"/>
          <w:color w:val="000000"/>
          <w:shd w:val="clear" w:color="auto" w:fill="FFFFFF"/>
        </w:rPr>
        <w:t xml:space="preserve">ational </w:t>
      </w:r>
      <w:r w:rsidRPr="009A4CF8">
        <w:rPr>
          <w:rStyle w:val="normaltextrun"/>
          <w:rFonts w:cs="Calibri"/>
          <w:color w:val="000000"/>
          <w:shd w:val="clear" w:color="auto" w:fill="FFFFFF"/>
        </w:rPr>
        <w:t>Q</w:t>
      </w:r>
      <w:r w:rsidR="765E4FB7" w:rsidRPr="009A4CF8">
        <w:rPr>
          <w:rStyle w:val="normaltextrun"/>
          <w:rFonts w:cs="Calibri"/>
          <w:color w:val="000000"/>
          <w:shd w:val="clear" w:color="auto" w:fill="FFFFFF"/>
        </w:rPr>
        <w:t xml:space="preserve">uality </w:t>
      </w:r>
      <w:r w:rsidRPr="009A4CF8">
        <w:rPr>
          <w:rStyle w:val="normaltextrun"/>
          <w:rFonts w:cs="Calibri"/>
          <w:color w:val="000000"/>
          <w:shd w:val="clear" w:color="auto" w:fill="FFFFFF"/>
        </w:rPr>
        <w:t>F</w:t>
      </w:r>
      <w:r w:rsidR="765E4FB7" w:rsidRPr="009A4CF8">
        <w:rPr>
          <w:rStyle w:val="normaltextrun"/>
          <w:rFonts w:cs="Calibri"/>
          <w:color w:val="000000"/>
          <w:shd w:val="clear" w:color="auto" w:fill="FFFFFF"/>
        </w:rPr>
        <w:t>ramework</w:t>
      </w:r>
      <w:r w:rsidRPr="009A4CF8">
        <w:rPr>
          <w:rStyle w:val="normaltextrun"/>
          <w:rFonts w:cs="Calibri"/>
          <w:color w:val="000000"/>
          <w:shd w:val="clear" w:color="auto" w:fill="FFFFFF"/>
        </w:rPr>
        <w:t xml:space="preserve">. The Government has a central role in shaping and supporting the ECEC system through overarching policy settings and regulatory functions, including </w:t>
      </w:r>
      <w:r w:rsidR="24058144" w:rsidRPr="009A4CF8">
        <w:rPr>
          <w:rStyle w:val="normaltextrun"/>
          <w:rFonts w:cs="Calibri"/>
          <w:color w:val="000000"/>
          <w:shd w:val="clear" w:color="auto" w:fill="FFFFFF"/>
        </w:rPr>
        <w:t xml:space="preserve">the </w:t>
      </w:r>
      <w:r w:rsidRPr="009A4CF8">
        <w:rPr>
          <w:rStyle w:val="normaltextrun"/>
          <w:rFonts w:cs="Calibri"/>
          <w:color w:val="000000"/>
          <w:shd w:val="clear" w:color="auto" w:fill="FFFFFF"/>
        </w:rPr>
        <w:t>administration of F</w:t>
      </w:r>
      <w:r w:rsidR="2B3D24A7" w:rsidRPr="009A4CF8">
        <w:rPr>
          <w:rStyle w:val="normaltextrun"/>
          <w:rFonts w:cs="Calibri"/>
          <w:color w:val="000000"/>
          <w:shd w:val="clear" w:color="auto" w:fill="FFFFFF"/>
        </w:rPr>
        <w:t xml:space="preserve">amily </w:t>
      </w:r>
      <w:r w:rsidRPr="009A4CF8">
        <w:rPr>
          <w:rStyle w:val="normaltextrun"/>
          <w:rFonts w:cs="Calibri"/>
          <w:color w:val="000000"/>
          <w:shd w:val="clear" w:color="auto" w:fill="FFFFFF"/>
        </w:rPr>
        <w:t>A</w:t>
      </w:r>
      <w:r w:rsidR="2B3D24A7" w:rsidRPr="009A4CF8">
        <w:rPr>
          <w:rStyle w:val="normaltextrun"/>
          <w:rFonts w:cs="Calibri"/>
          <w:color w:val="000000"/>
          <w:shd w:val="clear" w:color="auto" w:fill="FFFFFF"/>
        </w:rPr>
        <w:t xml:space="preserve">ssistance </w:t>
      </w:r>
      <w:r w:rsidRPr="009A4CF8">
        <w:rPr>
          <w:rStyle w:val="normaltextrun"/>
          <w:rFonts w:cs="Calibri"/>
          <w:color w:val="000000"/>
          <w:shd w:val="clear" w:color="auto" w:fill="FFFFFF"/>
        </w:rPr>
        <w:t>L</w:t>
      </w:r>
      <w:r w:rsidR="2B3D24A7" w:rsidRPr="009A4CF8">
        <w:rPr>
          <w:rStyle w:val="normaltextrun"/>
          <w:rFonts w:cs="Calibri"/>
          <w:color w:val="000000"/>
          <w:shd w:val="clear" w:color="auto" w:fill="FFFFFF"/>
        </w:rPr>
        <w:t>aw</w:t>
      </w:r>
      <w:r w:rsidRPr="009A4CF8">
        <w:rPr>
          <w:rStyle w:val="normaltextrun"/>
          <w:rFonts w:cs="Calibri"/>
          <w:color w:val="000000"/>
          <w:shd w:val="clear" w:color="auto" w:fill="FFFFFF"/>
        </w:rPr>
        <w:t>.</w:t>
      </w:r>
      <w:r w:rsidR="00286751" w:rsidRPr="1DA29D51">
        <w:rPr>
          <w:rStyle w:val="normaltextrun"/>
          <w:rFonts w:cs="Calibri"/>
          <w:color w:val="000000" w:themeColor="text1"/>
        </w:rPr>
        <w:t xml:space="preserve"> </w:t>
      </w:r>
    </w:p>
    <w:p w14:paraId="5672EAE7" w14:textId="65779148" w:rsidR="00716BBA" w:rsidRPr="00B64B04" w:rsidRDefault="3C5101E3" w:rsidP="009251BB">
      <w:pPr>
        <w:pStyle w:val="SubNumberedList"/>
      </w:pPr>
      <w:r w:rsidRPr="0D9EFEE8">
        <w:t>Growing recognition of the benefits of quality ECEC</w:t>
      </w:r>
      <w:r w:rsidR="38FC4D9D" w:rsidRPr="0D9EFEE8">
        <w:t>,</w:t>
      </w:r>
      <w:r w:rsidRPr="0D9EFEE8">
        <w:t xml:space="preserve"> supported </w:t>
      </w:r>
      <w:r w:rsidR="38FC4D9D" w:rsidRPr="0D9EFEE8">
        <w:t xml:space="preserve">by </w:t>
      </w:r>
      <w:r w:rsidR="0DBF1337" w:rsidRPr="0D9EFEE8">
        <w:t xml:space="preserve">an </w:t>
      </w:r>
      <w:r w:rsidRPr="0D9EFEE8">
        <w:t>expanding body of</w:t>
      </w:r>
      <w:r w:rsidR="00CA0891">
        <w:t> </w:t>
      </w:r>
      <w:r w:rsidR="4E9F307C">
        <w:t xml:space="preserve">developmental </w:t>
      </w:r>
      <w:r w:rsidRPr="0D9EFEE8">
        <w:t xml:space="preserve">neurological </w:t>
      </w:r>
      <w:r w:rsidR="0DBF1337" w:rsidRPr="0D9EFEE8">
        <w:t>research</w:t>
      </w:r>
      <w:r w:rsidR="38FC4D9D" w:rsidRPr="0D9EFEE8">
        <w:t>,</w:t>
      </w:r>
      <w:r w:rsidR="00426F1D">
        <w:rPr>
          <w:rStyle w:val="FootnoteReference"/>
        </w:rPr>
        <w:footnoteReference w:id="2"/>
      </w:r>
      <w:r w:rsidRPr="0D9EFEE8">
        <w:t xml:space="preserve"> has led governments across Australia to increase their investment in ECEC. </w:t>
      </w:r>
      <w:r w:rsidR="00F6572B">
        <w:t>I</w:t>
      </w:r>
      <w:r w:rsidR="00F6572B" w:rsidRPr="0D9EFEE8">
        <w:t>n the 2022</w:t>
      </w:r>
      <w:r w:rsidR="00F6572B">
        <w:t>–</w:t>
      </w:r>
      <w:r w:rsidR="00F6572B" w:rsidRPr="0D9EFEE8">
        <w:t>23 October Budget</w:t>
      </w:r>
      <w:r w:rsidR="00F6572B">
        <w:t>, t</w:t>
      </w:r>
      <w:r w:rsidR="1DE6D1F6" w:rsidRPr="0D9EFEE8">
        <w:t>he</w:t>
      </w:r>
      <w:r w:rsidR="003A6990">
        <w:t xml:space="preserve"> Australian</w:t>
      </w:r>
      <w:r w:rsidRPr="0D9EFEE8">
        <w:t xml:space="preserve"> Government committed </w:t>
      </w:r>
      <w:r w:rsidR="6B14FEEC" w:rsidRPr="0D9EFEE8">
        <w:t>an additional</w:t>
      </w:r>
      <w:r w:rsidR="7B5F49A2" w:rsidRPr="0D9EFEE8">
        <w:t xml:space="preserve"> </w:t>
      </w:r>
      <w:r>
        <w:t>$4.6</w:t>
      </w:r>
      <w:r w:rsidR="00532FA5">
        <w:t> </w:t>
      </w:r>
      <w:r>
        <w:t xml:space="preserve">billion to increase </w:t>
      </w:r>
      <w:r w:rsidR="41B53E55">
        <w:t>CCS</w:t>
      </w:r>
      <w:r>
        <w:t xml:space="preserve"> rates from July 2023</w:t>
      </w:r>
      <w:r w:rsidR="00F6572B">
        <w:t>.</w:t>
      </w:r>
      <w:r w:rsidR="005B10F6" w:rsidRPr="0D9EFEE8">
        <w:t xml:space="preserve"> </w:t>
      </w:r>
      <w:r w:rsidR="00F6572B">
        <w:t>The Government</w:t>
      </w:r>
      <w:r w:rsidR="005B10F6">
        <w:t xml:space="preserve"> will provide $55.3 billion of CCS from 2023–24 to 2026–27</w:t>
      </w:r>
      <w:r w:rsidR="7A4FC4FF">
        <w:t>.</w:t>
      </w:r>
    </w:p>
    <w:p w14:paraId="583503F2" w14:textId="5DB9D12C" w:rsidR="00716BBA" w:rsidRPr="00B64B04" w:rsidRDefault="00EB59E4" w:rsidP="223409A0">
      <w:pPr>
        <w:pStyle w:val="SubNumberedList"/>
        <w:rPr>
          <w:rFonts w:cs="Calibri"/>
        </w:rPr>
      </w:pPr>
      <w:r w:rsidRPr="009251BB">
        <w:t>Many</w:t>
      </w:r>
      <w:r w:rsidR="6B335B40" w:rsidRPr="009251BB" w:rsidDel="28E6EFAD">
        <w:t xml:space="preserve"> Australian families</w:t>
      </w:r>
      <w:r w:rsidRPr="009251BB">
        <w:t xml:space="preserve"> use </w:t>
      </w:r>
      <w:r w:rsidR="003A5C4E" w:rsidRPr="009251BB">
        <w:t xml:space="preserve">ECEC </w:t>
      </w:r>
      <w:r w:rsidR="00F64A66" w:rsidRPr="009251BB">
        <w:t xml:space="preserve">for </w:t>
      </w:r>
      <w:r w:rsidR="00B772C6" w:rsidRPr="009251BB">
        <w:t>its</w:t>
      </w:r>
      <w:r w:rsidR="205B72E5" w:rsidRPr="009251BB">
        <w:t xml:space="preserve"> educational</w:t>
      </w:r>
      <w:r w:rsidR="205B72E5">
        <w:t xml:space="preserve"> and</w:t>
      </w:r>
      <w:r w:rsidR="50599470">
        <w:t xml:space="preserve"> </w:t>
      </w:r>
      <w:r w:rsidR="003E21FD">
        <w:t>developmental benefits</w:t>
      </w:r>
      <w:r w:rsidR="00B772C6">
        <w:t>, as well as</w:t>
      </w:r>
      <w:r w:rsidR="000773A2">
        <w:t> </w:t>
      </w:r>
      <w:r w:rsidR="00651BD4">
        <w:t>t</w:t>
      </w:r>
      <w:r w:rsidR="00B766E9">
        <w:t>he opportunities it offers parents to engage in work</w:t>
      </w:r>
      <w:r w:rsidR="00DC6B79">
        <w:t xml:space="preserve"> or study.</w:t>
      </w:r>
      <w:r w:rsidR="28E6EFAD">
        <w:t xml:space="preserve"> </w:t>
      </w:r>
      <w:r w:rsidR="20AE0BF7" w:rsidRPr="00B6125A">
        <w:rPr>
          <w:rStyle w:val="normaltextrun"/>
          <w:rFonts w:cs="Calibri"/>
          <w:shd w:val="clear" w:color="auto" w:fill="FFFFFF"/>
        </w:rPr>
        <w:t>In the</w:t>
      </w:r>
      <w:r w:rsidR="20AE0BF7" w:rsidRPr="00B6125A" w:rsidDel="007A4124">
        <w:rPr>
          <w:rStyle w:val="normaltextrun"/>
          <w:rFonts w:cs="Calibri"/>
          <w:shd w:val="clear" w:color="auto" w:fill="FFFFFF"/>
        </w:rPr>
        <w:t xml:space="preserve"> </w:t>
      </w:r>
      <w:r w:rsidR="007A4124" w:rsidRPr="00713247">
        <w:rPr>
          <w:rStyle w:val="normaltextrun"/>
          <w:rFonts w:cs="Calibri"/>
          <w:shd w:val="clear" w:color="auto" w:fill="FFFFFF"/>
        </w:rPr>
        <w:t xml:space="preserve">September </w:t>
      </w:r>
      <w:r w:rsidR="20AE0BF7" w:rsidRPr="00713247">
        <w:rPr>
          <w:rStyle w:val="normaltextrun"/>
          <w:rFonts w:cs="Calibri"/>
          <w:shd w:val="clear" w:color="auto" w:fill="FFFFFF"/>
        </w:rPr>
        <w:t>quarter 2022</w:t>
      </w:r>
      <w:r w:rsidR="20AE0BF7">
        <w:rPr>
          <w:rStyle w:val="normaltextrun"/>
          <w:rFonts w:cs="Calibri"/>
          <w:shd w:val="clear" w:color="auto" w:fill="FFFFFF"/>
        </w:rPr>
        <w:t xml:space="preserve">, </w:t>
      </w:r>
      <w:r w:rsidR="007A4124">
        <w:rPr>
          <w:rStyle w:val="normaltextrun"/>
          <w:rFonts w:cs="Calibri"/>
          <w:shd w:val="clear" w:color="auto" w:fill="FFFFFF"/>
        </w:rPr>
        <w:t>49</w:t>
      </w:r>
      <w:r w:rsidR="00346148">
        <w:rPr>
          <w:rStyle w:val="normaltextrun"/>
          <w:rFonts w:cs="Calibri"/>
          <w:shd w:val="clear" w:color="auto" w:fill="FFFFFF"/>
        </w:rPr>
        <w:t> per cent</w:t>
      </w:r>
      <w:r w:rsidR="20AE0BF7">
        <w:rPr>
          <w:rStyle w:val="normaltextrun"/>
          <w:rFonts w:cs="Calibri"/>
          <w:shd w:val="clear" w:color="auto" w:fill="FFFFFF"/>
        </w:rPr>
        <w:t xml:space="preserve"> of children aged </w:t>
      </w:r>
      <w:r w:rsidR="7248B9EF">
        <w:rPr>
          <w:rStyle w:val="normaltextrun"/>
          <w:rFonts w:cs="Calibri"/>
          <w:shd w:val="clear" w:color="auto" w:fill="FFFFFF"/>
        </w:rPr>
        <w:t>zero</w:t>
      </w:r>
      <w:r w:rsidR="46FFE619">
        <w:rPr>
          <w:rStyle w:val="normaltextrun"/>
          <w:rFonts w:cs="Calibri"/>
          <w:shd w:val="clear" w:color="auto" w:fill="FFFFFF"/>
        </w:rPr>
        <w:t xml:space="preserve"> to </w:t>
      </w:r>
      <w:r w:rsidR="20AE0BF7">
        <w:rPr>
          <w:rStyle w:val="normaltextrun"/>
          <w:rFonts w:cs="Calibri"/>
          <w:shd w:val="clear" w:color="auto" w:fill="FFFFFF"/>
        </w:rPr>
        <w:t xml:space="preserve">5 and </w:t>
      </w:r>
      <w:r w:rsidR="007A4124">
        <w:rPr>
          <w:rStyle w:val="normaltextrun"/>
          <w:rFonts w:cs="Calibri"/>
          <w:shd w:val="clear" w:color="auto" w:fill="FFFFFF"/>
        </w:rPr>
        <w:t>34.4</w:t>
      </w:r>
      <w:r w:rsidR="00346148">
        <w:rPr>
          <w:rStyle w:val="normaltextrun"/>
          <w:rFonts w:cs="Calibri"/>
          <w:shd w:val="clear" w:color="auto" w:fill="FFFFFF"/>
        </w:rPr>
        <w:t> per cent</w:t>
      </w:r>
      <w:r w:rsidR="36C7DD92">
        <w:rPr>
          <w:rStyle w:val="normaltextrun"/>
          <w:rFonts w:cs="Calibri"/>
          <w:shd w:val="clear" w:color="auto" w:fill="FFFFFF"/>
        </w:rPr>
        <w:t xml:space="preserve"> of children aged zero to</w:t>
      </w:r>
      <w:r w:rsidR="008911D1">
        <w:rPr>
          <w:rStyle w:val="normaltextrun"/>
          <w:rFonts w:cs="Calibri"/>
          <w:shd w:val="clear" w:color="auto" w:fill="FFFFFF"/>
        </w:rPr>
        <w:t> </w:t>
      </w:r>
      <w:r w:rsidR="36C7DD92">
        <w:rPr>
          <w:rStyle w:val="normaltextrun"/>
          <w:rFonts w:cs="Calibri"/>
          <w:shd w:val="clear" w:color="auto" w:fill="FFFFFF"/>
        </w:rPr>
        <w:t xml:space="preserve">12 </w:t>
      </w:r>
      <w:r w:rsidR="4AAB2B0A">
        <w:rPr>
          <w:rStyle w:val="normaltextrun"/>
          <w:rFonts w:cs="Calibri"/>
          <w:shd w:val="clear" w:color="auto" w:fill="FFFFFF"/>
        </w:rPr>
        <w:t>(as a proportion of all children in Australia)</w:t>
      </w:r>
      <w:r w:rsidR="2B6B6A71">
        <w:rPr>
          <w:rStyle w:val="normaltextrun"/>
          <w:rFonts w:cs="Calibri"/>
          <w:shd w:val="clear" w:color="auto" w:fill="FFFFFF"/>
        </w:rPr>
        <w:t xml:space="preserve"> used </w:t>
      </w:r>
      <w:r w:rsidR="6047C2F2">
        <w:rPr>
          <w:rStyle w:val="normaltextrun"/>
          <w:rFonts w:cs="Calibri"/>
          <w:shd w:val="clear" w:color="auto" w:fill="FFFFFF"/>
        </w:rPr>
        <w:t>CCS-</w:t>
      </w:r>
      <w:r w:rsidR="2B6B6A71">
        <w:rPr>
          <w:rStyle w:val="normaltextrun"/>
          <w:rFonts w:cs="Calibri"/>
          <w:shd w:val="clear" w:color="auto" w:fill="FFFFFF"/>
        </w:rPr>
        <w:t xml:space="preserve">approved </w:t>
      </w:r>
      <w:r w:rsidR="317C5CDC" w:rsidRPr="00EF1F98">
        <w:rPr>
          <w:rStyle w:val="normaltextrun"/>
          <w:rFonts w:cs="Calibri"/>
          <w:shd w:val="clear" w:color="auto" w:fill="FFFFFF"/>
        </w:rPr>
        <w:t>child care.</w:t>
      </w:r>
      <w:r w:rsidR="00943A59">
        <w:rPr>
          <w:rStyle w:val="FootnoteReference"/>
          <w:rFonts w:cs="Calibri"/>
          <w:shd w:val="clear" w:color="auto" w:fill="FFFFFF"/>
        </w:rPr>
        <w:footnoteReference w:id="3"/>
      </w:r>
    </w:p>
    <w:p w14:paraId="32461D54" w14:textId="141FC555" w:rsidR="00716BBA" w:rsidRPr="009251BB" w:rsidRDefault="656FE7BF" w:rsidP="009251BB">
      <w:pPr>
        <w:pStyle w:val="SubNumberedList"/>
      </w:pPr>
      <w:r>
        <w:t>In recent years, the Government has introduced a range of</w:t>
      </w:r>
      <w:r w:rsidR="00045F23">
        <w:t xml:space="preserve"> </w:t>
      </w:r>
      <w:r>
        <w:t>initiatives to</w:t>
      </w:r>
      <w:r w:rsidR="00641AC4">
        <w:t> </w:t>
      </w:r>
      <w:r>
        <w:t xml:space="preserve">facilitate access to ECEC and support the sector. This includes </w:t>
      </w:r>
      <w:r w:rsidR="68F0C6FB">
        <w:t>lifting</w:t>
      </w:r>
      <w:r>
        <w:t xml:space="preserve"> CCS rate</w:t>
      </w:r>
      <w:r w:rsidR="2FD136A5">
        <w:t>s</w:t>
      </w:r>
      <w:r>
        <w:t xml:space="preserve">, creating safeguards for the CCS against fraud and non-compliance, initiating </w:t>
      </w:r>
      <w:r w:rsidR="003E06D6">
        <w:t>a</w:t>
      </w:r>
      <w:r w:rsidR="00CA5A1E">
        <w:t>n ECEC pric</w:t>
      </w:r>
      <w:r w:rsidR="00BD0780">
        <w:t>e</w:t>
      </w:r>
      <w:r w:rsidR="003E06D6">
        <w:t xml:space="preserve"> </w:t>
      </w:r>
      <w:r>
        <w:t>inquir</w:t>
      </w:r>
      <w:r w:rsidR="003E06D6">
        <w:t>y</w:t>
      </w:r>
      <w:r>
        <w:t xml:space="preserve"> by the Australian</w:t>
      </w:r>
      <w:r w:rsidR="00A045FC">
        <w:t xml:space="preserve"> </w:t>
      </w:r>
      <w:r>
        <w:t xml:space="preserve">Competition </w:t>
      </w:r>
      <w:r w:rsidR="13CB2048">
        <w:t xml:space="preserve">and Consumer </w:t>
      </w:r>
      <w:r>
        <w:t xml:space="preserve">Commission, undertaking a new collaborative preschool reform agenda, and </w:t>
      </w:r>
      <w:r w:rsidR="00927193">
        <w:t xml:space="preserve">announcing </w:t>
      </w:r>
      <w:r>
        <w:t xml:space="preserve">multiple </w:t>
      </w:r>
      <w:r w:rsidR="007713BC">
        <w:t>measures</w:t>
      </w:r>
      <w:r w:rsidR="007713BC" w:rsidDel="00045F23">
        <w:t xml:space="preserve"> </w:t>
      </w:r>
      <w:r w:rsidR="00F362BE">
        <w:t>to support</w:t>
      </w:r>
      <w:r>
        <w:t xml:space="preserve"> the National Agreement on Closing the Gap. </w:t>
      </w:r>
      <w:r w:rsidR="7B10CE23">
        <w:t>All</w:t>
      </w:r>
      <w:r w:rsidR="330E8867">
        <w:t xml:space="preserve"> </w:t>
      </w:r>
      <w:r w:rsidR="430C1B99">
        <w:t>g</w:t>
      </w:r>
      <w:r w:rsidR="330E8867">
        <w:t>overnment</w:t>
      </w:r>
      <w:r w:rsidR="67B950F2">
        <w:t>s</w:t>
      </w:r>
      <w:r w:rsidR="7BC35C11">
        <w:t xml:space="preserve"> are</w:t>
      </w:r>
      <w:r>
        <w:t xml:space="preserve"> developing a</w:t>
      </w:r>
      <w:r w:rsidR="001D3AB8">
        <w:t> </w:t>
      </w:r>
      <w:r>
        <w:t xml:space="preserve">national long-term </w:t>
      </w:r>
      <w:r w:rsidR="000B0B96">
        <w:t xml:space="preserve">vision </w:t>
      </w:r>
      <w:r>
        <w:t xml:space="preserve">for ECEC </w:t>
      </w:r>
      <w:r w:rsidR="727CB213">
        <w:t>through National Cabinet</w:t>
      </w:r>
      <w:r w:rsidR="682BB4C4">
        <w:t>.</w:t>
      </w:r>
      <w:r w:rsidR="727CB213">
        <w:t xml:space="preserve"> </w:t>
      </w:r>
      <w:r w:rsidR="6D448880">
        <w:t>T</w:t>
      </w:r>
      <w:r w:rsidR="6DA7605A">
        <w:t>he Australian Government is</w:t>
      </w:r>
      <w:r w:rsidR="0065273F">
        <w:t> </w:t>
      </w:r>
      <w:r w:rsidR="2582D74E">
        <w:t xml:space="preserve">also </w:t>
      </w:r>
      <w:r w:rsidR="6DA7605A">
        <w:t xml:space="preserve">developing </w:t>
      </w:r>
      <w:r>
        <w:t xml:space="preserve">an Early Years Strategy </w:t>
      </w:r>
      <w:r w:rsidR="00214D1A">
        <w:t xml:space="preserve">for </w:t>
      </w:r>
      <w:r>
        <w:t>an integrated, holistic approach to</w:t>
      </w:r>
      <w:r w:rsidR="001C20DE">
        <w:t> </w:t>
      </w:r>
      <w:r>
        <w:t>supporting children’s early years.</w:t>
      </w:r>
    </w:p>
    <w:p w14:paraId="708262E4" w14:textId="78E42A75" w:rsidR="00716BBA" w:rsidRPr="009251BB" w:rsidRDefault="00C83FEA" w:rsidP="009251BB">
      <w:pPr>
        <w:pStyle w:val="SubNumberedList"/>
      </w:pPr>
      <w:r>
        <w:t>The</w:t>
      </w:r>
      <w:r w:rsidR="008F522D">
        <w:t xml:space="preserve"> Government has partnered with all governments, the ECEC sector, and other key stakeholders on a 10-year national workforce strategy to provide the sector with long-term support. </w:t>
      </w:r>
      <w:r w:rsidR="004F0255">
        <w:t>Addressing</w:t>
      </w:r>
      <w:r w:rsidR="007C32EF">
        <w:t xml:space="preserve"> persistent workforce challenges </w:t>
      </w:r>
      <w:r w:rsidR="005D7EF8">
        <w:t>is</w:t>
      </w:r>
      <w:r w:rsidR="437A2F18">
        <w:t xml:space="preserve"> also </w:t>
      </w:r>
      <w:r w:rsidR="00C674B0">
        <w:t>a key focus of the</w:t>
      </w:r>
      <w:r w:rsidR="007C32EF">
        <w:t xml:space="preserve"> 2023–24 </w:t>
      </w:r>
      <w:r w:rsidR="00741AF1">
        <w:t>B</w:t>
      </w:r>
      <w:r w:rsidR="007C32EF">
        <w:t>udget</w:t>
      </w:r>
      <w:r w:rsidR="00BB7912">
        <w:t>, w</w:t>
      </w:r>
      <w:r w:rsidR="006A2A5D">
        <w:t>hich</w:t>
      </w:r>
      <w:r w:rsidR="00576345" w:rsidRPr="00576345">
        <w:t xml:space="preserve"> will deliver </w:t>
      </w:r>
      <w:r w:rsidR="00576345" w:rsidRPr="0002527A">
        <w:t xml:space="preserve">$72.4 million </w:t>
      </w:r>
      <w:r w:rsidR="00576345" w:rsidRPr="00333446">
        <w:t xml:space="preserve">over </w:t>
      </w:r>
      <w:r w:rsidR="000F454E" w:rsidRPr="00333446">
        <w:t>5</w:t>
      </w:r>
      <w:r w:rsidR="00576345" w:rsidRPr="00333446">
        <w:t xml:space="preserve"> years</w:t>
      </w:r>
      <w:r w:rsidR="00576345" w:rsidRPr="00576345">
        <w:t xml:space="preserve"> </w:t>
      </w:r>
      <w:r w:rsidR="00333446" w:rsidRPr="00333446">
        <w:t xml:space="preserve">from 2022–23 to </w:t>
      </w:r>
      <w:r w:rsidR="00C645E7">
        <w:t xml:space="preserve">help </w:t>
      </w:r>
      <w:r w:rsidR="00333446" w:rsidRPr="00333446">
        <w:t xml:space="preserve">support the </w:t>
      </w:r>
      <w:r w:rsidR="00382277">
        <w:t>skills and training of</w:t>
      </w:r>
      <w:r w:rsidR="00613D23">
        <w:t xml:space="preserve"> </w:t>
      </w:r>
      <w:r w:rsidR="00FE74A0">
        <w:t xml:space="preserve">workers in the </w:t>
      </w:r>
      <w:r w:rsidR="00333446" w:rsidRPr="00333446">
        <w:t>ECEC sector</w:t>
      </w:r>
      <w:r w:rsidR="00576345" w:rsidRPr="00576345">
        <w:t>.</w:t>
      </w:r>
    </w:p>
    <w:p w14:paraId="070856E9" w14:textId="091F4B49" w:rsidR="00716BBA" w:rsidRPr="00716BBA" w:rsidRDefault="3AD9EE34" w:rsidP="009251BB">
      <w:pPr>
        <w:pStyle w:val="SubNumberedList"/>
      </w:pPr>
      <w:r>
        <w:t>This submission provides an overview of Australia’s ECEC system</w:t>
      </w:r>
      <w:r w:rsidR="00214D1A">
        <w:t xml:space="preserve"> and</w:t>
      </w:r>
      <w:r w:rsidR="00EF18BE">
        <w:t xml:space="preserve"> </w:t>
      </w:r>
      <w:r>
        <w:t>the role and responsibilities of the Australian Governmen</w:t>
      </w:r>
      <w:r w:rsidR="33504F2D">
        <w:t xml:space="preserve">t, as well </w:t>
      </w:r>
      <w:r>
        <w:t>a</w:t>
      </w:r>
      <w:r w:rsidR="00D5C4B0">
        <w:t>s</w:t>
      </w:r>
      <w:r>
        <w:t xml:space="preserve"> </w:t>
      </w:r>
      <w:r w:rsidR="00FA73D4">
        <w:t xml:space="preserve">joint </w:t>
      </w:r>
      <w:r w:rsidR="00FA73D4" w:rsidDel="00721260">
        <w:t xml:space="preserve">initiatives </w:t>
      </w:r>
      <w:r w:rsidR="00FA73D4">
        <w:t xml:space="preserve">between the </w:t>
      </w:r>
      <w:r>
        <w:t xml:space="preserve">Australian </w:t>
      </w:r>
      <w:r w:rsidR="33504F2D">
        <w:t>G</w:t>
      </w:r>
      <w:r>
        <w:t xml:space="preserve">overnment and </w:t>
      </w:r>
      <w:r w:rsidR="00FA73D4">
        <w:t>jurisdictions</w:t>
      </w:r>
      <w:r>
        <w:t xml:space="preserve">. </w:t>
      </w:r>
      <w:r w:rsidR="00CA23F2">
        <w:t>It</w:t>
      </w:r>
      <w:r>
        <w:t xml:space="preserve"> also outlines key issues </w:t>
      </w:r>
      <w:r w:rsidR="00D5C4B0">
        <w:t>in</w:t>
      </w:r>
      <w:r>
        <w:t xml:space="preserve"> the </w:t>
      </w:r>
      <w:r w:rsidR="7C9B5C5A">
        <w:t xml:space="preserve">current </w:t>
      </w:r>
      <w:r>
        <w:t>ECEC system.</w:t>
      </w:r>
      <w:r w:rsidR="6AE18D77">
        <w:t xml:space="preserve"> This submission </w:t>
      </w:r>
      <w:r>
        <w:t>is principally concerned with the</w:t>
      </w:r>
      <w:r w:rsidR="33504F2D">
        <w:t xml:space="preserve"> </w:t>
      </w:r>
      <w:r w:rsidR="760CD08A">
        <w:t xml:space="preserve">Australian Government’s </w:t>
      </w:r>
      <w:r w:rsidR="33504F2D">
        <w:t>role in ECEC</w:t>
      </w:r>
      <w:r>
        <w:t>.</w:t>
      </w:r>
    </w:p>
    <w:p w14:paraId="48DA2A4A" w14:textId="77777777" w:rsidR="00716BBA" w:rsidRPr="001E54D9" w:rsidRDefault="00533C69" w:rsidP="001E54D9">
      <w:pPr>
        <w:pStyle w:val="Subbodytext"/>
      </w:pPr>
      <w:bookmarkStart w:id="6" w:name="_Toc133073598"/>
      <w:r>
        <w:br w:type="page"/>
      </w:r>
    </w:p>
    <w:p w14:paraId="1345D15B" w14:textId="64FFEAA8" w:rsidR="0EC45726" w:rsidRDefault="327827BD" w:rsidP="00784057">
      <w:pPr>
        <w:pStyle w:val="SubNoNumberHeading"/>
      </w:pPr>
      <w:bookmarkStart w:id="7" w:name="_Toc134023005"/>
      <w:bookmarkStart w:id="8" w:name="_Toc134173408"/>
      <w:bookmarkStart w:id="9" w:name="_Toc135404843"/>
      <w:r>
        <w:t>Glossary</w:t>
      </w:r>
      <w:bookmarkEnd w:id="6"/>
      <w:bookmarkEnd w:id="7"/>
      <w:bookmarkEnd w:id="8"/>
      <w:bookmarkEnd w:id="9"/>
    </w:p>
    <w:tbl>
      <w:tblPr>
        <w:tblStyle w:val="TableGrid"/>
        <w:tblW w:w="5000" w:type="pct"/>
        <w:tblLook w:val="06A0" w:firstRow="1" w:lastRow="0" w:firstColumn="1" w:lastColumn="0" w:noHBand="1" w:noVBand="1"/>
      </w:tblPr>
      <w:tblGrid>
        <w:gridCol w:w="2122"/>
        <w:gridCol w:w="6894"/>
      </w:tblGrid>
      <w:tr w:rsidR="6463D65C" w14:paraId="10E00012" w14:textId="77777777" w:rsidTr="3A9B4A01">
        <w:trPr>
          <w:trHeight w:val="170"/>
        </w:trPr>
        <w:tc>
          <w:tcPr>
            <w:tcW w:w="1177" w:type="pct"/>
            <w:vAlign w:val="center"/>
          </w:tcPr>
          <w:p w14:paraId="08E49C4A" w14:textId="16791633" w:rsidR="783654FC" w:rsidRPr="000E0F4B" w:rsidRDefault="783654FC" w:rsidP="00FD4B82">
            <w:pPr>
              <w:pStyle w:val="SubGlossaryTable"/>
              <w:spacing w:before="100" w:after="100"/>
            </w:pPr>
            <w:r w:rsidRPr="000E0F4B">
              <w:t>ACCC</w:t>
            </w:r>
          </w:p>
        </w:tc>
        <w:tc>
          <w:tcPr>
            <w:tcW w:w="3823" w:type="pct"/>
            <w:vAlign w:val="center"/>
          </w:tcPr>
          <w:p w14:paraId="43048BD5" w14:textId="1AAAFA6D" w:rsidR="783654FC" w:rsidRPr="000E0F4B" w:rsidRDefault="783654FC" w:rsidP="00FD4B82">
            <w:pPr>
              <w:pStyle w:val="SubGlossaryTable"/>
              <w:spacing w:before="100" w:after="100"/>
            </w:pPr>
            <w:r w:rsidRPr="000E0F4B">
              <w:t>Australian Competition and Consumer Commission</w:t>
            </w:r>
          </w:p>
        </w:tc>
      </w:tr>
      <w:tr w:rsidR="008F348C" w14:paraId="0DC67BB8" w14:textId="77777777" w:rsidTr="3A9B4A01">
        <w:trPr>
          <w:trHeight w:val="170"/>
        </w:trPr>
        <w:tc>
          <w:tcPr>
            <w:tcW w:w="1177" w:type="pct"/>
            <w:vAlign w:val="center"/>
          </w:tcPr>
          <w:p w14:paraId="7795EAF7" w14:textId="3A87AF5D" w:rsidR="008F348C" w:rsidRPr="000E0F4B" w:rsidRDefault="008F348C" w:rsidP="00FD4B82">
            <w:pPr>
              <w:pStyle w:val="SubGlossaryTable"/>
              <w:spacing w:before="100" w:after="100"/>
            </w:pPr>
            <w:r w:rsidRPr="000E0F4B">
              <w:t>ACCS</w:t>
            </w:r>
          </w:p>
        </w:tc>
        <w:tc>
          <w:tcPr>
            <w:tcW w:w="3823" w:type="pct"/>
            <w:vAlign w:val="center"/>
          </w:tcPr>
          <w:p w14:paraId="4D63EEA1" w14:textId="5B2A1B0C" w:rsidR="008F348C" w:rsidRPr="000E0F4B" w:rsidRDefault="00D24E80" w:rsidP="00FD4B82">
            <w:pPr>
              <w:pStyle w:val="SubGlossaryTable"/>
              <w:spacing w:before="100" w:after="100"/>
            </w:pPr>
            <w:r w:rsidRPr="000E0F4B">
              <w:t>Additional Child Care Subsidy</w:t>
            </w:r>
          </w:p>
        </w:tc>
      </w:tr>
      <w:tr w:rsidR="00E33468" w14:paraId="4F107372" w14:textId="77777777" w:rsidTr="3A9B4A01">
        <w:trPr>
          <w:trHeight w:val="170"/>
        </w:trPr>
        <w:tc>
          <w:tcPr>
            <w:tcW w:w="1177" w:type="pct"/>
            <w:vAlign w:val="center"/>
          </w:tcPr>
          <w:p w14:paraId="4D86A225" w14:textId="0D0AB03B" w:rsidR="00E33468" w:rsidRPr="000E0F4B" w:rsidRDefault="00E33468" w:rsidP="00FD4B82">
            <w:pPr>
              <w:pStyle w:val="SubGlossaryTable"/>
              <w:spacing w:before="100" w:after="100"/>
            </w:pPr>
            <w:r w:rsidRPr="000E0F4B">
              <w:t>ACECQA</w:t>
            </w:r>
          </w:p>
        </w:tc>
        <w:tc>
          <w:tcPr>
            <w:tcW w:w="3823" w:type="pct"/>
            <w:vAlign w:val="center"/>
          </w:tcPr>
          <w:p w14:paraId="410745E0" w14:textId="0269B049" w:rsidR="00E33468" w:rsidRPr="000E0F4B" w:rsidRDefault="006C3CEA" w:rsidP="00FD4B82">
            <w:pPr>
              <w:pStyle w:val="SubGlossaryTable"/>
              <w:spacing w:before="100" w:after="100"/>
            </w:pPr>
            <w:r w:rsidRPr="000E0F4B">
              <w:t xml:space="preserve">Australian Children's Education </w:t>
            </w:r>
            <w:r w:rsidR="0035770D">
              <w:t xml:space="preserve">and </w:t>
            </w:r>
            <w:r w:rsidRPr="000E0F4B">
              <w:t>Care Quality Authority</w:t>
            </w:r>
          </w:p>
        </w:tc>
      </w:tr>
      <w:tr w:rsidR="00E33468" w14:paraId="787FA3BD" w14:textId="77777777" w:rsidTr="3A9B4A01">
        <w:trPr>
          <w:trHeight w:val="170"/>
        </w:trPr>
        <w:tc>
          <w:tcPr>
            <w:tcW w:w="1177" w:type="pct"/>
            <w:vAlign w:val="center"/>
          </w:tcPr>
          <w:p w14:paraId="35FEF8F4" w14:textId="59932383" w:rsidR="00E33468" w:rsidRPr="000E0F4B" w:rsidRDefault="626B7DA5" w:rsidP="00FD4B82">
            <w:pPr>
              <w:pStyle w:val="SubGlossaryTable"/>
              <w:spacing w:before="100" w:after="100"/>
            </w:pPr>
            <w:r w:rsidRPr="000E0F4B">
              <w:t>CBDC</w:t>
            </w:r>
          </w:p>
        </w:tc>
        <w:tc>
          <w:tcPr>
            <w:tcW w:w="3823" w:type="pct"/>
            <w:vAlign w:val="center"/>
          </w:tcPr>
          <w:p w14:paraId="11A16A81" w14:textId="45BB5899" w:rsidR="00E33468" w:rsidRPr="000E0F4B" w:rsidRDefault="626B7DA5" w:rsidP="00FD4B82">
            <w:pPr>
              <w:pStyle w:val="SubGlossaryTable"/>
              <w:spacing w:before="100" w:after="100"/>
            </w:pPr>
            <w:r w:rsidRPr="000E0F4B">
              <w:t xml:space="preserve">Centre-based </w:t>
            </w:r>
            <w:r w:rsidR="00340CB7" w:rsidRPr="000E0F4B">
              <w:t>d</w:t>
            </w:r>
            <w:r w:rsidRPr="000E0F4B">
              <w:t xml:space="preserve">ay </w:t>
            </w:r>
            <w:r w:rsidR="00340CB7" w:rsidRPr="000E0F4B">
              <w:t>c</w:t>
            </w:r>
            <w:r w:rsidRPr="000E0F4B">
              <w:t>are</w:t>
            </w:r>
          </w:p>
        </w:tc>
      </w:tr>
      <w:tr w:rsidR="6463D65C" w14:paraId="47D7652D" w14:textId="77777777" w:rsidTr="3A9B4A01">
        <w:trPr>
          <w:trHeight w:val="170"/>
        </w:trPr>
        <w:tc>
          <w:tcPr>
            <w:tcW w:w="1177" w:type="pct"/>
            <w:vAlign w:val="center"/>
          </w:tcPr>
          <w:p w14:paraId="75775F61" w14:textId="0D7494D4" w:rsidR="6463D65C" w:rsidRPr="000E0F4B" w:rsidRDefault="4AE3F10D" w:rsidP="00FD4B82">
            <w:pPr>
              <w:pStyle w:val="SubGlossaryTable"/>
              <w:spacing w:before="100" w:after="100"/>
            </w:pPr>
            <w:r w:rsidRPr="000E0F4B">
              <w:t>CCCF</w:t>
            </w:r>
          </w:p>
        </w:tc>
        <w:tc>
          <w:tcPr>
            <w:tcW w:w="3823" w:type="pct"/>
            <w:vAlign w:val="center"/>
          </w:tcPr>
          <w:p w14:paraId="363E0DE7" w14:textId="206250C7" w:rsidR="6463D65C" w:rsidRPr="000E0F4B" w:rsidRDefault="4AE3F10D" w:rsidP="00FD4B82">
            <w:pPr>
              <w:pStyle w:val="SubGlossaryTable"/>
              <w:spacing w:before="100" w:after="100"/>
            </w:pPr>
            <w:r w:rsidRPr="000E0F4B">
              <w:t>Community Child Care Fund</w:t>
            </w:r>
          </w:p>
        </w:tc>
      </w:tr>
      <w:tr w:rsidR="6463D65C" w14:paraId="28E0E15D" w14:textId="77777777" w:rsidTr="3A9B4A01">
        <w:trPr>
          <w:trHeight w:val="170"/>
        </w:trPr>
        <w:tc>
          <w:tcPr>
            <w:tcW w:w="1177" w:type="pct"/>
            <w:vAlign w:val="center"/>
          </w:tcPr>
          <w:p w14:paraId="6492F64F" w14:textId="49C0715D" w:rsidR="24913F88" w:rsidRPr="000E0F4B" w:rsidRDefault="24913F88" w:rsidP="00FD4B82">
            <w:pPr>
              <w:pStyle w:val="SubGlossaryTable"/>
              <w:spacing w:before="100" w:after="100"/>
            </w:pPr>
            <w:r w:rsidRPr="000E0F4B">
              <w:t>CCS</w:t>
            </w:r>
          </w:p>
        </w:tc>
        <w:tc>
          <w:tcPr>
            <w:tcW w:w="3823" w:type="pct"/>
            <w:vAlign w:val="center"/>
          </w:tcPr>
          <w:p w14:paraId="6A414972" w14:textId="1891302E" w:rsidR="24913F88" w:rsidRPr="000E0F4B" w:rsidRDefault="24913F88" w:rsidP="00FD4B82">
            <w:pPr>
              <w:pStyle w:val="SubGlossaryTable"/>
              <w:spacing w:before="100" w:after="100"/>
            </w:pPr>
            <w:r w:rsidRPr="000E0F4B">
              <w:t>Child Care Subsidy</w:t>
            </w:r>
          </w:p>
        </w:tc>
      </w:tr>
      <w:tr w:rsidR="6463D65C" w14:paraId="267CD529" w14:textId="77777777" w:rsidTr="3A9B4A01">
        <w:trPr>
          <w:trHeight w:val="170"/>
        </w:trPr>
        <w:tc>
          <w:tcPr>
            <w:tcW w:w="1177" w:type="pct"/>
            <w:vAlign w:val="center"/>
          </w:tcPr>
          <w:p w14:paraId="575F5B3F" w14:textId="0D92FE47" w:rsidR="24913F88" w:rsidRPr="000E0F4B" w:rsidRDefault="24913F88" w:rsidP="00FD4B82">
            <w:pPr>
              <w:pStyle w:val="SubGlossaryTable"/>
              <w:spacing w:before="100" w:after="100"/>
            </w:pPr>
            <w:r w:rsidRPr="000E0F4B">
              <w:t>ECEC</w:t>
            </w:r>
          </w:p>
        </w:tc>
        <w:tc>
          <w:tcPr>
            <w:tcW w:w="3823" w:type="pct"/>
            <w:vAlign w:val="center"/>
          </w:tcPr>
          <w:p w14:paraId="72717A9A" w14:textId="2638BB52" w:rsidR="24913F88" w:rsidRPr="000E0F4B" w:rsidRDefault="24913F88" w:rsidP="00FD4B82">
            <w:pPr>
              <w:pStyle w:val="SubGlossaryTable"/>
              <w:spacing w:before="100" w:after="100"/>
            </w:pPr>
            <w:r w:rsidRPr="000E0F4B">
              <w:t xml:space="preserve">Early </w:t>
            </w:r>
            <w:r w:rsidR="00340CB7" w:rsidRPr="000E0F4B">
              <w:t>c</w:t>
            </w:r>
            <w:r w:rsidRPr="000E0F4B">
              <w:t xml:space="preserve">hildhood </w:t>
            </w:r>
            <w:r w:rsidR="00340CB7" w:rsidRPr="000E0F4B">
              <w:t>e</w:t>
            </w:r>
            <w:r w:rsidRPr="000E0F4B">
              <w:t xml:space="preserve">ducation and </w:t>
            </w:r>
            <w:r w:rsidR="00340CB7" w:rsidRPr="000E0F4B">
              <w:t>c</w:t>
            </w:r>
            <w:r w:rsidRPr="000E0F4B">
              <w:t>are</w:t>
            </w:r>
          </w:p>
        </w:tc>
      </w:tr>
      <w:tr w:rsidR="6463D65C" w14:paraId="485E9897" w14:textId="77777777" w:rsidTr="3A9B4A01">
        <w:trPr>
          <w:trHeight w:val="170"/>
        </w:trPr>
        <w:tc>
          <w:tcPr>
            <w:tcW w:w="1177" w:type="pct"/>
            <w:vAlign w:val="center"/>
          </w:tcPr>
          <w:p w14:paraId="6FCF1C63" w14:textId="12E596BC" w:rsidR="6463D65C" w:rsidRPr="000E0F4B" w:rsidRDefault="68E62535" w:rsidP="00FD4B82">
            <w:pPr>
              <w:pStyle w:val="SubGlossaryTable"/>
              <w:spacing w:before="100" w:after="100"/>
            </w:pPr>
            <w:r w:rsidRPr="000E0F4B">
              <w:t>FAL</w:t>
            </w:r>
          </w:p>
        </w:tc>
        <w:tc>
          <w:tcPr>
            <w:tcW w:w="3823" w:type="pct"/>
            <w:vAlign w:val="center"/>
          </w:tcPr>
          <w:p w14:paraId="426BDB1E" w14:textId="4F4BC381" w:rsidR="6463D65C" w:rsidRPr="000E0F4B" w:rsidRDefault="68E62535" w:rsidP="00FD4B82">
            <w:pPr>
              <w:pStyle w:val="SubGlossaryTable"/>
              <w:spacing w:before="100" w:after="100"/>
            </w:pPr>
            <w:r w:rsidRPr="000E0F4B">
              <w:t>Family Assistance Law</w:t>
            </w:r>
          </w:p>
        </w:tc>
      </w:tr>
      <w:tr w:rsidR="6463D65C" w14:paraId="747C5418" w14:textId="77777777" w:rsidTr="3A9B4A01">
        <w:trPr>
          <w:trHeight w:val="170"/>
        </w:trPr>
        <w:tc>
          <w:tcPr>
            <w:tcW w:w="1177" w:type="pct"/>
            <w:vAlign w:val="center"/>
          </w:tcPr>
          <w:p w14:paraId="239DD61D" w14:textId="24F2F51B" w:rsidR="6463D65C" w:rsidRPr="000E0F4B" w:rsidRDefault="000A13DF" w:rsidP="00FD4B82">
            <w:pPr>
              <w:pStyle w:val="SubGlossaryTable"/>
              <w:spacing w:before="100" w:after="100"/>
            </w:pPr>
            <w:r w:rsidRPr="000E0F4B">
              <w:t>FDC</w:t>
            </w:r>
          </w:p>
        </w:tc>
        <w:tc>
          <w:tcPr>
            <w:tcW w:w="3823" w:type="pct"/>
            <w:vAlign w:val="center"/>
          </w:tcPr>
          <w:p w14:paraId="18FA7E77" w14:textId="0B5622CD" w:rsidR="6463D65C" w:rsidRPr="000E0F4B" w:rsidRDefault="000A13DF" w:rsidP="00FD4B82">
            <w:pPr>
              <w:pStyle w:val="SubGlossaryTable"/>
              <w:spacing w:before="100" w:after="100"/>
            </w:pPr>
            <w:r w:rsidRPr="000E0F4B">
              <w:t xml:space="preserve">Family </w:t>
            </w:r>
            <w:r w:rsidR="009701DC">
              <w:t>d</w:t>
            </w:r>
            <w:r w:rsidRPr="000E0F4B">
              <w:t xml:space="preserve">ay </w:t>
            </w:r>
            <w:r w:rsidR="009701DC">
              <w:t>c</w:t>
            </w:r>
            <w:r w:rsidRPr="000E0F4B">
              <w:t>are</w:t>
            </w:r>
          </w:p>
        </w:tc>
      </w:tr>
      <w:tr w:rsidR="6463D65C" w14:paraId="10364A32" w14:textId="77777777" w:rsidTr="3A9B4A01">
        <w:trPr>
          <w:trHeight w:val="170"/>
        </w:trPr>
        <w:tc>
          <w:tcPr>
            <w:tcW w:w="1177" w:type="pct"/>
            <w:vAlign w:val="center"/>
          </w:tcPr>
          <w:p w14:paraId="25B86A8C" w14:textId="26FE832D" w:rsidR="6463D65C" w:rsidRPr="000E0F4B" w:rsidRDefault="009125B2" w:rsidP="00FD4B82">
            <w:pPr>
              <w:pStyle w:val="SubGlossaryTable"/>
              <w:spacing w:before="100" w:after="100"/>
            </w:pPr>
            <w:r w:rsidRPr="000E0F4B">
              <w:t>IHC</w:t>
            </w:r>
          </w:p>
        </w:tc>
        <w:tc>
          <w:tcPr>
            <w:tcW w:w="3823" w:type="pct"/>
            <w:vAlign w:val="center"/>
          </w:tcPr>
          <w:p w14:paraId="5F7897DB" w14:textId="494019AE" w:rsidR="6463D65C" w:rsidRPr="000E0F4B" w:rsidRDefault="009125B2" w:rsidP="00FD4B82">
            <w:pPr>
              <w:pStyle w:val="SubGlossaryTable"/>
              <w:spacing w:before="100" w:after="100"/>
            </w:pPr>
            <w:r w:rsidRPr="000E0F4B">
              <w:t xml:space="preserve">In </w:t>
            </w:r>
            <w:r w:rsidR="009701DC">
              <w:t>h</w:t>
            </w:r>
            <w:r w:rsidRPr="000E0F4B">
              <w:t xml:space="preserve">ome </w:t>
            </w:r>
            <w:r w:rsidR="009701DC">
              <w:t>c</w:t>
            </w:r>
            <w:r w:rsidRPr="000E0F4B">
              <w:t>are</w:t>
            </w:r>
          </w:p>
        </w:tc>
      </w:tr>
      <w:tr w:rsidR="003D7AFC" w14:paraId="673D7ED0" w14:textId="77777777" w:rsidTr="3A9B4A01">
        <w:trPr>
          <w:trHeight w:val="170"/>
        </w:trPr>
        <w:tc>
          <w:tcPr>
            <w:tcW w:w="1177" w:type="pct"/>
            <w:vAlign w:val="center"/>
          </w:tcPr>
          <w:p w14:paraId="48911E5C" w14:textId="632518F7" w:rsidR="003D7AFC" w:rsidRPr="000E0F4B" w:rsidRDefault="003D7AFC" w:rsidP="00FD4B82">
            <w:pPr>
              <w:pStyle w:val="SubGlossaryTable"/>
              <w:spacing w:before="100" w:after="100"/>
            </w:pPr>
            <w:r w:rsidRPr="000E0F4B">
              <w:t>ISP</w:t>
            </w:r>
          </w:p>
        </w:tc>
        <w:tc>
          <w:tcPr>
            <w:tcW w:w="3823" w:type="pct"/>
            <w:vAlign w:val="center"/>
          </w:tcPr>
          <w:p w14:paraId="02468A8A" w14:textId="2920889F" w:rsidR="003D7AFC" w:rsidRPr="000E0F4B" w:rsidRDefault="003D7AFC" w:rsidP="00FD4B82">
            <w:pPr>
              <w:pStyle w:val="SubGlossaryTable"/>
              <w:spacing w:before="100" w:after="100"/>
            </w:pPr>
            <w:r w:rsidRPr="000E0F4B">
              <w:t xml:space="preserve">Inclusion Support Program </w:t>
            </w:r>
          </w:p>
        </w:tc>
      </w:tr>
      <w:tr w:rsidR="0081693A" w14:paraId="011DC1DF" w14:textId="77777777" w:rsidTr="3A9B4A01">
        <w:trPr>
          <w:trHeight w:val="170"/>
        </w:trPr>
        <w:tc>
          <w:tcPr>
            <w:tcW w:w="1177" w:type="pct"/>
            <w:vAlign w:val="center"/>
          </w:tcPr>
          <w:p w14:paraId="2D5CD67F" w14:textId="78D88F3A" w:rsidR="0081693A" w:rsidRDefault="0081693A" w:rsidP="00FD4B82">
            <w:pPr>
              <w:pStyle w:val="SubGlossaryTable"/>
              <w:spacing w:before="100" w:after="100"/>
            </w:pPr>
            <w:r>
              <w:t>Government</w:t>
            </w:r>
          </w:p>
        </w:tc>
        <w:tc>
          <w:tcPr>
            <w:tcW w:w="3823" w:type="pct"/>
            <w:vAlign w:val="center"/>
          </w:tcPr>
          <w:p w14:paraId="5D9D9303" w14:textId="3B98029E" w:rsidR="0081693A" w:rsidRPr="0081693A" w:rsidRDefault="0081693A" w:rsidP="3A9B4A01">
            <w:pPr>
              <w:pStyle w:val="SubGlossaryTable"/>
              <w:spacing w:before="100" w:after="100"/>
            </w:pPr>
            <w:r>
              <w:t>Australian Government</w:t>
            </w:r>
          </w:p>
        </w:tc>
      </w:tr>
      <w:tr w:rsidR="007F0EE6" w14:paraId="63433018" w14:textId="77777777" w:rsidTr="3A9B4A01">
        <w:trPr>
          <w:trHeight w:val="170"/>
        </w:trPr>
        <w:tc>
          <w:tcPr>
            <w:tcW w:w="1177" w:type="pct"/>
            <w:vAlign w:val="center"/>
          </w:tcPr>
          <w:p w14:paraId="5F38537B" w14:textId="6D2C2735" w:rsidR="007F0EE6" w:rsidRPr="000E0F4B" w:rsidRDefault="0B4EF602" w:rsidP="00FD4B82">
            <w:pPr>
              <w:pStyle w:val="SubGlossaryTable"/>
              <w:spacing w:before="100" w:after="100"/>
            </w:pPr>
            <w:r>
              <w:t>National Law</w:t>
            </w:r>
          </w:p>
        </w:tc>
        <w:tc>
          <w:tcPr>
            <w:tcW w:w="3823" w:type="pct"/>
            <w:vAlign w:val="center"/>
          </w:tcPr>
          <w:p w14:paraId="0EE7876E" w14:textId="42DBC215" w:rsidR="007F0EE6" w:rsidRPr="00471F99" w:rsidRDefault="4A8B4A50" w:rsidP="3A9B4A01">
            <w:pPr>
              <w:pStyle w:val="SubGlossaryTable"/>
              <w:spacing w:before="100" w:after="100"/>
              <w:rPr>
                <w:i/>
                <w:iCs/>
              </w:rPr>
            </w:pPr>
            <w:r w:rsidRPr="00471F99">
              <w:rPr>
                <w:i/>
                <w:iCs/>
              </w:rPr>
              <w:t>Education and Care Services National Law 2010</w:t>
            </w:r>
          </w:p>
        </w:tc>
      </w:tr>
      <w:tr w:rsidR="003143AE" w14:paraId="1A125A4A" w14:textId="77777777" w:rsidTr="3A9B4A01">
        <w:trPr>
          <w:trHeight w:val="170"/>
        </w:trPr>
        <w:tc>
          <w:tcPr>
            <w:tcW w:w="1177" w:type="pct"/>
            <w:vAlign w:val="center"/>
          </w:tcPr>
          <w:p w14:paraId="0E82E4FB" w14:textId="27FAF407" w:rsidR="003143AE" w:rsidRPr="000E0F4B" w:rsidRDefault="003143AE" w:rsidP="00FD4B82">
            <w:pPr>
              <w:pStyle w:val="SubGlossaryTable"/>
              <w:spacing w:before="100" w:after="100"/>
            </w:pPr>
            <w:r>
              <w:t>National Regulations</w:t>
            </w:r>
          </w:p>
        </w:tc>
        <w:tc>
          <w:tcPr>
            <w:tcW w:w="3823" w:type="pct"/>
            <w:vAlign w:val="center"/>
          </w:tcPr>
          <w:p w14:paraId="4E97367E" w14:textId="45B6AAC0" w:rsidR="003143AE" w:rsidRPr="00CB4EC8" w:rsidRDefault="55B3B9D5">
            <w:pPr>
              <w:pStyle w:val="SubGlossaryTable"/>
              <w:spacing w:before="100" w:after="100"/>
            </w:pPr>
            <w:r w:rsidRPr="00CB4EC8">
              <w:t>Education and Care Services National Regulations 2011</w:t>
            </w:r>
          </w:p>
        </w:tc>
      </w:tr>
      <w:tr w:rsidR="6463D65C" w14:paraId="1DD7E103" w14:textId="77777777" w:rsidTr="3A9B4A01">
        <w:trPr>
          <w:trHeight w:val="170"/>
        </w:trPr>
        <w:tc>
          <w:tcPr>
            <w:tcW w:w="1177" w:type="pct"/>
            <w:vAlign w:val="center"/>
          </w:tcPr>
          <w:p w14:paraId="371258BE" w14:textId="55349EBE" w:rsidR="6463D65C" w:rsidRPr="000E0F4B" w:rsidRDefault="68E62535" w:rsidP="00FD4B82">
            <w:pPr>
              <w:pStyle w:val="SubGlossaryTable"/>
              <w:spacing w:before="100" w:after="100"/>
            </w:pPr>
            <w:r w:rsidRPr="000E0F4B">
              <w:t>NQF</w:t>
            </w:r>
          </w:p>
        </w:tc>
        <w:tc>
          <w:tcPr>
            <w:tcW w:w="3823" w:type="pct"/>
            <w:vAlign w:val="center"/>
          </w:tcPr>
          <w:p w14:paraId="4DCE5DF1" w14:textId="38148739" w:rsidR="6463D65C" w:rsidRPr="000E0F4B" w:rsidRDefault="68E62535" w:rsidP="00FD4B82">
            <w:pPr>
              <w:pStyle w:val="SubGlossaryTable"/>
              <w:spacing w:before="100" w:after="100"/>
            </w:pPr>
            <w:r w:rsidRPr="000E0F4B">
              <w:t>National Quality Framework</w:t>
            </w:r>
          </w:p>
        </w:tc>
      </w:tr>
      <w:tr w:rsidR="6463D65C" w14:paraId="29437FCF" w14:textId="77777777" w:rsidTr="3A9B4A01">
        <w:trPr>
          <w:trHeight w:val="170"/>
        </w:trPr>
        <w:tc>
          <w:tcPr>
            <w:tcW w:w="1177" w:type="pct"/>
            <w:vAlign w:val="center"/>
          </w:tcPr>
          <w:p w14:paraId="756D14ED" w14:textId="124DC633" w:rsidR="6463D65C" w:rsidRPr="000E0F4B" w:rsidRDefault="007F72D4" w:rsidP="00FD4B82">
            <w:pPr>
              <w:pStyle w:val="SubGlossaryTable"/>
              <w:spacing w:before="100" w:after="100"/>
            </w:pPr>
            <w:r w:rsidRPr="000E0F4B">
              <w:t>NQS</w:t>
            </w:r>
          </w:p>
        </w:tc>
        <w:tc>
          <w:tcPr>
            <w:tcW w:w="3823" w:type="pct"/>
            <w:vAlign w:val="center"/>
          </w:tcPr>
          <w:p w14:paraId="0ABD005E" w14:textId="5518DB06" w:rsidR="6463D65C" w:rsidRPr="000E0F4B" w:rsidRDefault="002701FF" w:rsidP="00FD4B82">
            <w:pPr>
              <w:pStyle w:val="SubGlossaryTable"/>
              <w:spacing w:before="100" w:after="100"/>
            </w:pPr>
            <w:r w:rsidRPr="000E0F4B">
              <w:t>National Quality Standard</w:t>
            </w:r>
          </w:p>
        </w:tc>
      </w:tr>
      <w:tr w:rsidR="0038477A" w14:paraId="3EC74044" w14:textId="77777777" w:rsidTr="3A9B4A01">
        <w:trPr>
          <w:trHeight w:val="170"/>
        </w:trPr>
        <w:tc>
          <w:tcPr>
            <w:tcW w:w="1177" w:type="pct"/>
            <w:vAlign w:val="center"/>
          </w:tcPr>
          <w:p w14:paraId="763F72CF" w14:textId="2921935E" w:rsidR="0038477A" w:rsidRPr="000E0F4B" w:rsidRDefault="0038477A" w:rsidP="00FD4B82">
            <w:pPr>
              <w:pStyle w:val="SubGlossaryTable"/>
              <w:spacing w:before="100" w:after="100"/>
            </w:pPr>
            <w:r w:rsidRPr="000E0F4B">
              <w:t>OSHC</w:t>
            </w:r>
          </w:p>
        </w:tc>
        <w:tc>
          <w:tcPr>
            <w:tcW w:w="3823" w:type="pct"/>
            <w:vAlign w:val="center"/>
          </w:tcPr>
          <w:p w14:paraId="7B24686E" w14:textId="0FC1E283" w:rsidR="0038477A" w:rsidRPr="000E0F4B" w:rsidRDefault="0038477A" w:rsidP="00FD4B82">
            <w:pPr>
              <w:pStyle w:val="SubGlossaryTable"/>
              <w:spacing w:before="100" w:after="100"/>
            </w:pPr>
            <w:r w:rsidRPr="000E0F4B">
              <w:t xml:space="preserve">Outside </w:t>
            </w:r>
            <w:r w:rsidR="00564689">
              <w:t>s</w:t>
            </w:r>
            <w:r w:rsidRPr="000E0F4B">
              <w:t xml:space="preserve">chool </w:t>
            </w:r>
            <w:r w:rsidR="00564689">
              <w:t>h</w:t>
            </w:r>
            <w:r w:rsidRPr="000E0F4B">
              <w:t xml:space="preserve">ours </w:t>
            </w:r>
            <w:r w:rsidR="00564689">
              <w:t>c</w:t>
            </w:r>
            <w:r w:rsidRPr="000E0F4B">
              <w:t>are</w:t>
            </w:r>
          </w:p>
        </w:tc>
      </w:tr>
      <w:tr w:rsidR="0038477A" w14:paraId="7ED8FBE6" w14:textId="77777777" w:rsidTr="3A9B4A01">
        <w:trPr>
          <w:trHeight w:val="170"/>
        </w:trPr>
        <w:tc>
          <w:tcPr>
            <w:tcW w:w="1177" w:type="pct"/>
            <w:vAlign w:val="center"/>
          </w:tcPr>
          <w:p w14:paraId="26B67FEB" w14:textId="5D4442A3" w:rsidR="0038477A" w:rsidRPr="000E0F4B" w:rsidRDefault="005D7583" w:rsidP="00FD4B82">
            <w:pPr>
              <w:pStyle w:val="SubGlossaryTable"/>
              <w:spacing w:before="100" w:after="100"/>
            </w:pPr>
            <w:r w:rsidRPr="000E0F4B">
              <w:t>PRA</w:t>
            </w:r>
          </w:p>
        </w:tc>
        <w:tc>
          <w:tcPr>
            <w:tcW w:w="3823" w:type="pct"/>
            <w:vAlign w:val="center"/>
          </w:tcPr>
          <w:p w14:paraId="42562BBE" w14:textId="085E417D" w:rsidR="0038477A" w:rsidRPr="000E0F4B" w:rsidRDefault="005D7583" w:rsidP="00FD4B82">
            <w:pPr>
              <w:pStyle w:val="SubGlossaryTable"/>
              <w:spacing w:before="100" w:after="100"/>
            </w:pPr>
            <w:r w:rsidRPr="000E0F4B">
              <w:t>P</w:t>
            </w:r>
            <w:r w:rsidR="008C2940" w:rsidRPr="000E0F4B">
              <w:t xml:space="preserve">reschool Reform Agreement </w:t>
            </w:r>
          </w:p>
        </w:tc>
      </w:tr>
      <w:tr w:rsidR="6463D65C" w14:paraId="72C6776E" w14:textId="77777777" w:rsidTr="3A9B4A01">
        <w:trPr>
          <w:trHeight w:val="170"/>
        </w:trPr>
        <w:tc>
          <w:tcPr>
            <w:tcW w:w="1177" w:type="pct"/>
            <w:vAlign w:val="center"/>
          </w:tcPr>
          <w:p w14:paraId="3F023695" w14:textId="6B7D5C85" w:rsidR="6463D65C" w:rsidRPr="000E0F4B" w:rsidRDefault="729B4899" w:rsidP="00FD4B82">
            <w:pPr>
              <w:pStyle w:val="SubGlossaryTable"/>
              <w:spacing w:before="100" w:after="100"/>
            </w:pPr>
            <w:r w:rsidRPr="000E0F4B">
              <w:t>SNAICC</w:t>
            </w:r>
          </w:p>
        </w:tc>
        <w:tc>
          <w:tcPr>
            <w:tcW w:w="3823" w:type="pct"/>
            <w:vAlign w:val="center"/>
          </w:tcPr>
          <w:p w14:paraId="638D6B4E" w14:textId="1EF34818" w:rsidR="6463D65C" w:rsidRPr="000E0F4B" w:rsidRDefault="00A46B09" w:rsidP="00FD4B82">
            <w:pPr>
              <w:pStyle w:val="SubGlossaryTable"/>
              <w:spacing w:before="100" w:after="100"/>
            </w:pPr>
            <w:r>
              <w:t>SNAICC</w:t>
            </w:r>
            <w:r w:rsidR="00F951ED" w:rsidRPr="000E0F4B">
              <w:t xml:space="preserve"> – National Voice for our Children</w:t>
            </w:r>
          </w:p>
        </w:tc>
      </w:tr>
      <w:tr w:rsidR="006D4C54" w14:paraId="2AEB9A95" w14:textId="77777777" w:rsidTr="3A9B4A01">
        <w:trPr>
          <w:trHeight w:val="170"/>
        </w:trPr>
        <w:tc>
          <w:tcPr>
            <w:tcW w:w="1177" w:type="pct"/>
            <w:vAlign w:val="center"/>
          </w:tcPr>
          <w:p w14:paraId="7FC0212E" w14:textId="1A493597" w:rsidR="006D4C54" w:rsidRPr="000E0F4B" w:rsidRDefault="006D4C54" w:rsidP="00FD4B82">
            <w:pPr>
              <w:pStyle w:val="SubGlossaryTable"/>
              <w:spacing w:before="100" w:after="100"/>
            </w:pPr>
            <w:r w:rsidRPr="000E0F4B">
              <w:t>the department</w:t>
            </w:r>
          </w:p>
        </w:tc>
        <w:tc>
          <w:tcPr>
            <w:tcW w:w="3823" w:type="pct"/>
            <w:vAlign w:val="center"/>
          </w:tcPr>
          <w:p w14:paraId="08C5E4EA" w14:textId="58D7FF40" w:rsidR="006D4C54" w:rsidRPr="000E0F4B" w:rsidRDefault="00F951ED" w:rsidP="00FD4B82">
            <w:pPr>
              <w:pStyle w:val="SubGlossaryTable"/>
              <w:spacing w:before="100" w:after="100"/>
            </w:pPr>
            <w:r w:rsidRPr="000E0F4B">
              <w:t xml:space="preserve">Australian Government </w:t>
            </w:r>
            <w:r w:rsidR="006D4C54" w:rsidRPr="000E0F4B">
              <w:t>Department of Educati</w:t>
            </w:r>
            <w:r w:rsidR="00347483" w:rsidRPr="000E0F4B">
              <w:t>on</w:t>
            </w:r>
          </w:p>
        </w:tc>
      </w:tr>
      <w:tr w:rsidR="00736479" w14:paraId="40B89143" w14:textId="77777777" w:rsidTr="3A9B4A01">
        <w:trPr>
          <w:trHeight w:val="170"/>
        </w:trPr>
        <w:tc>
          <w:tcPr>
            <w:tcW w:w="1177" w:type="pct"/>
            <w:vAlign w:val="center"/>
          </w:tcPr>
          <w:p w14:paraId="41FACC21" w14:textId="5C27B6A3" w:rsidR="00736479" w:rsidRPr="000E0F4B" w:rsidRDefault="00736479" w:rsidP="00FD4B82">
            <w:pPr>
              <w:pStyle w:val="SubGlossaryTable"/>
              <w:spacing w:before="100" w:after="100"/>
            </w:pPr>
            <w:r w:rsidRPr="000E0F4B">
              <w:t>TPP</w:t>
            </w:r>
          </w:p>
        </w:tc>
        <w:tc>
          <w:tcPr>
            <w:tcW w:w="3823" w:type="pct"/>
            <w:vAlign w:val="center"/>
          </w:tcPr>
          <w:p w14:paraId="4D75F158" w14:textId="1DDC9F9C" w:rsidR="00736479" w:rsidRPr="000E0F4B" w:rsidRDefault="00736479" w:rsidP="00FD4B82">
            <w:pPr>
              <w:pStyle w:val="SubGlossaryTable"/>
              <w:spacing w:before="100" w:after="100"/>
            </w:pPr>
            <w:r w:rsidRPr="000E0F4B">
              <w:t>Third</w:t>
            </w:r>
            <w:r w:rsidR="00906F5F">
              <w:t>-</w:t>
            </w:r>
            <w:r w:rsidRPr="000E0F4B">
              <w:t>party payment</w:t>
            </w:r>
          </w:p>
        </w:tc>
      </w:tr>
      <w:tr w:rsidR="00121031" w14:paraId="2E5B818F" w14:textId="77777777" w:rsidTr="3A9B4A01">
        <w:trPr>
          <w:trHeight w:val="170"/>
        </w:trPr>
        <w:tc>
          <w:tcPr>
            <w:tcW w:w="1177" w:type="pct"/>
            <w:vAlign w:val="center"/>
          </w:tcPr>
          <w:p w14:paraId="6EF6EE68" w14:textId="4640EFE7" w:rsidR="00121031" w:rsidRPr="000E0F4B" w:rsidRDefault="00926A9B" w:rsidP="00FD4B82">
            <w:pPr>
              <w:pStyle w:val="SubGlossaryTable"/>
              <w:spacing w:before="100" w:after="100"/>
            </w:pPr>
            <w:r w:rsidRPr="000E0F4B">
              <w:t>UANP</w:t>
            </w:r>
          </w:p>
        </w:tc>
        <w:tc>
          <w:tcPr>
            <w:tcW w:w="3823" w:type="pct"/>
            <w:vAlign w:val="center"/>
          </w:tcPr>
          <w:p w14:paraId="1224F1C3" w14:textId="607AF8CA" w:rsidR="00121031" w:rsidRPr="000E0F4B" w:rsidRDefault="00921F4A" w:rsidP="00FD4B82">
            <w:pPr>
              <w:pStyle w:val="SubGlossaryTable"/>
              <w:spacing w:before="100" w:after="100"/>
            </w:pPr>
            <w:r w:rsidRPr="000E0F4B">
              <w:t>Universal Access National Partnership</w:t>
            </w:r>
          </w:p>
        </w:tc>
      </w:tr>
      <w:tr w:rsidR="00123833" w14:paraId="0CDA806E" w14:textId="77777777" w:rsidTr="3A9B4A01">
        <w:trPr>
          <w:trHeight w:val="170"/>
        </w:trPr>
        <w:tc>
          <w:tcPr>
            <w:tcW w:w="1177" w:type="pct"/>
            <w:vAlign w:val="center"/>
          </w:tcPr>
          <w:p w14:paraId="4FEF125A" w14:textId="528965CC" w:rsidR="00123833" w:rsidRPr="000E0F4B" w:rsidRDefault="00123833" w:rsidP="00FD4B82">
            <w:pPr>
              <w:pStyle w:val="SubGlossaryTable"/>
              <w:spacing w:before="100" w:after="100"/>
            </w:pPr>
            <w:r w:rsidRPr="000E0F4B">
              <w:t>YBFS</w:t>
            </w:r>
          </w:p>
        </w:tc>
        <w:tc>
          <w:tcPr>
            <w:tcW w:w="3823" w:type="pct"/>
            <w:vAlign w:val="center"/>
          </w:tcPr>
          <w:p w14:paraId="219FDC7E" w14:textId="3E206F45" w:rsidR="00123833" w:rsidRPr="000E0F4B" w:rsidRDefault="00123833" w:rsidP="00FD4B82">
            <w:pPr>
              <w:pStyle w:val="SubGlossaryTable"/>
              <w:spacing w:before="100" w:after="100"/>
            </w:pPr>
            <w:r w:rsidRPr="000E0F4B">
              <w:t xml:space="preserve">Year </w:t>
            </w:r>
            <w:r w:rsidR="002120F1">
              <w:t>b</w:t>
            </w:r>
            <w:r w:rsidRPr="000E0F4B">
              <w:t xml:space="preserve">efore </w:t>
            </w:r>
            <w:r w:rsidR="002120F1">
              <w:t>f</w:t>
            </w:r>
            <w:r w:rsidRPr="000E0F4B">
              <w:t>ull-</w:t>
            </w:r>
            <w:r w:rsidR="4A2279BF">
              <w:t>t</w:t>
            </w:r>
            <w:r w:rsidR="137AE11F">
              <w:t>ime</w:t>
            </w:r>
            <w:r w:rsidRPr="000E0F4B">
              <w:t xml:space="preserve"> </w:t>
            </w:r>
            <w:r w:rsidR="002120F1">
              <w:t>s</w:t>
            </w:r>
            <w:r w:rsidRPr="000E0F4B">
              <w:t>chool</w:t>
            </w:r>
          </w:p>
        </w:tc>
      </w:tr>
    </w:tbl>
    <w:p w14:paraId="018F58FF" w14:textId="77777777" w:rsidR="00355CC4" w:rsidRDefault="00355CC4">
      <w:pPr>
        <w:spacing w:after="160"/>
        <w:rPr>
          <w:rFonts w:asciiTheme="majorHAnsi" w:eastAsiaTheme="majorEastAsia" w:hAnsiTheme="majorHAnsi" w:cstheme="majorBidi"/>
          <w:b/>
          <w:color w:val="F16464" w:themeColor="accent5"/>
          <w:sz w:val="44"/>
          <w:szCs w:val="26"/>
        </w:rPr>
      </w:pPr>
      <w:bookmarkStart w:id="10" w:name="_Toc133777898"/>
      <w:bookmarkStart w:id="11" w:name="_Toc134023006"/>
      <w:bookmarkStart w:id="12" w:name="_Toc134173409"/>
      <w:r>
        <w:br w:type="page"/>
      </w:r>
    </w:p>
    <w:p w14:paraId="39929F84" w14:textId="77777777" w:rsidR="003C268A" w:rsidRPr="00D44959" w:rsidRDefault="003C268A" w:rsidP="0069595F">
      <w:pPr>
        <w:pStyle w:val="SubChapterheading"/>
        <w:spacing w:before="0"/>
      </w:pPr>
      <w:bookmarkStart w:id="13" w:name="_Toc135404844"/>
      <w:r w:rsidRPr="009B37BD">
        <w:t>Australia’s Early Childhood Education and Care System</w:t>
      </w:r>
      <w:bookmarkEnd w:id="10"/>
      <w:bookmarkEnd w:id="11"/>
      <w:bookmarkEnd w:id="12"/>
      <w:bookmarkEnd w:id="13"/>
    </w:p>
    <w:p w14:paraId="48FE52BC" w14:textId="3C9A5DED" w:rsidR="003C268A" w:rsidRDefault="003C268A" w:rsidP="003C268A">
      <w:pPr>
        <w:pStyle w:val="Subbodytext"/>
      </w:pPr>
      <w:r>
        <w:t>Australia’s early childhood education and care (ECEC) system is designed to support the education, development</w:t>
      </w:r>
      <w:r w:rsidR="00CE4E67">
        <w:t>,</w:t>
      </w:r>
      <w:r>
        <w:t xml:space="preserve"> and care needs of children, while allowing parents and carers to engage in</w:t>
      </w:r>
      <w:r w:rsidR="00DC337E">
        <w:t xml:space="preserve"> </w:t>
      </w:r>
      <w:r>
        <w:t>employment, education, and training.</w:t>
      </w:r>
    </w:p>
    <w:p w14:paraId="5FB8D095" w14:textId="1B7A7288" w:rsidR="003C268A" w:rsidRDefault="003C268A" w:rsidP="003C268A">
      <w:pPr>
        <w:pStyle w:val="Subbodytext"/>
      </w:pPr>
      <w:r>
        <w:t>Governments of all levels (Australian, state, territory</w:t>
      </w:r>
      <w:r w:rsidR="00B64074">
        <w:t>,</w:t>
      </w:r>
      <w:r>
        <w:t xml:space="preserve"> and local) have a role in Australia’s ECEC system</w:t>
      </w:r>
      <w:r w:rsidR="00B64074">
        <w:t>—</w:t>
      </w:r>
      <w:r>
        <w:t>primarily through supply and demand funding, regulation and legislation, information provision, stewardship</w:t>
      </w:r>
      <w:r w:rsidR="00A830E7">
        <w:t>,</w:t>
      </w:r>
      <w:r>
        <w:t xml:space="preserve"> and national polic</w:t>
      </w:r>
      <w:r w:rsidR="00F6572B">
        <w:t>y setting</w:t>
      </w:r>
      <w:r>
        <w:t xml:space="preserve">. The primary role of the Australian Government in ECEC is to provide financial assistance to families—principally through the Child Care Subsidy (CCS) and Child Care Safety Net (refer to </w:t>
      </w:r>
      <w:r w:rsidRPr="003C319B">
        <w:rPr>
          <w:b/>
        </w:rPr>
        <w:t xml:space="preserve">Sections </w:t>
      </w:r>
      <w:r w:rsidRPr="003C319B">
        <w:rPr>
          <w:b/>
          <w:bCs/>
        </w:rPr>
        <w:t>3.1 and 3.2</w:t>
      </w:r>
      <w:r w:rsidRPr="003C319B">
        <w:t>).</w:t>
      </w:r>
    </w:p>
    <w:p w14:paraId="5026DF9C" w14:textId="055BB851" w:rsidR="003C268A" w:rsidRDefault="003C268A" w:rsidP="003C268A">
      <w:pPr>
        <w:pStyle w:val="Subbodytext"/>
      </w:pPr>
      <w:r>
        <w:t xml:space="preserve">The Australian ECEC sector is made up of formal and informal markets. </w:t>
      </w:r>
      <w:r w:rsidRPr="00664C9D">
        <w:t>Formal</w:t>
      </w:r>
      <w:r>
        <w:t xml:space="preserve"> </w:t>
      </w:r>
      <w:r w:rsidRPr="00664C9D">
        <w:t>markets are regulated by Family Assistance Law</w:t>
      </w:r>
      <w:r>
        <w:t xml:space="preserve"> (FAL)</w:t>
      </w:r>
      <w:r>
        <w:rPr>
          <w:rStyle w:val="FootnoteReference"/>
          <w:rFonts w:eastAsia="Calibri"/>
        </w:rPr>
        <w:footnoteReference w:id="4"/>
      </w:r>
      <w:r>
        <w:t xml:space="preserve"> and the </w:t>
      </w:r>
      <w:r w:rsidRPr="00664C9D">
        <w:t>National Quality Framework (NQF)</w:t>
      </w:r>
      <w:r>
        <w:rPr>
          <w:rFonts w:eastAsia="Calibri"/>
        </w:rPr>
        <w:t xml:space="preserve">. </w:t>
      </w:r>
      <w:r>
        <w:t>The NQF is jointly governed by the Australian, state</w:t>
      </w:r>
      <w:r w:rsidR="00F6572B">
        <w:t>,</w:t>
      </w:r>
      <w:r>
        <w:t xml:space="preserve"> and territory governments, and administered by regulatory authorities in each state and territory. The Australian Government funds the Australian Children’s Education </w:t>
      </w:r>
      <w:r w:rsidR="00C640D6">
        <w:t xml:space="preserve">and </w:t>
      </w:r>
      <w:r>
        <w:t xml:space="preserve">Care Quality Authority (ACECQA), which works with all governments to support the delivery of the NQF (refer to </w:t>
      </w:r>
      <w:r w:rsidR="00B50AC9">
        <w:rPr>
          <w:b/>
          <w:bCs/>
        </w:rPr>
        <w:t>Section </w:t>
      </w:r>
      <w:r w:rsidRPr="003C319B">
        <w:rPr>
          <w:b/>
          <w:bCs/>
        </w:rPr>
        <w:t>3.5</w:t>
      </w:r>
      <w:r w:rsidRPr="003C319B">
        <w:t>).</w:t>
      </w:r>
    </w:p>
    <w:p w14:paraId="7E5D4AB2" w14:textId="5D656EB0" w:rsidR="003C268A" w:rsidRDefault="003C268A" w:rsidP="003C268A">
      <w:pPr>
        <w:pStyle w:val="Subbodytext"/>
      </w:pPr>
      <w:r>
        <w:t>Regulated ECEC services are operated by a range of for-profit and not-for-profit providers, including governments, non-government organisations, schools, community-controlled organisations, and</w:t>
      </w:r>
      <w:r w:rsidR="00A834FB">
        <w:t> </w:t>
      </w:r>
      <w:r>
        <w:t xml:space="preserve">private providers. These services employ </w:t>
      </w:r>
      <w:r w:rsidDel="007D5C28">
        <w:t xml:space="preserve">3 </w:t>
      </w:r>
      <w:r>
        <w:t>main types of workers</w:t>
      </w:r>
      <w:r w:rsidR="00A6398E">
        <w:t xml:space="preserve">: </w:t>
      </w:r>
      <w:r>
        <w:t>educators, early childhood teachers</w:t>
      </w:r>
      <w:r w:rsidR="00A6398E">
        <w:t>,</w:t>
      </w:r>
      <w:r>
        <w:t xml:space="preserve"> and centre managers (refer to </w:t>
      </w:r>
      <w:r w:rsidR="00B50AC9">
        <w:rPr>
          <w:b/>
        </w:rPr>
        <w:t>Section </w:t>
      </w:r>
      <w:r w:rsidRPr="003C319B">
        <w:rPr>
          <w:b/>
          <w:bCs/>
        </w:rPr>
        <w:t>2.</w:t>
      </w:r>
      <w:r w:rsidRPr="003C319B" w:rsidDel="00F767CF">
        <w:rPr>
          <w:b/>
          <w:bCs/>
        </w:rPr>
        <w:t>5</w:t>
      </w:r>
      <w:r w:rsidRPr="003C319B">
        <w:t>)</w:t>
      </w:r>
      <w:r w:rsidR="00765EFC" w:rsidRPr="003C319B">
        <w:t xml:space="preserve"> and must</w:t>
      </w:r>
      <w:r w:rsidR="00765EFC">
        <w:t xml:space="preserve"> base their education</w:t>
      </w:r>
      <w:r w:rsidR="00B36B13">
        <w:t>al</w:t>
      </w:r>
      <w:r w:rsidR="00765EFC">
        <w:t xml:space="preserve"> program</w:t>
      </w:r>
      <w:r w:rsidR="00A6398E">
        <w:t>s</w:t>
      </w:r>
      <w:r w:rsidR="00765EFC">
        <w:t xml:space="preserve"> on</w:t>
      </w:r>
      <w:r w:rsidR="00E854C9">
        <w:t> </w:t>
      </w:r>
      <w:r w:rsidR="003E6A81">
        <w:t>a</w:t>
      </w:r>
      <w:r w:rsidR="00E854C9">
        <w:t> </w:t>
      </w:r>
      <w:r w:rsidR="003E6A81">
        <w:t xml:space="preserve">national approved learning </w:t>
      </w:r>
      <w:r w:rsidR="00922CB8">
        <w:t>framework</w:t>
      </w:r>
      <w:r w:rsidR="00033F36">
        <w:t xml:space="preserve">. </w:t>
      </w:r>
      <w:r w:rsidR="00D021B5">
        <w:t xml:space="preserve">There are </w:t>
      </w:r>
      <w:r w:rsidR="00D30002">
        <w:t>2</w:t>
      </w:r>
      <w:r w:rsidR="00D021B5">
        <w:t xml:space="preserve"> national approved learning frameworks </w:t>
      </w:r>
      <w:r w:rsidR="001C43F0">
        <w:t>in</w:t>
      </w:r>
      <w:r w:rsidR="00E854C9">
        <w:t> </w:t>
      </w:r>
      <w:r w:rsidR="001C43F0">
        <w:t>operation under the NQF</w:t>
      </w:r>
      <w:r w:rsidR="00D30002">
        <w:t xml:space="preserve">: </w:t>
      </w:r>
      <w:r w:rsidR="00F205A4">
        <w:t>‘</w:t>
      </w:r>
      <w:r w:rsidR="00330FB8" w:rsidRPr="00330FB8">
        <w:t>Belonging, Being and Becoming: The Early Years Learning Framework for Australia</w:t>
      </w:r>
      <w:r w:rsidR="00F205A4">
        <w:t>’</w:t>
      </w:r>
      <w:r w:rsidR="00D30002">
        <w:t>,</w:t>
      </w:r>
      <w:r w:rsidR="00330FB8" w:rsidRPr="00330FB8">
        <w:t xml:space="preserve"> and </w:t>
      </w:r>
      <w:r w:rsidR="00F205A4">
        <w:t>‘</w:t>
      </w:r>
      <w:r w:rsidR="00330FB8" w:rsidRPr="00330FB8">
        <w:t>My Time, Our Place: Framework for School Aged Care in Australia</w:t>
      </w:r>
      <w:r w:rsidR="00F205A4">
        <w:t>’</w:t>
      </w:r>
      <w:r w:rsidR="00922CB8">
        <w:t xml:space="preserve"> (refer to </w:t>
      </w:r>
      <w:r w:rsidR="00B50AC9">
        <w:rPr>
          <w:b/>
          <w:bCs/>
        </w:rPr>
        <w:t>Section </w:t>
      </w:r>
      <w:r w:rsidR="00922CB8" w:rsidRPr="003C319B">
        <w:rPr>
          <w:b/>
          <w:bCs/>
        </w:rPr>
        <w:t>3.5</w:t>
      </w:r>
      <w:r w:rsidR="00922CB8" w:rsidRPr="003C319B">
        <w:t>)</w:t>
      </w:r>
      <w:r w:rsidRPr="003C319B">
        <w:t>.</w:t>
      </w:r>
    </w:p>
    <w:p w14:paraId="5C078580" w14:textId="07B25D35" w:rsidR="003C268A" w:rsidRDefault="003C268A" w:rsidP="003C268A">
      <w:pPr>
        <w:pStyle w:val="Subbodytext"/>
      </w:pPr>
      <w:r>
        <w:t xml:space="preserve">Informal ECEC markets include services such as those provided by nannies, babysitters, and play groups. Informal care also includes arrangements with grandparents, relatives, and kinship carers. Informal care plays a vital, complementary role to formal care and support services, </w:t>
      </w:r>
      <w:r w:rsidR="00F6572B">
        <w:t>and</w:t>
      </w:r>
      <w:r>
        <w:t xml:space="preserve"> many families us</w:t>
      </w:r>
      <w:r w:rsidR="00F6572B">
        <w:t>e</w:t>
      </w:r>
      <w:r>
        <w:t xml:space="preserve"> both formal and informal care.</w:t>
      </w:r>
    </w:p>
    <w:p w14:paraId="353F31B9" w14:textId="5E9321A3" w:rsidR="001D5CB4" w:rsidRDefault="003C268A" w:rsidP="00203BD3">
      <w:pPr>
        <w:pStyle w:val="Subbodytext"/>
        <w:rPr>
          <w:rStyle w:val="normaltextrun"/>
        </w:rPr>
      </w:pPr>
      <w:r w:rsidRPr="425B7BE4">
        <w:rPr>
          <w:rStyle w:val="findhit"/>
          <w:lang w:val="en-GB"/>
        </w:rPr>
        <w:t>Preschool</w:t>
      </w:r>
      <w:r w:rsidRPr="425B7BE4">
        <w:rPr>
          <w:rStyle w:val="normaltextrun"/>
          <w:lang w:val="en-GB"/>
        </w:rPr>
        <w:t xml:space="preserve"> in Australia is a shared responsibility between the </w:t>
      </w:r>
      <w:r w:rsidR="004C08B1">
        <w:rPr>
          <w:rStyle w:val="normaltextrun"/>
          <w:lang w:val="en-GB"/>
        </w:rPr>
        <w:t>Australian</w:t>
      </w:r>
      <w:r w:rsidR="001A26A1">
        <w:rPr>
          <w:rStyle w:val="normaltextrun"/>
          <w:lang w:val="en-GB"/>
        </w:rPr>
        <w:t xml:space="preserve"> and</w:t>
      </w:r>
      <w:r w:rsidRPr="425B7BE4">
        <w:rPr>
          <w:rStyle w:val="normaltextrun"/>
          <w:lang w:val="en-GB"/>
        </w:rPr>
        <w:t> state</w:t>
      </w:r>
      <w:r w:rsidR="00F6572B">
        <w:rPr>
          <w:rStyle w:val="normaltextrun"/>
          <w:lang w:val="en-GB"/>
        </w:rPr>
        <w:t xml:space="preserve"> and territory</w:t>
      </w:r>
      <w:r w:rsidRPr="425B7BE4">
        <w:rPr>
          <w:rStyle w:val="normaltextrun"/>
          <w:lang w:val="en-GB"/>
        </w:rPr>
        <w:t xml:space="preserve"> governments, with state </w:t>
      </w:r>
      <w:r w:rsidR="001A26A1">
        <w:rPr>
          <w:rStyle w:val="normaltextrun"/>
          <w:lang w:val="en-GB"/>
        </w:rPr>
        <w:t xml:space="preserve">and territory </w:t>
      </w:r>
      <w:r w:rsidRPr="425B7BE4">
        <w:rPr>
          <w:rStyle w:val="normaltextrun"/>
          <w:lang w:val="en-GB"/>
        </w:rPr>
        <w:t>governments primarily responsible for delivery.</w:t>
      </w:r>
      <w:r w:rsidRPr="425B7BE4">
        <w:rPr>
          <w:rStyle w:val="eop"/>
        </w:rPr>
        <w:t> </w:t>
      </w:r>
      <w:r w:rsidRPr="425B7BE4">
        <w:rPr>
          <w:rStyle w:val="normaltextrun"/>
        </w:rPr>
        <w:t xml:space="preserve">The Australian Government provides funding to support </w:t>
      </w:r>
      <w:r w:rsidR="00BC33BD">
        <w:rPr>
          <w:rStyle w:val="normaltextrun"/>
        </w:rPr>
        <w:t xml:space="preserve">the </w:t>
      </w:r>
      <w:r w:rsidRPr="425B7BE4">
        <w:rPr>
          <w:rStyle w:val="normaltextrun"/>
        </w:rPr>
        <w:t xml:space="preserve">delivery of </w:t>
      </w:r>
      <w:r w:rsidRPr="003C319B">
        <w:rPr>
          <w:rStyle w:val="findhit"/>
        </w:rPr>
        <w:t>preschool</w:t>
      </w:r>
      <w:r w:rsidRPr="003C319B">
        <w:rPr>
          <w:rStyle w:val="normaltextrun"/>
        </w:rPr>
        <w:t xml:space="preserve"> for children in the year before school through the </w:t>
      </w:r>
      <w:r w:rsidRPr="003C319B">
        <w:rPr>
          <w:rStyle w:val="findhit"/>
        </w:rPr>
        <w:t>Preschool</w:t>
      </w:r>
      <w:r w:rsidRPr="003C319B">
        <w:rPr>
          <w:rStyle w:val="normaltextrun"/>
        </w:rPr>
        <w:t xml:space="preserve"> Reform Agreement (PRA) (refer to </w:t>
      </w:r>
      <w:r w:rsidR="00B50AC9">
        <w:rPr>
          <w:rStyle w:val="normaltextrun"/>
          <w:b/>
          <w:bCs/>
        </w:rPr>
        <w:t>Section </w:t>
      </w:r>
      <w:r w:rsidRPr="003C319B">
        <w:rPr>
          <w:rStyle w:val="normaltextrun"/>
          <w:b/>
          <w:bCs/>
        </w:rPr>
        <w:t>3.4</w:t>
      </w:r>
      <w:r w:rsidRPr="003C319B">
        <w:rPr>
          <w:rStyle w:val="normaltextrun"/>
        </w:rPr>
        <w:t>).</w:t>
      </w:r>
      <w:bookmarkStart w:id="14" w:name="_Toc133777899"/>
      <w:bookmarkStart w:id="15" w:name="_Toc134023007"/>
      <w:bookmarkStart w:id="16" w:name="_Toc134173410"/>
    </w:p>
    <w:p w14:paraId="7486093D" w14:textId="77777777" w:rsidR="001D5CB4" w:rsidRDefault="001D5CB4">
      <w:pPr>
        <w:spacing w:after="160"/>
        <w:rPr>
          <w:rStyle w:val="normaltextrun"/>
        </w:rPr>
      </w:pPr>
      <w:r>
        <w:rPr>
          <w:rStyle w:val="normaltextrun"/>
        </w:rPr>
        <w:br w:type="page"/>
      </w:r>
    </w:p>
    <w:p w14:paraId="4183AA96" w14:textId="08C97FF9" w:rsidR="003C268A" w:rsidRPr="004014FE" w:rsidRDefault="003C268A" w:rsidP="009E325D">
      <w:pPr>
        <w:pStyle w:val="SubSectionHeading"/>
        <w:numPr>
          <w:ilvl w:val="1"/>
          <w:numId w:val="12"/>
        </w:numPr>
      </w:pPr>
      <w:bookmarkStart w:id="17" w:name="_Toc135404845"/>
      <w:r w:rsidRPr="004014FE">
        <w:t xml:space="preserve">Policy </w:t>
      </w:r>
      <w:r>
        <w:t>O</w:t>
      </w:r>
      <w:r w:rsidRPr="004014FE">
        <w:t xml:space="preserve">bjectives of </w:t>
      </w:r>
      <w:r>
        <w:t>E</w:t>
      </w:r>
      <w:r w:rsidRPr="004014FE">
        <w:t xml:space="preserve">arly </w:t>
      </w:r>
      <w:r>
        <w:t>C</w:t>
      </w:r>
      <w:r w:rsidRPr="004014FE">
        <w:t xml:space="preserve">hildhood </w:t>
      </w:r>
      <w:r>
        <w:t>E</w:t>
      </w:r>
      <w:r w:rsidRPr="004014FE">
        <w:t xml:space="preserve">ducation and </w:t>
      </w:r>
      <w:r>
        <w:t>C</w:t>
      </w:r>
      <w:r w:rsidRPr="004014FE">
        <w:t>are</w:t>
      </w:r>
      <w:bookmarkEnd w:id="14"/>
      <w:bookmarkEnd w:id="15"/>
      <w:bookmarkEnd w:id="16"/>
      <w:bookmarkEnd w:id="17"/>
    </w:p>
    <w:p w14:paraId="5BA1E34C" w14:textId="4CF37B72" w:rsidR="00393FD5" w:rsidRDefault="483CBAA2" w:rsidP="003C268A">
      <w:pPr>
        <w:pStyle w:val="Subbodytext"/>
      </w:pPr>
      <w:r>
        <w:t>Government investment in ECEC aims to achieve the dual objectives of supporting children through their early years of development</w:t>
      </w:r>
      <w:r w:rsidR="00F6572B">
        <w:t>—</w:t>
      </w:r>
      <w:r>
        <w:t>by providing access to quality education and care</w:t>
      </w:r>
      <w:r w:rsidR="00F6572B">
        <w:t>—and</w:t>
      </w:r>
      <w:r>
        <w:t xml:space="preserve"> increasing </w:t>
      </w:r>
      <w:r w:rsidR="5FD54D2D">
        <w:t xml:space="preserve">parents’ and carers’ </w:t>
      </w:r>
      <w:r>
        <w:t>participation in work, study</w:t>
      </w:r>
      <w:r w:rsidR="06E83D3D">
        <w:t>,</w:t>
      </w:r>
      <w:r>
        <w:t xml:space="preserve"> </w:t>
      </w:r>
      <w:r w:rsidR="06E83D3D">
        <w:t>or</w:t>
      </w:r>
      <w:r>
        <w:t xml:space="preserve"> other activities. The </w:t>
      </w:r>
      <w:r w:rsidR="06E83D3D">
        <w:t>Government</w:t>
      </w:r>
      <w:r>
        <w:t xml:space="preserve"> works to</w:t>
      </w:r>
      <w:r w:rsidR="00203BD3">
        <w:t xml:space="preserve"> </w:t>
      </w:r>
      <w:r>
        <w:t>achieve these goals in tandem by centring the design of the ECEC system around children and families.</w:t>
      </w:r>
    </w:p>
    <w:p w14:paraId="31CABB39" w14:textId="15CC9001" w:rsidR="003C268A" w:rsidRDefault="483CBAA2" w:rsidP="003C268A">
      <w:pPr>
        <w:pStyle w:val="Subbodytext"/>
      </w:pPr>
      <w:r>
        <w:t xml:space="preserve">Boosting access to ECEC enables more children to </w:t>
      </w:r>
      <w:r w:rsidR="00F6572B">
        <w:t>benefit from</w:t>
      </w:r>
      <w:r>
        <w:t xml:space="preserve"> foundational years learning. The early years are a critical period that shapes a child’s educational, health</w:t>
      </w:r>
      <w:r w:rsidR="72601D25">
        <w:t>,</w:t>
      </w:r>
      <w:r>
        <w:t xml:space="preserve"> and wellbeing outcomes. The Front Project’s analysis of the economic impact of early childhood education found that participation in quality ECEC has positive impacts on a child’s cognitive, social, and emotional capabilities, and is linked to long-term benefits</w:t>
      </w:r>
      <w:r w:rsidR="5EE6ABD4">
        <w:t>,</w:t>
      </w:r>
      <w:r>
        <w:t xml:space="preserve"> including decreased reliance on special education services, improved education outcomes, and higher lifetime earnings.</w:t>
      </w:r>
      <w:r w:rsidR="003C268A">
        <w:rPr>
          <w:rStyle w:val="FootnoteReference"/>
        </w:rPr>
        <w:footnoteReference w:id="5"/>
      </w:r>
      <w:r>
        <w:t xml:space="preserve"> </w:t>
      </w:r>
      <w:r w:rsidR="5A9D4414">
        <w:t>Research has also shown</w:t>
      </w:r>
      <w:r w:rsidR="5A9D4414" w:rsidRPr="00323E12">
        <w:t xml:space="preserve"> a significant positive association between preschool attendance and </w:t>
      </w:r>
      <w:r w:rsidR="2DEB0EE3" w:rsidRPr="00323E12">
        <w:t>Y</w:t>
      </w:r>
      <w:r w:rsidR="5A9D4414" w:rsidRPr="00323E12">
        <w:t>ear 3 NAPLAN scores.</w:t>
      </w:r>
      <w:r w:rsidR="005E7162" w:rsidRPr="00323E12">
        <w:rPr>
          <w:rStyle w:val="FootnoteReference"/>
        </w:rPr>
        <w:footnoteReference w:id="6"/>
      </w:r>
      <w:r w:rsidR="32C6498D">
        <w:t xml:space="preserve"> </w:t>
      </w:r>
      <w:r w:rsidR="67055DC4">
        <w:t xml:space="preserve">According to </w:t>
      </w:r>
      <w:r w:rsidR="5AAB11F8">
        <w:t>The Centre for Adolescent Health</w:t>
      </w:r>
      <w:r w:rsidR="7B8A4CFF">
        <w:t xml:space="preserve">, Murdoch Children’s Research Institute, </w:t>
      </w:r>
      <w:r w:rsidR="5C03126A">
        <w:t>c</w:t>
      </w:r>
      <w:r w:rsidR="4FA4034D">
        <w:t xml:space="preserve">hildren who are </w:t>
      </w:r>
      <w:r w:rsidR="0826E33E">
        <w:t xml:space="preserve">developmentally on track </w:t>
      </w:r>
      <w:r w:rsidR="6CC974B3">
        <w:t xml:space="preserve">face fewer </w:t>
      </w:r>
      <w:r w:rsidR="19EA2B37">
        <w:t xml:space="preserve">educational </w:t>
      </w:r>
      <w:r w:rsidR="6CC974B3">
        <w:t xml:space="preserve">challenges </w:t>
      </w:r>
      <w:r w:rsidR="7BFE9D36">
        <w:t>than those with developmental vulnerabilities</w:t>
      </w:r>
      <w:r>
        <w:t>.</w:t>
      </w:r>
      <w:r w:rsidR="003C268A">
        <w:rPr>
          <w:rStyle w:val="FootnoteReference"/>
        </w:rPr>
        <w:footnoteReference w:id="7"/>
      </w:r>
    </w:p>
    <w:p w14:paraId="497D43F6" w14:textId="356ACCA7" w:rsidR="003C268A" w:rsidDel="005F6CC7" w:rsidRDefault="003C268A" w:rsidP="003C268A">
      <w:pPr>
        <w:pStyle w:val="Subbodytext"/>
        <w:rPr>
          <w:rFonts w:eastAsia="Calibri"/>
          <w:lang w:val="en-GB"/>
        </w:rPr>
      </w:pPr>
      <w:r>
        <w:t>An accessible, affordable ECEC system serves as an important lever to greater workforce participation among parents and carers—especially women. Barriers to workforce participation are more pronounced for women, who</w:t>
      </w:r>
      <w:r w:rsidRPr="178CA0CD">
        <w:rPr>
          <w:rFonts w:eastAsia="Calibri"/>
          <w:lang w:val="en-GB"/>
        </w:rPr>
        <w:t xml:space="preserve"> are overrepresented in part-time and casual employment and twice as likely as men to be working part-time </w:t>
      </w:r>
      <w:r w:rsidR="00021D45">
        <w:rPr>
          <w:rFonts w:eastAsia="Calibri"/>
          <w:lang w:val="en-GB"/>
        </w:rPr>
        <w:t>or</w:t>
      </w:r>
      <w:r w:rsidRPr="178CA0CD">
        <w:rPr>
          <w:rFonts w:eastAsia="Calibri"/>
          <w:lang w:val="en-GB"/>
        </w:rPr>
        <w:t xml:space="preserve"> casually from age 35</w:t>
      </w:r>
      <w:r w:rsidRPr="00A329AD">
        <w:rPr>
          <w:rFonts w:eastAsia="Calibri"/>
          <w:lang w:val="en-GB"/>
        </w:rPr>
        <w:t>.</w:t>
      </w:r>
      <w:r w:rsidRPr="00A329AD">
        <w:rPr>
          <w:rStyle w:val="FootnoteReference"/>
          <w:rFonts w:eastAsia="Calibri"/>
          <w:lang w:val="en-GB"/>
        </w:rPr>
        <w:footnoteReference w:id="8"/>
      </w:r>
      <w:r>
        <w:rPr>
          <w:rFonts w:eastAsia="Calibri"/>
          <w:lang w:val="en-GB"/>
        </w:rPr>
        <w:t xml:space="preserve"> D</w:t>
      </w:r>
      <w:r w:rsidRPr="00A329AD">
        <w:rPr>
          <w:rFonts w:eastAsia="Calibri"/>
          <w:lang w:val="en-GB"/>
        </w:rPr>
        <w:t>ata</w:t>
      </w:r>
      <w:r>
        <w:rPr>
          <w:rFonts w:eastAsia="Calibri"/>
          <w:lang w:val="en-GB"/>
        </w:rPr>
        <w:t xml:space="preserve"> from the Australian Bureau of Statistics (ABS)</w:t>
      </w:r>
      <w:r w:rsidRPr="00A329AD">
        <w:rPr>
          <w:rFonts w:eastAsia="Calibri"/>
          <w:lang w:val="en-GB"/>
        </w:rPr>
        <w:t xml:space="preserve"> indicates </w:t>
      </w:r>
      <w:r>
        <w:rPr>
          <w:rFonts w:eastAsia="Calibri"/>
          <w:lang w:val="en-GB"/>
        </w:rPr>
        <w:t>that,</w:t>
      </w:r>
      <w:r w:rsidRPr="00A329AD">
        <w:rPr>
          <w:rFonts w:eastAsia="Calibri"/>
          <w:lang w:val="en-GB"/>
        </w:rPr>
        <w:t xml:space="preserve"> in 2020</w:t>
      </w:r>
      <w:r>
        <w:rPr>
          <w:rFonts w:eastAsia="Calibri"/>
          <w:lang w:val="en-GB"/>
        </w:rPr>
        <w:t>–</w:t>
      </w:r>
      <w:r w:rsidRPr="00A329AD">
        <w:rPr>
          <w:rFonts w:eastAsia="Calibri"/>
          <w:lang w:val="en-GB"/>
        </w:rPr>
        <w:t>21</w:t>
      </w:r>
      <w:r>
        <w:rPr>
          <w:rFonts w:eastAsia="Calibri"/>
          <w:lang w:val="en-GB"/>
        </w:rPr>
        <w:t>,</w:t>
      </w:r>
      <w:r w:rsidRPr="00A329AD">
        <w:rPr>
          <w:rFonts w:eastAsia="Calibri"/>
          <w:lang w:val="en-GB"/>
        </w:rPr>
        <w:t xml:space="preserve"> 385,700 people </w:t>
      </w:r>
      <w:r>
        <w:rPr>
          <w:rFonts w:eastAsia="Calibri"/>
          <w:lang w:val="en-GB"/>
        </w:rPr>
        <w:t xml:space="preserve">were </w:t>
      </w:r>
      <w:r w:rsidRPr="00A329AD">
        <w:rPr>
          <w:rFonts w:eastAsia="Calibri"/>
          <w:lang w:val="en-GB"/>
        </w:rPr>
        <w:t>not available to</w:t>
      </w:r>
      <w:r w:rsidR="007E703B">
        <w:rPr>
          <w:rFonts w:eastAsia="Calibri"/>
          <w:lang w:val="en-GB"/>
        </w:rPr>
        <w:t> </w:t>
      </w:r>
      <w:r w:rsidRPr="00A329AD">
        <w:rPr>
          <w:rFonts w:eastAsia="Calibri"/>
          <w:lang w:val="en-GB"/>
        </w:rPr>
        <w:t xml:space="preserve">work within </w:t>
      </w:r>
      <w:r>
        <w:rPr>
          <w:rFonts w:eastAsia="Calibri"/>
          <w:lang w:val="en-GB"/>
        </w:rPr>
        <w:t>4</w:t>
      </w:r>
      <w:r w:rsidRPr="00A329AD">
        <w:rPr>
          <w:rFonts w:eastAsia="Calibri"/>
          <w:lang w:val="en-GB"/>
        </w:rPr>
        <w:t xml:space="preserve"> weeks or did not know when they could start a job or work more hours</w:t>
      </w:r>
      <w:r w:rsidR="00422EBC">
        <w:rPr>
          <w:rFonts w:eastAsia="Calibri"/>
          <w:lang w:val="en-GB"/>
        </w:rPr>
        <w:t xml:space="preserve">. Of </w:t>
      </w:r>
      <w:r w:rsidR="00035428">
        <w:rPr>
          <w:rFonts w:eastAsia="Calibri"/>
          <w:lang w:val="en-GB"/>
        </w:rPr>
        <w:t>the women in this cohort</w:t>
      </w:r>
      <w:r w:rsidR="63536B68">
        <w:rPr>
          <w:rFonts w:eastAsia="Calibri"/>
          <w:lang w:val="en-GB"/>
        </w:rPr>
        <w:t>,</w:t>
      </w:r>
      <w:r w:rsidRPr="00A329AD">
        <w:rPr>
          <w:rFonts w:eastAsia="Calibri"/>
          <w:lang w:val="en-GB"/>
        </w:rPr>
        <w:t xml:space="preserve"> a quarter </w:t>
      </w:r>
      <w:r w:rsidR="29D183B8" w:rsidRPr="00A329AD">
        <w:rPr>
          <w:rFonts w:eastAsia="Calibri"/>
          <w:lang w:val="en-GB"/>
        </w:rPr>
        <w:t>cit</w:t>
      </w:r>
      <w:r w:rsidR="4A009287">
        <w:rPr>
          <w:rFonts w:eastAsia="Calibri"/>
          <w:lang w:val="en-GB"/>
        </w:rPr>
        <w:t>ed</w:t>
      </w:r>
      <w:r w:rsidRPr="00A329AD">
        <w:rPr>
          <w:rFonts w:eastAsia="Calibri"/>
          <w:lang w:val="en-GB"/>
        </w:rPr>
        <w:t xml:space="preserve"> child caring responsibilities as the main barrier. This</w:t>
      </w:r>
      <w:r w:rsidRPr="425B7BE4" w:rsidDel="3A1829E3">
        <w:rPr>
          <w:rFonts w:eastAsia="Calibri"/>
          <w:lang w:val="en-GB"/>
        </w:rPr>
        <w:t xml:space="preserve"> was </w:t>
      </w:r>
      <w:r w:rsidRPr="00A329AD">
        <w:rPr>
          <w:rFonts w:eastAsia="Calibri"/>
          <w:lang w:val="en-GB"/>
        </w:rPr>
        <w:t>highest for mothers with children under 15 years</w:t>
      </w:r>
      <w:r w:rsidR="009174AA">
        <w:rPr>
          <w:rFonts w:eastAsia="Calibri"/>
          <w:lang w:val="en-GB"/>
        </w:rPr>
        <w:t xml:space="preserve"> old</w:t>
      </w:r>
      <w:r>
        <w:rPr>
          <w:rFonts w:eastAsia="Calibri"/>
          <w:lang w:val="en-GB"/>
        </w:rPr>
        <w:t>.</w:t>
      </w:r>
      <w:r w:rsidRPr="00A329AD">
        <w:rPr>
          <w:rStyle w:val="FootnoteReference"/>
          <w:rFonts w:eastAsia="Calibri"/>
          <w:lang w:val="en-GB"/>
        </w:rPr>
        <w:footnoteReference w:id="9"/>
      </w:r>
      <w:r w:rsidR="00F6572B">
        <w:rPr>
          <w:rFonts w:eastAsia="Calibri"/>
          <w:lang w:val="en-GB"/>
        </w:rPr>
        <w:t xml:space="preserve"> Factors indirectly related to child care</w:t>
      </w:r>
      <w:r w:rsidRPr="00A329AD">
        <w:rPr>
          <w:rFonts w:eastAsia="Calibri"/>
          <w:lang w:val="en-GB"/>
        </w:rPr>
        <w:t xml:space="preserve">, including the availability of flexible or part-time work are </w:t>
      </w:r>
      <w:r>
        <w:rPr>
          <w:rFonts w:eastAsia="Calibri"/>
          <w:lang w:val="en-GB"/>
        </w:rPr>
        <w:t xml:space="preserve">also </w:t>
      </w:r>
      <w:r w:rsidRPr="00A329AD">
        <w:rPr>
          <w:rFonts w:eastAsia="Calibri"/>
          <w:lang w:val="en-GB"/>
        </w:rPr>
        <w:t xml:space="preserve">key determinants of parents’ </w:t>
      </w:r>
      <w:r w:rsidR="00F6572B">
        <w:rPr>
          <w:rFonts w:eastAsia="Calibri"/>
          <w:lang w:val="en-GB"/>
        </w:rPr>
        <w:t xml:space="preserve">and carers’ </w:t>
      </w:r>
      <w:r w:rsidRPr="00A329AD">
        <w:rPr>
          <w:rFonts w:eastAsia="Calibri"/>
          <w:lang w:val="en-GB"/>
        </w:rPr>
        <w:t>abilit</w:t>
      </w:r>
      <w:r w:rsidR="00F6572B">
        <w:rPr>
          <w:rFonts w:eastAsia="Calibri"/>
          <w:lang w:val="en-GB"/>
        </w:rPr>
        <w:t>ies</w:t>
      </w:r>
      <w:r w:rsidRPr="00A329AD">
        <w:rPr>
          <w:rFonts w:eastAsia="Calibri"/>
          <w:lang w:val="en-GB"/>
        </w:rPr>
        <w:t xml:space="preserve"> </w:t>
      </w:r>
      <w:r w:rsidRPr="425B7BE4" w:rsidDel="04994444">
        <w:rPr>
          <w:rFonts w:eastAsia="Calibri"/>
          <w:lang w:val="en-GB"/>
        </w:rPr>
        <w:t>to</w:t>
      </w:r>
      <w:r w:rsidRPr="00A329AD">
        <w:rPr>
          <w:rFonts w:eastAsia="Calibri"/>
          <w:lang w:val="en-GB"/>
        </w:rPr>
        <w:t xml:space="preserve"> increase their workforce participation.</w:t>
      </w:r>
      <w:r w:rsidRPr="00A329AD">
        <w:rPr>
          <w:rStyle w:val="FootnoteReference"/>
          <w:rFonts w:eastAsia="Calibri"/>
          <w:lang w:val="en-GB"/>
        </w:rPr>
        <w:footnoteReference w:id="10"/>
      </w:r>
    </w:p>
    <w:p w14:paraId="65A50E6E" w14:textId="1CCEB20E" w:rsidR="003C268A" w:rsidRPr="009A032C" w:rsidRDefault="003C268A" w:rsidP="003C268A">
      <w:pPr>
        <w:pStyle w:val="Subbodytext"/>
        <w:rPr>
          <w:rFonts w:eastAsia="Calibri"/>
          <w:highlight w:val="yellow"/>
          <w:lang w:val="en-GB"/>
        </w:rPr>
      </w:pPr>
      <w:r w:rsidRPr="00F91483">
        <w:rPr>
          <w:rFonts w:eastAsia="Calibri"/>
          <w:lang w:val="en-GB"/>
        </w:rPr>
        <w:t xml:space="preserve">The Cheaper Child Care reforms (refer to </w:t>
      </w:r>
      <w:r w:rsidR="00B50AC9">
        <w:rPr>
          <w:rFonts w:eastAsia="Calibri"/>
          <w:b/>
          <w:bCs/>
          <w:lang w:val="en-GB"/>
        </w:rPr>
        <w:t>Section </w:t>
      </w:r>
      <w:r w:rsidRPr="00F91483">
        <w:rPr>
          <w:rFonts w:eastAsia="Calibri"/>
          <w:b/>
          <w:bCs/>
          <w:lang w:val="en-GB"/>
        </w:rPr>
        <w:t>4.1</w:t>
      </w:r>
      <w:r w:rsidRPr="00F91483">
        <w:rPr>
          <w:rFonts w:eastAsia="Calibri"/>
          <w:lang w:val="en-GB"/>
        </w:rPr>
        <w:t>) are</w:t>
      </w:r>
      <w:r w:rsidRPr="425B7BE4">
        <w:rPr>
          <w:rFonts w:eastAsia="Calibri"/>
          <w:lang w:val="en-GB"/>
        </w:rPr>
        <w:t xml:space="preserve"> designed to reduce disincentives </w:t>
      </w:r>
      <w:r w:rsidR="00F6572B">
        <w:rPr>
          <w:rFonts w:eastAsia="Calibri"/>
          <w:lang w:val="en-GB"/>
        </w:rPr>
        <w:t>for</w:t>
      </w:r>
      <w:r w:rsidR="007E703B">
        <w:rPr>
          <w:rFonts w:eastAsia="Calibri"/>
          <w:lang w:val="en-GB"/>
        </w:rPr>
        <w:t> </w:t>
      </w:r>
      <w:r w:rsidRPr="425B7BE4">
        <w:rPr>
          <w:rFonts w:eastAsia="Calibri"/>
          <w:lang w:val="en-GB"/>
        </w:rPr>
        <w:t>working additional hours and enable increased workforce participation. Treasury estimates that CCS changes coming into effect in July 2023 will increase hours worked by mothers with young children by up to 1,410,000 per week, which is equivalent to up to 37,000 full-time workers in</w:t>
      </w:r>
      <w:r w:rsidR="00B04330">
        <w:rPr>
          <w:rFonts w:eastAsia="Calibri"/>
          <w:lang w:val="en-GB"/>
        </w:rPr>
        <w:t> </w:t>
      </w:r>
      <w:r w:rsidRPr="425B7BE4">
        <w:rPr>
          <w:rFonts w:eastAsia="Calibri"/>
          <w:lang w:val="en-GB"/>
        </w:rPr>
        <w:t>the 2023–24 year.</w:t>
      </w:r>
    </w:p>
    <w:p w14:paraId="2F62CC0D" w14:textId="77777777" w:rsidR="00FE7917" w:rsidRPr="00FE7917" w:rsidRDefault="003C268A" w:rsidP="009E325D">
      <w:pPr>
        <w:pStyle w:val="SubSectionHeading"/>
        <w:numPr>
          <w:ilvl w:val="1"/>
          <w:numId w:val="12"/>
        </w:numPr>
      </w:pPr>
      <w:bookmarkStart w:id="18" w:name="_Toc134173411"/>
      <w:bookmarkStart w:id="19" w:name="_Toc135404846"/>
      <w:bookmarkStart w:id="20" w:name="_Toc134023008"/>
      <w:r w:rsidRPr="009E325D">
        <w:t>Early</w:t>
      </w:r>
      <w:r w:rsidRPr="425B7BE4">
        <w:rPr>
          <w:bCs/>
          <w:szCs w:val="32"/>
        </w:rPr>
        <w:t xml:space="preserve"> Childhood Education and Care System Actors</w:t>
      </w:r>
      <w:bookmarkEnd w:id="18"/>
      <w:bookmarkEnd w:id="19"/>
    </w:p>
    <w:p w14:paraId="0827788B" w14:textId="4181E609" w:rsidR="003C268A" w:rsidRPr="00C90B15" w:rsidRDefault="003C268A" w:rsidP="003C319B">
      <w:pPr>
        <w:ind w:left="-426"/>
        <w:jc w:val="center"/>
      </w:pPr>
      <w:bookmarkStart w:id="21" w:name="_Toc133777900"/>
      <w:bookmarkStart w:id="22" w:name="_Toc134173412"/>
      <w:r w:rsidRPr="00E712DF">
        <w:rPr>
          <w:b/>
          <w:noProof/>
        </w:rPr>
        <w:drawing>
          <wp:inline distT="0" distB="0" distL="0" distR="0" wp14:anchorId="6EF21E95" wp14:editId="0D882FDA">
            <wp:extent cx="5922645" cy="8448040"/>
            <wp:effectExtent l="0" t="0" r="1905" b="0"/>
            <wp:docPr id="22" name="Picture 22" descr="A diagram outlining the Early Childhood Education and Care System 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diagram outlining the Early Childhood Education and Care System Actor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
                    <a:stretch/>
                  </pic:blipFill>
                  <pic:spPr bwMode="auto">
                    <a:xfrm>
                      <a:off x="0" y="0"/>
                      <a:ext cx="5922645" cy="8448040"/>
                    </a:xfrm>
                    <a:prstGeom prst="rect">
                      <a:avLst/>
                    </a:prstGeom>
                    <a:noFill/>
                    <a:ln>
                      <a:noFill/>
                    </a:ln>
                    <a:extLst>
                      <a:ext uri="{53640926-AAD7-44D8-BBD7-CCE9431645EC}">
                        <a14:shadowObscured xmlns:a14="http://schemas.microsoft.com/office/drawing/2010/main"/>
                      </a:ext>
                    </a:extLst>
                  </pic:spPr>
                </pic:pic>
              </a:graphicData>
            </a:graphic>
          </wp:inline>
        </w:drawing>
      </w:r>
      <w:bookmarkEnd w:id="20"/>
      <w:bookmarkEnd w:id="21"/>
      <w:bookmarkEnd w:id="22"/>
    </w:p>
    <w:p w14:paraId="645572FB" w14:textId="41C21C66" w:rsidR="00EA4323" w:rsidRDefault="00EA4323" w:rsidP="00F46031">
      <w:pPr>
        <w:pStyle w:val="SubSectionHeading"/>
        <w:numPr>
          <w:ilvl w:val="1"/>
          <w:numId w:val="12"/>
        </w:numPr>
      </w:pPr>
      <w:bookmarkStart w:id="23" w:name="_Toc134173413"/>
      <w:bookmarkStart w:id="24" w:name="_Toc135404847"/>
      <w:bookmarkStart w:id="25" w:name="_Toc133777428"/>
      <w:r>
        <w:t>Care Types</w:t>
      </w:r>
      <w:bookmarkEnd w:id="23"/>
      <w:bookmarkEnd w:id="24"/>
    </w:p>
    <w:p w14:paraId="6D481328" w14:textId="7D9F538E" w:rsidR="003C268A" w:rsidRPr="00F8219A" w:rsidRDefault="003C268A" w:rsidP="00CC2AB3">
      <w:pPr>
        <w:pStyle w:val="Heading4"/>
      </w:pPr>
      <w:r>
        <w:t>Child Care Subsidy-approved care types</w:t>
      </w:r>
      <w:bookmarkEnd w:id="25"/>
    </w:p>
    <w:p w14:paraId="0113DB3F" w14:textId="60822137" w:rsidR="003C268A" w:rsidRDefault="003C268A" w:rsidP="003C268A">
      <w:pPr>
        <w:pStyle w:val="Subbodytext"/>
      </w:pPr>
      <w:r w:rsidRPr="2EFCCC1F">
        <w:t xml:space="preserve">There are </w:t>
      </w:r>
      <w:r>
        <w:t>4</w:t>
      </w:r>
      <w:r w:rsidRPr="2EFCCC1F">
        <w:t xml:space="preserve"> care types approved to operate a service and administer the CCS in Australia. Approved providers </w:t>
      </w:r>
      <w:r>
        <w:t>(</w:t>
      </w:r>
      <w:r w:rsidRPr="2EFCCC1F">
        <w:t>ex</w:t>
      </w:r>
      <w:r>
        <w:t>cluding</w:t>
      </w:r>
      <w:r w:rsidRPr="2EFCCC1F">
        <w:t xml:space="preserve"> </w:t>
      </w:r>
      <w:r>
        <w:t xml:space="preserve">in home care </w:t>
      </w:r>
      <w:r w:rsidR="397FD387">
        <w:t>[</w:t>
      </w:r>
      <w:r w:rsidRPr="2EFCCC1F">
        <w:t>IHC</w:t>
      </w:r>
      <w:r w:rsidR="397FD387">
        <w:t>]</w:t>
      </w:r>
      <w:r w:rsidRPr="2EFCCC1F">
        <w:t xml:space="preserve"> providers</w:t>
      </w:r>
      <w:r>
        <w:t>)</w:t>
      </w:r>
      <w:r w:rsidRPr="2EFCCC1F">
        <w:t xml:space="preserve"> operate under the NQF</w:t>
      </w:r>
      <w:r w:rsidR="00925DF9">
        <w:t>,</w:t>
      </w:r>
      <w:r>
        <w:t xml:space="preserve"> which </w:t>
      </w:r>
      <w:r w:rsidR="0015306B">
        <w:t xml:space="preserve">comprises </w:t>
      </w:r>
      <w:r w:rsidRPr="2EFCCC1F">
        <w:t xml:space="preserve">the </w:t>
      </w:r>
      <w:r w:rsidRPr="006F4919">
        <w:rPr>
          <w:i/>
          <w:iCs/>
        </w:rPr>
        <w:t>Education and Care Services National Law Act 2010</w:t>
      </w:r>
      <w:r w:rsidRPr="2EFCCC1F">
        <w:t xml:space="preserve"> (National Law) and the </w:t>
      </w:r>
      <w:r w:rsidRPr="00CB4EC8">
        <w:t>Education and Care Services National Regulations 2011</w:t>
      </w:r>
      <w:r w:rsidRPr="2EFCCC1F">
        <w:t xml:space="preserve"> (National Regulations).</w:t>
      </w:r>
    </w:p>
    <w:p w14:paraId="71CEC126" w14:textId="385B2267" w:rsidR="003C268A" w:rsidRPr="004014FE" w:rsidRDefault="003C268A" w:rsidP="00087EAE">
      <w:pPr>
        <w:pStyle w:val="SubHeading6"/>
        <w:rPr>
          <w:rFonts w:ascii="Calibri Light" w:eastAsia="Yu Gothic Light" w:hAnsi="Calibri Light" w:cs="Times New Roman"/>
        </w:rPr>
      </w:pPr>
      <w:r w:rsidRPr="004014FE">
        <w:t xml:space="preserve">Centre-based </w:t>
      </w:r>
      <w:r w:rsidR="00E71CEA">
        <w:t>d</w:t>
      </w:r>
      <w:r w:rsidRPr="004014FE">
        <w:t xml:space="preserve">ay </w:t>
      </w:r>
      <w:r w:rsidR="00E71CEA">
        <w:t>c</w:t>
      </w:r>
      <w:r w:rsidRPr="004014FE">
        <w:t>are</w:t>
      </w:r>
    </w:p>
    <w:p w14:paraId="40AECC71" w14:textId="0328FD3A" w:rsidR="009F4963" w:rsidRDefault="003C268A" w:rsidP="003C268A">
      <w:pPr>
        <w:pStyle w:val="Subbodytext"/>
      </w:pPr>
      <w:r w:rsidRPr="2EFCCC1F">
        <w:t xml:space="preserve">Centre-based day care (CBDC) services predominantly </w:t>
      </w:r>
      <w:r w:rsidR="00637DDF">
        <w:t>provide care</w:t>
      </w:r>
      <w:r w:rsidR="001556D0">
        <w:t xml:space="preserve"> to</w:t>
      </w:r>
      <w:r w:rsidR="001556D0" w:rsidRPr="2EFCCC1F">
        <w:t xml:space="preserve"> </w:t>
      </w:r>
      <w:r w:rsidRPr="2EFCCC1F">
        <w:t xml:space="preserve">non-school-aged children between the ages of </w:t>
      </w:r>
      <w:r>
        <w:t>zero</w:t>
      </w:r>
      <w:r w:rsidRPr="2EFCCC1F">
        <w:t xml:space="preserve"> and 5. This care type operates a minimum of 48 weeks per calendar year</w:t>
      </w:r>
      <w:r w:rsidR="00E708CE">
        <w:t>,</w:t>
      </w:r>
      <w:r>
        <w:t xml:space="preserve"> </w:t>
      </w:r>
      <w:r w:rsidRPr="3D99D232">
        <w:t xml:space="preserve">unless </w:t>
      </w:r>
      <w:r>
        <w:t xml:space="preserve">an </w:t>
      </w:r>
      <w:r w:rsidRPr="3D99D232">
        <w:t>exempt</w:t>
      </w:r>
      <w:r>
        <w:t>ion is granted.</w:t>
      </w:r>
      <w:r>
        <w:rPr>
          <w:rStyle w:val="FootnoteReference"/>
          <w:rFonts w:eastAsia="Calibri"/>
        </w:rPr>
        <w:footnoteReference w:id="11"/>
      </w:r>
    </w:p>
    <w:p w14:paraId="68C5C8DA" w14:textId="42BEB150" w:rsidR="007716C0" w:rsidRDefault="007716C0" w:rsidP="003C268A">
      <w:pPr>
        <w:pStyle w:val="Subbodytext"/>
      </w:pPr>
      <w:r>
        <w:t xml:space="preserve">Between the September quarter 2018 </w:t>
      </w:r>
      <w:r w:rsidR="00D9215F">
        <w:t xml:space="preserve">and </w:t>
      </w:r>
      <w:r w:rsidR="0015306B">
        <w:t xml:space="preserve">the </w:t>
      </w:r>
      <w:r w:rsidR="00D9215F">
        <w:t>September quarter 2022:</w:t>
      </w:r>
    </w:p>
    <w:p w14:paraId="2BBE9A90" w14:textId="71E4676E" w:rsidR="00D9215F" w:rsidRDefault="00F865B2" w:rsidP="00AA0F09">
      <w:pPr>
        <w:pStyle w:val="Subbodytext"/>
        <w:numPr>
          <w:ilvl w:val="0"/>
          <w:numId w:val="24"/>
        </w:numPr>
        <w:spacing w:after="0"/>
      </w:pPr>
      <w:r>
        <w:t>T</w:t>
      </w:r>
      <w:r w:rsidR="00781671">
        <w:t xml:space="preserve">he number of children using CBDC services </w:t>
      </w:r>
      <w:r>
        <w:t xml:space="preserve">(of those using CCS-approved services) </w:t>
      </w:r>
      <w:r w:rsidR="00F14F6E">
        <w:t>increased</w:t>
      </w:r>
      <w:r w:rsidR="00781671">
        <w:t xml:space="preserve"> from </w:t>
      </w:r>
      <w:r w:rsidR="00552335">
        <w:t>57.2</w:t>
      </w:r>
      <w:r w:rsidR="00346148">
        <w:t> per cent</w:t>
      </w:r>
      <w:r w:rsidR="00275BB4">
        <w:t xml:space="preserve"> </w:t>
      </w:r>
      <w:r w:rsidR="00781671">
        <w:t>to 58.5</w:t>
      </w:r>
      <w:r w:rsidR="00346148">
        <w:t> per cent</w:t>
      </w:r>
      <w:r w:rsidR="00154032">
        <w:t>.</w:t>
      </w:r>
    </w:p>
    <w:p w14:paraId="4E037ADB" w14:textId="7C59D638" w:rsidR="00781671" w:rsidRDefault="00FA4232" w:rsidP="00AA0F09">
      <w:pPr>
        <w:pStyle w:val="Subbodytext"/>
        <w:numPr>
          <w:ilvl w:val="0"/>
          <w:numId w:val="24"/>
        </w:numPr>
        <w:spacing w:after="0"/>
      </w:pPr>
      <w:r>
        <w:t xml:space="preserve">The average weekly </w:t>
      </w:r>
      <w:r w:rsidR="00BF5C55">
        <w:t xml:space="preserve">CBDC </w:t>
      </w:r>
      <w:r>
        <w:t xml:space="preserve">hours per child grew from 30.9 hours to </w:t>
      </w:r>
      <w:r w:rsidR="00525E6D">
        <w:t xml:space="preserve">32.4 hours. </w:t>
      </w:r>
    </w:p>
    <w:p w14:paraId="318A3151" w14:textId="5919ECD1" w:rsidR="003C268A" w:rsidRDefault="005F700B" w:rsidP="00AA0F09">
      <w:pPr>
        <w:pStyle w:val="Subbodytext"/>
        <w:numPr>
          <w:ilvl w:val="0"/>
          <w:numId w:val="24"/>
        </w:numPr>
      </w:pPr>
      <w:r>
        <w:t>T</w:t>
      </w:r>
      <w:r w:rsidR="00DB4B36">
        <w:t xml:space="preserve">he number of CBDC services </w:t>
      </w:r>
      <w:r w:rsidR="004A0138">
        <w:t>increased</w:t>
      </w:r>
      <w:r w:rsidR="00DB4B36">
        <w:t xml:space="preserve"> from 7,765 services (accounting</w:t>
      </w:r>
      <w:r w:rsidR="000E7150">
        <w:t xml:space="preserve"> for 60.7</w:t>
      </w:r>
      <w:r w:rsidR="00346148">
        <w:t> per cent</w:t>
      </w:r>
      <w:r w:rsidR="000E7150">
        <w:t xml:space="preserve"> of all services) to </w:t>
      </w:r>
      <w:r w:rsidR="00D8010B">
        <w:t xml:space="preserve">8,883 services (or </w:t>
      </w:r>
      <w:r w:rsidR="004851FC">
        <w:t>62.5</w:t>
      </w:r>
      <w:r w:rsidR="00346148">
        <w:t> per cent</w:t>
      </w:r>
      <w:r w:rsidR="004851FC">
        <w:t xml:space="preserve"> of all services</w:t>
      </w:r>
      <w:r w:rsidR="00D8010B">
        <w:t>)</w:t>
      </w:r>
      <w:r w:rsidR="00BD2497" w:rsidRPr="005701E8">
        <w:rPr>
          <w:vertAlign w:val="superscript"/>
        </w:rPr>
        <w:footnoteReference w:id="12"/>
      </w:r>
      <w:r w:rsidR="004851FC" w:rsidRPr="005701E8">
        <w:rPr>
          <w:vertAlign w:val="superscript"/>
        </w:rPr>
        <w:t xml:space="preserve"> </w:t>
      </w:r>
      <w:r w:rsidR="004851FC">
        <w:t>(</w:t>
      </w:r>
      <w:r w:rsidR="00D8010B">
        <w:t xml:space="preserve">refer to </w:t>
      </w:r>
      <w:r w:rsidR="00B50AC9">
        <w:rPr>
          <w:b/>
          <w:bCs/>
        </w:rPr>
        <w:t>Section </w:t>
      </w:r>
      <w:r w:rsidR="004851FC" w:rsidRPr="003C319B">
        <w:rPr>
          <w:b/>
          <w:bCs/>
        </w:rPr>
        <w:t>2.4</w:t>
      </w:r>
      <w:r w:rsidR="004851FC" w:rsidRPr="003C319B">
        <w:t>).</w:t>
      </w:r>
    </w:p>
    <w:p w14:paraId="1D92B5D0" w14:textId="6F4C169A" w:rsidR="003C268A" w:rsidRPr="004014FE" w:rsidRDefault="003C268A" w:rsidP="00087EAE">
      <w:pPr>
        <w:pStyle w:val="SubHeading6"/>
        <w:rPr>
          <w:rFonts w:ascii="Calibri Light" w:eastAsia="Yu Gothic Light" w:hAnsi="Calibri Light" w:cs="Times New Roman"/>
        </w:rPr>
      </w:pPr>
      <w:r w:rsidRPr="004014FE">
        <w:t xml:space="preserve">Outside </w:t>
      </w:r>
      <w:r w:rsidR="00152B9E">
        <w:t>s</w:t>
      </w:r>
      <w:r w:rsidRPr="004014FE">
        <w:t xml:space="preserve">chool </w:t>
      </w:r>
      <w:r w:rsidR="00152B9E">
        <w:t>h</w:t>
      </w:r>
      <w:r w:rsidRPr="004014FE">
        <w:t xml:space="preserve">ours </w:t>
      </w:r>
      <w:r w:rsidR="00152B9E">
        <w:t>c</w:t>
      </w:r>
      <w:r w:rsidRPr="004014FE">
        <w:t>are</w:t>
      </w:r>
    </w:p>
    <w:p w14:paraId="62906191" w14:textId="3FB34F6F" w:rsidR="000F7550" w:rsidRDefault="003C268A" w:rsidP="003C268A">
      <w:pPr>
        <w:pStyle w:val="Subbodytext"/>
      </w:pPr>
      <w:r w:rsidRPr="79AD881B">
        <w:t xml:space="preserve">Outside </w:t>
      </w:r>
      <w:r w:rsidR="00473475" w:rsidRPr="79AD881B">
        <w:t>school hours care</w:t>
      </w:r>
      <w:r w:rsidRPr="79AD881B">
        <w:t xml:space="preserve"> (OSHC)</w:t>
      </w:r>
      <w:r>
        <w:t xml:space="preserve"> services</w:t>
      </w:r>
      <w:r w:rsidRPr="79AD881B">
        <w:t xml:space="preserve"> provide care primarily to school-aged children outside of</w:t>
      </w:r>
      <w:r w:rsidR="006415A4">
        <w:t> </w:t>
      </w:r>
      <w:r w:rsidRPr="79AD881B">
        <w:t>school hours</w:t>
      </w:r>
      <w:r w:rsidR="0015306B">
        <w:t>,</w:t>
      </w:r>
      <w:r w:rsidRPr="79AD881B">
        <w:t xml:space="preserve"> such as before school, after school</w:t>
      </w:r>
      <w:r w:rsidR="0015306B">
        <w:t>,</w:t>
      </w:r>
      <w:r w:rsidRPr="79AD881B">
        <w:t xml:space="preserve"> and during school holidays. It operates a</w:t>
      </w:r>
      <w:r w:rsidR="006415A4">
        <w:t> </w:t>
      </w:r>
      <w:r w:rsidRPr="79AD881B">
        <w:t xml:space="preserve">minimum of </w:t>
      </w:r>
      <w:r>
        <w:t>7</w:t>
      </w:r>
      <w:r w:rsidRPr="79AD881B">
        <w:t xml:space="preserve"> weeks per calendar year under the same regulatory frameworks </w:t>
      </w:r>
      <w:r>
        <w:t xml:space="preserve">that apply to </w:t>
      </w:r>
      <w:r w:rsidRPr="79AD881B">
        <w:t>CBDC services.</w:t>
      </w:r>
    </w:p>
    <w:p w14:paraId="003B5DDB" w14:textId="2F89DCDB" w:rsidR="000F7550" w:rsidRDefault="000F7550" w:rsidP="000F7550">
      <w:pPr>
        <w:pStyle w:val="Subbodytext"/>
      </w:pPr>
      <w:r>
        <w:t xml:space="preserve">Between the September quarter 2018 and </w:t>
      </w:r>
      <w:r w:rsidR="0015306B">
        <w:t xml:space="preserve">the </w:t>
      </w:r>
      <w:r>
        <w:t>September quarter 2022:</w:t>
      </w:r>
    </w:p>
    <w:p w14:paraId="008C3F21" w14:textId="6260CF69" w:rsidR="000F7550" w:rsidRDefault="00F865B2" w:rsidP="000F7550">
      <w:pPr>
        <w:pStyle w:val="Subbodytext"/>
        <w:numPr>
          <w:ilvl w:val="0"/>
          <w:numId w:val="24"/>
        </w:numPr>
        <w:spacing w:after="0"/>
      </w:pPr>
      <w:r>
        <w:t>T</w:t>
      </w:r>
      <w:r w:rsidR="000F7550">
        <w:t>he number of children using OSHC services</w:t>
      </w:r>
      <w:r>
        <w:t xml:space="preserve"> (of those using CCS-approved services) </w:t>
      </w:r>
      <w:r w:rsidR="00E35BFA">
        <w:t>increased</w:t>
      </w:r>
      <w:r w:rsidR="000F7550">
        <w:t xml:space="preserve"> from </w:t>
      </w:r>
      <w:r w:rsidR="008A3E1C">
        <w:t>35.7</w:t>
      </w:r>
      <w:r w:rsidR="00346148">
        <w:t> per cent</w:t>
      </w:r>
      <w:r w:rsidR="000F7550">
        <w:t xml:space="preserve"> to </w:t>
      </w:r>
      <w:r w:rsidR="006C47B5">
        <w:t>38</w:t>
      </w:r>
      <w:r w:rsidR="00346148">
        <w:t> per cent</w:t>
      </w:r>
      <w:r w:rsidR="000F7550">
        <w:t>.</w:t>
      </w:r>
    </w:p>
    <w:p w14:paraId="5451C7FC" w14:textId="2A20DE6C" w:rsidR="00B8036C" w:rsidRDefault="000F7550" w:rsidP="00AA0F09">
      <w:pPr>
        <w:pStyle w:val="Subbodytext"/>
        <w:numPr>
          <w:ilvl w:val="0"/>
          <w:numId w:val="24"/>
        </w:numPr>
        <w:spacing w:after="0"/>
      </w:pPr>
      <w:r>
        <w:t xml:space="preserve">The average weekly </w:t>
      </w:r>
      <w:r w:rsidR="0015306B">
        <w:t xml:space="preserve">OSHC </w:t>
      </w:r>
      <w:r>
        <w:t xml:space="preserve">hours per child grew from </w:t>
      </w:r>
      <w:r w:rsidR="00976581">
        <w:t>12.6</w:t>
      </w:r>
      <w:r>
        <w:t xml:space="preserve"> hours to </w:t>
      </w:r>
      <w:r w:rsidR="008D4335">
        <w:t>12.7</w:t>
      </w:r>
      <w:r>
        <w:t xml:space="preserve"> hours.</w:t>
      </w:r>
    </w:p>
    <w:p w14:paraId="653B0A57" w14:textId="3414688D" w:rsidR="000573B1" w:rsidRDefault="000573B1" w:rsidP="00AA0F09">
      <w:pPr>
        <w:pStyle w:val="Subbodytext"/>
        <w:numPr>
          <w:ilvl w:val="0"/>
          <w:numId w:val="24"/>
        </w:numPr>
      </w:pPr>
      <w:r>
        <w:t>The number of OSHC services increased from 4,517 services (</w:t>
      </w:r>
      <w:r w:rsidRPr="003C319B">
        <w:t>accounting for 35.3</w:t>
      </w:r>
      <w:r w:rsidR="00346148">
        <w:t> per cent</w:t>
      </w:r>
      <w:r w:rsidRPr="003C319B">
        <w:t xml:space="preserve"> of all services) to 4,889 services (or 34.4</w:t>
      </w:r>
      <w:r w:rsidR="00346148">
        <w:t> per cent</w:t>
      </w:r>
      <w:r w:rsidRPr="003C319B">
        <w:t xml:space="preserve"> of all services)</w:t>
      </w:r>
      <w:r w:rsidRPr="003C319B">
        <w:rPr>
          <w:rStyle w:val="FootnoteReference"/>
        </w:rPr>
        <w:footnoteReference w:id="13"/>
      </w:r>
      <w:r w:rsidRPr="003C319B">
        <w:t xml:space="preserve"> (refer to </w:t>
      </w:r>
      <w:r w:rsidR="00B50AC9">
        <w:rPr>
          <w:b/>
          <w:bCs/>
        </w:rPr>
        <w:t>Section </w:t>
      </w:r>
      <w:r w:rsidRPr="003C319B">
        <w:rPr>
          <w:b/>
          <w:bCs/>
        </w:rPr>
        <w:t>2.4</w:t>
      </w:r>
      <w:r w:rsidRPr="003C319B">
        <w:t>).</w:t>
      </w:r>
    </w:p>
    <w:p w14:paraId="79BAC792" w14:textId="7E7A8AEC" w:rsidR="003C268A" w:rsidRPr="004014FE" w:rsidRDefault="003C268A" w:rsidP="00722D29">
      <w:pPr>
        <w:pStyle w:val="SubHeading6"/>
        <w:keepLines w:val="0"/>
      </w:pPr>
      <w:r w:rsidRPr="004014FE">
        <w:t xml:space="preserve">Family </w:t>
      </w:r>
      <w:r w:rsidR="00E71CEA">
        <w:t>d</w:t>
      </w:r>
      <w:r w:rsidRPr="004014FE">
        <w:t xml:space="preserve">ay </w:t>
      </w:r>
      <w:r w:rsidR="00E71CEA">
        <w:t>c</w:t>
      </w:r>
      <w:r w:rsidRPr="004014FE">
        <w:t>are</w:t>
      </w:r>
    </w:p>
    <w:p w14:paraId="5D8C4F3E" w14:textId="20FD484B" w:rsidR="00EB146A" w:rsidRDefault="003C268A" w:rsidP="004A7D90">
      <w:pPr>
        <w:pStyle w:val="Subbodytext"/>
        <w:keepNext/>
        <w:keepLines/>
      </w:pPr>
      <w:r w:rsidRPr="15E0F923">
        <w:t xml:space="preserve">Family </w:t>
      </w:r>
      <w:r w:rsidR="00473475" w:rsidRPr="15E0F923">
        <w:t>day care</w:t>
      </w:r>
      <w:r w:rsidRPr="15E0F923">
        <w:t xml:space="preserve"> (FDC) </w:t>
      </w:r>
      <w:r w:rsidR="00495403">
        <w:t>is</w:t>
      </w:r>
      <w:r w:rsidR="134645C5" w:rsidRPr="15E0F923">
        <w:t xml:space="preserve"> </w:t>
      </w:r>
      <w:r w:rsidRPr="15E0F923">
        <w:t xml:space="preserve">typically </w:t>
      </w:r>
      <w:r w:rsidR="64C92DC8" w:rsidRPr="15E0F923">
        <w:t xml:space="preserve">provided </w:t>
      </w:r>
      <w:r w:rsidRPr="15E0F923">
        <w:t>in the home of an educator</w:t>
      </w:r>
      <w:r>
        <w:t xml:space="preserve">. </w:t>
      </w:r>
      <w:r w:rsidR="00852884">
        <w:t xml:space="preserve">Like CBDC, </w:t>
      </w:r>
      <w:r>
        <w:t xml:space="preserve">FDC services </w:t>
      </w:r>
      <w:r w:rsidRPr="15E0F923">
        <w:t xml:space="preserve">are regulated under </w:t>
      </w:r>
      <w:r>
        <w:t>FAL and must operate</w:t>
      </w:r>
      <w:r w:rsidRPr="15E0F923">
        <w:t xml:space="preserve"> a minimum of 48 weeks per calendar year.</w:t>
      </w:r>
      <w:r>
        <w:rPr>
          <w:rStyle w:val="FootnoteReference"/>
          <w:rFonts w:eastAsia="Calibri"/>
        </w:rPr>
        <w:footnoteReference w:id="14"/>
      </w:r>
    </w:p>
    <w:p w14:paraId="66729937" w14:textId="6A5B82E3" w:rsidR="00CD022F" w:rsidRDefault="00CD022F" w:rsidP="005968A0">
      <w:pPr>
        <w:pStyle w:val="Subbodytext"/>
        <w:keepNext/>
        <w:keepLines/>
      </w:pPr>
      <w:r>
        <w:t xml:space="preserve">Between the September quarter 2018 and </w:t>
      </w:r>
      <w:r w:rsidR="0015306B">
        <w:t xml:space="preserve">the </w:t>
      </w:r>
      <w:r>
        <w:t>September quarter 2022:</w:t>
      </w:r>
    </w:p>
    <w:p w14:paraId="556CC9E4" w14:textId="4A01A449" w:rsidR="00CD022F" w:rsidRDefault="00F865B2" w:rsidP="005968A0">
      <w:pPr>
        <w:pStyle w:val="SubList"/>
        <w:keepNext/>
        <w:keepLines/>
        <w:ind w:left="714" w:hanging="357"/>
      </w:pPr>
      <w:r>
        <w:t>T</w:t>
      </w:r>
      <w:r w:rsidR="00CD022F">
        <w:t xml:space="preserve">he number of children using FDC services </w:t>
      </w:r>
      <w:r>
        <w:t xml:space="preserve">(of those using CCS-approved services) </w:t>
      </w:r>
      <w:r w:rsidR="00EA2B01">
        <w:t>decreased</w:t>
      </w:r>
      <w:r w:rsidR="00CD022F">
        <w:t xml:space="preserve"> from </w:t>
      </w:r>
      <w:r w:rsidR="00845F88">
        <w:t>10</w:t>
      </w:r>
      <w:r w:rsidR="00346148">
        <w:t> per cent</w:t>
      </w:r>
      <w:r w:rsidR="00CD022F">
        <w:t xml:space="preserve"> to </w:t>
      </w:r>
      <w:r w:rsidR="00EA2B01">
        <w:t>5.8</w:t>
      </w:r>
      <w:r w:rsidR="00346148">
        <w:t> per cent</w:t>
      </w:r>
      <w:r w:rsidR="00CD022F">
        <w:t>.</w:t>
      </w:r>
    </w:p>
    <w:p w14:paraId="498A13C8" w14:textId="6EB861C5" w:rsidR="00CD022F" w:rsidRDefault="00CD022F" w:rsidP="005968A0">
      <w:pPr>
        <w:pStyle w:val="SubList"/>
        <w:keepNext/>
        <w:keepLines/>
        <w:ind w:left="714" w:hanging="357"/>
      </w:pPr>
      <w:r>
        <w:t xml:space="preserve">The average weekly </w:t>
      </w:r>
      <w:r w:rsidR="0015306B">
        <w:t xml:space="preserve">FDC </w:t>
      </w:r>
      <w:r>
        <w:t xml:space="preserve">hours per child </w:t>
      </w:r>
      <w:r w:rsidR="00606776">
        <w:t xml:space="preserve">declined </w:t>
      </w:r>
      <w:r>
        <w:t xml:space="preserve">from </w:t>
      </w:r>
      <w:r w:rsidR="004E77A7">
        <w:t>25.6</w:t>
      </w:r>
      <w:r>
        <w:t xml:space="preserve"> hours to </w:t>
      </w:r>
      <w:r w:rsidR="005B336D">
        <w:t>25.5</w:t>
      </w:r>
      <w:r>
        <w:t xml:space="preserve"> hours.</w:t>
      </w:r>
    </w:p>
    <w:p w14:paraId="77845C78" w14:textId="0BAE2E90" w:rsidR="00CD022F" w:rsidRDefault="00CD022F" w:rsidP="004A7D90">
      <w:pPr>
        <w:pStyle w:val="SubList"/>
        <w:keepNext/>
        <w:keepLines/>
        <w:ind w:left="714" w:hanging="357"/>
      </w:pPr>
      <w:r>
        <w:t>The</w:t>
      </w:r>
      <w:r w:rsidR="005B336D">
        <w:t xml:space="preserve"> number of FDC services decreased from 515 services (accounting for 4</w:t>
      </w:r>
      <w:r w:rsidR="00346148">
        <w:t> per cent</w:t>
      </w:r>
      <w:r w:rsidR="005B336D">
        <w:t xml:space="preserve"> of all services) to 409 services (or 2.9</w:t>
      </w:r>
      <w:r w:rsidR="00346148">
        <w:t> per cent</w:t>
      </w:r>
      <w:r w:rsidR="005B336D">
        <w:t xml:space="preserve"> of all services)</w:t>
      </w:r>
      <w:r w:rsidR="005B336D">
        <w:rPr>
          <w:rStyle w:val="FootnoteReference"/>
        </w:rPr>
        <w:footnoteReference w:id="15"/>
      </w:r>
      <w:r w:rsidR="005B336D">
        <w:t xml:space="preserve"> (refer to </w:t>
      </w:r>
      <w:r w:rsidR="00B50AC9">
        <w:rPr>
          <w:b/>
          <w:bCs/>
        </w:rPr>
        <w:t>Section </w:t>
      </w:r>
      <w:r w:rsidR="005B336D" w:rsidRPr="00F91483">
        <w:rPr>
          <w:b/>
          <w:bCs/>
        </w:rPr>
        <w:t>2.4</w:t>
      </w:r>
      <w:r w:rsidR="005B336D" w:rsidRPr="00F91483">
        <w:t>).</w:t>
      </w:r>
    </w:p>
    <w:p w14:paraId="57B8DE76" w14:textId="0B9104C7" w:rsidR="003C268A" w:rsidRPr="004014FE" w:rsidRDefault="003C268A" w:rsidP="00087EAE">
      <w:pPr>
        <w:pStyle w:val="SubHeading6"/>
      </w:pPr>
      <w:r w:rsidRPr="004014FE">
        <w:t xml:space="preserve">In </w:t>
      </w:r>
      <w:r w:rsidR="00E71CEA">
        <w:t>h</w:t>
      </w:r>
      <w:r w:rsidRPr="004014FE">
        <w:t xml:space="preserve">ome </w:t>
      </w:r>
      <w:r w:rsidR="00E71CEA">
        <w:t>c</w:t>
      </w:r>
      <w:r w:rsidRPr="004014FE">
        <w:t>are</w:t>
      </w:r>
    </w:p>
    <w:p w14:paraId="6A3B2CC1" w14:textId="263303E6" w:rsidR="003C268A" w:rsidRPr="00456B18" w:rsidRDefault="483CBAA2" w:rsidP="003C268A">
      <w:pPr>
        <w:pStyle w:val="Subbodytext"/>
      </w:pPr>
      <w:r>
        <w:t xml:space="preserve">Typically </w:t>
      </w:r>
      <w:r w:rsidRPr="00456B18">
        <w:t>provided in the child’s home by an educator</w:t>
      </w:r>
      <w:r>
        <w:t>,</w:t>
      </w:r>
      <w:r w:rsidRPr="00456B18">
        <w:t xml:space="preserve"> IHC offers flexible options where other care types are not appropriate or available. Eligibility criteria </w:t>
      </w:r>
      <w:r w:rsidR="00493EAE">
        <w:t xml:space="preserve">for families </w:t>
      </w:r>
      <w:r w:rsidRPr="00456B18">
        <w:t>may include non-standard</w:t>
      </w:r>
      <w:r w:rsidR="00052798">
        <w:t xml:space="preserve"> working</w:t>
      </w:r>
      <w:r w:rsidRPr="00456B18">
        <w:t xml:space="preserve"> hours, challenging needs, or geographic isolat</w:t>
      </w:r>
      <w:r w:rsidR="00502566">
        <w:t>ion</w:t>
      </w:r>
      <w:r w:rsidR="00856631">
        <w:t>—</w:t>
      </w:r>
      <w:r w:rsidRPr="00456B18">
        <w:t>such as</w:t>
      </w:r>
      <w:r w:rsidR="00C35DC4">
        <w:t xml:space="preserve"> living in</w:t>
      </w:r>
      <w:r w:rsidRPr="00456B18">
        <w:t xml:space="preserve"> rural or remote regions. </w:t>
      </w:r>
      <w:r w:rsidR="1D514E20">
        <w:t>During the September quarter 2022, 2,150 children used IHC (</w:t>
      </w:r>
      <w:r w:rsidRPr="00456B18">
        <w:t xml:space="preserve">less than </w:t>
      </w:r>
      <w:r w:rsidR="00134D81">
        <w:t>1 per cent</w:t>
      </w:r>
      <w:r w:rsidR="00BC03D4">
        <w:t xml:space="preserve"> </w:t>
      </w:r>
      <w:r w:rsidR="01AC0D2F">
        <w:t>of children using CCS-approved care</w:t>
      </w:r>
      <w:r w:rsidRPr="00456B18">
        <w:t>).</w:t>
      </w:r>
      <w:r w:rsidR="003C268A" w:rsidRPr="00456B18">
        <w:rPr>
          <w:rStyle w:val="FootnoteReference"/>
          <w:rFonts w:eastAsia="Calibri"/>
        </w:rPr>
        <w:footnoteReference w:id="16"/>
      </w:r>
      <w:r w:rsidRPr="00456B18">
        <w:t xml:space="preserve"> </w:t>
      </w:r>
      <w:r>
        <w:t>Th</w:t>
      </w:r>
      <w:r w:rsidR="001D3720">
        <w:t xml:space="preserve">ough eligible for </w:t>
      </w:r>
      <w:r w:rsidR="0015306B">
        <w:t xml:space="preserve">the </w:t>
      </w:r>
      <w:r w:rsidR="001D3720">
        <w:t>CC</w:t>
      </w:r>
      <w:r w:rsidR="00E74C47">
        <w:t>S, IHC</w:t>
      </w:r>
      <w:r w:rsidR="008D0ED1">
        <w:t xml:space="preserve"> </w:t>
      </w:r>
      <w:r w:rsidRPr="00456B18">
        <w:t>services are out</w:t>
      </w:r>
      <w:r>
        <w:t>side the scope</w:t>
      </w:r>
      <w:r w:rsidRPr="00456B18">
        <w:t xml:space="preserve"> of the NQF</w:t>
      </w:r>
      <w:r w:rsidR="00D55225">
        <w:t>. They are</w:t>
      </w:r>
      <w:r w:rsidRPr="00456B18">
        <w:t xml:space="preserve"> regulated by state authorities in South Australia and Tasmania and</w:t>
      </w:r>
      <w:r>
        <w:t xml:space="preserve"> by </w:t>
      </w:r>
      <w:r w:rsidRPr="00456B18">
        <w:t>the Australian Government</w:t>
      </w:r>
      <w:r>
        <w:t>,</w:t>
      </w:r>
      <w:r w:rsidRPr="00456B18">
        <w:t xml:space="preserve"> by default</w:t>
      </w:r>
      <w:r>
        <w:t>,</w:t>
      </w:r>
      <w:r w:rsidRPr="00456B18">
        <w:t xml:space="preserve"> in all other jurisdictions.</w:t>
      </w:r>
    </w:p>
    <w:p w14:paraId="7B30EAC9" w14:textId="328BBD13" w:rsidR="003C268A" w:rsidRDefault="003C268A" w:rsidP="003C268A">
      <w:pPr>
        <w:pStyle w:val="Subbodytext"/>
        <w:rPr>
          <w:rFonts w:ascii="Times New Roman" w:hAnsi="Times New Roman" w:cs="Times New Roman"/>
          <w:sz w:val="24"/>
          <w:szCs w:val="24"/>
          <w:lang w:eastAsia="en-AU"/>
        </w:rPr>
      </w:pPr>
      <w:r>
        <w:t>The department has commissioned an external review of the IHC program. The purpose of the review is to ensure that the program is</w:t>
      </w:r>
      <w:r w:rsidR="008D0ED1">
        <w:t xml:space="preserve"> </w:t>
      </w:r>
      <w:r>
        <w:t>meeting its policy intent and objectives</w:t>
      </w:r>
      <w:r w:rsidR="0015306B">
        <w:t>. This is</w:t>
      </w:r>
      <w:r>
        <w:t xml:space="preserve"> consistent with the Government’s commitment to</w:t>
      </w:r>
      <w:r w:rsidR="008D0ED1">
        <w:t xml:space="preserve"> </w:t>
      </w:r>
      <w:r>
        <w:t>achieving the best possible outcomes for children and families accessing ECEC. The review will be</w:t>
      </w:r>
      <w:r w:rsidR="008D0ED1">
        <w:t xml:space="preserve"> </w:t>
      </w:r>
      <w:r>
        <w:t>completed by mid-2023.</w:t>
      </w:r>
    </w:p>
    <w:p w14:paraId="1EAC18D5" w14:textId="77777777" w:rsidR="003C268A" w:rsidRPr="001017D6" w:rsidRDefault="003C268A" w:rsidP="00087EAE">
      <w:pPr>
        <w:pStyle w:val="SubHeading4"/>
        <w:rPr>
          <w:rFonts w:ascii="Calibri Light" w:eastAsia="Yu Gothic Light" w:hAnsi="Calibri Light" w:cs="Times New Roman"/>
          <w:color w:val="004C6C"/>
        </w:rPr>
      </w:pPr>
      <w:bookmarkStart w:id="26" w:name="_Toc133777429"/>
      <w:r w:rsidRPr="001017D6">
        <w:t>Preschool</w:t>
      </w:r>
      <w:r>
        <w:t xml:space="preserve"> (Year Before Full-time School)</w:t>
      </w:r>
      <w:bookmarkEnd w:id="26"/>
    </w:p>
    <w:p w14:paraId="28EC8986" w14:textId="6880D9DD" w:rsidR="00404228" w:rsidRDefault="0015306B" w:rsidP="003C268A">
      <w:pPr>
        <w:pStyle w:val="Subbodytext"/>
      </w:pPr>
      <w:r>
        <w:t>In p</w:t>
      </w:r>
      <w:r w:rsidR="003C268A" w:rsidRPr="2EFCCC1F">
        <w:t>reschool</w:t>
      </w:r>
      <w:r>
        <w:t xml:space="preserve"> programs, qualified teachers deliver</w:t>
      </w:r>
      <w:r w:rsidR="003C268A" w:rsidRPr="2EFCCC1F">
        <w:t xml:space="preserve"> early childhood education to</w:t>
      </w:r>
      <w:r w:rsidR="006F33F0">
        <w:t> </w:t>
      </w:r>
      <w:r w:rsidR="003C268A" w:rsidRPr="2EFCCC1F">
        <w:t xml:space="preserve">children </w:t>
      </w:r>
      <w:r w:rsidRPr="2EFCCC1F">
        <w:t>(typically aged between 3 and 5)</w:t>
      </w:r>
      <w:r>
        <w:t xml:space="preserve"> </w:t>
      </w:r>
      <w:r w:rsidR="003C268A">
        <w:t xml:space="preserve">for </w:t>
      </w:r>
      <w:r w:rsidR="003C268A" w:rsidRPr="2EFCCC1F">
        <w:t xml:space="preserve">up to </w:t>
      </w:r>
      <w:r w:rsidR="003C268A" w:rsidRPr="480DA551">
        <w:t>2</w:t>
      </w:r>
      <w:r w:rsidR="003C268A" w:rsidRPr="2EFCCC1F">
        <w:t xml:space="preserve"> years before primary school.</w:t>
      </w:r>
      <w:r w:rsidR="003C268A">
        <w:t xml:space="preserve"> </w:t>
      </w:r>
      <w:r w:rsidR="00E40CF7">
        <w:t>Across the country, t</w:t>
      </w:r>
      <w:r w:rsidR="003C268A">
        <w:t xml:space="preserve">here are around 13,000 preschool </w:t>
      </w:r>
      <w:r w:rsidR="00A03E60">
        <w:t>services</w:t>
      </w:r>
      <w:r w:rsidR="002416C7">
        <w:t xml:space="preserve">, which are delivered </w:t>
      </w:r>
      <w:r w:rsidR="008E2397">
        <w:t>in</w:t>
      </w:r>
      <w:r w:rsidR="00D607A8">
        <w:t xml:space="preserve"> CBDC</w:t>
      </w:r>
      <w:r w:rsidR="00BE48C5">
        <w:t xml:space="preserve"> facilities</w:t>
      </w:r>
      <w:r w:rsidR="00D607A8">
        <w:t xml:space="preserve">, </w:t>
      </w:r>
      <w:r w:rsidR="00B4294D">
        <w:t>stand</w:t>
      </w:r>
      <w:r w:rsidR="00D607A8">
        <w:t>alone preschools</w:t>
      </w:r>
      <w:r w:rsidR="00B4294D">
        <w:t>, or preschools attached to a school.</w:t>
      </w:r>
      <w:r w:rsidR="003C268A">
        <w:t xml:space="preserve"> </w:t>
      </w:r>
      <w:r w:rsidR="00DF454F">
        <w:t>A</w:t>
      </w:r>
      <w:r w:rsidR="003C268A">
        <w:t xml:space="preserve">pproximately 330,000 children aged 4 or 5 </w:t>
      </w:r>
      <w:r w:rsidR="00DF454F">
        <w:t>are</w:t>
      </w:r>
      <w:r w:rsidR="003C268A">
        <w:t xml:space="preserve"> enrolled in</w:t>
      </w:r>
      <w:r w:rsidR="007A5844">
        <w:t xml:space="preserve"> </w:t>
      </w:r>
      <w:r w:rsidR="003C268A">
        <w:t>a</w:t>
      </w:r>
      <w:r w:rsidR="007A5844">
        <w:t xml:space="preserve"> </w:t>
      </w:r>
      <w:r w:rsidR="003C268A">
        <w:t>preschool program.</w:t>
      </w:r>
      <w:r w:rsidR="003C268A">
        <w:rPr>
          <w:rStyle w:val="FootnoteReference"/>
          <w:rFonts w:eastAsia="Calibri"/>
        </w:rPr>
        <w:footnoteReference w:id="17"/>
      </w:r>
    </w:p>
    <w:p w14:paraId="4B4167F0" w14:textId="42481590" w:rsidR="003C268A" w:rsidRPr="003C319B" w:rsidRDefault="006C5480" w:rsidP="003C268A">
      <w:pPr>
        <w:pStyle w:val="Subbodytext"/>
      </w:pPr>
      <w:r>
        <w:t>The Australian Government provides funding to states</w:t>
      </w:r>
      <w:r w:rsidR="00561218">
        <w:t xml:space="preserve"> and territories (state</w:t>
      </w:r>
      <w:r w:rsidR="00AE731B">
        <w:t>s</w:t>
      </w:r>
      <w:r w:rsidR="00561218">
        <w:t>)</w:t>
      </w:r>
      <w:r>
        <w:t xml:space="preserve"> for the delivery of preschool, which is</w:t>
      </w:r>
      <w:r w:rsidR="00B559D6">
        <w:t xml:space="preserve"> primarily the responsibility of state governments. P</w:t>
      </w:r>
      <w:r w:rsidR="006074D6">
        <w:t xml:space="preserve">rograms are known </w:t>
      </w:r>
      <w:r w:rsidR="00712261">
        <w:t xml:space="preserve">as ‘preschool’ </w:t>
      </w:r>
      <w:r w:rsidR="00A04AC1">
        <w:t xml:space="preserve">in </w:t>
      </w:r>
      <w:r w:rsidR="00965398">
        <w:t xml:space="preserve">some states and </w:t>
      </w:r>
      <w:r w:rsidR="00A04AC1">
        <w:t>‘kindergarten’ in</w:t>
      </w:r>
      <w:r w:rsidR="00965398">
        <w:t xml:space="preserve"> others</w:t>
      </w:r>
      <w:r w:rsidR="00F33D64">
        <w:t xml:space="preserve">. </w:t>
      </w:r>
      <w:r w:rsidR="001E21A2">
        <w:t xml:space="preserve">The age at which children commence </w:t>
      </w:r>
      <w:r w:rsidR="0098173A">
        <w:t>preschool</w:t>
      </w:r>
      <w:r w:rsidR="009E6572">
        <w:t xml:space="preserve"> </w:t>
      </w:r>
      <w:r w:rsidR="00161D86">
        <w:t>var</w:t>
      </w:r>
      <w:r w:rsidR="0098173A">
        <w:t>ies</w:t>
      </w:r>
      <w:r w:rsidR="00161D86">
        <w:t xml:space="preserve"> between states</w:t>
      </w:r>
      <w:r w:rsidR="004631C8">
        <w:t>, as d</w:t>
      </w:r>
      <w:r w:rsidR="00820137">
        <w:t>o funding arrangements</w:t>
      </w:r>
      <w:r w:rsidR="00CF2B10">
        <w:t xml:space="preserve"> and amounts</w:t>
      </w:r>
      <w:r w:rsidR="00820137">
        <w:t xml:space="preserve">. </w:t>
      </w:r>
      <w:r w:rsidR="00BF716D">
        <w:t xml:space="preserve">For example, some states </w:t>
      </w:r>
      <w:r w:rsidR="006B56DC">
        <w:t xml:space="preserve">fund the delivery of preschool programs in </w:t>
      </w:r>
      <w:r w:rsidR="00467D88">
        <w:t>CBDC, while others do not.</w:t>
      </w:r>
      <w:r w:rsidR="00A654E0">
        <w:t xml:space="preserve"> </w:t>
      </w:r>
      <w:r w:rsidRPr="00F87A10">
        <w:t>U</w:t>
      </w:r>
      <w:r w:rsidR="0037083D" w:rsidRPr="00F87A10">
        <w:t xml:space="preserve">nder the </w:t>
      </w:r>
      <w:r w:rsidR="005F3195" w:rsidRPr="00F87A10">
        <w:t>Preschool Reform Agreement</w:t>
      </w:r>
      <w:r w:rsidR="00F10EC3" w:rsidRPr="00F87A10">
        <w:t xml:space="preserve">, </w:t>
      </w:r>
      <w:r w:rsidR="0091343C" w:rsidRPr="003C319B">
        <w:t xml:space="preserve">Commonwealth funding </w:t>
      </w:r>
      <w:r w:rsidR="00FC47D1">
        <w:t>follows</w:t>
      </w:r>
      <w:r w:rsidR="0091343C" w:rsidRPr="003C319B">
        <w:t xml:space="preserve"> the child to the setting in which they attend.</w:t>
      </w:r>
      <w:r w:rsidR="003C268A" w:rsidRPr="003C319B">
        <w:t xml:space="preserve"> Refer to </w:t>
      </w:r>
      <w:r w:rsidR="00B50AC9">
        <w:rPr>
          <w:b/>
          <w:bCs/>
        </w:rPr>
        <w:t>Section </w:t>
      </w:r>
      <w:r w:rsidR="003C268A" w:rsidRPr="003C319B">
        <w:rPr>
          <w:b/>
          <w:bCs/>
        </w:rPr>
        <w:t>3.4</w:t>
      </w:r>
      <w:r w:rsidR="003C268A" w:rsidRPr="003C319B">
        <w:t xml:space="preserve"> for further details on preschool delivery, including the settings in which it is provided.</w:t>
      </w:r>
    </w:p>
    <w:p w14:paraId="273D43BF" w14:textId="77777777" w:rsidR="003C268A" w:rsidRPr="003C319B" w:rsidRDefault="003C268A" w:rsidP="00087EAE">
      <w:pPr>
        <w:pStyle w:val="SubHeading4"/>
      </w:pPr>
      <w:bookmarkStart w:id="27" w:name="_Toc133777430"/>
      <w:r w:rsidRPr="003C319B">
        <w:t>Other care types</w:t>
      </w:r>
      <w:bookmarkEnd w:id="27"/>
    </w:p>
    <w:p w14:paraId="2EBBFB26" w14:textId="61440E27" w:rsidR="00CC46D1" w:rsidRPr="005C1BB6" w:rsidRDefault="00CC46D1" w:rsidP="005C1BB6">
      <w:pPr>
        <w:rPr>
          <w:color w:val="000000"/>
          <w:shd w:val="clear" w:color="auto" w:fill="FFFFFF"/>
        </w:rPr>
      </w:pPr>
      <w:r w:rsidRPr="003C319B">
        <w:t xml:space="preserve">In addition to IHC, there are </w:t>
      </w:r>
      <w:r w:rsidR="00C36C30" w:rsidRPr="003C319B">
        <w:t xml:space="preserve">some </w:t>
      </w:r>
      <w:r w:rsidR="009D4DFC" w:rsidRPr="003C319B">
        <w:t xml:space="preserve">child care </w:t>
      </w:r>
      <w:r w:rsidR="00C36C30" w:rsidRPr="003C319B">
        <w:t xml:space="preserve">services </w:t>
      </w:r>
      <w:r w:rsidR="00526EBD" w:rsidRPr="003C319B">
        <w:t xml:space="preserve">delivered by CCS-approved providers </w:t>
      </w:r>
      <w:r w:rsidR="00C36C30" w:rsidRPr="003C319B">
        <w:t xml:space="preserve">that </w:t>
      </w:r>
      <w:r w:rsidR="0087796A" w:rsidRPr="003C319B">
        <w:t xml:space="preserve">are </w:t>
      </w:r>
      <w:r w:rsidR="00526EBD" w:rsidRPr="003C319B">
        <w:t>out</w:t>
      </w:r>
      <w:r w:rsidR="007B6682">
        <w:t>side the</w:t>
      </w:r>
      <w:r w:rsidR="00526EBD" w:rsidRPr="003C319B">
        <w:t xml:space="preserve"> scope of the NQF.</w:t>
      </w:r>
      <w:r w:rsidR="00C36C30" w:rsidRPr="003C319B">
        <w:t xml:space="preserve"> </w:t>
      </w:r>
      <w:r w:rsidR="00872893" w:rsidRPr="003C319B">
        <w:t xml:space="preserve">These include </w:t>
      </w:r>
      <w:r w:rsidR="00053B8A" w:rsidRPr="003C319B">
        <w:t xml:space="preserve">128 out of the 151 </w:t>
      </w:r>
      <w:r w:rsidRPr="003C319B">
        <w:rPr>
          <w:rStyle w:val="normaltextrun"/>
          <w:color w:val="000000"/>
          <w:shd w:val="clear" w:color="auto" w:fill="FFFFFF"/>
        </w:rPr>
        <w:t xml:space="preserve">services currently funded by the Community Child Care Fund </w:t>
      </w:r>
      <w:r w:rsidR="001A26A1">
        <w:rPr>
          <w:rStyle w:val="normaltextrun"/>
          <w:color w:val="000000"/>
          <w:shd w:val="clear" w:color="auto" w:fill="FFFFFF"/>
        </w:rPr>
        <w:t>R</w:t>
      </w:r>
      <w:r w:rsidRPr="003C319B">
        <w:rPr>
          <w:rStyle w:val="normaltextrun"/>
          <w:color w:val="000000"/>
          <w:shd w:val="clear" w:color="auto" w:fill="FFFFFF"/>
        </w:rPr>
        <w:t xml:space="preserve">estricted </w:t>
      </w:r>
      <w:r w:rsidR="000709BF" w:rsidRPr="003C319B">
        <w:rPr>
          <w:rStyle w:val="normaltextrun"/>
          <w:color w:val="000000"/>
          <w:shd w:val="clear" w:color="auto" w:fill="FFFFFF"/>
        </w:rPr>
        <w:t>grant</w:t>
      </w:r>
      <w:r w:rsidRPr="003C319B">
        <w:rPr>
          <w:rStyle w:val="normaltextrun"/>
          <w:color w:val="000000"/>
          <w:shd w:val="clear" w:color="auto" w:fill="FFFFFF"/>
        </w:rPr>
        <w:t xml:space="preserve"> (refer to</w:t>
      </w:r>
      <w:r w:rsidR="003C319B">
        <w:rPr>
          <w:rStyle w:val="normaltextrun"/>
          <w:color w:val="000000"/>
          <w:shd w:val="clear" w:color="auto" w:fill="FFFFFF"/>
        </w:rPr>
        <w:t xml:space="preserve"> </w:t>
      </w:r>
      <w:r w:rsidR="00B50AC9">
        <w:rPr>
          <w:rStyle w:val="normaltextrun"/>
          <w:b/>
          <w:bCs/>
          <w:color w:val="000000"/>
          <w:shd w:val="clear" w:color="auto" w:fill="FFFFFF"/>
        </w:rPr>
        <w:t>Section </w:t>
      </w:r>
      <w:r w:rsidR="003C319B" w:rsidRPr="003C319B">
        <w:rPr>
          <w:rStyle w:val="normaltextrun"/>
          <w:b/>
          <w:bCs/>
          <w:color w:val="000000"/>
          <w:shd w:val="clear" w:color="auto" w:fill="FFFFFF"/>
        </w:rPr>
        <w:t>3.2</w:t>
      </w:r>
      <w:r w:rsidRPr="003C319B">
        <w:rPr>
          <w:rStyle w:val="normaltextrun"/>
          <w:color w:val="000000"/>
          <w:shd w:val="clear" w:color="auto" w:fill="FFFFFF"/>
        </w:rPr>
        <w:t>).</w:t>
      </w:r>
    </w:p>
    <w:p w14:paraId="745CBCE4" w14:textId="1563CFE1" w:rsidR="003C268A" w:rsidRDefault="003C268A" w:rsidP="003C268A">
      <w:pPr>
        <w:pStyle w:val="Subbodytext"/>
      </w:pPr>
      <w:r>
        <w:t>Families may also elect to u</w:t>
      </w:r>
      <w:r w:rsidR="006669FB">
        <w:t>se</w:t>
      </w:r>
      <w:r>
        <w:t xml:space="preserve"> other </w:t>
      </w:r>
      <w:r w:rsidRPr="2EFCCC1F">
        <w:t>care types</w:t>
      </w:r>
      <w:r>
        <w:t xml:space="preserve"> </w:t>
      </w:r>
      <w:r w:rsidR="002A3C7D">
        <w:t>that</w:t>
      </w:r>
      <w:r>
        <w:t xml:space="preserve"> are not regulated and for which the CCS is</w:t>
      </w:r>
      <w:r w:rsidR="00D614DA">
        <w:t xml:space="preserve"> </w:t>
      </w:r>
      <w:r>
        <w:t>not paid. These include:</w:t>
      </w:r>
    </w:p>
    <w:p w14:paraId="24C7741C" w14:textId="77777777" w:rsidR="003C268A" w:rsidRDefault="003C268A" w:rsidP="00B23060">
      <w:pPr>
        <w:pStyle w:val="SubList"/>
      </w:pPr>
      <w:r w:rsidRPr="2EFCCC1F">
        <w:t>informal care provided through personal arrangements (</w:t>
      </w:r>
      <w:r>
        <w:t>e.g.</w:t>
      </w:r>
      <w:r w:rsidRPr="2EFCCC1F">
        <w:t xml:space="preserve"> grandparents providing ad hoc care to their grandchildren, or nannies caring for children)</w:t>
      </w:r>
    </w:p>
    <w:p w14:paraId="12BE24A0" w14:textId="77777777" w:rsidR="003C268A" w:rsidRDefault="003C268A" w:rsidP="00B23060">
      <w:pPr>
        <w:pStyle w:val="SubList"/>
      </w:pPr>
      <w:r w:rsidRPr="2EFCCC1F">
        <w:t>services primarily providing a disability or early intervention service</w:t>
      </w:r>
    </w:p>
    <w:p w14:paraId="238FC86C" w14:textId="77777777" w:rsidR="003C268A" w:rsidRDefault="003C268A" w:rsidP="00B23060">
      <w:pPr>
        <w:pStyle w:val="SubList"/>
      </w:pPr>
      <w:r w:rsidRPr="2EFCCC1F">
        <w:t>services primarily providing instruction in an activity (</w:t>
      </w:r>
      <w:r>
        <w:t>e.g.</w:t>
      </w:r>
      <w:r w:rsidRPr="2EFCCC1F">
        <w:t xml:space="preserve"> sport or music)</w:t>
      </w:r>
    </w:p>
    <w:p w14:paraId="5E0896D9" w14:textId="31D2B59B" w:rsidR="003C268A" w:rsidRDefault="003C268A" w:rsidP="00B23060">
      <w:pPr>
        <w:pStyle w:val="SubList"/>
      </w:pPr>
      <w:r w:rsidRPr="2EFCCC1F">
        <w:t>service</w:t>
      </w:r>
      <w:r>
        <w:t>s</w:t>
      </w:r>
      <w:r w:rsidRPr="2EFCCC1F">
        <w:t xml:space="preserve"> that provide care, but </w:t>
      </w:r>
      <w:r w:rsidR="008F2D98">
        <w:t xml:space="preserve">in which </w:t>
      </w:r>
      <w:r w:rsidRPr="2EFCCC1F">
        <w:t>the parent retains responsibility for the child while the service is provided (</w:t>
      </w:r>
      <w:r>
        <w:t>e.g.</w:t>
      </w:r>
      <w:r w:rsidRPr="2EFCCC1F">
        <w:t xml:space="preserve"> a play group)</w:t>
      </w:r>
    </w:p>
    <w:p w14:paraId="641E8913" w14:textId="1B25DB22" w:rsidR="003C268A" w:rsidRPr="00B91070" w:rsidRDefault="003C268A" w:rsidP="00B23060">
      <w:pPr>
        <w:pStyle w:val="SubList"/>
      </w:pPr>
      <w:r w:rsidRPr="39E53EBC">
        <w:t>services primarily providing short-term</w:t>
      </w:r>
      <w:r w:rsidR="00BC6849">
        <w:t>,</w:t>
      </w:r>
      <w:r w:rsidRPr="39E53EBC">
        <w:t xml:space="preserve"> irregular care at premises </w:t>
      </w:r>
      <w:r w:rsidR="00367959">
        <w:t>in which</w:t>
      </w:r>
      <w:r w:rsidRPr="39E53EBC">
        <w:t xml:space="preserve"> the parent is</w:t>
      </w:r>
      <w:r w:rsidR="00661326">
        <w:t> </w:t>
      </w:r>
      <w:r w:rsidRPr="39E53EBC">
        <w:t>a</w:t>
      </w:r>
      <w:r w:rsidR="00661326">
        <w:t> </w:t>
      </w:r>
      <w:r w:rsidRPr="39E53EBC">
        <w:t>visitor or guest, and the parent is readily available (</w:t>
      </w:r>
      <w:r>
        <w:t>e.g.</w:t>
      </w:r>
      <w:r w:rsidRPr="39E53EBC">
        <w:t xml:space="preserve"> a service provided by a gym)</w:t>
      </w:r>
      <w:r>
        <w:t>.</w:t>
      </w:r>
    </w:p>
    <w:p w14:paraId="4D4AD60F" w14:textId="77777777" w:rsidR="003C268A" w:rsidRPr="00C90B15" w:rsidRDefault="003C268A" w:rsidP="00087EAE">
      <w:pPr>
        <w:pStyle w:val="SubSectionHeading"/>
      </w:pPr>
      <w:bookmarkStart w:id="28" w:name="_Toc133001845"/>
      <w:bookmarkStart w:id="29" w:name="_Toc133777902"/>
      <w:bookmarkStart w:id="30" w:name="_Toc134023009"/>
      <w:bookmarkStart w:id="31" w:name="_Toc134173414"/>
      <w:bookmarkStart w:id="32" w:name="_Toc135404848"/>
      <w:bookmarkEnd w:id="28"/>
      <w:r>
        <w:t>Child Care Subsidy Market</w:t>
      </w:r>
      <w:bookmarkEnd w:id="29"/>
      <w:bookmarkEnd w:id="30"/>
      <w:bookmarkEnd w:id="31"/>
      <w:bookmarkEnd w:id="32"/>
    </w:p>
    <w:p w14:paraId="4B02E201" w14:textId="6A373EA1" w:rsidR="003C268A" w:rsidRDefault="003C268A" w:rsidP="003C268A">
      <w:pPr>
        <w:pStyle w:val="Subbodytext"/>
      </w:pPr>
      <w:r>
        <w:t xml:space="preserve">Of the 4 CCS-approved care types outlined in </w:t>
      </w:r>
      <w:r w:rsidR="00B50AC9">
        <w:rPr>
          <w:b/>
          <w:bCs/>
        </w:rPr>
        <w:t>Section </w:t>
      </w:r>
      <w:r w:rsidRPr="003C319B">
        <w:rPr>
          <w:b/>
          <w:bCs/>
        </w:rPr>
        <w:t>2.3</w:t>
      </w:r>
      <w:r w:rsidRPr="003C319B">
        <w:t>,</w:t>
      </w:r>
      <w:r>
        <w:t xml:space="preserve"> CBDC makes up the largest share of the market by number of services, families, and children supported. This is followed by OSHC, FDC</w:t>
      </w:r>
      <w:r w:rsidR="00075FED">
        <w:t>,</w:t>
      </w:r>
      <w:r>
        <w:t xml:space="preserve"> and IHC. </w:t>
      </w:r>
      <w:r w:rsidR="00590B57">
        <w:t xml:space="preserve">For-profit providers form the majority of providers in the </w:t>
      </w:r>
      <w:r w:rsidR="00D33B49">
        <w:t>CCS market</w:t>
      </w:r>
      <w:r w:rsidR="00D86CC3">
        <w:t>—</w:t>
      </w:r>
      <w:r w:rsidR="00590B57">
        <w:t>accounting for 69.2</w:t>
      </w:r>
      <w:r w:rsidR="00346148">
        <w:t> per cent</w:t>
      </w:r>
      <w:r w:rsidR="00590B57">
        <w:t xml:space="preserve"> of the total number of providers. For-profit services also make up the majority</w:t>
      </w:r>
      <w:r w:rsidR="001E1911">
        <w:t xml:space="preserve"> of services—</w:t>
      </w:r>
      <w:r w:rsidR="00590B57">
        <w:t>accounting for 64.6</w:t>
      </w:r>
      <w:r w:rsidR="00346148">
        <w:t> per cent</w:t>
      </w:r>
      <w:r w:rsidR="00590B57">
        <w:t xml:space="preserve"> of total services.</w:t>
      </w:r>
      <w:r w:rsidR="003203D7">
        <w:rPr>
          <w:rStyle w:val="FootnoteReference"/>
        </w:rPr>
        <w:footnoteReference w:id="18"/>
      </w:r>
    </w:p>
    <w:p w14:paraId="54CCB1E0" w14:textId="29F910E5" w:rsidR="00C647A1" w:rsidRDefault="00C647A1" w:rsidP="23CE91EE">
      <w:r w:rsidRPr="003C319B">
        <w:rPr>
          <w:b/>
          <w:bCs/>
        </w:rPr>
        <w:t xml:space="preserve">Figure </w:t>
      </w:r>
      <w:r w:rsidR="00834A05" w:rsidRPr="003C319B">
        <w:rPr>
          <w:b/>
          <w:bCs/>
        </w:rPr>
        <w:t>1</w:t>
      </w:r>
      <w:r w:rsidRPr="003C319B" w:rsidDel="00C647A1">
        <w:t xml:space="preserve"> </w:t>
      </w:r>
      <w:r w:rsidR="00834A05" w:rsidRPr="003C319B">
        <w:t>outlines</w:t>
      </w:r>
      <w:r>
        <w:t xml:space="preserve"> the </w:t>
      </w:r>
      <w:r w:rsidR="00BE31BF">
        <w:t xml:space="preserve">market </w:t>
      </w:r>
      <w:r w:rsidR="00834A05">
        <w:t xml:space="preserve">share by service type </w:t>
      </w:r>
      <w:r w:rsidR="005F205D">
        <w:t xml:space="preserve">in the September quarter 2022 </w:t>
      </w:r>
      <w:r w:rsidR="00834A05">
        <w:t>as a percentage of services (14,217 total services).</w:t>
      </w:r>
      <w:r w:rsidR="001E2428">
        <w:t xml:space="preserve"> </w:t>
      </w:r>
      <w:r w:rsidR="006F20ED">
        <w:t xml:space="preserve">The majority of services are </w:t>
      </w:r>
      <w:r w:rsidR="001E2428">
        <w:t>CBDC</w:t>
      </w:r>
      <w:r w:rsidR="006F20ED">
        <w:t>,</w:t>
      </w:r>
      <w:r w:rsidR="001E2428">
        <w:t xml:space="preserve"> </w:t>
      </w:r>
      <w:r w:rsidR="003710AB">
        <w:t>at 62.5</w:t>
      </w:r>
      <w:r w:rsidR="00346148">
        <w:t> per cent</w:t>
      </w:r>
      <w:r w:rsidR="003710AB">
        <w:t xml:space="preserve"> (</w:t>
      </w:r>
      <w:r w:rsidR="006806E9">
        <w:t>8,883 services), followed by OSHC services</w:t>
      </w:r>
      <w:r w:rsidR="008050A5">
        <w:t>,</w:t>
      </w:r>
      <w:r w:rsidR="006806E9">
        <w:t xml:space="preserve"> at 34.4</w:t>
      </w:r>
      <w:r w:rsidR="00346148">
        <w:t> per cent</w:t>
      </w:r>
      <w:r w:rsidR="006806E9">
        <w:t xml:space="preserve"> (4,889 services).</w:t>
      </w:r>
    </w:p>
    <w:p w14:paraId="0D76E17F" w14:textId="24DB6F04" w:rsidR="00834A05" w:rsidRDefault="00834A05" w:rsidP="006A50F5">
      <w:pPr>
        <w:pStyle w:val="Caption"/>
        <w:keepNext/>
        <w:keepLines/>
        <w:spacing w:after="0"/>
      </w:pPr>
      <w:r>
        <w:t xml:space="preserve">Figure </w:t>
      </w:r>
      <w:r>
        <w:fldChar w:fldCharType="begin"/>
      </w:r>
      <w:r>
        <w:instrText>SEQ Figure \* ARABIC</w:instrText>
      </w:r>
      <w:r>
        <w:fldChar w:fldCharType="separate"/>
      </w:r>
      <w:r w:rsidR="00D307AC">
        <w:rPr>
          <w:noProof/>
        </w:rPr>
        <w:t>1</w:t>
      </w:r>
      <w:r>
        <w:fldChar w:fldCharType="end"/>
      </w:r>
      <w:r>
        <w:t xml:space="preserve">: </w:t>
      </w:r>
      <w:r w:rsidRPr="006A127D">
        <w:t xml:space="preserve">Market </w:t>
      </w:r>
      <w:r w:rsidR="005B635A">
        <w:t xml:space="preserve">Share </w:t>
      </w:r>
      <w:r w:rsidR="00E3173D">
        <w:t xml:space="preserve">by </w:t>
      </w:r>
      <w:r w:rsidR="005F205D">
        <w:t>Service Type</w:t>
      </w:r>
    </w:p>
    <w:p w14:paraId="6BC19FB3" w14:textId="59C6C361" w:rsidR="00C647A1" w:rsidRDefault="00BC697F" w:rsidP="00364F84">
      <w:pPr>
        <w:keepNext/>
        <w:keepLines/>
        <w:spacing w:after="0"/>
      </w:pPr>
      <w:r>
        <w:rPr>
          <w:noProof/>
        </w:rPr>
        <w:drawing>
          <wp:inline distT="0" distB="0" distL="0" distR="0" wp14:anchorId="74AEA846" wp14:editId="4B782E51">
            <wp:extent cx="4680000" cy="2588400"/>
            <wp:effectExtent l="0" t="0" r="6350" b="2540"/>
            <wp:docPr id="38" name="Picture 38" descr="A chart showing the Market Share by Service Type. CBDC 62.5%, OSHC 34.4%, FDC 2.9%, and IHC 0.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chart showing the Market Share by Service Type. CBDC 62.5%, OSHC 34.4%, FDC 2.9%, and IHC 0.3%. "/>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4680000" cy="2588400"/>
                    </a:xfrm>
                    <a:prstGeom prst="rect">
                      <a:avLst/>
                    </a:prstGeom>
                  </pic:spPr>
                </pic:pic>
              </a:graphicData>
            </a:graphic>
          </wp:inline>
        </w:drawing>
      </w:r>
    </w:p>
    <w:p w14:paraId="18A02D70" w14:textId="741ABE0B" w:rsidR="00C647A1" w:rsidRDefault="00445C23" w:rsidP="00944DB5">
      <w:pPr>
        <w:rPr>
          <w:sz w:val="18"/>
          <w:szCs w:val="18"/>
        </w:rPr>
      </w:pPr>
      <w:r>
        <w:rPr>
          <w:sz w:val="18"/>
          <w:szCs w:val="18"/>
        </w:rPr>
        <w:t>CBDC = centre-based day care; OSHC = outside school hours care; FDC = family day care; IHC = in home care.</w:t>
      </w:r>
      <w:r>
        <w:rPr>
          <w:sz w:val="18"/>
          <w:szCs w:val="18"/>
        </w:rPr>
        <w:br/>
      </w:r>
      <w:r w:rsidR="00C647A1" w:rsidRPr="6EF2BFE0">
        <w:rPr>
          <w:sz w:val="18"/>
          <w:szCs w:val="18"/>
        </w:rPr>
        <w:t>Source: Department of Education administrative data</w:t>
      </w:r>
      <w:r w:rsidR="00834A05" w:rsidRPr="6EF2BFE0">
        <w:rPr>
          <w:sz w:val="18"/>
          <w:szCs w:val="18"/>
        </w:rPr>
        <w:t>.</w:t>
      </w:r>
    </w:p>
    <w:p w14:paraId="5914441E" w14:textId="3CE28244" w:rsidR="00834A05" w:rsidRPr="00C647A1" w:rsidRDefault="00EF07A3" w:rsidP="00172A02">
      <w:pPr>
        <w:keepNext/>
        <w:keepLines/>
      </w:pPr>
      <w:r w:rsidRPr="00A03342">
        <w:t xml:space="preserve">Of the 990,760 families that used approved </w:t>
      </w:r>
      <w:r w:rsidR="00DC4321">
        <w:t>care</w:t>
      </w:r>
      <w:r w:rsidRPr="00A03342">
        <w:t xml:space="preserve"> in the </w:t>
      </w:r>
      <w:r w:rsidR="007C6978" w:rsidRPr="00A03342">
        <w:t xml:space="preserve">September quarter 2022, </w:t>
      </w:r>
      <w:r w:rsidR="003F02DF" w:rsidRPr="00A03342">
        <w:t>6</w:t>
      </w:r>
      <w:r w:rsidR="0092196A" w:rsidRPr="00A03342">
        <w:t>8.1</w:t>
      </w:r>
      <w:r w:rsidR="00346148">
        <w:t> per cent</w:t>
      </w:r>
      <w:r w:rsidR="003F02DF" w:rsidRPr="00A03342">
        <w:t xml:space="preserve"> </w:t>
      </w:r>
      <w:r w:rsidR="003F02DF" w:rsidRPr="003C319B">
        <w:t>(674,650</w:t>
      </w:r>
      <w:r w:rsidR="00CC7C63">
        <w:t xml:space="preserve"> families</w:t>
      </w:r>
      <w:r w:rsidR="003F02DF" w:rsidRPr="003C319B">
        <w:t>) used CBDC services</w:t>
      </w:r>
      <w:r w:rsidR="00C15F30" w:rsidRPr="003C319B">
        <w:t xml:space="preserve">. </w:t>
      </w:r>
      <w:r w:rsidR="00037BA0">
        <w:t>L</w:t>
      </w:r>
      <w:r w:rsidR="00B60054" w:rsidRPr="003C319B">
        <w:t xml:space="preserve">ess than </w:t>
      </w:r>
      <w:r w:rsidR="00134D81">
        <w:t>1 per cent</w:t>
      </w:r>
      <w:r w:rsidR="00037BA0">
        <w:t xml:space="preserve"> (</w:t>
      </w:r>
      <w:r w:rsidR="00037BA0" w:rsidRPr="003C319B">
        <w:t>1,180 families</w:t>
      </w:r>
      <w:r w:rsidR="00B60054" w:rsidRPr="003C319B">
        <w:t xml:space="preserve">) used IHC services (refer to </w:t>
      </w:r>
      <w:r w:rsidR="00B60054" w:rsidRPr="003C319B">
        <w:rPr>
          <w:b/>
          <w:bCs/>
        </w:rPr>
        <w:t>Figure 2</w:t>
      </w:r>
      <w:r w:rsidR="00B60054" w:rsidRPr="003C319B">
        <w:t>).</w:t>
      </w:r>
    </w:p>
    <w:p w14:paraId="50719DA3" w14:textId="7688E87B" w:rsidR="00834A05" w:rsidRDefault="00834A05" w:rsidP="00D665FD">
      <w:pPr>
        <w:pStyle w:val="Caption"/>
        <w:keepNext/>
        <w:keepLines/>
      </w:pPr>
      <w:r>
        <w:t xml:space="preserve">Figure </w:t>
      </w:r>
      <w:r>
        <w:fldChar w:fldCharType="begin"/>
      </w:r>
      <w:r>
        <w:instrText>SEQ Figure \* ARABIC</w:instrText>
      </w:r>
      <w:r>
        <w:fldChar w:fldCharType="separate"/>
      </w:r>
      <w:r w:rsidR="00D307AC">
        <w:rPr>
          <w:noProof/>
        </w:rPr>
        <w:t>2</w:t>
      </w:r>
      <w:r>
        <w:fldChar w:fldCharType="end"/>
      </w:r>
      <w:r>
        <w:t xml:space="preserve">: </w:t>
      </w:r>
      <w:r w:rsidR="00E3173D">
        <w:t xml:space="preserve">Market </w:t>
      </w:r>
      <w:r w:rsidR="00510DE5">
        <w:t xml:space="preserve">Share </w:t>
      </w:r>
      <w:r w:rsidR="00E3173D">
        <w:t xml:space="preserve">of </w:t>
      </w:r>
      <w:r w:rsidR="004A61CD">
        <w:t>S</w:t>
      </w:r>
      <w:r w:rsidR="004A61CD" w:rsidRPr="00C23242">
        <w:t>ervice</w:t>
      </w:r>
      <w:r w:rsidR="00A41E27">
        <w:t>s</w:t>
      </w:r>
      <w:r w:rsidR="004A61CD">
        <w:t xml:space="preserve"> </w:t>
      </w:r>
      <w:r w:rsidR="6C78EDEC">
        <w:t xml:space="preserve">by </w:t>
      </w:r>
      <w:r w:rsidR="00D96DF0">
        <w:t xml:space="preserve">Family </w:t>
      </w:r>
      <w:r w:rsidR="6C78EDEC">
        <w:t>Us</w:t>
      </w:r>
      <w:r w:rsidR="3663D1AF">
        <w:t>age</w:t>
      </w:r>
    </w:p>
    <w:p w14:paraId="0CAC1BA3" w14:textId="7369880D" w:rsidR="00834A05" w:rsidRPr="00834A05" w:rsidRDefault="00E9578C" w:rsidP="005B21DE">
      <w:pPr>
        <w:keepLines/>
        <w:spacing w:after="0"/>
        <w:rPr>
          <w:rFonts w:ascii="Calibri" w:eastAsia="Calibri" w:hAnsi="Calibri" w:cs="Times New Roman"/>
        </w:rPr>
      </w:pPr>
      <w:r>
        <w:rPr>
          <w:noProof/>
        </w:rPr>
        <w:drawing>
          <wp:inline distT="0" distB="0" distL="0" distR="0" wp14:anchorId="32955DD9" wp14:editId="5C95BC68">
            <wp:extent cx="4680000" cy="2750400"/>
            <wp:effectExtent l="0" t="0" r="6350" b="0"/>
            <wp:docPr id="37" name="Picture 37" descr="A graph showing Market Share of Services by Family Usage. CBDC 68.1%, OSHC 39.8%, FDC 5.9%, and IHC 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raph showing Market Share of Services by Family Usage. CBDC 68.1%, OSHC 39.8%, FDC 5.9%, and IHC 0.1%. "/>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4680000" cy="2750400"/>
                    </a:xfrm>
                    <a:prstGeom prst="rect">
                      <a:avLst/>
                    </a:prstGeom>
                  </pic:spPr>
                </pic:pic>
              </a:graphicData>
            </a:graphic>
          </wp:inline>
        </w:drawing>
      </w:r>
    </w:p>
    <w:p w14:paraId="53EA8ACA" w14:textId="0F9EB04D" w:rsidR="00834A05" w:rsidRPr="00172A02" w:rsidRDefault="00445C23" w:rsidP="005B21DE">
      <w:pPr>
        <w:keepLines/>
        <w:rPr>
          <w:sz w:val="18"/>
          <w:szCs w:val="18"/>
        </w:rPr>
      </w:pPr>
      <w:r>
        <w:rPr>
          <w:sz w:val="18"/>
          <w:szCs w:val="18"/>
        </w:rPr>
        <w:t>CBDC = centre-based day care; OSHC = outside school hours care; FDC = family day care; IHC = in home care.</w:t>
      </w:r>
      <w:r>
        <w:rPr>
          <w:sz w:val="18"/>
          <w:szCs w:val="18"/>
        </w:rPr>
        <w:br/>
      </w:r>
      <w:r w:rsidR="00536527" w:rsidRPr="293249E3">
        <w:rPr>
          <w:sz w:val="18"/>
          <w:szCs w:val="18"/>
        </w:rPr>
        <w:t>Note: As families may use more than one service</w:t>
      </w:r>
      <w:r w:rsidR="002145A1" w:rsidRPr="293249E3">
        <w:rPr>
          <w:sz w:val="18"/>
          <w:szCs w:val="18"/>
        </w:rPr>
        <w:t xml:space="preserve"> and</w:t>
      </w:r>
      <w:r w:rsidR="00536527" w:rsidRPr="293249E3">
        <w:rPr>
          <w:sz w:val="18"/>
          <w:szCs w:val="18"/>
        </w:rPr>
        <w:t xml:space="preserve"> due to rounding, the sum of the component parts may not equal the total.</w:t>
      </w:r>
      <w:r w:rsidR="002A7F65">
        <w:rPr>
          <w:sz w:val="18"/>
          <w:szCs w:val="18"/>
        </w:rPr>
        <w:br/>
      </w:r>
      <w:r w:rsidR="002A7F65" w:rsidRPr="293249E3">
        <w:rPr>
          <w:sz w:val="18"/>
          <w:szCs w:val="18"/>
        </w:rPr>
        <w:t>Source: Department of Education administrative data.</w:t>
      </w:r>
    </w:p>
    <w:p w14:paraId="77040FBA" w14:textId="515EFDD2" w:rsidR="005B3605" w:rsidRPr="00C647A1" w:rsidRDefault="00A41E27" w:rsidP="005B3605">
      <w:pPr>
        <w:keepNext/>
        <w:keepLines/>
      </w:pPr>
      <w:r w:rsidRPr="00172A02">
        <w:t>With respect to the use of services</w:t>
      </w:r>
      <w:r w:rsidR="007D37F1">
        <w:t xml:space="preserve"> by children</w:t>
      </w:r>
      <w:r w:rsidR="000B7B8C" w:rsidRPr="00172A02">
        <w:t xml:space="preserve"> in the September quarter 2022, </w:t>
      </w:r>
      <w:r w:rsidR="23B584BF">
        <w:t xml:space="preserve">the </w:t>
      </w:r>
      <w:r w:rsidR="000B7B8C" w:rsidRPr="00172A02">
        <w:t xml:space="preserve">majority of children </w:t>
      </w:r>
      <w:r w:rsidR="003B2E65" w:rsidRPr="00172A02">
        <w:t>(5</w:t>
      </w:r>
      <w:r w:rsidR="007E362F" w:rsidRPr="00172A02">
        <w:t>8</w:t>
      </w:r>
      <w:r w:rsidR="003B2E65" w:rsidRPr="00172A02">
        <w:t>.5</w:t>
      </w:r>
      <w:r w:rsidR="00346148">
        <w:t> per cent</w:t>
      </w:r>
      <w:r w:rsidR="003B2E65" w:rsidRPr="00172A02">
        <w:t>) used CBDC services, followed by OSHC services (38</w:t>
      </w:r>
      <w:r w:rsidR="00346148">
        <w:t> per cent</w:t>
      </w:r>
      <w:r w:rsidR="003B2E65" w:rsidRPr="00172A02">
        <w:t>)</w:t>
      </w:r>
      <w:r w:rsidR="007E362F" w:rsidRPr="00172A02">
        <w:t xml:space="preserve"> (</w:t>
      </w:r>
      <w:r w:rsidR="00D27D3F" w:rsidRPr="003C319B">
        <w:t xml:space="preserve">see </w:t>
      </w:r>
      <w:r w:rsidR="00D27D3F" w:rsidRPr="003C319B">
        <w:rPr>
          <w:b/>
          <w:bCs/>
        </w:rPr>
        <w:t>Figure</w:t>
      </w:r>
      <w:r w:rsidR="00556579">
        <w:rPr>
          <w:b/>
          <w:bCs/>
        </w:rPr>
        <w:t> </w:t>
      </w:r>
      <w:r w:rsidR="00D27D3F" w:rsidRPr="003C319B">
        <w:rPr>
          <w:b/>
          <w:bCs/>
        </w:rPr>
        <w:t>3</w:t>
      </w:r>
      <w:r w:rsidR="00D27D3F" w:rsidRPr="003C319B">
        <w:t>)</w:t>
      </w:r>
      <w:r w:rsidR="003B2E65" w:rsidRPr="003C319B">
        <w:t>.</w:t>
      </w:r>
    </w:p>
    <w:p w14:paraId="00402216" w14:textId="27350678" w:rsidR="005B3605" w:rsidRDefault="005B3605" w:rsidP="00920A5A">
      <w:pPr>
        <w:pStyle w:val="Caption"/>
        <w:keepNext/>
        <w:keepLines/>
        <w:spacing w:after="0"/>
      </w:pPr>
      <w:r>
        <w:t xml:space="preserve">Figure </w:t>
      </w:r>
      <w:r>
        <w:fldChar w:fldCharType="begin"/>
      </w:r>
      <w:r>
        <w:instrText>SEQ Figure \* ARABIC</w:instrText>
      </w:r>
      <w:r>
        <w:fldChar w:fldCharType="separate"/>
      </w:r>
      <w:r w:rsidR="00D307AC">
        <w:rPr>
          <w:noProof/>
        </w:rPr>
        <w:t>3</w:t>
      </w:r>
      <w:r>
        <w:fldChar w:fldCharType="end"/>
      </w:r>
      <w:r>
        <w:t xml:space="preserve">: </w:t>
      </w:r>
      <w:r w:rsidR="00E3173D">
        <w:t xml:space="preserve">Market </w:t>
      </w:r>
      <w:r w:rsidR="003B2E65">
        <w:t xml:space="preserve">Share </w:t>
      </w:r>
      <w:r w:rsidR="00E3173D">
        <w:t xml:space="preserve">of </w:t>
      </w:r>
      <w:r w:rsidR="003B2E65">
        <w:t>S</w:t>
      </w:r>
      <w:r w:rsidR="003B2E65" w:rsidRPr="00C23242">
        <w:t>ervice</w:t>
      </w:r>
      <w:r w:rsidR="00941946">
        <w:t>s</w:t>
      </w:r>
      <w:r w:rsidR="003B2E65">
        <w:t xml:space="preserve"> </w:t>
      </w:r>
      <w:r w:rsidRPr="00D10A47">
        <w:t xml:space="preserve">by </w:t>
      </w:r>
      <w:r w:rsidR="55155DC4">
        <w:t>Child</w:t>
      </w:r>
      <w:r w:rsidR="00B1536F">
        <w:t xml:space="preserve"> Attendance</w:t>
      </w:r>
    </w:p>
    <w:p w14:paraId="049B64CD" w14:textId="5C62735B" w:rsidR="005B3605" w:rsidRDefault="00A4718E" w:rsidP="001E1857">
      <w:pPr>
        <w:keepLines/>
        <w:spacing w:after="0"/>
        <w:rPr>
          <w:color w:val="FF0000"/>
        </w:rPr>
      </w:pPr>
      <w:r>
        <w:rPr>
          <w:noProof/>
        </w:rPr>
        <w:drawing>
          <wp:inline distT="0" distB="0" distL="0" distR="0" wp14:anchorId="47F048FE" wp14:editId="7769B998">
            <wp:extent cx="4680000" cy="2685600"/>
            <wp:effectExtent l="0" t="0" r="6350" b="635"/>
            <wp:docPr id="35" name="Picture 35" descr="A graph showing Market Share of Services by Child Attendance. CBDC 58.5%, OSHC 38.0%, FDC 5.8%, and IHC 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aph showing Market Share of Services by Child Attendance. CBDC 58.5%, OSHC 38.0%, FDC 5.8%, and IHC 0.2%. "/>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Lst>
                    </a:blip>
                    <a:stretch>
                      <a:fillRect/>
                    </a:stretch>
                  </pic:blipFill>
                  <pic:spPr>
                    <a:xfrm>
                      <a:off x="0" y="0"/>
                      <a:ext cx="4680000" cy="2685600"/>
                    </a:xfrm>
                    <a:prstGeom prst="rect">
                      <a:avLst/>
                    </a:prstGeom>
                  </pic:spPr>
                </pic:pic>
              </a:graphicData>
            </a:graphic>
          </wp:inline>
        </w:drawing>
      </w:r>
    </w:p>
    <w:p w14:paraId="5E278507" w14:textId="4B280130" w:rsidR="005B3605" w:rsidRDefault="00776DBF" w:rsidP="001E1857">
      <w:pPr>
        <w:keepLines/>
        <w:rPr>
          <w:sz w:val="18"/>
          <w:szCs w:val="18"/>
        </w:rPr>
      </w:pPr>
      <w:r>
        <w:rPr>
          <w:sz w:val="18"/>
          <w:szCs w:val="18"/>
        </w:rPr>
        <w:t>CBDC = centre-based day care; OSHC = outside school hours care; FDC = family day care; IHC = in home care.</w:t>
      </w:r>
      <w:r>
        <w:rPr>
          <w:sz w:val="18"/>
          <w:szCs w:val="18"/>
        </w:rPr>
        <w:br/>
      </w:r>
      <w:r w:rsidR="00402971" w:rsidRPr="5B5816DF">
        <w:rPr>
          <w:sz w:val="18"/>
          <w:szCs w:val="18"/>
        </w:rPr>
        <w:t>Note: As children may attend more than one service and due to rounding, the sum of the component parts may not equal the total.</w:t>
      </w:r>
      <w:r w:rsidR="002A7F65">
        <w:rPr>
          <w:sz w:val="18"/>
          <w:szCs w:val="18"/>
        </w:rPr>
        <w:br/>
      </w:r>
      <w:r w:rsidR="002A7F65" w:rsidRPr="5B5816DF">
        <w:rPr>
          <w:sz w:val="18"/>
          <w:szCs w:val="18"/>
        </w:rPr>
        <w:t>Source: Department of Education administrative data.</w:t>
      </w:r>
    </w:p>
    <w:p w14:paraId="470C0D0A" w14:textId="6BA04C8F" w:rsidR="003C268A" w:rsidRDefault="003C268A" w:rsidP="00087EAE">
      <w:pPr>
        <w:pStyle w:val="SubHeading4"/>
      </w:pPr>
      <w:bookmarkStart w:id="33" w:name="_Toc133777432"/>
      <w:r>
        <w:t>Growth and trends in the Child Care Subsidy market</w:t>
      </w:r>
      <w:bookmarkEnd w:id="33"/>
    </w:p>
    <w:p w14:paraId="1E3852D1" w14:textId="212EE230" w:rsidR="003C268A" w:rsidRDefault="003C268A" w:rsidP="003C268A">
      <w:pPr>
        <w:pStyle w:val="Subbodytext"/>
      </w:pPr>
      <w:r>
        <w:t xml:space="preserve">The ECEC sector is currently responding to an increase in demand. Population growth is one variable that contributes to demand. Between the 2016 and 2021 censuses, there was an increase of just under </w:t>
      </w:r>
      <w:r w:rsidR="00134D81">
        <w:t>1 per cent</w:t>
      </w:r>
      <w:r>
        <w:t xml:space="preserve"> of children aged zero to 5 in Australia’s population. This increase was </w:t>
      </w:r>
      <w:r w:rsidR="002D265F">
        <w:t>driven</w:t>
      </w:r>
      <w:r w:rsidR="002E78E1">
        <w:t xml:space="preserve"> by </w:t>
      </w:r>
      <w:r w:rsidR="00E41154">
        <w:t xml:space="preserve">growth </w:t>
      </w:r>
      <w:r w:rsidR="00C0470E">
        <w:t xml:space="preserve">in the number </w:t>
      </w:r>
      <w:r w:rsidR="00E41154">
        <w:t>of children</w:t>
      </w:r>
      <w:r>
        <w:t xml:space="preserve"> age</w:t>
      </w:r>
      <w:r w:rsidR="00776DBF">
        <w:t>d</w:t>
      </w:r>
      <w:r>
        <w:t xml:space="preserve"> zero, 4</w:t>
      </w:r>
      <w:r w:rsidR="00776DBF">
        <w:t>,</w:t>
      </w:r>
      <w:r>
        <w:t xml:space="preserve"> and 5 (refer to </w:t>
      </w:r>
      <w:r>
        <w:rPr>
          <w:b/>
          <w:bCs/>
        </w:rPr>
        <w:t xml:space="preserve">Table </w:t>
      </w:r>
      <w:r w:rsidR="00366BA5">
        <w:rPr>
          <w:b/>
          <w:bCs/>
        </w:rPr>
        <w:t>1</w:t>
      </w:r>
      <w:r>
        <w:t>).</w:t>
      </w:r>
    </w:p>
    <w:p w14:paraId="0067F426" w14:textId="11C02BB4" w:rsidR="00B9373F" w:rsidRDefault="00B9373F" w:rsidP="00B9373F">
      <w:pPr>
        <w:pStyle w:val="Caption"/>
        <w:keepNext/>
      </w:pPr>
      <w:r>
        <w:t xml:space="preserve">Table </w:t>
      </w:r>
      <w:r>
        <w:fldChar w:fldCharType="begin"/>
      </w:r>
      <w:r>
        <w:instrText>SEQ Table \* ARABIC</w:instrText>
      </w:r>
      <w:r>
        <w:fldChar w:fldCharType="separate"/>
      </w:r>
      <w:r w:rsidR="00D307AC">
        <w:rPr>
          <w:noProof/>
        </w:rPr>
        <w:t>1</w:t>
      </w:r>
      <w:r>
        <w:fldChar w:fldCharType="end"/>
      </w:r>
      <w:r>
        <w:t xml:space="preserve">: </w:t>
      </w:r>
      <w:r w:rsidRPr="00964EEB">
        <w:t xml:space="preserve">Number of Persons </w:t>
      </w:r>
      <w:r w:rsidR="00747294">
        <w:t>A</w:t>
      </w:r>
      <w:r w:rsidR="00747294" w:rsidRPr="00964EEB">
        <w:t xml:space="preserve">ged </w:t>
      </w:r>
      <w:r w:rsidRPr="00964EEB">
        <w:t xml:space="preserve">Zero to 5 </w:t>
      </w:r>
      <w:r w:rsidR="00250784">
        <w:t>i</w:t>
      </w:r>
      <w:r w:rsidR="00250784" w:rsidRPr="00964EEB">
        <w:t xml:space="preserve">n </w:t>
      </w:r>
      <w:r w:rsidRPr="00964EEB">
        <w:t xml:space="preserve">2016 </w:t>
      </w:r>
      <w:r w:rsidR="00747294">
        <w:t>a</w:t>
      </w:r>
      <w:r w:rsidR="00747294" w:rsidRPr="00964EEB">
        <w:t xml:space="preserve">nd </w:t>
      </w:r>
      <w:r w:rsidRPr="00964EEB">
        <w:t>2021</w:t>
      </w:r>
    </w:p>
    <w:tbl>
      <w:tblPr>
        <w:tblStyle w:val="EDU-Basic"/>
        <w:tblW w:w="5000" w:type="pct"/>
        <w:tblLook w:val="06A0" w:firstRow="1" w:lastRow="0" w:firstColumn="1" w:lastColumn="0" w:noHBand="1" w:noVBand="1"/>
        <w:tblCaption w:val="Number of Persons aged Zero to 5 In 2016 And 2021"/>
      </w:tblPr>
      <w:tblGrid>
        <w:gridCol w:w="2254"/>
        <w:gridCol w:w="2254"/>
        <w:gridCol w:w="2254"/>
        <w:gridCol w:w="2254"/>
      </w:tblGrid>
      <w:tr w:rsidR="003C268A" w14:paraId="71289E7F" w14:textId="77777777" w:rsidTr="00A2337C">
        <w:trPr>
          <w:cnfStyle w:val="100000000000" w:firstRow="1" w:lastRow="0" w:firstColumn="0" w:lastColumn="0" w:oddVBand="0" w:evenVBand="0" w:oddHBand="0" w:evenHBand="0" w:firstRowFirstColumn="0" w:firstRowLastColumn="0" w:lastRowFirstColumn="0" w:lastRowLastColumn="0"/>
          <w:cantSplit/>
          <w:trHeight w:val="213"/>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595959" w:themeFill="text1" w:themeFillTint="A6"/>
            <w:vAlign w:val="top"/>
          </w:tcPr>
          <w:p w14:paraId="4E55EE73" w14:textId="49F35BC1" w:rsidR="003C268A" w:rsidRDefault="001F4F24" w:rsidP="0016139C">
            <w:pPr>
              <w:pStyle w:val="SubTable"/>
              <w:keepLines/>
              <w:spacing w:after="100"/>
            </w:pPr>
            <w:r w:rsidRPr="000F4E40">
              <w:t>Age</w:t>
            </w:r>
          </w:p>
        </w:tc>
        <w:tc>
          <w:tcPr>
            <w:tcW w:w="1250" w:type="pct"/>
            <w:shd w:val="clear" w:color="auto" w:fill="595959" w:themeFill="text1" w:themeFillTint="A6"/>
            <w:vAlign w:val="top"/>
          </w:tcPr>
          <w:p w14:paraId="51A994C2" w14:textId="4DE5AEE7" w:rsidR="003C268A" w:rsidRDefault="001F4F24" w:rsidP="0016139C">
            <w:pPr>
              <w:pStyle w:val="SubTable"/>
              <w:keepLines/>
              <w:spacing w:after="100"/>
              <w:jc w:val="center"/>
              <w:cnfStyle w:val="100000000000" w:firstRow="1" w:lastRow="0" w:firstColumn="0" w:lastColumn="0" w:oddVBand="0" w:evenVBand="0" w:oddHBand="0" w:evenHBand="0" w:firstRowFirstColumn="0" w:firstRowLastColumn="0" w:lastRowFirstColumn="0" w:lastRowLastColumn="0"/>
            </w:pPr>
            <w:r w:rsidRPr="000F4E40">
              <w:t xml:space="preserve">Number of persons </w:t>
            </w:r>
            <w:r>
              <w:rPr>
                <w:bCs/>
              </w:rPr>
              <w:br/>
            </w:r>
            <w:r w:rsidRPr="000F4E40">
              <w:t>2016 census</w:t>
            </w:r>
          </w:p>
        </w:tc>
        <w:tc>
          <w:tcPr>
            <w:tcW w:w="1250" w:type="pct"/>
            <w:shd w:val="clear" w:color="auto" w:fill="595959" w:themeFill="text1" w:themeFillTint="A6"/>
            <w:vAlign w:val="top"/>
          </w:tcPr>
          <w:p w14:paraId="71BCAE4A" w14:textId="16FFB912" w:rsidR="003C268A" w:rsidRDefault="001F4F24" w:rsidP="0016139C">
            <w:pPr>
              <w:pStyle w:val="SubTable"/>
              <w:keepLines/>
              <w:spacing w:after="100"/>
              <w:jc w:val="center"/>
              <w:cnfStyle w:val="100000000000" w:firstRow="1" w:lastRow="0" w:firstColumn="0" w:lastColumn="0" w:oddVBand="0" w:evenVBand="0" w:oddHBand="0" w:evenHBand="0" w:firstRowFirstColumn="0" w:firstRowLastColumn="0" w:lastRowFirstColumn="0" w:lastRowLastColumn="0"/>
            </w:pPr>
            <w:r w:rsidRPr="000F4E40">
              <w:t xml:space="preserve">Number of persons </w:t>
            </w:r>
            <w:r>
              <w:rPr>
                <w:bCs/>
              </w:rPr>
              <w:br/>
            </w:r>
            <w:r w:rsidRPr="000F4E40">
              <w:t>2021 census</w:t>
            </w:r>
          </w:p>
        </w:tc>
        <w:tc>
          <w:tcPr>
            <w:tcW w:w="1250" w:type="pct"/>
            <w:shd w:val="clear" w:color="auto" w:fill="595959" w:themeFill="text1" w:themeFillTint="A6"/>
            <w:vAlign w:val="top"/>
          </w:tcPr>
          <w:p w14:paraId="6E774896" w14:textId="1A4378D6" w:rsidR="003C268A" w:rsidRDefault="001F4F24" w:rsidP="0016139C">
            <w:pPr>
              <w:pStyle w:val="SubTable"/>
              <w:keepLines/>
              <w:spacing w:after="100"/>
              <w:jc w:val="center"/>
              <w:cnfStyle w:val="100000000000" w:firstRow="1" w:lastRow="0" w:firstColumn="0" w:lastColumn="0" w:oddVBand="0" w:evenVBand="0" w:oddHBand="0" w:evenHBand="0" w:firstRowFirstColumn="0" w:firstRowLastColumn="0" w:lastRowFirstColumn="0" w:lastRowLastColumn="0"/>
            </w:pPr>
            <w:r w:rsidRPr="000F4E40">
              <w:t>Percentage change</w:t>
            </w:r>
          </w:p>
        </w:tc>
      </w:tr>
      <w:tr w:rsidR="003C268A" w14:paraId="7205906B" w14:textId="77777777" w:rsidTr="00A2337C">
        <w:trPr>
          <w:cnfStyle w:val="100000000000" w:firstRow="1" w:lastRow="0" w:firstColumn="0" w:lastColumn="0" w:oddVBand="0" w:evenVBand="0" w:oddHBand="0" w:evenHBand="0" w:firstRowFirstColumn="0" w:firstRowLastColumn="0" w:lastRowFirstColumn="0" w:lastRowLastColumn="0"/>
          <w:cantSplit/>
          <w:trHeight w:val="213"/>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3E555FA7" w14:textId="0673E741" w:rsidR="003C268A" w:rsidRPr="00F125AA" w:rsidRDefault="00305E92" w:rsidP="0016139C">
            <w:pPr>
              <w:pStyle w:val="SubTable"/>
              <w:keepLines/>
              <w:spacing w:after="100"/>
              <w:rPr>
                <w:b w:val="0"/>
              </w:rPr>
            </w:pPr>
            <w:r w:rsidRPr="00F125AA">
              <w:rPr>
                <w:b w:val="0"/>
                <w:color w:val="000000" w:themeColor="text1"/>
              </w:rPr>
              <w:t>0 years</w:t>
            </w:r>
          </w:p>
        </w:tc>
        <w:tc>
          <w:tcPr>
            <w:tcW w:w="1250" w:type="pct"/>
            <w:shd w:val="clear" w:color="auto" w:fill="auto"/>
            <w:vAlign w:val="top"/>
          </w:tcPr>
          <w:p w14:paraId="6C436AB3" w14:textId="77777777" w:rsidR="003C268A" w:rsidRPr="00F125AA" w:rsidRDefault="003C268A" w:rsidP="0016139C">
            <w:pPr>
              <w:pStyle w:val="SubTable"/>
              <w:keepLines/>
              <w:spacing w:after="100"/>
              <w:jc w:val="center"/>
              <w:cnfStyle w:val="100000000000" w:firstRow="1" w:lastRow="0" w:firstColumn="0" w:lastColumn="0" w:oddVBand="0" w:evenVBand="0" w:oddHBand="0" w:evenHBand="0" w:firstRowFirstColumn="0" w:firstRowLastColumn="0" w:lastRowFirstColumn="0" w:lastRowLastColumn="0"/>
              <w:rPr>
                <w:b w:val="0"/>
              </w:rPr>
            </w:pPr>
            <w:r w:rsidRPr="00F125AA">
              <w:rPr>
                <w:b w:val="0"/>
                <w:color w:val="000000" w:themeColor="text1"/>
              </w:rPr>
              <w:t>276,227</w:t>
            </w:r>
          </w:p>
        </w:tc>
        <w:tc>
          <w:tcPr>
            <w:tcW w:w="1250" w:type="pct"/>
            <w:shd w:val="clear" w:color="auto" w:fill="auto"/>
            <w:vAlign w:val="top"/>
          </w:tcPr>
          <w:p w14:paraId="7161377B" w14:textId="77777777" w:rsidR="003C268A" w:rsidRPr="00F125AA" w:rsidRDefault="003C268A" w:rsidP="0016139C">
            <w:pPr>
              <w:pStyle w:val="SubTable"/>
              <w:keepLines/>
              <w:spacing w:after="100"/>
              <w:jc w:val="center"/>
              <w:cnfStyle w:val="100000000000" w:firstRow="1" w:lastRow="0" w:firstColumn="0" w:lastColumn="0" w:oddVBand="0" w:evenVBand="0" w:oddHBand="0" w:evenHBand="0" w:firstRowFirstColumn="0" w:firstRowLastColumn="0" w:lastRowFirstColumn="0" w:lastRowLastColumn="0"/>
              <w:rPr>
                <w:b w:val="0"/>
              </w:rPr>
            </w:pPr>
            <w:r w:rsidRPr="00F125AA">
              <w:rPr>
                <w:b w:val="0"/>
                <w:color w:val="000000" w:themeColor="text1"/>
              </w:rPr>
              <w:t>283,457</w:t>
            </w:r>
          </w:p>
        </w:tc>
        <w:tc>
          <w:tcPr>
            <w:tcW w:w="1250" w:type="pct"/>
            <w:shd w:val="clear" w:color="auto" w:fill="auto"/>
            <w:vAlign w:val="top"/>
          </w:tcPr>
          <w:p w14:paraId="399A5D99" w14:textId="77777777" w:rsidR="003C268A" w:rsidRPr="00F125AA" w:rsidRDefault="003C268A" w:rsidP="0016139C">
            <w:pPr>
              <w:pStyle w:val="SubTable"/>
              <w:keepLines/>
              <w:spacing w:after="100"/>
              <w:jc w:val="center"/>
              <w:cnfStyle w:val="100000000000" w:firstRow="1" w:lastRow="0" w:firstColumn="0" w:lastColumn="0" w:oddVBand="0" w:evenVBand="0" w:oddHBand="0" w:evenHBand="0" w:firstRowFirstColumn="0" w:firstRowLastColumn="0" w:lastRowFirstColumn="0" w:lastRowLastColumn="0"/>
              <w:rPr>
                <w:b w:val="0"/>
              </w:rPr>
            </w:pPr>
            <w:r w:rsidRPr="00F125AA">
              <w:rPr>
                <w:b w:val="0"/>
                <w:color w:val="000000" w:themeColor="text1"/>
              </w:rPr>
              <w:t>2.62%</w:t>
            </w:r>
          </w:p>
        </w:tc>
      </w:tr>
      <w:tr w:rsidR="003C268A" w14:paraId="1E929966" w14:textId="77777777" w:rsidTr="00A2337C">
        <w:trPr>
          <w:cnfStyle w:val="100000000000" w:firstRow="1" w:lastRow="0" w:firstColumn="0" w:lastColumn="0" w:oddVBand="0" w:evenVBand="0" w:oddHBand="0" w:evenHBand="0" w:firstRowFirstColumn="0" w:firstRowLastColumn="0" w:lastRowFirstColumn="0" w:lastRowLastColumn="0"/>
          <w:cantSplit/>
          <w:trHeight w:val="213"/>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5A8250E8" w14:textId="0560D599" w:rsidR="003C268A" w:rsidRPr="00F125AA" w:rsidRDefault="00305E92" w:rsidP="0016139C">
            <w:pPr>
              <w:pStyle w:val="SubTable"/>
              <w:keepLines/>
              <w:spacing w:after="100"/>
              <w:rPr>
                <w:b w:val="0"/>
              </w:rPr>
            </w:pPr>
            <w:r w:rsidRPr="00F125AA">
              <w:rPr>
                <w:b w:val="0"/>
                <w:color w:val="000000" w:themeColor="text1"/>
              </w:rPr>
              <w:t>1 years</w:t>
            </w:r>
          </w:p>
        </w:tc>
        <w:tc>
          <w:tcPr>
            <w:tcW w:w="1250" w:type="pct"/>
            <w:shd w:val="clear" w:color="auto" w:fill="auto"/>
            <w:vAlign w:val="top"/>
          </w:tcPr>
          <w:p w14:paraId="5466ADD2" w14:textId="77777777" w:rsidR="003C268A" w:rsidRPr="00F125AA" w:rsidRDefault="003C268A" w:rsidP="0016139C">
            <w:pPr>
              <w:pStyle w:val="SubTable"/>
              <w:keepLines/>
              <w:spacing w:after="100"/>
              <w:jc w:val="center"/>
              <w:cnfStyle w:val="100000000000" w:firstRow="1" w:lastRow="0" w:firstColumn="0" w:lastColumn="0" w:oddVBand="0" w:evenVBand="0" w:oddHBand="0" w:evenHBand="0" w:firstRowFirstColumn="0" w:firstRowLastColumn="0" w:lastRowFirstColumn="0" w:lastRowLastColumn="0"/>
              <w:rPr>
                <w:b w:val="0"/>
              </w:rPr>
            </w:pPr>
            <w:r w:rsidRPr="00F125AA">
              <w:rPr>
                <w:b w:val="0"/>
                <w:color w:val="000000" w:themeColor="text1"/>
              </w:rPr>
              <w:t>293,503</w:t>
            </w:r>
          </w:p>
        </w:tc>
        <w:tc>
          <w:tcPr>
            <w:tcW w:w="1250" w:type="pct"/>
            <w:shd w:val="clear" w:color="auto" w:fill="auto"/>
            <w:vAlign w:val="top"/>
          </w:tcPr>
          <w:p w14:paraId="02272D74" w14:textId="77777777" w:rsidR="003C268A" w:rsidRPr="00F125AA" w:rsidRDefault="003C268A" w:rsidP="0016139C">
            <w:pPr>
              <w:pStyle w:val="SubTable"/>
              <w:keepLines/>
              <w:spacing w:after="100"/>
              <w:jc w:val="center"/>
              <w:cnfStyle w:val="100000000000" w:firstRow="1" w:lastRow="0" w:firstColumn="0" w:lastColumn="0" w:oddVBand="0" w:evenVBand="0" w:oddHBand="0" w:evenHBand="0" w:firstRowFirstColumn="0" w:firstRowLastColumn="0" w:lastRowFirstColumn="0" w:lastRowLastColumn="0"/>
              <w:rPr>
                <w:b w:val="0"/>
              </w:rPr>
            </w:pPr>
            <w:r w:rsidRPr="00F125AA">
              <w:rPr>
                <w:b w:val="0"/>
                <w:color w:val="000000" w:themeColor="text1"/>
              </w:rPr>
              <w:t>290,064</w:t>
            </w:r>
          </w:p>
        </w:tc>
        <w:tc>
          <w:tcPr>
            <w:tcW w:w="1250" w:type="pct"/>
            <w:shd w:val="clear" w:color="auto" w:fill="auto"/>
            <w:vAlign w:val="top"/>
          </w:tcPr>
          <w:p w14:paraId="34077EA7" w14:textId="054E42E2" w:rsidR="003C268A" w:rsidRPr="00F125AA" w:rsidRDefault="001E6A37" w:rsidP="0016139C">
            <w:pPr>
              <w:pStyle w:val="SubTable"/>
              <w:keepLines/>
              <w:spacing w:after="100"/>
              <w:jc w:val="center"/>
              <w:cnfStyle w:val="100000000000" w:firstRow="1" w:lastRow="0" w:firstColumn="0" w:lastColumn="0" w:oddVBand="0" w:evenVBand="0" w:oddHBand="0" w:evenHBand="0" w:firstRowFirstColumn="0" w:firstRowLastColumn="0" w:lastRowFirstColumn="0" w:lastRowLastColumn="0"/>
              <w:rPr>
                <w:b w:val="0"/>
              </w:rPr>
            </w:pPr>
            <w:r>
              <w:rPr>
                <w:b w:val="0"/>
                <w:color w:val="000000" w:themeColor="text1"/>
              </w:rPr>
              <w:t>−</w:t>
            </w:r>
            <w:r w:rsidR="003C268A" w:rsidRPr="00F125AA">
              <w:rPr>
                <w:b w:val="0"/>
                <w:color w:val="000000" w:themeColor="text1"/>
              </w:rPr>
              <w:t>1.17%</w:t>
            </w:r>
          </w:p>
        </w:tc>
      </w:tr>
      <w:tr w:rsidR="003C268A" w14:paraId="6F049DE7" w14:textId="77777777" w:rsidTr="00A2337C">
        <w:trPr>
          <w:cnfStyle w:val="100000000000" w:firstRow="1" w:lastRow="0" w:firstColumn="0" w:lastColumn="0" w:oddVBand="0" w:evenVBand="0" w:oddHBand="0" w:evenHBand="0" w:firstRowFirstColumn="0" w:firstRowLastColumn="0" w:lastRowFirstColumn="0" w:lastRowLastColumn="0"/>
          <w:cantSplit/>
          <w:trHeight w:val="213"/>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7913A888" w14:textId="053C5344" w:rsidR="003C268A" w:rsidRPr="00F125AA" w:rsidRDefault="00305E92" w:rsidP="0016139C">
            <w:pPr>
              <w:pStyle w:val="SubTable"/>
              <w:keepLines/>
              <w:spacing w:after="100"/>
              <w:rPr>
                <w:b w:val="0"/>
              </w:rPr>
            </w:pPr>
            <w:r w:rsidRPr="00F125AA">
              <w:rPr>
                <w:b w:val="0"/>
                <w:color w:val="000000" w:themeColor="text1"/>
              </w:rPr>
              <w:t>2 years</w:t>
            </w:r>
          </w:p>
        </w:tc>
        <w:tc>
          <w:tcPr>
            <w:tcW w:w="1250" w:type="pct"/>
            <w:shd w:val="clear" w:color="auto" w:fill="auto"/>
            <w:vAlign w:val="top"/>
          </w:tcPr>
          <w:p w14:paraId="02355861" w14:textId="77777777" w:rsidR="003C268A" w:rsidRPr="00F125AA" w:rsidRDefault="003C268A" w:rsidP="0016139C">
            <w:pPr>
              <w:pStyle w:val="SubTable"/>
              <w:keepLines/>
              <w:spacing w:after="100"/>
              <w:jc w:val="center"/>
              <w:cnfStyle w:val="100000000000" w:firstRow="1" w:lastRow="0" w:firstColumn="0" w:lastColumn="0" w:oddVBand="0" w:evenVBand="0" w:oddHBand="0" w:evenHBand="0" w:firstRowFirstColumn="0" w:firstRowLastColumn="0" w:lastRowFirstColumn="0" w:lastRowLastColumn="0"/>
              <w:rPr>
                <w:b w:val="0"/>
              </w:rPr>
            </w:pPr>
            <w:r w:rsidRPr="00F125AA">
              <w:rPr>
                <w:b w:val="0"/>
                <w:color w:val="000000" w:themeColor="text1"/>
              </w:rPr>
              <w:t>295,142</w:t>
            </w:r>
          </w:p>
        </w:tc>
        <w:tc>
          <w:tcPr>
            <w:tcW w:w="1250" w:type="pct"/>
            <w:shd w:val="clear" w:color="auto" w:fill="auto"/>
            <w:vAlign w:val="top"/>
          </w:tcPr>
          <w:p w14:paraId="538C352A" w14:textId="77777777" w:rsidR="003C268A" w:rsidRPr="00F125AA" w:rsidRDefault="003C268A" w:rsidP="0016139C">
            <w:pPr>
              <w:pStyle w:val="SubTable"/>
              <w:keepLines/>
              <w:spacing w:after="100"/>
              <w:jc w:val="center"/>
              <w:cnfStyle w:val="100000000000" w:firstRow="1" w:lastRow="0" w:firstColumn="0" w:lastColumn="0" w:oddVBand="0" w:evenVBand="0" w:oddHBand="0" w:evenHBand="0" w:firstRowFirstColumn="0" w:firstRowLastColumn="0" w:lastRowFirstColumn="0" w:lastRowLastColumn="0"/>
              <w:rPr>
                <w:b w:val="0"/>
              </w:rPr>
            </w:pPr>
            <w:r w:rsidRPr="00F125AA">
              <w:rPr>
                <w:b w:val="0"/>
                <w:color w:val="000000" w:themeColor="text1"/>
              </w:rPr>
              <w:t>292,272</w:t>
            </w:r>
          </w:p>
        </w:tc>
        <w:tc>
          <w:tcPr>
            <w:tcW w:w="1250" w:type="pct"/>
            <w:shd w:val="clear" w:color="auto" w:fill="auto"/>
            <w:vAlign w:val="top"/>
          </w:tcPr>
          <w:p w14:paraId="44E06161" w14:textId="4765C5DD" w:rsidR="003C268A" w:rsidRPr="00F125AA" w:rsidRDefault="001E6A37" w:rsidP="0016139C">
            <w:pPr>
              <w:pStyle w:val="SubTable"/>
              <w:keepLines/>
              <w:spacing w:after="100"/>
              <w:jc w:val="center"/>
              <w:cnfStyle w:val="100000000000" w:firstRow="1" w:lastRow="0" w:firstColumn="0" w:lastColumn="0" w:oddVBand="0" w:evenVBand="0" w:oddHBand="0" w:evenHBand="0" w:firstRowFirstColumn="0" w:firstRowLastColumn="0" w:lastRowFirstColumn="0" w:lastRowLastColumn="0"/>
              <w:rPr>
                <w:b w:val="0"/>
              </w:rPr>
            </w:pPr>
            <w:r>
              <w:rPr>
                <w:b w:val="0"/>
                <w:color w:val="000000" w:themeColor="text1"/>
              </w:rPr>
              <w:t>−</w:t>
            </w:r>
            <w:r w:rsidR="003C268A" w:rsidRPr="00F125AA">
              <w:rPr>
                <w:b w:val="0"/>
                <w:color w:val="000000" w:themeColor="text1"/>
              </w:rPr>
              <w:t>0.97%</w:t>
            </w:r>
          </w:p>
        </w:tc>
      </w:tr>
      <w:tr w:rsidR="003C268A" w14:paraId="3B819370" w14:textId="77777777" w:rsidTr="00A2337C">
        <w:trPr>
          <w:cnfStyle w:val="100000000000" w:firstRow="1" w:lastRow="0" w:firstColumn="0" w:lastColumn="0" w:oddVBand="0" w:evenVBand="0" w:oddHBand="0" w:evenHBand="0" w:firstRowFirstColumn="0" w:firstRowLastColumn="0" w:lastRowFirstColumn="0" w:lastRowLastColumn="0"/>
          <w:cantSplit/>
          <w:trHeight w:val="213"/>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1F2A94B1" w14:textId="659D8908" w:rsidR="003C268A" w:rsidRPr="00F125AA" w:rsidRDefault="00305E92" w:rsidP="0016139C">
            <w:pPr>
              <w:pStyle w:val="SubTable"/>
              <w:keepLines/>
              <w:spacing w:after="100"/>
              <w:rPr>
                <w:b w:val="0"/>
              </w:rPr>
            </w:pPr>
            <w:r w:rsidRPr="00F125AA">
              <w:rPr>
                <w:b w:val="0"/>
                <w:color w:val="000000" w:themeColor="text1"/>
              </w:rPr>
              <w:t>3 years</w:t>
            </w:r>
          </w:p>
        </w:tc>
        <w:tc>
          <w:tcPr>
            <w:tcW w:w="1250" w:type="pct"/>
            <w:shd w:val="clear" w:color="auto" w:fill="auto"/>
            <w:vAlign w:val="top"/>
          </w:tcPr>
          <w:p w14:paraId="3F9701D3" w14:textId="77777777" w:rsidR="003C268A" w:rsidRPr="00F125AA" w:rsidRDefault="003C268A" w:rsidP="0016139C">
            <w:pPr>
              <w:pStyle w:val="SubTable"/>
              <w:keepLines/>
              <w:spacing w:after="100"/>
              <w:jc w:val="center"/>
              <w:cnfStyle w:val="100000000000" w:firstRow="1" w:lastRow="0" w:firstColumn="0" w:lastColumn="0" w:oddVBand="0" w:evenVBand="0" w:oddHBand="0" w:evenHBand="0" w:firstRowFirstColumn="0" w:firstRowLastColumn="0" w:lastRowFirstColumn="0" w:lastRowLastColumn="0"/>
              <w:rPr>
                <w:b w:val="0"/>
              </w:rPr>
            </w:pPr>
            <w:r w:rsidRPr="00F125AA">
              <w:rPr>
                <w:b w:val="0"/>
                <w:color w:val="000000" w:themeColor="text1"/>
              </w:rPr>
              <w:t>299,725</w:t>
            </w:r>
          </w:p>
        </w:tc>
        <w:tc>
          <w:tcPr>
            <w:tcW w:w="1250" w:type="pct"/>
            <w:shd w:val="clear" w:color="auto" w:fill="auto"/>
            <w:vAlign w:val="top"/>
          </w:tcPr>
          <w:p w14:paraId="1F2DC5FC" w14:textId="77777777" w:rsidR="003C268A" w:rsidRPr="00F125AA" w:rsidRDefault="003C268A" w:rsidP="0016139C">
            <w:pPr>
              <w:pStyle w:val="SubTable"/>
              <w:keepLines/>
              <w:spacing w:after="100"/>
              <w:jc w:val="center"/>
              <w:cnfStyle w:val="100000000000" w:firstRow="1" w:lastRow="0" w:firstColumn="0" w:lastColumn="0" w:oddVBand="0" w:evenVBand="0" w:oddHBand="0" w:evenHBand="0" w:firstRowFirstColumn="0" w:firstRowLastColumn="0" w:lastRowFirstColumn="0" w:lastRowLastColumn="0"/>
              <w:rPr>
                <w:b w:val="0"/>
              </w:rPr>
            </w:pPr>
            <w:r w:rsidRPr="00F125AA">
              <w:rPr>
                <w:b w:val="0"/>
                <w:color w:val="000000" w:themeColor="text1"/>
              </w:rPr>
              <w:t>295,139</w:t>
            </w:r>
          </w:p>
        </w:tc>
        <w:tc>
          <w:tcPr>
            <w:tcW w:w="1250" w:type="pct"/>
            <w:shd w:val="clear" w:color="auto" w:fill="auto"/>
            <w:vAlign w:val="top"/>
          </w:tcPr>
          <w:p w14:paraId="3A110F37" w14:textId="206A2A5A" w:rsidR="003C268A" w:rsidRPr="00F125AA" w:rsidRDefault="001E6A37" w:rsidP="0016139C">
            <w:pPr>
              <w:pStyle w:val="SubTable"/>
              <w:keepLines/>
              <w:spacing w:after="100"/>
              <w:jc w:val="center"/>
              <w:cnfStyle w:val="100000000000" w:firstRow="1" w:lastRow="0" w:firstColumn="0" w:lastColumn="0" w:oddVBand="0" w:evenVBand="0" w:oddHBand="0" w:evenHBand="0" w:firstRowFirstColumn="0" w:firstRowLastColumn="0" w:lastRowFirstColumn="0" w:lastRowLastColumn="0"/>
              <w:rPr>
                <w:b w:val="0"/>
              </w:rPr>
            </w:pPr>
            <w:r>
              <w:rPr>
                <w:b w:val="0"/>
                <w:color w:val="000000" w:themeColor="text1"/>
              </w:rPr>
              <w:t>−</w:t>
            </w:r>
            <w:r w:rsidR="003C268A" w:rsidRPr="00F125AA">
              <w:rPr>
                <w:b w:val="0"/>
                <w:color w:val="000000" w:themeColor="text1"/>
              </w:rPr>
              <w:t>1.53%</w:t>
            </w:r>
          </w:p>
        </w:tc>
      </w:tr>
      <w:tr w:rsidR="003C268A" w14:paraId="48E7BFCF" w14:textId="77777777" w:rsidTr="00A2337C">
        <w:trPr>
          <w:cnfStyle w:val="100000000000" w:firstRow="1" w:lastRow="0" w:firstColumn="0" w:lastColumn="0" w:oddVBand="0" w:evenVBand="0" w:oddHBand="0" w:evenHBand="0" w:firstRowFirstColumn="0" w:firstRowLastColumn="0" w:lastRowFirstColumn="0" w:lastRowLastColumn="0"/>
          <w:cantSplit/>
          <w:trHeight w:val="213"/>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7501FD16" w14:textId="49385730" w:rsidR="003C268A" w:rsidRPr="00F125AA" w:rsidRDefault="00305E92" w:rsidP="0016139C">
            <w:pPr>
              <w:pStyle w:val="SubTable"/>
              <w:keepLines/>
              <w:spacing w:after="100"/>
              <w:rPr>
                <w:b w:val="0"/>
              </w:rPr>
            </w:pPr>
            <w:r w:rsidRPr="00F125AA">
              <w:rPr>
                <w:b w:val="0"/>
                <w:color w:val="000000" w:themeColor="text1"/>
              </w:rPr>
              <w:t>4 years</w:t>
            </w:r>
          </w:p>
        </w:tc>
        <w:tc>
          <w:tcPr>
            <w:tcW w:w="1250" w:type="pct"/>
            <w:shd w:val="clear" w:color="auto" w:fill="auto"/>
            <w:vAlign w:val="top"/>
          </w:tcPr>
          <w:p w14:paraId="6857272E" w14:textId="77777777" w:rsidR="003C268A" w:rsidRPr="00F125AA" w:rsidRDefault="003C268A" w:rsidP="0016139C">
            <w:pPr>
              <w:pStyle w:val="SubTable"/>
              <w:keepLines/>
              <w:spacing w:after="100"/>
              <w:jc w:val="center"/>
              <w:cnfStyle w:val="100000000000" w:firstRow="1" w:lastRow="0" w:firstColumn="0" w:lastColumn="0" w:oddVBand="0" w:evenVBand="0" w:oddHBand="0" w:evenHBand="0" w:firstRowFirstColumn="0" w:firstRowLastColumn="0" w:lastRowFirstColumn="0" w:lastRowLastColumn="0"/>
              <w:rPr>
                <w:b w:val="0"/>
              </w:rPr>
            </w:pPr>
            <w:r w:rsidRPr="00F125AA">
              <w:rPr>
                <w:b w:val="0"/>
                <w:color w:val="000000" w:themeColor="text1"/>
              </w:rPr>
              <w:t>300,184</w:t>
            </w:r>
          </w:p>
        </w:tc>
        <w:tc>
          <w:tcPr>
            <w:tcW w:w="1250" w:type="pct"/>
            <w:shd w:val="clear" w:color="auto" w:fill="auto"/>
            <w:vAlign w:val="top"/>
          </w:tcPr>
          <w:p w14:paraId="72870904" w14:textId="77777777" w:rsidR="003C268A" w:rsidRPr="00F125AA" w:rsidRDefault="003C268A" w:rsidP="0016139C">
            <w:pPr>
              <w:pStyle w:val="SubTable"/>
              <w:keepLines/>
              <w:spacing w:after="100"/>
              <w:jc w:val="center"/>
              <w:cnfStyle w:val="100000000000" w:firstRow="1" w:lastRow="0" w:firstColumn="0" w:lastColumn="0" w:oddVBand="0" w:evenVBand="0" w:oddHBand="0" w:evenHBand="0" w:firstRowFirstColumn="0" w:firstRowLastColumn="0" w:lastRowFirstColumn="0" w:lastRowLastColumn="0"/>
              <w:rPr>
                <w:b w:val="0"/>
              </w:rPr>
            </w:pPr>
            <w:r w:rsidRPr="00F125AA">
              <w:rPr>
                <w:b w:val="0"/>
                <w:color w:val="000000" w:themeColor="text1"/>
              </w:rPr>
              <w:t>302,888</w:t>
            </w:r>
          </w:p>
        </w:tc>
        <w:tc>
          <w:tcPr>
            <w:tcW w:w="1250" w:type="pct"/>
            <w:shd w:val="clear" w:color="auto" w:fill="auto"/>
            <w:vAlign w:val="top"/>
          </w:tcPr>
          <w:p w14:paraId="4171E194" w14:textId="77777777" w:rsidR="003C268A" w:rsidRPr="00F125AA" w:rsidRDefault="003C268A" w:rsidP="0016139C">
            <w:pPr>
              <w:pStyle w:val="SubTable"/>
              <w:keepLines/>
              <w:spacing w:after="100"/>
              <w:jc w:val="center"/>
              <w:cnfStyle w:val="100000000000" w:firstRow="1" w:lastRow="0" w:firstColumn="0" w:lastColumn="0" w:oddVBand="0" w:evenVBand="0" w:oddHBand="0" w:evenHBand="0" w:firstRowFirstColumn="0" w:firstRowLastColumn="0" w:lastRowFirstColumn="0" w:lastRowLastColumn="0"/>
              <w:rPr>
                <w:b w:val="0"/>
              </w:rPr>
            </w:pPr>
            <w:r w:rsidRPr="00F125AA">
              <w:rPr>
                <w:b w:val="0"/>
                <w:color w:val="000000" w:themeColor="text1"/>
              </w:rPr>
              <w:t>0.90%</w:t>
            </w:r>
          </w:p>
        </w:tc>
      </w:tr>
      <w:tr w:rsidR="003C268A" w14:paraId="615E7C61" w14:textId="77777777" w:rsidTr="00A2337C">
        <w:trPr>
          <w:cnfStyle w:val="100000000000" w:firstRow="1" w:lastRow="0" w:firstColumn="0" w:lastColumn="0" w:oddVBand="0" w:evenVBand="0" w:oddHBand="0" w:evenHBand="0" w:firstRowFirstColumn="0" w:firstRowLastColumn="0" w:lastRowFirstColumn="0" w:lastRowLastColumn="0"/>
          <w:cantSplit/>
          <w:trHeight w:val="213"/>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7DB64841" w14:textId="1828B0DD" w:rsidR="003C268A" w:rsidRPr="00F125AA" w:rsidRDefault="00305E92" w:rsidP="0016139C">
            <w:pPr>
              <w:pStyle w:val="SubTable"/>
              <w:keepLines/>
              <w:spacing w:after="100"/>
              <w:rPr>
                <w:b w:val="0"/>
              </w:rPr>
            </w:pPr>
            <w:r w:rsidRPr="00F125AA">
              <w:rPr>
                <w:b w:val="0"/>
                <w:color w:val="000000" w:themeColor="text1"/>
              </w:rPr>
              <w:t>5 years</w:t>
            </w:r>
          </w:p>
        </w:tc>
        <w:tc>
          <w:tcPr>
            <w:tcW w:w="1250" w:type="pct"/>
            <w:shd w:val="clear" w:color="auto" w:fill="auto"/>
            <w:vAlign w:val="top"/>
          </w:tcPr>
          <w:p w14:paraId="54FEE092" w14:textId="77777777" w:rsidR="003C268A" w:rsidRPr="00F125AA" w:rsidRDefault="003C268A" w:rsidP="0016139C">
            <w:pPr>
              <w:pStyle w:val="SubTable"/>
              <w:keepLines/>
              <w:spacing w:after="100"/>
              <w:jc w:val="center"/>
              <w:cnfStyle w:val="100000000000" w:firstRow="1" w:lastRow="0" w:firstColumn="0" w:lastColumn="0" w:oddVBand="0" w:evenVBand="0" w:oddHBand="0" w:evenHBand="0" w:firstRowFirstColumn="0" w:firstRowLastColumn="0" w:lastRowFirstColumn="0" w:lastRowLastColumn="0"/>
              <w:rPr>
                <w:b w:val="0"/>
              </w:rPr>
            </w:pPr>
            <w:r w:rsidRPr="00F125AA">
              <w:rPr>
                <w:b w:val="0"/>
                <w:color w:val="000000" w:themeColor="text1"/>
              </w:rPr>
              <w:t>298,271</w:t>
            </w:r>
          </w:p>
        </w:tc>
        <w:tc>
          <w:tcPr>
            <w:tcW w:w="1250" w:type="pct"/>
            <w:shd w:val="clear" w:color="auto" w:fill="auto"/>
            <w:vAlign w:val="top"/>
          </w:tcPr>
          <w:p w14:paraId="50FA1DBA" w14:textId="77777777" w:rsidR="003C268A" w:rsidRPr="00F125AA" w:rsidRDefault="003C268A" w:rsidP="0016139C">
            <w:pPr>
              <w:pStyle w:val="SubTable"/>
              <w:keepLines/>
              <w:spacing w:after="100"/>
              <w:jc w:val="center"/>
              <w:cnfStyle w:val="100000000000" w:firstRow="1" w:lastRow="0" w:firstColumn="0" w:lastColumn="0" w:oddVBand="0" w:evenVBand="0" w:oddHBand="0" w:evenHBand="0" w:firstRowFirstColumn="0" w:firstRowLastColumn="0" w:lastRowFirstColumn="0" w:lastRowLastColumn="0"/>
              <w:rPr>
                <w:b w:val="0"/>
              </w:rPr>
            </w:pPr>
            <w:r w:rsidRPr="00F125AA">
              <w:rPr>
                <w:b w:val="0"/>
                <w:color w:val="000000" w:themeColor="text1"/>
              </w:rPr>
              <w:t>314,542</w:t>
            </w:r>
          </w:p>
        </w:tc>
        <w:tc>
          <w:tcPr>
            <w:tcW w:w="1250" w:type="pct"/>
            <w:shd w:val="clear" w:color="auto" w:fill="auto"/>
            <w:vAlign w:val="top"/>
          </w:tcPr>
          <w:p w14:paraId="2653367F" w14:textId="77777777" w:rsidR="003C268A" w:rsidRPr="00F125AA" w:rsidRDefault="003C268A" w:rsidP="0016139C">
            <w:pPr>
              <w:pStyle w:val="SubTable"/>
              <w:keepLines/>
              <w:spacing w:after="100"/>
              <w:jc w:val="center"/>
              <w:cnfStyle w:val="100000000000" w:firstRow="1" w:lastRow="0" w:firstColumn="0" w:lastColumn="0" w:oddVBand="0" w:evenVBand="0" w:oddHBand="0" w:evenHBand="0" w:firstRowFirstColumn="0" w:firstRowLastColumn="0" w:lastRowFirstColumn="0" w:lastRowLastColumn="0"/>
              <w:rPr>
                <w:b w:val="0"/>
              </w:rPr>
            </w:pPr>
            <w:r w:rsidRPr="00F125AA">
              <w:rPr>
                <w:b w:val="0"/>
                <w:color w:val="000000" w:themeColor="text1"/>
              </w:rPr>
              <w:t>5.46%</w:t>
            </w:r>
          </w:p>
        </w:tc>
      </w:tr>
      <w:tr w:rsidR="003C268A" w14:paraId="4C4B4827" w14:textId="77777777" w:rsidTr="00A2337C">
        <w:trPr>
          <w:cnfStyle w:val="100000000000" w:firstRow="1" w:lastRow="0" w:firstColumn="0" w:lastColumn="0" w:oddVBand="0" w:evenVBand="0" w:oddHBand="0" w:evenHBand="0" w:firstRowFirstColumn="0" w:firstRowLastColumn="0" w:lastRowFirstColumn="0" w:lastRowLastColumn="0"/>
          <w:cantSplit/>
          <w:trHeight w:val="213"/>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00D671B4" w14:textId="77777777" w:rsidR="003C268A" w:rsidRPr="00F125AA" w:rsidRDefault="003C268A" w:rsidP="0016139C">
            <w:pPr>
              <w:pStyle w:val="SubTable"/>
              <w:keepLines/>
              <w:spacing w:after="100"/>
              <w:rPr>
                <w:b w:val="0"/>
              </w:rPr>
            </w:pPr>
            <w:r w:rsidRPr="00F125AA">
              <w:rPr>
                <w:b w:val="0"/>
                <w:color w:val="000000" w:themeColor="text1"/>
              </w:rPr>
              <w:t>Total</w:t>
            </w:r>
          </w:p>
        </w:tc>
        <w:tc>
          <w:tcPr>
            <w:tcW w:w="1250" w:type="pct"/>
            <w:shd w:val="clear" w:color="auto" w:fill="auto"/>
            <w:vAlign w:val="top"/>
          </w:tcPr>
          <w:p w14:paraId="3DD4BF69" w14:textId="77777777" w:rsidR="003C268A" w:rsidRPr="00F125AA" w:rsidRDefault="003C268A" w:rsidP="0016139C">
            <w:pPr>
              <w:pStyle w:val="SubTable"/>
              <w:keepLines/>
              <w:spacing w:after="100"/>
              <w:jc w:val="center"/>
              <w:cnfStyle w:val="100000000000" w:firstRow="1" w:lastRow="0" w:firstColumn="0" w:lastColumn="0" w:oddVBand="0" w:evenVBand="0" w:oddHBand="0" w:evenHBand="0" w:firstRowFirstColumn="0" w:firstRowLastColumn="0" w:lastRowFirstColumn="0" w:lastRowLastColumn="0"/>
              <w:rPr>
                <w:b w:val="0"/>
              </w:rPr>
            </w:pPr>
            <w:r w:rsidRPr="00F125AA">
              <w:rPr>
                <w:b w:val="0"/>
                <w:color w:val="000000" w:themeColor="text1"/>
              </w:rPr>
              <w:t>1,763,052</w:t>
            </w:r>
          </w:p>
        </w:tc>
        <w:tc>
          <w:tcPr>
            <w:tcW w:w="1250" w:type="pct"/>
            <w:shd w:val="clear" w:color="auto" w:fill="auto"/>
            <w:vAlign w:val="top"/>
          </w:tcPr>
          <w:p w14:paraId="25C001C1" w14:textId="77777777" w:rsidR="003C268A" w:rsidRPr="00F125AA" w:rsidRDefault="003C268A" w:rsidP="0016139C">
            <w:pPr>
              <w:pStyle w:val="SubTable"/>
              <w:keepLines/>
              <w:spacing w:after="100"/>
              <w:jc w:val="center"/>
              <w:cnfStyle w:val="100000000000" w:firstRow="1" w:lastRow="0" w:firstColumn="0" w:lastColumn="0" w:oddVBand="0" w:evenVBand="0" w:oddHBand="0" w:evenHBand="0" w:firstRowFirstColumn="0" w:firstRowLastColumn="0" w:lastRowFirstColumn="0" w:lastRowLastColumn="0"/>
              <w:rPr>
                <w:b w:val="0"/>
              </w:rPr>
            </w:pPr>
            <w:r w:rsidRPr="00F125AA">
              <w:rPr>
                <w:b w:val="0"/>
                <w:color w:val="000000" w:themeColor="text1"/>
              </w:rPr>
              <w:t>1,778,362</w:t>
            </w:r>
          </w:p>
        </w:tc>
        <w:tc>
          <w:tcPr>
            <w:tcW w:w="1250" w:type="pct"/>
            <w:shd w:val="clear" w:color="auto" w:fill="auto"/>
            <w:vAlign w:val="top"/>
          </w:tcPr>
          <w:p w14:paraId="5210098D" w14:textId="77777777" w:rsidR="003C268A" w:rsidRPr="00F125AA" w:rsidRDefault="003C268A" w:rsidP="0016139C">
            <w:pPr>
              <w:pStyle w:val="SubTable"/>
              <w:keepLines/>
              <w:spacing w:after="100"/>
              <w:jc w:val="center"/>
              <w:cnfStyle w:val="100000000000" w:firstRow="1" w:lastRow="0" w:firstColumn="0" w:lastColumn="0" w:oddVBand="0" w:evenVBand="0" w:oddHBand="0" w:evenHBand="0" w:firstRowFirstColumn="0" w:firstRowLastColumn="0" w:lastRowFirstColumn="0" w:lastRowLastColumn="0"/>
              <w:rPr>
                <w:b w:val="0"/>
              </w:rPr>
            </w:pPr>
            <w:r w:rsidRPr="00F125AA">
              <w:rPr>
                <w:b w:val="0"/>
                <w:color w:val="000000" w:themeColor="text1"/>
              </w:rPr>
              <w:t>0.87%</w:t>
            </w:r>
          </w:p>
        </w:tc>
      </w:tr>
    </w:tbl>
    <w:p w14:paraId="7F1BE983" w14:textId="77777777" w:rsidR="003C268A" w:rsidRPr="001044E9" w:rsidRDefault="003C268A" w:rsidP="005968A0">
      <w:pPr>
        <w:pStyle w:val="SubFigureCaption"/>
        <w:spacing w:after="120"/>
      </w:pPr>
      <w:r w:rsidRPr="001044E9">
        <w:t>Source: A</w:t>
      </w:r>
      <w:r w:rsidRPr="6EB6D978">
        <w:t>BS Census.</w:t>
      </w:r>
    </w:p>
    <w:p w14:paraId="6CDA55A0" w14:textId="50DD1FF9" w:rsidR="003C268A" w:rsidRDefault="003C268A" w:rsidP="00087EAE">
      <w:pPr>
        <w:pStyle w:val="Subbodytext"/>
        <w:rPr>
          <w:rFonts w:eastAsia="Calibri"/>
        </w:rPr>
      </w:pPr>
      <w:r>
        <w:t>On average, the CCS market increases in size each year</w:t>
      </w:r>
      <w:r w:rsidR="00176EC9">
        <w:t>,</w:t>
      </w:r>
      <w:r>
        <w:t xml:space="preserve"> with more ECEC services opening than closing</w:t>
      </w:r>
      <w:r w:rsidR="00176EC9">
        <w:t>—</w:t>
      </w:r>
      <w:r>
        <w:t>with the exception of FDC, where there have been more exits from the market than entries</w:t>
      </w:r>
      <w:r w:rsidR="00915765">
        <w:t>.</w:t>
      </w:r>
      <w:r>
        <w:t xml:space="preserve"> </w:t>
      </w:r>
      <w:r w:rsidR="002B4938">
        <w:t>I</w:t>
      </w:r>
      <w:r w:rsidR="00C85256">
        <w:rPr>
          <w:rFonts w:ascii="Calibri" w:eastAsia="Calibri" w:hAnsi="Calibri" w:cs="Calibri"/>
        </w:rPr>
        <w:t>ntegrity m</w:t>
      </w:r>
      <w:r w:rsidRPr="425B7BE4">
        <w:rPr>
          <w:rFonts w:ascii="Calibri" w:eastAsia="Calibri" w:hAnsi="Calibri" w:cs="Calibri"/>
        </w:rPr>
        <w:t>easures</w:t>
      </w:r>
      <w:r w:rsidR="00C85256">
        <w:rPr>
          <w:rFonts w:ascii="Calibri" w:eastAsia="Calibri" w:hAnsi="Calibri" w:cs="Calibri"/>
        </w:rPr>
        <w:t xml:space="preserve"> </w:t>
      </w:r>
      <w:r w:rsidR="00596786">
        <w:rPr>
          <w:rFonts w:ascii="Calibri" w:eastAsia="Calibri" w:hAnsi="Calibri" w:cs="Calibri"/>
        </w:rPr>
        <w:t>aimed at address</w:t>
      </w:r>
      <w:r w:rsidR="002B4938">
        <w:rPr>
          <w:rFonts w:ascii="Calibri" w:eastAsia="Calibri" w:hAnsi="Calibri" w:cs="Calibri"/>
        </w:rPr>
        <w:t>ing</w:t>
      </w:r>
      <w:r w:rsidR="00596786">
        <w:rPr>
          <w:rFonts w:ascii="Calibri" w:eastAsia="Calibri" w:hAnsi="Calibri" w:cs="Calibri"/>
        </w:rPr>
        <w:t xml:space="preserve"> fraud and non-compliance in the FDC sector were </w:t>
      </w:r>
      <w:r w:rsidR="00314BFD">
        <w:rPr>
          <w:rFonts w:ascii="Calibri" w:eastAsia="Calibri" w:hAnsi="Calibri" w:cs="Calibri"/>
        </w:rPr>
        <w:t xml:space="preserve">introduced </w:t>
      </w:r>
      <w:r w:rsidR="004A147A">
        <w:rPr>
          <w:rFonts w:ascii="Calibri" w:eastAsia="Calibri" w:hAnsi="Calibri" w:cs="Calibri"/>
        </w:rPr>
        <w:t>in the 2017–18 and 2018–19 Mid-Year Economic and Fiscal Outlook</w:t>
      </w:r>
      <w:r w:rsidR="008D5CB1">
        <w:rPr>
          <w:rFonts w:ascii="Calibri" w:eastAsia="Calibri" w:hAnsi="Calibri" w:cs="Calibri"/>
        </w:rPr>
        <w:t>s</w:t>
      </w:r>
      <w:r w:rsidR="002A28D1">
        <w:rPr>
          <w:rFonts w:ascii="Calibri" w:eastAsia="Calibri" w:hAnsi="Calibri" w:cs="Calibri"/>
        </w:rPr>
        <w:t xml:space="preserve">. </w:t>
      </w:r>
      <w:r w:rsidR="00C85256">
        <w:rPr>
          <w:rFonts w:ascii="Calibri" w:eastAsia="Calibri" w:hAnsi="Calibri" w:cs="Calibri"/>
        </w:rPr>
        <w:t xml:space="preserve">These measures </w:t>
      </w:r>
      <w:r w:rsidR="00A85F75">
        <w:rPr>
          <w:rFonts w:ascii="Calibri" w:eastAsia="Calibri" w:hAnsi="Calibri" w:cs="Calibri"/>
        </w:rPr>
        <w:t>focused</w:t>
      </w:r>
      <w:r w:rsidR="00C85256">
        <w:rPr>
          <w:rFonts w:ascii="Calibri" w:eastAsia="Calibri" w:hAnsi="Calibri" w:cs="Calibri"/>
        </w:rPr>
        <w:t xml:space="preserve"> on</w:t>
      </w:r>
      <w:r w:rsidR="00A85F75">
        <w:rPr>
          <w:rFonts w:ascii="Calibri" w:eastAsia="Calibri" w:hAnsi="Calibri" w:cs="Calibri"/>
        </w:rPr>
        <w:t xml:space="preserve"> </w:t>
      </w:r>
      <w:r w:rsidR="005A42C8">
        <w:rPr>
          <w:rFonts w:ascii="Calibri" w:eastAsia="Calibri" w:hAnsi="Calibri" w:cs="Calibri"/>
        </w:rPr>
        <w:t>increasing</w:t>
      </w:r>
      <w:r w:rsidR="00C85256">
        <w:rPr>
          <w:rFonts w:ascii="Calibri" w:eastAsia="Calibri" w:hAnsi="Calibri" w:cs="Calibri"/>
        </w:rPr>
        <w:t xml:space="preserve"> compliance efforts </w:t>
      </w:r>
      <w:r w:rsidR="00747D5C">
        <w:rPr>
          <w:rFonts w:ascii="Calibri" w:eastAsia="Calibri" w:hAnsi="Calibri" w:cs="Calibri"/>
        </w:rPr>
        <w:t>and targeted activities</w:t>
      </w:r>
      <w:r w:rsidR="00C85256">
        <w:rPr>
          <w:rFonts w:ascii="Calibri" w:eastAsia="Calibri" w:hAnsi="Calibri" w:cs="Calibri"/>
        </w:rPr>
        <w:t xml:space="preserve"> to improve the</w:t>
      </w:r>
      <w:r w:rsidR="005A42C8">
        <w:rPr>
          <w:rFonts w:ascii="Calibri" w:eastAsia="Calibri" w:hAnsi="Calibri" w:cs="Calibri"/>
        </w:rPr>
        <w:t xml:space="preserve"> </w:t>
      </w:r>
      <w:r w:rsidR="00747D5C">
        <w:rPr>
          <w:rFonts w:ascii="Calibri" w:eastAsia="Calibri" w:hAnsi="Calibri" w:cs="Calibri"/>
        </w:rPr>
        <w:t>integrity of payments to FDC services.</w:t>
      </w:r>
      <w:r w:rsidR="00C85256">
        <w:rPr>
          <w:rFonts w:ascii="Calibri" w:eastAsia="Calibri" w:hAnsi="Calibri" w:cs="Calibri"/>
        </w:rPr>
        <w:t xml:space="preserve"> </w:t>
      </w:r>
      <w:r w:rsidR="0025714A">
        <w:rPr>
          <w:rFonts w:ascii="Calibri" w:eastAsia="Calibri" w:hAnsi="Calibri" w:cs="Calibri"/>
        </w:rPr>
        <w:t xml:space="preserve">The Government’s FDC </w:t>
      </w:r>
      <w:r w:rsidR="00DA63EB" w:rsidRPr="425B7BE4">
        <w:rPr>
          <w:rFonts w:ascii="Calibri" w:eastAsia="Calibri" w:hAnsi="Calibri" w:cs="Calibri"/>
        </w:rPr>
        <w:t xml:space="preserve">integrity </w:t>
      </w:r>
      <w:r w:rsidR="0025714A">
        <w:rPr>
          <w:rFonts w:ascii="Calibri" w:eastAsia="Calibri" w:hAnsi="Calibri" w:cs="Calibri"/>
        </w:rPr>
        <w:t>measures</w:t>
      </w:r>
      <w:r w:rsidR="00005BDC">
        <w:rPr>
          <w:rFonts w:ascii="Calibri" w:eastAsia="Calibri" w:hAnsi="Calibri" w:cs="Calibri"/>
        </w:rPr>
        <w:t>, including fraud and compliance activities</w:t>
      </w:r>
      <w:r w:rsidR="000647B8">
        <w:rPr>
          <w:rFonts w:ascii="Calibri" w:eastAsia="Calibri" w:hAnsi="Calibri" w:cs="Calibri"/>
        </w:rPr>
        <w:t>,</w:t>
      </w:r>
      <w:r w:rsidR="00DA63EB" w:rsidRPr="425B7BE4">
        <w:rPr>
          <w:rFonts w:ascii="Calibri" w:eastAsia="Calibri" w:hAnsi="Calibri" w:cs="Calibri"/>
        </w:rPr>
        <w:t xml:space="preserve"> </w:t>
      </w:r>
      <w:r w:rsidR="00B21275">
        <w:rPr>
          <w:rFonts w:ascii="Calibri" w:eastAsia="Calibri" w:hAnsi="Calibri" w:cs="Calibri"/>
        </w:rPr>
        <w:t>have</w:t>
      </w:r>
      <w:r w:rsidRPr="425B7BE4">
        <w:rPr>
          <w:rFonts w:ascii="Calibri" w:eastAsia="Calibri" w:hAnsi="Calibri" w:cs="Calibri"/>
        </w:rPr>
        <w:t xml:space="preserve"> result</w:t>
      </w:r>
      <w:r w:rsidR="00B21275">
        <w:rPr>
          <w:rFonts w:ascii="Calibri" w:eastAsia="Calibri" w:hAnsi="Calibri" w:cs="Calibri"/>
        </w:rPr>
        <w:t>ed</w:t>
      </w:r>
      <w:r w:rsidRPr="425B7BE4">
        <w:rPr>
          <w:rFonts w:ascii="Calibri" w:eastAsia="Calibri" w:hAnsi="Calibri" w:cs="Calibri"/>
        </w:rPr>
        <w:t xml:space="preserve"> in the cancellation of more than 200 FDC services.</w:t>
      </w:r>
    </w:p>
    <w:p w14:paraId="58896985" w14:textId="3B2FBD67" w:rsidR="00E53E37" w:rsidRDefault="003C268A" w:rsidP="00943722">
      <w:pPr>
        <w:pStyle w:val="Subbodytext"/>
      </w:pPr>
      <w:r w:rsidRPr="53D7628C">
        <w:t xml:space="preserve">More CBDC services open each year than any other care type, making up </w:t>
      </w:r>
      <w:r>
        <w:t>a</w:t>
      </w:r>
      <w:r w:rsidRPr="53D7628C">
        <w:t xml:space="preserve"> majority of entr</w:t>
      </w:r>
      <w:r>
        <w:t>ants</w:t>
      </w:r>
      <w:r w:rsidRPr="53D7628C">
        <w:t xml:space="preserve"> into the </w:t>
      </w:r>
      <w:r w:rsidR="00C839F3">
        <w:t>CCS</w:t>
      </w:r>
      <w:r w:rsidR="00C839F3" w:rsidRPr="53D7628C">
        <w:t xml:space="preserve"> </w:t>
      </w:r>
      <w:r w:rsidRPr="53D7628C">
        <w:t>market.</w:t>
      </w:r>
      <w:r>
        <w:t xml:space="preserve"> At the beginning of the COVID-19 pandemic, there was a decrease in the number of OSHC services entering the market, while </w:t>
      </w:r>
      <w:r w:rsidR="008D5CB1">
        <w:t xml:space="preserve">the number of </w:t>
      </w:r>
      <w:r>
        <w:t>OSHC services exiting the market remained steady</w:t>
      </w:r>
      <w:r w:rsidRPr="003C319B">
        <w:t xml:space="preserve">. </w:t>
      </w:r>
      <w:r w:rsidRPr="003C319B">
        <w:rPr>
          <w:b/>
        </w:rPr>
        <w:t>Figure</w:t>
      </w:r>
      <w:r w:rsidR="002E0DE3">
        <w:rPr>
          <w:b/>
        </w:rPr>
        <w:t> </w:t>
      </w:r>
      <w:r w:rsidR="00400A3F" w:rsidRPr="003C319B">
        <w:rPr>
          <w:b/>
        </w:rPr>
        <w:t>4</w:t>
      </w:r>
      <w:r w:rsidRPr="003C319B">
        <w:t xml:space="preserve"> depicts </w:t>
      </w:r>
      <w:r w:rsidR="006040A9">
        <w:t xml:space="preserve">service </w:t>
      </w:r>
      <w:r w:rsidRPr="003C319B">
        <w:t>entry and exit rate trends between 2019 and 202</w:t>
      </w:r>
      <w:r w:rsidR="008E0D2D">
        <w:t>2</w:t>
      </w:r>
      <w:r w:rsidRPr="003C319B">
        <w:t xml:space="preserve"> </w:t>
      </w:r>
      <w:r w:rsidR="006040A9">
        <w:t>by</w:t>
      </w:r>
      <w:r w:rsidR="00E92C3D" w:rsidRPr="003C319B">
        <w:t xml:space="preserve"> </w:t>
      </w:r>
      <w:r w:rsidRPr="003C319B">
        <w:t>care type</w:t>
      </w:r>
      <w:r>
        <w:t>.</w:t>
      </w:r>
    </w:p>
    <w:p w14:paraId="393FD9FA" w14:textId="3C46CB6B" w:rsidR="008F4E04" w:rsidRDefault="008F4E04" w:rsidP="00943722">
      <w:pPr>
        <w:pStyle w:val="Caption"/>
        <w:keepNext/>
      </w:pPr>
      <w:r>
        <w:t xml:space="preserve">Figure </w:t>
      </w:r>
      <w:r>
        <w:fldChar w:fldCharType="begin"/>
      </w:r>
      <w:r>
        <w:instrText>SEQ Figure \* ARABIC</w:instrText>
      </w:r>
      <w:r>
        <w:fldChar w:fldCharType="separate"/>
      </w:r>
      <w:r w:rsidR="00D307AC">
        <w:rPr>
          <w:noProof/>
        </w:rPr>
        <w:t>4</w:t>
      </w:r>
      <w:r>
        <w:fldChar w:fldCharType="end"/>
      </w:r>
      <w:r>
        <w:t>:</w:t>
      </w:r>
      <w:r w:rsidRPr="008F4E04">
        <w:t xml:space="preserve"> </w:t>
      </w:r>
      <w:r w:rsidRPr="00A62132">
        <w:t>Service Entry and Exit Rates by Care Type</w:t>
      </w:r>
    </w:p>
    <w:p w14:paraId="565F8779" w14:textId="56C19A06" w:rsidR="003C268A" w:rsidRPr="00F113FD" w:rsidRDefault="003C268A" w:rsidP="003C268A">
      <w:pPr>
        <w:pStyle w:val="SubFigureCaption"/>
      </w:pPr>
      <w:r>
        <w:rPr>
          <w:noProof/>
        </w:rPr>
        <w:drawing>
          <wp:inline distT="0" distB="0" distL="0" distR="0" wp14:anchorId="177CAC2C" wp14:editId="5737AAE4">
            <wp:extent cx="6258191" cy="2490233"/>
            <wp:effectExtent l="19050" t="19050" r="9525" b="24765"/>
            <wp:docPr id="1175073651" name="Picture 1175073651" descr="A graph showing the change over time of Service Entry and Exit Rates by Car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73651" name="Picture 1175073651" descr="A graph showing the change over time of Service Entry and Exit Rates by Care Type"/>
                    <pic:cNvPicPr/>
                  </pic:nvPicPr>
                  <pic:blipFill rotWithShape="1">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6308222" cy="2510141"/>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r w:rsidR="00037150" w:rsidRPr="00037150">
        <w:t xml:space="preserve"> </w:t>
      </w:r>
      <w:r w:rsidR="00037150">
        <w:t>CBDC = centre-based day care; FDC = family day care; OSHC = outside school hours care.</w:t>
      </w:r>
      <w:r w:rsidR="00037150">
        <w:br/>
      </w:r>
      <w:r w:rsidRPr="001044E9">
        <w:t xml:space="preserve">Source: ACECQA, </w:t>
      </w:r>
      <w:r w:rsidRPr="00A85849">
        <w:rPr>
          <w:i/>
          <w:iCs/>
        </w:rPr>
        <w:t>NQAITS Quarterly Time Series</w:t>
      </w:r>
      <w:r>
        <w:t>.</w:t>
      </w:r>
    </w:p>
    <w:p w14:paraId="29DD1496" w14:textId="3040BBEA" w:rsidR="003C268A" w:rsidRPr="00474361" w:rsidRDefault="003C268A" w:rsidP="003C268A">
      <w:pPr>
        <w:pStyle w:val="Subbodytext"/>
      </w:pPr>
      <w:r w:rsidRPr="003C319B">
        <w:rPr>
          <w:b/>
          <w:bCs/>
        </w:rPr>
        <w:t xml:space="preserve">Figure </w:t>
      </w:r>
      <w:r w:rsidR="3E778053" w:rsidRPr="003C319B">
        <w:rPr>
          <w:b/>
          <w:bCs/>
        </w:rPr>
        <w:t>5</w:t>
      </w:r>
      <w:r w:rsidRPr="003C319B">
        <w:t xml:space="preserve"> depicts</w:t>
      </w:r>
      <w:r>
        <w:t xml:space="preserve"> </w:t>
      </w:r>
      <w:r w:rsidRPr="68A00BEA">
        <w:rPr>
          <w:rFonts w:eastAsia="Calibri"/>
        </w:rPr>
        <w:t>percentage changes in the number of services by care type, including preschool</w:t>
      </w:r>
      <w:r w:rsidR="0028007F">
        <w:rPr>
          <w:rFonts w:eastAsia="Calibri"/>
        </w:rPr>
        <w:t> </w:t>
      </w:r>
      <w:r w:rsidRPr="68A00BEA">
        <w:rPr>
          <w:rFonts w:eastAsia="Calibri"/>
        </w:rPr>
        <w:t>(PSK)</w:t>
      </w:r>
      <w:r w:rsidRPr="00ED60EA">
        <w:rPr>
          <w:rFonts w:eastAsia="Calibri"/>
        </w:rPr>
        <w:t>.</w:t>
      </w:r>
      <w:r>
        <w:t xml:space="preserve"> It shows a sharp increase in the approval of OSHC services in 2022, as well as a significant decline in </w:t>
      </w:r>
      <w:r w:rsidR="008D5CB1">
        <w:t xml:space="preserve">the number of </w:t>
      </w:r>
      <w:r>
        <w:t>FDC services in recent years.</w:t>
      </w:r>
    </w:p>
    <w:p w14:paraId="796D6210" w14:textId="1B18FF7F" w:rsidR="00B97CFB" w:rsidRDefault="00B97CFB" w:rsidP="005433D4">
      <w:pPr>
        <w:pStyle w:val="Caption"/>
        <w:keepNext/>
      </w:pPr>
      <w:r>
        <w:t xml:space="preserve">Figure </w:t>
      </w:r>
      <w:r>
        <w:fldChar w:fldCharType="begin"/>
      </w:r>
      <w:r>
        <w:instrText>SEQ Figure \* ARABIC</w:instrText>
      </w:r>
      <w:r>
        <w:fldChar w:fldCharType="separate"/>
      </w:r>
      <w:r w:rsidR="00D307AC">
        <w:rPr>
          <w:noProof/>
        </w:rPr>
        <w:t>5</w:t>
      </w:r>
      <w:r>
        <w:fldChar w:fldCharType="end"/>
      </w:r>
      <w:r>
        <w:t>:</w:t>
      </w:r>
      <w:r w:rsidRPr="00B97CFB">
        <w:t xml:space="preserve"> </w:t>
      </w:r>
      <w:r w:rsidRPr="005F615C">
        <w:t>Percentage Change in Number of Services by Care Type</w:t>
      </w:r>
    </w:p>
    <w:p w14:paraId="33339AEE" w14:textId="77777777" w:rsidR="003C268A" w:rsidRDefault="003C268A" w:rsidP="003C268A">
      <w:pPr>
        <w:pStyle w:val="Source"/>
        <w:spacing w:after="0"/>
        <w:rPr>
          <w:rFonts w:ascii="Calibri" w:eastAsia="Calibri" w:hAnsi="Calibri" w:cs="Calibri"/>
          <w:b/>
          <w:bCs/>
        </w:rPr>
      </w:pPr>
      <w:r>
        <w:rPr>
          <w:noProof/>
        </w:rPr>
        <w:drawing>
          <wp:inline distT="0" distB="0" distL="0" distR="0" wp14:anchorId="1E7DC767" wp14:editId="407BE08B">
            <wp:extent cx="4427079" cy="3066056"/>
            <wp:effectExtent l="19050" t="19050" r="12065" b="20320"/>
            <wp:docPr id="994519826" name="Picture 994519826" descr="A graph showing Percentage Change in Number of Services by Car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19826" name="Picture 994519826" descr="A graph showing Percentage Change in Number of Services by Care Type"/>
                    <pic:cNvPicPr/>
                  </pic:nvPicPr>
                  <pic:blipFill rotWithShape="1">
                    <a:blip r:embed="rId33" cstate="print">
                      <a:extLst>
                        <a:ext uri="{BEBA8EAE-BF5A-486C-A8C5-ECC9F3942E4B}">
                          <a14:imgProps xmlns:a14="http://schemas.microsoft.com/office/drawing/2010/main">
                            <a14:imgLayer r:embed="rId34">
                              <a14:imgEffect>
                                <a14:sharpenSoften amount="25000"/>
                              </a14:imgEffect>
                              <a14:imgEffect>
                                <a14:brightnessContrast contrast="24000"/>
                              </a14:imgEffect>
                            </a14:imgLayer>
                          </a14:imgProps>
                        </a:ext>
                        <a:ext uri="{28A0092B-C50C-407E-A947-70E740481C1C}">
                          <a14:useLocalDpi xmlns:a14="http://schemas.microsoft.com/office/drawing/2010/main" val="0"/>
                        </a:ext>
                      </a:extLst>
                    </a:blip>
                    <a:srcRect l="2664" t="10794" r="3803" b="2745"/>
                    <a:stretch/>
                  </pic:blipFill>
                  <pic:spPr bwMode="auto">
                    <a:xfrm>
                      <a:off x="0" y="0"/>
                      <a:ext cx="4428000" cy="3066694"/>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E9DBB23" w14:textId="14BA8A5E" w:rsidR="003C268A" w:rsidRPr="00F113FD" w:rsidRDefault="003C268A" w:rsidP="00087EAE">
      <w:pPr>
        <w:pStyle w:val="SubFigureCaption"/>
      </w:pPr>
      <w:r>
        <w:t>CBDC = centre-based day care</w:t>
      </w:r>
      <w:r w:rsidR="00037150">
        <w:t>;</w:t>
      </w:r>
      <w:r>
        <w:t xml:space="preserve"> FDC = family day care</w:t>
      </w:r>
      <w:r w:rsidR="00037150">
        <w:t>;</w:t>
      </w:r>
      <w:r>
        <w:t xml:space="preserve"> OSHC = outside school hours care</w:t>
      </w:r>
      <w:r w:rsidR="00037150">
        <w:t>;</w:t>
      </w:r>
      <w:r>
        <w:t xml:space="preserve"> PSK = preschool.</w:t>
      </w:r>
      <w:r w:rsidR="00087EAE">
        <w:br/>
      </w:r>
      <w:r>
        <w:t xml:space="preserve">Source: ACECQA, </w:t>
      </w:r>
      <w:r w:rsidRPr="00B04596">
        <w:rPr>
          <w:i/>
          <w:iCs/>
        </w:rPr>
        <w:t>NQAITS Quarterly Time Series</w:t>
      </w:r>
      <w:r>
        <w:t>.</w:t>
      </w:r>
    </w:p>
    <w:p w14:paraId="642126A6" w14:textId="7FB4DE47" w:rsidR="003C268A" w:rsidRDefault="003C268A" w:rsidP="003C268A">
      <w:pPr>
        <w:pStyle w:val="Subbodytext"/>
      </w:pPr>
      <w:r>
        <w:t xml:space="preserve">In terms of geographical spread, there </w:t>
      </w:r>
      <w:r w:rsidR="00E5645A">
        <w:t>was</w:t>
      </w:r>
      <w:r>
        <w:t xml:space="preserve"> a significant increase in the number of</w:t>
      </w:r>
      <w:r w:rsidR="00A30B39">
        <w:t xml:space="preserve"> </w:t>
      </w:r>
      <w:r>
        <w:t>inner and outer regional services registered with ACECQA during the 2022 calendar year. This</w:t>
      </w:r>
      <w:r w:rsidR="00A30B39">
        <w:t xml:space="preserve"> </w:t>
      </w:r>
      <w:r>
        <w:t>increase has not been realised in remote regions.</w:t>
      </w:r>
    </w:p>
    <w:p w14:paraId="4C9986C5" w14:textId="33FB4C19" w:rsidR="00B97CFB" w:rsidRDefault="00B97CFB" w:rsidP="005433D4">
      <w:pPr>
        <w:pStyle w:val="Caption"/>
        <w:keepNext/>
      </w:pPr>
      <w:r>
        <w:t xml:space="preserve">Figure </w:t>
      </w:r>
      <w:r>
        <w:fldChar w:fldCharType="begin"/>
      </w:r>
      <w:r>
        <w:instrText>SEQ Figure \* ARABIC</w:instrText>
      </w:r>
      <w:r>
        <w:fldChar w:fldCharType="separate"/>
      </w:r>
      <w:r w:rsidR="00D307AC">
        <w:rPr>
          <w:noProof/>
        </w:rPr>
        <w:t>6</w:t>
      </w:r>
      <w:r>
        <w:fldChar w:fldCharType="end"/>
      </w:r>
      <w:r>
        <w:t>:</w:t>
      </w:r>
      <w:r w:rsidRPr="00B97CFB">
        <w:t xml:space="preserve"> </w:t>
      </w:r>
      <w:r w:rsidRPr="004F6D37">
        <w:t>Percentage Change in Number of Services by Remoteness Area</w:t>
      </w:r>
    </w:p>
    <w:p w14:paraId="036EF9FF" w14:textId="77777777" w:rsidR="003C268A" w:rsidRDefault="003C268A" w:rsidP="003C268A">
      <w:pPr>
        <w:pStyle w:val="Source"/>
        <w:spacing w:after="0"/>
      </w:pPr>
      <w:r>
        <w:rPr>
          <w:noProof/>
        </w:rPr>
        <w:drawing>
          <wp:inline distT="0" distB="0" distL="0" distR="0" wp14:anchorId="6A4A5764" wp14:editId="7FAD900B">
            <wp:extent cx="4427220" cy="3002446"/>
            <wp:effectExtent l="19050" t="19050" r="11430" b="26670"/>
            <wp:docPr id="747284860" name="Picture 747284860" descr="A chart showing Percentage Change in Number of Services by Remotenes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284860" name="Picture 747284860" descr="A chart showing Percentage Change in Number of Services by Remoteness Area"/>
                    <pic:cNvPicPr/>
                  </pic:nvPicPr>
                  <pic:blipFill rotWithShape="1">
                    <a:blip r:embed="rId35" cstate="print">
                      <a:extLst>
                        <a:ext uri="{BEBA8EAE-BF5A-486C-A8C5-ECC9F3942E4B}">
                          <a14:imgProps xmlns:a14="http://schemas.microsoft.com/office/drawing/2010/main">
                            <a14:imgLayer r:embed="rId36">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l="1781" t="10366" r="4472" b="2184"/>
                    <a:stretch/>
                  </pic:blipFill>
                  <pic:spPr bwMode="auto">
                    <a:xfrm>
                      <a:off x="0" y="0"/>
                      <a:ext cx="4428000" cy="3002975"/>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3795585" w14:textId="77777777" w:rsidR="003C268A" w:rsidRPr="00F113FD" w:rsidRDefault="003C268A" w:rsidP="003C268A">
      <w:pPr>
        <w:pStyle w:val="SubFigureCaption"/>
      </w:pPr>
      <w:r>
        <w:t xml:space="preserve">Source: ACECQA, </w:t>
      </w:r>
      <w:r w:rsidRPr="005857B4">
        <w:rPr>
          <w:i/>
          <w:iCs/>
        </w:rPr>
        <w:t>NQAITS Quarterly Time Series</w:t>
      </w:r>
      <w:r>
        <w:t>.</w:t>
      </w:r>
    </w:p>
    <w:p w14:paraId="70D2BDC2" w14:textId="77777777" w:rsidR="003C268A" w:rsidRPr="00C90B15" w:rsidRDefault="003C268A" w:rsidP="00087EAE">
      <w:pPr>
        <w:pStyle w:val="SubSectionHeading"/>
      </w:pPr>
      <w:bookmarkStart w:id="34" w:name="_Toc133777903"/>
      <w:bookmarkStart w:id="35" w:name="_Toc134023010"/>
      <w:bookmarkStart w:id="36" w:name="_Toc134173415"/>
      <w:bookmarkStart w:id="37" w:name="_Toc135404849"/>
      <w:r>
        <w:t>Workforce</w:t>
      </w:r>
      <w:bookmarkEnd w:id="34"/>
      <w:bookmarkEnd w:id="35"/>
      <w:bookmarkEnd w:id="36"/>
      <w:bookmarkEnd w:id="37"/>
    </w:p>
    <w:p w14:paraId="5FC6B1A3" w14:textId="39557580" w:rsidR="003C268A" w:rsidRDefault="003C268A" w:rsidP="003C268A">
      <w:pPr>
        <w:pStyle w:val="Subbodytext"/>
      </w:pPr>
      <w:r>
        <w:t>The ECEC workforce plays a fundamental role in supporting positive educational and developmental outcomes for children</w:t>
      </w:r>
      <w:r w:rsidR="00A31E86">
        <w:t>, as well as</w:t>
      </w:r>
      <w:r>
        <w:t xml:space="preserve"> achieving other ECEC objectives</w:t>
      </w:r>
      <w:r w:rsidR="00A31E86">
        <w:t>,</w:t>
      </w:r>
      <w:r>
        <w:t xml:space="preserve"> such as enabling greater workforce participation by parents and carers. The value of, and need for, a sustainable, high-quality workforce to support the ECEC system is the subject of the 10-year </w:t>
      </w:r>
      <w:r w:rsidRPr="68A00BEA">
        <w:rPr>
          <w:i/>
          <w:iCs/>
        </w:rPr>
        <w:t>National Children’s Education and Care Workforce Strategy (2022–2031)</w:t>
      </w:r>
      <w:r>
        <w:t xml:space="preserve"> (refer to </w:t>
      </w:r>
      <w:r w:rsidR="00B50AC9">
        <w:rPr>
          <w:b/>
        </w:rPr>
        <w:t>Section </w:t>
      </w:r>
      <w:r w:rsidRPr="003C319B">
        <w:rPr>
          <w:b/>
          <w:bCs/>
        </w:rPr>
        <w:t>5.</w:t>
      </w:r>
      <w:r w:rsidR="669CB533" w:rsidRPr="003C319B">
        <w:rPr>
          <w:b/>
          <w:bCs/>
        </w:rPr>
        <w:t>4</w:t>
      </w:r>
      <w:r w:rsidRPr="003C319B">
        <w:t>).</w:t>
      </w:r>
    </w:p>
    <w:p w14:paraId="6499A549" w14:textId="13BCE9A5" w:rsidR="003C268A" w:rsidRDefault="003C268A" w:rsidP="003C268A">
      <w:pPr>
        <w:pStyle w:val="Subbodytext"/>
      </w:pPr>
      <w:r>
        <w:t xml:space="preserve">As of </w:t>
      </w:r>
      <w:r w:rsidR="00B54DB8">
        <w:t>February 2023</w:t>
      </w:r>
      <w:r>
        <w:t xml:space="preserve">, the ECEC workforce employed </w:t>
      </w:r>
      <w:r w:rsidR="00B54DB8">
        <w:t>261</w:t>
      </w:r>
      <w:r>
        <w:t>,100 individuals.</w:t>
      </w:r>
      <w:r>
        <w:rPr>
          <w:rStyle w:val="FootnoteReference"/>
        </w:rPr>
        <w:footnoteReference w:id="19"/>
      </w:r>
      <w:r>
        <w:t xml:space="preserve"> </w:t>
      </w:r>
      <w:r w:rsidR="00294440">
        <w:t>In 2021, f</w:t>
      </w:r>
      <w:r>
        <w:t>emale workers made up the majority of the ECEC workforce</w:t>
      </w:r>
      <w:r w:rsidR="00D71868">
        <w:t>,</w:t>
      </w:r>
      <w:r>
        <w:t xml:space="preserve"> at</w:t>
      </w:r>
      <w:r w:rsidR="00627524">
        <w:t xml:space="preserve"> </w:t>
      </w:r>
      <w:r>
        <w:t>92.</w:t>
      </w:r>
      <w:r w:rsidR="0065691C">
        <w:t>1</w:t>
      </w:r>
      <w:r>
        <w:t xml:space="preserve"> per</w:t>
      </w:r>
      <w:r w:rsidR="00627524">
        <w:t> </w:t>
      </w:r>
      <w:r>
        <w:t>cent (up from 91.1</w:t>
      </w:r>
      <w:r w:rsidR="00627524">
        <w:t> </w:t>
      </w:r>
      <w:r>
        <w:t>per</w:t>
      </w:r>
      <w:r w:rsidR="00627524">
        <w:t> </w:t>
      </w:r>
      <w:r>
        <w:t>cent in 2016)</w:t>
      </w:r>
      <w:r w:rsidR="00390C13">
        <w:t>.</w:t>
      </w:r>
      <w:r>
        <w:t xml:space="preserve"> </w:t>
      </w:r>
      <w:r w:rsidR="00390C13">
        <w:t>T</w:t>
      </w:r>
      <w:r>
        <w:t>he median age of the workforce was 36</w:t>
      </w:r>
      <w:r w:rsidR="00A13D3C">
        <w:t> </w:t>
      </w:r>
      <w:r>
        <w:t>for female workers and 27</w:t>
      </w:r>
      <w:r w:rsidR="00627524">
        <w:t> </w:t>
      </w:r>
      <w:r>
        <w:t>for male workers.</w:t>
      </w:r>
      <w:r w:rsidR="0062312B">
        <w:rPr>
          <w:rStyle w:val="FootnoteReference"/>
        </w:rPr>
        <w:footnoteReference w:id="20"/>
      </w:r>
    </w:p>
    <w:p w14:paraId="0C0C43A2" w14:textId="6D5789B8" w:rsidR="008D4684" w:rsidRDefault="003C268A" w:rsidP="003C268A">
      <w:pPr>
        <w:pStyle w:val="Subbodytext"/>
      </w:pPr>
      <w:r>
        <w:t>The workforce is categorised by 3 main occupation types: educators, early childhood teachers</w:t>
      </w:r>
      <w:r w:rsidR="00CF7A11">
        <w:t>,</w:t>
      </w:r>
      <w:r>
        <w:t xml:space="preserve"> and centre directors. Between November 2021 and November 2026, the workforce is projected to grow by 5.9</w:t>
      </w:r>
      <w:r w:rsidR="00346148">
        <w:t> per cent</w:t>
      </w:r>
      <w:r>
        <w:t xml:space="preserve"> for educators, 21.6</w:t>
      </w:r>
      <w:r w:rsidR="00346148">
        <w:t> per cent</w:t>
      </w:r>
      <w:r>
        <w:t xml:space="preserve"> for early childhood teachers</w:t>
      </w:r>
      <w:r w:rsidR="00F55241">
        <w:t>,</w:t>
      </w:r>
      <w:r>
        <w:t xml:space="preserve"> and 21.8</w:t>
      </w:r>
      <w:r w:rsidR="00346148">
        <w:t> per cent</w:t>
      </w:r>
      <w:r>
        <w:t xml:space="preserve"> for centre directors</w:t>
      </w:r>
      <w:r>
        <w:rPr>
          <w:rStyle w:val="FootnoteReference"/>
        </w:rPr>
        <w:footnoteReference w:id="21"/>
      </w:r>
      <w:r w:rsidR="00F55241">
        <w:t>—</w:t>
      </w:r>
      <w:r w:rsidR="007D6CEC">
        <w:t>noting that</w:t>
      </w:r>
      <w:r w:rsidR="00475F26">
        <w:t xml:space="preserve"> </w:t>
      </w:r>
      <w:r w:rsidR="005B10F6">
        <w:t xml:space="preserve">these projections do not account for workforce measures announced in the 2023–24 Budget </w:t>
      </w:r>
      <w:r w:rsidR="007D6CEC">
        <w:t>(</w:t>
      </w:r>
      <w:r w:rsidR="005B10F6">
        <w:t xml:space="preserve">refer to </w:t>
      </w:r>
      <w:r w:rsidR="00B50AC9">
        <w:rPr>
          <w:b/>
          <w:bCs/>
        </w:rPr>
        <w:t>Section </w:t>
      </w:r>
      <w:r w:rsidR="005B10F6">
        <w:rPr>
          <w:b/>
          <w:bCs/>
        </w:rPr>
        <w:t>4.2</w:t>
      </w:r>
      <w:r w:rsidR="005B10F6">
        <w:t>).</w:t>
      </w:r>
    </w:p>
    <w:p w14:paraId="16048CA8" w14:textId="7986A068" w:rsidR="006E01FD" w:rsidRDefault="0081422F" w:rsidP="00D43F01">
      <w:r w:rsidRPr="03996547">
        <w:t xml:space="preserve">The </w:t>
      </w:r>
      <w:r w:rsidR="005433D4">
        <w:t>NQF</w:t>
      </w:r>
      <w:r w:rsidRPr="03996547">
        <w:t xml:space="preserve"> </w:t>
      </w:r>
      <w:r>
        <w:t>outlines</w:t>
      </w:r>
      <w:r w:rsidRPr="03996547">
        <w:t xml:space="preserve"> staffing standards </w:t>
      </w:r>
      <w:r w:rsidR="005407DA">
        <w:t xml:space="preserve">for </w:t>
      </w:r>
      <w:r w:rsidRPr="03996547">
        <w:t xml:space="preserve">the </w:t>
      </w:r>
      <w:r w:rsidR="005407DA">
        <w:t xml:space="preserve">ECEC </w:t>
      </w:r>
      <w:r w:rsidRPr="03996547">
        <w:t>workforce</w:t>
      </w:r>
      <w:r w:rsidR="005407DA">
        <w:t xml:space="preserve">, </w:t>
      </w:r>
      <w:r w:rsidRPr="03996547">
        <w:t>includ</w:t>
      </w:r>
      <w:r w:rsidR="005407DA">
        <w:t>ing</w:t>
      </w:r>
      <w:r w:rsidRPr="03996547">
        <w:t xml:space="preserve"> </w:t>
      </w:r>
      <w:r w:rsidR="00052557">
        <w:t xml:space="preserve">the ratios of staff to children in care, and </w:t>
      </w:r>
      <w:r w:rsidRPr="03996547">
        <w:t>staff qualification requirements</w:t>
      </w:r>
      <w:r w:rsidR="005407DA">
        <w:t xml:space="preserve">. </w:t>
      </w:r>
      <w:r w:rsidR="00C3603D">
        <w:t>These requirements v</w:t>
      </w:r>
      <w:r w:rsidR="005433D4">
        <w:t>a</w:t>
      </w:r>
      <w:r w:rsidR="00C3603D">
        <w:t>ry between care</w:t>
      </w:r>
      <w:r w:rsidR="00D71868">
        <w:t xml:space="preserve"> types</w:t>
      </w:r>
      <w:r w:rsidR="00C3603D">
        <w:t xml:space="preserve"> (</w:t>
      </w:r>
      <w:r w:rsidR="0062213C">
        <w:t>CBDC, OSHC</w:t>
      </w:r>
      <w:r w:rsidR="00C3603D">
        <w:t xml:space="preserve">, etc.) and </w:t>
      </w:r>
      <w:r w:rsidR="0048056E">
        <w:t>the</w:t>
      </w:r>
      <w:r w:rsidR="00C3603D">
        <w:t xml:space="preserve"> </w:t>
      </w:r>
      <w:r w:rsidR="00372D6C">
        <w:t>jurisdiction</w:t>
      </w:r>
      <w:r w:rsidR="0048056E">
        <w:t xml:space="preserve"> </w:t>
      </w:r>
      <w:r w:rsidR="001D3992">
        <w:t xml:space="preserve">in which </w:t>
      </w:r>
      <w:r w:rsidR="0048056E">
        <w:t>the</w:t>
      </w:r>
      <w:r w:rsidR="00D71868">
        <w:t xml:space="preserve"> service operates</w:t>
      </w:r>
      <w:r w:rsidR="00372D6C">
        <w:t xml:space="preserve">. Details on qualification requirements </w:t>
      </w:r>
      <w:r w:rsidR="00052557">
        <w:t xml:space="preserve">are available on the </w:t>
      </w:r>
      <w:hyperlink r:id="rId37" w:history="1">
        <w:r w:rsidR="00EA073A" w:rsidRPr="00EA073A">
          <w:rPr>
            <w:rStyle w:val="Hyperlink"/>
          </w:rPr>
          <w:t>ACECQA website</w:t>
        </w:r>
      </w:hyperlink>
      <w:r w:rsidR="00EA073A">
        <w:t>.</w:t>
      </w:r>
    </w:p>
    <w:p w14:paraId="63625057" w14:textId="7C731E55" w:rsidR="00D43F01" w:rsidRDefault="10D49DEB" w:rsidP="00D43F01">
      <w:r w:rsidRPr="0056238E">
        <w:t xml:space="preserve">According to the 2021 </w:t>
      </w:r>
      <w:r w:rsidR="28D5D4B5" w:rsidRPr="00824CD5">
        <w:t xml:space="preserve">Department of Education, Skills and Employment </w:t>
      </w:r>
      <w:r w:rsidR="28D5D4B5">
        <w:t xml:space="preserve">ECEC </w:t>
      </w:r>
      <w:r w:rsidRPr="0056238E">
        <w:t>National Workforce Census, 84.8</w:t>
      </w:r>
      <w:r w:rsidR="00346148">
        <w:t> per cent</w:t>
      </w:r>
      <w:r w:rsidRPr="0056238E">
        <w:t xml:space="preserve"> of paid contact staff held a relevant qualification in 2021. </w:t>
      </w:r>
      <w:r w:rsidR="616FA948">
        <w:t xml:space="preserve">Notably, qualifications attained through ECEC degrees vary. Depending on the degree, graduates may be qualified to teach children aged zero to 5 in prior-to-school settings; school-age children only; or children aged anywhere from </w:t>
      </w:r>
      <w:r w:rsidR="0620E9F8">
        <w:t>zero</w:t>
      </w:r>
      <w:r w:rsidR="616FA948">
        <w:t xml:space="preserve"> to 12, in either setting.</w:t>
      </w:r>
      <w:r w:rsidR="007E5289">
        <w:rPr>
          <w:rStyle w:val="FootnoteReference"/>
        </w:rPr>
        <w:footnoteReference w:id="22"/>
      </w:r>
    </w:p>
    <w:p w14:paraId="1D128E66" w14:textId="23E1CEA7" w:rsidR="003C268A" w:rsidRDefault="003C268A" w:rsidP="00D43F01">
      <w:r>
        <w:br w:type="page"/>
      </w:r>
    </w:p>
    <w:p w14:paraId="1655694D" w14:textId="204AF69C" w:rsidR="003C268A" w:rsidRDefault="003C268A" w:rsidP="00087EAE">
      <w:pPr>
        <w:pStyle w:val="SubChapterheading"/>
      </w:pPr>
      <w:bookmarkStart w:id="38" w:name="_Toc134023011"/>
      <w:bookmarkStart w:id="39" w:name="_Toc134173416"/>
      <w:bookmarkStart w:id="40" w:name="_Toc135404850"/>
      <w:r>
        <w:t xml:space="preserve">Roles and </w:t>
      </w:r>
      <w:r w:rsidR="002E6494">
        <w:t xml:space="preserve">Responsibilities </w:t>
      </w:r>
      <w:r>
        <w:t>of the Australian Government in the ECEC system</w:t>
      </w:r>
      <w:bookmarkEnd w:id="38"/>
      <w:bookmarkEnd w:id="39"/>
      <w:bookmarkEnd w:id="40"/>
    </w:p>
    <w:p w14:paraId="65B57D32" w14:textId="6AA8C2DF" w:rsidR="003C268A" w:rsidRDefault="003C268A" w:rsidP="003C268A">
      <w:pPr>
        <w:pStyle w:val="Subbodytext"/>
      </w:pPr>
      <w:r>
        <w:t xml:space="preserve">The Australian Government’s key role in the </w:t>
      </w:r>
      <w:r w:rsidR="00310D95">
        <w:t>early childhood education and care (</w:t>
      </w:r>
      <w:r>
        <w:t>ECEC</w:t>
      </w:r>
      <w:r w:rsidR="00310D95">
        <w:t>)</w:t>
      </w:r>
      <w:r>
        <w:t xml:space="preserve"> system is providing the main source of funding to</w:t>
      </w:r>
      <w:r w:rsidR="005A2EC3">
        <w:t> </w:t>
      </w:r>
      <w:r>
        <w:t>support families’ access to E</w:t>
      </w:r>
      <w:r w:rsidRPr="00452927">
        <w:t>CEC services</w:t>
      </w:r>
      <w:r>
        <w:t>. This is achieved primarily</w:t>
      </w:r>
      <w:r w:rsidRPr="00452927">
        <w:t xml:space="preserve"> through the C</w:t>
      </w:r>
      <w:r>
        <w:t>hild Care Subsidy (CCS)</w:t>
      </w:r>
      <w:r w:rsidRPr="00452927">
        <w:rPr>
          <w:color w:val="FF0000"/>
          <w:sz w:val="16"/>
          <w:szCs w:val="16"/>
        </w:rPr>
        <w:t xml:space="preserve"> </w:t>
      </w:r>
      <w:r w:rsidRPr="00452927">
        <w:t xml:space="preserve">and the Child Care Safety Net. </w:t>
      </w:r>
      <w:r>
        <w:t>The Government</w:t>
      </w:r>
      <w:r w:rsidRPr="00452927">
        <w:t xml:space="preserve"> provides funding to state and territory governments to </w:t>
      </w:r>
      <w:r>
        <w:t xml:space="preserve">facilitate preschool access in the year before full-time school, as well as </w:t>
      </w:r>
      <w:r w:rsidRPr="00452927">
        <w:t>operational funding to the Australian Children’s Education and Care Quality Authority (ACECQA) to support the N</w:t>
      </w:r>
      <w:r>
        <w:t xml:space="preserve">ational </w:t>
      </w:r>
      <w:r w:rsidRPr="00452927">
        <w:t>Q</w:t>
      </w:r>
      <w:r>
        <w:t xml:space="preserve">uality </w:t>
      </w:r>
      <w:r w:rsidRPr="00452927">
        <w:t>F</w:t>
      </w:r>
      <w:r>
        <w:t>ramework (NQF)</w:t>
      </w:r>
      <w:r w:rsidRPr="00452927">
        <w:t xml:space="preserve">. The </w:t>
      </w:r>
      <w:r>
        <w:t xml:space="preserve">Australian </w:t>
      </w:r>
      <w:r w:rsidRPr="00452927">
        <w:t xml:space="preserve">Government also </w:t>
      </w:r>
      <w:r>
        <w:t>plays</w:t>
      </w:r>
      <w:r w:rsidRPr="00452927">
        <w:t xml:space="preserve"> a central role in shaping and supporting the ECEC system through overarching policy settings and regulatory functions</w:t>
      </w:r>
      <w:r>
        <w:t xml:space="preserve">, including administering Family Assistance Law (FAL) and </w:t>
      </w:r>
      <w:r w:rsidR="0007A28F">
        <w:t>protectin</w:t>
      </w:r>
      <w:r w:rsidR="0187BB76">
        <w:t>g</w:t>
      </w:r>
      <w:r>
        <w:t xml:space="preserve"> the CCS against fraud and non-compliance.</w:t>
      </w:r>
    </w:p>
    <w:p w14:paraId="7E90D947" w14:textId="14F6C5B8" w:rsidR="003C268A" w:rsidRDefault="003C268A" w:rsidP="003C268A">
      <w:pPr>
        <w:pStyle w:val="Subbodytext"/>
        <w:rPr>
          <w:rFonts w:cs="Calibri"/>
        </w:rPr>
      </w:pPr>
      <w:r w:rsidRPr="00452927">
        <w:t xml:space="preserve">The Government fulfills its roles and responsibilities through different </w:t>
      </w:r>
      <w:r>
        <w:t>Australian Government departments</w:t>
      </w:r>
      <w:r w:rsidRPr="00452927">
        <w:t>. For example, the Department of Education</w:t>
      </w:r>
      <w:r>
        <w:t xml:space="preserve"> </w:t>
      </w:r>
      <w:r w:rsidRPr="00452927">
        <w:t>has primary carriage of implementing ECEC-focused policies</w:t>
      </w:r>
      <w:r>
        <w:t xml:space="preserve"> and </w:t>
      </w:r>
      <w:r w:rsidRPr="00452927">
        <w:t>programs and administering FAL.</w:t>
      </w:r>
      <w:r w:rsidRPr="00452927">
        <w:rPr>
          <w:vertAlign w:val="superscript"/>
        </w:rPr>
        <w:footnoteReference w:id="23"/>
      </w:r>
      <w:r w:rsidRPr="00452927">
        <w:t xml:space="preserve"> </w:t>
      </w:r>
      <w:r w:rsidR="00140F53">
        <w:t>To achieve ECEC objectives, the department</w:t>
      </w:r>
      <w:r w:rsidRPr="00452927">
        <w:t xml:space="preserve"> works closely with other </w:t>
      </w:r>
      <w:r>
        <w:t>agencies</w:t>
      </w:r>
      <w:r w:rsidRPr="00452927">
        <w:t>, including Services Australia, which is responsible for</w:t>
      </w:r>
      <w:r>
        <w:t xml:space="preserve"> determining </w:t>
      </w:r>
      <w:r w:rsidR="7AF39441">
        <w:t>and paying</w:t>
      </w:r>
      <w:r w:rsidR="0007A28F">
        <w:t xml:space="preserve"> </w:t>
      </w:r>
      <w:r>
        <w:t>a</w:t>
      </w:r>
      <w:r w:rsidR="005A2EC3">
        <w:t> </w:t>
      </w:r>
      <w:r>
        <w:t>family’s CCS entitlement</w:t>
      </w:r>
      <w:r w:rsidR="006A2FFE">
        <w:t>s</w:t>
      </w:r>
      <w:r w:rsidRPr="00452927">
        <w:t>, and the Department of</w:t>
      </w:r>
      <w:r w:rsidR="005A2EC3">
        <w:t> </w:t>
      </w:r>
      <w:r w:rsidRPr="00452927">
        <w:t>Social Services, which co-ordinates early child development policy and responsibilities.</w:t>
      </w:r>
    </w:p>
    <w:p w14:paraId="15EC6B23" w14:textId="7EBD8EB0" w:rsidR="003C268A" w:rsidRDefault="003C268A" w:rsidP="003C268A">
      <w:pPr>
        <w:pStyle w:val="Subbodytext"/>
      </w:pPr>
      <w:r w:rsidRPr="00452927">
        <w:t>State and territory governments</w:t>
      </w:r>
      <w:r>
        <w:t xml:space="preserve"> undertake separate</w:t>
      </w:r>
      <w:r w:rsidR="00140F53">
        <w:t>,</w:t>
      </w:r>
      <w:r>
        <w:t xml:space="preserve"> complementary functions to support the ECEC system. They have</w:t>
      </w:r>
      <w:r w:rsidRPr="00452927">
        <w:t xml:space="preserve"> primary responsibility for regulating ECEC services</w:t>
      </w:r>
      <w:r>
        <w:t xml:space="preserve"> through the </w:t>
      </w:r>
      <w:r w:rsidR="0007A28F">
        <w:t>administration of</w:t>
      </w:r>
      <w:r w:rsidR="147BA579">
        <w:t> </w:t>
      </w:r>
      <w:r w:rsidR="0007A28F">
        <w:t>the NQF.</w:t>
      </w:r>
      <w:r>
        <w:t xml:space="preserve"> This includes ensuring compliance with the NQF, granting provider and service approvals, and assessing and rating services against the National Quality Standard (NQS).</w:t>
      </w:r>
      <w:r w:rsidRPr="00452927">
        <w:t xml:space="preserve"> </w:t>
      </w:r>
      <w:r>
        <w:t>State and territory governments</w:t>
      </w:r>
      <w:r w:rsidRPr="00452927">
        <w:t xml:space="preserve"> are also responsible for the funding and delivery of preschool services and </w:t>
      </w:r>
      <w:r w:rsidR="0007A28F">
        <w:t>help</w:t>
      </w:r>
      <w:r w:rsidR="2A1AAAD3">
        <w:t>ing</w:t>
      </w:r>
      <w:r w:rsidRPr="00452927">
        <w:t xml:space="preserve"> support </w:t>
      </w:r>
      <w:r w:rsidR="00B51143">
        <w:t xml:space="preserve">the </w:t>
      </w:r>
      <w:r w:rsidRPr="00452927">
        <w:t>implementation of the Preschool Reform Agreement.</w:t>
      </w:r>
    </w:p>
    <w:p w14:paraId="29D6D863" w14:textId="77777777" w:rsidR="003C268A" w:rsidRDefault="003C268A" w:rsidP="00B23060">
      <w:pPr>
        <w:pStyle w:val="SubSectionHeading"/>
        <w:numPr>
          <w:ilvl w:val="1"/>
          <w:numId w:val="16"/>
        </w:numPr>
      </w:pPr>
      <w:bookmarkStart w:id="41" w:name="_Toc133778847"/>
      <w:bookmarkStart w:id="42" w:name="_Toc134023012"/>
      <w:bookmarkStart w:id="43" w:name="_Toc134173417"/>
      <w:bookmarkStart w:id="44" w:name="_Toc135404851"/>
      <w:r>
        <w:t>Child Care Subsidy</w:t>
      </w:r>
      <w:bookmarkEnd w:id="41"/>
      <w:bookmarkEnd w:id="42"/>
      <w:bookmarkEnd w:id="43"/>
      <w:bookmarkEnd w:id="44"/>
    </w:p>
    <w:p w14:paraId="32380A0F" w14:textId="42CA0113" w:rsidR="003C268A" w:rsidRPr="00C852B5" w:rsidRDefault="003C268A" w:rsidP="003C268A">
      <w:pPr>
        <w:pStyle w:val="Subbodytext"/>
      </w:pPr>
      <w:r w:rsidRPr="7DDD6B74">
        <w:rPr>
          <w:lang w:val="en-GB"/>
        </w:rPr>
        <w:t xml:space="preserve">The CCS is the main way that the Government helps families with the cost of ECEC fees. </w:t>
      </w:r>
      <w:r w:rsidRPr="00B6125A">
        <w:rPr>
          <w:lang w:val="en-GB"/>
        </w:rPr>
        <w:t>In the</w:t>
      </w:r>
      <w:r w:rsidRPr="00B6125A" w:rsidDel="00EF551B">
        <w:rPr>
          <w:lang w:val="en-GB"/>
        </w:rPr>
        <w:t xml:space="preserve"> </w:t>
      </w:r>
      <w:r w:rsidR="00EF551B" w:rsidRPr="00F52275">
        <w:rPr>
          <w:lang w:val="en-GB"/>
        </w:rPr>
        <w:t xml:space="preserve">September </w:t>
      </w:r>
      <w:r w:rsidRPr="00F52275">
        <w:rPr>
          <w:lang w:val="en-GB"/>
        </w:rPr>
        <w:t>quarter 2022</w:t>
      </w:r>
      <w:r w:rsidRPr="7DDD6B74">
        <w:rPr>
          <w:lang w:val="en-GB"/>
        </w:rPr>
        <w:t>, 1,</w:t>
      </w:r>
      <w:r w:rsidR="234B325F" w:rsidRPr="7DDD6B74">
        <w:rPr>
          <w:lang w:val="en-GB"/>
        </w:rPr>
        <w:t>4</w:t>
      </w:r>
      <w:r w:rsidR="234B325F">
        <w:rPr>
          <w:lang w:val="en-GB"/>
        </w:rPr>
        <w:t>78</w:t>
      </w:r>
      <w:r w:rsidR="29D183B8" w:rsidRPr="7DDD6B74">
        <w:rPr>
          <w:lang w:val="en-GB"/>
        </w:rPr>
        <w:t>,</w:t>
      </w:r>
      <w:r w:rsidR="00EF551B">
        <w:rPr>
          <w:lang w:val="en-GB"/>
        </w:rPr>
        <w:t>860</w:t>
      </w:r>
      <w:r w:rsidR="00EF551B" w:rsidRPr="7DDD6B74">
        <w:rPr>
          <w:lang w:val="en-GB"/>
        </w:rPr>
        <w:t xml:space="preserve"> </w:t>
      </w:r>
      <w:r w:rsidRPr="7DDD6B74">
        <w:rPr>
          <w:lang w:val="en-GB"/>
        </w:rPr>
        <w:t xml:space="preserve">children </w:t>
      </w:r>
      <w:r w:rsidR="00EF551B">
        <w:rPr>
          <w:lang w:val="en-GB"/>
        </w:rPr>
        <w:t>from</w:t>
      </w:r>
      <w:r w:rsidR="00EF551B" w:rsidRPr="7DDD6B74">
        <w:rPr>
          <w:lang w:val="en-GB"/>
        </w:rPr>
        <w:t xml:space="preserve"> </w:t>
      </w:r>
      <w:r w:rsidRPr="7DDD6B74">
        <w:rPr>
          <w:lang w:val="en-GB"/>
        </w:rPr>
        <w:t>1,</w:t>
      </w:r>
      <w:r w:rsidR="234B325F" w:rsidRPr="7DDD6B74">
        <w:rPr>
          <w:lang w:val="en-GB"/>
        </w:rPr>
        <w:t>0</w:t>
      </w:r>
      <w:r w:rsidR="234B325F">
        <w:rPr>
          <w:lang w:val="en-GB"/>
        </w:rPr>
        <w:t>51</w:t>
      </w:r>
      <w:r w:rsidR="29D183B8" w:rsidRPr="7DDD6B74">
        <w:rPr>
          <w:lang w:val="en-GB"/>
        </w:rPr>
        <w:t>,</w:t>
      </w:r>
      <w:r w:rsidR="00EF551B">
        <w:rPr>
          <w:lang w:val="en-GB"/>
        </w:rPr>
        <w:t>550</w:t>
      </w:r>
      <w:r w:rsidR="00EF551B" w:rsidRPr="7DDD6B74">
        <w:rPr>
          <w:lang w:val="en-GB"/>
        </w:rPr>
        <w:t xml:space="preserve"> </w:t>
      </w:r>
      <w:r w:rsidRPr="7DDD6B74">
        <w:rPr>
          <w:lang w:val="en-GB"/>
        </w:rPr>
        <w:t>families attended a CCS-approved ECEC service.</w:t>
      </w:r>
      <w:r>
        <w:rPr>
          <w:rStyle w:val="FootnoteReference"/>
          <w:rFonts w:ascii="Calibri" w:eastAsia="Calibri" w:hAnsi="Calibri" w:cs="Calibri"/>
          <w:color w:val="000000" w:themeColor="text1"/>
          <w:lang w:val="en-GB"/>
        </w:rPr>
        <w:footnoteReference w:id="24"/>
      </w:r>
    </w:p>
    <w:p w14:paraId="2AE6AEDA" w14:textId="6FBE9874" w:rsidR="003C268A" w:rsidRPr="003F3B07" w:rsidRDefault="003C268A" w:rsidP="003C268A">
      <w:pPr>
        <w:pStyle w:val="Subbodytext"/>
        <w:rPr>
          <w:highlight w:val="green"/>
          <w:lang w:val="en-GB"/>
        </w:rPr>
      </w:pPr>
      <w:r w:rsidRPr="7DDD6B74">
        <w:rPr>
          <w:lang w:val="en-GB"/>
        </w:rPr>
        <w:t>In 2021–22, the approximate expenditure on</w:t>
      </w:r>
      <w:r w:rsidR="00772527">
        <w:rPr>
          <w:lang w:val="en-GB"/>
        </w:rPr>
        <w:t xml:space="preserve"> the</w:t>
      </w:r>
      <w:r w:rsidRPr="7DDD6B74">
        <w:rPr>
          <w:lang w:val="en-GB"/>
        </w:rPr>
        <w:t xml:space="preserve"> CCS (including the Additional Child Care Subsidy </w:t>
      </w:r>
      <w:r>
        <w:rPr>
          <w:lang w:val="en-GB"/>
        </w:rPr>
        <w:t>[</w:t>
      </w:r>
      <w:r w:rsidRPr="7DDD6B74">
        <w:rPr>
          <w:lang w:val="en-GB"/>
        </w:rPr>
        <w:t>ACCS</w:t>
      </w:r>
      <w:r w:rsidR="007249C6">
        <w:rPr>
          <w:lang w:val="en-GB"/>
        </w:rPr>
        <w:t>]</w:t>
      </w:r>
      <w:r w:rsidR="0069294D" w:rsidDel="007249C6">
        <w:rPr>
          <w:lang w:val="en-GB"/>
        </w:rPr>
        <w:t>)</w:t>
      </w:r>
      <w:r w:rsidRPr="7DDD6B74">
        <w:rPr>
          <w:lang w:val="en-GB"/>
        </w:rPr>
        <w:t xml:space="preserve"> was $9.</w:t>
      </w:r>
      <w:r w:rsidR="00226BA9">
        <w:rPr>
          <w:lang w:val="en-GB"/>
        </w:rPr>
        <w:t>8 </w:t>
      </w:r>
      <w:r w:rsidRPr="7DDD6B74">
        <w:rPr>
          <w:lang w:val="en-GB"/>
        </w:rPr>
        <w:t>billion,</w:t>
      </w:r>
      <w:r w:rsidR="00772527">
        <w:rPr>
          <w:lang w:val="en-GB"/>
        </w:rPr>
        <w:t xml:space="preserve"> which</w:t>
      </w:r>
      <w:r w:rsidRPr="7DDD6B74">
        <w:rPr>
          <w:lang w:val="en-GB"/>
        </w:rPr>
        <w:t xml:space="preserve"> increas</w:t>
      </w:r>
      <w:r w:rsidR="00772527">
        <w:rPr>
          <w:lang w:val="en-GB"/>
        </w:rPr>
        <w:t>ed</w:t>
      </w:r>
      <w:r w:rsidRPr="7DDD6B74">
        <w:rPr>
          <w:lang w:val="en-GB"/>
        </w:rPr>
        <w:t xml:space="preserve"> to $10.</w:t>
      </w:r>
      <w:r w:rsidR="001E6D15">
        <w:rPr>
          <w:lang w:val="en-GB"/>
        </w:rPr>
        <w:t>6 </w:t>
      </w:r>
      <w:r w:rsidRPr="7DDD6B74">
        <w:rPr>
          <w:lang w:val="en-GB"/>
        </w:rPr>
        <w:t xml:space="preserve">billion in 2022–23 </w:t>
      </w:r>
      <w:r w:rsidR="00003689">
        <w:rPr>
          <w:lang w:val="en-GB"/>
        </w:rPr>
        <w:t>and $12.</w:t>
      </w:r>
      <w:r w:rsidR="00A97C4E">
        <w:rPr>
          <w:lang w:val="en-GB"/>
        </w:rPr>
        <w:t xml:space="preserve">7 billion in </w:t>
      </w:r>
      <w:r w:rsidR="001377EB">
        <w:rPr>
          <w:lang w:val="en-GB"/>
        </w:rPr>
        <w:t>2023–24</w:t>
      </w:r>
      <w:r w:rsidRPr="7DDD6B74">
        <w:rPr>
          <w:lang w:val="en-GB"/>
        </w:rPr>
        <w:t xml:space="preserve"> (refer to </w:t>
      </w:r>
      <w:r w:rsidRPr="003C319B">
        <w:rPr>
          <w:b/>
          <w:bCs/>
          <w:lang w:val="en-GB"/>
        </w:rPr>
        <w:t xml:space="preserve">Figure </w:t>
      </w:r>
      <w:r w:rsidR="3E778053" w:rsidRPr="003C319B">
        <w:rPr>
          <w:b/>
          <w:bCs/>
          <w:lang w:val="en-GB"/>
        </w:rPr>
        <w:t>7</w:t>
      </w:r>
      <w:r w:rsidRPr="003C319B">
        <w:rPr>
          <w:lang w:val="en-GB"/>
        </w:rPr>
        <w:t>).</w:t>
      </w:r>
    </w:p>
    <w:p w14:paraId="23F0EAD5" w14:textId="0D4E165F" w:rsidR="00B97CFB" w:rsidRDefault="00B97CFB" w:rsidP="00803FC9">
      <w:pPr>
        <w:pStyle w:val="Caption"/>
        <w:keepNext/>
      </w:pPr>
      <w:r>
        <w:t xml:space="preserve">Figure </w:t>
      </w:r>
      <w:r>
        <w:fldChar w:fldCharType="begin"/>
      </w:r>
      <w:r>
        <w:instrText>SEQ Figure \* ARABIC</w:instrText>
      </w:r>
      <w:r>
        <w:fldChar w:fldCharType="separate"/>
      </w:r>
      <w:r w:rsidR="00D307AC">
        <w:rPr>
          <w:noProof/>
        </w:rPr>
        <w:t>7</w:t>
      </w:r>
      <w:r>
        <w:fldChar w:fldCharType="end"/>
      </w:r>
      <w:r>
        <w:t>:</w:t>
      </w:r>
      <w:r w:rsidRPr="00B97CFB">
        <w:t xml:space="preserve"> </w:t>
      </w:r>
      <w:r w:rsidRPr="00A96D69">
        <w:t xml:space="preserve">Child Care Fee Assistance and Children </w:t>
      </w:r>
      <w:r w:rsidR="00D20FBD">
        <w:t xml:space="preserve">Using </w:t>
      </w:r>
      <w:r w:rsidRPr="00A96D69">
        <w:t>CCS-</w:t>
      </w:r>
      <w:r w:rsidR="007D7B01">
        <w:t>a</w:t>
      </w:r>
      <w:r w:rsidRPr="00A96D69">
        <w:t xml:space="preserve">pproved </w:t>
      </w:r>
      <w:r w:rsidR="00D20FBD">
        <w:t>Care</w:t>
      </w:r>
    </w:p>
    <w:p w14:paraId="09D09221" w14:textId="778066F1" w:rsidR="003C268A" w:rsidRDefault="0042717B" w:rsidP="003C268A">
      <w:pPr>
        <w:pStyle w:val="SubFigureCaption"/>
        <w:rPr>
          <w:lang w:val="en-GB"/>
        </w:rPr>
      </w:pPr>
      <w:r>
        <w:rPr>
          <w:noProof/>
        </w:rPr>
        <w:drawing>
          <wp:inline distT="0" distB="0" distL="0" distR="0" wp14:anchorId="444F3AE5" wp14:editId="4E96640A">
            <wp:extent cx="5970850" cy="2556925"/>
            <wp:effectExtent l="19050" t="19050" r="11430" b="15240"/>
            <wp:docPr id="23" name="Picture 23" descr="A graph showing the amount of Child Care Fee Assistance and Children Using CCS-Approved Care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aph showing the amount of Child Care Fee Assistance and Children Using CCS-Approved Care over time."/>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212" t="9175" r="401" b="715"/>
                    <a:stretch/>
                  </pic:blipFill>
                  <pic:spPr bwMode="auto">
                    <a:xfrm>
                      <a:off x="0" y="0"/>
                      <a:ext cx="5991686" cy="2565848"/>
                    </a:xfrm>
                    <a:prstGeom prst="rect">
                      <a:avLst/>
                    </a:prstGeom>
                    <a:noFill/>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3C268A">
        <w:br/>
      </w:r>
      <w:r w:rsidR="006B7B19" w:rsidRPr="006D495C">
        <w:t xml:space="preserve">The dotted line represents the projected subsidy expense as of </w:t>
      </w:r>
      <w:r w:rsidR="006B7B19">
        <w:t>May 2023–24</w:t>
      </w:r>
      <w:r w:rsidR="006B7B19" w:rsidRPr="006D495C">
        <w:t xml:space="preserve">. Projections include the CCS increases included in the 2022–23 Budget’s Cheaper Child Care measure (refer to </w:t>
      </w:r>
      <w:r w:rsidR="006B7B19">
        <w:rPr>
          <w:b/>
        </w:rPr>
        <w:t>Section </w:t>
      </w:r>
      <w:r w:rsidR="006B7B19" w:rsidRPr="003B23BC">
        <w:rPr>
          <w:b/>
        </w:rPr>
        <w:t>4.1</w:t>
      </w:r>
      <w:r w:rsidR="006B7B19" w:rsidRPr="006D495C">
        <w:t>). The child counts are lower for 2019</w:t>
      </w:r>
      <w:r w:rsidR="006B7B19" w:rsidRPr="006D495C">
        <w:rPr>
          <w:lang w:val="en-GB"/>
        </w:rPr>
        <w:t>–</w:t>
      </w:r>
      <w:r w:rsidR="00CB7EC2">
        <w:rPr>
          <w:lang w:val="en-GB"/>
        </w:rPr>
        <w:t>‍</w:t>
      </w:r>
      <w:r w:rsidR="006B7B19" w:rsidRPr="006D495C">
        <w:t>20</w:t>
      </w:r>
      <w:r w:rsidR="007D7B01">
        <w:t>,</w:t>
      </w:r>
      <w:r w:rsidR="006B7B19" w:rsidRPr="006D495C">
        <w:t xml:space="preserve"> as attendance data was not collected for 3 months due to COVID-19 measures.</w:t>
      </w:r>
      <w:r w:rsidR="006B7B19">
        <w:br/>
      </w:r>
      <w:r w:rsidR="003C268A">
        <w:t>Source: Department of Education administrative data</w:t>
      </w:r>
      <w:r w:rsidR="00006247">
        <w:t>.</w:t>
      </w:r>
    </w:p>
    <w:p w14:paraId="2182B277" w14:textId="41D4B3EE" w:rsidR="003C268A" w:rsidRDefault="003C268A" w:rsidP="003C268A">
      <w:pPr>
        <w:pStyle w:val="Subbodytext"/>
        <w:keepNext/>
        <w:keepLines/>
        <w:rPr>
          <w:rFonts w:ascii="Calibri" w:eastAsia="Calibri" w:hAnsi="Calibri" w:cs="Calibri"/>
          <w:color w:val="000000" w:themeColor="text1"/>
          <w:lang w:val="en-GB"/>
        </w:rPr>
      </w:pPr>
      <w:r w:rsidRPr="772D1177">
        <w:rPr>
          <w:rFonts w:ascii="Calibri" w:eastAsia="Calibri" w:hAnsi="Calibri" w:cs="Calibri"/>
          <w:color w:val="000000" w:themeColor="text1"/>
          <w:lang w:val="en-GB"/>
        </w:rPr>
        <w:t xml:space="preserve">To receive CCS, families must apply to Services Australia, confirm their enrolment in an approved service, and satisfy eligibility criteria. Entitlement is based on combined annual family income, </w:t>
      </w:r>
      <w:r w:rsidR="00047401">
        <w:rPr>
          <w:rFonts w:ascii="Calibri" w:eastAsia="Calibri" w:hAnsi="Calibri" w:cs="Calibri"/>
          <w:color w:val="000000" w:themeColor="text1"/>
          <w:lang w:val="en-GB"/>
        </w:rPr>
        <w:t>which</w:t>
      </w:r>
      <w:r w:rsidRPr="772D1177">
        <w:rPr>
          <w:rFonts w:ascii="Calibri" w:eastAsia="Calibri" w:hAnsi="Calibri" w:cs="Calibri"/>
          <w:color w:val="000000" w:themeColor="text1"/>
          <w:lang w:val="en-GB"/>
        </w:rPr>
        <w:t xml:space="preserve"> families provid</w:t>
      </w:r>
      <w:r w:rsidR="00047401">
        <w:rPr>
          <w:rFonts w:ascii="Calibri" w:eastAsia="Calibri" w:hAnsi="Calibri" w:cs="Calibri"/>
          <w:color w:val="000000" w:themeColor="text1"/>
          <w:lang w:val="en-GB"/>
        </w:rPr>
        <w:t>e as</w:t>
      </w:r>
      <w:r w:rsidRPr="772D1177">
        <w:rPr>
          <w:rFonts w:ascii="Calibri" w:eastAsia="Calibri" w:hAnsi="Calibri" w:cs="Calibri"/>
          <w:color w:val="000000" w:themeColor="text1"/>
          <w:lang w:val="en-GB"/>
        </w:rPr>
        <w:t xml:space="preserve"> an estimate of adjusted taxable income at the beginning of the financial year. </w:t>
      </w:r>
      <w:r w:rsidR="00506025">
        <w:rPr>
          <w:rFonts w:ascii="Calibri" w:eastAsia="Calibri" w:hAnsi="Calibri" w:cs="Calibri"/>
          <w:color w:val="000000" w:themeColor="text1"/>
          <w:lang w:val="en-GB"/>
        </w:rPr>
        <w:t xml:space="preserve">Families’ </w:t>
      </w:r>
      <w:r w:rsidRPr="772D1177">
        <w:rPr>
          <w:rFonts w:ascii="Calibri" w:eastAsia="Calibri" w:hAnsi="Calibri" w:cs="Calibri"/>
          <w:color w:val="000000" w:themeColor="text1"/>
          <w:lang w:val="en-GB"/>
        </w:rPr>
        <w:t>CCS entitlement</w:t>
      </w:r>
      <w:r w:rsidR="007D7B01">
        <w:rPr>
          <w:rFonts w:ascii="Calibri" w:eastAsia="Calibri" w:hAnsi="Calibri" w:cs="Calibri"/>
          <w:color w:val="000000" w:themeColor="text1"/>
          <w:lang w:val="en-GB"/>
        </w:rPr>
        <w:t>s</w:t>
      </w:r>
      <w:r w:rsidRPr="772D1177">
        <w:rPr>
          <w:rFonts w:ascii="Calibri" w:eastAsia="Calibri" w:hAnsi="Calibri" w:cs="Calibri"/>
          <w:color w:val="000000" w:themeColor="text1"/>
          <w:lang w:val="en-GB"/>
        </w:rPr>
        <w:t xml:space="preserve"> </w:t>
      </w:r>
      <w:r w:rsidR="007D7B01">
        <w:rPr>
          <w:rFonts w:ascii="Calibri" w:eastAsia="Calibri" w:hAnsi="Calibri" w:cs="Calibri"/>
          <w:color w:val="000000" w:themeColor="text1"/>
          <w:lang w:val="en-GB"/>
        </w:rPr>
        <w:t>are</w:t>
      </w:r>
      <w:r w:rsidRPr="772D1177">
        <w:rPr>
          <w:rFonts w:ascii="Calibri" w:eastAsia="Calibri" w:hAnsi="Calibri" w:cs="Calibri"/>
          <w:color w:val="000000" w:themeColor="text1"/>
          <w:lang w:val="en-GB"/>
        </w:rPr>
        <w:t xml:space="preserve"> also dependent on the following:</w:t>
      </w:r>
    </w:p>
    <w:p w14:paraId="2E0534BB" w14:textId="77777777" w:rsidR="003C268A" w:rsidRDefault="003C268A" w:rsidP="00B23060">
      <w:pPr>
        <w:pStyle w:val="SubList"/>
        <w:rPr>
          <w:lang w:val="en-GB"/>
        </w:rPr>
      </w:pPr>
      <w:r w:rsidRPr="772D1177">
        <w:rPr>
          <w:lang w:val="en-GB"/>
        </w:rPr>
        <w:t>the activity level of the claimant and their partner, if they have one</w:t>
      </w:r>
    </w:p>
    <w:p w14:paraId="18C4B7F0" w14:textId="6AA4805A" w:rsidR="003C268A" w:rsidRDefault="003C268A" w:rsidP="00B23060">
      <w:pPr>
        <w:pStyle w:val="SubList"/>
        <w:rPr>
          <w:lang w:val="en-GB"/>
        </w:rPr>
      </w:pPr>
      <w:r w:rsidRPr="772D1177">
        <w:rPr>
          <w:lang w:val="en-GB"/>
        </w:rPr>
        <w:t>the type of approved service used, and whether the child attends school</w:t>
      </w:r>
    </w:p>
    <w:p w14:paraId="4DD12909" w14:textId="779A7CB1" w:rsidR="003C268A" w:rsidRDefault="003C268A" w:rsidP="00B23060">
      <w:pPr>
        <w:pStyle w:val="SubList"/>
        <w:rPr>
          <w:lang w:val="en-GB"/>
        </w:rPr>
      </w:pPr>
      <w:r w:rsidRPr="772D1177">
        <w:rPr>
          <w:lang w:val="en-GB"/>
        </w:rPr>
        <w:t>whether a family has multiple CCS</w:t>
      </w:r>
      <w:r w:rsidR="00613BBD">
        <w:rPr>
          <w:lang w:val="en-GB"/>
        </w:rPr>
        <w:t>-</w:t>
      </w:r>
      <w:r w:rsidRPr="772D1177">
        <w:rPr>
          <w:lang w:val="en-GB"/>
        </w:rPr>
        <w:t>eligible children aged 5 or under.</w:t>
      </w:r>
    </w:p>
    <w:p w14:paraId="6C20169C" w14:textId="6748DF71" w:rsidR="003C268A" w:rsidRDefault="00BF201F" w:rsidP="003C268A">
      <w:pPr>
        <w:pStyle w:val="Subbodytext"/>
      </w:pPr>
      <w:r>
        <w:t xml:space="preserve">Generally, </w:t>
      </w:r>
      <w:r w:rsidR="003C268A">
        <w:t xml:space="preserve">CCS </w:t>
      </w:r>
      <w:r w:rsidR="007D7B01">
        <w:t>entitlements are</w:t>
      </w:r>
      <w:r w:rsidR="003C268A">
        <w:t xml:space="preserve"> paid directly to the service provider on behalf of the family</w:t>
      </w:r>
      <w:r w:rsidR="00F95972">
        <w:t>,</w:t>
      </w:r>
      <w:r w:rsidR="003C268A">
        <w:t xml:space="preserve"> and the benefit is</w:t>
      </w:r>
      <w:r w:rsidR="00A372D7">
        <w:t> </w:t>
      </w:r>
      <w:r w:rsidR="003C268A">
        <w:t>passed on as a fee reduction. In limited circumstances, families receive CCS</w:t>
      </w:r>
      <w:r w:rsidR="007D7B01">
        <w:t xml:space="preserve"> entitlements</w:t>
      </w:r>
      <w:r w:rsidR="003C268A">
        <w:t xml:space="preserve"> directly—for example, where the family is entitled to a CCS top-up payment following the CCS reconciliation process, once their actual income is known</w:t>
      </w:r>
      <w:r w:rsidR="00F357CA">
        <w:t xml:space="preserve"> (refer to </w:t>
      </w:r>
      <w:r w:rsidR="00F357CA" w:rsidRPr="772D1177">
        <w:rPr>
          <w:b/>
          <w:bCs/>
        </w:rPr>
        <w:t>Balancing (reconciliation</w:t>
      </w:r>
      <w:r w:rsidR="00744A7C">
        <w:rPr>
          <w:b/>
          <w:bCs/>
        </w:rPr>
        <w:t>)</w:t>
      </w:r>
      <w:r w:rsidR="00F357CA" w:rsidRPr="772D1177">
        <w:rPr>
          <w:b/>
          <w:bCs/>
        </w:rPr>
        <w:t xml:space="preserve"> process</w:t>
      </w:r>
      <w:r w:rsidR="00F357CA">
        <w:t>)</w:t>
      </w:r>
      <w:r w:rsidR="003C268A">
        <w:t>.</w:t>
      </w:r>
    </w:p>
    <w:p w14:paraId="26103E6F" w14:textId="3F2EB732" w:rsidR="003C268A" w:rsidRPr="009D3FA7" w:rsidRDefault="003C268A" w:rsidP="003C268A">
      <w:pPr>
        <w:pStyle w:val="Subbodytext"/>
      </w:pPr>
      <w:r>
        <w:t>Providers must be approved</w:t>
      </w:r>
      <w:r w:rsidRPr="3E2273CA">
        <w:t xml:space="preserve"> under </w:t>
      </w:r>
      <w:r>
        <w:t>FAL</w:t>
      </w:r>
      <w:r w:rsidRPr="3E2273CA">
        <w:t xml:space="preserve"> </w:t>
      </w:r>
      <w:r>
        <w:t>to</w:t>
      </w:r>
      <w:r w:rsidRPr="3E2273CA">
        <w:t xml:space="preserve"> receive and pass on CCS and ACCS payments to eligible families.</w:t>
      </w:r>
      <w:r>
        <w:rPr>
          <w:lang w:val="en-GB"/>
        </w:rPr>
        <w:t xml:space="preserve"> To be CCS-approved, providers must meet a range of requirements, including </w:t>
      </w:r>
      <w:r w:rsidR="00117ADE">
        <w:t xml:space="preserve">approval </w:t>
      </w:r>
      <w:r w:rsidRPr="3E2273CA">
        <w:t xml:space="preserve">under the </w:t>
      </w:r>
      <w:r w:rsidRPr="3E2273CA">
        <w:rPr>
          <w:i/>
          <w:iCs/>
        </w:rPr>
        <w:t>Education and Care Services National Law 2010</w:t>
      </w:r>
      <w:r w:rsidRPr="3E2273CA">
        <w:t xml:space="preserve"> (National Law)</w:t>
      </w:r>
      <w:r>
        <w:t xml:space="preserve">, and </w:t>
      </w:r>
      <w:r w:rsidR="0037599F">
        <w:t>compliance</w:t>
      </w:r>
      <w:r>
        <w:t xml:space="preserve"> with relevant jurisdiction-based regulatory requirements. </w:t>
      </w:r>
      <w:r w:rsidRPr="3E2273CA">
        <w:t xml:space="preserve">Additionally, large providers </w:t>
      </w:r>
      <w:r w:rsidRPr="009D3FA7">
        <w:t>operating 25 or more centre-based day care (CBDC) services must be financially viable.</w:t>
      </w:r>
    </w:p>
    <w:p w14:paraId="5837E132" w14:textId="1A3E2B38" w:rsidR="003C268A" w:rsidRDefault="003C268A" w:rsidP="003C268A">
      <w:pPr>
        <w:pStyle w:val="Subbodytext"/>
        <w:rPr>
          <w:rFonts w:ascii="Calibri" w:eastAsia="Calibri" w:hAnsi="Calibri" w:cs="Calibri"/>
          <w:color w:val="000000" w:themeColor="text1"/>
          <w:lang w:val="en-GB"/>
        </w:rPr>
      </w:pPr>
      <w:r>
        <w:t xml:space="preserve">The assessment and monitoring of </w:t>
      </w:r>
      <w:r w:rsidR="00331673">
        <w:t xml:space="preserve">the financial viability of </w:t>
      </w:r>
      <w:r>
        <w:t xml:space="preserve">CBDC services are enabled under </w:t>
      </w:r>
      <w:r w:rsidRPr="772D1177">
        <w:rPr>
          <w:i/>
          <w:iCs/>
        </w:rPr>
        <w:t xml:space="preserve">A New Tax System (Family Assistance) (Administration) Act 1999. </w:t>
      </w:r>
      <w:r>
        <w:t xml:space="preserve">As of 1 July 2023, financial viability assessments will be expanded to include all large providers with 25 or more services of any combination of care types. Providers will also be captured if they operate 25 or more services with a related provider, or plan to do so in the future. These changes form part of the Government’s commitment to greater transparency in the ECEC sector (refer to </w:t>
      </w:r>
      <w:r w:rsidR="00B50AC9">
        <w:rPr>
          <w:b/>
          <w:bCs/>
        </w:rPr>
        <w:t>Section </w:t>
      </w:r>
      <w:r w:rsidRPr="008813AE">
        <w:rPr>
          <w:b/>
          <w:bCs/>
        </w:rPr>
        <w:t>4.1</w:t>
      </w:r>
      <w:r w:rsidRPr="008813AE">
        <w:t>).</w:t>
      </w:r>
    </w:p>
    <w:p w14:paraId="72C70FD5" w14:textId="77777777" w:rsidR="003C268A" w:rsidRPr="00B61F8E" w:rsidRDefault="003C268A" w:rsidP="003C268A">
      <w:pPr>
        <w:pStyle w:val="SubHeading6"/>
        <w:rPr>
          <w:lang w:val="en-GB"/>
        </w:rPr>
      </w:pPr>
      <w:r w:rsidRPr="00B61F8E">
        <w:t>Fee liabilities</w:t>
      </w:r>
    </w:p>
    <w:p w14:paraId="59B741F5" w14:textId="18077C9E" w:rsidR="003C268A" w:rsidRDefault="003C268A" w:rsidP="003C268A">
      <w:pPr>
        <w:pStyle w:val="Subbodytext"/>
        <w:rPr>
          <w:lang w:val="en-GB"/>
        </w:rPr>
      </w:pPr>
      <w:r w:rsidRPr="7DDD6B74">
        <w:t>In most circumstances, families who receive CCS must make a co-contribution towards the cost of</w:t>
      </w:r>
      <w:r w:rsidR="00B649ED">
        <w:t> </w:t>
      </w:r>
      <w:r w:rsidRPr="7DDD6B74">
        <w:t xml:space="preserve">their </w:t>
      </w:r>
      <w:r w:rsidR="00A4666A">
        <w:t>child care</w:t>
      </w:r>
      <w:r w:rsidR="00A4666A" w:rsidRPr="7DDD6B74">
        <w:t xml:space="preserve"> </w:t>
      </w:r>
      <w:r w:rsidRPr="7DDD6B74">
        <w:t>fees. Families are required to pay the co-contribution, generally known as the ‘gap fee’, directly to the provider.</w:t>
      </w:r>
    </w:p>
    <w:p w14:paraId="666A3D47" w14:textId="2B25467A" w:rsidR="003C268A" w:rsidRPr="008813AE" w:rsidRDefault="003C268A" w:rsidP="003C268A">
      <w:pPr>
        <w:pStyle w:val="Subbodytext"/>
        <w:rPr>
          <w:lang w:val="en-GB"/>
        </w:rPr>
      </w:pPr>
      <w:r w:rsidRPr="1CC69C14">
        <w:t>Where</w:t>
      </w:r>
      <w:r w:rsidRPr="3E2273CA">
        <w:t xml:space="preserve"> a third party makes a payment towards a family’s fee, this reduces the full fee amount and the family’s CCS</w:t>
      </w:r>
      <w:r w:rsidR="00EF2AF9">
        <w:t xml:space="preserve"> entitlement</w:t>
      </w:r>
      <w:r w:rsidRPr="3E2273CA">
        <w:t xml:space="preserve"> reduces accordingly. </w:t>
      </w:r>
      <w:r w:rsidRPr="7B14B3A8">
        <w:t xml:space="preserve">Where </w:t>
      </w:r>
      <w:r w:rsidRPr="15148599">
        <w:t xml:space="preserve">prescribed in </w:t>
      </w:r>
      <w:r w:rsidR="009510E5">
        <w:t>FAL</w:t>
      </w:r>
      <w:r w:rsidRPr="3E2273CA">
        <w:t>, third parties can pay some or all of</w:t>
      </w:r>
      <w:r w:rsidR="00232703">
        <w:t> </w:t>
      </w:r>
      <w:r w:rsidRPr="3E2273CA">
        <w:t>a</w:t>
      </w:r>
      <w:r w:rsidR="00232703">
        <w:t> </w:t>
      </w:r>
      <w:r w:rsidRPr="3E2273CA">
        <w:t>family’s gap fee without reducing their CCS</w:t>
      </w:r>
      <w:r w:rsidR="009B4DA9">
        <w:t xml:space="preserve"> </w:t>
      </w:r>
      <w:r w:rsidR="00EF2AF9">
        <w:t>entitlement</w:t>
      </w:r>
      <w:r w:rsidRPr="3E2273CA">
        <w:t xml:space="preserve">. For example, states and territories may pay the gap fee for </w:t>
      </w:r>
      <w:r w:rsidRPr="04E00E73">
        <w:t xml:space="preserve">a vulnerable or </w:t>
      </w:r>
      <w:r w:rsidRPr="008813AE">
        <w:t xml:space="preserve">disadvantaged child or any child attending preschool without reducing </w:t>
      </w:r>
      <w:r w:rsidR="003F39F8">
        <w:t>the</w:t>
      </w:r>
      <w:r w:rsidR="00B51520">
        <w:t xml:space="preserve"> </w:t>
      </w:r>
      <w:r w:rsidRPr="008813AE">
        <w:t>famil</w:t>
      </w:r>
      <w:r w:rsidR="00C5767F">
        <w:t>y’s</w:t>
      </w:r>
      <w:r w:rsidRPr="008813AE">
        <w:t xml:space="preserve"> CCS </w:t>
      </w:r>
      <w:r w:rsidR="00EF2AF9">
        <w:t>entitlement</w:t>
      </w:r>
      <w:r w:rsidRPr="008813AE">
        <w:t xml:space="preserve"> (refer to</w:t>
      </w:r>
      <w:r w:rsidRPr="008813AE">
        <w:rPr>
          <w:b/>
          <w:bCs/>
        </w:rPr>
        <w:t xml:space="preserve"> </w:t>
      </w:r>
      <w:r w:rsidR="00B50AC9">
        <w:rPr>
          <w:b/>
          <w:bCs/>
        </w:rPr>
        <w:t>Section </w:t>
      </w:r>
      <w:r w:rsidRPr="008813AE">
        <w:rPr>
          <w:b/>
          <w:bCs/>
        </w:rPr>
        <w:t>3.</w:t>
      </w:r>
      <w:r w:rsidRPr="008813AE">
        <w:rPr>
          <w:b/>
        </w:rPr>
        <w:t>4</w:t>
      </w:r>
      <w:r w:rsidRPr="008813AE">
        <w:t>).</w:t>
      </w:r>
    </w:p>
    <w:p w14:paraId="14BDAE81" w14:textId="79323ACF" w:rsidR="003C268A" w:rsidRPr="008813AE" w:rsidRDefault="00BF42C3" w:rsidP="003C268A">
      <w:pPr>
        <w:pStyle w:val="Subbodytext"/>
      </w:pPr>
      <w:r w:rsidRPr="008813AE">
        <w:t>In addition, FAL</w:t>
      </w:r>
      <w:r w:rsidR="003C268A" w:rsidRPr="008813AE">
        <w:t xml:space="preserve"> enables providers to provide fee discounts which </w:t>
      </w:r>
      <w:r w:rsidR="00EF2AF9">
        <w:t xml:space="preserve">do </w:t>
      </w:r>
      <w:r w:rsidR="003C268A" w:rsidRPr="008813AE">
        <w:t xml:space="preserve">not affect the CCS payable to </w:t>
      </w:r>
      <w:r w:rsidR="00EF2AF9">
        <w:t>a</w:t>
      </w:r>
      <w:r w:rsidR="003C268A" w:rsidRPr="008813AE">
        <w:t xml:space="preserve"> family. This includes where the fee discount is </w:t>
      </w:r>
      <w:r w:rsidR="00EF2AF9">
        <w:t>granted to</w:t>
      </w:r>
      <w:r w:rsidR="003C268A" w:rsidRPr="008813AE">
        <w:t xml:space="preserve"> an educator or cook engaged by the provider, or for families prevented from attending care due to an emergency.</w:t>
      </w:r>
    </w:p>
    <w:p w14:paraId="4BDC38F2" w14:textId="77777777" w:rsidR="003C268A" w:rsidRPr="008813AE" w:rsidRDefault="003C268A" w:rsidP="003C268A">
      <w:pPr>
        <w:pStyle w:val="SubHeading6"/>
      </w:pPr>
      <w:r w:rsidRPr="008813AE">
        <w:t>Family income</w:t>
      </w:r>
    </w:p>
    <w:p w14:paraId="5A816A96" w14:textId="660DB714" w:rsidR="003C268A" w:rsidRPr="008813AE" w:rsidRDefault="003C268A" w:rsidP="00057F86">
      <w:pPr>
        <w:pStyle w:val="Subbodytext"/>
        <w:rPr>
          <w:rFonts w:ascii="Calibri" w:eastAsia="Calibri" w:hAnsi="Calibri" w:cs="Calibri"/>
          <w:color w:val="000000" w:themeColor="text1"/>
          <w:lang w:val="en-GB"/>
        </w:rPr>
      </w:pPr>
      <w:r w:rsidRPr="008813AE">
        <w:rPr>
          <w:lang w:val="en-GB"/>
        </w:rPr>
        <w:t xml:space="preserve">The percentage of subsidy </w:t>
      </w:r>
      <w:r w:rsidR="00425195" w:rsidRPr="008813AE">
        <w:rPr>
          <w:lang w:val="en-GB"/>
        </w:rPr>
        <w:t xml:space="preserve">to which </w:t>
      </w:r>
      <w:r w:rsidRPr="008813AE">
        <w:rPr>
          <w:lang w:val="en-GB"/>
        </w:rPr>
        <w:t xml:space="preserve">a family is entitled is based on combined annual family income. As </w:t>
      </w:r>
      <w:r w:rsidR="00C81806" w:rsidRPr="008813AE">
        <w:rPr>
          <w:lang w:val="en-GB"/>
        </w:rPr>
        <w:t>of</w:t>
      </w:r>
      <w:r w:rsidRPr="008813AE">
        <w:rPr>
          <w:lang w:val="en-GB"/>
        </w:rPr>
        <w:t xml:space="preserve"> May 2023, families earning $72,466 or less receive the maximum CCS rate of 85</w:t>
      </w:r>
      <w:r w:rsidR="00346148">
        <w:rPr>
          <w:lang w:val="en-GB"/>
        </w:rPr>
        <w:t> per cent</w:t>
      </w:r>
      <w:r w:rsidRPr="008813AE">
        <w:rPr>
          <w:lang w:val="en-GB"/>
        </w:rPr>
        <w:t>. As</w:t>
      </w:r>
      <w:r w:rsidR="008C5D83" w:rsidRPr="008813AE">
        <w:rPr>
          <w:lang w:val="en-GB"/>
        </w:rPr>
        <w:t> </w:t>
      </w:r>
      <w:r w:rsidRPr="008813AE">
        <w:rPr>
          <w:lang w:val="en-GB"/>
        </w:rPr>
        <w:t>family income increases, the rate of subsidy decreases</w:t>
      </w:r>
      <w:r w:rsidR="003010DA" w:rsidRPr="008813AE">
        <w:rPr>
          <w:lang w:val="en-GB"/>
        </w:rPr>
        <w:t>—</w:t>
      </w:r>
      <w:r w:rsidRPr="008813AE">
        <w:rPr>
          <w:lang w:val="en-GB"/>
        </w:rPr>
        <w:t xml:space="preserve">reaching </w:t>
      </w:r>
      <w:r w:rsidR="00346148">
        <w:rPr>
          <w:lang w:val="en-GB"/>
        </w:rPr>
        <w:t>0 per cent</w:t>
      </w:r>
      <w:r w:rsidRPr="008813AE">
        <w:rPr>
          <w:lang w:val="en-GB"/>
        </w:rPr>
        <w:t xml:space="preserve"> at $356,756 (refer to </w:t>
      </w:r>
      <w:r w:rsidR="00B50AC9">
        <w:rPr>
          <w:b/>
          <w:bCs/>
          <w:lang w:val="en-GB"/>
        </w:rPr>
        <w:t>Section </w:t>
      </w:r>
      <w:r w:rsidRPr="008813AE">
        <w:rPr>
          <w:b/>
          <w:bCs/>
          <w:lang w:val="en-GB"/>
        </w:rPr>
        <w:t xml:space="preserve">4.1 </w:t>
      </w:r>
      <w:r w:rsidRPr="008813AE">
        <w:rPr>
          <w:lang w:val="en-GB"/>
        </w:rPr>
        <w:t xml:space="preserve">for changes to the CCS base rate </w:t>
      </w:r>
      <w:r w:rsidR="00A54EA5">
        <w:rPr>
          <w:lang w:val="en-GB"/>
        </w:rPr>
        <w:t>due to</w:t>
      </w:r>
      <w:r w:rsidRPr="008813AE">
        <w:rPr>
          <w:lang w:val="en-GB"/>
        </w:rPr>
        <w:t xml:space="preserve"> come into effect 10 July 2023). </w:t>
      </w:r>
      <w:r w:rsidRPr="008813AE">
        <w:rPr>
          <w:rFonts w:ascii="Calibri" w:eastAsia="Calibri" w:hAnsi="Calibri" w:cs="Calibri"/>
          <w:color w:val="000000" w:themeColor="text1"/>
        </w:rPr>
        <w:t>As of March</w:t>
      </w:r>
      <w:r w:rsidR="00AD2CA2" w:rsidRPr="008813AE">
        <w:rPr>
          <w:rFonts w:ascii="Calibri" w:eastAsia="Calibri" w:hAnsi="Calibri" w:cs="Calibri"/>
          <w:color w:val="000000" w:themeColor="text1"/>
        </w:rPr>
        <w:t> </w:t>
      </w:r>
      <w:r w:rsidRPr="008813AE">
        <w:rPr>
          <w:rFonts w:ascii="Calibri" w:eastAsia="Calibri" w:hAnsi="Calibri" w:cs="Calibri"/>
          <w:color w:val="000000" w:themeColor="text1"/>
        </w:rPr>
        <w:t>2022, if families have more than one child aged 5 or younger enrolled in ECEC, the percentage for the second and any younger child is increased by 30</w:t>
      </w:r>
      <w:r w:rsidR="00346148">
        <w:rPr>
          <w:rFonts w:ascii="Calibri" w:eastAsia="Calibri" w:hAnsi="Calibri" w:cs="Calibri"/>
          <w:color w:val="000000" w:themeColor="text1"/>
        </w:rPr>
        <w:t> per cent</w:t>
      </w:r>
      <w:r w:rsidRPr="008813AE">
        <w:rPr>
          <w:rFonts w:ascii="Calibri" w:eastAsia="Calibri" w:hAnsi="Calibri" w:cs="Calibri"/>
          <w:color w:val="000000" w:themeColor="text1"/>
        </w:rPr>
        <w:t xml:space="preserve"> (with a 95</w:t>
      </w:r>
      <w:r w:rsidR="00346148">
        <w:rPr>
          <w:rFonts w:ascii="Calibri" w:eastAsia="Calibri" w:hAnsi="Calibri" w:cs="Calibri"/>
          <w:color w:val="000000" w:themeColor="text1"/>
        </w:rPr>
        <w:t> per cent</w:t>
      </w:r>
      <w:r w:rsidRPr="008813AE">
        <w:rPr>
          <w:rFonts w:ascii="Calibri" w:eastAsia="Calibri" w:hAnsi="Calibri" w:cs="Calibri"/>
          <w:color w:val="000000" w:themeColor="text1"/>
        </w:rPr>
        <w:t xml:space="preserve"> ceiling).</w:t>
      </w:r>
    </w:p>
    <w:p w14:paraId="31E2F20E" w14:textId="77777777" w:rsidR="003C268A" w:rsidRPr="008813AE" w:rsidRDefault="003C268A" w:rsidP="003C268A">
      <w:pPr>
        <w:pStyle w:val="SubHeading6"/>
      </w:pPr>
      <w:r w:rsidRPr="008813AE">
        <w:t>Activity level</w:t>
      </w:r>
    </w:p>
    <w:p w14:paraId="6A6CDCB3" w14:textId="21EFD8EF" w:rsidR="003C268A" w:rsidRDefault="003C268A" w:rsidP="003C268A">
      <w:pPr>
        <w:pStyle w:val="Subbodytext"/>
        <w:rPr>
          <w:lang w:val="en-GB"/>
        </w:rPr>
      </w:pPr>
      <w:r w:rsidRPr="008813AE">
        <w:t xml:space="preserve">The </w:t>
      </w:r>
      <w:r w:rsidRPr="008813AE">
        <w:rPr>
          <w:lang w:val="en-GB"/>
        </w:rPr>
        <w:t xml:space="preserve">hours of subsidy per fortnight </w:t>
      </w:r>
      <w:r w:rsidR="007D409B">
        <w:rPr>
          <w:lang w:val="en-GB"/>
        </w:rPr>
        <w:t xml:space="preserve">to which a family </w:t>
      </w:r>
      <w:r w:rsidR="00DD3CE8">
        <w:rPr>
          <w:lang w:val="en-GB"/>
        </w:rPr>
        <w:t>are</w:t>
      </w:r>
      <w:r w:rsidR="007D409B">
        <w:rPr>
          <w:lang w:val="en-GB"/>
        </w:rPr>
        <w:t xml:space="preserve"> entitled </w:t>
      </w:r>
      <w:r w:rsidRPr="008813AE">
        <w:rPr>
          <w:lang w:val="en-GB"/>
        </w:rPr>
        <w:t xml:space="preserve">is determined by their activity level (see </w:t>
      </w:r>
      <w:r w:rsidRPr="008813AE">
        <w:rPr>
          <w:b/>
          <w:lang w:val="en-GB"/>
        </w:rPr>
        <w:t xml:space="preserve">Table </w:t>
      </w:r>
      <w:r w:rsidR="00632426">
        <w:rPr>
          <w:b/>
          <w:bCs/>
          <w:lang w:val="en-GB"/>
        </w:rPr>
        <w:t>2</w:t>
      </w:r>
      <w:r w:rsidRPr="008813AE">
        <w:rPr>
          <w:lang w:val="en-GB"/>
        </w:rPr>
        <w:t>). A family can receive up to 100</w:t>
      </w:r>
      <w:r w:rsidRPr="0038157F">
        <w:rPr>
          <w:lang w:val="en-GB"/>
        </w:rPr>
        <w:t xml:space="preserve"> hours of subsidy per fortnight</w:t>
      </w:r>
      <w:r w:rsidR="00F54745">
        <w:rPr>
          <w:lang w:val="en-GB"/>
        </w:rPr>
        <w:t>,</w:t>
      </w:r>
      <w:r w:rsidRPr="0038157F">
        <w:rPr>
          <w:lang w:val="en-GB"/>
        </w:rPr>
        <w:t xml:space="preserve"> per child</w:t>
      </w:r>
      <w:r w:rsidR="00F54745">
        <w:rPr>
          <w:lang w:val="en-GB"/>
        </w:rPr>
        <w:t>,</w:t>
      </w:r>
      <w:r w:rsidRPr="0038157F">
        <w:rPr>
          <w:lang w:val="en-GB"/>
        </w:rPr>
        <w:t xml:space="preserve"> depending on their hours of recognised activity (</w:t>
      </w:r>
      <w:r w:rsidR="00C63B2F">
        <w:rPr>
          <w:lang w:val="en-GB"/>
        </w:rPr>
        <w:t>e.g.</w:t>
      </w:r>
      <w:r w:rsidRPr="0038157F">
        <w:rPr>
          <w:lang w:val="en-GB"/>
        </w:rPr>
        <w:t xml:space="preserve"> work, study</w:t>
      </w:r>
      <w:r w:rsidR="00C63B2F">
        <w:rPr>
          <w:lang w:val="en-GB"/>
        </w:rPr>
        <w:t>,</w:t>
      </w:r>
      <w:r w:rsidRPr="0038157F">
        <w:rPr>
          <w:lang w:val="en-GB"/>
        </w:rPr>
        <w:t xml:space="preserve"> and training), which they must report directly to</w:t>
      </w:r>
      <w:r w:rsidR="008311A0">
        <w:rPr>
          <w:lang w:val="en-GB"/>
        </w:rPr>
        <w:t> </w:t>
      </w:r>
      <w:r w:rsidRPr="0038157F">
        <w:rPr>
          <w:lang w:val="en-GB"/>
        </w:rPr>
        <w:t xml:space="preserve">Services Australia. For couples, the </w:t>
      </w:r>
      <w:r w:rsidRPr="1CC69C14">
        <w:rPr>
          <w:lang w:val="en-GB"/>
        </w:rPr>
        <w:t>member</w:t>
      </w:r>
      <w:r w:rsidRPr="0038157F">
        <w:rPr>
          <w:lang w:val="en-GB"/>
        </w:rPr>
        <w:t xml:space="preserve"> of the couple with the lowest activity test result determines the number of subsidised hours.</w:t>
      </w:r>
    </w:p>
    <w:p w14:paraId="6D5BA228" w14:textId="77777777" w:rsidR="003C268A" w:rsidRDefault="003C268A" w:rsidP="003C268A">
      <w:pPr>
        <w:pStyle w:val="Subbodytext"/>
        <w:rPr>
          <w:lang w:val="en-GB"/>
        </w:rPr>
      </w:pPr>
      <w:r w:rsidRPr="1CC69C14">
        <w:rPr>
          <w:lang w:val="en-GB"/>
        </w:rPr>
        <w:t>There are several exemptions to the activity test. For example, grandparents who are principal carers of their grandchild receive 100 subsidised hours per fortnight, regardless of activity level.</w:t>
      </w:r>
    </w:p>
    <w:p w14:paraId="44A7AB26" w14:textId="2AFB5338" w:rsidR="00670410" w:rsidRDefault="005C4BA2" w:rsidP="00670410">
      <w:pPr>
        <w:pStyle w:val="Caption"/>
        <w:keepNext/>
      </w:pPr>
      <w:r>
        <w:t xml:space="preserve">Table </w:t>
      </w:r>
      <w:r>
        <w:fldChar w:fldCharType="begin"/>
      </w:r>
      <w:r>
        <w:instrText>SEQ Table \* ARABIC</w:instrText>
      </w:r>
      <w:r>
        <w:fldChar w:fldCharType="separate"/>
      </w:r>
      <w:r w:rsidR="00D307AC">
        <w:rPr>
          <w:noProof/>
        </w:rPr>
        <w:t>2</w:t>
      </w:r>
      <w:r>
        <w:fldChar w:fldCharType="end"/>
      </w:r>
      <w:r>
        <w:t xml:space="preserve">: </w:t>
      </w:r>
      <w:r w:rsidRPr="009467D1">
        <w:t>Hours of Subsidised Care Available Based on Activity Level</w:t>
      </w:r>
    </w:p>
    <w:tbl>
      <w:tblPr>
        <w:tblStyle w:val="EDU-Basic"/>
        <w:tblW w:w="0" w:type="auto"/>
        <w:tblLayout w:type="fixed"/>
        <w:tblLook w:val="06A0" w:firstRow="1" w:lastRow="0" w:firstColumn="1" w:lastColumn="0" w:noHBand="1" w:noVBand="1"/>
      </w:tblPr>
      <w:tblGrid>
        <w:gridCol w:w="4508"/>
        <w:gridCol w:w="4508"/>
      </w:tblGrid>
      <w:tr w:rsidR="003C268A" w14:paraId="2FD57359" w14:textId="77777777" w:rsidTr="00A2337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508" w:type="dxa"/>
          </w:tcPr>
          <w:p w14:paraId="2058C3C6" w14:textId="77777777" w:rsidR="003C268A" w:rsidRPr="00301249" w:rsidRDefault="003C268A" w:rsidP="0016139C">
            <w:pPr>
              <w:pStyle w:val="SubTable"/>
            </w:pPr>
            <w:r w:rsidRPr="00301249">
              <w:t>Activity level each fortnight</w:t>
            </w:r>
          </w:p>
        </w:tc>
        <w:tc>
          <w:tcPr>
            <w:tcW w:w="4508" w:type="dxa"/>
          </w:tcPr>
          <w:p w14:paraId="085B40E6" w14:textId="77777777" w:rsidR="003C268A" w:rsidRPr="00301249" w:rsidRDefault="003C268A" w:rsidP="00100C47">
            <w:pPr>
              <w:pStyle w:val="SubTable"/>
              <w:jc w:val="center"/>
              <w:cnfStyle w:val="100000000000" w:firstRow="1" w:lastRow="0" w:firstColumn="0" w:lastColumn="0" w:oddVBand="0" w:evenVBand="0" w:oddHBand="0" w:evenHBand="0" w:firstRowFirstColumn="0" w:firstRowLastColumn="0" w:lastRowFirstColumn="0" w:lastRowLastColumn="0"/>
            </w:pPr>
            <w:r w:rsidRPr="00301249">
              <w:t>Hours of subsidised care each fortnight</w:t>
            </w:r>
          </w:p>
        </w:tc>
      </w:tr>
      <w:tr w:rsidR="003C268A" w14:paraId="06A55944" w14:textId="77777777" w:rsidTr="00A2337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vAlign w:val="top"/>
          </w:tcPr>
          <w:p w14:paraId="2AB6F539" w14:textId="77777777" w:rsidR="003C268A" w:rsidRPr="009E231E" w:rsidRDefault="003C268A" w:rsidP="0016139C">
            <w:pPr>
              <w:pStyle w:val="SubTable"/>
              <w:rPr>
                <w:b w:val="0"/>
                <w:bCs/>
                <w:color w:val="000000" w:themeColor="text1"/>
              </w:rPr>
            </w:pPr>
            <w:r w:rsidRPr="009E231E">
              <w:rPr>
                <w:b w:val="0"/>
                <w:bCs/>
                <w:color w:val="000000" w:themeColor="text1"/>
              </w:rPr>
              <w:t>Less than 8 hours</w:t>
            </w:r>
          </w:p>
        </w:tc>
        <w:tc>
          <w:tcPr>
            <w:tcW w:w="4508" w:type="dxa"/>
            <w:shd w:val="clear" w:color="auto" w:fill="auto"/>
          </w:tcPr>
          <w:p w14:paraId="47EA6805" w14:textId="77777777" w:rsidR="003C268A" w:rsidRPr="009E231E" w:rsidRDefault="003C268A" w:rsidP="00100C47">
            <w:pPr>
              <w:pStyle w:val="SubTable"/>
              <w:jc w:val="center"/>
              <w:cnfStyle w:val="100000000000" w:firstRow="1" w:lastRow="0" w:firstColumn="0" w:lastColumn="0" w:oddVBand="0" w:evenVBand="0" w:oddHBand="0" w:evenHBand="0" w:firstRowFirstColumn="0" w:firstRowLastColumn="0" w:lastRowFirstColumn="0" w:lastRowLastColumn="0"/>
              <w:rPr>
                <w:b w:val="0"/>
                <w:bCs/>
                <w:color w:val="000000" w:themeColor="text1"/>
              </w:rPr>
            </w:pPr>
            <w:r w:rsidRPr="009E231E">
              <w:rPr>
                <w:b w:val="0"/>
                <w:bCs/>
                <w:color w:val="000000" w:themeColor="text1"/>
              </w:rPr>
              <w:t>0 hours if you earn above $72,466</w:t>
            </w:r>
            <w:r w:rsidRPr="009E231E">
              <w:rPr>
                <w:b w:val="0"/>
                <w:bCs/>
              </w:rPr>
              <w:br/>
            </w:r>
            <w:r w:rsidRPr="009E231E">
              <w:rPr>
                <w:b w:val="0"/>
                <w:bCs/>
                <w:color w:val="000000" w:themeColor="text1"/>
              </w:rPr>
              <w:t>24 hours if you earn $72,466 or below</w:t>
            </w:r>
          </w:p>
        </w:tc>
      </w:tr>
      <w:tr w:rsidR="003C268A" w14:paraId="17C84D2D" w14:textId="77777777" w:rsidTr="00A2337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vAlign w:val="top"/>
          </w:tcPr>
          <w:p w14:paraId="105E4A31" w14:textId="77777777" w:rsidR="003C268A" w:rsidRPr="009E231E" w:rsidRDefault="003C268A" w:rsidP="0016139C">
            <w:pPr>
              <w:pStyle w:val="SubTable"/>
              <w:rPr>
                <w:b w:val="0"/>
                <w:bCs/>
                <w:color w:val="000000" w:themeColor="text1"/>
              </w:rPr>
            </w:pPr>
            <w:r w:rsidRPr="009E231E">
              <w:rPr>
                <w:b w:val="0"/>
                <w:bCs/>
                <w:color w:val="000000" w:themeColor="text1"/>
              </w:rPr>
              <w:t>More than 8 to 16 hours</w:t>
            </w:r>
          </w:p>
        </w:tc>
        <w:tc>
          <w:tcPr>
            <w:tcW w:w="4508" w:type="dxa"/>
            <w:shd w:val="clear" w:color="auto" w:fill="auto"/>
          </w:tcPr>
          <w:p w14:paraId="0C50EE07" w14:textId="77777777" w:rsidR="003C268A" w:rsidRPr="009E231E" w:rsidRDefault="003C268A" w:rsidP="00100C47">
            <w:pPr>
              <w:pStyle w:val="SubTable"/>
              <w:jc w:val="center"/>
              <w:cnfStyle w:val="100000000000" w:firstRow="1" w:lastRow="0" w:firstColumn="0" w:lastColumn="0" w:oddVBand="0" w:evenVBand="0" w:oddHBand="0" w:evenHBand="0" w:firstRowFirstColumn="0" w:firstRowLastColumn="0" w:lastRowFirstColumn="0" w:lastRowLastColumn="0"/>
              <w:rPr>
                <w:b w:val="0"/>
                <w:bCs/>
                <w:color w:val="000000" w:themeColor="text1"/>
              </w:rPr>
            </w:pPr>
            <w:r w:rsidRPr="009E231E">
              <w:rPr>
                <w:b w:val="0"/>
                <w:bCs/>
                <w:color w:val="000000" w:themeColor="text1"/>
              </w:rPr>
              <w:t>36 hours</w:t>
            </w:r>
          </w:p>
        </w:tc>
      </w:tr>
      <w:tr w:rsidR="003C268A" w14:paraId="74860080" w14:textId="77777777" w:rsidTr="00A2337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vAlign w:val="top"/>
          </w:tcPr>
          <w:p w14:paraId="7A456786" w14:textId="77777777" w:rsidR="003C268A" w:rsidRPr="009E231E" w:rsidRDefault="003C268A" w:rsidP="0016139C">
            <w:pPr>
              <w:pStyle w:val="SubTable"/>
              <w:rPr>
                <w:b w:val="0"/>
                <w:bCs/>
                <w:color w:val="000000" w:themeColor="text1"/>
              </w:rPr>
            </w:pPr>
            <w:r w:rsidRPr="009E231E">
              <w:rPr>
                <w:b w:val="0"/>
                <w:bCs/>
                <w:color w:val="000000" w:themeColor="text1"/>
              </w:rPr>
              <w:t>More than 16 to 48 hours</w:t>
            </w:r>
          </w:p>
        </w:tc>
        <w:tc>
          <w:tcPr>
            <w:tcW w:w="4508" w:type="dxa"/>
            <w:shd w:val="clear" w:color="auto" w:fill="auto"/>
          </w:tcPr>
          <w:p w14:paraId="53A17803" w14:textId="77777777" w:rsidR="003C268A" w:rsidRPr="009E231E" w:rsidRDefault="003C268A" w:rsidP="00100C47">
            <w:pPr>
              <w:pStyle w:val="SubTable"/>
              <w:jc w:val="center"/>
              <w:cnfStyle w:val="100000000000" w:firstRow="1" w:lastRow="0" w:firstColumn="0" w:lastColumn="0" w:oddVBand="0" w:evenVBand="0" w:oddHBand="0" w:evenHBand="0" w:firstRowFirstColumn="0" w:firstRowLastColumn="0" w:lastRowFirstColumn="0" w:lastRowLastColumn="0"/>
              <w:rPr>
                <w:b w:val="0"/>
                <w:bCs/>
                <w:color w:val="000000" w:themeColor="text1"/>
              </w:rPr>
            </w:pPr>
            <w:r w:rsidRPr="009E231E">
              <w:rPr>
                <w:b w:val="0"/>
                <w:bCs/>
                <w:color w:val="000000" w:themeColor="text1"/>
              </w:rPr>
              <w:t>72 hours</w:t>
            </w:r>
          </w:p>
        </w:tc>
      </w:tr>
      <w:tr w:rsidR="003C268A" w14:paraId="4D87AE9C" w14:textId="77777777" w:rsidTr="00A2337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vAlign w:val="top"/>
          </w:tcPr>
          <w:p w14:paraId="53CE208A" w14:textId="77777777" w:rsidR="003C268A" w:rsidRPr="009E231E" w:rsidRDefault="003C268A" w:rsidP="0016139C">
            <w:pPr>
              <w:pStyle w:val="SubTable"/>
              <w:rPr>
                <w:b w:val="0"/>
                <w:bCs/>
                <w:color w:val="000000" w:themeColor="text1"/>
              </w:rPr>
            </w:pPr>
            <w:r w:rsidRPr="009E231E">
              <w:rPr>
                <w:b w:val="0"/>
                <w:bCs/>
                <w:color w:val="000000" w:themeColor="text1"/>
              </w:rPr>
              <w:t>More than 48 hours</w:t>
            </w:r>
          </w:p>
        </w:tc>
        <w:tc>
          <w:tcPr>
            <w:tcW w:w="4508" w:type="dxa"/>
            <w:shd w:val="clear" w:color="auto" w:fill="auto"/>
          </w:tcPr>
          <w:p w14:paraId="25C339A8" w14:textId="77777777" w:rsidR="003C268A" w:rsidRPr="009E231E" w:rsidRDefault="003C268A" w:rsidP="00100C47">
            <w:pPr>
              <w:pStyle w:val="SubTable"/>
              <w:jc w:val="center"/>
              <w:cnfStyle w:val="100000000000" w:firstRow="1" w:lastRow="0" w:firstColumn="0" w:lastColumn="0" w:oddVBand="0" w:evenVBand="0" w:oddHBand="0" w:evenHBand="0" w:firstRowFirstColumn="0" w:firstRowLastColumn="0" w:lastRowFirstColumn="0" w:lastRowLastColumn="0"/>
              <w:rPr>
                <w:b w:val="0"/>
                <w:bCs/>
                <w:color w:val="000000" w:themeColor="text1"/>
              </w:rPr>
            </w:pPr>
            <w:r w:rsidRPr="009E231E">
              <w:rPr>
                <w:b w:val="0"/>
                <w:bCs/>
                <w:color w:val="000000" w:themeColor="text1"/>
              </w:rPr>
              <w:t>100 hours</w:t>
            </w:r>
          </w:p>
        </w:tc>
      </w:tr>
    </w:tbl>
    <w:p w14:paraId="69426292" w14:textId="77777777" w:rsidR="003C268A" w:rsidRDefault="003C268A" w:rsidP="003C268A">
      <w:pPr>
        <w:pStyle w:val="Subbodytext"/>
        <w:rPr>
          <w:b/>
          <w:bCs/>
          <w:highlight w:val="yellow"/>
          <w:lang w:val="en-GB"/>
        </w:rPr>
      </w:pPr>
    </w:p>
    <w:p w14:paraId="69A3AB10" w14:textId="0054B6E7" w:rsidR="003C268A" w:rsidRPr="008813AE" w:rsidRDefault="003C268A" w:rsidP="00AD1A25">
      <w:pPr>
        <w:pStyle w:val="Subbodytext"/>
        <w:keepNext/>
        <w:rPr>
          <w:lang w:val="en-GB"/>
        </w:rPr>
      </w:pPr>
      <w:r w:rsidRPr="008813AE">
        <w:rPr>
          <w:b/>
          <w:bCs/>
          <w:lang w:val="en-GB"/>
        </w:rPr>
        <w:t xml:space="preserve">Table </w:t>
      </w:r>
      <w:r w:rsidR="004B2964">
        <w:rPr>
          <w:b/>
          <w:bCs/>
          <w:lang w:val="en-GB"/>
        </w:rPr>
        <w:t>3</w:t>
      </w:r>
      <w:r w:rsidRPr="008813AE">
        <w:rPr>
          <w:lang w:val="en-GB"/>
        </w:rPr>
        <w:t xml:space="preserve"> outlines the number of hours accessed by families in the </w:t>
      </w:r>
      <w:r w:rsidR="000B42CD" w:rsidRPr="008813AE">
        <w:t xml:space="preserve">September </w:t>
      </w:r>
      <w:r w:rsidRPr="008813AE">
        <w:t>quarter 2022</w:t>
      </w:r>
      <w:r w:rsidR="00AD1A25" w:rsidRPr="008813AE">
        <w:t>.</w:t>
      </w:r>
    </w:p>
    <w:p w14:paraId="70932B98" w14:textId="661A6BE5" w:rsidR="00223BDE" w:rsidRPr="004B2964" w:rsidRDefault="00AD1A25" w:rsidP="004B2964">
      <w:pPr>
        <w:pStyle w:val="SubFigureHeading"/>
        <w:rPr>
          <w:lang w:val="en-GB"/>
        </w:rPr>
      </w:pPr>
      <w:r w:rsidRPr="008813AE">
        <w:t xml:space="preserve">Table </w:t>
      </w:r>
      <w:r>
        <w:fldChar w:fldCharType="begin"/>
      </w:r>
      <w:r>
        <w:instrText>SEQ Table \* ARABIC</w:instrText>
      </w:r>
      <w:r>
        <w:fldChar w:fldCharType="separate"/>
      </w:r>
      <w:r w:rsidR="00D307AC">
        <w:rPr>
          <w:noProof/>
        </w:rPr>
        <w:t>3</w:t>
      </w:r>
      <w:r>
        <w:fldChar w:fldCharType="end"/>
      </w:r>
      <w:r w:rsidRPr="008813AE">
        <w:t>: Activity Test</w:t>
      </w:r>
      <w:r w:rsidR="00993D54" w:rsidRPr="008813AE">
        <w:t>:</w:t>
      </w:r>
      <w:r w:rsidR="0053135C" w:rsidRPr="008813AE" w:rsidDel="00993D54">
        <w:t xml:space="preserve"> </w:t>
      </w:r>
      <w:r w:rsidRPr="008813AE">
        <w:t>Maximum</w:t>
      </w:r>
      <w:r w:rsidR="0053135C" w:rsidRPr="008813AE">
        <w:t xml:space="preserve"> </w:t>
      </w:r>
      <w:r w:rsidRPr="008813AE">
        <w:t xml:space="preserve">Hours of Subsidised Care Per Fortnight, </w:t>
      </w:r>
      <w:r w:rsidR="000B42CD" w:rsidRPr="008813AE">
        <w:t>September Quarter 2022</w:t>
      </w:r>
    </w:p>
    <w:tbl>
      <w:tblPr>
        <w:tblStyle w:val="TableGrid"/>
        <w:tblW w:w="0" w:type="auto"/>
        <w:tblLayout w:type="fixed"/>
        <w:tblLook w:val="0020" w:firstRow="1" w:lastRow="0" w:firstColumn="0" w:lastColumn="0" w:noHBand="0" w:noVBand="0"/>
      </w:tblPr>
      <w:tblGrid>
        <w:gridCol w:w="3253"/>
        <w:gridCol w:w="2976"/>
        <w:gridCol w:w="2771"/>
      </w:tblGrid>
      <w:tr w:rsidR="000B42CD" w:rsidRPr="008813AE" w14:paraId="232B56C8" w14:textId="77777777" w:rsidTr="00E02509">
        <w:trPr>
          <w:trHeight w:val="390"/>
          <w:tblHeader/>
        </w:trPr>
        <w:tc>
          <w:tcPr>
            <w:tcW w:w="3253" w:type="dxa"/>
            <w:tcBorders>
              <w:top w:val="single" w:sz="6" w:space="0" w:color="auto"/>
              <w:left w:val="single" w:sz="6" w:space="0" w:color="auto"/>
              <w:bottom w:val="single" w:sz="6" w:space="0" w:color="auto"/>
              <w:right w:val="single" w:sz="6" w:space="0" w:color="auto"/>
            </w:tcBorders>
            <w:shd w:val="clear" w:color="auto" w:fill="5F646A"/>
            <w:tcMar>
              <w:left w:w="105" w:type="dxa"/>
              <w:right w:w="105" w:type="dxa"/>
            </w:tcMar>
            <w:vAlign w:val="center"/>
          </w:tcPr>
          <w:p w14:paraId="1822ECC3" w14:textId="77777777" w:rsidR="000B42CD" w:rsidRPr="008813AE" w:rsidRDefault="000B42CD" w:rsidP="000B42CD">
            <w:pPr>
              <w:keepNext/>
              <w:keepLines/>
              <w:spacing w:after="0"/>
              <w:rPr>
                <w:rFonts w:ascii="Calibri" w:eastAsia="Calibri" w:hAnsi="Calibri" w:cs="Calibri"/>
                <w:b/>
                <w:bCs/>
                <w:color w:val="FFFFFF" w:themeColor="background1"/>
              </w:rPr>
            </w:pPr>
            <w:r w:rsidRPr="008813AE">
              <w:rPr>
                <w:rFonts w:ascii="Calibri" w:eastAsia="Calibri" w:hAnsi="Calibri" w:cs="Calibri"/>
                <w:b/>
                <w:bCs/>
                <w:color w:val="FFFFFF" w:themeColor="background1"/>
              </w:rPr>
              <w:t>Subsidised hours per fortnight</w:t>
            </w:r>
          </w:p>
        </w:tc>
        <w:tc>
          <w:tcPr>
            <w:tcW w:w="2976" w:type="dxa"/>
            <w:tcBorders>
              <w:top w:val="single" w:sz="6" w:space="0" w:color="auto"/>
              <w:left w:val="single" w:sz="6" w:space="0" w:color="auto"/>
              <w:bottom w:val="single" w:sz="6" w:space="0" w:color="auto"/>
              <w:right w:val="single" w:sz="6" w:space="0" w:color="auto"/>
            </w:tcBorders>
            <w:shd w:val="clear" w:color="auto" w:fill="5F646A"/>
            <w:tcMar>
              <w:left w:w="105" w:type="dxa"/>
              <w:right w:w="105" w:type="dxa"/>
            </w:tcMar>
            <w:vAlign w:val="center"/>
          </w:tcPr>
          <w:p w14:paraId="0EE1C04C" w14:textId="77777777" w:rsidR="000B42CD" w:rsidRPr="008813AE" w:rsidRDefault="000B42CD" w:rsidP="00172A02">
            <w:pPr>
              <w:keepNext/>
              <w:keepLines/>
              <w:spacing w:after="0"/>
              <w:jc w:val="center"/>
              <w:rPr>
                <w:rFonts w:ascii="Calibri" w:eastAsia="Calibri" w:hAnsi="Calibri" w:cs="Calibri"/>
                <w:b/>
                <w:bCs/>
                <w:color w:val="FFFFFF" w:themeColor="background1"/>
              </w:rPr>
            </w:pPr>
            <w:r w:rsidRPr="008813AE">
              <w:rPr>
                <w:rFonts w:ascii="Calibri" w:eastAsia="Calibri" w:hAnsi="Calibri" w:cs="Calibri"/>
                <w:b/>
                <w:bCs/>
                <w:color w:val="FFFFFF" w:themeColor="background1"/>
              </w:rPr>
              <w:t>Number of families</w:t>
            </w:r>
          </w:p>
        </w:tc>
        <w:tc>
          <w:tcPr>
            <w:tcW w:w="2771" w:type="dxa"/>
            <w:tcBorders>
              <w:top w:val="single" w:sz="6" w:space="0" w:color="auto"/>
              <w:left w:val="single" w:sz="6" w:space="0" w:color="auto"/>
              <w:bottom w:val="single" w:sz="6" w:space="0" w:color="auto"/>
              <w:right w:val="single" w:sz="6" w:space="0" w:color="auto"/>
            </w:tcBorders>
            <w:shd w:val="clear" w:color="auto" w:fill="5F646A"/>
            <w:tcMar>
              <w:left w:w="105" w:type="dxa"/>
              <w:right w:w="105" w:type="dxa"/>
            </w:tcMar>
            <w:vAlign w:val="center"/>
          </w:tcPr>
          <w:p w14:paraId="059AEAB8" w14:textId="77777777" w:rsidR="000B42CD" w:rsidRPr="008813AE" w:rsidRDefault="000B42CD" w:rsidP="00172A02">
            <w:pPr>
              <w:keepNext/>
              <w:keepLines/>
              <w:spacing w:after="0"/>
              <w:jc w:val="center"/>
              <w:rPr>
                <w:rFonts w:ascii="Calibri" w:eastAsia="Calibri" w:hAnsi="Calibri" w:cs="Calibri"/>
                <w:b/>
                <w:bCs/>
                <w:color w:val="FFFFFF" w:themeColor="background1"/>
              </w:rPr>
            </w:pPr>
            <w:r w:rsidRPr="008813AE">
              <w:rPr>
                <w:rFonts w:ascii="Calibri" w:eastAsia="Calibri" w:hAnsi="Calibri" w:cs="Calibri"/>
                <w:b/>
                <w:bCs/>
                <w:color w:val="FFFFFF" w:themeColor="background1"/>
              </w:rPr>
              <w:t>Percentage of total</w:t>
            </w:r>
          </w:p>
        </w:tc>
      </w:tr>
      <w:tr w:rsidR="000B42CD" w:rsidRPr="008813AE" w14:paraId="2345B5DD" w14:textId="77777777" w:rsidTr="00E02509">
        <w:trPr>
          <w:trHeight w:val="300"/>
          <w:tblHeader/>
        </w:trPr>
        <w:tc>
          <w:tcPr>
            <w:tcW w:w="325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0AD0A80" w14:textId="77777777" w:rsidR="000B42CD" w:rsidRPr="008813AE" w:rsidRDefault="000B42CD" w:rsidP="000B42CD">
            <w:pPr>
              <w:keepNext/>
              <w:keepLines/>
              <w:spacing w:after="0"/>
              <w:rPr>
                <w:rFonts w:ascii="Calibri" w:eastAsia="Calibri" w:hAnsi="Calibri" w:cs="Calibri"/>
              </w:rPr>
            </w:pPr>
            <w:r w:rsidRPr="008813AE">
              <w:rPr>
                <w:rFonts w:ascii="Calibri" w:eastAsia="Calibri" w:hAnsi="Calibri" w:cs="Calibri"/>
              </w:rPr>
              <w:t>0</w:t>
            </w:r>
          </w:p>
        </w:tc>
        <w:tc>
          <w:tcPr>
            <w:tcW w:w="29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978B428" w14:textId="77777777" w:rsidR="000B42CD" w:rsidRPr="008813AE" w:rsidRDefault="000B42CD" w:rsidP="00172A02">
            <w:pPr>
              <w:keepNext/>
              <w:keepLines/>
              <w:spacing w:after="0"/>
              <w:jc w:val="center"/>
              <w:rPr>
                <w:rFonts w:ascii="Calibri" w:eastAsia="Calibri" w:hAnsi="Calibri" w:cs="Calibri"/>
                <w:color w:val="000000" w:themeColor="text1"/>
              </w:rPr>
            </w:pPr>
            <w:r w:rsidRPr="008813AE">
              <w:rPr>
                <w:rFonts w:ascii="Calibri" w:eastAsia="Calibri" w:hAnsi="Calibri" w:cs="Calibri"/>
                <w:color w:val="000000" w:themeColor="text1"/>
              </w:rPr>
              <w:t>8,500</w:t>
            </w:r>
          </w:p>
        </w:tc>
        <w:tc>
          <w:tcPr>
            <w:tcW w:w="277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6A42C56" w14:textId="77777777" w:rsidR="000B42CD" w:rsidRPr="008813AE" w:rsidRDefault="000B42CD" w:rsidP="00172A02">
            <w:pPr>
              <w:keepNext/>
              <w:keepLines/>
              <w:spacing w:after="0"/>
              <w:jc w:val="center"/>
              <w:rPr>
                <w:rFonts w:ascii="Calibri" w:eastAsia="Calibri" w:hAnsi="Calibri" w:cs="Calibri"/>
                <w:color w:val="000000" w:themeColor="text1"/>
              </w:rPr>
            </w:pPr>
            <w:r w:rsidRPr="008813AE">
              <w:rPr>
                <w:rFonts w:ascii="Calibri" w:eastAsia="Calibri" w:hAnsi="Calibri" w:cs="Calibri"/>
                <w:color w:val="000000" w:themeColor="text1"/>
              </w:rPr>
              <w:t>0.9%</w:t>
            </w:r>
          </w:p>
        </w:tc>
      </w:tr>
      <w:tr w:rsidR="000B42CD" w:rsidRPr="008813AE" w14:paraId="01D3AF0E" w14:textId="77777777" w:rsidTr="00E02509">
        <w:trPr>
          <w:trHeight w:val="390"/>
          <w:tblHeader/>
        </w:trPr>
        <w:tc>
          <w:tcPr>
            <w:tcW w:w="325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5E91DD" w14:textId="77777777" w:rsidR="000B42CD" w:rsidRPr="008813AE" w:rsidRDefault="000B42CD" w:rsidP="000B42CD">
            <w:pPr>
              <w:keepNext/>
              <w:keepLines/>
              <w:spacing w:after="0"/>
              <w:rPr>
                <w:rFonts w:ascii="Calibri" w:eastAsia="Calibri" w:hAnsi="Calibri" w:cs="Calibri"/>
              </w:rPr>
            </w:pPr>
            <w:r w:rsidRPr="008813AE">
              <w:rPr>
                <w:rFonts w:ascii="Calibri" w:eastAsia="Calibri" w:hAnsi="Calibri" w:cs="Calibri"/>
              </w:rPr>
              <w:t>24</w:t>
            </w:r>
          </w:p>
        </w:tc>
        <w:tc>
          <w:tcPr>
            <w:tcW w:w="29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B0E960F" w14:textId="77777777" w:rsidR="000B42CD" w:rsidRPr="008813AE" w:rsidRDefault="000B42CD" w:rsidP="00172A02">
            <w:pPr>
              <w:keepNext/>
              <w:keepLines/>
              <w:spacing w:after="0"/>
              <w:jc w:val="center"/>
              <w:rPr>
                <w:rFonts w:ascii="Calibri" w:eastAsia="Calibri" w:hAnsi="Calibri" w:cs="Calibri"/>
                <w:color w:val="000000" w:themeColor="text1"/>
              </w:rPr>
            </w:pPr>
            <w:r w:rsidRPr="008813AE">
              <w:rPr>
                <w:rFonts w:ascii="Calibri" w:eastAsia="Calibri" w:hAnsi="Calibri" w:cs="Calibri"/>
                <w:color w:val="000000" w:themeColor="text1"/>
              </w:rPr>
              <w:t>9,020</w:t>
            </w:r>
          </w:p>
        </w:tc>
        <w:tc>
          <w:tcPr>
            <w:tcW w:w="277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99FC84A" w14:textId="77777777" w:rsidR="000B42CD" w:rsidRPr="008813AE" w:rsidRDefault="000B42CD" w:rsidP="00172A02">
            <w:pPr>
              <w:keepNext/>
              <w:keepLines/>
              <w:spacing w:after="0"/>
              <w:jc w:val="center"/>
              <w:rPr>
                <w:rFonts w:ascii="Calibri" w:eastAsia="Calibri" w:hAnsi="Calibri" w:cs="Calibri"/>
                <w:color w:val="000000" w:themeColor="text1"/>
              </w:rPr>
            </w:pPr>
            <w:r w:rsidRPr="008813AE">
              <w:rPr>
                <w:rFonts w:ascii="Calibri" w:eastAsia="Calibri" w:hAnsi="Calibri" w:cs="Calibri"/>
                <w:color w:val="000000" w:themeColor="text1"/>
              </w:rPr>
              <w:t>0.9%</w:t>
            </w:r>
          </w:p>
        </w:tc>
      </w:tr>
      <w:tr w:rsidR="000B42CD" w:rsidRPr="008813AE" w14:paraId="4A1FE931" w14:textId="77777777" w:rsidTr="00E02509">
        <w:trPr>
          <w:trHeight w:val="390"/>
          <w:tblHeader/>
        </w:trPr>
        <w:tc>
          <w:tcPr>
            <w:tcW w:w="325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0EF5C6A" w14:textId="77777777" w:rsidR="000B42CD" w:rsidRPr="008813AE" w:rsidRDefault="000B42CD" w:rsidP="000B42CD">
            <w:pPr>
              <w:keepNext/>
              <w:keepLines/>
              <w:spacing w:after="0"/>
              <w:rPr>
                <w:rFonts w:ascii="Calibri" w:eastAsia="Calibri" w:hAnsi="Calibri" w:cs="Calibri"/>
              </w:rPr>
            </w:pPr>
            <w:r w:rsidRPr="008813AE">
              <w:rPr>
                <w:rFonts w:ascii="Calibri" w:eastAsia="Calibri" w:hAnsi="Calibri" w:cs="Calibri"/>
              </w:rPr>
              <w:t>36</w:t>
            </w:r>
          </w:p>
        </w:tc>
        <w:tc>
          <w:tcPr>
            <w:tcW w:w="29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B92E6B" w14:textId="77777777" w:rsidR="000B42CD" w:rsidRPr="008813AE" w:rsidRDefault="000B42CD" w:rsidP="00172A02">
            <w:pPr>
              <w:keepNext/>
              <w:keepLines/>
              <w:spacing w:after="0"/>
              <w:jc w:val="center"/>
              <w:rPr>
                <w:rFonts w:ascii="Calibri" w:eastAsia="Calibri" w:hAnsi="Calibri" w:cs="Calibri"/>
                <w:color w:val="000000" w:themeColor="text1"/>
              </w:rPr>
            </w:pPr>
            <w:r w:rsidRPr="008813AE">
              <w:rPr>
                <w:rFonts w:ascii="Calibri" w:eastAsia="Calibri" w:hAnsi="Calibri" w:cs="Calibri"/>
                <w:color w:val="000000" w:themeColor="text1"/>
              </w:rPr>
              <w:t>32,450</w:t>
            </w:r>
          </w:p>
        </w:tc>
        <w:tc>
          <w:tcPr>
            <w:tcW w:w="277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0369C89" w14:textId="77777777" w:rsidR="000B42CD" w:rsidRPr="008813AE" w:rsidRDefault="000B42CD" w:rsidP="00172A02">
            <w:pPr>
              <w:keepNext/>
              <w:keepLines/>
              <w:spacing w:after="0"/>
              <w:jc w:val="center"/>
              <w:rPr>
                <w:rFonts w:ascii="Calibri" w:eastAsia="Calibri" w:hAnsi="Calibri" w:cs="Calibri"/>
                <w:color w:val="000000" w:themeColor="text1"/>
              </w:rPr>
            </w:pPr>
            <w:r w:rsidRPr="008813AE">
              <w:rPr>
                <w:rFonts w:ascii="Calibri" w:eastAsia="Calibri" w:hAnsi="Calibri" w:cs="Calibri"/>
                <w:color w:val="000000" w:themeColor="text1"/>
              </w:rPr>
              <w:t>3.3%</w:t>
            </w:r>
          </w:p>
        </w:tc>
      </w:tr>
      <w:tr w:rsidR="000B42CD" w:rsidRPr="008813AE" w14:paraId="4AEFBCBB" w14:textId="77777777" w:rsidTr="00E02509">
        <w:trPr>
          <w:trHeight w:val="390"/>
          <w:tblHeader/>
        </w:trPr>
        <w:tc>
          <w:tcPr>
            <w:tcW w:w="325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41EA33" w14:textId="77777777" w:rsidR="000B42CD" w:rsidRPr="008813AE" w:rsidRDefault="000B42CD" w:rsidP="000B42CD">
            <w:pPr>
              <w:keepNext/>
              <w:keepLines/>
              <w:spacing w:after="0"/>
              <w:rPr>
                <w:rFonts w:ascii="Calibri" w:eastAsia="Calibri" w:hAnsi="Calibri" w:cs="Calibri"/>
              </w:rPr>
            </w:pPr>
            <w:r w:rsidRPr="008813AE">
              <w:rPr>
                <w:rFonts w:ascii="Calibri" w:eastAsia="Calibri" w:hAnsi="Calibri" w:cs="Calibri"/>
              </w:rPr>
              <w:t>72</w:t>
            </w:r>
          </w:p>
        </w:tc>
        <w:tc>
          <w:tcPr>
            <w:tcW w:w="29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CC26FE3" w14:textId="77777777" w:rsidR="000B42CD" w:rsidRPr="008813AE" w:rsidRDefault="000B42CD" w:rsidP="00172A02">
            <w:pPr>
              <w:keepNext/>
              <w:keepLines/>
              <w:spacing w:after="0"/>
              <w:jc w:val="center"/>
              <w:rPr>
                <w:rFonts w:ascii="Calibri" w:eastAsia="Calibri" w:hAnsi="Calibri" w:cs="Calibri"/>
                <w:color w:val="000000" w:themeColor="text1"/>
              </w:rPr>
            </w:pPr>
            <w:r w:rsidRPr="008813AE">
              <w:rPr>
                <w:rFonts w:ascii="Calibri" w:eastAsia="Calibri" w:hAnsi="Calibri" w:cs="Calibri"/>
                <w:color w:val="000000" w:themeColor="text1"/>
              </w:rPr>
              <w:t>239,280</w:t>
            </w:r>
          </w:p>
        </w:tc>
        <w:tc>
          <w:tcPr>
            <w:tcW w:w="277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A4B0446" w14:textId="77777777" w:rsidR="000B42CD" w:rsidRPr="008813AE" w:rsidRDefault="000B42CD" w:rsidP="00172A02">
            <w:pPr>
              <w:keepNext/>
              <w:keepLines/>
              <w:spacing w:after="0"/>
              <w:jc w:val="center"/>
              <w:rPr>
                <w:rFonts w:ascii="Calibri" w:eastAsia="Calibri" w:hAnsi="Calibri" w:cs="Calibri"/>
                <w:color w:val="000000" w:themeColor="text1"/>
              </w:rPr>
            </w:pPr>
            <w:r w:rsidRPr="008813AE">
              <w:rPr>
                <w:rFonts w:ascii="Calibri" w:eastAsia="Calibri" w:hAnsi="Calibri" w:cs="Calibri"/>
                <w:color w:val="000000" w:themeColor="text1"/>
              </w:rPr>
              <w:t>24.2%</w:t>
            </w:r>
          </w:p>
        </w:tc>
      </w:tr>
      <w:tr w:rsidR="000B42CD" w:rsidRPr="008813AE" w14:paraId="461ECF72" w14:textId="77777777" w:rsidTr="00E02509">
        <w:trPr>
          <w:trHeight w:val="390"/>
          <w:tblHeader/>
        </w:trPr>
        <w:tc>
          <w:tcPr>
            <w:tcW w:w="325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A2840D3" w14:textId="77777777" w:rsidR="000B42CD" w:rsidRPr="008813AE" w:rsidRDefault="000B42CD" w:rsidP="000B42CD">
            <w:pPr>
              <w:keepNext/>
              <w:keepLines/>
              <w:spacing w:after="0"/>
              <w:rPr>
                <w:rFonts w:ascii="Calibri" w:eastAsia="Calibri" w:hAnsi="Calibri" w:cs="Calibri"/>
              </w:rPr>
            </w:pPr>
            <w:r w:rsidRPr="008813AE">
              <w:rPr>
                <w:rFonts w:ascii="Calibri" w:eastAsia="Calibri" w:hAnsi="Calibri" w:cs="Calibri"/>
              </w:rPr>
              <w:t>100</w:t>
            </w:r>
          </w:p>
        </w:tc>
        <w:tc>
          <w:tcPr>
            <w:tcW w:w="29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54BD843" w14:textId="77777777" w:rsidR="000B42CD" w:rsidRPr="008813AE" w:rsidRDefault="000B42CD" w:rsidP="00172A02">
            <w:pPr>
              <w:keepNext/>
              <w:keepLines/>
              <w:spacing w:after="0"/>
              <w:jc w:val="center"/>
              <w:rPr>
                <w:rFonts w:ascii="Calibri" w:eastAsia="Calibri" w:hAnsi="Calibri" w:cs="Calibri"/>
                <w:color w:val="000000" w:themeColor="text1"/>
              </w:rPr>
            </w:pPr>
            <w:r w:rsidRPr="008813AE">
              <w:rPr>
                <w:rFonts w:ascii="Calibri" w:eastAsia="Calibri" w:hAnsi="Calibri" w:cs="Calibri"/>
                <w:color w:val="000000" w:themeColor="text1"/>
              </w:rPr>
              <w:t>666,180</w:t>
            </w:r>
          </w:p>
        </w:tc>
        <w:tc>
          <w:tcPr>
            <w:tcW w:w="277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B4549C" w14:textId="77777777" w:rsidR="000B42CD" w:rsidRPr="008813AE" w:rsidRDefault="000B42CD" w:rsidP="00172A02">
            <w:pPr>
              <w:keepNext/>
              <w:keepLines/>
              <w:spacing w:after="0"/>
              <w:jc w:val="center"/>
              <w:rPr>
                <w:rFonts w:ascii="Calibri" w:eastAsia="Calibri" w:hAnsi="Calibri" w:cs="Calibri"/>
                <w:color w:val="000000" w:themeColor="text1"/>
              </w:rPr>
            </w:pPr>
            <w:r w:rsidRPr="008813AE">
              <w:rPr>
                <w:rFonts w:ascii="Calibri" w:eastAsia="Calibri" w:hAnsi="Calibri" w:cs="Calibri"/>
                <w:color w:val="000000" w:themeColor="text1"/>
              </w:rPr>
              <w:t>67.2%</w:t>
            </w:r>
          </w:p>
        </w:tc>
      </w:tr>
      <w:tr w:rsidR="000B42CD" w:rsidRPr="008813AE" w14:paraId="71F2AE0A" w14:textId="77777777" w:rsidTr="00E02509">
        <w:trPr>
          <w:trHeight w:val="390"/>
          <w:tblHeader/>
        </w:trPr>
        <w:tc>
          <w:tcPr>
            <w:tcW w:w="325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091C09" w14:textId="77777777" w:rsidR="000B42CD" w:rsidRPr="008813AE" w:rsidRDefault="000B42CD" w:rsidP="000B42CD">
            <w:pPr>
              <w:keepNext/>
              <w:keepLines/>
              <w:spacing w:after="0"/>
              <w:rPr>
                <w:rFonts w:ascii="Calibri" w:eastAsia="Calibri" w:hAnsi="Calibri" w:cs="Calibri"/>
              </w:rPr>
            </w:pPr>
            <w:r w:rsidRPr="008813AE">
              <w:rPr>
                <w:rFonts w:ascii="Calibri" w:eastAsia="Calibri" w:hAnsi="Calibri" w:cs="Calibri"/>
              </w:rPr>
              <w:t>Missing</w:t>
            </w:r>
          </w:p>
        </w:tc>
        <w:tc>
          <w:tcPr>
            <w:tcW w:w="29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3855405" w14:textId="77777777" w:rsidR="000B42CD" w:rsidRPr="008813AE" w:rsidRDefault="000B42CD" w:rsidP="00172A02">
            <w:pPr>
              <w:keepNext/>
              <w:keepLines/>
              <w:spacing w:after="0"/>
              <w:jc w:val="center"/>
              <w:rPr>
                <w:rFonts w:ascii="Calibri" w:eastAsia="Calibri" w:hAnsi="Calibri" w:cs="Calibri"/>
                <w:color w:val="000000" w:themeColor="text1"/>
              </w:rPr>
            </w:pPr>
            <w:r w:rsidRPr="008813AE">
              <w:rPr>
                <w:rFonts w:ascii="Calibri" w:eastAsia="Calibri" w:hAnsi="Calibri" w:cs="Calibri"/>
                <w:color w:val="000000" w:themeColor="text1"/>
              </w:rPr>
              <w:t>35,320</w:t>
            </w:r>
          </w:p>
        </w:tc>
        <w:tc>
          <w:tcPr>
            <w:tcW w:w="277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CF519FC" w14:textId="77777777" w:rsidR="000B42CD" w:rsidRPr="008813AE" w:rsidRDefault="000B42CD" w:rsidP="00172A02">
            <w:pPr>
              <w:keepNext/>
              <w:keepLines/>
              <w:spacing w:after="0"/>
              <w:jc w:val="center"/>
              <w:rPr>
                <w:rFonts w:ascii="Calibri" w:eastAsia="Calibri" w:hAnsi="Calibri" w:cs="Calibri"/>
                <w:color w:val="000000" w:themeColor="text1"/>
              </w:rPr>
            </w:pPr>
            <w:r w:rsidRPr="008813AE">
              <w:rPr>
                <w:rFonts w:ascii="Calibri" w:eastAsia="Calibri" w:hAnsi="Calibri" w:cs="Calibri"/>
                <w:color w:val="000000" w:themeColor="text1"/>
              </w:rPr>
              <w:t>3.6%</w:t>
            </w:r>
          </w:p>
        </w:tc>
      </w:tr>
      <w:tr w:rsidR="000B42CD" w:rsidRPr="008813AE" w14:paraId="12ACFB20" w14:textId="77777777" w:rsidTr="00E02509">
        <w:trPr>
          <w:trHeight w:val="390"/>
          <w:tblHeader/>
        </w:trPr>
        <w:tc>
          <w:tcPr>
            <w:tcW w:w="325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60B9924" w14:textId="77777777" w:rsidR="000B42CD" w:rsidRPr="008813AE" w:rsidRDefault="000B42CD" w:rsidP="000B42CD">
            <w:pPr>
              <w:keepNext/>
              <w:keepLines/>
              <w:spacing w:after="0"/>
              <w:rPr>
                <w:rFonts w:ascii="Calibri" w:eastAsia="Calibri" w:hAnsi="Calibri" w:cs="Calibri"/>
              </w:rPr>
            </w:pPr>
            <w:r w:rsidRPr="008813AE">
              <w:rPr>
                <w:rFonts w:ascii="Calibri" w:eastAsia="Calibri" w:hAnsi="Calibri" w:cs="Calibri"/>
                <w:b/>
                <w:bCs/>
              </w:rPr>
              <w:t>Total</w:t>
            </w:r>
          </w:p>
        </w:tc>
        <w:tc>
          <w:tcPr>
            <w:tcW w:w="29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5FEB5F3" w14:textId="77777777" w:rsidR="000B42CD" w:rsidRPr="008813AE" w:rsidRDefault="000B42CD" w:rsidP="00172A02">
            <w:pPr>
              <w:keepNext/>
              <w:keepLines/>
              <w:spacing w:after="0"/>
              <w:jc w:val="center"/>
              <w:rPr>
                <w:rFonts w:ascii="Calibri" w:eastAsia="Calibri" w:hAnsi="Calibri" w:cs="Calibri"/>
                <w:color w:val="000000" w:themeColor="text1"/>
              </w:rPr>
            </w:pPr>
            <w:r w:rsidRPr="008813AE">
              <w:rPr>
                <w:rFonts w:ascii="Calibri" w:eastAsia="Calibri" w:hAnsi="Calibri" w:cs="Calibri"/>
                <w:color w:val="000000" w:themeColor="text1"/>
              </w:rPr>
              <w:t>990,760</w:t>
            </w:r>
          </w:p>
        </w:tc>
        <w:tc>
          <w:tcPr>
            <w:tcW w:w="277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796E3C7" w14:textId="77777777" w:rsidR="000B42CD" w:rsidRPr="008813AE" w:rsidRDefault="000B42CD" w:rsidP="00172A02">
            <w:pPr>
              <w:keepNext/>
              <w:keepLines/>
              <w:spacing w:after="0"/>
              <w:jc w:val="center"/>
              <w:rPr>
                <w:rFonts w:ascii="Calibri" w:eastAsia="Calibri" w:hAnsi="Calibri" w:cs="Calibri"/>
                <w:color w:val="000000" w:themeColor="text1"/>
              </w:rPr>
            </w:pPr>
            <w:r w:rsidRPr="008813AE">
              <w:rPr>
                <w:rFonts w:ascii="Calibri" w:eastAsia="Calibri" w:hAnsi="Calibri" w:cs="Calibri"/>
                <w:color w:val="000000" w:themeColor="text1"/>
              </w:rPr>
              <w:t>100.0%</w:t>
            </w:r>
          </w:p>
        </w:tc>
      </w:tr>
    </w:tbl>
    <w:p w14:paraId="4232E07F" w14:textId="19BC6FE8" w:rsidR="003C268A" w:rsidRPr="008813AE" w:rsidRDefault="003C268A" w:rsidP="00DC748D">
      <w:pPr>
        <w:pStyle w:val="SubFigureCaption"/>
        <w:spacing w:after="120"/>
        <w:rPr>
          <w:b/>
          <w:lang w:val="en-GB"/>
        </w:rPr>
      </w:pPr>
      <w:r w:rsidRPr="008813AE">
        <w:t>Source: Department of Education administrative data</w:t>
      </w:r>
      <w:r w:rsidR="00006247" w:rsidRPr="008813AE">
        <w:t>.</w:t>
      </w:r>
    </w:p>
    <w:p w14:paraId="34DB3983" w14:textId="77777777" w:rsidR="003C268A" w:rsidRPr="008813AE" w:rsidRDefault="003C268A" w:rsidP="003C268A">
      <w:pPr>
        <w:pStyle w:val="SubHeading6"/>
      </w:pPr>
      <w:r w:rsidRPr="008813AE">
        <w:t>Hourly rate cap</w:t>
      </w:r>
    </w:p>
    <w:p w14:paraId="593A141B" w14:textId="70757A78" w:rsidR="003C268A" w:rsidRDefault="003C268A" w:rsidP="003C268A">
      <w:pPr>
        <w:pStyle w:val="Subbodytext"/>
        <w:rPr>
          <w:lang w:val="en-GB"/>
        </w:rPr>
      </w:pPr>
      <w:r w:rsidRPr="008813AE">
        <w:rPr>
          <w:lang w:val="en-GB"/>
        </w:rPr>
        <w:t>The hourly rate cap is the upper limit on the hourly fee to which the CCS rate can be applied. A</w:t>
      </w:r>
      <w:r w:rsidR="00E82BFF" w:rsidRPr="008813AE">
        <w:rPr>
          <w:lang w:val="en-GB"/>
        </w:rPr>
        <w:t> </w:t>
      </w:r>
      <w:r w:rsidRPr="008813AE">
        <w:rPr>
          <w:lang w:val="en-GB"/>
        </w:rPr>
        <w:t xml:space="preserve">family’s CCS entitlement is calculated based on the fee portion up to the hourly rate cap, and any fee portion above the rate cap is not subsidised (unless the child is entitled to ACCS). The hourly rate cap, which varies by service </w:t>
      </w:r>
      <w:r w:rsidR="00C645E7">
        <w:rPr>
          <w:lang w:val="en-GB"/>
        </w:rPr>
        <w:t xml:space="preserve">type </w:t>
      </w:r>
      <w:r w:rsidRPr="008813AE">
        <w:rPr>
          <w:lang w:val="en-GB"/>
        </w:rPr>
        <w:t xml:space="preserve">(refer to </w:t>
      </w:r>
      <w:r w:rsidRPr="008813AE">
        <w:rPr>
          <w:b/>
          <w:bCs/>
          <w:lang w:val="en-GB"/>
        </w:rPr>
        <w:t xml:space="preserve">Table </w:t>
      </w:r>
      <w:r w:rsidR="006866F4">
        <w:rPr>
          <w:b/>
          <w:bCs/>
          <w:lang w:val="en-GB"/>
        </w:rPr>
        <w:t>4</w:t>
      </w:r>
      <w:r w:rsidRPr="008813AE">
        <w:rPr>
          <w:lang w:val="en-GB"/>
        </w:rPr>
        <w:t xml:space="preserve">), is intended to put </w:t>
      </w:r>
      <w:r w:rsidR="00D17AFD">
        <w:rPr>
          <w:lang w:val="en-GB"/>
        </w:rPr>
        <w:t xml:space="preserve">downward </w:t>
      </w:r>
      <w:r w:rsidRPr="008813AE">
        <w:rPr>
          <w:lang w:val="en-GB"/>
        </w:rPr>
        <w:t>pressure on fee growth. It</w:t>
      </w:r>
      <w:r w:rsidR="00E82BFF" w:rsidRPr="008813AE">
        <w:rPr>
          <w:lang w:val="en-GB"/>
        </w:rPr>
        <w:t> </w:t>
      </w:r>
      <w:r w:rsidRPr="008813AE">
        <w:rPr>
          <w:lang w:val="en-GB"/>
        </w:rPr>
        <w:t>is</w:t>
      </w:r>
      <w:r w:rsidR="00E82BFF" w:rsidRPr="008813AE">
        <w:rPr>
          <w:lang w:val="en-GB"/>
        </w:rPr>
        <w:t> </w:t>
      </w:r>
      <w:r w:rsidRPr="008813AE">
        <w:rPr>
          <w:lang w:val="en-GB"/>
        </w:rPr>
        <w:t>indexed each July</w:t>
      </w:r>
      <w:r w:rsidR="00520A11">
        <w:rPr>
          <w:lang w:val="en-GB"/>
        </w:rPr>
        <w:t>,</w:t>
      </w:r>
      <w:r w:rsidRPr="008813AE">
        <w:rPr>
          <w:lang w:val="en-GB"/>
        </w:rPr>
        <w:t xml:space="preserve"> based on the Consumer Price Index for</w:t>
      </w:r>
      <w:r w:rsidRPr="10A0DE48">
        <w:rPr>
          <w:lang w:val="en-GB"/>
        </w:rPr>
        <w:t xml:space="preserve"> the previous December quarter.</w:t>
      </w:r>
    </w:p>
    <w:p w14:paraId="3398E628" w14:textId="57F893F3" w:rsidR="006866F4" w:rsidRDefault="00407D63" w:rsidP="006866F4">
      <w:pPr>
        <w:pStyle w:val="Caption"/>
        <w:keepNext/>
      </w:pPr>
      <w:r>
        <w:t xml:space="preserve">Table </w:t>
      </w:r>
      <w:r>
        <w:fldChar w:fldCharType="begin"/>
      </w:r>
      <w:r>
        <w:instrText>SEQ Table \* ARABIC</w:instrText>
      </w:r>
      <w:r>
        <w:fldChar w:fldCharType="separate"/>
      </w:r>
      <w:r w:rsidR="00D307AC">
        <w:rPr>
          <w:noProof/>
        </w:rPr>
        <w:t>4</w:t>
      </w:r>
      <w:r>
        <w:fldChar w:fldCharType="end"/>
      </w:r>
      <w:r>
        <w:t xml:space="preserve">: </w:t>
      </w:r>
      <w:r w:rsidRPr="005D56C4">
        <w:t>Hourly Rate Cap for the 2022–23 Year</w:t>
      </w:r>
    </w:p>
    <w:tbl>
      <w:tblPr>
        <w:tblStyle w:val="TableGrid"/>
        <w:tblW w:w="0" w:type="auto"/>
        <w:tblLayout w:type="fixed"/>
        <w:tblLook w:val="0020" w:firstRow="1" w:lastRow="0" w:firstColumn="0" w:lastColumn="0" w:noHBand="0" w:noVBand="0"/>
      </w:tblPr>
      <w:tblGrid>
        <w:gridCol w:w="5985"/>
        <w:gridCol w:w="2550"/>
      </w:tblGrid>
      <w:tr w:rsidR="003C268A" w14:paraId="2D941906" w14:textId="77777777" w:rsidTr="00E02509">
        <w:trPr>
          <w:trHeight w:val="390"/>
          <w:tblHeader/>
        </w:trPr>
        <w:tc>
          <w:tcPr>
            <w:tcW w:w="5985" w:type="dxa"/>
            <w:tcBorders>
              <w:top w:val="single" w:sz="6" w:space="0" w:color="auto"/>
              <w:left w:val="single" w:sz="6" w:space="0" w:color="auto"/>
              <w:bottom w:val="single" w:sz="6" w:space="0" w:color="auto"/>
              <w:right w:val="single" w:sz="6" w:space="0" w:color="auto"/>
            </w:tcBorders>
            <w:shd w:val="clear" w:color="auto" w:fill="5F646A"/>
            <w:tcMar>
              <w:left w:w="105" w:type="dxa"/>
              <w:right w:w="105" w:type="dxa"/>
            </w:tcMar>
            <w:vAlign w:val="center"/>
          </w:tcPr>
          <w:p w14:paraId="4E5F6E92" w14:textId="28B59456" w:rsidR="003C268A" w:rsidRPr="0043171D" w:rsidRDefault="00520A11" w:rsidP="0016139C">
            <w:pPr>
              <w:spacing w:after="0" w:line="259" w:lineRule="auto"/>
              <w:rPr>
                <w:rFonts w:ascii="Calibri" w:eastAsia="Calibri" w:hAnsi="Calibri" w:cs="Calibri"/>
                <w:b/>
                <w:bCs/>
                <w:color w:val="FFFFFF" w:themeColor="background1"/>
              </w:rPr>
            </w:pPr>
            <w:r>
              <w:rPr>
                <w:rFonts w:ascii="Calibri" w:eastAsia="Calibri" w:hAnsi="Calibri" w:cs="Calibri"/>
                <w:b/>
                <w:bCs/>
                <w:color w:val="FFFFFF" w:themeColor="background1"/>
              </w:rPr>
              <w:t>Service Type</w:t>
            </w:r>
          </w:p>
        </w:tc>
        <w:tc>
          <w:tcPr>
            <w:tcW w:w="2550" w:type="dxa"/>
            <w:tcBorders>
              <w:top w:val="single" w:sz="6" w:space="0" w:color="auto"/>
              <w:left w:val="single" w:sz="6" w:space="0" w:color="auto"/>
              <w:bottom w:val="single" w:sz="6" w:space="0" w:color="auto"/>
              <w:right w:val="single" w:sz="6" w:space="0" w:color="auto"/>
            </w:tcBorders>
            <w:shd w:val="clear" w:color="auto" w:fill="5F646A"/>
            <w:tcMar>
              <w:left w:w="105" w:type="dxa"/>
              <w:right w:w="105" w:type="dxa"/>
            </w:tcMar>
            <w:vAlign w:val="center"/>
          </w:tcPr>
          <w:p w14:paraId="3E21B11A" w14:textId="77777777" w:rsidR="003C268A" w:rsidRPr="0043171D" w:rsidRDefault="003C268A" w:rsidP="00172A02">
            <w:pPr>
              <w:spacing w:after="0" w:line="259" w:lineRule="auto"/>
              <w:jc w:val="center"/>
              <w:rPr>
                <w:rFonts w:ascii="Calibri" w:eastAsia="Calibri" w:hAnsi="Calibri" w:cs="Calibri"/>
                <w:b/>
                <w:bCs/>
                <w:color w:val="FFFFFF" w:themeColor="background1"/>
              </w:rPr>
            </w:pPr>
            <w:r w:rsidRPr="0043171D">
              <w:rPr>
                <w:rFonts w:ascii="Calibri" w:eastAsia="Calibri" w:hAnsi="Calibri" w:cs="Calibri"/>
                <w:b/>
                <w:bCs/>
                <w:color w:val="FFFFFF" w:themeColor="background1"/>
              </w:rPr>
              <w:t>Hourly rate cap</w:t>
            </w:r>
          </w:p>
        </w:tc>
      </w:tr>
      <w:tr w:rsidR="003C268A" w14:paraId="2082C380" w14:textId="77777777" w:rsidTr="00E02509">
        <w:trPr>
          <w:trHeight w:val="390"/>
          <w:tblHeader/>
        </w:trPr>
        <w:tc>
          <w:tcPr>
            <w:tcW w:w="59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590C835" w14:textId="4D75655A" w:rsidR="003C268A" w:rsidRDefault="00750CF3" w:rsidP="0016139C">
            <w:pPr>
              <w:spacing w:after="0" w:line="259" w:lineRule="auto"/>
              <w:rPr>
                <w:rFonts w:ascii="Calibri" w:eastAsia="Calibri" w:hAnsi="Calibri" w:cs="Calibri"/>
              </w:rPr>
            </w:pPr>
            <w:r w:rsidRPr="7420078A">
              <w:rPr>
                <w:rFonts w:ascii="Calibri" w:eastAsia="Calibri" w:hAnsi="Calibri" w:cs="Calibri"/>
              </w:rPr>
              <w:t>Centre</w:t>
            </w:r>
            <w:r>
              <w:rPr>
                <w:rFonts w:ascii="Calibri" w:eastAsia="Calibri" w:hAnsi="Calibri" w:cs="Calibri"/>
              </w:rPr>
              <w:t>-b</w:t>
            </w:r>
            <w:r w:rsidRPr="7420078A">
              <w:rPr>
                <w:rFonts w:ascii="Calibri" w:eastAsia="Calibri" w:hAnsi="Calibri" w:cs="Calibri"/>
              </w:rPr>
              <w:t>ased day care</w:t>
            </w:r>
          </w:p>
        </w:tc>
        <w:tc>
          <w:tcPr>
            <w:tcW w:w="25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5D689A" w14:textId="77777777" w:rsidR="003C268A" w:rsidRDefault="003C268A" w:rsidP="00172A02">
            <w:pPr>
              <w:spacing w:after="0" w:line="259" w:lineRule="auto"/>
              <w:jc w:val="center"/>
              <w:rPr>
                <w:rFonts w:ascii="Calibri" w:eastAsia="Calibri" w:hAnsi="Calibri" w:cs="Calibri"/>
                <w:color w:val="000000" w:themeColor="text1"/>
              </w:rPr>
            </w:pPr>
            <w:r w:rsidRPr="7420078A">
              <w:rPr>
                <w:rFonts w:ascii="Calibri" w:eastAsia="Calibri" w:hAnsi="Calibri" w:cs="Calibri"/>
                <w:color w:val="000000" w:themeColor="text1"/>
              </w:rPr>
              <w:t>$12.74</w:t>
            </w:r>
          </w:p>
        </w:tc>
      </w:tr>
      <w:tr w:rsidR="003C268A" w14:paraId="32F825A2" w14:textId="77777777" w:rsidTr="00E02509">
        <w:trPr>
          <w:trHeight w:val="390"/>
          <w:tblHeader/>
        </w:trPr>
        <w:tc>
          <w:tcPr>
            <w:tcW w:w="59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92BA06" w14:textId="36A0C882" w:rsidR="003C268A" w:rsidRDefault="00750CF3" w:rsidP="0016139C">
            <w:pPr>
              <w:spacing w:after="0" w:line="259" w:lineRule="auto"/>
              <w:rPr>
                <w:rFonts w:ascii="Calibri" w:eastAsia="Calibri" w:hAnsi="Calibri" w:cs="Calibri"/>
              </w:rPr>
            </w:pPr>
            <w:r w:rsidRPr="7420078A">
              <w:rPr>
                <w:rFonts w:ascii="Calibri" w:eastAsia="Calibri" w:hAnsi="Calibri" w:cs="Calibri"/>
              </w:rPr>
              <w:t>Family day care</w:t>
            </w:r>
          </w:p>
        </w:tc>
        <w:tc>
          <w:tcPr>
            <w:tcW w:w="25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F75EAF" w14:textId="77777777" w:rsidR="003C268A" w:rsidRDefault="003C268A" w:rsidP="00172A02">
            <w:pPr>
              <w:spacing w:after="0" w:line="259" w:lineRule="auto"/>
              <w:jc w:val="center"/>
              <w:rPr>
                <w:rFonts w:ascii="Calibri" w:eastAsia="Calibri" w:hAnsi="Calibri" w:cs="Calibri"/>
                <w:color w:val="000000" w:themeColor="text1"/>
              </w:rPr>
            </w:pPr>
            <w:r w:rsidRPr="7420078A">
              <w:rPr>
                <w:rFonts w:ascii="Calibri" w:eastAsia="Calibri" w:hAnsi="Calibri" w:cs="Calibri"/>
                <w:color w:val="000000" w:themeColor="text1"/>
              </w:rPr>
              <w:t>$11.80</w:t>
            </w:r>
          </w:p>
        </w:tc>
      </w:tr>
      <w:tr w:rsidR="003C268A" w14:paraId="258C7538" w14:textId="77777777" w:rsidTr="00E02509">
        <w:trPr>
          <w:trHeight w:val="390"/>
          <w:tblHeader/>
        </w:trPr>
        <w:tc>
          <w:tcPr>
            <w:tcW w:w="59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4C88B52" w14:textId="11151514" w:rsidR="003C268A" w:rsidRDefault="00750CF3" w:rsidP="0016139C">
            <w:pPr>
              <w:spacing w:after="0" w:line="259" w:lineRule="auto"/>
              <w:rPr>
                <w:rFonts w:ascii="Calibri" w:eastAsia="Calibri" w:hAnsi="Calibri" w:cs="Calibri"/>
              </w:rPr>
            </w:pPr>
            <w:r w:rsidRPr="7420078A">
              <w:rPr>
                <w:rFonts w:ascii="Calibri" w:eastAsia="Calibri" w:hAnsi="Calibri" w:cs="Calibri"/>
              </w:rPr>
              <w:t>Outside school hours care (including vacation care)</w:t>
            </w:r>
          </w:p>
        </w:tc>
        <w:tc>
          <w:tcPr>
            <w:tcW w:w="25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C95AFF7" w14:textId="77777777" w:rsidR="003C268A" w:rsidRDefault="003C268A" w:rsidP="00172A02">
            <w:pPr>
              <w:spacing w:after="0" w:line="259" w:lineRule="auto"/>
              <w:jc w:val="center"/>
              <w:rPr>
                <w:rFonts w:ascii="Calibri" w:eastAsia="Calibri" w:hAnsi="Calibri" w:cs="Calibri"/>
                <w:color w:val="000000" w:themeColor="text1"/>
              </w:rPr>
            </w:pPr>
            <w:r w:rsidRPr="7420078A">
              <w:rPr>
                <w:rFonts w:ascii="Calibri" w:eastAsia="Calibri" w:hAnsi="Calibri" w:cs="Calibri"/>
                <w:color w:val="000000" w:themeColor="text1"/>
              </w:rPr>
              <w:t>$11.15</w:t>
            </w:r>
          </w:p>
        </w:tc>
      </w:tr>
      <w:tr w:rsidR="003C268A" w14:paraId="36AEEB06" w14:textId="77777777" w:rsidTr="00E02509">
        <w:trPr>
          <w:trHeight w:val="390"/>
          <w:tblHeader/>
        </w:trPr>
        <w:tc>
          <w:tcPr>
            <w:tcW w:w="59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799AB2" w14:textId="6837FEA0" w:rsidR="003C268A" w:rsidRDefault="00750CF3" w:rsidP="00742BC3">
            <w:pPr>
              <w:spacing w:after="0" w:line="259" w:lineRule="auto"/>
              <w:rPr>
                <w:rFonts w:ascii="Calibri" w:eastAsia="Calibri" w:hAnsi="Calibri" w:cs="Calibri"/>
              </w:rPr>
            </w:pPr>
            <w:r w:rsidRPr="7420078A">
              <w:rPr>
                <w:rFonts w:ascii="Calibri" w:eastAsia="Calibri" w:hAnsi="Calibri" w:cs="Calibri"/>
              </w:rPr>
              <w:t>In home care</w:t>
            </w:r>
          </w:p>
        </w:tc>
        <w:tc>
          <w:tcPr>
            <w:tcW w:w="25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C305EBB" w14:textId="1631EA09" w:rsidR="003C268A" w:rsidRDefault="003C268A" w:rsidP="00172A02">
            <w:pPr>
              <w:spacing w:after="0" w:line="259" w:lineRule="auto"/>
              <w:jc w:val="center"/>
              <w:rPr>
                <w:rFonts w:ascii="Calibri" w:eastAsia="Calibri" w:hAnsi="Calibri" w:cs="Calibri"/>
                <w:color w:val="000000" w:themeColor="text1"/>
              </w:rPr>
            </w:pPr>
            <w:r w:rsidRPr="7420078A">
              <w:rPr>
                <w:rFonts w:ascii="Calibri" w:eastAsia="Calibri" w:hAnsi="Calibri" w:cs="Calibri"/>
                <w:color w:val="000000" w:themeColor="text1"/>
              </w:rPr>
              <w:t>$34.64 per family</w:t>
            </w:r>
          </w:p>
        </w:tc>
      </w:tr>
    </w:tbl>
    <w:p w14:paraId="6F7B1CC5" w14:textId="39188125" w:rsidR="003C268A" w:rsidRDefault="006319E4" w:rsidP="00DC748D">
      <w:pPr>
        <w:pStyle w:val="SubFigureCaption"/>
        <w:spacing w:after="120"/>
      </w:pPr>
      <w:r w:rsidRPr="009C3E4B">
        <w:t xml:space="preserve">The higher subsidy rate for </w:t>
      </w:r>
      <w:r w:rsidR="00750CF3" w:rsidRPr="009C3E4B">
        <w:t xml:space="preserve">in home care </w:t>
      </w:r>
      <w:r w:rsidRPr="009C3E4B">
        <w:t xml:space="preserve">(IHC) is reflective of the higher expense of employing an educator to provide care in </w:t>
      </w:r>
      <w:r w:rsidR="00520A11">
        <w:t>a</w:t>
      </w:r>
      <w:r w:rsidRPr="009C3E4B">
        <w:t xml:space="preserve"> family home. It is a family rate, not an individual rate. IHC services pass on costs of providing IHC to families. The Government pays a higher subsidy for IHC to ensure</w:t>
      </w:r>
      <w:r w:rsidR="00431477">
        <w:t xml:space="preserve"> that</w:t>
      </w:r>
      <w:r w:rsidRPr="009C3E4B">
        <w:t xml:space="preserve"> the care type is affordable for families</w:t>
      </w:r>
      <w:r w:rsidR="000C6E2D">
        <w:t>—</w:t>
      </w:r>
      <w:r w:rsidRPr="009C3E4B">
        <w:t>keeping out-of-pocket costs reasonable. An IHC family hourly rate cap of $34.64 is comparable to having 3 children in Family Day Care at an hourly rate cap of $11.80 per child, totalling $35.40.</w:t>
      </w:r>
    </w:p>
    <w:p w14:paraId="610B985E" w14:textId="4847533F" w:rsidR="003C268A" w:rsidRPr="00F940D4" w:rsidRDefault="003C268A" w:rsidP="003C268A">
      <w:pPr>
        <w:pStyle w:val="SubHeading6"/>
      </w:pPr>
      <w:r>
        <w:t>Balancing (reconciliation</w:t>
      </w:r>
      <w:r w:rsidR="00744A7C">
        <w:t>)</w:t>
      </w:r>
      <w:r>
        <w:t xml:space="preserve"> process</w:t>
      </w:r>
    </w:p>
    <w:p w14:paraId="14E13015" w14:textId="42586748" w:rsidR="003C268A" w:rsidRDefault="003C268A" w:rsidP="003C268A">
      <w:pPr>
        <w:pStyle w:val="Subbodytext"/>
        <w:rPr>
          <w:lang w:val="en-GB"/>
        </w:rPr>
      </w:pPr>
      <w:r w:rsidRPr="7420078A">
        <w:t xml:space="preserve">The CCS balancing </w:t>
      </w:r>
      <w:r>
        <w:t xml:space="preserve">(reconciliation) </w:t>
      </w:r>
      <w:r w:rsidRPr="7420078A">
        <w:t xml:space="preserve">process determines </w:t>
      </w:r>
      <w:r w:rsidR="00942808">
        <w:t>whether</w:t>
      </w:r>
      <w:r w:rsidRPr="7420078A">
        <w:t xml:space="preserve"> a family has received the correct amount of</w:t>
      </w:r>
      <w:r w:rsidR="00E82BFF">
        <w:t> </w:t>
      </w:r>
      <w:r w:rsidRPr="7420078A">
        <w:t>CCS throughout a relevant financial year, based on their actual adjusted taxable income for that year. Families meet the balancing requirements by lodging their tax return</w:t>
      </w:r>
      <w:r>
        <w:t>,</w:t>
      </w:r>
      <w:r w:rsidRPr="7420078A">
        <w:t xml:space="preserve"> or </w:t>
      </w:r>
      <w:r w:rsidR="00B20FAE">
        <w:t xml:space="preserve">by </w:t>
      </w:r>
      <w:r w:rsidRPr="7420078A">
        <w:t xml:space="preserve">notifying Services Australia </w:t>
      </w:r>
      <w:r w:rsidR="00B20FAE">
        <w:t xml:space="preserve">that </w:t>
      </w:r>
      <w:r w:rsidRPr="7420078A">
        <w:t>they are not required to lodge and confirming their income.</w:t>
      </w:r>
      <w:r>
        <w:t xml:space="preserve"> </w:t>
      </w:r>
      <w:r w:rsidR="005678A6">
        <w:t>The o</w:t>
      </w:r>
      <w:r w:rsidRPr="7420078A">
        <w:t xml:space="preserve">utcome </w:t>
      </w:r>
      <w:r w:rsidR="005678A6">
        <w:t>of</w:t>
      </w:r>
      <w:r w:rsidRPr="7420078A">
        <w:t xml:space="preserve"> </w:t>
      </w:r>
      <w:r w:rsidR="00F63F60">
        <w:t>the</w:t>
      </w:r>
      <w:r>
        <w:t xml:space="preserve"> </w:t>
      </w:r>
      <w:r w:rsidRPr="7420078A">
        <w:t xml:space="preserve">balancing process </w:t>
      </w:r>
      <w:r w:rsidR="00F63F60">
        <w:t>can be</w:t>
      </w:r>
      <w:r w:rsidRPr="7420078A">
        <w:t xml:space="preserve"> a top-up payment, nil adjustment, or a debt.</w:t>
      </w:r>
    </w:p>
    <w:p w14:paraId="1DFE589E" w14:textId="77777777" w:rsidR="003C268A" w:rsidRPr="00F940D4" w:rsidRDefault="003C268A" w:rsidP="003C268A">
      <w:pPr>
        <w:pStyle w:val="SubHeading6"/>
      </w:pPr>
      <w:r>
        <w:t>Debt</w:t>
      </w:r>
    </w:p>
    <w:p w14:paraId="419A67B6" w14:textId="63975D7C" w:rsidR="003C268A" w:rsidRDefault="003C268A" w:rsidP="003C268A">
      <w:pPr>
        <w:pStyle w:val="Subbodytext"/>
        <w:rPr>
          <w:lang w:val="en-GB"/>
        </w:rPr>
      </w:pPr>
      <w:r>
        <w:t xml:space="preserve">A family </w:t>
      </w:r>
      <w:r w:rsidR="00E45CA4">
        <w:t>can incur debt</w:t>
      </w:r>
      <w:r>
        <w:t xml:space="preserve"> when they receive more CCS than they were entitled to receive. The main reasons families incur debts are </w:t>
      </w:r>
      <w:r w:rsidR="00032F72">
        <w:t>as a result of</w:t>
      </w:r>
      <w:r w:rsidR="00376122">
        <w:t xml:space="preserve"> the </w:t>
      </w:r>
      <w:r w:rsidR="00D41108">
        <w:t xml:space="preserve">CCS </w:t>
      </w:r>
      <w:r>
        <w:t xml:space="preserve">balancing </w:t>
      </w:r>
      <w:r w:rsidR="00D41108">
        <w:t>process</w:t>
      </w:r>
      <w:r>
        <w:t xml:space="preserve">, </w:t>
      </w:r>
      <w:r w:rsidR="00E7048B">
        <w:t xml:space="preserve">a </w:t>
      </w:r>
      <w:r>
        <w:t xml:space="preserve">failure to meet balancing requirements (i.e. not submitting a tax return), and changes to entitlement. To assist families with reducing the likelihood of an overpayment after balancing has occurred, </w:t>
      </w:r>
      <w:r w:rsidR="009E2979">
        <w:t>5</w:t>
      </w:r>
      <w:r w:rsidR="00346148">
        <w:t> per cent</w:t>
      </w:r>
      <w:r>
        <w:t xml:space="preserve"> of their CCS entitlement is</w:t>
      </w:r>
      <w:r w:rsidR="00522B37">
        <w:t xml:space="preserve"> </w:t>
      </w:r>
      <w:r>
        <w:t>withheld each fortnight throughout the financial year. Service providers may also incur debts—for example, if they are overpaid CCS, or if they fail to pass a CCS payment</w:t>
      </w:r>
      <w:r w:rsidR="00520A11">
        <w:t xml:space="preserve"> on</w:t>
      </w:r>
      <w:r>
        <w:t xml:space="preserve"> to an entitled individual.</w:t>
      </w:r>
    </w:p>
    <w:p w14:paraId="5B898170" w14:textId="77777777" w:rsidR="003C268A" w:rsidRDefault="003C268A" w:rsidP="00087EAE">
      <w:pPr>
        <w:pStyle w:val="SubSectionHeading"/>
      </w:pPr>
      <w:bookmarkStart w:id="45" w:name="_Toc133778848"/>
      <w:bookmarkStart w:id="46" w:name="_Toc134023013"/>
      <w:bookmarkStart w:id="47" w:name="_Toc134173418"/>
      <w:bookmarkStart w:id="48" w:name="_Toc135404852"/>
      <w:r>
        <w:t>Child Care Safety Net</w:t>
      </w:r>
      <w:bookmarkEnd w:id="45"/>
      <w:bookmarkEnd w:id="46"/>
      <w:bookmarkEnd w:id="47"/>
      <w:bookmarkEnd w:id="48"/>
    </w:p>
    <w:p w14:paraId="45379B1A" w14:textId="77882D71" w:rsidR="003C268A" w:rsidRDefault="003D04A2" w:rsidP="003C268A">
      <w:pPr>
        <w:pStyle w:val="Subbodytext"/>
      </w:pPr>
      <w:r>
        <w:rPr>
          <w:lang w:val="en-GB"/>
        </w:rPr>
        <w:t>T</w:t>
      </w:r>
      <w:r w:rsidRPr="3E2273CA">
        <w:rPr>
          <w:lang w:val="en-GB"/>
        </w:rPr>
        <w:t xml:space="preserve">he Government provides extra support for vulnerable children </w:t>
      </w:r>
      <w:r w:rsidRPr="00D53CF3">
        <w:rPr>
          <w:lang w:val="en-GB"/>
        </w:rPr>
        <w:t>t</w:t>
      </w:r>
      <w:r w:rsidR="003C268A" w:rsidRPr="00D53CF3">
        <w:rPr>
          <w:lang w:val="en-GB"/>
        </w:rPr>
        <w:t>hrough</w:t>
      </w:r>
      <w:r w:rsidR="003C268A" w:rsidRPr="3E2273CA">
        <w:rPr>
          <w:lang w:val="en-GB"/>
        </w:rPr>
        <w:t xml:space="preserve"> the Child Care Safety Net </w:t>
      </w:r>
      <w:r w:rsidR="00D32282">
        <w:rPr>
          <w:lang w:val="en-GB"/>
        </w:rPr>
        <w:t>to</w:t>
      </w:r>
      <w:r w:rsidR="00E82BFF">
        <w:rPr>
          <w:lang w:val="en-GB"/>
        </w:rPr>
        <w:t> </w:t>
      </w:r>
      <w:r w:rsidR="003C268A" w:rsidRPr="00D53CF3">
        <w:rPr>
          <w:lang w:val="en-GB"/>
        </w:rPr>
        <w:t>help them</w:t>
      </w:r>
      <w:r w:rsidR="003C268A" w:rsidRPr="3E2273CA">
        <w:rPr>
          <w:lang w:val="en-GB"/>
        </w:rPr>
        <w:t xml:space="preserve"> get a strong start in life and help their parents work or undertake other activity. The</w:t>
      </w:r>
      <w:r w:rsidR="00E82BFF">
        <w:rPr>
          <w:lang w:val="en-GB"/>
        </w:rPr>
        <w:t> </w:t>
      </w:r>
      <w:r w:rsidR="003C268A" w:rsidRPr="3E2273CA">
        <w:rPr>
          <w:lang w:val="en-GB"/>
        </w:rPr>
        <w:t>Safety Net includes the ACCS, the Community Child Care Fund (CCCF), the Inclusion Support Program (ISP)</w:t>
      </w:r>
      <w:r w:rsidR="00E011F9">
        <w:rPr>
          <w:lang w:val="en-GB"/>
        </w:rPr>
        <w:t>,</w:t>
      </w:r>
      <w:r w:rsidR="003C268A" w:rsidRPr="3E2273CA">
        <w:rPr>
          <w:lang w:val="en-GB"/>
        </w:rPr>
        <w:t xml:space="preserve"> and the low-income CCS activity test exemption.</w:t>
      </w:r>
    </w:p>
    <w:p w14:paraId="01460021" w14:textId="3E442EEE" w:rsidR="003C268A" w:rsidRPr="009234D9" w:rsidRDefault="003C268A" w:rsidP="003C268A">
      <w:pPr>
        <w:pStyle w:val="Subbodytext"/>
        <w:rPr>
          <w:lang w:val="en-GB"/>
        </w:rPr>
      </w:pPr>
      <w:r w:rsidRPr="3E2273CA">
        <w:rPr>
          <w:lang w:val="en-GB"/>
        </w:rPr>
        <w:t>Support under the Safety Net covers a number of priority cohorts, including children with developmental delay</w:t>
      </w:r>
      <w:r w:rsidR="00520A11">
        <w:rPr>
          <w:lang w:val="en-GB"/>
        </w:rPr>
        <w:t xml:space="preserve"> or</w:t>
      </w:r>
      <w:r w:rsidRPr="3E2273CA">
        <w:rPr>
          <w:lang w:val="en-GB"/>
        </w:rPr>
        <w:t xml:space="preserve"> disability, culturally and linguistically diverse children, children from low </w:t>
      </w:r>
      <w:r>
        <w:rPr>
          <w:lang w:val="en-GB"/>
        </w:rPr>
        <w:t>socioeconomic status</w:t>
      </w:r>
      <w:r w:rsidRPr="3E2273CA">
        <w:rPr>
          <w:lang w:val="en-GB"/>
        </w:rPr>
        <w:t xml:space="preserve"> backgrounds, First Nations children and families, and children living in regional and remote locations.</w:t>
      </w:r>
    </w:p>
    <w:p w14:paraId="757F90A2" w14:textId="6708CF2A" w:rsidR="003C268A" w:rsidRPr="00B61F8E" w:rsidRDefault="003C268A" w:rsidP="003C268A">
      <w:pPr>
        <w:pStyle w:val="SubHeading6"/>
      </w:pPr>
      <w:r w:rsidRPr="00B61F8E">
        <w:t>Additional Child Care Subsidy</w:t>
      </w:r>
    </w:p>
    <w:p w14:paraId="39DC7BDB" w14:textId="7ECED4E0" w:rsidR="003C268A" w:rsidRDefault="003C268A" w:rsidP="003C268A">
      <w:pPr>
        <w:pStyle w:val="Subbodytext"/>
      </w:pPr>
      <w:r>
        <w:t xml:space="preserve">The </w:t>
      </w:r>
      <w:r w:rsidRPr="3E2273CA">
        <w:t xml:space="preserve">ACCS provides additional </w:t>
      </w:r>
      <w:r w:rsidR="00520A11">
        <w:t xml:space="preserve">fee </w:t>
      </w:r>
      <w:r w:rsidRPr="3E2273CA">
        <w:t xml:space="preserve">help to families facing barriers to ECEC. </w:t>
      </w:r>
      <w:r w:rsidR="00520A11">
        <w:t>Rather than CCS, e</w:t>
      </w:r>
      <w:r w:rsidRPr="3E2273CA">
        <w:t>ligible children may receive ACCS, which provides a higher rate of subsidy for up to 100 hours per</w:t>
      </w:r>
      <w:r w:rsidR="00E82BFF">
        <w:t> </w:t>
      </w:r>
      <w:r w:rsidRPr="3E2273CA">
        <w:t>fortnight.</w:t>
      </w:r>
      <w:r>
        <w:t xml:space="preserve"> There are 4 categories of funding under the ACCS:</w:t>
      </w:r>
    </w:p>
    <w:p w14:paraId="5A88603E" w14:textId="719FEC6A" w:rsidR="003C268A" w:rsidRDefault="003C268A" w:rsidP="00B23060">
      <w:pPr>
        <w:pStyle w:val="SubList"/>
      </w:pPr>
      <w:r w:rsidRPr="009234D9">
        <w:rPr>
          <w:b/>
          <w:bCs/>
        </w:rPr>
        <w:t>ACCS Child Wellbeing</w:t>
      </w:r>
      <w:r>
        <w:t xml:space="preserve">: Children </w:t>
      </w:r>
      <w:r w:rsidRPr="00154D8E">
        <w:t>at risk of serious abuse or neglect</w:t>
      </w:r>
      <w:r>
        <w:t xml:space="preserve"> </w:t>
      </w:r>
      <w:r w:rsidRPr="00154D8E">
        <w:t>may receive 100</w:t>
      </w:r>
      <w:r w:rsidR="00AB3C2B">
        <w:t> </w:t>
      </w:r>
      <w:r w:rsidRPr="00154D8E">
        <w:t>subsidised hours (at up to 120</w:t>
      </w:r>
      <w:r w:rsidR="00346148">
        <w:t> per cent</w:t>
      </w:r>
      <w:r w:rsidRPr="00154D8E">
        <w:t xml:space="preserve"> of the hourly rate cap).</w:t>
      </w:r>
    </w:p>
    <w:p w14:paraId="3CE102A4" w14:textId="15FF2BE8" w:rsidR="003C268A" w:rsidRDefault="003C268A" w:rsidP="00B23060">
      <w:pPr>
        <w:pStyle w:val="SubList"/>
      </w:pPr>
      <w:r w:rsidRPr="3E2273CA">
        <w:rPr>
          <w:b/>
          <w:bCs/>
        </w:rPr>
        <w:t>ACCS Grandparent</w:t>
      </w:r>
      <w:r>
        <w:t>: A</w:t>
      </w:r>
      <w:r w:rsidRPr="3E2273CA">
        <w:t>ged pensioners who are the primary carers of a grandchild can receive 100 subsidised hours (at up to 120</w:t>
      </w:r>
      <w:r w:rsidR="00346148">
        <w:t> per cent</w:t>
      </w:r>
      <w:r w:rsidRPr="3E2273CA">
        <w:t xml:space="preserve"> of the hourly rate cap).</w:t>
      </w:r>
    </w:p>
    <w:p w14:paraId="1F2F186F" w14:textId="468866DC" w:rsidR="003C268A" w:rsidRDefault="003C268A" w:rsidP="00B23060">
      <w:pPr>
        <w:pStyle w:val="SubList"/>
      </w:pPr>
      <w:r w:rsidRPr="3E2273CA">
        <w:rPr>
          <w:b/>
          <w:bCs/>
        </w:rPr>
        <w:t>ACCS Temporary Financial Hardship</w:t>
      </w:r>
      <w:r>
        <w:t>: F</w:t>
      </w:r>
      <w:r w:rsidRPr="3E2273CA">
        <w:t>amilies who experience financial hardship can receive 100 subsidised hours (at up to 120</w:t>
      </w:r>
      <w:r w:rsidR="00346148">
        <w:t> per cent</w:t>
      </w:r>
      <w:r w:rsidRPr="3E2273CA">
        <w:t xml:space="preserve"> of the hourly rate cap) for 13 weeks.</w:t>
      </w:r>
    </w:p>
    <w:p w14:paraId="6CC91F68" w14:textId="7818380A" w:rsidR="00D868C5" w:rsidRDefault="003C268A" w:rsidP="00FB2839">
      <w:pPr>
        <w:pStyle w:val="SubList"/>
      </w:pPr>
      <w:r w:rsidRPr="3E2273CA">
        <w:rPr>
          <w:b/>
          <w:bCs/>
        </w:rPr>
        <w:t>ACCS Transition to Work</w:t>
      </w:r>
      <w:r>
        <w:t>: F</w:t>
      </w:r>
      <w:r w:rsidRPr="3E2273CA">
        <w:t>amilies transitioning from income support to work can receive up</w:t>
      </w:r>
      <w:r w:rsidR="00D034A5">
        <w:t> </w:t>
      </w:r>
      <w:r w:rsidRPr="3E2273CA">
        <w:t>to 100 subsidised hours at a CCS rate of 95</w:t>
      </w:r>
      <w:r w:rsidR="00346148">
        <w:t> per cent</w:t>
      </w:r>
      <w:r w:rsidRPr="3E2273CA">
        <w:t>.</w:t>
      </w:r>
    </w:p>
    <w:p w14:paraId="28AF6D87" w14:textId="50C67264" w:rsidR="00D868C5" w:rsidRPr="000818AF" w:rsidRDefault="00D868C5" w:rsidP="00D868C5">
      <w:pPr>
        <w:pStyle w:val="Subbodytext"/>
      </w:pPr>
      <w:r>
        <w:t xml:space="preserve">Services Australia maintains the service delivery of ACCS programs </w:t>
      </w:r>
      <w:r w:rsidR="00520A11">
        <w:t xml:space="preserve">and </w:t>
      </w:r>
      <w:r>
        <w:t>engage</w:t>
      </w:r>
      <w:r w:rsidR="00520A11">
        <w:t>s</w:t>
      </w:r>
      <w:r>
        <w:t xml:space="preserve"> with CCS claimants, including individuals, families</w:t>
      </w:r>
      <w:r w:rsidR="004B4DA4">
        <w:t>,</w:t>
      </w:r>
      <w:r>
        <w:t xml:space="preserve"> and carers, to facilitate access to ACCS</w:t>
      </w:r>
      <w:r w:rsidR="00520A11">
        <w:t>,</w:t>
      </w:r>
      <w:r>
        <w:t xml:space="preserve"> including receipt and processing of claims. </w:t>
      </w:r>
      <w:r w:rsidRPr="000818AF">
        <w:t>The majority of ACCS (child wellbeing) applications</w:t>
      </w:r>
      <w:r w:rsidR="006C5480">
        <w:t xml:space="preserve"> </w:t>
      </w:r>
      <w:r w:rsidRPr="000818AF">
        <w:t>are processed by Services Australia</w:t>
      </w:r>
      <w:r w:rsidR="008E3186">
        <w:t>.</w:t>
      </w:r>
    </w:p>
    <w:p w14:paraId="45598B05" w14:textId="0260172C" w:rsidR="00D868C5" w:rsidRPr="009234D9" w:rsidRDefault="0DADBC21" w:rsidP="00803FC9">
      <w:pPr>
        <w:pStyle w:val="Subbodytext"/>
      </w:pPr>
      <w:r>
        <w:t>The Department of Education assess</w:t>
      </w:r>
      <w:r w:rsidR="00520A11">
        <w:t>es</w:t>
      </w:r>
      <w:r>
        <w:t xml:space="preserve"> and manage</w:t>
      </w:r>
      <w:r w:rsidR="00520A11">
        <w:t>s</w:t>
      </w:r>
      <w:r>
        <w:t xml:space="preserve"> applications to extend backdating in exceptional circumstances. </w:t>
      </w:r>
      <w:r w:rsidR="00D868C5" w:rsidRPr="000818AF">
        <w:t>In July 2021</w:t>
      </w:r>
      <w:r w:rsidR="00BB162F">
        <w:t>,</w:t>
      </w:r>
      <w:r w:rsidR="00D868C5" w:rsidRPr="000818AF">
        <w:t xml:space="preserve"> extended backdating provisions were introduced</w:t>
      </w:r>
      <w:r w:rsidR="00520A11">
        <w:t>—</w:t>
      </w:r>
      <w:r w:rsidR="00D868C5" w:rsidRPr="000818AF">
        <w:t>allowing services to apply to backdate ACCS (child wellbeing) applications beyond 28 days (and up to 13 weeks) in exceptional circumstances</w:t>
      </w:r>
      <w:r w:rsidR="00BB162F">
        <w:t xml:space="preserve"> (refer to </w:t>
      </w:r>
      <w:r w:rsidR="00B50AC9">
        <w:rPr>
          <w:b/>
          <w:bCs/>
        </w:rPr>
        <w:t>Section </w:t>
      </w:r>
      <w:r w:rsidR="00BB162F">
        <w:rPr>
          <w:b/>
          <w:bCs/>
        </w:rPr>
        <w:t>4.2</w:t>
      </w:r>
      <w:r w:rsidR="00BB162F">
        <w:t>)</w:t>
      </w:r>
      <w:r w:rsidR="00D868C5" w:rsidRPr="000818AF">
        <w:t>.</w:t>
      </w:r>
    </w:p>
    <w:p w14:paraId="5AE116C2" w14:textId="49222CD8" w:rsidR="00B97CFB" w:rsidRDefault="00B97CFB" w:rsidP="00803FC9">
      <w:pPr>
        <w:pStyle w:val="Caption"/>
        <w:keepNext/>
      </w:pPr>
      <w:r>
        <w:t xml:space="preserve">Figure </w:t>
      </w:r>
      <w:r>
        <w:fldChar w:fldCharType="begin"/>
      </w:r>
      <w:r>
        <w:instrText>SEQ Figure \* ARABIC</w:instrText>
      </w:r>
      <w:r>
        <w:fldChar w:fldCharType="separate"/>
      </w:r>
      <w:r w:rsidR="00D307AC">
        <w:rPr>
          <w:noProof/>
        </w:rPr>
        <w:t>8</w:t>
      </w:r>
      <w:r>
        <w:fldChar w:fldCharType="end"/>
      </w:r>
      <w:r>
        <w:t>:</w:t>
      </w:r>
      <w:r w:rsidRPr="00B97CFB">
        <w:t xml:space="preserve"> </w:t>
      </w:r>
      <w:r w:rsidRPr="00071964">
        <w:t xml:space="preserve">Children Accessing ACCS, </w:t>
      </w:r>
      <w:r w:rsidRPr="3E2273CA">
        <w:t>September Quarter 201</w:t>
      </w:r>
      <w:r w:rsidR="00171813">
        <w:t>8</w:t>
      </w:r>
      <w:r w:rsidRPr="3E2273CA">
        <w:t xml:space="preserve"> to </w:t>
      </w:r>
      <w:r w:rsidRPr="00F52275">
        <w:t>September Quarter 2022</w:t>
      </w:r>
    </w:p>
    <w:p w14:paraId="0BEA2834" w14:textId="49E616CF" w:rsidR="003C268A" w:rsidRPr="0069595F" w:rsidRDefault="2B99D232" w:rsidP="00DC748D">
      <w:pPr>
        <w:pStyle w:val="SubFigureCaption"/>
        <w:spacing w:after="120"/>
      </w:pPr>
      <w:r>
        <w:rPr>
          <w:noProof/>
        </w:rPr>
        <w:drawing>
          <wp:inline distT="0" distB="0" distL="0" distR="0" wp14:anchorId="0DDBD7CD" wp14:editId="44337A94">
            <wp:extent cx="5580684" cy="3140015"/>
            <wp:effectExtent l="0" t="0" r="1270" b="3810"/>
            <wp:docPr id="32" name="Picture 32" descr="A graph showing the number of Children Accessing ACC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aph showing the number of Children Accessing ACCS over time."/>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580684" cy="3140015"/>
                    </a:xfrm>
                    <a:prstGeom prst="rect">
                      <a:avLst/>
                    </a:prstGeom>
                  </pic:spPr>
                </pic:pic>
              </a:graphicData>
            </a:graphic>
          </wp:inline>
        </w:drawing>
      </w:r>
      <w:r w:rsidR="003C268A" w:rsidRPr="0069595F">
        <w:t>Source: Department of Education administrative data</w:t>
      </w:r>
      <w:r w:rsidR="00544773" w:rsidRPr="0069595F">
        <w:rPr>
          <w:bCs/>
        </w:rPr>
        <w:t>.</w:t>
      </w:r>
    </w:p>
    <w:p w14:paraId="31150B8A" w14:textId="7CA4D6CA" w:rsidR="003C268A" w:rsidRPr="00B61F8E" w:rsidRDefault="003C268A" w:rsidP="003C268A">
      <w:pPr>
        <w:pStyle w:val="SubHeading6"/>
      </w:pPr>
      <w:bookmarkStart w:id="49" w:name="_Hlk135040119"/>
      <w:r w:rsidRPr="00B61F8E">
        <w:t>C</w:t>
      </w:r>
      <w:r w:rsidR="00396757">
        <w:t xml:space="preserve">hild </w:t>
      </w:r>
      <w:r w:rsidRPr="00B61F8E">
        <w:t>C</w:t>
      </w:r>
      <w:r w:rsidR="00396757">
        <w:t xml:space="preserve">are </w:t>
      </w:r>
      <w:r w:rsidRPr="00B61F8E">
        <w:t>S</w:t>
      </w:r>
      <w:r w:rsidR="00396757">
        <w:t>ubsidy</w:t>
      </w:r>
      <w:r w:rsidRPr="00B61F8E">
        <w:t xml:space="preserve"> low-income activity test exemption</w:t>
      </w:r>
    </w:p>
    <w:p w14:paraId="1F98BA3A" w14:textId="375CBB99" w:rsidR="004F2F61" w:rsidRDefault="003C268A" w:rsidP="00172A02">
      <w:pPr>
        <w:pStyle w:val="Subbodytext"/>
      </w:pPr>
      <w:r w:rsidRPr="3E2273CA">
        <w:rPr>
          <w:lang w:val="en-GB"/>
        </w:rPr>
        <w:t>Low-income families have a base entitlement to 24 hours of CCS per fortnight</w:t>
      </w:r>
      <w:r>
        <w:rPr>
          <w:lang w:val="en-GB"/>
        </w:rPr>
        <w:t xml:space="preserve"> (‘CCS24’),</w:t>
      </w:r>
      <w:r w:rsidRPr="3E2273CA">
        <w:rPr>
          <w:lang w:val="en-GB"/>
        </w:rPr>
        <w:t xml:space="preserve"> regardless of their activity levels. This is intended to ensure </w:t>
      </w:r>
      <w:r>
        <w:rPr>
          <w:lang w:val="en-GB"/>
        </w:rPr>
        <w:t xml:space="preserve">that </w:t>
      </w:r>
      <w:r w:rsidRPr="3E2273CA">
        <w:rPr>
          <w:lang w:val="en-GB"/>
        </w:rPr>
        <w:t>economically</w:t>
      </w:r>
      <w:r>
        <w:rPr>
          <w:lang w:val="en-GB"/>
        </w:rPr>
        <w:t xml:space="preserve"> disadvantaged</w:t>
      </w:r>
      <w:r w:rsidRPr="3E2273CA">
        <w:rPr>
          <w:lang w:val="en-GB"/>
        </w:rPr>
        <w:t xml:space="preserve"> children retain some access to </w:t>
      </w:r>
      <w:r w:rsidR="0009128A">
        <w:rPr>
          <w:lang w:val="en-GB"/>
        </w:rPr>
        <w:t xml:space="preserve">child care </w:t>
      </w:r>
      <w:r>
        <w:rPr>
          <w:lang w:val="en-GB"/>
        </w:rPr>
        <w:t>to</w:t>
      </w:r>
      <w:r w:rsidRPr="3E2273CA">
        <w:rPr>
          <w:lang w:val="en-GB"/>
        </w:rPr>
        <w:t xml:space="preserve"> support their development outcomes. </w:t>
      </w:r>
      <w:r>
        <w:rPr>
          <w:lang w:val="en-GB"/>
        </w:rPr>
        <w:t xml:space="preserve">Before the CCS was introduced, departmental modelling </w:t>
      </w:r>
      <w:r w:rsidRPr="3E2273CA">
        <w:t>estimated that 5.3</w:t>
      </w:r>
      <w:r w:rsidR="00346148">
        <w:t> per cent</w:t>
      </w:r>
      <w:r w:rsidRPr="3E2273CA">
        <w:t xml:space="preserve"> of all families who access CCS </w:t>
      </w:r>
      <w:r>
        <w:t>(</w:t>
      </w:r>
      <w:r w:rsidRPr="3E2273CA">
        <w:t>approximately 54,300 families</w:t>
      </w:r>
      <w:r>
        <w:t>)</w:t>
      </w:r>
      <w:r w:rsidRPr="3E2273CA">
        <w:t xml:space="preserve"> would access CCS24 in 2018</w:t>
      </w:r>
      <w:r w:rsidRPr="408AED14">
        <w:rPr>
          <w:lang w:val="en-GB"/>
        </w:rPr>
        <w:t>–</w:t>
      </w:r>
      <w:r w:rsidRPr="3E2273CA">
        <w:t>19. In December 2018</w:t>
      </w:r>
      <w:r>
        <w:t>,</w:t>
      </w:r>
      <w:r w:rsidRPr="3E2273CA">
        <w:t xml:space="preserve"> 32,110 children accessed CCS24</w:t>
      </w:r>
      <w:r w:rsidR="00B107FC">
        <w:t>.</w:t>
      </w:r>
      <w:r>
        <w:t xml:space="preserve"> </w:t>
      </w:r>
      <w:r w:rsidR="00B107FC">
        <w:t>T</w:t>
      </w:r>
      <w:r>
        <w:t>his figure</w:t>
      </w:r>
      <w:r w:rsidRPr="3E2273CA">
        <w:t xml:space="preserve"> </w:t>
      </w:r>
      <w:r>
        <w:t>dropp</w:t>
      </w:r>
      <w:r w:rsidR="00B107FC">
        <w:t>ed</w:t>
      </w:r>
      <w:r>
        <w:t xml:space="preserve"> to </w:t>
      </w:r>
      <w:r w:rsidR="000C1B86" w:rsidRPr="000C1B86">
        <w:t>11,150 children (9,020 families)</w:t>
      </w:r>
      <w:r w:rsidR="000C1B86">
        <w:t xml:space="preserve"> </w:t>
      </w:r>
      <w:r w:rsidR="000C1B86" w:rsidRPr="3E2273CA">
        <w:t xml:space="preserve">by the </w:t>
      </w:r>
      <w:r w:rsidR="000C1B86" w:rsidRPr="00F52275">
        <w:t>September quarter 2022.</w:t>
      </w:r>
      <w:r w:rsidR="00ED06FB">
        <w:rPr>
          <w:rStyle w:val="FootnoteReference"/>
        </w:rPr>
        <w:footnoteReference w:id="25"/>
      </w:r>
    </w:p>
    <w:bookmarkEnd w:id="49"/>
    <w:p w14:paraId="478DC256" w14:textId="29363EDC" w:rsidR="00C80513" w:rsidRDefault="00C80513" w:rsidP="00803FC9">
      <w:pPr>
        <w:pStyle w:val="Caption"/>
        <w:keepNext/>
      </w:pPr>
      <w:r>
        <w:t xml:space="preserve">Figure </w:t>
      </w:r>
      <w:r>
        <w:fldChar w:fldCharType="begin"/>
      </w:r>
      <w:r>
        <w:instrText>SEQ Figure \* ARABIC</w:instrText>
      </w:r>
      <w:r>
        <w:fldChar w:fldCharType="separate"/>
      </w:r>
      <w:r w:rsidR="00D307AC">
        <w:rPr>
          <w:noProof/>
        </w:rPr>
        <w:t>9</w:t>
      </w:r>
      <w:r>
        <w:fldChar w:fldCharType="end"/>
      </w:r>
      <w:r>
        <w:t>:</w:t>
      </w:r>
      <w:r w:rsidRPr="00C80513">
        <w:t xml:space="preserve"> </w:t>
      </w:r>
      <w:r w:rsidRPr="0005575A">
        <w:t>CCS24 Eligible Children Accessing Child Care</w:t>
      </w:r>
    </w:p>
    <w:p w14:paraId="0408D0FD" w14:textId="79B38C34" w:rsidR="003C268A" w:rsidRDefault="2472CD88" w:rsidP="003C268A">
      <w:pPr>
        <w:pStyle w:val="SubFigureCaption"/>
      </w:pPr>
      <w:r>
        <w:rPr>
          <w:noProof/>
        </w:rPr>
        <w:drawing>
          <wp:inline distT="0" distB="0" distL="0" distR="0" wp14:anchorId="5AC371CA" wp14:editId="0D760957">
            <wp:extent cx="5619750" cy="2204448"/>
            <wp:effectExtent l="19050" t="19050" r="19050" b="24765"/>
            <wp:docPr id="33" name="Picture 33" descr="A chart showing the change over time of CCS24 Eligible Children Accessing Chil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rotWithShape="1">
                    <a:blip r:embed="rId42" cstate="print">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l="2102" t="14028" r="742" b="4602"/>
                    <a:stretch/>
                  </pic:blipFill>
                  <pic:spPr bwMode="auto">
                    <a:xfrm>
                      <a:off x="0" y="0"/>
                      <a:ext cx="5647529" cy="2215345"/>
                    </a:xfrm>
                    <a:prstGeom prst="rect">
                      <a:avLst/>
                    </a:prstGeom>
                    <a:ln w="9525" cap="flat" cmpd="sng" algn="ctr">
                      <a:solidFill>
                        <a:schemeClr val="bg1">
                          <a:lumMod val="8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3C268A">
        <w:br/>
      </w:r>
      <w:r w:rsidR="003C268A" w:rsidRPr="00F1217B">
        <w:t>Source: Department of Education administrative data</w:t>
      </w:r>
      <w:r w:rsidR="00544773">
        <w:t>.</w:t>
      </w:r>
    </w:p>
    <w:p w14:paraId="3C285FE7" w14:textId="77777777" w:rsidR="003C268A" w:rsidRPr="00B61F8E" w:rsidRDefault="003C268A" w:rsidP="003C268A">
      <w:pPr>
        <w:pStyle w:val="SubHeading6"/>
      </w:pPr>
      <w:r w:rsidRPr="00B61F8E">
        <w:t>Community Child Care Fund</w:t>
      </w:r>
    </w:p>
    <w:p w14:paraId="73F3EA92" w14:textId="3686AC32" w:rsidR="003C268A" w:rsidRDefault="003C268A" w:rsidP="003C268A">
      <w:pPr>
        <w:pStyle w:val="Subbodytext"/>
      </w:pPr>
      <w:r>
        <w:t xml:space="preserve">The </w:t>
      </w:r>
      <w:r w:rsidRPr="3E2273CA">
        <w:t xml:space="preserve">CCCF </w:t>
      </w:r>
      <w:r>
        <w:t>is a grant program that supports</w:t>
      </w:r>
      <w:r w:rsidRPr="3E2273CA">
        <w:t xml:space="preserve"> around 900 service providers to reduce barriers to</w:t>
      </w:r>
      <w:r w:rsidR="002B5BE7">
        <w:t> </w:t>
      </w:r>
      <w:r w:rsidRPr="3E2273CA">
        <w:t xml:space="preserve">accessing </w:t>
      </w:r>
      <w:r w:rsidR="0074202C">
        <w:t>child care</w:t>
      </w:r>
      <w:r w:rsidR="00DD6322">
        <w:t>—</w:t>
      </w:r>
      <w:r w:rsidRPr="3E2273CA">
        <w:t>particularly for children and families in disadvantaged, rural</w:t>
      </w:r>
      <w:r w:rsidR="002F4B8C">
        <w:t>,</w:t>
      </w:r>
      <w:r w:rsidRPr="3E2273CA">
        <w:t xml:space="preserve"> and remote communities</w:t>
      </w:r>
      <w:r w:rsidR="002F4B8C">
        <w:t>;</w:t>
      </w:r>
      <w:r w:rsidRPr="3E2273CA">
        <w:t xml:space="preserve"> </w:t>
      </w:r>
      <w:r>
        <w:t>First Nations</w:t>
      </w:r>
      <w:r w:rsidRPr="3E2273CA">
        <w:t xml:space="preserve"> communities</w:t>
      </w:r>
      <w:r w:rsidR="002F4B8C">
        <w:t>;</w:t>
      </w:r>
      <w:r w:rsidRPr="3E2273CA">
        <w:t xml:space="preserve"> and where services are in limited supply. </w:t>
      </w:r>
      <w:r w:rsidR="002F4B8C">
        <w:t xml:space="preserve">The </w:t>
      </w:r>
      <w:r w:rsidRPr="3E2273CA">
        <w:t xml:space="preserve">CCCF will deliver </w:t>
      </w:r>
      <w:r w:rsidR="006B0AEF" w:rsidRPr="3E2273CA">
        <w:t>$57</w:t>
      </w:r>
      <w:r w:rsidR="006B0AEF">
        <w:t>5</w:t>
      </w:r>
      <w:r w:rsidR="006B0AEF" w:rsidRPr="3E2273CA">
        <w:t>.1</w:t>
      </w:r>
      <w:r w:rsidR="006B0AEF">
        <w:t> </w:t>
      </w:r>
      <w:r w:rsidRPr="3E2273CA">
        <w:t xml:space="preserve">million over </w:t>
      </w:r>
      <w:r>
        <w:t>4</w:t>
      </w:r>
      <w:r w:rsidRPr="3E2273CA">
        <w:t xml:space="preserve"> </w:t>
      </w:r>
      <w:r w:rsidR="00D03CA0" w:rsidRPr="3E2273CA">
        <w:t>years</w:t>
      </w:r>
      <w:r w:rsidR="00D03CA0">
        <w:t xml:space="preserve"> to 2025</w:t>
      </w:r>
      <w:r w:rsidR="00E27B4B">
        <w:t>–</w:t>
      </w:r>
      <w:r w:rsidR="00D03CA0">
        <w:t>26</w:t>
      </w:r>
      <w:r w:rsidRPr="3E2273CA">
        <w:t xml:space="preserve"> through </w:t>
      </w:r>
      <w:r>
        <w:t>a range of competitive and restricted grants:</w:t>
      </w:r>
    </w:p>
    <w:p w14:paraId="6F7AD215" w14:textId="6788DA85" w:rsidR="003C268A" w:rsidRPr="009234D9" w:rsidRDefault="003C268A" w:rsidP="00B23060">
      <w:pPr>
        <w:pStyle w:val="SubList"/>
        <w:rPr>
          <w:lang w:val="en-GB"/>
        </w:rPr>
      </w:pPr>
      <w:r>
        <w:rPr>
          <w:b/>
          <w:bCs/>
        </w:rPr>
        <w:t xml:space="preserve">CCCF Open </w:t>
      </w:r>
      <w:r w:rsidR="0023600E">
        <w:t xml:space="preserve">is </w:t>
      </w:r>
      <w:r w:rsidRPr="3E2273CA">
        <w:t xml:space="preserve">a competitive grant </w:t>
      </w:r>
      <w:r w:rsidR="001D2996">
        <w:t>that</w:t>
      </w:r>
      <w:r w:rsidRPr="3E2273CA">
        <w:t xml:space="preserve"> provides support for vulnerable and disadvantaged communities. </w:t>
      </w:r>
      <w:r w:rsidR="002F4B8C">
        <w:t>In</w:t>
      </w:r>
      <w:r w:rsidR="00EC1F19">
        <w:t xml:space="preserve"> the latest round of CCCF Open, u</w:t>
      </w:r>
      <w:r w:rsidR="00EC1F19" w:rsidRPr="3E2273CA">
        <w:t>p to $18</w:t>
      </w:r>
      <w:r w:rsidR="00EC1F19">
        <w:t> </w:t>
      </w:r>
      <w:r w:rsidR="00EC1F19" w:rsidRPr="3E2273CA">
        <w:t>million will be available over 2 years (to 2024</w:t>
      </w:r>
      <w:r w:rsidR="00FC07AB">
        <w:t>–</w:t>
      </w:r>
      <w:r w:rsidR="00EC1F19" w:rsidRPr="3E2273CA">
        <w:t xml:space="preserve">25) </w:t>
      </w:r>
      <w:r w:rsidRPr="3E2273CA">
        <w:t xml:space="preserve">to assist with the establishment </w:t>
      </w:r>
      <w:r w:rsidR="008F0097" w:rsidRPr="3E2273CA">
        <w:t xml:space="preserve">of new </w:t>
      </w:r>
      <w:r w:rsidR="008F0097">
        <w:t xml:space="preserve">early childhood </w:t>
      </w:r>
      <w:r w:rsidRPr="3E2273CA">
        <w:rPr>
          <w:lang w:val="en-GB"/>
        </w:rPr>
        <w:t>services in regional and remote areas where there is</w:t>
      </w:r>
      <w:r w:rsidR="007138FE">
        <w:rPr>
          <w:lang w:val="en-GB"/>
        </w:rPr>
        <w:t> </w:t>
      </w:r>
      <w:r w:rsidRPr="3E2273CA">
        <w:rPr>
          <w:lang w:val="en-GB"/>
        </w:rPr>
        <w:t>an</w:t>
      </w:r>
      <w:r w:rsidR="007138FE">
        <w:rPr>
          <w:lang w:val="en-GB"/>
        </w:rPr>
        <w:t> </w:t>
      </w:r>
      <w:r w:rsidRPr="3E2273CA">
        <w:rPr>
          <w:lang w:val="en-GB"/>
        </w:rPr>
        <w:t xml:space="preserve">absence, or limited supply, of </w:t>
      </w:r>
      <w:r w:rsidRPr="3E2273CA" w:rsidDel="005028C5">
        <w:rPr>
          <w:lang w:val="en-GB"/>
        </w:rPr>
        <w:t xml:space="preserve">CBDC </w:t>
      </w:r>
      <w:r w:rsidRPr="3E2273CA">
        <w:rPr>
          <w:lang w:val="en-GB"/>
        </w:rPr>
        <w:t xml:space="preserve">and </w:t>
      </w:r>
      <w:r>
        <w:rPr>
          <w:lang w:val="en-GB"/>
        </w:rPr>
        <w:t>family day care</w:t>
      </w:r>
      <w:r w:rsidR="00B36A3E">
        <w:rPr>
          <w:lang w:val="en-GB"/>
        </w:rPr>
        <w:t xml:space="preserve"> (FDC)</w:t>
      </w:r>
      <w:r w:rsidRPr="3E2273CA">
        <w:rPr>
          <w:lang w:val="en-GB"/>
        </w:rPr>
        <w:t>.</w:t>
      </w:r>
      <w:r w:rsidR="007F1633">
        <w:rPr>
          <w:lang w:val="en-GB"/>
        </w:rPr>
        <w:t xml:space="preserve"> </w:t>
      </w:r>
    </w:p>
    <w:p w14:paraId="55DA50F6" w14:textId="72DD1A62" w:rsidR="003C268A" w:rsidRPr="009234D9" w:rsidRDefault="003C268A" w:rsidP="00B23060">
      <w:pPr>
        <w:pStyle w:val="SubList"/>
        <w:rPr>
          <w:rStyle w:val="normaltextrun"/>
          <w:rFonts w:ascii="Calibri" w:hAnsi="Calibri" w:cs="Calibri"/>
          <w:color w:val="000000" w:themeColor="text1"/>
          <w:lang w:val="en-GB"/>
        </w:rPr>
      </w:pPr>
      <w:r>
        <w:rPr>
          <w:b/>
          <w:bCs/>
          <w:lang w:val="en-GB"/>
        </w:rPr>
        <w:t xml:space="preserve">CCCF Restricted </w:t>
      </w:r>
      <w:r w:rsidRPr="3E2273CA">
        <w:t xml:space="preserve">supports identified services in vulnerable and disadvantaged communities by supplementing </w:t>
      </w:r>
      <w:r w:rsidR="002F4B8C">
        <w:t>their</w:t>
      </w:r>
      <w:r w:rsidRPr="3E2273CA">
        <w:t xml:space="preserve"> fee-income. The grant supports over 150 services,</w:t>
      </w:r>
      <w:r>
        <w:t xml:space="preserve"> including former Budget Based Funded services, and services </w:t>
      </w:r>
      <w:r w:rsidR="002F4B8C">
        <w:t>that</w:t>
      </w:r>
      <w:r>
        <w:t xml:space="preserve"> are </w:t>
      </w:r>
      <w:r w:rsidRPr="3E2273CA">
        <w:rPr>
          <w:lang w:val="en-GB"/>
        </w:rPr>
        <w:t>out</w:t>
      </w:r>
      <w:r w:rsidR="002F4B8C">
        <w:rPr>
          <w:lang w:val="en-GB"/>
        </w:rPr>
        <w:t>side</w:t>
      </w:r>
      <w:r w:rsidRPr="3E2273CA">
        <w:rPr>
          <w:lang w:val="en-GB"/>
        </w:rPr>
        <w:t xml:space="preserve"> </w:t>
      </w:r>
      <w:r w:rsidR="002F4B8C">
        <w:rPr>
          <w:lang w:val="en-GB"/>
        </w:rPr>
        <w:t>the</w:t>
      </w:r>
      <w:r w:rsidRPr="3E2273CA">
        <w:rPr>
          <w:lang w:val="en-GB"/>
        </w:rPr>
        <w:t xml:space="preserve"> scope of the </w:t>
      </w:r>
      <w:r>
        <w:rPr>
          <w:lang w:val="en-GB"/>
        </w:rPr>
        <w:t>NQF</w:t>
      </w:r>
      <w:r w:rsidRPr="3E2273CA">
        <w:rPr>
          <w:lang w:val="en-GB"/>
        </w:rPr>
        <w:t xml:space="preserve"> and state regulation</w:t>
      </w:r>
      <w:r w:rsidR="0023600E" w:rsidRPr="3E2273CA">
        <w:rPr>
          <w:lang w:val="en-GB"/>
        </w:rPr>
        <w:t>,</w:t>
      </w:r>
      <w:r w:rsidRPr="3E2273CA">
        <w:rPr>
          <w:lang w:val="en-GB"/>
        </w:rPr>
        <w:t xml:space="preserve"> but</w:t>
      </w:r>
      <w:r>
        <w:rPr>
          <w:lang w:val="en-GB"/>
        </w:rPr>
        <w:t xml:space="preserve"> which </w:t>
      </w:r>
      <w:r w:rsidRPr="3E2273CA">
        <w:rPr>
          <w:lang w:val="en-GB"/>
        </w:rPr>
        <w:t xml:space="preserve">must comply with the </w:t>
      </w:r>
      <w:r w:rsidRPr="000748BC">
        <w:rPr>
          <w:lang w:val="en-GB"/>
        </w:rPr>
        <w:t>Child Care Subsidy Minister’s Rules 2017</w:t>
      </w:r>
      <w:r w:rsidRPr="10A0DE48">
        <w:rPr>
          <w:i/>
          <w:iCs/>
          <w:lang w:val="en-GB"/>
        </w:rPr>
        <w:t xml:space="preserve"> </w:t>
      </w:r>
      <w:r w:rsidRPr="3E2273CA">
        <w:rPr>
          <w:lang w:val="en-GB"/>
        </w:rPr>
        <w:t>(Minister’s Rules).</w:t>
      </w:r>
      <w:r>
        <w:rPr>
          <w:lang w:val="en-GB"/>
        </w:rPr>
        <w:t xml:space="preserve"> </w:t>
      </w:r>
      <w:r>
        <w:rPr>
          <w:rStyle w:val="normaltextrun"/>
          <w:rFonts w:ascii="Calibri" w:hAnsi="Calibri" w:cs="Calibri"/>
          <w:color w:val="000000"/>
          <w:shd w:val="clear" w:color="auto" w:fill="FFFFFF"/>
          <w:lang w:val="en-GB"/>
        </w:rPr>
        <w:t xml:space="preserve">To ensure children and their families are delivered the best possible outcomes, an independent </w:t>
      </w:r>
      <w:r>
        <w:rPr>
          <w:rStyle w:val="findhit"/>
          <w:rFonts w:ascii="Calibri" w:hAnsi="Calibri" w:cs="Calibri"/>
          <w:color w:val="000000"/>
          <w:shd w:val="clear" w:color="auto" w:fill="FFFFFF"/>
          <w:lang w:val="en-GB"/>
        </w:rPr>
        <w:t>review</w:t>
      </w:r>
      <w:r>
        <w:rPr>
          <w:rStyle w:val="normaltextrun"/>
          <w:rFonts w:ascii="Calibri" w:hAnsi="Calibri" w:cs="Calibri"/>
          <w:color w:val="000000"/>
          <w:shd w:val="clear" w:color="auto" w:fill="FFFFFF"/>
          <w:lang w:val="en-GB"/>
        </w:rPr>
        <w:t xml:space="preserve"> of the CCCF Restricted grant will be undertaken in 2023 and </w:t>
      </w:r>
      <w:r w:rsidR="0023600E">
        <w:rPr>
          <w:rStyle w:val="normaltextrun"/>
          <w:rFonts w:ascii="Calibri" w:hAnsi="Calibri" w:cs="Calibri"/>
          <w:color w:val="000000"/>
          <w:shd w:val="clear" w:color="auto" w:fill="FFFFFF"/>
          <w:lang w:val="en-GB"/>
        </w:rPr>
        <w:t xml:space="preserve">is </w:t>
      </w:r>
      <w:r>
        <w:rPr>
          <w:rStyle w:val="normaltextrun"/>
          <w:rFonts w:ascii="Calibri" w:hAnsi="Calibri" w:cs="Calibri"/>
          <w:color w:val="000000"/>
          <w:shd w:val="clear" w:color="auto" w:fill="FFFFFF"/>
          <w:lang w:val="en-GB"/>
        </w:rPr>
        <w:t>anticipated to be completed in early 2024.</w:t>
      </w:r>
    </w:p>
    <w:p w14:paraId="3360C569" w14:textId="7ABD2803" w:rsidR="003C268A" w:rsidRDefault="003C268A" w:rsidP="00B23060">
      <w:pPr>
        <w:pStyle w:val="SubList"/>
      </w:pPr>
      <w:r w:rsidRPr="009234D9">
        <w:rPr>
          <w:b/>
          <w:bCs/>
        </w:rPr>
        <w:t>CCCF Restricted</w:t>
      </w:r>
      <w:r w:rsidRPr="3E2273CA">
        <w:t xml:space="preserve"> </w:t>
      </w:r>
      <w:r>
        <w:rPr>
          <w:b/>
          <w:bCs/>
        </w:rPr>
        <w:t xml:space="preserve">Expansion </w:t>
      </w:r>
      <w:r w:rsidRPr="3E2273CA">
        <w:t>provides $29.9</w:t>
      </w:r>
      <w:r>
        <w:t> </w:t>
      </w:r>
      <w:r w:rsidRPr="3E2273CA">
        <w:t xml:space="preserve">million over </w:t>
      </w:r>
      <w:r>
        <w:t>4</w:t>
      </w:r>
      <w:r w:rsidRPr="3E2273CA">
        <w:t xml:space="preserve"> years to establish new CCCF</w:t>
      </w:r>
      <w:r w:rsidR="00081A56">
        <w:t xml:space="preserve"> </w:t>
      </w:r>
      <w:r w:rsidRPr="3E2273CA">
        <w:t>R</w:t>
      </w:r>
      <w:r w:rsidR="00081A56">
        <w:t>estricted</w:t>
      </w:r>
      <w:r w:rsidRPr="3E2273CA">
        <w:t xml:space="preserve"> services in remote locations to increase </w:t>
      </w:r>
      <w:r w:rsidR="00DA1457">
        <w:t xml:space="preserve">First Nations children’s </w:t>
      </w:r>
      <w:r w:rsidRPr="3E2273CA">
        <w:t xml:space="preserve">participation in </w:t>
      </w:r>
      <w:r w:rsidR="009F61C3">
        <w:t>child care</w:t>
      </w:r>
      <w:r w:rsidRPr="3E2273CA">
        <w:t>.</w:t>
      </w:r>
      <w:r>
        <w:t xml:space="preserve"> </w:t>
      </w:r>
      <w:r w:rsidRPr="009234D9">
        <w:t>The department is working with First Nations peak bodies, communities</w:t>
      </w:r>
      <w:r w:rsidR="00090A01">
        <w:t>,</w:t>
      </w:r>
      <w:r w:rsidRPr="009234D9">
        <w:t xml:space="preserve"> and organisations to</w:t>
      </w:r>
      <w:r w:rsidR="002B5BE7">
        <w:t> </w:t>
      </w:r>
      <w:r w:rsidRPr="009234D9">
        <w:t>establish these new services</w:t>
      </w:r>
      <w:r>
        <w:t xml:space="preserve">, which </w:t>
      </w:r>
      <w:r w:rsidRPr="009234D9">
        <w:t>will be delivered by Aboriginal Community Controlled Organisations</w:t>
      </w:r>
      <w:r>
        <w:t xml:space="preserve"> where possible.</w:t>
      </w:r>
    </w:p>
    <w:p w14:paraId="22821108" w14:textId="2043B093" w:rsidR="003C268A" w:rsidRDefault="003C268A" w:rsidP="00B23060">
      <w:pPr>
        <w:pStyle w:val="SubList"/>
      </w:pPr>
      <w:r w:rsidRPr="009234D9">
        <w:rPr>
          <w:b/>
          <w:bCs/>
        </w:rPr>
        <w:t>CCCF Special Circumstances</w:t>
      </w:r>
      <w:r>
        <w:t xml:space="preserve"> </w:t>
      </w:r>
      <w:r w:rsidRPr="3E2273CA">
        <w:t>provides support to critical service providers impacted by</w:t>
      </w:r>
      <w:r w:rsidR="002B5BE7">
        <w:t> </w:t>
      </w:r>
      <w:r w:rsidRPr="3E2273CA">
        <w:t>an</w:t>
      </w:r>
      <w:r w:rsidR="002B5BE7">
        <w:t> </w:t>
      </w:r>
      <w:r w:rsidRPr="3E2273CA">
        <w:t>emergency or natural disaster</w:t>
      </w:r>
      <w:r>
        <w:t xml:space="preserve"> by providing a </w:t>
      </w:r>
      <w:r w:rsidRPr="3E2273CA">
        <w:t>one-off grant for temporary relief to</w:t>
      </w:r>
      <w:r w:rsidR="002B5BE7">
        <w:t> </w:t>
      </w:r>
      <w:r w:rsidRPr="3E2273CA">
        <w:t>maintain viability.</w:t>
      </w:r>
    </w:p>
    <w:p w14:paraId="72D4291C" w14:textId="2EAE1F46" w:rsidR="003C268A" w:rsidRPr="00B61F8E" w:rsidRDefault="003C268A" w:rsidP="003C268A">
      <w:pPr>
        <w:pStyle w:val="SubHeading6"/>
      </w:pPr>
      <w:r w:rsidRPr="00B61F8E">
        <w:t>Connected Beginnings</w:t>
      </w:r>
    </w:p>
    <w:p w14:paraId="503A02C5" w14:textId="45B4EF3B" w:rsidR="003C268A" w:rsidRPr="00AC785F" w:rsidRDefault="0092339D" w:rsidP="003C268A">
      <w:pPr>
        <w:pStyle w:val="Subbodytext"/>
        <w:rPr>
          <w:lang w:val="en-GB"/>
        </w:rPr>
      </w:pPr>
      <w:r w:rsidRPr="0092339D">
        <w:rPr>
          <w:lang w:val="en-GB"/>
        </w:rPr>
        <w:t xml:space="preserve">Connected Beginnings is a </w:t>
      </w:r>
      <w:r w:rsidR="0099424D">
        <w:rPr>
          <w:lang w:val="en-GB"/>
        </w:rPr>
        <w:t xml:space="preserve">grant </w:t>
      </w:r>
      <w:r w:rsidRPr="0092339D">
        <w:rPr>
          <w:lang w:val="en-GB"/>
        </w:rPr>
        <w:t>program jointly delivered by the Department of Health and Aged Care and the Department of Education</w:t>
      </w:r>
      <w:r w:rsidR="00220386">
        <w:rPr>
          <w:lang w:val="en-GB"/>
        </w:rPr>
        <w:t>, which</w:t>
      </w:r>
      <w:r w:rsidR="003C268A" w:rsidRPr="30CB031D">
        <w:rPr>
          <w:lang w:val="en-GB"/>
        </w:rPr>
        <w:t xml:space="preserve"> aims to increase First Nations children’s and families’ engagement with health services and support and ECEC. It improves access to existing early childhood, maternal and child health</w:t>
      </w:r>
      <w:r w:rsidR="004E6B97">
        <w:rPr>
          <w:lang w:val="en-GB"/>
        </w:rPr>
        <w:t>,</w:t>
      </w:r>
      <w:r w:rsidR="003C268A" w:rsidRPr="30CB031D">
        <w:rPr>
          <w:lang w:val="en-GB"/>
        </w:rPr>
        <w:t xml:space="preserve"> and family support services to ensure</w:t>
      </w:r>
      <w:r w:rsidR="00293C9C">
        <w:rPr>
          <w:lang w:val="en-GB"/>
        </w:rPr>
        <w:t xml:space="preserve"> that</w:t>
      </w:r>
      <w:r w:rsidR="003C268A" w:rsidRPr="30CB031D">
        <w:rPr>
          <w:lang w:val="en-GB"/>
        </w:rPr>
        <w:t xml:space="preserve"> children are safe, healthy</w:t>
      </w:r>
      <w:r w:rsidR="00090A01">
        <w:rPr>
          <w:lang w:val="en-GB"/>
        </w:rPr>
        <w:t>,</w:t>
      </w:r>
      <w:r w:rsidR="003C268A" w:rsidRPr="30CB031D">
        <w:rPr>
          <w:lang w:val="en-GB"/>
        </w:rPr>
        <w:t xml:space="preserve"> and ready to thrive at school by the age of 5.</w:t>
      </w:r>
      <w:r w:rsidR="006F3DE5">
        <w:rPr>
          <w:lang w:val="en-GB"/>
        </w:rPr>
        <w:t xml:space="preserve"> The Government provides </w:t>
      </w:r>
      <w:r w:rsidR="00D42C12">
        <w:rPr>
          <w:lang w:val="en-GB"/>
        </w:rPr>
        <w:t xml:space="preserve">ongoing funding of </w:t>
      </w:r>
      <w:r w:rsidR="006F3DE5">
        <w:rPr>
          <w:lang w:val="en-GB"/>
        </w:rPr>
        <w:t>a</w:t>
      </w:r>
      <w:r w:rsidR="006F3DE5" w:rsidRPr="006F3DE5">
        <w:rPr>
          <w:lang w:val="en-GB"/>
        </w:rPr>
        <w:t>pproximately $27</w:t>
      </w:r>
      <w:r w:rsidR="006F3DE5">
        <w:rPr>
          <w:lang w:val="en-GB"/>
        </w:rPr>
        <w:t> </w:t>
      </w:r>
      <w:r w:rsidR="006F3DE5" w:rsidRPr="006F3DE5">
        <w:rPr>
          <w:lang w:val="en-GB"/>
        </w:rPr>
        <w:t>million per year.</w:t>
      </w:r>
    </w:p>
    <w:p w14:paraId="5C89131C" w14:textId="626A4408" w:rsidR="003C268A" w:rsidRPr="008813AE" w:rsidRDefault="00293C9C" w:rsidP="003C268A">
      <w:pPr>
        <w:pStyle w:val="Subbodytext"/>
        <w:rPr>
          <w:lang w:val="en-GB"/>
        </w:rPr>
      </w:pPr>
      <w:r>
        <w:rPr>
          <w:lang w:val="en-GB"/>
        </w:rPr>
        <w:t xml:space="preserve">Connected Beginnings </w:t>
      </w:r>
      <w:r w:rsidR="003C268A" w:rsidRPr="3E2273CA">
        <w:rPr>
          <w:lang w:val="en-GB"/>
        </w:rPr>
        <w:t>supports around 12,500 First Nations children</w:t>
      </w:r>
      <w:r w:rsidR="003C268A">
        <w:rPr>
          <w:lang w:val="en-GB"/>
        </w:rPr>
        <w:t xml:space="preserve"> and their families in 36 communities across Australia</w:t>
      </w:r>
      <w:r w:rsidR="004E6B97">
        <w:rPr>
          <w:lang w:val="en-GB"/>
        </w:rPr>
        <w:t>,</w:t>
      </w:r>
      <w:r w:rsidR="003C268A">
        <w:rPr>
          <w:lang w:val="en-GB"/>
        </w:rPr>
        <w:t xml:space="preserve"> including </w:t>
      </w:r>
      <w:r>
        <w:rPr>
          <w:lang w:val="en-GB"/>
        </w:rPr>
        <w:t xml:space="preserve">in </w:t>
      </w:r>
      <w:r w:rsidR="003C268A">
        <w:rPr>
          <w:lang w:val="en-GB"/>
        </w:rPr>
        <w:t xml:space="preserve">metropolitan, regional, </w:t>
      </w:r>
      <w:r w:rsidR="002F5681">
        <w:rPr>
          <w:lang w:val="en-GB"/>
        </w:rPr>
        <w:t xml:space="preserve">and </w:t>
      </w:r>
      <w:r w:rsidR="003C268A">
        <w:rPr>
          <w:lang w:val="en-GB"/>
        </w:rPr>
        <w:t xml:space="preserve">remote locations. </w:t>
      </w:r>
      <w:r w:rsidR="002262E0" w:rsidRPr="002262E0">
        <w:rPr>
          <w:lang w:val="en-GB"/>
        </w:rPr>
        <w:t>In August 2021, the</w:t>
      </w:r>
      <w:r w:rsidR="002262E0">
        <w:rPr>
          <w:lang w:val="en-GB"/>
        </w:rPr>
        <w:t> </w:t>
      </w:r>
      <w:r w:rsidR="002262E0" w:rsidRPr="002262E0">
        <w:rPr>
          <w:lang w:val="en-GB"/>
        </w:rPr>
        <w:t xml:space="preserve">Government </w:t>
      </w:r>
      <w:r w:rsidR="002262E0" w:rsidRPr="008813AE">
        <w:rPr>
          <w:lang w:val="en-GB"/>
        </w:rPr>
        <w:t>committed an additional $81.8 million</w:t>
      </w:r>
      <w:r w:rsidR="003C268A" w:rsidRPr="008813AE">
        <w:rPr>
          <w:lang w:val="en-GB"/>
        </w:rPr>
        <w:t xml:space="preserve"> to expand </w:t>
      </w:r>
      <w:r w:rsidR="002262E0" w:rsidRPr="008813AE">
        <w:rPr>
          <w:lang w:val="en-GB"/>
        </w:rPr>
        <w:t xml:space="preserve">Connected Beginnings </w:t>
      </w:r>
      <w:r w:rsidR="003C268A" w:rsidRPr="008813AE">
        <w:rPr>
          <w:lang w:val="en-GB"/>
        </w:rPr>
        <w:t>to 50 sites by 2025</w:t>
      </w:r>
      <w:r w:rsidR="002262E0" w:rsidRPr="008813AE">
        <w:rPr>
          <w:lang w:val="en-GB"/>
        </w:rPr>
        <w:t>.</w:t>
      </w:r>
      <w:r w:rsidR="003C268A" w:rsidRPr="008813AE">
        <w:rPr>
          <w:lang w:val="en-GB"/>
        </w:rPr>
        <w:t xml:space="preserve"> </w:t>
      </w:r>
      <w:r w:rsidR="002262E0" w:rsidRPr="008813AE">
        <w:rPr>
          <w:lang w:val="en-GB"/>
        </w:rPr>
        <w:t>O</w:t>
      </w:r>
      <w:r w:rsidR="003C268A" w:rsidRPr="008813AE">
        <w:rPr>
          <w:lang w:val="en-GB"/>
        </w:rPr>
        <w:t>nce expanded, it is anticipated that around 20</w:t>
      </w:r>
      <w:r w:rsidR="00346148">
        <w:rPr>
          <w:lang w:val="en-GB"/>
        </w:rPr>
        <w:t> per cent</w:t>
      </w:r>
      <w:r w:rsidR="003C268A" w:rsidRPr="008813AE">
        <w:rPr>
          <w:lang w:val="en-GB"/>
        </w:rPr>
        <w:t xml:space="preserve"> of First Nations children will be living in a community with Connected Beginnings (refer to </w:t>
      </w:r>
      <w:r w:rsidR="00B50AC9">
        <w:rPr>
          <w:b/>
          <w:bCs/>
          <w:lang w:val="en-GB"/>
        </w:rPr>
        <w:t>Section </w:t>
      </w:r>
      <w:r w:rsidR="003C268A" w:rsidRPr="008813AE">
        <w:rPr>
          <w:b/>
          <w:bCs/>
          <w:lang w:val="en-GB"/>
        </w:rPr>
        <w:t>4.</w:t>
      </w:r>
      <w:r w:rsidR="00B51047" w:rsidRPr="008813AE">
        <w:rPr>
          <w:b/>
          <w:lang w:val="en-GB"/>
        </w:rPr>
        <w:t>4</w:t>
      </w:r>
      <w:r w:rsidR="00B51047" w:rsidRPr="008813AE">
        <w:rPr>
          <w:b/>
          <w:bCs/>
          <w:lang w:val="en-GB"/>
        </w:rPr>
        <w:t xml:space="preserve"> </w:t>
      </w:r>
      <w:r w:rsidR="003C268A" w:rsidRPr="008813AE">
        <w:rPr>
          <w:lang w:val="en-GB"/>
        </w:rPr>
        <w:t>for further detail on Connected Beginnings and other early childhood Closing the Gap initiatives).</w:t>
      </w:r>
    </w:p>
    <w:p w14:paraId="1FCC5185" w14:textId="458C62A8" w:rsidR="00057F86" w:rsidRDefault="003C268A" w:rsidP="00057F86">
      <w:pPr>
        <w:pStyle w:val="Subbodytext"/>
      </w:pPr>
      <w:r w:rsidRPr="008813AE">
        <w:rPr>
          <w:b/>
          <w:bCs/>
        </w:rPr>
        <w:t xml:space="preserve">Figure </w:t>
      </w:r>
      <w:r w:rsidR="00C80513" w:rsidRPr="008813AE">
        <w:rPr>
          <w:b/>
          <w:bCs/>
        </w:rPr>
        <w:t>10</w:t>
      </w:r>
      <w:r w:rsidRPr="008813AE">
        <w:rPr>
          <w:b/>
          <w:bCs/>
        </w:rPr>
        <w:t xml:space="preserve"> </w:t>
      </w:r>
      <w:r w:rsidRPr="008813AE">
        <w:t>contains a visual representation of CCCF Open, CCCF Restricted</w:t>
      </w:r>
      <w:r>
        <w:t>, and Connected Beginnings sites</w:t>
      </w:r>
      <w:r w:rsidR="002A0357">
        <w:t>.</w:t>
      </w:r>
    </w:p>
    <w:p w14:paraId="73F930E3" w14:textId="00877CAA" w:rsidR="00D53271" w:rsidRDefault="00D53271" w:rsidP="0099424D">
      <w:pPr>
        <w:pStyle w:val="Caption"/>
        <w:keepNext/>
      </w:pPr>
      <w:r>
        <w:t xml:space="preserve">Figure </w:t>
      </w:r>
      <w:r>
        <w:fldChar w:fldCharType="begin"/>
      </w:r>
      <w:r>
        <w:instrText>SEQ Figure \* ARABIC</w:instrText>
      </w:r>
      <w:r>
        <w:fldChar w:fldCharType="separate"/>
      </w:r>
      <w:r w:rsidR="00D307AC">
        <w:rPr>
          <w:noProof/>
        </w:rPr>
        <w:t>10</w:t>
      </w:r>
      <w:r>
        <w:fldChar w:fldCharType="end"/>
      </w:r>
      <w:r>
        <w:t>:</w:t>
      </w:r>
      <w:r w:rsidRPr="00D53271">
        <w:t xml:space="preserve"> </w:t>
      </w:r>
      <w:r>
        <w:t xml:space="preserve">Map of CCCF </w:t>
      </w:r>
      <w:r w:rsidRPr="00057F86">
        <w:t>Open</w:t>
      </w:r>
      <w:r>
        <w:t xml:space="preserve">, CCCF Restricted and Connected Beginnings sites (as </w:t>
      </w:r>
      <w:r w:rsidRPr="0058001D">
        <w:t>of</w:t>
      </w:r>
      <w:r>
        <w:t xml:space="preserve"> 31 March 2023)</w:t>
      </w:r>
    </w:p>
    <w:p w14:paraId="11AF0752" w14:textId="1747FF54" w:rsidR="003C268A" w:rsidRPr="009140CD" w:rsidRDefault="006B6FA2" w:rsidP="00172A02">
      <w:pPr>
        <w:pStyle w:val="SubFigureHeading"/>
        <w:keepNext w:val="0"/>
        <w:keepLines w:val="0"/>
      </w:pPr>
      <w:r>
        <w:rPr>
          <w:noProof/>
        </w:rPr>
        <w:drawing>
          <wp:inline distT="0" distB="0" distL="0" distR="0" wp14:anchorId="401AFAB4" wp14:editId="69729F70">
            <wp:extent cx="5238750" cy="3685553"/>
            <wp:effectExtent l="19050" t="19050" r="19050" b="10160"/>
            <wp:docPr id="10" name="Picture 10" descr="A diagram of Australia showing CCCF Open, CCCF Restricted and Connected Beginnings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Australia showing CCCF Open, CCCF Restricted and Connected Beginnings sites."/>
                    <pic:cNvPicPr/>
                  </pic:nvPicPr>
                  <pic:blipFill rotWithShape="1">
                    <a:blip r:embed="rId44" cstate="print">
                      <a:extLst>
                        <a:ext uri="{BEBA8EAE-BF5A-486C-A8C5-ECC9F3942E4B}">
                          <a14:imgProps xmlns:a14="http://schemas.microsoft.com/office/drawing/2010/main">
                            <a14:imgLayer r:embed="rId45">
                              <a14:imgEffect>
                                <a14:saturation sat="200000"/>
                              </a14:imgEffect>
                            </a14:imgLayer>
                          </a14:imgProps>
                        </a:ext>
                        <a:ext uri="{28A0092B-C50C-407E-A947-70E740481C1C}">
                          <a14:useLocalDpi xmlns:a14="http://schemas.microsoft.com/office/drawing/2010/main" val="0"/>
                        </a:ext>
                      </a:extLst>
                    </a:blip>
                    <a:srcRect l="2408" t="8088" r="7727" b="2512"/>
                    <a:stretch/>
                  </pic:blipFill>
                  <pic:spPr bwMode="auto">
                    <a:xfrm>
                      <a:off x="0" y="0"/>
                      <a:ext cx="5241741" cy="3687657"/>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02B888B8" w14:textId="77777777" w:rsidR="003C268A" w:rsidRPr="00B61F8E" w:rsidRDefault="003C268A" w:rsidP="003C268A">
      <w:pPr>
        <w:pStyle w:val="SubHeading6"/>
      </w:pPr>
      <w:r w:rsidRPr="00B61F8E">
        <w:t>Inclusion Support Program</w:t>
      </w:r>
    </w:p>
    <w:p w14:paraId="7C61A998" w14:textId="521FA7F2" w:rsidR="003C268A" w:rsidRDefault="003C268A" w:rsidP="003C268A">
      <w:pPr>
        <w:pStyle w:val="Subbodytext"/>
        <w:rPr>
          <w:lang w:val="en-GB"/>
        </w:rPr>
      </w:pPr>
      <w:r w:rsidRPr="7DDD6B74">
        <w:rPr>
          <w:lang w:val="en-GB"/>
        </w:rPr>
        <w:t xml:space="preserve">The </w:t>
      </w:r>
      <w:r w:rsidR="6C1979C2" w:rsidRPr="22728C4E">
        <w:rPr>
          <w:lang w:val="en-GB"/>
        </w:rPr>
        <w:t>Inclusion Support Program (</w:t>
      </w:r>
      <w:r w:rsidR="0CD774F9" w:rsidRPr="22728C4E">
        <w:rPr>
          <w:lang w:val="en-GB"/>
        </w:rPr>
        <w:t>ISP</w:t>
      </w:r>
      <w:r w:rsidR="51F7329B" w:rsidRPr="22728C4E">
        <w:rPr>
          <w:lang w:val="en-GB"/>
        </w:rPr>
        <w:t>)</w:t>
      </w:r>
      <w:r w:rsidRPr="7DDD6B74">
        <w:rPr>
          <w:lang w:val="en-GB"/>
        </w:rPr>
        <w:t xml:space="preserve"> is a $133</w:t>
      </w:r>
      <w:r>
        <w:rPr>
          <w:lang w:val="en-GB"/>
        </w:rPr>
        <w:t> </w:t>
      </w:r>
      <w:r w:rsidRPr="7DDD6B74">
        <w:rPr>
          <w:lang w:val="en-GB"/>
        </w:rPr>
        <w:t>million</w:t>
      </w:r>
      <w:r>
        <w:rPr>
          <w:lang w:val="en-GB"/>
        </w:rPr>
        <w:t>-per-</w:t>
      </w:r>
      <w:r w:rsidRPr="7DDD6B74">
        <w:rPr>
          <w:lang w:val="en-GB"/>
        </w:rPr>
        <w:t xml:space="preserve">year program </w:t>
      </w:r>
      <w:r w:rsidR="003B245B">
        <w:rPr>
          <w:lang w:val="en-GB"/>
        </w:rPr>
        <w:t xml:space="preserve">that </w:t>
      </w:r>
      <w:r w:rsidRPr="7DDD6B74">
        <w:rPr>
          <w:lang w:val="en-GB"/>
        </w:rPr>
        <w:t>assist</w:t>
      </w:r>
      <w:r w:rsidR="003B245B">
        <w:rPr>
          <w:lang w:val="en-GB"/>
        </w:rPr>
        <w:t>s</w:t>
      </w:r>
      <w:r w:rsidRPr="7DDD6B74">
        <w:rPr>
          <w:lang w:val="en-GB"/>
        </w:rPr>
        <w:t xml:space="preserve"> approved services </w:t>
      </w:r>
      <w:r w:rsidR="00856605">
        <w:rPr>
          <w:lang w:val="en-GB"/>
        </w:rPr>
        <w:t xml:space="preserve">to </w:t>
      </w:r>
      <w:r w:rsidRPr="7DDD6B74">
        <w:rPr>
          <w:lang w:val="en-GB"/>
        </w:rPr>
        <w:t xml:space="preserve">include children with additional needs. The ISP provides support to </w:t>
      </w:r>
      <w:r w:rsidRPr="00413AAA">
        <w:rPr>
          <w:lang w:val="en-GB"/>
        </w:rPr>
        <w:t>eligible</w:t>
      </w:r>
      <w:r w:rsidRPr="7DDD6B74">
        <w:rPr>
          <w:lang w:val="en-GB"/>
        </w:rPr>
        <w:t xml:space="preserve"> ECEC services to build their capacity and capability. The program plays a vital role in ensuring </w:t>
      </w:r>
      <w:r w:rsidR="000C17C4">
        <w:rPr>
          <w:lang w:val="en-GB"/>
        </w:rPr>
        <w:t xml:space="preserve">that </w:t>
      </w:r>
      <w:r w:rsidRPr="7DDD6B74">
        <w:rPr>
          <w:lang w:val="en-GB"/>
        </w:rPr>
        <w:t xml:space="preserve">children with additional needs, challenging and trauma related behaviours, and serious medical or health (including mental health) </w:t>
      </w:r>
      <w:r w:rsidR="000C17C4">
        <w:rPr>
          <w:lang w:val="en-GB"/>
        </w:rPr>
        <w:t>conditions</w:t>
      </w:r>
      <w:r w:rsidRPr="7DDD6B74">
        <w:rPr>
          <w:lang w:val="en-GB"/>
        </w:rPr>
        <w:t xml:space="preserve"> are included in ECEC services alongside their typically</w:t>
      </w:r>
      <w:r w:rsidR="00856605">
        <w:rPr>
          <w:lang w:val="en-GB"/>
        </w:rPr>
        <w:t>-</w:t>
      </w:r>
      <w:r w:rsidRPr="7DDD6B74">
        <w:rPr>
          <w:lang w:val="en-GB"/>
        </w:rPr>
        <w:t>developing peers.</w:t>
      </w:r>
    </w:p>
    <w:p w14:paraId="49B4399C" w14:textId="600EF580" w:rsidR="003C268A" w:rsidRDefault="003C268A" w:rsidP="003C268A">
      <w:pPr>
        <w:pStyle w:val="Subbodytext"/>
        <w:rPr>
          <w:rStyle w:val="normaltextrun"/>
          <w:rFonts w:ascii="Calibri" w:hAnsi="Calibri" w:cs="Calibri"/>
          <w:color w:val="000000" w:themeColor="text1"/>
          <w:lang w:val="en-GB"/>
        </w:rPr>
      </w:pPr>
      <w:r>
        <w:rPr>
          <w:rStyle w:val="normaltextrun"/>
          <w:rFonts w:ascii="Calibri" w:hAnsi="Calibri" w:cs="Calibri"/>
          <w:color w:val="000000"/>
          <w:shd w:val="clear" w:color="auto" w:fill="FFFFFF"/>
          <w:lang w:val="en-GB"/>
        </w:rPr>
        <w:t xml:space="preserve">The department has commissioned </w:t>
      </w:r>
      <w:r w:rsidR="414FAB35">
        <w:rPr>
          <w:rStyle w:val="normaltextrun"/>
          <w:rFonts w:ascii="Calibri" w:hAnsi="Calibri" w:cs="Calibri"/>
          <w:color w:val="000000"/>
          <w:shd w:val="clear" w:color="auto" w:fill="FFFFFF"/>
          <w:lang w:val="en-GB"/>
        </w:rPr>
        <w:t xml:space="preserve">a review of </w:t>
      </w:r>
      <w:r>
        <w:rPr>
          <w:rStyle w:val="normaltextrun"/>
          <w:rFonts w:ascii="Calibri" w:hAnsi="Calibri" w:cs="Calibri"/>
          <w:color w:val="000000"/>
          <w:shd w:val="clear" w:color="auto" w:fill="FFFFFF"/>
          <w:lang w:val="en-GB"/>
        </w:rPr>
        <w:t>the ISP. The review will provide evidence-based findings to inform future accessibility</w:t>
      </w:r>
      <w:r w:rsidR="00DF13E8">
        <w:rPr>
          <w:rStyle w:val="normaltextrun"/>
          <w:rFonts w:ascii="Calibri" w:hAnsi="Calibri" w:cs="Calibri"/>
          <w:color w:val="000000"/>
          <w:shd w:val="clear" w:color="auto" w:fill="FFFFFF"/>
          <w:lang w:val="en-GB"/>
        </w:rPr>
        <w:t>. It is due</w:t>
      </w:r>
      <w:r>
        <w:rPr>
          <w:rStyle w:val="normaltextrun"/>
          <w:rFonts w:ascii="Calibri" w:hAnsi="Calibri" w:cs="Calibri"/>
          <w:color w:val="000000"/>
          <w:shd w:val="clear" w:color="auto" w:fill="FFFFFF"/>
          <w:lang w:val="en-GB"/>
        </w:rPr>
        <w:t xml:space="preserve"> </w:t>
      </w:r>
      <w:r w:rsidR="00DF13E8">
        <w:rPr>
          <w:rStyle w:val="normaltextrun"/>
          <w:rFonts w:ascii="Calibri" w:hAnsi="Calibri" w:cs="Calibri"/>
          <w:color w:val="000000"/>
          <w:shd w:val="clear" w:color="auto" w:fill="FFFFFF"/>
          <w:lang w:val="en-GB"/>
        </w:rPr>
        <w:t>to</w:t>
      </w:r>
      <w:r>
        <w:rPr>
          <w:rStyle w:val="normaltextrun"/>
          <w:rFonts w:ascii="Calibri" w:hAnsi="Calibri" w:cs="Calibri"/>
          <w:color w:val="000000"/>
          <w:shd w:val="clear" w:color="auto" w:fill="FFFFFF"/>
          <w:lang w:val="en-GB"/>
        </w:rPr>
        <w:t xml:space="preserve"> be completed by mid-2023.</w:t>
      </w:r>
    </w:p>
    <w:p w14:paraId="2212FD26" w14:textId="77777777" w:rsidR="003C268A" w:rsidRPr="00D77E0F" w:rsidRDefault="003C268A" w:rsidP="00087EAE">
      <w:pPr>
        <w:pStyle w:val="SubSectionHeading"/>
      </w:pPr>
      <w:bookmarkStart w:id="51" w:name="_Toc133778849"/>
      <w:bookmarkStart w:id="52" w:name="_Toc134023014"/>
      <w:bookmarkStart w:id="53" w:name="_Toc134173419"/>
      <w:bookmarkStart w:id="54" w:name="_Toc135404853"/>
      <w:r>
        <w:t>Child Care Subsidy Regulation and Integrity</w:t>
      </w:r>
      <w:bookmarkEnd w:id="51"/>
      <w:bookmarkEnd w:id="52"/>
      <w:bookmarkEnd w:id="53"/>
      <w:bookmarkEnd w:id="54"/>
    </w:p>
    <w:p w14:paraId="4D866EB9" w14:textId="5CA1D3C9" w:rsidR="003C268A" w:rsidRPr="00B0206F" w:rsidRDefault="003C268A" w:rsidP="003C268A">
      <w:pPr>
        <w:pStyle w:val="Subbodytext"/>
      </w:pPr>
      <w:r>
        <w:t xml:space="preserve">The </w:t>
      </w:r>
      <w:r w:rsidRPr="18F1DB01">
        <w:t xml:space="preserve">department delivers a number of functions to support </w:t>
      </w:r>
      <w:r>
        <w:t>the integrity of the CCS</w:t>
      </w:r>
      <w:r w:rsidR="00293C9C">
        <w:t>,</w:t>
      </w:r>
      <w:r w:rsidRPr="18F1DB01">
        <w:t xml:space="preserve"> including:</w:t>
      </w:r>
    </w:p>
    <w:p w14:paraId="395299D5" w14:textId="494A72E4" w:rsidR="003C268A" w:rsidRPr="00B0206F" w:rsidRDefault="003C268A" w:rsidP="00B23060">
      <w:pPr>
        <w:pStyle w:val="SubList"/>
      </w:pPr>
      <w:r w:rsidRPr="006F2560">
        <w:rPr>
          <w:b/>
          <w:bCs/>
        </w:rPr>
        <w:t>Provider approvals</w:t>
      </w:r>
      <w:r w:rsidR="006D4AB2">
        <w:t>:</w:t>
      </w:r>
      <w:r w:rsidRPr="002A5A03">
        <w:t xml:space="preserve"> </w:t>
      </w:r>
      <w:r w:rsidR="00D32FBA">
        <w:t>P</w:t>
      </w:r>
      <w:r w:rsidRPr="002A5A03">
        <w:t xml:space="preserve">rospective providers must apply to the department </w:t>
      </w:r>
      <w:r w:rsidR="00293C9C">
        <w:t xml:space="preserve">for approval </w:t>
      </w:r>
      <w:r w:rsidRPr="002A5A03">
        <w:t xml:space="preserve">to administer the </w:t>
      </w:r>
      <w:r>
        <w:t>CCS.</w:t>
      </w:r>
    </w:p>
    <w:p w14:paraId="30E44610" w14:textId="47A8CED1" w:rsidR="003C268A" w:rsidRPr="00B0206F" w:rsidRDefault="003C268A" w:rsidP="00B23060">
      <w:pPr>
        <w:pStyle w:val="SubList"/>
      </w:pPr>
      <w:r w:rsidRPr="006F2560">
        <w:rPr>
          <w:b/>
          <w:bCs/>
        </w:rPr>
        <w:t>Compliance operations</w:t>
      </w:r>
      <w:r w:rsidR="004935C4">
        <w:t>:</w:t>
      </w:r>
      <w:r w:rsidRPr="002A5A03">
        <w:t xml:space="preserve"> </w:t>
      </w:r>
      <w:r w:rsidR="00D32FBA">
        <w:t>T</w:t>
      </w:r>
      <w:r w:rsidRPr="002A5A03">
        <w:t>he department takes a risk</w:t>
      </w:r>
      <w:r>
        <w:t>-</w:t>
      </w:r>
      <w:r w:rsidRPr="002A5A03">
        <w:t>based approach to monitor</w:t>
      </w:r>
      <w:r w:rsidR="00293C9C">
        <w:t>ing</w:t>
      </w:r>
      <w:r w:rsidRPr="002A5A03">
        <w:t xml:space="preserve"> providers’ compliance with their obligations and has a range of regulatory levers to address non-</w:t>
      </w:r>
      <w:r w:rsidRPr="0043171D">
        <w:rPr>
          <w:rFonts w:ascii="Calibri" w:eastAsia="Calibri" w:hAnsi="Calibri" w:cs="Calibri"/>
          <w:color w:val="000000" w:themeColor="text1"/>
          <w:lang w:val="en-GB"/>
        </w:rPr>
        <w:t>compliance</w:t>
      </w:r>
      <w:r w:rsidR="00293C9C">
        <w:rPr>
          <w:rFonts w:ascii="Calibri" w:eastAsia="Calibri" w:hAnsi="Calibri" w:cs="Calibri"/>
          <w:color w:val="000000" w:themeColor="text1"/>
          <w:lang w:val="en-GB"/>
        </w:rPr>
        <w:t>,</w:t>
      </w:r>
      <w:r w:rsidRPr="002A5A03">
        <w:t xml:space="preserve"> including sanctions (</w:t>
      </w:r>
      <w:r>
        <w:t>e.g</w:t>
      </w:r>
      <w:r w:rsidR="5E4F0705">
        <w:t>.</w:t>
      </w:r>
      <w:r w:rsidRPr="002A5A03">
        <w:t xml:space="preserve"> cancellation, suspension) and penalty notices (fines).</w:t>
      </w:r>
    </w:p>
    <w:p w14:paraId="4060AACE" w14:textId="3056737D" w:rsidR="003C268A" w:rsidRPr="00B0206F" w:rsidRDefault="003C268A" w:rsidP="00B23060">
      <w:pPr>
        <w:pStyle w:val="SubList"/>
      </w:pPr>
      <w:r w:rsidRPr="7DDD6B74">
        <w:rPr>
          <w:b/>
          <w:bCs/>
        </w:rPr>
        <w:t>Fraud operations</w:t>
      </w:r>
      <w:r w:rsidR="004935C4">
        <w:t>:</w:t>
      </w:r>
      <w:r>
        <w:t xml:space="preserve"> </w:t>
      </w:r>
      <w:r w:rsidR="00D32FBA">
        <w:t>T</w:t>
      </w:r>
      <w:r>
        <w:t>he department has a dedicated team of fraud investigators who work with other regulatory partners</w:t>
      </w:r>
      <w:r w:rsidR="00293C9C">
        <w:t>,</w:t>
      </w:r>
      <w:r>
        <w:t xml:space="preserve"> including police, other Commonwealth and </w:t>
      </w:r>
      <w:r w:rsidRPr="7DDD6B74">
        <w:rPr>
          <w:rFonts w:ascii="Calibri" w:eastAsia="Calibri" w:hAnsi="Calibri" w:cs="Calibri"/>
          <w:color w:val="000000" w:themeColor="text1"/>
          <w:lang w:val="en-GB"/>
        </w:rPr>
        <w:t>state</w:t>
      </w:r>
      <w:r w:rsidR="00A358B6">
        <w:t xml:space="preserve"> and </w:t>
      </w:r>
      <w:r>
        <w:t>territory agencies (including state regulatory authorities)</w:t>
      </w:r>
      <w:r w:rsidR="0089615E">
        <w:t>,</w:t>
      </w:r>
      <w:r>
        <w:t xml:space="preserve"> and the Commonwealth Director of Public Prosecutions</w:t>
      </w:r>
      <w:r w:rsidR="00293C9C">
        <w:t>,</w:t>
      </w:r>
      <w:r>
        <w:t xml:space="preserve"> to identify, investigate</w:t>
      </w:r>
      <w:r w:rsidR="00055396">
        <w:t>,</w:t>
      </w:r>
      <w:r>
        <w:t xml:space="preserve"> and prosecute fraud.</w:t>
      </w:r>
    </w:p>
    <w:p w14:paraId="57857641" w14:textId="3212F8C6" w:rsidR="003C268A" w:rsidRPr="008813AE" w:rsidRDefault="003C268A" w:rsidP="003C268A">
      <w:pPr>
        <w:pStyle w:val="Subbodytext"/>
      </w:pPr>
      <w:r w:rsidRPr="5E191EAF">
        <w:t>The department’s risk</w:t>
      </w:r>
      <w:r>
        <w:t>-</w:t>
      </w:r>
      <w:r w:rsidRPr="5E191EAF">
        <w:t>based approach to managing financial integrity is set out in the Financial Integrity Strategy.</w:t>
      </w:r>
      <w:r w:rsidRPr="5E191EAF">
        <w:rPr>
          <w:rStyle w:val="FootnoteReference"/>
          <w:rFonts w:ascii="Calibri" w:eastAsia="Calibri" w:hAnsi="Calibri" w:cs="Calibri"/>
        </w:rPr>
        <w:footnoteReference w:id="26"/>
      </w:r>
      <w:r w:rsidRPr="5E191EAF">
        <w:t xml:space="preserve"> The</w:t>
      </w:r>
      <w:r>
        <w:t xml:space="preserve"> department supports the </w:t>
      </w:r>
      <w:r w:rsidRPr="5E191EAF">
        <w:t xml:space="preserve">functions </w:t>
      </w:r>
      <w:r>
        <w:t xml:space="preserve">outlined </w:t>
      </w:r>
      <w:r w:rsidRPr="5E191EAF">
        <w:t xml:space="preserve">above </w:t>
      </w:r>
      <w:r>
        <w:t xml:space="preserve">through </w:t>
      </w:r>
      <w:r w:rsidR="00293C9C">
        <w:t xml:space="preserve">the </w:t>
      </w:r>
      <w:r>
        <w:t>provision of</w:t>
      </w:r>
      <w:r w:rsidRPr="5E191EAF">
        <w:t xml:space="preserve"> </w:t>
      </w:r>
      <w:r>
        <w:t xml:space="preserve">a variety of resources that </w:t>
      </w:r>
      <w:r w:rsidRPr="5E191EAF">
        <w:t xml:space="preserve">help providers </w:t>
      </w:r>
      <w:r>
        <w:t>better</w:t>
      </w:r>
      <w:r w:rsidRPr="5E191EAF">
        <w:t xml:space="preserve"> understand and voluntarily meet their obligations</w:t>
      </w:r>
      <w:r>
        <w:t>. These include</w:t>
      </w:r>
      <w:r w:rsidRPr="5E191EAF">
        <w:t xml:space="preserve"> the Child Care Helpdesk</w:t>
      </w:r>
      <w:r>
        <w:t>,</w:t>
      </w:r>
      <w:r w:rsidRPr="5E191EAF">
        <w:t xml:space="preserve"> information and communication products </w:t>
      </w:r>
      <w:r>
        <w:t>(</w:t>
      </w:r>
      <w:r w:rsidRPr="5E191EAF">
        <w:t>including a provider handbook</w:t>
      </w:r>
      <w:r>
        <w:t>),</w:t>
      </w:r>
      <w:r w:rsidRPr="5E191EAF">
        <w:t xml:space="preserve"> and sector engagement. Work is also underway to establish a dedicated Learning Management System and sector</w:t>
      </w:r>
      <w:r>
        <w:t>-</w:t>
      </w:r>
      <w:r w:rsidRPr="5E191EAF">
        <w:t xml:space="preserve">led </w:t>
      </w:r>
      <w:r w:rsidRPr="008813AE">
        <w:t xml:space="preserve">capacity building projects to support the sector to understand and meet </w:t>
      </w:r>
      <w:r w:rsidR="00293C9C">
        <w:t>its</w:t>
      </w:r>
      <w:r w:rsidRPr="008813AE">
        <w:t xml:space="preserve"> obligations (refer to </w:t>
      </w:r>
      <w:r w:rsidRPr="008813AE">
        <w:rPr>
          <w:b/>
          <w:bCs/>
        </w:rPr>
        <w:t xml:space="preserve">Sections 4.1 and 4.2 </w:t>
      </w:r>
      <w:r w:rsidRPr="008813AE">
        <w:t>for more detail on the CCS Reforms Integrity Package).</w:t>
      </w:r>
    </w:p>
    <w:p w14:paraId="36167827" w14:textId="045E0D19" w:rsidR="003C268A" w:rsidRPr="008813AE" w:rsidRDefault="003C268A" w:rsidP="003C268A">
      <w:pPr>
        <w:pStyle w:val="Subbodytext"/>
      </w:pPr>
      <w:r w:rsidRPr="008813AE">
        <w:t xml:space="preserve">The department’s regulatory functions help </w:t>
      </w:r>
      <w:r w:rsidR="00055396" w:rsidRPr="008813AE">
        <w:t xml:space="preserve">to </w:t>
      </w:r>
      <w:r w:rsidRPr="008813AE">
        <w:t>ensure the efficient and effective use of program resources. Program efficiency is currently measured by payment accuracy,</w:t>
      </w:r>
      <w:r w:rsidR="00FD134B">
        <w:t xml:space="preserve"> which is</w:t>
      </w:r>
      <w:r w:rsidRPr="008813AE">
        <w:t xml:space="preserve"> a key performance indicator for the CCS in the department’s Portfolio Budget Statement,</w:t>
      </w:r>
      <w:r w:rsidRPr="008813AE">
        <w:rPr>
          <w:rStyle w:val="FootnoteReference"/>
          <w:rFonts w:ascii="Calibri" w:eastAsia="Calibri" w:hAnsi="Calibri" w:cs="Calibri"/>
        </w:rPr>
        <w:footnoteReference w:id="27"/>
      </w:r>
      <w:r w:rsidRPr="008813AE">
        <w:t xml:space="preserve"> with a target of at least 90</w:t>
      </w:r>
      <w:r w:rsidR="00346148">
        <w:t> per cent</w:t>
      </w:r>
      <w:r w:rsidRPr="008813AE">
        <w:t xml:space="preserve"> accuracy. As noted in the 2021–22 Annual Report, the department achieved 93</w:t>
      </w:r>
      <w:r w:rsidR="00346148">
        <w:t> per cent</w:t>
      </w:r>
      <w:r w:rsidRPr="008813AE">
        <w:t xml:space="preserve"> payment accuracy in 2021–22.</w:t>
      </w:r>
      <w:r w:rsidRPr="008813AE">
        <w:rPr>
          <w:rStyle w:val="FootnoteReference"/>
          <w:rFonts w:ascii="Calibri" w:eastAsia="Calibri" w:hAnsi="Calibri" w:cs="Calibri"/>
        </w:rPr>
        <w:footnoteReference w:id="28"/>
      </w:r>
    </w:p>
    <w:p w14:paraId="170C3029" w14:textId="77777777" w:rsidR="003C268A" w:rsidRPr="008813AE" w:rsidRDefault="003C268A" w:rsidP="00087EAE">
      <w:pPr>
        <w:pStyle w:val="SubSectionHeading"/>
      </w:pPr>
      <w:bookmarkStart w:id="55" w:name="_Toc133778850"/>
      <w:bookmarkStart w:id="56" w:name="_Toc134023015"/>
      <w:bookmarkStart w:id="57" w:name="_Toc134173420"/>
      <w:bookmarkStart w:id="58" w:name="_Toc135404854"/>
      <w:r w:rsidRPr="008813AE">
        <w:t>Preschool (Year Before Full-time School)</w:t>
      </w:r>
      <w:bookmarkEnd w:id="55"/>
      <w:bookmarkEnd w:id="56"/>
      <w:bookmarkEnd w:id="57"/>
      <w:bookmarkEnd w:id="58"/>
    </w:p>
    <w:p w14:paraId="2FB3C780" w14:textId="5AED7301" w:rsidR="0018161D" w:rsidRDefault="00B67BB1" w:rsidP="003C268A">
      <w:pPr>
        <w:pStyle w:val="Subbodytext"/>
      </w:pPr>
      <w:r>
        <w:t xml:space="preserve">Governments of all levels </w:t>
      </w:r>
      <w:r w:rsidR="003C268A" w:rsidRPr="008813AE">
        <w:t>support all children to reach their potential through participation in quality preschool. Each year</w:t>
      </w:r>
      <w:r w:rsidR="004B39ED" w:rsidRPr="008813AE">
        <w:t>,</w:t>
      </w:r>
      <w:r w:rsidR="003C268A" w:rsidRPr="008813AE">
        <w:t xml:space="preserve"> around 300,000 preschool-aged children in the year before full-time school (YBFS) participate in preschool programs through about 13,000 preschools.</w:t>
      </w:r>
      <w:r w:rsidR="003C268A" w:rsidRPr="008813AE">
        <w:rPr>
          <w:rStyle w:val="FootnoteReference"/>
        </w:rPr>
        <w:footnoteReference w:id="29"/>
      </w:r>
      <w:r w:rsidR="003C268A" w:rsidRPr="008813AE">
        <w:t xml:space="preserve"> Preschool can be delivered in a range of </w:t>
      </w:r>
      <w:r w:rsidR="5E4F0705" w:rsidRPr="008813AE">
        <w:t>settings</w:t>
      </w:r>
      <w:r w:rsidR="004B39ED" w:rsidRPr="008813AE">
        <w:t>,</w:t>
      </w:r>
      <w:r w:rsidR="003C268A" w:rsidRPr="008813AE">
        <w:t xml:space="preserve"> including </w:t>
      </w:r>
      <w:r w:rsidR="001B23CB">
        <w:t xml:space="preserve">in </w:t>
      </w:r>
      <w:r w:rsidR="003C268A" w:rsidRPr="008813AE">
        <w:t xml:space="preserve">dedicated preschools (in schools and standalone), and </w:t>
      </w:r>
      <w:r w:rsidR="001B23CB">
        <w:t xml:space="preserve">in </w:t>
      </w:r>
      <w:r w:rsidR="003C268A" w:rsidRPr="008813AE">
        <w:t xml:space="preserve">preschool programs delivered in CBDC (refer to </w:t>
      </w:r>
      <w:r w:rsidR="003C268A" w:rsidRPr="008813AE">
        <w:rPr>
          <w:b/>
          <w:bCs/>
        </w:rPr>
        <w:t xml:space="preserve">Figure </w:t>
      </w:r>
      <w:r w:rsidR="3CA3E445" w:rsidRPr="008813AE">
        <w:rPr>
          <w:b/>
          <w:bCs/>
        </w:rPr>
        <w:t>1</w:t>
      </w:r>
      <w:r w:rsidR="00D53271" w:rsidRPr="008813AE">
        <w:rPr>
          <w:b/>
          <w:bCs/>
        </w:rPr>
        <w:t>1</w:t>
      </w:r>
      <w:r w:rsidR="003C268A" w:rsidRPr="008813AE">
        <w:t xml:space="preserve"> and </w:t>
      </w:r>
      <w:r w:rsidR="003C268A" w:rsidRPr="008813AE">
        <w:rPr>
          <w:b/>
          <w:bCs/>
        </w:rPr>
        <w:t xml:space="preserve">Table </w:t>
      </w:r>
      <w:r w:rsidR="006866F4">
        <w:rPr>
          <w:b/>
          <w:bCs/>
        </w:rPr>
        <w:t>5</w:t>
      </w:r>
      <w:r w:rsidR="003C268A" w:rsidRPr="008813AE">
        <w:t>).</w:t>
      </w:r>
    </w:p>
    <w:p w14:paraId="26C803E6" w14:textId="56DC885D" w:rsidR="00D53271" w:rsidRDefault="00D53271" w:rsidP="0099424D">
      <w:pPr>
        <w:pStyle w:val="Caption"/>
        <w:keepNext/>
      </w:pPr>
      <w:r>
        <w:t xml:space="preserve">Figure </w:t>
      </w:r>
      <w:r>
        <w:fldChar w:fldCharType="begin"/>
      </w:r>
      <w:r>
        <w:instrText>SEQ Figure \* ARABIC</w:instrText>
      </w:r>
      <w:r>
        <w:fldChar w:fldCharType="separate"/>
      </w:r>
      <w:r w:rsidR="00D307AC">
        <w:rPr>
          <w:noProof/>
        </w:rPr>
        <w:t>11</w:t>
      </w:r>
      <w:r>
        <w:fldChar w:fldCharType="end"/>
      </w:r>
      <w:r>
        <w:t>:</w:t>
      </w:r>
      <w:r w:rsidRPr="00D53271">
        <w:t xml:space="preserve"> </w:t>
      </w:r>
      <w:r>
        <w:t>Preschool Children Enrolled by Sector, 2022</w:t>
      </w:r>
    </w:p>
    <w:p w14:paraId="090A27B0" w14:textId="65E53EF5" w:rsidR="003C268A" w:rsidRDefault="003C268A" w:rsidP="003C268A">
      <w:pPr>
        <w:pStyle w:val="SubFigureCaption"/>
      </w:pPr>
      <w:r>
        <w:rPr>
          <w:noProof/>
        </w:rPr>
        <w:drawing>
          <wp:inline distT="0" distB="0" distL="0" distR="0" wp14:anchorId="3BBAF45A" wp14:editId="7002E907">
            <wp:extent cx="6015990" cy="2720764"/>
            <wp:effectExtent l="19050" t="19050" r="22860" b="22860"/>
            <wp:docPr id="13" name="Picture 13" descr="A chart showing Preschool Children Enrolled by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hart showing Preschool Children Enrolled by Sector"/>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6039458" cy="2731378"/>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br/>
      </w:r>
      <w:r w:rsidRPr="0043171D">
        <w:t>Source: A</w:t>
      </w:r>
      <w:r>
        <w:t xml:space="preserve">ustralian </w:t>
      </w:r>
      <w:r w:rsidRPr="00297A9F">
        <w:t>B</w:t>
      </w:r>
      <w:r>
        <w:t xml:space="preserve">ureau of </w:t>
      </w:r>
      <w:r w:rsidRPr="00297A9F">
        <w:t>S</w:t>
      </w:r>
      <w:r>
        <w:t>tatistics (ABS)</w:t>
      </w:r>
      <w:r w:rsidRPr="00297A9F">
        <w:t xml:space="preserve">, </w:t>
      </w:r>
      <w:r w:rsidRPr="00297A9F">
        <w:rPr>
          <w:i/>
          <w:iCs/>
        </w:rPr>
        <w:t>Preschool Education</w:t>
      </w:r>
      <w:r w:rsidRPr="00297A9F">
        <w:t>, 2022</w:t>
      </w:r>
      <w:r w:rsidR="00E3025B">
        <w:t>.</w:t>
      </w:r>
    </w:p>
    <w:p w14:paraId="76EC63F1" w14:textId="24336451" w:rsidR="009519A6" w:rsidRDefault="009519A6" w:rsidP="055BADF6">
      <w:pPr>
        <w:pStyle w:val="Caption"/>
        <w:keepNext/>
      </w:pPr>
      <w:r>
        <w:t xml:space="preserve">Table </w:t>
      </w:r>
      <w:r>
        <w:fldChar w:fldCharType="begin"/>
      </w:r>
      <w:r>
        <w:instrText>SEQ Table \* ARABIC</w:instrText>
      </w:r>
      <w:r>
        <w:fldChar w:fldCharType="separate"/>
      </w:r>
      <w:r w:rsidR="00D307AC">
        <w:rPr>
          <w:noProof/>
        </w:rPr>
        <w:t>5</w:t>
      </w:r>
      <w:r>
        <w:fldChar w:fldCharType="end"/>
      </w:r>
      <w:r>
        <w:t>:</w:t>
      </w:r>
      <w:r w:rsidRPr="009519A6">
        <w:t xml:space="preserve"> </w:t>
      </w:r>
      <w:r>
        <w:t xml:space="preserve">Preschool </w:t>
      </w:r>
      <w:r w:rsidRPr="001C49ED">
        <w:rPr>
          <w:lang w:eastAsia="en-AU"/>
        </w:rPr>
        <w:t>Children Enrolled by Sector, 2022</w:t>
      </w:r>
    </w:p>
    <w:tbl>
      <w:tblPr>
        <w:tblStyle w:val="EDU-Basic"/>
        <w:tblW w:w="5000" w:type="pct"/>
        <w:tblLook w:val="04A0" w:firstRow="1" w:lastRow="0" w:firstColumn="1" w:lastColumn="0" w:noHBand="0" w:noVBand="1"/>
        <w:tblCaption w:val="Children Enrolled by Sector, 2022"/>
      </w:tblPr>
      <w:tblGrid>
        <w:gridCol w:w="1352"/>
        <w:gridCol w:w="1676"/>
        <w:gridCol w:w="2919"/>
        <w:gridCol w:w="3069"/>
      </w:tblGrid>
      <w:tr w:rsidR="003C268A" w:rsidRPr="001C49ED" w14:paraId="096F17A4" w14:textId="77777777" w:rsidTr="00E02509">
        <w:trPr>
          <w:cnfStyle w:val="100000000000" w:firstRow="1" w:lastRow="0" w:firstColumn="0" w:lastColumn="0" w:oddVBand="0" w:evenVBand="0" w:oddHBand="0" w:evenHBand="0" w:firstRowFirstColumn="0" w:firstRowLastColumn="0" w:lastRowFirstColumn="0" w:lastRowLastColumn="0"/>
          <w:trHeight w:val="566"/>
          <w:tblHeader/>
        </w:trPr>
        <w:tc>
          <w:tcPr>
            <w:cnfStyle w:val="001000000000" w:firstRow="0" w:lastRow="0" w:firstColumn="1" w:lastColumn="0" w:oddVBand="0" w:evenVBand="0" w:oddHBand="0" w:evenHBand="0" w:firstRowFirstColumn="0" w:firstRowLastColumn="0" w:lastRowFirstColumn="0" w:lastRowLastColumn="0"/>
            <w:tcW w:w="1350" w:type="dxa"/>
            <w:hideMark/>
          </w:tcPr>
          <w:p w14:paraId="77A1C622" w14:textId="74F05EBA" w:rsidR="003C268A" w:rsidRPr="00297A9F" w:rsidRDefault="009519A6" w:rsidP="002F55E1">
            <w:pPr>
              <w:keepLines/>
              <w:spacing w:after="100"/>
              <w:rPr>
                <w:rFonts w:ascii="Calibri" w:eastAsia="Times New Roman" w:hAnsi="Calibri" w:cs="Calibri"/>
                <w:b/>
                <w:lang w:eastAsia="en-AU"/>
              </w:rPr>
            </w:pPr>
            <w:r>
              <w:rPr>
                <w:rFonts w:ascii="Calibri" w:eastAsia="Times New Roman" w:hAnsi="Calibri" w:cs="Calibri"/>
                <w:b/>
                <w:lang w:eastAsia="en-AU"/>
              </w:rPr>
              <w:t>Jurisdiction</w:t>
            </w:r>
          </w:p>
        </w:tc>
        <w:tc>
          <w:tcPr>
            <w:tcW w:w="1674" w:type="dxa"/>
            <w:hideMark/>
          </w:tcPr>
          <w:p w14:paraId="143AED28" w14:textId="77777777" w:rsidR="003C268A" w:rsidRPr="00297A9F" w:rsidRDefault="003C268A" w:rsidP="002F55E1">
            <w:pPr>
              <w:keepLines/>
              <w:spacing w:after="10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lang w:eastAsia="en-AU"/>
              </w:rPr>
            </w:pPr>
            <w:r w:rsidRPr="00297A9F">
              <w:rPr>
                <w:rFonts w:ascii="Calibri" w:eastAsia="Times New Roman" w:hAnsi="Calibri" w:cs="Calibri"/>
                <w:b/>
                <w:lang w:eastAsia="en-AU"/>
              </w:rPr>
              <w:t>Preschool (%)</w:t>
            </w:r>
          </w:p>
        </w:tc>
        <w:tc>
          <w:tcPr>
            <w:tcW w:w="2916" w:type="dxa"/>
            <w:hideMark/>
          </w:tcPr>
          <w:p w14:paraId="33A8D31A" w14:textId="27291E26" w:rsidR="003C268A" w:rsidRPr="00297A9F" w:rsidRDefault="003C268A" w:rsidP="002F55E1">
            <w:pPr>
              <w:keepLines/>
              <w:spacing w:after="10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lang w:eastAsia="en-AU"/>
              </w:rPr>
            </w:pPr>
            <w:r w:rsidRPr="00297A9F">
              <w:rPr>
                <w:rFonts w:ascii="Calibri" w:eastAsia="Times New Roman" w:hAnsi="Calibri" w:cs="Calibri"/>
                <w:b/>
                <w:lang w:eastAsia="en-AU"/>
              </w:rPr>
              <w:t>Preschool program within CBDC (%)</w:t>
            </w:r>
          </w:p>
        </w:tc>
        <w:tc>
          <w:tcPr>
            <w:tcW w:w="3066" w:type="dxa"/>
            <w:hideMark/>
          </w:tcPr>
          <w:p w14:paraId="6EB74F6E" w14:textId="77777777" w:rsidR="003C268A" w:rsidRPr="00297A9F" w:rsidRDefault="003C268A" w:rsidP="002F55E1">
            <w:pPr>
              <w:keepLines/>
              <w:spacing w:after="10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lang w:eastAsia="en-AU"/>
              </w:rPr>
            </w:pPr>
            <w:r w:rsidRPr="00297A9F">
              <w:rPr>
                <w:rFonts w:ascii="Calibri" w:eastAsia="Times New Roman" w:hAnsi="Calibri" w:cs="Calibri"/>
                <w:b/>
                <w:lang w:eastAsia="en-AU"/>
              </w:rPr>
              <w:t>Children across more than one provider type (%)</w:t>
            </w:r>
          </w:p>
        </w:tc>
      </w:tr>
      <w:tr w:rsidR="003C268A" w:rsidRPr="001C49ED" w14:paraId="31AC3DA3" w14:textId="77777777" w:rsidTr="00E02509">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noWrap/>
            <w:hideMark/>
          </w:tcPr>
          <w:p w14:paraId="05EA989E" w14:textId="77777777" w:rsidR="003C268A" w:rsidRPr="00E02509" w:rsidRDefault="003C268A" w:rsidP="002F55E1">
            <w:pPr>
              <w:keepLines/>
              <w:spacing w:after="0"/>
              <w:rPr>
                <w:rFonts w:ascii="Calibri" w:eastAsia="Times New Roman" w:hAnsi="Calibri" w:cs="Calibri"/>
                <w:b/>
                <w:color w:val="auto"/>
                <w:lang w:eastAsia="en-AU"/>
              </w:rPr>
            </w:pPr>
            <w:r w:rsidRPr="00E02509">
              <w:rPr>
                <w:rFonts w:ascii="Calibri" w:eastAsia="Times New Roman" w:hAnsi="Calibri" w:cs="Calibri"/>
                <w:b/>
                <w:color w:val="auto"/>
                <w:lang w:eastAsia="en-AU"/>
              </w:rPr>
              <w:t>NSW</w:t>
            </w:r>
          </w:p>
        </w:tc>
        <w:tc>
          <w:tcPr>
            <w:tcW w:w="1674" w:type="dxa"/>
            <w:shd w:val="clear" w:color="auto" w:fill="auto"/>
            <w:noWrap/>
            <w:hideMark/>
          </w:tcPr>
          <w:p w14:paraId="13ED950E" w14:textId="77777777" w:rsidR="003C268A" w:rsidRPr="001C49ED" w:rsidRDefault="003C268A" w:rsidP="002F55E1">
            <w:pPr>
              <w:keepLines/>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1C49ED">
              <w:rPr>
                <w:rFonts w:ascii="Calibri" w:eastAsia="Times New Roman" w:hAnsi="Calibri" w:cs="Calibri"/>
                <w:color w:val="000000"/>
                <w:lang w:eastAsia="en-AU"/>
              </w:rPr>
              <w:t>25.4</w:t>
            </w:r>
          </w:p>
        </w:tc>
        <w:tc>
          <w:tcPr>
            <w:tcW w:w="2916" w:type="dxa"/>
            <w:shd w:val="clear" w:color="auto" w:fill="auto"/>
            <w:noWrap/>
            <w:hideMark/>
          </w:tcPr>
          <w:p w14:paraId="1C7C01A5" w14:textId="77777777" w:rsidR="003C268A" w:rsidRPr="001C49ED" w:rsidRDefault="003C268A" w:rsidP="002F55E1">
            <w:pPr>
              <w:keepLines/>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1C49ED">
              <w:rPr>
                <w:rFonts w:ascii="Calibri" w:eastAsia="Times New Roman" w:hAnsi="Calibri" w:cs="Calibri"/>
                <w:color w:val="000000"/>
                <w:lang w:eastAsia="en-AU"/>
              </w:rPr>
              <w:t>64.4</w:t>
            </w:r>
          </w:p>
        </w:tc>
        <w:tc>
          <w:tcPr>
            <w:tcW w:w="3066" w:type="dxa"/>
            <w:shd w:val="clear" w:color="auto" w:fill="auto"/>
            <w:noWrap/>
            <w:hideMark/>
          </w:tcPr>
          <w:p w14:paraId="5C57DC53" w14:textId="77777777" w:rsidR="003C268A" w:rsidRPr="001C49ED" w:rsidRDefault="003C268A" w:rsidP="002F55E1">
            <w:pPr>
              <w:keepLines/>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1C49ED">
              <w:rPr>
                <w:rFonts w:ascii="Calibri" w:eastAsia="Times New Roman" w:hAnsi="Calibri" w:cs="Calibri"/>
                <w:color w:val="000000"/>
                <w:lang w:eastAsia="en-AU"/>
              </w:rPr>
              <w:t>10.2</w:t>
            </w:r>
          </w:p>
        </w:tc>
      </w:tr>
      <w:tr w:rsidR="003C268A" w:rsidRPr="001C49ED" w14:paraId="5AD3219C" w14:textId="77777777" w:rsidTr="00E02509">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noWrap/>
            <w:hideMark/>
          </w:tcPr>
          <w:p w14:paraId="37C555C1" w14:textId="77777777" w:rsidR="003C268A" w:rsidRPr="00E02509" w:rsidRDefault="003C268A" w:rsidP="002F55E1">
            <w:pPr>
              <w:keepLines/>
              <w:spacing w:after="0"/>
              <w:rPr>
                <w:rFonts w:ascii="Calibri" w:eastAsia="Times New Roman" w:hAnsi="Calibri" w:cs="Calibri"/>
                <w:b/>
                <w:color w:val="auto"/>
                <w:lang w:eastAsia="en-AU"/>
              </w:rPr>
            </w:pPr>
            <w:r w:rsidRPr="00E02509">
              <w:rPr>
                <w:rFonts w:ascii="Calibri" w:eastAsia="Times New Roman" w:hAnsi="Calibri" w:cs="Calibri"/>
                <w:b/>
                <w:color w:val="auto"/>
                <w:lang w:eastAsia="en-AU"/>
              </w:rPr>
              <w:t>VIC</w:t>
            </w:r>
          </w:p>
        </w:tc>
        <w:tc>
          <w:tcPr>
            <w:tcW w:w="1674" w:type="dxa"/>
            <w:shd w:val="clear" w:color="auto" w:fill="auto"/>
            <w:noWrap/>
            <w:hideMark/>
          </w:tcPr>
          <w:p w14:paraId="2877A827" w14:textId="77777777" w:rsidR="003C268A" w:rsidRPr="001C49ED" w:rsidRDefault="003C268A" w:rsidP="002F55E1">
            <w:pPr>
              <w:keepLines/>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1C49ED">
              <w:rPr>
                <w:rFonts w:ascii="Calibri" w:eastAsia="Times New Roman" w:hAnsi="Calibri" w:cs="Calibri"/>
                <w:color w:val="000000"/>
                <w:lang w:eastAsia="en-AU"/>
              </w:rPr>
              <w:t>42.1</w:t>
            </w:r>
          </w:p>
        </w:tc>
        <w:tc>
          <w:tcPr>
            <w:tcW w:w="2916" w:type="dxa"/>
            <w:shd w:val="clear" w:color="auto" w:fill="auto"/>
            <w:noWrap/>
            <w:hideMark/>
          </w:tcPr>
          <w:p w14:paraId="117AAE3F" w14:textId="77777777" w:rsidR="003C268A" w:rsidRPr="001C49ED" w:rsidRDefault="003C268A" w:rsidP="002F55E1">
            <w:pPr>
              <w:keepLines/>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1C49ED">
              <w:rPr>
                <w:rFonts w:ascii="Calibri" w:eastAsia="Times New Roman" w:hAnsi="Calibri" w:cs="Calibri"/>
                <w:color w:val="000000"/>
                <w:lang w:eastAsia="en-AU"/>
              </w:rPr>
              <w:t>42.9</w:t>
            </w:r>
          </w:p>
        </w:tc>
        <w:tc>
          <w:tcPr>
            <w:tcW w:w="3066" w:type="dxa"/>
            <w:shd w:val="clear" w:color="auto" w:fill="auto"/>
            <w:noWrap/>
            <w:hideMark/>
          </w:tcPr>
          <w:p w14:paraId="2A7B64B4" w14:textId="77777777" w:rsidR="003C268A" w:rsidRPr="001C49ED" w:rsidRDefault="003C268A" w:rsidP="002F55E1">
            <w:pPr>
              <w:keepLines/>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1C49ED">
              <w:rPr>
                <w:rFonts w:ascii="Calibri" w:eastAsia="Times New Roman" w:hAnsi="Calibri" w:cs="Calibri"/>
                <w:color w:val="000000"/>
                <w:lang w:eastAsia="en-AU"/>
              </w:rPr>
              <w:t>15.1</w:t>
            </w:r>
          </w:p>
        </w:tc>
      </w:tr>
      <w:tr w:rsidR="003C268A" w:rsidRPr="001C49ED" w14:paraId="4F57D46C" w14:textId="77777777" w:rsidTr="00E02509">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noWrap/>
            <w:hideMark/>
          </w:tcPr>
          <w:p w14:paraId="70BD3DCD" w14:textId="77777777" w:rsidR="003C268A" w:rsidRPr="00E02509" w:rsidRDefault="003C268A" w:rsidP="002F55E1">
            <w:pPr>
              <w:keepLines/>
              <w:spacing w:after="0"/>
              <w:rPr>
                <w:rFonts w:ascii="Calibri" w:eastAsia="Times New Roman" w:hAnsi="Calibri" w:cs="Calibri"/>
                <w:b/>
                <w:color w:val="auto"/>
                <w:lang w:eastAsia="en-AU"/>
              </w:rPr>
            </w:pPr>
            <w:r w:rsidRPr="00E02509">
              <w:rPr>
                <w:rFonts w:ascii="Calibri" w:eastAsia="Times New Roman" w:hAnsi="Calibri" w:cs="Calibri"/>
                <w:b/>
                <w:color w:val="auto"/>
                <w:lang w:eastAsia="en-AU"/>
              </w:rPr>
              <w:t>QLD</w:t>
            </w:r>
          </w:p>
        </w:tc>
        <w:tc>
          <w:tcPr>
            <w:tcW w:w="1674" w:type="dxa"/>
            <w:shd w:val="clear" w:color="auto" w:fill="auto"/>
            <w:noWrap/>
            <w:hideMark/>
          </w:tcPr>
          <w:p w14:paraId="26F8E366" w14:textId="77777777" w:rsidR="003C268A" w:rsidRPr="001C49ED" w:rsidRDefault="003C268A" w:rsidP="002F55E1">
            <w:pPr>
              <w:keepLines/>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1C49ED">
              <w:rPr>
                <w:rFonts w:ascii="Calibri" w:eastAsia="Times New Roman" w:hAnsi="Calibri" w:cs="Calibri"/>
                <w:color w:val="000000"/>
                <w:lang w:eastAsia="en-AU"/>
              </w:rPr>
              <w:t>24.9</w:t>
            </w:r>
          </w:p>
        </w:tc>
        <w:tc>
          <w:tcPr>
            <w:tcW w:w="2916" w:type="dxa"/>
            <w:shd w:val="clear" w:color="auto" w:fill="auto"/>
            <w:noWrap/>
            <w:hideMark/>
          </w:tcPr>
          <w:p w14:paraId="353898B2" w14:textId="77777777" w:rsidR="003C268A" w:rsidRPr="001C49ED" w:rsidRDefault="003C268A" w:rsidP="002F55E1">
            <w:pPr>
              <w:keepLines/>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1C49ED">
              <w:rPr>
                <w:rFonts w:ascii="Calibri" w:eastAsia="Times New Roman" w:hAnsi="Calibri" w:cs="Calibri"/>
                <w:color w:val="000000"/>
                <w:lang w:eastAsia="en-AU"/>
              </w:rPr>
              <w:t>70.2</w:t>
            </w:r>
          </w:p>
        </w:tc>
        <w:tc>
          <w:tcPr>
            <w:tcW w:w="3066" w:type="dxa"/>
            <w:shd w:val="clear" w:color="auto" w:fill="auto"/>
            <w:noWrap/>
            <w:hideMark/>
          </w:tcPr>
          <w:p w14:paraId="5746B9EE" w14:textId="77777777" w:rsidR="003C268A" w:rsidRPr="001C49ED" w:rsidRDefault="003C268A" w:rsidP="002F55E1">
            <w:pPr>
              <w:keepLines/>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1C49ED">
              <w:rPr>
                <w:rFonts w:ascii="Calibri" w:eastAsia="Times New Roman" w:hAnsi="Calibri" w:cs="Calibri"/>
                <w:color w:val="000000"/>
                <w:lang w:eastAsia="en-AU"/>
              </w:rPr>
              <w:t>4.8</w:t>
            </w:r>
          </w:p>
        </w:tc>
      </w:tr>
      <w:tr w:rsidR="003C268A" w:rsidRPr="001C49ED" w14:paraId="0BDE1377" w14:textId="77777777" w:rsidTr="00E02509">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noWrap/>
            <w:hideMark/>
          </w:tcPr>
          <w:p w14:paraId="777D21D3" w14:textId="77777777" w:rsidR="003C268A" w:rsidRPr="00E02509" w:rsidRDefault="003C268A" w:rsidP="002F55E1">
            <w:pPr>
              <w:keepLines/>
              <w:spacing w:after="0"/>
              <w:rPr>
                <w:rFonts w:ascii="Calibri" w:eastAsia="Times New Roman" w:hAnsi="Calibri" w:cs="Calibri"/>
                <w:b/>
                <w:color w:val="auto"/>
                <w:lang w:eastAsia="en-AU"/>
              </w:rPr>
            </w:pPr>
            <w:r w:rsidRPr="00E02509">
              <w:rPr>
                <w:rFonts w:ascii="Calibri" w:eastAsia="Times New Roman" w:hAnsi="Calibri" w:cs="Calibri"/>
                <w:b/>
                <w:color w:val="auto"/>
                <w:lang w:eastAsia="en-AU"/>
              </w:rPr>
              <w:t>SA</w:t>
            </w:r>
          </w:p>
        </w:tc>
        <w:tc>
          <w:tcPr>
            <w:tcW w:w="1674" w:type="dxa"/>
            <w:shd w:val="clear" w:color="auto" w:fill="auto"/>
            <w:noWrap/>
            <w:hideMark/>
          </w:tcPr>
          <w:p w14:paraId="16879FC1" w14:textId="77777777" w:rsidR="003C268A" w:rsidRPr="001C49ED" w:rsidRDefault="003C268A" w:rsidP="002F55E1">
            <w:pPr>
              <w:keepLines/>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1C49ED">
              <w:rPr>
                <w:rFonts w:ascii="Calibri" w:eastAsia="Times New Roman" w:hAnsi="Calibri" w:cs="Calibri"/>
                <w:color w:val="000000"/>
                <w:lang w:eastAsia="en-AU"/>
              </w:rPr>
              <w:t>45.5</w:t>
            </w:r>
          </w:p>
        </w:tc>
        <w:tc>
          <w:tcPr>
            <w:tcW w:w="2916" w:type="dxa"/>
            <w:shd w:val="clear" w:color="auto" w:fill="auto"/>
            <w:noWrap/>
            <w:hideMark/>
          </w:tcPr>
          <w:p w14:paraId="6C086B94" w14:textId="77777777" w:rsidR="003C268A" w:rsidRPr="001C49ED" w:rsidRDefault="003C268A" w:rsidP="002F55E1">
            <w:pPr>
              <w:keepLines/>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1C49ED">
              <w:rPr>
                <w:rFonts w:ascii="Calibri" w:eastAsia="Times New Roman" w:hAnsi="Calibri" w:cs="Calibri"/>
                <w:color w:val="000000"/>
                <w:lang w:eastAsia="en-AU"/>
              </w:rPr>
              <w:t>32.4</w:t>
            </w:r>
          </w:p>
        </w:tc>
        <w:tc>
          <w:tcPr>
            <w:tcW w:w="3066" w:type="dxa"/>
            <w:shd w:val="clear" w:color="auto" w:fill="auto"/>
            <w:noWrap/>
            <w:hideMark/>
          </w:tcPr>
          <w:p w14:paraId="1A13FD03" w14:textId="77777777" w:rsidR="003C268A" w:rsidRPr="001C49ED" w:rsidRDefault="003C268A" w:rsidP="002F55E1">
            <w:pPr>
              <w:keepLines/>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1C49ED">
              <w:rPr>
                <w:rFonts w:ascii="Calibri" w:eastAsia="Times New Roman" w:hAnsi="Calibri" w:cs="Calibri"/>
                <w:color w:val="000000"/>
                <w:lang w:eastAsia="en-AU"/>
              </w:rPr>
              <w:t>22.0</w:t>
            </w:r>
          </w:p>
        </w:tc>
      </w:tr>
      <w:tr w:rsidR="003C268A" w:rsidRPr="001C49ED" w14:paraId="07B27162" w14:textId="77777777" w:rsidTr="00E02509">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noWrap/>
            <w:hideMark/>
          </w:tcPr>
          <w:p w14:paraId="619D789F" w14:textId="77777777" w:rsidR="003C268A" w:rsidRPr="00E02509" w:rsidRDefault="003C268A" w:rsidP="002F55E1">
            <w:pPr>
              <w:keepLines/>
              <w:spacing w:after="0"/>
              <w:rPr>
                <w:rFonts w:ascii="Calibri" w:eastAsia="Times New Roman" w:hAnsi="Calibri" w:cs="Calibri"/>
                <w:b/>
                <w:color w:val="auto"/>
                <w:lang w:eastAsia="en-AU"/>
              </w:rPr>
            </w:pPr>
            <w:r w:rsidRPr="00E02509">
              <w:rPr>
                <w:rFonts w:ascii="Calibri" w:eastAsia="Times New Roman" w:hAnsi="Calibri" w:cs="Calibri"/>
                <w:b/>
                <w:color w:val="auto"/>
                <w:lang w:eastAsia="en-AU"/>
              </w:rPr>
              <w:t>WA</w:t>
            </w:r>
          </w:p>
        </w:tc>
        <w:tc>
          <w:tcPr>
            <w:tcW w:w="1674" w:type="dxa"/>
            <w:shd w:val="clear" w:color="auto" w:fill="auto"/>
            <w:noWrap/>
            <w:hideMark/>
          </w:tcPr>
          <w:p w14:paraId="71295509" w14:textId="77777777" w:rsidR="003C268A" w:rsidRPr="001C49ED" w:rsidRDefault="003C268A" w:rsidP="002F55E1">
            <w:pPr>
              <w:keepLines/>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1C49ED">
              <w:rPr>
                <w:rFonts w:ascii="Calibri" w:eastAsia="Times New Roman" w:hAnsi="Calibri" w:cs="Calibri"/>
                <w:color w:val="000000"/>
                <w:lang w:eastAsia="en-AU"/>
              </w:rPr>
              <w:t>68.2</w:t>
            </w:r>
          </w:p>
        </w:tc>
        <w:tc>
          <w:tcPr>
            <w:tcW w:w="2916" w:type="dxa"/>
            <w:shd w:val="clear" w:color="auto" w:fill="auto"/>
            <w:noWrap/>
            <w:hideMark/>
          </w:tcPr>
          <w:p w14:paraId="59B01BFA" w14:textId="77777777" w:rsidR="003C268A" w:rsidRPr="001C49ED" w:rsidRDefault="003C268A" w:rsidP="002F55E1">
            <w:pPr>
              <w:keepLines/>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1C49ED">
              <w:rPr>
                <w:rFonts w:ascii="Calibri" w:eastAsia="Times New Roman" w:hAnsi="Calibri" w:cs="Calibri"/>
                <w:color w:val="000000"/>
                <w:lang w:eastAsia="en-AU"/>
              </w:rPr>
              <w:t>5.7</w:t>
            </w:r>
          </w:p>
        </w:tc>
        <w:tc>
          <w:tcPr>
            <w:tcW w:w="3066" w:type="dxa"/>
            <w:shd w:val="clear" w:color="auto" w:fill="auto"/>
            <w:noWrap/>
            <w:hideMark/>
          </w:tcPr>
          <w:p w14:paraId="542E1A43" w14:textId="77777777" w:rsidR="003C268A" w:rsidRPr="001C49ED" w:rsidRDefault="003C268A" w:rsidP="002F55E1">
            <w:pPr>
              <w:keepLines/>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1C49ED">
              <w:rPr>
                <w:rFonts w:ascii="Calibri" w:eastAsia="Times New Roman" w:hAnsi="Calibri" w:cs="Calibri"/>
                <w:color w:val="000000"/>
                <w:lang w:eastAsia="en-AU"/>
              </w:rPr>
              <w:t>26.1</w:t>
            </w:r>
          </w:p>
        </w:tc>
      </w:tr>
      <w:tr w:rsidR="003C268A" w:rsidRPr="001C49ED" w14:paraId="5F0464A1" w14:textId="77777777" w:rsidTr="00E02509">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noWrap/>
            <w:hideMark/>
          </w:tcPr>
          <w:p w14:paraId="63B46570" w14:textId="77777777" w:rsidR="003C268A" w:rsidRPr="00E02509" w:rsidRDefault="003C268A" w:rsidP="002F55E1">
            <w:pPr>
              <w:keepLines/>
              <w:spacing w:after="0"/>
              <w:rPr>
                <w:rFonts w:ascii="Calibri" w:eastAsia="Times New Roman" w:hAnsi="Calibri" w:cs="Calibri"/>
                <w:b/>
                <w:color w:val="auto"/>
                <w:lang w:eastAsia="en-AU"/>
              </w:rPr>
            </w:pPr>
            <w:r w:rsidRPr="00E02509">
              <w:rPr>
                <w:rFonts w:ascii="Calibri" w:eastAsia="Times New Roman" w:hAnsi="Calibri" w:cs="Calibri"/>
                <w:b/>
                <w:color w:val="auto"/>
                <w:lang w:eastAsia="en-AU"/>
              </w:rPr>
              <w:t>TAS</w:t>
            </w:r>
          </w:p>
        </w:tc>
        <w:tc>
          <w:tcPr>
            <w:tcW w:w="1674" w:type="dxa"/>
            <w:shd w:val="clear" w:color="auto" w:fill="auto"/>
            <w:noWrap/>
            <w:hideMark/>
          </w:tcPr>
          <w:p w14:paraId="1AA4534E" w14:textId="77777777" w:rsidR="003C268A" w:rsidRPr="001C49ED" w:rsidRDefault="003C268A" w:rsidP="002F55E1">
            <w:pPr>
              <w:keepLines/>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1C49ED">
              <w:rPr>
                <w:rFonts w:ascii="Calibri" w:eastAsia="Times New Roman" w:hAnsi="Calibri" w:cs="Calibri"/>
                <w:color w:val="000000"/>
                <w:lang w:eastAsia="en-AU"/>
              </w:rPr>
              <w:t>58.2</w:t>
            </w:r>
          </w:p>
        </w:tc>
        <w:tc>
          <w:tcPr>
            <w:tcW w:w="2916" w:type="dxa"/>
            <w:shd w:val="clear" w:color="auto" w:fill="auto"/>
            <w:noWrap/>
            <w:hideMark/>
          </w:tcPr>
          <w:p w14:paraId="2D1C941B" w14:textId="77777777" w:rsidR="003C268A" w:rsidRPr="001C49ED" w:rsidRDefault="003C268A" w:rsidP="002F55E1">
            <w:pPr>
              <w:keepLines/>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1C49ED">
              <w:rPr>
                <w:rFonts w:ascii="Calibri" w:eastAsia="Times New Roman" w:hAnsi="Calibri" w:cs="Calibri"/>
                <w:color w:val="000000"/>
                <w:lang w:eastAsia="en-AU"/>
              </w:rPr>
              <w:t>27.4</w:t>
            </w:r>
          </w:p>
        </w:tc>
        <w:tc>
          <w:tcPr>
            <w:tcW w:w="3066" w:type="dxa"/>
            <w:shd w:val="clear" w:color="auto" w:fill="auto"/>
            <w:noWrap/>
            <w:hideMark/>
          </w:tcPr>
          <w:p w14:paraId="3C6A8F33" w14:textId="77777777" w:rsidR="003C268A" w:rsidRPr="001C49ED" w:rsidRDefault="003C268A" w:rsidP="002F55E1">
            <w:pPr>
              <w:keepLines/>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1C49ED">
              <w:rPr>
                <w:rFonts w:ascii="Calibri" w:eastAsia="Times New Roman" w:hAnsi="Calibri" w:cs="Calibri"/>
                <w:color w:val="000000"/>
                <w:lang w:eastAsia="en-AU"/>
              </w:rPr>
              <w:t>14.5</w:t>
            </w:r>
          </w:p>
        </w:tc>
      </w:tr>
      <w:tr w:rsidR="003C268A" w:rsidRPr="001C49ED" w14:paraId="6FB582EE" w14:textId="77777777" w:rsidTr="00E02509">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noWrap/>
            <w:hideMark/>
          </w:tcPr>
          <w:p w14:paraId="46954ACE" w14:textId="77777777" w:rsidR="003C268A" w:rsidRPr="00E02509" w:rsidRDefault="003C268A" w:rsidP="002F55E1">
            <w:pPr>
              <w:keepLines/>
              <w:spacing w:after="0"/>
              <w:rPr>
                <w:rFonts w:ascii="Calibri" w:eastAsia="Times New Roman" w:hAnsi="Calibri" w:cs="Calibri"/>
                <w:b/>
                <w:color w:val="auto"/>
                <w:lang w:eastAsia="en-AU"/>
              </w:rPr>
            </w:pPr>
            <w:r w:rsidRPr="00E02509">
              <w:rPr>
                <w:rFonts w:ascii="Calibri" w:eastAsia="Times New Roman" w:hAnsi="Calibri" w:cs="Calibri"/>
                <w:b/>
                <w:color w:val="auto"/>
                <w:lang w:eastAsia="en-AU"/>
              </w:rPr>
              <w:t>NT</w:t>
            </w:r>
          </w:p>
        </w:tc>
        <w:tc>
          <w:tcPr>
            <w:tcW w:w="1674" w:type="dxa"/>
            <w:shd w:val="clear" w:color="auto" w:fill="auto"/>
            <w:noWrap/>
            <w:hideMark/>
          </w:tcPr>
          <w:p w14:paraId="6863A443" w14:textId="77777777" w:rsidR="003C268A" w:rsidRPr="001C49ED" w:rsidRDefault="003C268A" w:rsidP="002F55E1">
            <w:pPr>
              <w:keepLines/>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1C49ED">
              <w:rPr>
                <w:rFonts w:ascii="Calibri" w:eastAsia="Times New Roman" w:hAnsi="Calibri" w:cs="Calibri"/>
                <w:color w:val="000000"/>
                <w:lang w:eastAsia="en-AU"/>
              </w:rPr>
              <w:t>53.6</w:t>
            </w:r>
          </w:p>
        </w:tc>
        <w:tc>
          <w:tcPr>
            <w:tcW w:w="2916" w:type="dxa"/>
            <w:shd w:val="clear" w:color="auto" w:fill="auto"/>
            <w:noWrap/>
            <w:hideMark/>
          </w:tcPr>
          <w:p w14:paraId="51A19FF7" w14:textId="77777777" w:rsidR="003C268A" w:rsidRPr="001C49ED" w:rsidRDefault="003C268A" w:rsidP="002F55E1">
            <w:pPr>
              <w:keepLines/>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1C49ED">
              <w:rPr>
                <w:rFonts w:ascii="Calibri" w:eastAsia="Times New Roman" w:hAnsi="Calibri" w:cs="Calibri"/>
                <w:color w:val="000000"/>
                <w:lang w:eastAsia="en-AU"/>
              </w:rPr>
              <w:t>17.5</w:t>
            </w:r>
          </w:p>
        </w:tc>
        <w:tc>
          <w:tcPr>
            <w:tcW w:w="3066" w:type="dxa"/>
            <w:shd w:val="clear" w:color="auto" w:fill="auto"/>
            <w:noWrap/>
            <w:hideMark/>
          </w:tcPr>
          <w:p w14:paraId="4082A9B6" w14:textId="77777777" w:rsidR="003C268A" w:rsidRPr="001C49ED" w:rsidRDefault="003C268A" w:rsidP="002F55E1">
            <w:pPr>
              <w:keepLines/>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1C49ED">
              <w:rPr>
                <w:rFonts w:ascii="Calibri" w:eastAsia="Times New Roman" w:hAnsi="Calibri" w:cs="Calibri"/>
                <w:color w:val="000000"/>
                <w:lang w:eastAsia="en-AU"/>
              </w:rPr>
              <w:t>28.8</w:t>
            </w:r>
          </w:p>
        </w:tc>
      </w:tr>
      <w:tr w:rsidR="003C268A" w:rsidRPr="001C49ED" w14:paraId="0A15398E" w14:textId="77777777" w:rsidTr="00E02509">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noWrap/>
            <w:hideMark/>
          </w:tcPr>
          <w:p w14:paraId="216CE02B" w14:textId="77777777" w:rsidR="003C268A" w:rsidRPr="00E02509" w:rsidRDefault="003C268A" w:rsidP="002F55E1">
            <w:pPr>
              <w:keepLines/>
              <w:spacing w:after="0"/>
              <w:rPr>
                <w:rFonts w:ascii="Calibri" w:eastAsia="Times New Roman" w:hAnsi="Calibri" w:cs="Calibri"/>
                <w:b/>
                <w:color w:val="auto"/>
                <w:lang w:eastAsia="en-AU"/>
              </w:rPr>
            </w:pPr>
            <w:r w:rsidRPr="00E02509">
              <w:rPr>
                <w:rFonts w:ascii="Calibri" w:eastAsia="Times New Roman" w:hAnsi="Calibri" w:cs="Calibri"/>
                <w:b/>
                <w:color w:val="auto"/>
                <w:lang w:eastAsia="en-AU"/>
              </w:rPr>
              <w:t>ACT</w:t>
            </w:r>
          </w:p>
        </w:tc>
        <w:tc>
          <w:tcPr>
            <w:tcW w:w="1674" w:type="dxa"/>
            <w:shd w:val="clear" w:color="auto" w:fill="auto"/>
            <w:noWrap/>
            <w:hideMark/>
          </w:tcPr>
          <w:p w14:paraId="68E0A743" w14:textId="77777777" w:rsidR="003C268A" w:rsidRPr="001C49ED" w:rsidRDefault="003C268A" w:rsidP="002F55E1">
            <w:pPr>
              <w:keepLines/>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1C49ED">
              <w:rPr>
                <w:rFonts w:ascii="Calibri" w:eastAsia="Times New Roman" w:hAnsi="Calibri" w:cs="Calibri"/>
                <w:color w:val="000000"/>
                <w:lang w:eastAsia="en-AU"/>
              </w:rPr>
              <w:t>35.4</w:t>
            </w:r>
          </w:p>
        </w:tc>
        <w:tc>
          <w:tcPr>
            <w:tcW w:w="2916" w:type="dxa"/>
            <w:shd w:val="clear" w:color="auto" w:fill="auto"/>
            <w:noWrap/>
            <w:hideMark/>
          </w:tcPr>
          <w:p w14:paraId="0D7DA6C9" w14:textId="77777777" w:rsidR="003C268A" w:rsidRPr="001C49ED" w:rsidRDefault="003C268A" w:rsidP="002F55E1">
            <w:pPr>
              <w:keepLines/>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1C49ED">
              <w:rPr>
                <w:rFonts w:ascii="Calibri" w:eastAsia="Times New Roman" w:hAnsi="Calibri" w:cs="Calibri"/>
                <w:color w:val="000000"/>
                <w:lang w:eastAsia="en-AU"/>
              </w:rPr>
              <w:t>37.8</w:t>
            </w:r>
          </w:p>
        </w:tc>
        <w:tc>
          <w:tcPr>
            <w:tcW w:w="3066" w:type="dxa"/>
            <w:shd w:val="clear" w:color="auto" w:fill="auto"/>
            <w:noWrap/>
            <w:hideMark/>
          </w:tcPr>
          <w:p w14:paraId="287420A6" w14:textId="77777777" w:rsidR="003C268A" w:rsidRPr="001C49ED" w:rsidRDefault="003C268A" w:rsidP="002F55E1">
            <w:pPr>
              <w:keepLines/>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1C49ED">
              <w:rPr>
                <w:rFonts w:ascii="Calibri" w:eastAsia="Times New Roman" w:hAnsi="Calibri" w:cs="Calibri"/>
                <w:color w:val="000000"/>
                <w:lang w:eastAsia="en-AU"/>
              </w:rPr>
              <w:t>26.7</w:t>
            </w:r>
          </w:p>
        </w:tc>
      </w:tr>
      <w:tr w:rsidR="003C268A" w:rsidRPr="001C49ED" w14:paraId="6242B8BD" w14:textId="77777777" w:rsidTr="00E02509">
        <w:trPr>
          <w:cnfStyle w:val="100000000000" w:firstRow="1" w:lastRow="0" w:firstColumn="0" w:lastColumn="0" w:oddVBand="0" w:evenVBand="0" w:oddHBand="0" w:evenHBand="0" w:firstRowFirstColumn="0" w:firstRowLastColumn="0" w:lastRowFirstColumn="0" w:lastRowLastColumn="0"/>
          <w:trHeight w:val="262"/>
          <w:tblHeader/>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noWrap/>
            <w:hideMark/>
          </w:tcPr>
          <w:p w14:paraId="6B4DA75E" w14:textId="77777777" w:rsidR="003C268A" w:rsidRPr="00E02509" w:rsidRDefault="003C268A" w:rsidP="002F55E1">
            <w:pPr>
              <w:keepLines/>
              <w:spacing w:after="0"/>
              <w:rPr>
                <w:rFonts w:ascii="Calibri" w:eastAsia="Times New Roman" w:hAnsi="Calibri" w:cs="Calibri"/>
                <w:b/>
                <w:color w:val="auto"/>
                <w:lang w:eastAsia="en-AU"/>
              </w:rPr>
            </w:pPr>
            <w:r w:rsidRPr="00E02509">
              <w:rPr>
                <w:rFonts w:ascii="Calibri" w:eastAsia="Times New Roman" w:hAnsi="Calibri" w:cs="Calibri"/>
                <w:b/>
                <w:color w:val="auto"/>
                <w:lang w:eastAsia="en-AU"/>
              </w:rPr>
              <w:t>Aust.</w:t>
            </w:r>
          </w:p>
        </w:tc>
        <w:tc>
          <w:tcPr>
            <w:tcW w:w="1674" w:type="dxa"/>
            <w:shd w:val="clear" w:color="auto" w:fill="auto"/>
            <w:noWrap/>
            <w:hideMark/>
          </w:tcPr>
          <w:p w14:paraId="1D1AB67D" w14:textId="77777777" w:rsidR="003C268A" w:rsidRPr="001C49ED" w:rsidRDefault="003C268A" w:rsidP="002F55E1">
            <w:pPr>
              <w:keepLines/>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1C49ED">
              <w:rPr>
                <w:rFonts w:ascii="Calibri" w:eastAsia="Times New Roman" w:hAnsi="Calibri" w:cs="Calibri"/>
                <w:color w:val="000000"/>
                <w:lang w:eastAsia="en-AU"/>
              </w:rPr>
              <w:t>36.9</w:t>
            </w:r>
          </w:p>
        </w:tc>
        <w:tc>
          <w:tcPr>
            <w:tcW w:w="2916" w:type="dxa"/>
            <w:shd w:val="clear" w:color="auto" w:fill="auto"/>
            <w:noWrap/>
            <w:hideMark/>
          </w:tcPr>
          <w:p w14:paraId="24D79E45" w14:textId="77777777" w:rsidR="003C268A" w:rsidRPr="001C49ED" w:rsidRDefault="003C268A" w:rsidP="002F55E1">
            <w:pPr>
              <w:keepLines/>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1C49ED">
              <w:rPr>
                <w:rFonts w:ascii="Calibri" w:eastAsia="Times New Roman" w:hAnsi="Calibri" w:cs="Calibri"/>
                <w:color w:val="000000"/>
                <w:lang w:eastAsia="en-AU"/>
              </w:rPr>
              <w:t>49.5</w:t>
            </w:r>
          </w:p>
        </w:tc>
        <w:tc>
          <w:tcPr>
            <w:tcW w:w="3066" w:type="dxa"/>
            <w:shd w:val="clear" w:color="auto" w:fill="auto"/>
            <w:noWrap/>
            <w:hideMark/>
          </w:tcPr>
          <w:p w14:paraId="7EDF9421" w14:textId="77777777" w:rsidR="003C268A" w:rsidRPr="001C49ED" w:rsidRDefault="003C268A" w:rsidP="002F55E1">
            <w:pPr>
              <w:keepLines/>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1C49ED">
              <w:rPr>
                <w:rFonts w:ascii="Calibri" w:eastAsia="Times New Roman" w:hAnsi="Calibri" w:cs="Calibri"/>
                <w:color w:val="000000"/>
                <w:lang w:eastAsia="en-AU"/>
              </w:rPr>
              <w:t>13.6</w:t>
            </w:r>
          </w:p>
        </w:tc>
      </w:tr>
    </w:tbl>
    <w:p w14:paraId="4A64D54E" w14:textId="77777777" w:rsidR="005968A0" w:rsidRDefault="005968A0" w:rsidP="005968A0">
      <w:pPr>
        <w:pStyle w:val="Subbodytext"/>
        <w:spacing w:after="0"/>
      </w:pPr>
    </w:p>
    <w:p w14:paraId="711FB784" w14:textId="3A2D6434" w:rsidR="001232FD" w:rsidRDefault="003C268A" w:rsidP="001232FD">
      <w:pPr>
        <w:pStyle w:val="Subbodytext"/>
      </w:pPr>
      <w:r w:rsidRPr="00D77E0F">
        <w:t>Preschool delivery is</w:t>
      </w:r>
      <w:r>
        <w:t xml:space="preserve"> primarily </w:t>
      </w:r>
      <w:r w:rsidRPr="00D77E0F">
        <w:t xml:space="preserve">the responsibility of </w:t>
      </w:r>
      <w:r>
        <w:t>s</w:t>
      </w:r>
      <w:r w:rsidRPr="00D77E0F">
        <w:t xml:space="preserve">tate and </w:t>
      </w:r>
      <w:r>
        <w:t>t</w:t>
      </w:r>
      <w:r w:rsidRPr="00D77E0F">
        <w:t>erritory governments</w:t>
      </w:r>
      <w:r w:rsidR="0084736A">
        <w:t xml:space="preserve"> (states)</w:t>
      </w:r>
      <w:r>
        <w:t xml:space="preserve">, which provide significant funding to support preschool within their jurisdictions. </w:t>
      </w:r>
      <w:r w:rsidR="00E46A63">
        <w:t xml:space="preserve">The interactions between </w:t>
      </w:r>
      <w:r w:rsidR="00C841BE">
        <w:t>child care and preschool, as well as funding arrangements</w:t>
      </w:r>
      <w:r w:rsidR="003C2F70">
        <w:t xml:space="preserve">, </w:t>
      </w:r>
      <w:r w:rsidR="0046428C">
        <w:t xml:space="preserve">are also largely </w:t>
      </w:r>
      <w:r w:rsidR="00D936F9">
        <w:t>managed by states.</w:t>
      </w:r>
      <w:r>
        <w:t xml:space="preserve"> Many states are currently increasing their investment in preschool delivery for children in the YBFS</w:t>
      </w:r>
      <w:r w:rsidR="00221B45">
        <w:t>.</w:t>
      </w:r>
      <w:r w:rsidR="00FB2839">
        <w:t xml:space="preserve"> </w:t>
      </w:r>
      <w:r w:rsidR="00221B45">
        <w:t>In addition,</w:t>
      </w:r>
      <w:r w:rsidR="00FB2839">
        <w:t xml:space="preserve"> </w:t>
      </w:r>
      <w:r w:rsidR="00221B45">
        <w:t>recent</w:t>
      </w:r>
      <w:r w:rsidR="00FB2839">
        <w:t xml:space="preserve"> reforms</w:t>
      </w:r>
      <w:r w:rsidR="001232FD">
        <w:t xml:space="preserve"> in New South Wales and Victoria </w:t>
      </w:r>
      <w:r w:rsidR="006D558D">
        <w:t>will</w:t>
      </w:r>
      <w:r w:rsidR="001232FD">
        <w:t xml:space="preserve"> </w:t>
      </w:r>
      <w:r w:rsidR="00130E58">
        <w:t>extend preschool to</w:t>
      </w:r>
      <w:r w:rsidR="001232FD">
        <w:t xml:space="preserve"> 3-year-old children.</w:t>
      </w:r>
    </w:p>
    <w:p w14:paraId="349D2358" w14:textId="493EC05D" w:rsidR="003C268A" w:rsidRDefault="003C268A" w:rsidP="003C268A">
      <w:pPr>
        <w:pStyle w:val="Subbodytext"/>
      </w:pPr>
      <w:r>
        <w:t>From 2008 to 2025, the Government will have made around $6.6 billion available to states to</w:t>
      </w:r>
      <w:r w:rsidR="00B42C56">
        <w:t> </w:t>
      </w:r>
      <w:r>
        <w:t>support preschool delivery in the YBFS through a series of National Partnership Agreements. The</w:t>
      </w:r>
      <w:r w:rsidR="00B42C56">
        <w:t> </w:t>
      </w:r>
      <w:r>
        <w:t>Universal Access National Partnership (UANP) and its predecessors were in place from 2009 to</w:t>
      </w:r>
      <w:r w:rsidR="00B42C56">
        <w:t> </w:t>
      </w:r>
      <w:r>
        <w:t>2021. Their focus was driving national consistency in the number of hours available to children in</w:t>
      </w:r>
      <w:r w:rsidR="00B42C56">
        <w:t> </w:t>
      </w:r>
      <w:r>
        <w:t>the YBFS</w:t>
      </w:r>
      <w:r w:rsidR="00F041D4">
        <w:t>—</w:t>
      </w:r>
      <w:r>
        <w:t>particularly for First Nations children and children experiencing disadvantage</w:t>
      </w:r>
      <w:r w:rsidR="00F041D4">
        <w:t>—</w:t>
      </w:r>
      <w:r>
        <w:t>by</w:t>
      </w:r>
      <w:r w:rsidR="00B42C56">
        <w:t> </w:t>
      </w:r>
      <w:r>
        <w:t xml:space="preserve">supporting access to 15 hours </w:t>
      </w:r>
      <w:r w:rsidR="001B23CB">
        <w:t>per</w:t>
      </w:r>
      <w:r>
        <w:t xml:space="preserve"> week (600 hours </w:t>
      </w:r>
      <w:r w:rsidR="001B23CB">
        <w:t>per</w:t>
      </w:r>
      <w:r>
        <w:t xml:space="preserve"> year) of preschool.</w:t>
      </w:r>
    </w:p>
    <w:p w14:paraId="0B61AE74" w14:textId="77777777" w:rsidR="003C268A" w:rsidRPr="00084EC3" w:rsidRDefault="003C268A" w:rsidP="003C268A">
      <w:pPr>
        <w:pStyle w:val="SubHeading6"/>
      </w:pPr>
      <w:r w:rsidRPr="00084EC3">
        <w:t>Preschool Reform Agreement 2022–2025</w:t>
      </w:r>
    </w:p>
    <w:p w14:paraId="3D6E568E" w14:textId="4C296CA7" w:rsidR="003C268A" w:rsidRDefault="003C268A" w:rsidP="003C268A">
      <w:pPr>
        <w:pStyle w:val="Subbodytext"/>
      </w:pPr>
      <w:r>
        <w:t>Since the first National Partnership, t</w:t>
      </w:r>
      <w:r w:rsidRPr="00AF0732">
        <w:t xml:space="preserve">he national </w:t>
      </w:r>
      <w:r>
        <w:t xml:space="preserve">proportion of preschool-age children </w:t>
      </w:r>
      <w:r w:rsidRPr="00AF0732">
        <w:t>enrol</w:t>
      </w:r>
      <w:r>
        <w:t>led</w:t>
      </w:r>
      <w:r w:rsidRPr="00AF0732">
        <w:t xml:space="preserve"> </w:t>
      </w:r>
      <w:r>
        <w:t>in</w:t>
      </w:r>
      <w:r w:rsidR="00B42C56">
        <w:t> </w:t>
      </w:r>
      <w:r>
        <w:t>600 hours of preschool has climbed from 12</w:t>
      </w:r>
      <w:r w:rsidR="00346148">
        <w:t> per cent</w:t>
      </w:r>
      <w:r>
        <w:t xml:space="preserve"> to </w:t>
      </w:r>
      <w:r w:rsidRPr="00AF0732">
        <w:t>above the 95</w:t>
      </w:r>
      <w:r w:rsidR="00346148">
        <w:t> per cent</w:t>
      </w:r>
      <w:r w:rsidRPr="00AF0732">
        <w:t xml:space="preserve"> target</w:t>
      </w:r>
      <w:r w:rsidR="00ED2081">
        <w:t>,</w:t>
      </w:r>
      <w:r>
        <w:t xml:space="preserve"> as measured under the UANP in 2021.</w:t>
      </w:r>
    </w:p>
    <w:p w14:paraId="4CFB6B30" w14:textId="1552E4A7" w:rsidR="003C268A" w:rsidRPr="0055586F" w:rsidRDefault="003C268A" w:rsidP="003C268A">
      <w:pPr>
        <w:pStyle w:val="Subbodytext"/>
        <w:rPr>
          <w:rFonts w:eastAsiaTheme="minorEastAsia"/>
        </w:rPr>
      </w:pPr>
      <w:r>
        <w:t xml:space="preserve">The </w:t>
      </w:r>
      <w:r w:rsidR="00866C8C">
        <w:t>Preschool Reform Agreement (</w:t>
      </w:r>
      <w:r>
        <w:t>PRA</w:t>
      </w:r>
      <w:r w:rsidR="00866C8C">
        <w:t>)</w:t>
      </w:r>
      <w:r w:rsidRPr="772D1177">
        <w:rPr>
          <w:rStyle w:val="FootnoteReference"/>
          <w:rFonts w:eastAsiaTheme="minorEastAsia"/>
        </w:rPr>
        <w:footnoteReference w:id="30"/>
      </w:r>
      <w:r>
        <w:t xml:space="preserve"> is designed to build on these achievements. The PRA is a </w:t>
      </w:r>
      <w:r>
        <w:br/>
        <w:t>4</w:t>
      </w:r>
      <w:r w:rsidR="00B42C56">
        <w:noBreakHyphen/>
      </w:r>
      <w:r>
        <w:t xml:space="preserve">year national agreement to strengthen the delivery of preschool and better prepare children for the first year of school. </w:t>
      </w:r>
      <w:r w:rsidRPr="772D1177">
        <w:rPr>
          <w:rFonts w:eastAsiaTheme="minorEastAsia"/>
        </w:rPr>
        <w:t>Under the PRA, the Commonwealth provides a per</w:t>
      </w:r>
      <w:r w:rsidR="006F498F">
        <w:rPr>
          <w:rFonts w:eastAsiaTheme="minorEastAsia"/>
        </w:rPr>
        <w:t>-</w:t>
      </w:r>
      <w:r w:rsidRPr="772D1177">
        <w:rPr>
          <w:rFonts w:eastAsiaTheme="minorEastAsia"/>
        </w:rPr>
        <w:t>child contribution to</w:t>
      </w:r>
      <w:r w:rsidR="00B42C56">
        <w:rPr>
          <w:rFonts w:eastAsiaTheme="minorEastAsia"/>
        </w:rPr>
        <w:t> </w:t>
      </w:r>
      <w:r w:rsidRPr="772D1177">
        <w:rPr>
          <w:rFonts w:eastAsiaTheme="minorEastAsia"/>
        </w:rPr>
        <w:t>states ($1</w:t>
      </w:r>
      <w:r w:rsidR="00395791">
        <w:rPr>
          <w:rFonts w:eastAsiaTheme="minorEastAsia"/>
        </w:rPr>
        <w:t>,</w:t>
      </w:r>
      <w:r w:rsidRPr="772D1177">
        <w:rPr>
          <w:rFonts w:eastAsiaTheme="minorEastAsia"/>
        </w:rPr>
        <w:t>377.83 per child in 2023).</w:t>
      </w:r>
    </w:p>
    <w:p w14:paraId="644BF5F7" w14:textId="77777777" w:rsidR="003C268A" w:rsidRPr="00ED650B" w:rsidRDefault="003C268A" w:rsidP="003C268A">
      <w:pPr>
        <w:pStyle w:val="Subbodytext"/>
      </w:pPr>
      <w:r>
        <w:t>A new collaborative reform agenda has been developed under the PRA to drive:</w:t>
      </w:r>
    </w:p>
    <w:p w14:paraId="5127E34A" w14:textId="28E723B1" w:rsidR="003C268A" w:rsidRPr="0043171D" w:rsidRDefault="003C268A" w:rsidP="00B23060">
      <w:pPr>
        <w:pStyle w:val="SubList"/>
        <w:rPr>
          <w:lang w:val="en-GB"/>
        </w:rPr>
      </w:pPr>
      <w:r w:rsidRPr="0043171D">
        <w:rPr>
          <w:lang w:val="en-GB"/>
        </w:rPr>
        <w:t>enhanced funding equity through a requirement that Commonwealth funding ‘follows the child’ to the setting in which they attend</w:t>
      </w:r>
      <w:r w:rsidR="470242B5" w:rsidRPr="5A958A76">
        <w:rPr>
          <w:lang w:val="en-GB"/>
        </w:rPr>
        <w:t>—</w:t>
      </w:r>
      <w:r>
        <w:rPr>
          <w:lang w:val="en-GB"/>
        </w:rPr>
        <w:t>states</w:t>
      </w:r>
      <w:r w:rsidR="00AF1448">
        <w:rPr>
          <w:lang w:val="en-GB"/>
        </w:rPr>
        <w:t xml:space="preserve"> are</w:t>
      </w:r>
      <w:r>
        <w:rPr>
          <w:lang w:val="en-GB"/>
        </w:rPr>
        <w:t xml:space="preserve"> required to acquit this funding as part of their PRA obligations</w:t>
      </w:r>
    </w:p>
    <w:p w14:paraId="02477091" w14:textId="5BEA3620" w:rsidR="003C268A" w:rsidRPr="0043171D" w:rsidRDefault="003C268A" w:rsidP="00B23060">
      <w:pPr>
        <w:pStyle w:val="SubList"/>
        <w:rPr>
          <w:lang w:val="en-GB"/>
        </w:rPr>
      </w:pPr>
      <w:r w:rsidRPr="0043171D">
        <w:rPr>
          <w:lang w:val="en-GB"/>
        </w:rPr>
        <w:t>improvements to participation through new bilaterally agreed attendance targets</w:t>
      </w:r>
      <w:r>
        <w:rPr>
          <w:lang w:val="en-GB"/>
        </w:rPr>
        <w:t xml:space="preserve"> to be introduced from 2025</w:t>
      </w:r>
      <w:r w:rsidR="00AF1448">
        <w:rPr>
          <w:lang w:val="en-GB"/>
        </w:rPr>
        <w:t>—</w:t>
      </w:r>
      <w:r w:rsidRPr="0043171D">
        <w:rPr>
          <w:lang w:val="en-GB"/>
        </w:rPr>
        <w:t xml:space="preserve">taking </w:t>
      </w:r>
      <w:r>
        <w:rPr>
          <w:lang w:val="en-GB"/>
        </w:rPr>
        <w:t>s</w:t>
      </w:r>
      <w:r w:rsidRPr="0043171D">
        <w:rPr>
          <w:lang w:val="en-GB"/>
        </w:rPr>
        <w:t>tate</w:t>
      </w:r>
      <w:r>
        <w:rPr>
          <w:lang w:val="en-GB"/>
        </w:rPr>
        <w:t>s’</w:t>
      </w:r>
      <w:r w:rsidRPr="0043171D">
        <w:rPr>
          <w:lang w:val="en-GB"/>
        </w:rPr>
        <w:t xml:space="preserve"> circumstances</w:t>
      </w:r>
      <w:r w:rsidR="00AF1448">
        <w:rPr>
          <w:lang w:val="en-GB"/>
        </w:rPr>
        <w:t xml:space="preserve"> into account</w:t>
      </w:r>
      <w:r w:rsidRPr="0043171D">
        <w:rPr>
          <w:lang w:val="en-GB"/>
        </w:rPr>
        <w:t xml:space="preserve"> and with a particular focus on</w:t>
      </w:r>
      <w:r w:rsidR="006D2EBC">
        <w:rPr>
          <w:sz w:val="20"/>
          <w:szCs w:val="20"/>
          <w:lang w:val="en-GB"/>
        </w:rPr>
        <w:t> </w:t>
      </w:r>
      <w:r w:rsidRPr="0043171D">
        <w:rPr>
          <w:lang w:val="en-GB"/>
        </w:rPr>
        <w:t>increasing participation by disadvantaged and First Nations children</w:t>
      </w:r>
    </w:p>
    <w:p w14:paraId="09B6269F" w14:textId="729366AD" w:rsidR="003C268A" w:rsidRPr="00ED650B" w:rsidRDefault="003C268A" w:rsidP="00B23060">
      <w:pPr>
        <w:pStyle w:val="SubList"/>
      </w:pPr>
      <w:r w:rsidRPr="0043171D">
        <w:rPr>
          <w:lang w:val="en-GB"/>
        </w:rPr>
        <w:t xml:space="preserve">the introduction of a new preschool outcomes measure from 2025 to </w:t>
      </w:r>
      <w:r>
        <w:rPr>
          <w:lang w:val="en-GB"/>
        </w:rPr>
        <w:t xml:space="preserve">generate evidence </w:t>
      </w:r>
      <w:r w:rsidR="00AF1448">
        <w:rPr>
          <w:lang w:val="en-GB"/>
        </w:rPr>
        <w:t>for</w:t>
      </w:r>
      <w:r>
        <w:rPr>
          <w:lang w:val="en-GB"/>
        </w:rPr>
        <w:t xml:space="preserve"> the benefits of preschool, </w:t>
      </w:r>
      <w:r w:rsidRPr="0043171D">
        <w:rPr>
          <w:lang w:val="en-GB"/>
        </w:rPr>
        <w:t>better understand what works, and</w:t>
      </w:r>
      <w:r w:rsidRPr="4F7E4AD9">
        <w:t xml:space="preserve"> maximise the benefit of the preschool year for children</w:t>
      </w:r>
      <w:r>
        <w:t>.</w:t>
      </w:r>
    </w:p>
    <w:p w14:paraId="2BF4613B" w14:textId="027FAA8A" w:rsidR="003C268A" w:rsidRPr="0055586F" w:rsidRDefault="003C268A" w:rsidP="003C268A">
      <w:pPr>
        <w:pStyle w:val="Subbodytext"/>
      </w:pPr>
      <w:r w:rsidRPr="0055586F">
        <w:t>State allocations are determined by multiplying the per</w:t>
      </w:r>
      <w:r w:rsidR="001002D4">
        <w:t>-</w:t>
      </w:r>
      <w:r w:rsidRPr="0055586F">
        <w:t>child amount by the estimated number of</w:t>
      </w:r>
      <w:r w:rsidR="00682997">
        <w:t> </w:t>
      </w:r>
      <w:r w:rsidRPr="0055586F">
        <w:t>children in the YBFS.</w:t>
      </w:r>
    </w:p>
    <w:p w14:paraId="5942D922" w14:textId="04084F0F" w:rsidR="003C268A" w:rsidRPr="0057101B" w:rsidRDefault="003C268A" w:rsidP="003C268A">
      <w:pPr>
        <w:pStyle w:val="SubHeading6"/>
      </w:pPr>
      <w:r w:rsidRPr="0057101B">
        <w:t xml:space="preserve">Preschool delivery in </w:t>
      </w:r>
      <w:r w:rsidR="0002498D">
        <w:t>c</w:t>
      </w:r>
      <w:r w:rsidR="0002498D" w:rsidRPr="0057101B">
        <w:t>entre</w:t>
      </w:r>
      <w:r w:rsidRPr="0057101B">
        <w:t xml:space="preserve">-based </w:t>
      </w:r>
      <w:r w:rsidR="0002498D">
        <w:t>d</w:t>
      </w:r>
      <w:r w:rsidR="0002498D" w:rsidRPr="0057101B">
        <w:t xml:space="preserve">ay </w:t>
      </w:r>
      <w:r w:rsidR="0002498D">
        <w:t>c</w:t>
      </w:r>
      <w:r w:rsidR="0002498D" w:rsidRPr="0057101B">
        <w:t>are</w:t>
      </w:r>
    </w:p>
    <w:p w14:paraId="7490CD98" w14:textId="2E5C5538" w:rsidR="003C268A" w:rsidRDefault="003C268A" w:rsidP="003C268A">
      <w:pPr>
        <w:pStyle w:val="Subbodytext"/>
        <w:rPr>
          <w:rFonts w:asciiTheme="majorHAnsi" w:eastAsiaTheme="majorEastAsia" w:hAnsiTheme="majorHAnsi" w:cstheme="majorBidi"/>
          <w:b/>
          <w:bCs/>
          <w:color w:val="00254A" w:themeColor="text2"/>
          <w:sz w:val="28"/>
          <w:szCs w:val="28"/>
        </w:rPr>
      </w:pPr>
      <w:r w:rsidRPr="009234D9">
        <w:t xml:space="preserve">Families of children who attend preschool in CBDC settings (whether they are one or 2 years before full-time school) may be eligible for assistance with the cost of care through the CCS. While the </w:t>
      </w:r>
      <w:r w:rsidR="3BF239BC">
        <w:t>Commonwealth</w:t>
      </w:r>
      <w:r w:rsidRPr="009234D9">
        <w:t xml:space="preserve"> does not provide PRA funding to support 3</w:t>
      </w:r>
      <w:r>
        <w:t>-</w:t>
      </w:r>
      <w:r w:rsidRPr="009234D9">
        <w:t xml:space="preserve">year-old </w:t>
      </w:r>
      <w:r w:rsidR="1C21E5EB" w:rsidRPr="009234D9">
        <w:t>preschool</w:t>
      </w:r>
      <w:r w:rsidRPr="009234D9">
        <w:t>, around 60</w:t>
      </w:r>
      <w:r w:rsidR="00346148">
        <w:t> per cent</w:t>
      </w:r>
      <w:r w:rsidRPr="009234D9">
        <w:t xml:space="preserve"> of 3-year-olds nationally (</w:t>
      </w:r>
      <w:r w:rsidR="003D3A62">
        <w:t>approximately</w:t>
      </w:r>
      <w:r w:rsidR="003D3A62" w:rsidRPr="009234D9">
        <w:t xml:space="preserve"> </w:t>
      </w:r>
      <w:r w:rsidRPr="009234D9">
        <w:t xml:space="preserve">200,000 children) receive CCS-subsidised </w:t>
      </w:r>
      <w:r>
        <w:t>ECEC</w:t>
      </w:r>
      <w:r w:rsidRPr="009234D9">
        <w:t xml:space="preserve"> in CBDC.</w:t>
      </w:r>
    </w:p>
    <w:p w14:paraId="722C3973" w14:textId="6E29A761" w:rsidR="003C268A" w:rsidRPr="009D46A1" w:rsidRDefault="003C268A" w:rsidP="003C268A">
      <w:pPr>
        <w:pStyle w:val="Subbodytext"/>
      </w:pPr>
      <w:r>
        <w:t xml:space="preserve">If a family has a child in the YBFS attending preschool in a CBDC service, but </w:t>
      </w:r>
      <w:r w:rsidR="006167DD">
        <w:t>do</w:t>
      </w:r>
      <w:r>
        <w:t xml:space="preserve"> not meet the activity test, they will be eligible for 36 hours of subsidised care per fortnight.</w:t>
      </w:r>
    </w:p>
    <w:p w14:paraId="25A4ED16" w14:textId="42B9CDA1" w:rsidR="003C268A" w:rsidRDefault="009E2A82" w:rsidP="003C268A">
      <w:pPr>
        <w:pStyle w:val="Subbodytext"/>
        <w:rPr>
          <w:rFonts w:ascii="Calibri" w:eastAsia="Calibri" w:hAnsi="Calibri" w:cs="Calibri"/>
        </w:rPr>
      </w:pPr>
      <w:r>
        <w:t xml:space="preserve">Families who are eligible for </w:t>
      </w:r>
      <w:r w:rsidR="003C268A">
        <w:t>CCS generally pay a gap fee unless they are eligible for the ACCS, or the Minister’s Rules allow for a third</w:t>
      </w:r>
      <w:r w:rsidR="005B5861">
        <w:t>-party</w:t>
      </w:r>
      <w:r w:rsidR="003C268A">
        <w:t xml:space="preserve"> payment to cover some or all of the gap (a prescribed </w:t>
      </w:r>
      <w:r>
        <w:br/>
      </w:r>
      <w:r w:rsidR="003C268A">
        <w:t>third</w:t>
      </w:r>
      <w:r w:rsidR="00682997">
        <w:noBreakHyphen/>
      </w:r>
      <w:r w:rsidR="005B5861">
        <w:t>party</w:t>
      </w:r>
      <w:r w:rsidR="003C268A">
        <w:t xml:space="preserve"> payment, or TPP). For prescribed TPPs, CCS is calculated before the TPP is applied, so the TPP </w:t>
      </w:r>
      <w:r w:rsidR="002F20CB">
        <w:t xml:space="preserve">may </w:t>
      </w:r>
      <w:r w:rsidR="003C268A">
        <w:t>cover some or all the gap</w:t>
      </w:r>
      <w:r w:rsidR="00514733">
        <w:t xml:space="preserve"> fee</w:t>
      </w:r>
      <w:r w:rsidR="003C268A">
        <w:t>.</w:t>
      </w:r>
    </w:p>
    <w:p w14:paraId="432825A8" w14:textId="77777777" w:rsidR="003C268A" w:rsidRDefault="003C268A" w:rsidP="003C268A">
      <w:pPr>
        <w:pStyle w:val="Subbodytext"/>
      </w:pPr>
      <w:r>
        <w:t>From 1 January 2023 to 31 December 2025, in line with the PRA, the Minister’s Rules prescribe TPPs from certain state government funding schemes for children attending preschool programs in CBDC. New South Wales, Victoria, and Queensland implemented prescribed TPPs for preschool programs from January 2023.</w:t>
      </w:r>
    </w:p>
    <w:p w14:paraId="76396E80" w14:textId="77777777" w:rsidR="003C268A" w:rsidRPr="0037689B" w:rsidRDefault="003C268A" w:rsidP="00087EAE">
      <w:pPr>
        <w:pStyle w:val="SubSectionHeading"/>
        <w:rPr>
          <w:szCs w:val="32"/>
        </w:rPr>
      </w:pPr>
      <w:bookmarkStart w:id="59" w:name="_Toc133778851"/>
      <w:bookmarkStart w:id="60" w:name="_Toc134023016"/>
      <w:bookmarkStart w:id="61" w:name="_Toc134173421"/>
      <w:bookmarkStart w:id="62" w:name="_Toc135404855"/>
      <w:r w:rsidRPr="0037689B">
        <w:t>National Quality Framework</w:t>
      </w:r>
      <w:bookmarkEnd w:id="59"/>
      <w:bookmarkEnd w:id="60"/>
      <w:bookmarkEnd w:id="61"/>
      <w:bookmarkEnd w:id="62"/>
    </w:p>
    <w:p w14:paraId="145127DA" w14:textId="45B2667E" w:rsidR="003C268A" w:rsidRDefault="003C268A" w:rsidP="003C268A">
      <w:pPr>
        <w:pStyle w:val="Subbodytext"/>
      </w:pPr>
      <w:r>
        <w:t>Quality in the context of ECEC involves creating an environment that promotes learning, development, health</w:t>
      </w:r>
      <w:r w:rsidR="00F058AB">
        <w:t>,</w:t>
      </w:r>
      <w:r>
        <w:t xml:space="preserve"> and well-being (including safety) for children, as well as supporting their families and communities.</w:t>
      </w:r>
    </w:p>
    <w:p w14:paraId="087299B6" w14:textId="0500C04E" w:rsidR="003C268A" w:rsidRDefault="003C268A" w:rsidP="003C268A">
      <w:pPr>
        <w:pStyle w:val="Subbodytext"/>
        <w:rPr>
          <w:rFonts w:eastAsiaTheme="minorEastAsia"/>
        </w:rPr>
      </w:pPr>
      <w:r w:rsidRPr="0EE2F52C">
        <w:t xml:space="preserve">In 2012, the </w:t>
      </w:r>
      <w:r>
        <w:t>NQF</w:t>
      </w:r>
      <w:r w:rsidRPr="0EE2F52C">
        <w:t xml:space="preserve"> was established to provide a national approach to regulation, assessment</w:t>
      </w:r>
      <w:r>
        <w:t>,</w:t>
      </w:r>
      <w:r w:rsidRPr="0EE2F52C">
        <w:t xml:space="preserve"> and quality improvement for </w:t>
      </w:r>
      <w:r>
        <w:t>ECEC</w:t>
      </w:r>
      <w:r w:rsidRPr="0EE2F52C">
        <w:t xml:space="preserve"> and outside school hours care services. The NQF is jointly governed by the Australian Government and all state and te</w:t>
      </w:r>
      <w:r w:rsidRPr="0EE2F52C">
        <w:rPr>
          <w:rFonts w:eastAsiaTheme="minorEastAsia"/>
        </w:rPr>
        <w:t>rritory governments</w:t>
      </w:r>
      <w:r w:rsidR="00D82B22">
        <w:rPr>
          <w:rFonts w:eastAsiaTheme="minorEastAsia"/>
        </w:rPr>
        <w:t>.</w:t>
      </w:r>
      <w:r>
        <w:rPr>
          <w:rFonts w:eastAsiaTheme="minorEastAsia"/>
        </w:rPr>
        <w:t xml:space="preserve"> </w:t>
      </w:r>
      <w:r w:rsidRPr="0EE2F52C">
        <w:rPr>
          <w:rFonts w:eastAsiaTheme="minorEastAsia"/>
        </w:rPr>
        <w:t>Education Ministers provid</w:t>
      </w:r>
      <w:r w:rsidR="00D82B22">
        <w:rPr>
          <w:rFonts w:eastAsiaTheme="minorEastAsia"/>
        </w:rPr>
        <w:t>e</w:t>
      </w:r>
      <w:r w:rsidRPr="0EE2F52C">
        <w:rPr>
          <w:rFonts w:eastAsiaTheme="minorEastAsia"/>
        </w:rPr>
        <w:t xml:space="preserve"> ongoing oversight and ultimate decision-making for the NQF.</w:t>
      </w:r>
    </w:p>
    <w:p w14:paraId="2F7F817B" w14:textId="2B690E8C" w:rsidR="003C268A" w:rsidRDefault="003C268A" w:rsidP="003C268A">
      <w:pPr>
        <w:pStyle w:val="Subbodytext"/>
        <w:rPr>
          <w:rFonts w:eastAsiaTheme="minorEastAsia"/>
          <w:b/>
        </w:rPr>
      </w:pPr>
      <w:r w:rsidRPr="006F2560">
        <w:t xml:space="preserve">The </w:t>
      </w:r>
      <w:r w:rsidRPr="0043171D">
        <w:rPr>
          <w:rFonts w:eastAsiaTheme="minorEastAsia"/>
          <w:bCs/>
        </w:rPr>
        <w:t>NQF encompasses</w:t>
      </w:r>
      <w:r>
        <w:rPr>
          <w:color w:val="000000" w:themeColor="text1"/>
          <w:lang w:val="en-GB"/>
        </w:rPr>
        <w:t>:</w:t>
      </w:r>
    </w:p>
    <w:p w14:paraId="49972586" w14:textId="146BF16E" w:rsidR="003C268A" w:rsidRPr="009234D9" w:rsidRDefault="007E4E6B" w:rsidP="00B23060">
      <w:pPr>
        <w:pStyle w:val="SubList"/>
      </w:pPr>
      <w:r w:rsidRPr="00A30734">
        <w:rPr>
          <w:b/>
          <w:iCs/>
          <w:color w:val="000000" w:themeColor="text1"/>
          <w:lang w:val="en-GB"/>
        </w:rPr>
        <w:t xml:space="preserve">The </w:t>
      </w:r>
      <w:r w:rsidR="003C268A" w:rsidRPr="00A30734">
        <w:rPr>
          <w:b/>
          <w:iCs/>
          <w:color w:val="000000" w:themeColor="text1"/>
          <w:lang w:val="en-GB"/>
        </w:rPr>
        <w:t xml:space="preserve">National Law and the </w:t>
      </w:r>
      <w:r w:rsidR="003C268A" w:rsidRPr="00A30734">
        <w:rPr>
          <w:b/>
          <w:iCs/>
        </w:rPr>
        <w:t>Education and Care Services National Regulations</w:t>
      </w:r>
      <w:r w:rsidR="003C268A" w:rsidRPr="00A30734">
        <w:rPr>
          <w:b/>
          <w:iCs/>
          <w:color w:val="000000" w:themeColor="text1"/>
          <w:lang w:val="en-GB"/>
        </w:rPr>
        <w:t xml:space="preserve"> (National Regulations</w:t>
      </w:r>
      <w:r w:rsidR="003C268A" w:rsidRPr="00A30734">
        <w:rPr>
          <w:b/>
          <w:bCs/>
          <w:iCs/>
          <w:color w:val="000000" w:themeColor="text1"/>
          <w:lang w:val="en-GB"/>
        </w:rPr>
        <w:t>)</w:t>
      </w:r>
      <w:r w:rsidR="00B277B9" w:rsidRPr="00A30734">
        <w:rPr>
          <w:b/>
          <w:bCs/>
          <w:iCs/>
          <w:color w:val="000000" w:themeColor="text1"/>
          <w:lang w:val="en-GB"/>
        </w:rPr>
        <w:t>:</w:t>
      </w:r>
      <w:r w:rsidR="003C268A">
        <w:rPr>
          <w:color w:val="000000" w:themeColor="text1"/>
          <w:lang w:val="en-GB"/>
        </w:rPr>
        <w:t xml:space="preserve"> </w:t>
      </w:r>
      <w:r w:rsidR="008906D3">
        <w:rPr>
          <w:color w:val="000000" w:themeColor="text1"/>
          <w:lang w:val="en-GB"/>
        </w:rPr>
        <w:t>The National Regulations</w:t>
      </w:r>
      <w:r w:rsidR="003C268A">
        <w:rPr>
          <w:color w:val="000000" w:themeColor="text1"/>
          <w:lang w:val="en-GB"/>
        </w:rPr>
        <w:t xml:space="preserve"> </w:t>
      </w:r>
      <w:r w:rsidR="003C268A" w:rsidRPr="0EE2F52C">
        <w:t xml:space="preserve">govern the minimum standards and requirements that providers of regulated services must meet </w:t>
      </w:r>
      <w:r w:rsidR="003C268A">
        <w:t>(</w:t>
      </w:r>
      <w:r w:rsidR="003C268A" w:rsidRPr="0EE2F52C">
        <w:t>including minimum qualification and educator to child ratio requirements</w:t>
      </w:r>
      <w:r w:rsidR="003C268A">
        <w:t>), outline legal obligations of nominated supervisors and educat</w:t>
      </w:r>
      <w:r w:rsidR="00766508">
        <w:t>ors</w:t>
      </w:r>
      <w:r w:rsidR="003C268A">
        <w:t>, and explain</w:t>
      </w:r>
      <w:r w:rsidR="003C268A" w:rsidRPr="009234D9">
        <w:t xml:space="preserve"> the powers and functions of state and territory regulatory authorities and ACECQA</w:t>
      </w:r>
      <w:r w:rsidR="00966A49">
        <w:t>.</w:t>
      </w:r>
    </w:p>
    <w:p w14:paraId="4687575A" w14:textId="0567C905" w:rsidR="003C268A" w:rsidRPr="009234D9" w:rsidRDefault="0022637D" w:rsidP="00B23060">
      <w:pPr>
        <w:pStyle w:val="SubList"/>
        <w:rPr>
          <w:b/>
          <w:bCs/>
          <w:color w:val="000000" w:themeColor="text1"/>
          <w:lang w:val="en-GB"/>
        </w:rPr>
      </w:pPr>
      <w:r>
        <w:rPr>
          <w:b/>
          <w:bCs/>
          <w:lang w:val="en-GB"/>
        </w:rPr>
        <w:t xml:space="preserve">The </w:t>
      </w:r>
      <w:r w:rsidR="003C268A" w:rsidRPr="009234D9">
        <w:rPr>
          <w:b/>
          <w:bCs/>
          <w:lang w:val="en-GB"/>
        </w:rPr>
        <w:t>NQS</w:t>
      </w:r>
      <w:r w:rsidR="00FE630D">
        <w:rPr>
          <w:b/>
          <w:bCs/>
          <w:lang w:val="en-GB"/>
        </w:rPr>
        <w:t>:</w:t>
      </w:r>
      <w:r w:rsidR="003C268A">
        <w:rPr>
          <w:lang w:val="en-GB"/>
        </w:rPr>
        <w:t xml:space="preserve"> </w:t>
      </w:r>
      <w:r w:rsidR="008340C1">
        <w:rPr>
          <w:lang w:val="en-GB"/>
        </w:rPr>
        <w:t xml:space="preserve">The NQS </w:t>
      </w:r>
      <w:r w:rsidR="003C268A">
        <w:rPr>
          <w:lang w:val="en-GB"/>
        </w:rPr>
        <w:t>set out 7 quality areas that are important outcomes for children</w:t>
      </w:r>
      <w:r w:rsidR="008340C1">
        <w:rPr>
          <w:lang w:val="en-GB"/>
        </w:rPr>
        <w:t>,</w:t>
      </w:r>
      <w:r w:rsidR="003C268A">
        <w:rPr>
          <w:lang w:val="en-GB"/>
        </w:rPr>
        <w:t xml:space="preserve"> including educational program and practice, children’s health and safety, and collaborative partnerships with families and communities</w:t>
      </w:r>
      <w:r w:rsidR="008340C1">
        <w:rPr>
          <w:lang w:val="en-GB"/>
        </w:rPr>
        <w:t>.</w:t>
      </w:r>
    </w:p>
    <w:p w14:paraId="512EF116" w14:textId="0AE163D8" w:rsidR="003C268A" w:rsidRPr="009234D9" w:rsidRDefault="00626815" w:rsidP="00B23060">
      <w:pPr>
        <w:pStyle w:val="SubList"/>
        <w:rPr>
          <w:b/>
          <w:bCs/>
          <w:color w:val="000000" w:themeColor="text1"/>
          <w:lang w:val="en-GB"/>
        </w:rPr>
      </w:pPr>
      <w:r>
        <w:rPr>
          <w:b/>
          <w:bCs/>
          <w:color w:val="000000" w:themeColor="text1"/>
          <w:lang w:val="en-GB"/>
        </w:rPr>
        <w:t xml:space="preserve">The </w:t>
      </w:r>
      <w:r w:rsidR="003C268A" w:rsidRPr="009234D9">
        <w:rPr>
          <w:b/>
          <w:bCs/>
          <w:color w:val="000000" w:themeColor="text1"/>
          <w:lang w:val="en-GB"/>
        </w:rPr>
        <w:t>assessment and quality rating process</w:t>
      </w:r>
      <w:r w:rsidR="007E4E6B">
        <w:rPr>
          <w:b/>
          <w:bCs/>
          <w:color w:val="000000" w:themeColor="text1"/>
          <w:lang w:val="en-GB"/>
        </w:rPr>
        <w:t>:</w:t>
      </w:r>
      <w:r w:rsidR="003C268A" w:rsidRPr="009234D9">
        <w:rPr>
          <w:color w:val="000000" w:themeColor="text1"/>
          <w:lang w:val="en-GB"/>
        </w:rPr>
        <w:t xml:space="preserve"> </w:t>
      </w:r>
      <w:r w:rsidR="007E4E6B">
        <w:rPr>
          <w:color w:val="000000" w:themeColor="text1"/>
        </w:rPr>
        <w:t>S</w:t>
      </w:r>
      <w:r w:rsidR="003C268A" w:rsidRPr="009234D9">
        <w:rPr>
          <w:color w:val="000000" w:themeColor="text1"/>
        </w:rPr>
        <w:t>ervices</w:t>
      </w:r>
      <w:r w:rsidR="003C268A">
        <w:rPr>
          <w:color w:val="000000" w:themeColor="text1"/>
        </w:rPr>
        <w:t xml:space="preserve"> </w:t>
      </w:r>
      <w:r w:rsidR="003C268A" w:rsidRPr="009234D9">
        <w:rPr>
          <w:color w:val="000000" w:themeColor="text1"/>
        </w:rPr>
        <w:t>are assessed and rated by their state or territory regulatory authority against the NQS and given a rating for each of the 7 quality areas</w:t>
      </w:r>
      <w:r w:rsidR="007E4E6B">
        <w:rPr>
          <w:color w:val="000000" w:themeColor="text1"/>
        </w:rPr>
        <w:t>, as well as</w:t>
      </w:r>
      <w:r w:rsidR="003C268A" w:rsidRPr="009234D9">
        <w:rPr>
          <w:color w:val="000000" w:themeColor="text1"/>
        </w:rPr>
        <w:t xml:space="preserve"> an overall rating based on these results</w:t>
      </w:r>
      <w:r w:rsidR="007E4E6B">
        <w:rPr>
          <w:color w:val="000000" w:themeColor="text1"/>
        </w:rPr>
        <w:t>.</w:t>
      </w:r>
    </w:p>
    <w:p w14:paraId="10E3A738" w14:textId="60572E17" w:rsidR="003C268A" w:rsidRPr="009234D9" w:rsidRDefault="003C268A" w:rsidP="00B23060">
      <w:pPr>
        <w:pStyle w:val="SubList"/>
        <w:rPr>
          <w:b/>
          <w:bCs/>
        </w:rPr>
      </w:pPr>
      <w:r w:rsidRPr="009234D9">
        <w:rPr>
          <w:b/>
          <w:bCs/>
          <w:color w:val="000000" w:themeColor="text1"/>
          <w:lang w:val="en-GB"/>
        </w:rPr>
        <w:t>National Approved Learning</w:t>
      </w:r>
      <w:r w:rsidRPr="009234D9">
        <w:rPr>
          <w:b/>
          <w:bCs/>
        </w:rPr>
        <w:t xml:space="preserve"> Frameworks</w:t>
      </w:r>
      <w:r w:rsidR="00876199">
        <w:rPr>
          <w:b/>
          <w:bCs/>
        </w:rPr>
        <w:t>:</w:t>
      </w:r>
      <w:r w:rsidRPr="00CB7AC4">
        <w:t xml:space="preserve"> </w:t>
      </w:r>
      <w:r w:rsidR="00876199" w:rsidRPr="00CB7AC4">
        <w:t>S</w:t>
      </w:r>
      <w:r w:rsidR="005C38C4">
        <w:t xml:space="preserve">ervices are required to base their education programs on </w:t>
      </w:r>
      <w:r w:rsidR="00CB7AC4">
        <w:t>the National Approved Learning Frameworks</w:t>
      </w:r>
      <w:r>
        <w:t xml:space="preserve"> (‘Belong</w:t>
      </w:r>
      <w:r w:rsidR="00E655E8">
        <w:t>ing</w:t>
      </w:r>
      <w:r w:rsidRPr="009234D9">
        <w:rPr>
          <w:color w:val="000000" w:themeColor="text1"/>
          <w:lang w:val="en-GB"/>
        </w:rPr>
        <w:t xml:space="preserve">, Being and Becoming: The Early Years Learning Framework for Australia’ and </w:t>
      </w:r>
      <w:r w:rsidRPr="005E24E7">
        <w:rPr>
          <w:color w:val="000000" w:themeColor="text1"/>
          <w:lang w:val="en-GB"/>
        </w:rPr>
        <w:t>‘</w:t>
      </w:r>
      <w:r w:rsidRPr="009234D9">
        <w:rPr>
          <w:color w:val="000000" w:themeColor="text1"/>
          <w:lang w:val="en-GB"/>
        </w:rPr>
        <w:t>My Time, Our Place: Framework</w:t>
      </w:r>
      <w:r w:rsidRPr="0EE2F52C">
        <w:t xml:space="preserve"> for School Aged Care in Australia</w:t>
      </w:r>
      <w:r>
        <w:t>’</w:t>
      </w:r>
      <w:r w:rsidR="005C38C4">
        <w:t>—</w:t>
      </w:r>
      <w:r>
        <w:t>updated in early 2023)</w:t>
      </w:r>
      <w:r w:rsidRPr="005E24E7">
        <w:rPr>
          <w:color w:val="000000" w:themeColor="text1"/>
        </w:rPr>
        <w:t>.</w:t>
      </w:r>
    </w:p>
    <w:p w14:paraId="0892DB1A" w14:textId="77777777" w:rsidR="003C268A" w:rsidRDefault="003C268A" w:rsidP="003C268A">
      <w:pPr>
        <w:pStyle w:val="Subbodytext"/>
      </w:pPr>
      <w:r w:rsidRPr="0EE2F52C">
        <w:t>Regulatory authorities in each state and territory administer, deliver</w:t>
      </w:r>
      <w:r>
        <w:t>,</w:t>
      </w:r>
      <w:r w:rsidRPr="0EE2F52C">
        <w:t xml:space="preserve"> and ensure compliance with the NQF in their respective jurisdictions.</w:t>
      </w:r>
    </w:p>
    <w:p w14:paraId="04EC1A10" w14:textId="7DA86E6C" w:rsidR="003C268A" w:rsidRDefault="004B3129" w:rsidP="003C268A">
      <w:pPr>
        <w:pStyle w:val="Subbodytext"/>
      </w:pPr>
      <w:r>
        <w:t xml:space="preserve">Regulatory authorities administer the NQF with the assistance of </w:t>
      </w:r>
      <w:r w:rsidR="005E304D">
        <w:t xml:space="preserve">the </w:t>
      </w:r>
      <w:r w:rsidR="003C268A" w:rsidRPr="0EE2F52C">
        <w:t>independent national authority</w:t>
      </w:r>
      <w:r w:rsidR="002E116C">
        <w:t xml:space="preserve">, </w:t>
      </w:r>
      <w:r w:rsidR="002E116C" w:rsidRPr="0EE2F52C">
        <w:t>ACECQA</w:t>
      </w:r>
      <w:r w:rsidR="00BB6CDF">
        <w:t>.</w:t>
      </w:r>
      <w:r w:rsidR="003C268A" w:rsidRPr="0EE2F52C">
        <w:t xml:space="preserve"> </w:t>
      </w:r>
      <w:r w:rsidR="003C268A">
        <w:t>The Government provides ongoing financial assistance to ACECQA for its statutory and operational functions under National Law, which include:</w:t>
      </w:r>
    </w:p>
    <w:p w14:paraId="70B09254" w14:textId="7A28B8B8" w:rsidR="003C268A" w:rsidRPr="0043171D" w:rsidRDefault="003C268A" w:rsidP="00B23060">
      <w:pPr>
        <w:pStyle w:val="SubList"/>
        <w:rPr>
          <w:lang w:val="en-GB"/>
        </w:rPr>
      </w:pPr>
      <w:r w:rsidRPr="0043171D">
        <w:rPr>
          <w:lang w:val="en-GB"/>
        </w:rPr>
        <w:t>guid</w:t>
      </w:r>
      <w:r>
        <w:rPr>
          <w:lang w:val="en-GB"/>
        </w:rPr>
        <w:t>ing</w:t>
      </w:r>
      <w:r w:rsidRPr="0043171D">
        <w:rPr>
          <w:lang w:val="en-GB"/>
        </w:rPr>
        <w:t xml:space="preserve"> the implementation and administration of the NQF and monitor</w:t>
      </w:r>
      <w:r w:rsidR="00495152">
        <w:rPr>
          <w:lang w:val="en-GB"/>
        </w:rPr>
        <w:t>ing</w:t>
      </w:r>
      <w:r w:rsidRPr="0043171D">
        <w:rPr>
          <w:lang w:val="en-GB"/>
        </w:rPr>
        <w:t xml:space="preserve"> and promot</w:t>
      </w:r>
      <w:r w:rsidR="00495152">
        <w:rPr>
          <w:lang w:val="en-GB"/>
        </w:rPr>
        <w:t>ing</w:t>
      </w:r>
      <w:r w:rsidRPr="0043171D">
        <w:rPr>
          <w:lang w:val="en-GB"/>
        </w:rPr>
        <w:t xml:space="preserve"> consistency in its implementation and administration</w:t>
      </w:r>
    </w:p>
    <w:p w14:paraId="40EA9B66" w14:textId="77777777" w:rsidR="003C268A" w:rsidRPr="0043171D" w:rsidRDefault="003C268A" w:rsidP="00B23060">
      <w:pPr>
        <w:pStyle w:val="SubList"/>
        <w:rPr>
          <w:lang w:val="en-GB"/>
        </w:rPr>
      </w:pPr>
      <w:r w:rsidRPr="0043171D">
        <w:rPr>
          <w:lang w:val="en-GB"/>
        </w:rPr>
        <w:t>maintain</w:t>
      </w:r>
      <w:r>
        <w:rPr>
          <w:lang w:val="en-GB"/>
        </w:rPr>
        <w:t>ing</w:t>
      </w:r>
      <w:r w:rsidRPr="0043171D">
        <w:rPr>
          <w:lang w:val="en-GB"/>
        </w:rPr>
        <w:t xml:space="preserve"> national information and registers, such as information on all approved providers, services and their ratings, and certified supervisors</w:t>
      </w:r>
    </w:p>
    <w:p w14:paraId="03586DB4" w14:textId="77777777" w:rsidR="003C268A" w:rsidRPr="0043171D" w:rsidRDefault="003C268A" w:rsidP="00B23060">
      <w:pPr>
        <w:pStyle w:val="SubList"/>
        <w:rPr>
          <w:lang w:val="en-GB"/>
        </w:rPr>
      </w:pPr>
      <w:r w:rsidRPr="0043171D">
        <w:rPr>
          <w:lang w:val="en-GB"/>
        </w:rPr>
        <w:t>promot</w:t>
      </w:r>
      <w:r>
        <w:rPr>
          <w:lang w:val="en-GB"/>
        </w:rPr>
        <w:t>ing</w:t>
      </w:r>
      <w:r w:rsidRPr="0043171D">
        <w:rPr>
          <w:lang w:val="en-GB"/>
        </w:rPr>
        <w:t xml:space="preserve"> and foster</w:t>
      </w:r>
      <w:r>
        <w:rPr>
          <w:lang w:val="en-GB"/>
        </w:rPr>
        <w:t>ing</w:t>
      </w:r>
      <w:r w:rsidRPr="0043171D">
        <w:rPr>
          <w:lang w:val="en-GB"/>
        </w:rPr>
        <w:t xml:space="preserve"> continuous quality improvement by approved services</w:t>
      </w:r>
    </w:p>
    <w:p w14:paraId="7275371A" w14:textId="3237B7A3" w:rsidR="003C268A" w:rsidRPr="0043171D" w:rsidRDefault="003C268A" w:rsidP="00B23060">
      <w:pPr>
        <w:pStyle w:val="SubList"/>
        <w:rPr>
          <w:lang w:val="en-GB"/>
        </w:rPr>
      </w:pPr>
      <w:r w:rsidRPr="0043171D">
        <w:rPr>
          <w:lang w:val="en-GB"/>
        </w:rPr>
        <w:t>educat</w:t>
      </w:r>
      <w:r>
        <w:rPr>
          <w:lang w:val="en-GB"/>
        </w:rPr>
        <w:t>ing</w:t>
      </w:r>
      <w:r w:rsidRPr="0043171D">
        <w:rPr>
          <w:lang w:val="en-GB"/>
        </w:rPr>
        <w:t xml:space="preserve"> and inform</w:t>
      </w:r>
      <w:r>
        <w:rPr>
          <w:lang w:val="en-GB"/>
        </w:rPr>
        <w:t>ing</w:t>
      </w:r>
      <w:r w:rsidRPr="0043171D">
        <w:rPr>
          <w:lang w:val="en-GB"/>
        </w:rPr>
        <w:t xml:space="preserve"> the sector, families</w:t>
      </w:r>
      <w:r w:rsidR="00E04BBC">
        <w:rPr>
          <w:lang w:val="en-GB"/>
        </w:rPr>
        <w:t>,</w:t>
      </w:r>
      <w:r w:rsidRPr="0043171D">
        <w:rPr>
          <w:lang w:val="en-GB"/>
        </w:rPr>
        <w:t xml:space="preserve"> and the public through publication of guidance and information</w:t>
      </w:r>
    </w:p>
    <w:p w14:paraId="15CFE0CD" w14:textId="2F713354" w:rsidR="003C268A" w:rsidRPr="00240FAF" w:rsidRDefault="003C268A" w:rsidP="00B23060">
      <w:pPr>
        <w:pStyle w:val="SubList"/>
      </w:pPr>
      <w:r w:rsidRPr="00DF681B">
        <w:rPr>
          <w:lang w:val="en-GB"/>
        </w:rPr>
        <w:t xml:space="preserve">assessing and approving </w:t>
      </w:r>
      <w:r w:rsidRPr="0EE2F52C">
        <w:t>educators’ qualifications and educational course providers</w:t>
      </w:r>
      <w:r w:rsidR="00082834">
        <w:t>.</w:t>
      </w:r>
    </w:p>
    <w:p w14:paraId="2776DEFD" w14:textId="579B6DF1" w:rsidR="003C268A" w:rsidRDefault="003C268A">
      <w:pPr>
        <w:spacing w:after="160"/>
      </w:pPr>
      <w:r>
        <w:br w:type="page"/>
      </w:r>
    </w:p>
    <w:p w14:paraId="02CD3BC4" w14:textId="43D330B1" w:rsidR="003C268A" w:rsidRPr="00AD631F" w:rsidRDefault="003C268A" w:rsidP="00B23060">
      <w:pPr>
        <w:pStyle w:val="SubChapterheading"/>
      </w:pPr>
      <w:bookmarkStart w:id="63" w:name="_Toc133915263"/>
      <w:bookmarkStart w:id="64" w:name="_Toc134023017"/>
      <w:bookmarkStart w:id="65" w:name="_Toc134173422"/>
      <w:bookmarkStart w:id="66" w:name="_Toc135404856"/>
      <w:bookmarkStart w:id="67" w:name="_Toc132727694"/>
      <w:r>
        <w:t>Australian Government and Joint Initiatives</w:t>
      </w:r>
      <w:bookmarkEnd w:id="63"/>
      <w:bookmarkEnd w:id="64"/>
      <w:bookmarkEnd w:id="65"/>
      <w:bookmarkEnd w:id="66"/>
    </w:p>
    <w:bookmarkEnd w:id="67"/>
    <w:p w14:paraId="167A7A6A" w14:textId="2C2D2EF2" w:rsidR="003C268A" w:rsidRDefault="003C268A" w:rsidP="003C268A">
      <w:pPr>
        <w:pStyle w:val="Subbodytext"/>
      </w:pPr>
      <w:r>
        <w:t xml:space="preserve">The Australian Government introduced a </w:t>
      </w:r>
      <w:r w:rsidR="001C187B">
        <w:t xml:space="preserve">suite of </w:t>
      </w:r>
      <w:r>
        <w:t>initiatives under the 2022–23 and 2023–24 Budgets to</w:t>
      </w:r>
      <w:r w:rsidRPr="6DDD5F9E">
        <w:t xml:space="preserve"> reduce the cost of early childhood education and care (ECEC), as well as</w:t>
      </w:r>
      <w:r>
        <w:t xml:space="preserve"> </w:t>
      </w:r>
      <w:r w:rsidR="00C27E20">
        <w:t xml:space="preserve">to </w:t>
      </w:r>
      <w:r>
        <w:t>support and inform broader reform of Australia’s ECEC system</w:t>
      </w:r>
      <w:r w:rsidRPr="6DDD5F9E">
        <w:t>.</w:t>
      </w:r>
    </w:p>
    <w:p w14:paraId="73B6EE6D" w14:textId="645DB289" w:rsidR="003C268A" w:rsidRDefault="003C268A" w:rsidP="003C268A">
      <w:pPr>
        <w:pStyle w:val="Subbodytext"/>
      </w:pPr>
      <w:r w:rsidRPr="3C2D21B6">
        <w:t xml:space="preserve">This includes increasing Child Care Subsidy (CCS) rates to benefit around 1.26 million Australian families using </w:t>
      </w:r>
      <w:r w:rsidR="00A57F71">
        <w:t>child care</w:t>
      </w:r>
      <w:r w:rsidRPr="3C2D21B6">
        <w:t xml:space="preserve">, providing more hours of subsidised </w:t>
      </w:r>
      <w:r w:rsidR="009E73F2">
        <w:t>child care</w:t>
      </w:r>
      <w:r w:rsidR="009E73F2" w:rsidRPr="3C2D21B6">
        <w:t xml:space="preserve"> </w:t>
      </w:r>
      <w:r w:rsidRPr="3C2D21B6">
        <w:t xml:space="preserve">for families with First Nations children, streamlining access to the Additional Child Care Subsidy (ACCS), safeguarding the CCS against fraud and non-compliance, </w:t>
      </w:r>
      <w:r w:rsidR="00771A57">
        <w:t xml:space="preserve">and </w:t>
      </w:r>
      <w:r w:rsidRPr="3C2D21B6">
        <w:t>addressing workforce shortages in the ECEC sector to leverage the benefits flowing from CCS reforms.</w:t>
      </w:r>
    </w:p>
    <w:p w14:paraId="4BE5CC19" w14:textId="5F43AB77" w:rsidR="003C268A" w:rsidRDefault="003C268A" w:rsidP="003C268A">
      <w:pPr>
        <w:pStyle w:val="Subbodytext"/>
      </w:pPr>
      <w:r w:rsidRPr="37739EA7">
        <w:t xml:space="preserve">The Government </w:t>
      </w:r>
      <w:r w:rsidR="00130E58">
        <w:t>directed</w:t>
      </w:r>
      <w:r w:rsidRPr="37739EA7">
        <w:t xml:space="preserve"> the Australian</w:t>
      </w:r>
      <w:r w:rsidRPr="46FAFC08">
        <w:rPr>
          <w:rFonts w:ascii="Calibri" w:eastAsia="Calibri" w:hAnsi="Calibri" w:cs="Calibri"/>
        </w:rPr>
        <w:t xml:space="preserve"> Competition and Consumer Commission (ACCC)</w:t>
      </w:r>
      <w:r>
        <w:rPr>
          <w:rFonts w:ascii="Calibri" w:eastAsia="Calibri" w:hAnsi="Calibri" w:cs="Calibri"/>
        </w:rPr>
        <w:t xml:space="preserve"> to undertake an inquiry into ECEC prices and costs and </w:t>
      </w:r>
      <w:r w:rsidR="00130E58">
        <w:rPr>
          <w:rFonts w:ascii="Calibri" w:eastAsia="Calibri" w:hAnsi="Calibri" w:cs="Calibri"/>
        </w:rPr>
        <w:t xml:space="preserve">is </w:t>
      </w:r>
      <w:r>
        <w:rPr>
          <w:rFonts w:ascii="Calibri" w:eastAsia="Calibri" w:hAnsi="Calibri" w:cs="Calibri"/>
        </w:rPr>
        <w:t xml:space="preserve">developing an </w:t>
      </w:r>
      <w:r w:rsidRPr="548E70F4">
        <w:t xml:space="preserve">Early Years Strategy </w:t>
      </w:r>
      <w:r>
        <w:t xml:space="preserve">to </w:t>
      </w:r>
      <w:r w:rsidRPr="548E70F4">
        <w:t>focus on the wellbeing, education</w:t>
      </w:r>
      <w:r w:rsidR="006F09A4">
        <w:t>,</w:t>
      </w:r>
      <w:r w:rsidRPr="548E70F4">
        <w:t xml:space="preserve"> and development of Australia’s children.</w:t>
      </w:r>
    </w:p>
    <w:p w14:paraId="0905BD6B" w14:textId="14D874E4" w:rsidR="007A7C31" w:rsidRDefault="003C268A" w:rsidP="003C268A">
      <w:pPr>
        <w:pStyle w:val="Subbodytext"/>
        <w:rPr>
          <w:rFonts w:ascii="Calibri" w:eastAsia="Calibri" w:hAnsi="Calibri" w:cs="Calibri"/>
        </w:rPr>
      </w:pPr>
      <w:r>
        <w:t xml:space="preserve">The Government is committed to achieving the outcomes and targets in the National Agreement on Closing the Gap. </w:t>
      </w:r>
      <w:r w:rsidR="008E3215">
        <w:t>Th</w:t>
      </w:r>
      <w:r w:rsidR="00130E58">
        <w:t>e</w:t>
      </w:r>
      <w:r w:rsidR="00F83843">
        <w:t xml:space="preserve"> </w:t>
      </w:r>
      <w:r w:rsidR="008E3215">
        <w:t>Early Childhood Care and Development Policy Partnership</w:t>
      </w:r>
      <w:r w:rsidR="00CF2386">
        <w:t xml:space="preserve"> </w:t>
      </w:r>
      <w:r w:rsidR="00601649">
        <w:t>is</w:t>
      </w:r>
      <w:r w:rsidR="00CF2386">
        <w:t xml:space="preserve"> </w:t>
      </w:r>
      <w:r w:rsidR="00C5691F">
        <w:t>b</w:t>
      </w:r>
      <w:r w:rsidR="00C5691F" w:rsidRPr="00C5691F">
        <w:t>ring</w:t>
      </w:r>
      <w:r w:rsidR="00601649">
        <w:t>ing</w:t>
      </w:r>
      <w:r w:rsidR="00C5691F" w:rsidRPr="00C5691F">
        <w:t xml:space="preserve"> together </w:t>
      </w:r>
      <w:r w:rsidR="00C5691F" w:rsidRPr="008813AE">
        <w:t xml:space="preserve">governments and First Nations representatives </w:t>
      </w:r>
      <w:r w:rsidR="008E3215" w:rsidRPr="008813AE">
        <w:t>to improve outcomes for First Nations children and families</w:t>
      </w:r>
      <w:r w:rsidR="00601649" w:rsidRPr="008813AE">
        <w:t xml:space="preserve"> (refer to </w:t>
      </w:r>
      <w:r w:rsidR="00B50AC9">
        <w:rPr>
          <w:b/>
        </w:rPr>
        <w:t>Section </w:t>
      </w:r>
      <w:r w:rsidR="00601649" w:rsidRPr="008813AE">
        <w:rPr>
          <w:b/>
        </w:rPr>
        <w:t>4.4</w:t>
      </w:r>
      <w:r w:rsidR="002C790A" w:rsidRPr="008813AE">
        <w:rPr>
          <w:b/>
          <w:bCs/>
        </w:rPr>
        <w:t xml:space="preserve"> </w:t>
      </w:r>
      <w:r w:rsidR="002C790A" w:rsidRPr="008813AE">
        <w:t>for further detail on the Policy P</w:t>
      </w:r>
      <w:r w:rsidR="008B1B75" w:rsidRPr="008813AE">
        <w:t xml:space="preserve">artnership and other early </w:t>
      </w:r>
      <w:r w:rsidR="009212B8" w:rsidRPr="008813AE">
        <w:t>childhood Closing the Gap initiatives</w:t>
      </w:r>
      <w:r w:rsidR="006F1864" w:rsidRPr="008813AE">
        <w:t>)</w:t>
      </w:r>
      <w:r w:rsidR="008E3215" w:rsidRPr="008813AE">
        <w:rPr>
          <w:rFonts w:ascii="Calibri" w:eastAsia="Calibri" w:hAnsi="Calibri" w:cs="Calibri"/>
        </w:rPr>
        <w:t>.</w:t>
      </w:r>
      <w:r w:rsidR="00333A5A" w:rsidRPr="008813AE">
        <w:rPr>
          <w:rFonts w:ascii="Calibri" w:eastAsia="Calibri" w:hAnsi="Calibri" w:cs="Calibri"/>
        </w:rPr>
        <w:t xml:space="preserve"> </w:t>
      </w:r>
      <w:r w:rsidRPr="008813AE">
        <w:rPr>
          <w:rFonts w:ascii="Calibri" w:eastAsia="Calibri" w:hAnsi="Calibri" w:cs="Calibri"/>
        </w:rPr>
        <w:t>This work will be compl</w:t>
      </w:r>
      <w:r w:rsidR="005B2F1C" w:rsidRPr="008813AE">
        <w:rPr>
          <w:rFonts w:ascii="Calibri" w:eastAsia="Calibri" w:hAnsi="Calibri" w:cs="Calibri"/>
        </w:rPr>
        <w:t>e</w:t>
      </w:r>
      <w:r w:rsidRPr="008813AE">
        <w:rPr>
          <w:rFonts w:ascii="Calibri" w:eastAsia="Calibri" w:hAnsi="Calibri" w:cs="Calibri"/>
        </w:rPr>
        <w:t>mented by National Cabinet’s tasking of education and early years ministers</w:t>
      </w:r>
      <w:r w:rsidRPr="0002CA39">
        <w:rPr>
          <w:rFonts w:ascii="Calibri" w:eastAsia="Calibri" w:hAnsi="Calibri" w:cs="Calibri"/>
        </w:rPr>
        <w:t xml:space="preserve"> to develop a national long-term </w:t>
      </w:r>
      <w:r w:rsidR="000B0B96">
        <w:rPr>
          <w:rFonts w:ascii="Calibri" w:eastAsia="Calibri" w:hAnsi="Calibri" w:cs="Calibri"/>
        </w:rPr>
        <w:t>v</w:t>
      </w:r>
      <w:r w:rsidR="008E4FB2" w:rsidRPr="0002CA39">
        <w:rPr>
          <w:rFonts w:ascii="Calibri" w:eastAsia="Calibri" w:hAnsi="Calibri" w:cs="Calibri"/>
        </w:rPr>
        <w:t xml:space="preserve">ision </w:t>
      </w:r>
      <w:r w:rsidRPr="0002CA39">
        <w:rPr>
          <w:rFonts w:ascii="Calibri" w:eastAsia="Calibri" w:hAnsi="Calibri" w:cs="Calibri"/>
        </w:rPr>
        <w:t>for ECEC</w:t>
      </w:r>
      <w:r w:rsidR="008E3215">
        <w:rPr>
          <w:rFonts w:ascii="Calibri" w:eastAsia="Calibri" w:hAnsi="Calibri" w:cs="Calibri"/>
        </w:rPr>
        <w:t>.</w:t>
      </w:r>
    </w:p>
    <w:p w14:paraId="6FBF5E6A" w14:textId="77777777" w:rsidR="00DC748D" w:rsidRDefault="00C6040F" w:rsidP="00DC748D">
      <w:r>
        <w:rPr>
          <w:rFonts w:ascii="Calibri" w:eastAsia="Calibri" w:hAnsi="Calibri" w:cs="Calibri"/>
        </w:rPr>
        <w:t xml:space="preserve">In addition, states and territories are undertaking various ECEC initiatives. </w:t>
      </w:r>
      <w:r w:rsidRPr="001E1ADB">
        <w:t>In 2022</w:t>
      </w:r>
      <w:r>
        <w:t>,</w:t>
      </w:r>
      <w:r w:rsidRPr="001E1ADB">
        <w:t xml:space="preserve"> New South Wales</w:t>
      </w:r>
      <w:r>
        <w:t xml:space="preserve"> </w:t>
      </w:r>
      <w:r w:rsidRPr="001E1ADB">
        <w:t xml:space="preserve">and Victoria announced </w:t>
      </w:r>
      <w:r>
        <w:t>10</w:t>
      </w:r>
      <w:r w:rsidRPr="001E1ADB">
        <w:t>-year preschool reform programs</w:t>
      </w:r>
      <w:r>
        <w:t xml:space="preserve">, including expanding access to preschool for 3-year-old children. </w:t>
      </w:r>
      <w:r w:rsidRPr="00C50ED3">
        <w:t xml:space="preserve">The South Australian Royal Commission is </w:t>
      </w:r>
      <w:r>
        <w:t xml:space="preserve">also </w:t>
      </w:r>
      <w:r w:rsidRPr="00C50ED3">
        <w:t>considering universal 3-year-old preschool and</w:t>
      </w:r>
      <w:r>
        <w:t>,</w:t>
      </w:r>
      <w:r w:rsidRPr="00C50ED3">
        <w:t xml:space="preserve"> in 2022</w:t>
      </w:r>
      <w:r>
        <w:t>,</w:t>
      </w:r>
      <w:r w:rsidRPr="00C50ED3">
        <w:t xml:space="preserve"> the Northern Territory commenced a review to expand preschool education and modes of delivery.</w:t>
      </w:r>
    </w:p>
    <w:p w14:paraId="2BAEFB64" w14:textId="7A25495F" w:rsidR="00867038" w:rsidRDefault="00867038" w:rsidP="00DC748D">
      <w:pPr>
        <w:pStyle w:val="SubFigureHeading"/>
      </w:pPr>
      <w:r>
        <w:t xml:space="preserve">Figure </w:t>
      </w:r>
      <w:r>
        <w:fldChar w:fldCharType="begin"/>
      </w:r>
      <w:r>
        <w:instrText>SEQ Figure \* ARABIC</w:instrText>
      </w:r>
      <w:r>
        <w:fldChar w:fldCharType="separate"/>
      </w:r>
      <w:r w:rsidR="00D307AC">
        <w:rPr>
          <w:noProof/>
        </w:rPr>
        <w:t>12</w:t>
      </w:r>
      <w:r>
        <w:fldChar w:fldCharType="end"/>
      </w:r>
      <w:r>
        <w:t>:</w:t>
      </w:r>
      <w:r w:rsidRPr="00867038">
        <w:t xml:space="preserve"> </w:t>
      </w:r>
      <w:r>
        <w:t>An Outline of Existing ECEC Reforms</w:t>
      </w:r>
    </w:p>
    <w:p w14:paraId="3D14C2CA" w14:textId="336136C2" w:rsidR="003C268A" w:rsidRPr="00625284" w:rsidRDefault="003E6138" w:rsidP="003E6138">
      <w:pPr>
        <w:pStyle w:val="Subbodytext"/>
        <w:ind w:left="-426"/>
        <w:jc w:val="center"/>
        <w:rPr>
          <w:rFonts w:ascii="Calibri" w:eastAsia="Calibri" w:hAnsi="Calibri" w:cs="Calibri"/>
          <w:b/>
          <w:bCs/>
          <w:color w:val="FF0000"/>
          <w:highlight w:val="yellow"/>
        </w:rPr>
      </w:pPr>
      <w:r>
        <w:rPr>
          <w:rFonts w:ascii="Calibri" w:eastAsia="Calibri" w:hAnsi="Calibri" w:cs="Calibri"/>
          <w:b/>
          <w:bCs/>
          <w:noProof/>
          <w:color w:val="FF0000"/>
        </w:rPr>
        <w:drawing>
          <wp:inline distT="0" distB="0" distL="0" distR="0" wp14:anchorId="337E891E" wp14:editId="16400A66">
            <wp:extent cx="5046122" cy="3252083"/>
            <wp:effectExtent l="0" t="0" r="0" b="5715"/>
            <wp:docPr id="5" name="Picture 5" descr="A diagram outlining key early childhood education and care reforms, including the Productivity Commission Inquiry into ECEC, National Vision for ECEC, National Strategy to Achieve Gender Equality, Early Childhood Care and Development Policy Partnership, Early Years Strategy, and the Australian Competition and Consumer Commission child care price inqu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utlining key early childhood education and care reforms, including the Productivity Commission Inquiry into ECEC, National Vision for ECEC, National Strategy to Achieve Gender Equality, Early Childhood Care and Development Policy Partnership, Early Years Strategy, and the Australian Competition and Consumer Commission child care price inquiry."/>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46122" cy="3252083"/>
                    </a:xfrm>
                    <a:prstGeom prst="rect">
                      <a:avLst/>
                    </a:prstGeom>
                  </pic:spPr>
                </pic:pic>
              </a:graphicData>
            </a:graphic>
          </wp:inline>
        </w:drawing>
      </w:r>
    </w:p>
    <w:p w14:paraId="60819C11" w14:textId="031E518A" w:rsidR="003C268A" w:rsidRDefault="003C268A" w:rsidP="00BE1EB2">
      <w:pPr>
        <w:pStyle w:val="SubSectionHeading"/>
        <w:numPr>
          <w:ilvl w:val="1"/>
          <w:numId w:val="20"/>
        </w:numPr>
      </w:pPr>
      <w:bookmarkStart w:id="68" w:name="_Toc132727695"/>
      <w:bookmarkStart w:id="69" w:name="_Toc133915264"/>
      <w:bookmarkStart w:id="70" w:name="_Toc134023018"/>
      <w:bookmarkStart w:id="71" w:name="_Toc134173423"/>
      <w:bookmarkStart w:id="72" w:name="_Toc135404857"/>
      <w:r>
        <w:t>Cheaper Child Care</w:t>
      </w:r>
      <w:bookmarkEnd w:id="68"/>
      <w:bookmarkEnd w:id="69"/>
      <w:bookmarkEnd w:id="70"/>
      <w:bookmarkEnd w:id="71"/>
      <w:bookmarkEnd w:id="72"/>
    </w:p>
    <w:p w14:paraId="674D2C76" w14:textId="0595484E" w:rsidR="003C268A" w:rsidRDefault="003C268A" w:rsidP="003C268A">
      <w:pPr>
        <w:pStyle w:val="Subbodytext"/>
      </w:pPr>
      <w:r>
        <w:t>The Government’s $4.6 billion Cheaper Child Care package announced in the 2022</w:t>
      </w:r>
      <w:r>
        <w:rPr>
          <w:rFonts w:ascii="Segoe UI" w:hAnsi="Segoe UI" w:cs="Segoe UI"/>
          <w:color w:val="414141"/>
          <w:shd w:val="clear" w:color="auto" w:fill="FFFFFF"/>
        </w:rPr>
        <w:t>–</w:t>
      </w:r>
      <w:r>
        <w:t>23 Budget</w:t>
      </w:r>
      <w:r w:rsidRPr="009D6D8B">
        <w:rPr>
          <w:vertAlign w:val="superscript"/>
        </w:rPr>
        <w:footnoteReference w:id="31"/>
      </w:r>
      <w:r>
        <w:t xml:space="preserve"> comprises a suite of measures designed to make child care more affordable and reduce barriers to</w:t>
      </w:r>
      <w:r w:rsidR="006D2EBC">
        <w:t> </w:t>
      </w:r>
      <w:r>
        <w:t>workforce participation.</w:t>
      </w:r>
    </w:p>
    <w:p w14:paraId="16AFA77A" w14:textId="489EC710" w:rsidR="003C268A" w:rsidRDefault="003C268A" w:rsidP="003C268A">
      <w:pPr>
        <w:pStyle w:val="Subbodytext"/>
        <w:rPr>
          <w:rFonts w:ascii="Calibri" w:eastAsia="Calibri" w:hAnsi="Calibri" w:cs="Calibri"/>
          <w:color w:val="000000" w:themeColor="text1"/>
        </w:rPr>
      </w:pPr>
      <w:r>
        <w:t xml:space="preserve">A key element of this package is the July 2023 increase to the CCS rate. This will reduce </w:t>
      </w:r>
      <w:r>
        <w:br/>
      </w:r>
      <w:r w:rsidRPr="72D7D1AB">
        <w:rPr>
          <w:rFonts w:ascii="Calibri" w:eastAsia="Calibri" w:hAnsi="Calibri" w:cs="Calibri"/>
          <w:color w:val="000000" w:themeColor="text1"/>
        </w:rPr>
        <w:t>out-of-pocket costs for around 96</w:t>
      </w:r>
      <w:r w:rsidR="00346148">
        <w:rPr>
          <w:rFonts w:ascii="Calibri" w:eastAsia="Calibri" w:hAnsi="Calibri" w:cs="Calibri"/>
          <w:color w:val="000000" w:themeColor="text1"/>
        </w:rPr>
        <w:t> per cent</w:t>
      </w:r>
      <w:r w:rsidRPr="72D7D1AB">
        <w:rPr>
          <w:rFonts w:ascii="Calibri" w:eastAsia="Calibri" w:hAnsi="Calibri" w:cs="Calibri"/>
          <w:color w:val="000000" w:themeColor="text1"/>
        </w:rPr>
        <w:t xml:space="preserve"> of families currently using child care</w:t>
      </w:r>
      <w:r>
        <w:rPr>
          <w:rFonts w:ascii="Calibri" w:eastAsia="Calibri" w:hAnsi="Calibri" w:cs="Calibri"/>
          <w:color w:val="000000" w:themeColor="text1"/>
        </w:rPr>
        <w:t xml:space="preserve"> and </w:t>
      </w:r>
      <w:r w:rsidRPr="43091290">
        <w:rPr>
          <w:rFonts w:ascii="Calibri" w:eastAsia="Calibri" w:hAnsi="Calibri" w:cs="Calibri"/>
        </w:rPr>
        <w:t>increase hours worked by women with young children by up to 1.4 million per week in 2023</w:t>
      </w:r>
      <w:r>
        <w:rPr>
          <w:rFonts w:ascii="Segoe UI" w:hAnsi="Segoe UI" w:cs="Segoe UI"/>
          <w:color w:val="414141"/>
          <w:shd w:val="clear" w:color="auto" w:fill="FFFFFF"/>
        </w:rPr>
        <w:t>–</w:t>
      </w:r>
      <w:r w:rsidRPr="43091290">
        <w:rPr>
          <w:rFonts w:ascii="Calibri" w:eastAsia="Calibri" w:hAnsi="Calibri" w:cs="Calibri"/>
        </w:rPr>
        <w:t>24</w:t>
      </w:r>
      <w:r w:rsidRPr="72D7D1AB">
        <w:rPr>
          <w:rFonts w:ascii="Calibri" w:eastAsia="Calibri" w:hAnsi="Calibri" w:cs="Calibri"/>
          <w:color w:val="000000" w:themeColor="text1"/>
        </w:rPr>
        <w:t>.</w:t>
      </w:r>
    </w:p>
    <w:p w14:paraId="6BB8A96B" w14:textId="286FF0D7" w:rsidR="003C268A" w:rsidRDefault="003C268A" w:rsidP="003C268A">
      <w:pPr>
        <w:pStyle w:val="Subbodytext"/>
        <w:rPr>
          <w:rFonts w:ascii="Calibri" w:eastAsia="Calibri" w:hAnsi="Calibri" w:cs="Calibri"/>
        </w:rPr>
      </w:pPr>
      <w:r>
        <w:rPr>
          <w:rFonts w:ascii="Calibri" w:eastAsia="Calibri" w:hAnsi="Calibri" w:cs="Calibri"/>
          <w:color w:val="000000" w:themeColor="text1"/>
        </w:rPr>
        <w:t>The change to the CCS rate means</w:t>
      </w:r>
      <w:r>
        <w:rPr>
          <w:rFonts w:ascii="Calibri" w:eastAsia="Calibri" w:hAnsi="Calibri" w:cs="Calibri"/>
        </w:rPr>
        <w:t xml:space="preserve"> </w:t>
      </w:r>
      <w:r w:rsidR="00832FE7">
        <w:rPr>
          <w:rFonts w:ascii="Calibri" w:eastAsia="Calibri" w:hAnsi="Calibri" w:cs="Calibri"/>
        </w:rPr>
        <w:t xml:space="preserve">that </w:t>
      </w:r>
      <w:r>
        <w:rPr>
          <w:rFonts w:ascii="Calibri" w:eastAsia="Calibri" w:hAnsi="Calibri" w:cs="Calibri"/>
        </w:rPr>
        <w:t>e</w:t>
      </w:r>
      <w:r w:rsidRPr="43091290">
        <w:rPr>
          <w:rFonts w:ascii="Calibri" w:eastAsia="Calibri" w:hAnsi="Calibri" w:cs="Calibri"/>
        </w:rPr>
        <w:t>ligible families earning $80,000 or less will have their CCS entitlement lifted to a new maximum rate of 90</w:t>
      </w:r>
      <w:r w:rsidR="00346148">
        <w:rPr>
          <w:rFonts w:ascii="Calibri" w:eastAsia="Calibri" w:hAnsi="Calibri" w:cs="Calibri"/>
        </w:rPr>
        <w:t> per cent</w:t>
      </w:r>
      <w:r w:rsidRPr="43091290">
        <w:rPr>
          <w:rFonts w:ascii="Calibri" w:eastAsia="Calibri" w:hAnsi="Calibri" w:cs="Calibri"/>
        </w:rPr>
        <w:t xml:space="preserve">, </w:t>
      </w:r>
      <w:r>
        <w:rPr>
          <w:rFonts w:ascii="Calibri" w:eastAsia="Calibri" w:hAnsi="Calibri" w:cs="Calibri"/>
        </w:rPr>
        <w:t>tapering</w:t>
      </w:r>
      <w:r w:rsidRPr="43091290">
        <w:rPr>
          <w:rFonts w:ascii="Calibri" w:eastAsia="Calibri" w:hAnsi="Calibri" w:cs="Calibri"/>
        </w:rPr>
        <w:t xml:space="preserve"> down by one percentage point for each additional $5,000 of income. The rate reaches </w:t>
      </w:r>
      <w:r w:rsidR="00346148">
        <w:rPr>
          <w:rFonts w:ascii="Calibri" w:eastAsia="Calibri" w:hAnsi="Calibri" w:cs="Calibri"/>
        </w:rPr>
        <w:t>0 per cent</w:t>
      </w:r>
      <w:r w:rsidRPr="43091290">
        <w:rPr>
          <w:rFonts w:ascii="Calibri" w:eastAsia="Calibri" w:hAnsi="Calibri" w:cs="Calibri"/>
        </w:rPr>
        <w:t xml:space="preserve"> for families earning $530,000</w:t>
      </w:r>
      <w:r>
        <w:rPr>
          <w:rFonts w:ascii="Calibri" w:eastAsia="Calibri" w:hAnsi="Calibri" w:cs="Calibri"/>
        </w:rPr>
        <w:t xml:space="preserve"> (an</w:t>
      </w:r>
      <w:r w:rsidR="00D47860">
        <w:rPr>
          <w:rFonts w:ascii="Calibri" w:eastAsia="Calibri" w:hAnsi="Calibri" w:cs="Calibri"/>
        </w:rPr>
        <w:t> </w:t>
      </w:r>
      <w:r>
        <w:rPr>
          <w:rFonts w:ascii="Calibri" w:eastAsia="Calibri" w:hAnsi="Calibri" w:cs="Calibri"/>
        </w:rPr>
        <w:t>increase from the 2022–23 base rate of</w:t>
      </w:r>
      <w:r w:rsidRPr="43091290">
        <w:rPr>
          <w:rFonts w:ascii="Calibri" w:eastAsia="Calibri" w:hAnsi="Calibri" w:cs="Calibri"/>
        </w:rPr>
        <w:t xml:space="preserve"> $356,756</w:t>
      </w:r>
      <w:r>
        <w:rPr>
          <w:rFonts w:ascii="Calibri" w:eastAsia="Calibri" w:hAnsi="Calibri" w:cs="Calibri"/>
        </w:rPr>
        <w:t>)</w:t>
      </w:r>
      <w:r w:rsidRPr="1F9E4707">
        <w:rPr>
          <w:rFonts w:ascii="Calibri" w:eastAsia="Calibri" w:hAnsi="Calibri" w:cs="Calibri"/>
        </w:rPr>
        <w:t>.</w:t>
      </w:r>
      <w:r w:rsidRPr="43091290">
        <w:rPr>
          <w:rFonts w:ascii="Calibri" w:eastAsia="Calibri" w:hAnsi="Calibri" w:cs="Calibri"/>
        </w:rPr>
        <w:t xml:space="preserve"> The existing measure that provide</w:t>
      </w:r>
      <w:r>
        <w:rPr>
          <w:rFonts w:ascii="Calibri" w:eastAsia="Calibri" w:hAnsi="Calibri" w:cs="Calibri"/>
        </w:rPr>
        <w:t>s</w:t>
      </w:r>
      <w:r w:rsidRPr="43091290">
        <w:rPr>
          <w:rFonts w:ascii="Calibri" w:eastAsia="Calibri" w:hAnsi="Calibri" w:cs="Calibri"/>
        </w:rPr>
        <w:t xml:space="preserve"> </w:t>
      </w:r>
      <w:r>
        <w:rPr>
          <w:rFonts w:ascii="Calibri" w:eastAsia="Calibri" w:hAnsi="Calibri" w:cs="Calibri"/>
        </w:rPr>
        <w:t xml:space="preserve">a higher CCS rate </w:t>
      </w:r>
      <w:r w:rsidRPr="43091290">
        <w:rPr>
          <w:rFonts w:ascii="Calibri" w:eastAsia="Calibri" w:hAnsi="Calibri" w:cs="Calibri"/>
        </w:rPr>
        <w:t>for families with multiple children aged 5 and under will be retained.</w:t>
      </w:r>
    </w:p>
    <w:p w14:paraId="7D2B0026" w14:textId="7DDE2540" w:rsidR="00867038" w:rsidRDefault="00867038" w:rsidP="00811BC7">
      <w:pPr>
        <w:pStyle w:val="Caption"/>
        <w:keepNext/>
      </w:pPr>
      <w:r>
        <w:t xml:space="preserve">Figure </w:t>
      </w:r>
      <w:r>
        <w:fldChar w:fldCharType="begin"/>
      </w:r>
      <w:r>
        <w:instrText>SEQ Figure \* ARABIC</w:instrText>
      </w:r>
      <w:r>
        <w:fldChar w:fldCharType="separate"/>
      </w:r>
      <w:r w:rsidR="00D307AC">
        <w:rPr>
          <w:noProof/>
        </w:rPr>
        <w:t>13</w:t>
      </w:r>
      <w:r>
        <w:fldChar w:fldCharType="end"/>
      </w:r>
      <w:r>
        <w:t>:</w:t>
      </w:r>
      <w:r w:rsidRPr="00D47860">
        <w:t xml:space="preserve"> </w:t>
      </w:r>
      <w:r w:rsidRPr="00B4339B">
        <w:t xml:space="preserve">A Comparison of </w:t>
      </w:r>
      <w:r w:rsidRPr="00B4339B">
        <w:rPr>
          <w:bCs/>
        </w:rPr>
        <w:t>Current</w:t>
      </w:r>
      <w:r w:rsidRPr="00B4339B">
        <w:t xml:space="preserve"> </w:t>
      </w:r>
      <w:r>
        <w:t>(</w:t>
      </w:r>
      <w:r w:rsidRPr="00B4339B">
        <w:t>2022</w:t>
      </w:r>
      <w:r w:rsidRPr="00B4339B">
        <w:rPr>
          <w:bCs/>
        </w:rPr>
        <w:t>–</w:t>
      </w:r>
      <w:r w:rsidRPr="00B4339B">
        <w:t>23</w:t>
      </w:r>
      <w:r>
        <w:t>)</w:t>
      </w:r>
      <w:r w:rsidRPr="00B4339B">
        <w:t xml:space="preserve"> CCS</w:t>
      </w:r>
      <w:r w:rsidR="00A129DF">
        <w:t xml:space="preserve"> </w:t>
      </w:r>
      <w:r w:rsidRPr="00B4339B">
        <w:t xml:space="preserve">Taper Rates and the New </w:t>
      </w:r>
      <w:r>
        <w:t>(</w:t>
      </w:r>
      <w:r w:rsidRPr="00B4339B">
        <w:t>2023</w:t>
      </w:r>
      <w:r w:rsidRPr="00B4339B">
        <w:rPr>
          <w:bCs/>
        </w:rPr>
        <w:t>–</w:t>
      </w:r>
      <w:r w:rsidRPr="00B4339B">
        <w:t>24</w:t>
      </w:r>
      <w:r>
        <w:t>)</w:t>
      </w:r>
      <w:r w:rsidRPr="00B4339B">
        <w:t xml:space="preserve"> CCS Taper </w:t>
      </w:r>
      <w:r w:rsidRPr="00B4339B">
        <w:rPr>
          <w:bCs/>
        </w:rPr>
        <w:t>Rates</w:t>
      </w:r>
    </w:p>
    <w:p w14:paraId="3EC8994B" w14:textId="02B5DC63" w:rsidR="003C268A" w:rsidRDefault="55C61D4F" w:rsidP="008813AE">
      <w:pPr>
        <w:spacing w:line="257" w:lineRule="auto"/>
        <w:ind w:left="-426"/>
      </w:pPr>
      <w:r>
        <w:rPr>
          <w:noProof/>
        </w:rPr>
        <w:drawing>
          <wp:inline distT="0" distB="0" distL="0" distR="0" wp14:anchorId="12DBF889" wp14:editId="6060799D">
            <wp:extent cx="6198283" cy="3848100"/>
            <wp:effectExtent l="0" t="0" r="0" b="0"/>
            <wp:docPr id="1520480480" name="Picture 1520480480" descr="A graph showing the comparison of Current (2022–23) CCS Taper Rates and the New (2023–24) CCS Taper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480480" name="Picture 1520480480" descr="A graph showing the comparison of Current (2022–23) CCS Taper Rates and the New (2023–24) CCS Taper Rates."/>
                    <pic:cNvPicPr/>
                  </pic:nvPicPr>
                  <pic:blipFill>
                    <a:blip r:embed="rId48">
                      <a:extLst>
                        <a:ext uri="{28A0092B-C50C-407E-A947-70E740481C1C}">
                          <a14:useLocalDpi xmlns:a14="http://schemas.microsoft.com/office/drawing/2010/main" val="0"/>
                        </a:ext>
                      </a:extLst>
                    </a:blip>
                    <a:stretch>
                      <a:fillRect/>
                    </a:stretch>
                  </pic:blipFill>
                  <pic:spPr>
                    <a:xfrm>
                      <a:off x="0" y="0"/>
                      <a:ext cx="6198283" cy="3848100"/>
                    </a:xfrm>
                    <a:prstGeom prst="rect">
                      <a:avLst/>
                    </a:prstGeom>
                  </pic:spPr>
                </pic:pic>
              </a:graphicData>
            </a:graphic>
          </wp:inline>
        </w:drawing>
      </w:r>
    </w:p>
    <w:p w14:paraId="30ADB48E" w14:textId="26400C4E" w:rsidR="003C268A" w:rsidRPr="008813AE" w:rsidRDefault="003C268A" w:rsidP="003C268A">
      <w:pPr>
        <w:pStyle w:val="Subbodytext"/>
      </w:pPr>
      <w:r w:rsidRPr="57BC41F3">
        <w:t xml:space="preserve">As part of this package, First Nations children will also be able to access a minimum of 36 subsidised hours per </w:t>
      </w:r>
      <w:r w:rsidRPr="008813AE">
        <w:t xml:space="preserve">fortnight, regardless of their family’s level of activity. The measure aims to encourage new and increased engagement in ECEC for First Nations children, in response to Closing the Gap Target 4 (refer to </w:t>
      </w:r>
      <w:r w:rsidR="00B50AC9">
        <w:rPr>
          <w:b/>
          <w:bCs/>
        </w:rPr>
        <w:t>Section </w:t>
      </w:r>
      <w:r w:rsidRPr="008813AE">
        <w:rPr>
          <w:b/>
          <w:bCs/>
        </w:rPr>
        <w:t>4.</w:t>
      </w:r>
      <w:r w:rsidR="428604DA" w:rsidRPr="008813AE">
        <w:rPr>
          <w:b/>
          <w:bCs/>
        </w:rPr>
        <w:t>4</w:t>
      </w:r>
      <w:r w:rsidRPr="008813AE">
        <w:t>).</w:t>
      </w:r>
    </w:p>
    <w:p w14:paraId="12F46B0E" w14:textId="0B19B3C6" w:rsidR="003C268A" w:rsidRPr="008813AE" w:rsidRDefault="003C268A" w:rsidP="003C268A">
      <w:pPr>
        <w:pStyle w:val="Subbodytext"/>
      </w:pPr>
      <w:r w:rsidRPr="008813AE">
        <w:t xml:space="preserve">The Cheaper Child Care package also reflects the Government’s commitment to improving transparency for families by increasing oversight and accountability of CCS-approved providers. New measures aim to place downward pressure on </w:t>
      </w:r>
      <w:r w:rsidR="00A10924" w:rsidRPr="008813AE">
        <w:t>child c</w:t>
      </w:r>
      <w:r w:rsidR="0021057F" w:rsidRPr="008813AE">
        <w:t>are</w:t>
      </w:r>
      <w:r w:rsidR="00A10924" w:rsidRPr="008813AE">
        <w:t xml:space="preserve"> </w:t>
      </w:r>
      <w:r w:rsidRPr="008813AE">
        <w:t xml:space="preserve">costs, assist families in making an informed decision about where to enrol children in care, and support a fairer </w:t>
      </w:r>
      <w:r w:rsidR="00B30557" w:rsidRPr="008813AE">
        <w:t xml:space="preserve">CCS </w:t>
      </w:r>
      <w:r w:rsidRPr="008813AE">
        <w:t>market. These measures include requiring large providers to report financial information to the department (with certain information able to be made public),</w:t>
      </w:r>
      <w:r w:rsidRPr="008813AE" w:rsidDel="00316DC2">
        <w:t xml:space="preserve"> </w:t>
      </w:r>
      <w:r w:rsidRPr="008813AE">
        <w:t xml:space="preserve">displaying changes in fees over time on </w:t>
      </w:r>
      <w:r w:rsidRPr="008813AE">
        <w:rPr>
          <w:u w:val="single"/>
        </w:rPr>
        <w:t>www.StartingBlocks.gov.au</w:t>
      </w:r>
      <w:r w:rsidRPr="008813AE">
        <w:t>, and banning providers from offering non-educational enrolment inducements to families.</w:t>
      </w:r>
    </w:p>
    <w:p w14:paraId="45BBA5CB" w14:textId="2DB9D61B" w:rsidR="003C268A" w:rsidRDefault="003C268A" w:rsidP="003C268A">
      <w:pPr>
        <w:pStyle w:val="Subbodytext"/>
        <w:rPr>
          <w:rStyle w:val="ui-provider"/>
        </w:rPr>
      </w:pPr>
      <w:r w:rsidRPr="008813AE">
        <w:t xml:space="preserve">Reforms introduced through the Cheaper Child Care </w:t>
      </w:r>
      <w:r w:rsidR="00C927D4" w:rsidRPr="008813AE">
        <w:t xml:space="preserve">package </w:t>
      </w:r>
      <w:r w:rsidRPr="008813AE">
        <w:t>will be safeguarded from fraud and non-compliance by new measures under the $47.7 million CCS Reforms Integrity Package</w:t>
      </w:r>
      <w:r w:rsidR="00152021">
        <w:t>—</w:t>
      </w:r>
      <w:r w:rsidRPr="008813AE">
        <w:t>also announced in the 2022–23 Budget. These measures, which will help achieve $173</w:t>
      </w:r>
      <w:r w:rsidR="00ED55DA" w:rsidRPr="008813AE">
        <w:t> </w:t>
      </w:r>
      <w:r w:rsidRPr="008813AE">
        <w:t xml:space="preserve">million in </w:t>
      </w:r>
      <w:r w:rsidR="00222B5F" w:rsidRPr="008813AE">
        <w:t>net</w:t>
      </w:r>
      <w:r w:rsidRPr="008813AE">
        <w:t xml:space="preserve"> savings over 4 years, include legislative amendments requiring electronic payment of CCS gap fees from 1 July 2023 (with some exceptions)</w:t>
      </w:r>
      <w:r w:rsidRPr="008813AE">
        <w:rPr>
          <w:rStyle w:val="ui-provider"/>
        </w:rPr>
        <w:t>, activities to help providers better understand their regulatory obligations, and work on a digital attendance validation solution to provide real time validation and reporting of child attendance at care</w:t>
      </w:r>
      <w:r w:rsidR="00270F31" w:rsidRPr="008813AE">
        <w:rPr>
          <w:rStyle w:val="ui-provider"/>
        </w:rPr>
        <w:t xml:space="preserve"> (</w:t>
      </w:r>
      <w:r w:rsidR="0072280E">
        <w:rPr>
          <w:rStyle w:val="ui-provider"/>
        </w:rPr>
        <w:t>refer to</w:t>
      </w:r>
      <w:r w:rsidR="00270F31" w:rsidRPr="008813AE">
        <w:rPr>
          <w:rStyle w:val="ui-provider"/>
        </w:rPr>
        <w:t xml:space="preserve"> </w:t>
      </w:r>
      <w:r w:rsidR="00B50AC9">
        <w:rPr>
          <w:rStyle w:val="ui-provider"/>
          <w:b/>
          <w:bCs/>
        </w:rPr>
        <w:t>Section </w:t>
      </w:r>
      <w:r w:rsidR="00270F31" w:rsidRPr="008813AE">
        <w:rPr>
          <w:rStyle w:val="ui-provider"/>
          <w:b/>
          <w:bCs/>
        </w:rPr>
        <w:t xml:space="preserve">4.2 </w:t>
      </w:r>
      <w:r w:rsidR="00270F31" w:rsidRPr="008813AE">
        <w:rPr>
          <w:rStyle w:val="ui-provider"/>
        </w:rPr>
        <w:t>for</w:t>
      </w:r>
      <w:r w:rsidR="00270F31">
        <w:rPr>
          <w:rStyle w:val="ui-provider"/>
        </w:rPr>
        <w:t xml:space="preserve"> additional integrity measures announced </w:t>
      </w:r>
      <w:r w:rsidR="00C645E7">
        <w:rPr>
          <w:rStyle w:val="ui-provider"/>
        </w:rPr>
        <w:t>in</w:t>
      </w:r>
      <w:r w:rsidR="00270F31">
        <w:rPr>
          <w:rStyle w:val="ui-provider"/>
        </w:rPr>
        <w:t xml:space="preserve"> the 2023–24 Budget)</w:t>
      </w:r>
      <w:r w:rsidRPr="09020A33">
        <w:rPr>
          <w:rStyle w:val="ui-provider"/>
        </w:rPr>
        <w:t>.</w:t>
      </w:r>
    </w:p>
    <w:p w14:paraId="4AD42EF1" w14:textId="3BE730A8" w:rsidR="003C268A" w:rsidRDefault="003C268A" w:rsidP="00087EAE">
      <w:pPr>
        <w:pStyle w:val="SubSectionHeading"/>
      </w:pPr>
      <w:bookmarkStart w:id="73" w:name="_Toc133915265"/>
      <w:bookmarkStart w:id="74" w:name="_Toc134023019"/>
      <w:bookmarkStart w:id="75" w:name="_Toc134173424"/>
      <w:bookmarkStart w:id="76" w:name="_Toc135404858"/>
      <w:r>
        <w:t>2023</w:t>
      </w:r>
      <w:r w:rsidR="004C35E9">
        <w:t>–</w:t>
      </w:r>
      <w:r>
        <w:t>24 Budget Measures</w:t>
      </w:r>
      <w:bookmarkEnd w:id="73"/>
      <w:bookmarkEnd w:id="74"/>
      <w:bookmarkEnd w:id="75"/>
      <w:bookmarkEnd w:id="76"/>
    </w:p>
    <w:p w14:paraId="4919B75B" w14:textId="25108F26" w:rsidR="003C268A" w:rsidRPr="000375EE" w:rsidRDefault="003C268A" w:rsidP="003C268A">
      <w:pPr>
        <w:pStyle w:val="Subbodytext"/>
      </w:pPr>
      <w:r w:rsidRPr="000375EE">
        <w:t xml:space="preserve">The Government made further commitments in support of ECEC in the 2023–24 Budget. Through a new ECEC workforce package, the Government has committed </w:t>
      </w:r>
      <w:r w:rsidRPr="00B8171F">
        <w:t>$</w:t>
      </w:r>
      <w:r w:rsidR="001F0C7C" w:rsidRPr="00B8171F">
        <w:t>72.4</w:t>
      </w:r>
      <w:r w:rsidRPr="00B8171F">
        <w:t xml:space="preserve"> million </w:t>
      </w:r>
      <w:r w:rsidR="00277A58" w:rsidRPr="00B00847">
        <w:t>over 5 years from 2022–23 to</w:t>
      </w:r>
      <w:r w:rsidR="00B86B45">
        <w:t xml:space="preserve"> help</w:t>
      </w:r>
      <w:r w:rsidR="00277A58" w:rsidRPr="00B00847">
        <w:t xml:space="preserve"> support the</w:t>
      </w:r>
      <w:r w:rsidR="00000C07">
        <w:t xml:space="preserve"> skills and training </w:t>
      </w:r>
      <w:r w:rsidR="005C28D4">
        <w:t>of</w:t>
      </w:r>
      <w:r w:rsidR="00000C07">
        <w:t xml:space="preserve"> </w:t>
      </w:r>
      <w:r w:rsidR="00CC70C0">
        <w:t>workers in the</w:t>
      </w:r>
      <w:r w:rsidR="00277A58" w:rsidRPr="00B00847">
        <w:t xml:space="preserve"> ECEC sector</w:t>
      </w:r>
      <w:r w:rsidR="007708BA" w:rsidRPr="00B00847">
        <w:t xml:space="preserve">. </w:t>
      </w:r>
      <w:r w:rsidR="0075681C" w:rsidRPr="00B00847">
        <w:t>Funding includes</w:t>
      </w:r>
      <w:r w:rsidRPr="00B8171F">
        <w:t>:</w:t>
      </w:r>
    </w:p>
    <w:p w14:paraId="7A9BF5CC" w14:textId="29C40743" w:rsidR="003C268A" w:rsidRPr="000375EE" w:rsidRDefault="00C34BA8" w:rsidP="00B23060">
      <w:pPr>
        <w:pStyle w:val="SubList"/>
      </w:pPr>
      <w:r>
        <w:t xml:space="preserve">$34.4 million </w:t>
      </w:r>
      <w:r w:rsidR="00080898" w:rsidRPr="00080898">
        <w:t xml:space="preserve">for </w:t>
      </w:r>
      <w:r w:rsidR="003C268A" w:rsidRPr="000375EE">
        <w:t>professional development</w:t>
      </w:r>
      <w:r w:rsidR="00080898" w:rsidRPr="00080898">
        <w:t xml:space="preserve">, by providing a subsidy to enable </w:t>
      </w:r>
      <w:r w:rsidR="00F75A9D">
        <w:t>ECEC</w:t>
      </w:r>
      <w:r w:rsidR="00080898" w:rsidRPr="00080898">
        <w:t xml:space="preserve"> services to backfill </w:t>
      </w:r>
      <w:r w:rsidR="003C268A" w:rsidRPr="000375EE">
        <w:t>educators</w:t>
      </w:r>
      <w:r w:rsidR="00080898" w:rsidRPr="00080898">
        <w:t xml:space="preserve"> who attend</w:t>
      </w:r>
      <w:r w:rsidR="002D2A29">
        <w:t xml:space="preserve"> mandatory </w:t>
      </w:r>
      <w:r w:rsidR="00080898" w:rsidRPr="00080898">
        <w:t>and</w:t>
      </w:r>
      <w:r w:rsidR="002D2A29">
        <w:t xml:space="preserve"> highly recommended training</w:t>
      </w:r>
      <w:r w:rsidR="00080898" w:rsidRPr="00080898">
        <w:t>, with support for up to 75,000 educators</w:t>
      </w:r>
    </w:p>
    <w:p w14:paraId="4C3187D9" w14:textId="4F749AEA" w:rsidR="003C268A" w:rsidRPr="000375EE" w:rsidRDefault="00365EE1" w:rsidP="00B23060">
      <w:pPr>
        <w:pStyle w:val="SubList"/>
      </w:pPr>
      <w:r>
        <w:t xml:space="preserve">$33.1 million to </w:t>
      </w:r>
      <w:r w:rsidR="003C268A" w:rsidRPr="000375EE">
        <w:t xml:space="preserve">support up to 6,000 educators </w:t>
      </w:r>
      <w:r w:rsidR="00646A12" w:rsidRPr="00646A12">
        <w:t>to complete their studies in</w:t>
      </w:r>
      <w:r w:rsidR="003C268A" w:rsidRPr="000375EE">
        <w:t xml:space="preserve"> Initial Teacher Education or post-graduate Early Childhood Teacher qualifications</w:t>
      </w:r>
    </w:p>
    <w:p w14:paraId="233569AC" w14:textId="24C968C8" w:rsidR="003C268A" w:rsidRPr="008813AE" w:rsidRDefault="004275B3" w:rsidP="00B23060">
      <w:pPr>
        <w:pStyle w:val="SubList"/>
      </w:pPr>
      <w:r>
        <w:t xml:space="preserve">$4.8 million </w:t>
      </w:r>
      <w:r w:rsidR="003C268A" w:rsidRPr="000375EE">
        <w:t xml:space="preserve">to connect up to 2,000 students with services to undertake practicum placements and strengthen </w:t>
      </w:r>
      <w:r w:rsidR="003C268A" w:rsidRPr="008813AE">
        <w:t>workforce supply.</w:t>
      </w:r>
    </w:p>
    <w:p w14:paraId="5323BD28" w14:textId="3FBF2338" w:rsidR="003C268A" w:rsidRPr="000375EE" w:rsidRDefault="003C268A" w:rsidP="003C268A">
      <w:pPr>
        <w:pStyle w:val="Subbodytext"/>
      </w:pPr>
      <w:r w:rsidRPr="008813AE">
        <w:t>The Government is investing $2.</w:t>
      </w:r>
      <w:r w:rsidR="0042578F" w:rsidRPr="008813AE">
        <w:t>8</w:t>
      </w:r>
      <w:r w:rsidRPr="008813AE">
        <w:t xml:space="preserve"> million </w:t>
      </w:r>
      <w:r w:rsidR="00240A67" w:rsidRPr="008813AE">
        <w:t>over 4 years from 2023–24</w:t>
      </w:r>
      <w:r w:rsidRPr="008813AE">
        <w:t xml:space="preserve"> to simplify and streamline the application process to access ACCS (child wellbeing) (refer to </w:t>
      </w:r>
      <w:r w:rsidR="00B50AC9">
        <w:rPr>
          <w:b/>
        </w:rPr>
        <w:t>Section </w:t>
      </w:r>
      <w:r w:rsidRPr="008813AE">
        <w:rPr>
          <w:b/>
        </w:rPr>
        <w:t>3.2</w:t>
      </w:r>
      <w:r w:rsidRPr="008813AE">
        <w:t>). This measure</w:t>
      </w:r>
      <w:r w:rsidR="09EB10AE" w:rsidRPr="008813AE">
        <w:t>, due to commence in October 2023,</w:t>
      </w:r>
      <w:r w:rsidRPr="008813AE">
        <w:t xml:space="preserve"> will reduce government red tape by consolidating</w:t>
      </w:r>
      <w:r w:rsidRPr="000375EE">
        <w:t xml:space="preserve"> all delivery of the subsidy with Services Australia, and ensures that vulnerable or at</w:t>
      </w:r>
      <w:r w:rsidR="00D47860">
        <w:noBreakHyphen/>
      </w:r>
      <w:r w:rsidRPr="000375EE">
        <w:t>risk children can get quicker access to essential ECEC services by reducing double hand</w:t>
      </w:r>
      <w:r w:rsidR="00ED01E1">
        <w:t>l</w:t>
      </w:r>
      <w:r w:rsidRPr="000375EE">
        <w:t>ing of applications. It will also expand the circumstances in which providers can seek extended backdating for the subsidy.</w:t>
      </w:r>
    </w:p>
    <w:p w14:paraId="1D1C80EC" w14:textId="12EC27E6" w:rsidR="003C268A" w:rsidRPr="000375EE" w:rsidRDefault="00E51A47" w:rsidP="004517C2">
      <w:r>
        <w:t>The i</w:t>
      </w:r>
      <w:r w:rsidR="003C268A" w:rsidRPr="000375EE">
        <w:t>ntegrity of Australia’s ECEC system will also be strengthened with additional resources to help reinforce and safeguard Government investment in CCS by minimising non-compliance and fraud.</w:t>
      </w:r>
      <w:r w:rsidR="009F07CD">
        <w:t xml:space="preserve"> </w:t>
      </w:r>
      <w:r w:rsidR="00AF51E9" w:rsidRPr="00AF51E9">
        <w:t>The Department of Education will receive $13.3 million over 4 years from 2023</w:t>
      </w:r>
      <w:r w:rsidR="00CB24CF" w:rsidRPr="00240A67">
        <w:t>–</w:t>
      </w:r>
      <w:r w:rsidR="00AF51E9" w:rsidRPr="00AF51E9">
        <w:t>24 to support a range of activities that will further reduce fraudulent or non-compliant CCS claims,</w:t>
      </w:r>
      <w:r w:rsidR="00152021">
        <w:t xml:space="preserve"> including $5.3 million to support </w:t>
      </w:r>
      <w:r w:rsidR="00AF51E9" w:rsidRPr="00AF51E9">
        <w:t>Services Australia</w:t>
      </w:r>
      <w:r w:rsidR="00152021">
        <w:t>’s</w:t>
      </w:r>
      <w:r w:rsidR="00AF51E9" w:rsidRPr="00AF51E9">
        <w:t xml:space="preserve"> digital forensics capability.</w:t>
      </w:r>
      <w:r w:rsidR="00AF51E9">
        <w:t xml:space="preserve"> </w:t>
      </w:r>
      <w:r w:rsidR="0045770D">
        <w:t>These</w:t>
      </w:r>
      <w:r w:rsidR="005067CE">
        <w:t xml:space="preserve"> activities will achieve </w:t>
      </w:r>
      <w:r w:rsidR="00BA4831">
        <w:t xml:space="preserve">net savings of $139.4 million over </w:t>
      </w:r>
      <w:r w:rsidR="00701C2F">
        <w:t xml:space="preserve">4 </w:t>
      </w:r>
      <w:r w:rsidR="00BA4831">
        <w:t>years from 2023</w:t>
      </w:r>
      <w:r w:rsidR="00C36ACC" w:rsidRPr="00240A67">
        <w:t>–</w:t>
      </w:r>
      <w:r w:rsidR="00C36ACC">
        <w:t>24</w:t>
      </w:r>
      <w:r w:rsidR="00B46ADC">
        <w:t>.</w:t>
      </w:r>
    </w:p>
    <w:p w14:paraId="4686B63A" w14:textId="77777777" w:rsidR="00DC748D" w:rsidRDefault="00DC748D">
      <w:pPr>
        <w:spacing w:after="160"/>
        <w:rPr>
          <w:rFonts w:asciiTheme="majorHAnsi" w:eastAsiaTheme="majorEastAsia" w:hAnsiTheme="majorHAnsi" w:cstheme="majorBidi"/>
          <w:b/>
          <w:color w:val="008599" w:themeColor="accent1"/>
          <w:sz w:val="32"/>
          <w:szCs w:val="24"/>
        </w:rPr>
      </w:pPr>
      <w:bookmarkStart w:id="77" w:name="_Toc133915266"/>
      <w:bookmarkStart w:id="78" w:name="_Toc134023020"/>
      <w:bookmarkStart w:id="79" w:name="_Toc134173425"/>
      <w:bookmarkStart w:id="80" w:name="_Toc132727700"/>
      <w:r>
        <w:br w:type="page"/>
      </w:r>
    </w:p>
    <w:p w14:paraId="698AABF5" w14:textId="071833C5" w:rsidR="003C268A" w:rsidRDefault="003C268A" w:rsidP="00087EAE">
      <w:pPr>
        <w:pStyle w:val="SubSectionHeading"/>
      </w:pPr>
      <w:bookmarkStart w:id="81" w:name="_Toc135404859"/>
      <w:r>
        <w:t>Australian Competition and Consumer Commission Price Inquiry</w:t>
      </w:r>
      <w:bookmarkEnd w:id="77"/>
      <w:bookmarkEnd w:id="78"/>
      <w:bookmarkEnd w:id="79"/>
      <w:bookmarkEnd w:id="81"/>
    </w:p>
    <w:p w14:paraId="07F3C820" w14:textId="08C3549D" w:rsidR="003C268A" w:rsidRDefault="003C268A" w:rsidP="003C268A">
      <w:pPr>
        <w:pStyle w:val="Subbodytext"/>
        <w:rPr>
          <w:rFonts w:ascii="Calibri" w:eastAsia="Calibri" w:hAnsi="Calibri" w:cs="Calibri"/>
        </w:rPr>
      </w:pPr>
      <w:r w:rsidRPr="2DB22523">
        <w:rPr>
          <w:rFonts w:ascii="Calibri" w:eastAsia="Calibri" w:hAnsi="Calibri" w:cs="Calibri"/>
        </w:rPr>
        <w:t xml:space="preserve">On 28 October 2022, </w:t>
      </w:r>
      <w:r>
        <w:t xml:space="preserve">the Treasurer, the Hon </w:t>
      </w:r>
      <w:r w:rsidR="00ED1975">
        <w:t xml:space="preserve">Dr </w:t>
      </w:r>
      <w:r>
        <w:t>Jim Chalmers MP,</w:t>
      </w:r>
      <w:r w:rsidR="00A635E6">
        <w:t xml:space="preserve"> directed </w:t>
      </w:r>
      <w:r w:rsidR="00A635E6" w:rsidRPr="2DB22523">
        <w:rPr>
          <w:rFonts w:ascii="Calibri" w:eastAsia="Calibri" w:hAnsi="Calibri" w:cs="Calibri"/>
        </w:rPr>
        <w:t>the ACCC</w:t>
      </w:r>
      <w:r>
        <w:t xml:space="preserve"> to conduct a price inquiry into the market for ECEC services. The ACCC price inquiry is cur</w:t>
      </w:r>
      <w:r w:rsidRPr="2DB22523">
        <w:rPr>
          <w:rFonts w:ascii="Calibri" w:eastAsia="Calibri" w:hAnsi="Calibri" w:cs="Calibri"/>
        </w:rPr>
        <w:t>rently underway and is investigating the drivers of ECEC costs and the impact of these costs on child</w:t>
      </w:r>
      <w:r w:rsidR="00ED1975">
        <w:rPr>
          <w:rFonts w:ascii="Calibri" w:eastAsia="Calibri" w:hAnsi="Calibri" w:cs="Calibri"/>
        </w:rPr>
        <w:t xml:space="preserve"> </w:t>
      </w:r>
      <w:r w:rsidRPr="2DB22523">
        <w:rPr>
          <w:rFonts w:ascii="Calibri" w:eastAsia="Calibri" w:hAnsi="Calibri" w:cs="Calibri"/>
        </w:rPr>
        <w:t>care provider viability, quality, and profits.</w:t>
      </w:r>
    </w:p>
    <w:p w14:paraId="6DD01C65" w14:textId="7204F594" w:rsidR="00BC64F2" w:rsidRDefault="003C268A" w:rsidP="00BC64F2">
      <w:pPr>
        <w:pStyle w:val="Subbodytext"/>
        <w:rPr>
          <w:rFonts w:ascii="Calibri" w:eastAsia="Calibri" w:hAnsi="Calibri" w:cs="Calibri"/>
        </w:rPr>
      </w:pPr>
      <w:r w:rsidRPr="6DDD5F9E">
        <w:rPr>
          <w:rFonts w:ascii="Calibri" w:eastAsia="Calibri" w:hAnsi="Calibri" w:cs="Calibri"/>
        </w:rPr>
        <w:t>The price inquiry is also examining ECEC operating costs, including employees’ wages and property costs, the level of competition in the ECEC market, supply and demand, prices charged to families</w:t>
      </w:r>
      <w:r w:rsidR="009B5DBB">
        <w:rPr>
          <w:rFonts w:ascii="Calibri" w:eastAsia="Calibri" w:hAnsi="Calibri" w:cs="Calibri"/>
        </w:rPr>
        <w:t>,</w:t>
      </w:r>
      <w:r w:rsidRPr="6DDD5F9E">
        <w:rPr>
          <w:rFonts w:ascii="Calibri" w:eastAsia="Calibri" w:hAnsi="Calibri" w:cs="Calibri"/>
        </w:rPr>
        <w:t xml:space="preserve"> and the impacts of changes in government policy. It is also considering how ECEC costs and prices differ by geographic location, </w:t>
      </w:r>
      <w:r w:rsidR="00931AF7">
        <w:rPr>
          <w:rFonts w:ascii="Calibri" w:eastAsia="Calibri" w:hAnsi="Calibri" w:cs="Calibri"/>
        </w:rPr>
        <w:t>provider</w:t>
      </w:r>
      <w:r w:rsidR="00931AF7" w:rsidRPr="6DDD5F9E">
        <w:rPr>
          <w:rFonts w:ascii="Calibri" w:eastAsia="Calibri" w:hAnsi="Calibri" w:cs="Calibri"/>
        </w:rPr>
        <w:t xml:space="preserve"> </w:t>
      </w:r>
      <w:r w:rsidRPr="6DDD5F9E">
        <w:rPr>
          <w:rFonts w:ascii="Calibri" w:eastAsia="Calibri" w:hAnsi="Calibri" w:cs="Calibri"/>
        </w:rPr>
        <w:t>size, types of operators, and care types.</w:t>
      </w:r>
    </w:p>
    <w:p w14:paraId="39F7BB8A" w14:textId="65674E59" w:rsidR="00792AA0" w:rsidRDefault="00792AA0" w:rsidP="00BC64F2">
      <w:pPr>
        <w:pStyle w:val="Subbodytext"/>
        <w:rPr>
          <w:rFonts w:ascii="Calibri" w:eastAsia="Times New Roman" w:hAnsi="Calibri" w:cs="Calibri"/>
          <w:lang w:eastAsia="en-AU"/>
        </w:rPr>
      </w:pPr>
      <w:r w:rsidRPr="6DDD5F9E">
        <w:rPr>
          <w:rFonts w:ascii="Calibri" w:eastAsia="Calibri" w:hAnsi="Calibri" w:cs="Calibri"/>
        </w:rPr>
        <w:t>The ACCC will also examine the prices charged since 2018 and how these have changed following changes in child care policy settings.</w:t>
      </w:r>
      <w:r w:rsidRPr="00BC64F2">
        <w:rPr>
          <w:rFonts w:eastAsia="Times New Roman"/>
          <w:b/>
          <w:lang w:eastAsia="en-AU"/>
        </w:rPr>
        <w:t xml:space="preserve"> </w:t>
      </w:r>
      <w:r w:rsidRPr="008813AE">
        <w:rPr>
          <w:rFonts w:eastAsia="Times New Roman"/>
          <w:b/>
          <w:lang w:eastAsia="en-AU"/>
        </w:rPr>
        <w:t xml:space="preserve">Figure </w:t>
      </w:r>
      <w:r w:rsidRPr="008813AE">
        <w:rPr>
          <w:rFonts w:eastAsia="Times New Roman"/>
          <w:b/>
          <w:bCs/>
          <w:lang w:eastAsia="en-AU"/>
        </w:rPr>
        <w:t>1</w:t>
      </w:r>
      <w:r>
        <w:rPr>
          <w:rFonts w:eastAsia="Times New Roman"/>
          <w:b/>
          <w:bCs/>
          <w:lang w:eastAsia="en-AU"/>
        </w:rPr>
        <w:t>4</w:t>
      </w:r>
      <w:r w:rsidRPr="008813AE">
        <w:rPr>
          <w:rFonts w:eastAsia="Times New Roman"/>
          <w:b/>
          <w:bCs/>
          <w:lang w:eastAsia="en-AU"/>
        </w:rPr>
        <w:t xml:space="preserve"> </w:t>
      </w:r>
      <w:r w:rsidRPr="008813AE">
        <w:rPr>
          <w:rFonts w:eastAsia="Times New Roman"/>
          <w:lang w:eastAsia="en-AU"/>
        </w:rPr>
        <w:t>details</w:t>
      </w:r>
      <w:r w:rsidRPr="30559287">
        <w:rPr>
          <w:rFonts w:eastAsia="Times New Roman"/>
          <w:lang w:eastAsia="en-AU"/>
        </w:rPr>
        <w:t xml:space="preserve"> the matters that the ACCC must consider as part of </w:t>
      </w:r>
      <w:r>
        <w:rPr>
          <w:rFonts w:eastAsia="Times New Roman"/>
          <w:lang w:eastAsia="en-AU"/>
        </w:rPr>
        <w:t>its</w:t>
      </w:r>
      <w:r w:rsidRPr="30559287">
        <w:rPr>
          <w:rFonts w:eastAsia="Times New Roman"/>
          <w:lang w:eastAsia="en-AU"/>
        </w:rPr>
        <w:t xml:space="preserve"> inquiry.</w:t>
      </w:r>
    </w:p>
    <w:p w14:paraId="1803F1E0" w14:textId="1C4996E2" w:rsidR="0079003C" w:rsidRDefault="0079003C" w:rsidP="0079003C">
      <w:pPr>
        <w:pStyle w:val="Caption"/>
        <w:keepNext/>
        <w:keepLines/>
      </w:pPr>
      <w:r>
        <w:t xml:space="preserve">Figure </w:t>
      </w:r>
      <w:r>
        <w:fldChar w:fldCharType="begin"/>
      </w:r>
      <w:r>
        <w:instrText>SEQ Figure \* ARABIC</w:instrText>
      </w:r>
      <w:r>
        <w:fldChar w:fldCharType="separate"/>
      </w:r>
      <w:r w:rsidR="00D307AC">
        <w:rPr>
          <w:noProof/>
        </w:rPr>
        <w:t>14</w:t>
      </w:r>
      <w:r>
        <w:fldChar w:fldCharType="end"/>
      </w:r>
      <w:r>
        <w:t>:</w:t>
      </w:r>
      <w:r w:rsidRPr="0063745D">
        <w:t xml:space="preserve"> </w:t>
      </w:r>
      <w:r>
        <w:t>Matters to be Taken into Consideration in the ACCC Inquiry</w:t>
      </w:r>
    </w:p>
    <w:p w14:paraId="523A1D58" w14:textId="3E601842" w:rsidR="00DC748D" w:rsidRDefault="00691A6C" w:rsidP="00C927D4">
      <w:pPr>
        <w:pStyle w:val="Subbodytext"/>
        <w:rPr>
          <w:rFonts w:ascii="Calibri" w:eastAsia="Calibri" w:hAnsi="Calibri" w:cs="Calibri"/>
        </w:rPr>
      </w:pPr>
      <w:r w:rsidRPr="00691A6C">
        <w:rPr>
          <w:noProof/>
        </w:rPr>
        <w:drawing>
          <wp:inline distT="0" distB="0" distL="0" distR="0" wp14:anchorId="4ED8362E" wp14:editId="6D1E91C6">
            <wp:extent cx="5730178" cy="4627659"/>
            <wp:effectExtent l="0" t="0" r="4445" b="0"/>
            <wp:docPr id="8" name="Picture 8" descr="A figure outlining Matters to be Taken into Consideration in the ACCC Inqu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figure outlining Matters to be Taken into Consideration in the ACCC Inquiry"/>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5368"/>
                    <a:stretch/>
                  </pic:blipFill>
                  <pic:spPr bwMode="auto">
                    <a:xfrm>
                      <a:off x="0" y="0"/>
                      <a:ext cx="5730875" cy="4628222"/>
                    </a:xfrm>
                    <a:prstGeom prst="rect">
                      <a:avLst/>
                    </a:prstGeom>
                    <a:noFill/>
                    <a:ln>
                      <a:noFill/>
                    </a:ln>
                    <a:extLst>
                      <a:ext uri="{53640926-AAD7-44D8-BBD7-CCE9431645EC}">
                        <a14:shadowObscured xmlns:a14="http://schemas.microsoft.com/office/drawing/2010/main"/>
                      </a:ext>
                    </a:extLst>
                  </pic:spPr>
                </pic:pic>
              </a:graphicData>
            </a:graphic>
          </wp:inline>
        </w:drawing>
      </w:r>
      <w:r w:rsidR="003C268A" w:rsidRPr="2DB22523">
        <w:rPr>
          <w:rFonts w:ascii="Calibri" w:eastAsia="Calibri" w:hAnsi="Calibri" w:cs="Calibri"/>
        </w:rPr>
        <w:t xml:space="preserve">The ACCC will deliver its interim report to the Government by 30 June 2023 and a final report by </w:t>
      </w:r>
      <w:r w:rsidR="003C268A">
        <w:br/>
      </w:r>
      <w:r w:rsidR="003C268A" w:rsidRPr="2DB22523">
        <w:rPr>
          <w:rFonts w:ascii="Calibri" w:eastAsia="Calibri" w:hAnsi="Calibri" w:cs="Calibri"/>
        </w:rPr>
        <w:t>31 December 2023.</w:t>
      </w:r>
      <w:bookmarkStart w:id="82" w:name="_Toc133915268"/>
      <w:bookmarkStart w:id="83" w:name="_Toc132727701"/>
      <w:bookmarkStart w:id="84" w:name="_Toc134023022"/>
      <w:bookmarkStart w:id="85" w:name="_Toc134173427"/>
      <w:bookmarkEnd w:id="80"/>
    </w:p>
    <w:p w14:paraId="078F68EF" w14:textId="77777777" w:rsidR="00DC748D" w:rsidRDefault="00DC748D">
      <w:pPr>
        <w:spacing w:after="160"/>
        <w:rPr>
          <w:rFonts w:ascii="Calibri" w:eastAsia="Calibri" w:hAnsi="Calibri" w:cs="Calibri"/>
        </w:rPr>
      </w:pPr>
      <w:r>
        <w:rPr>
          <w:rFonts w:ascii="Calibri" w:eastAsia="Calibri" w:hAnsi="Calibri" w:cs="Calibri"/>
        </w:rPr>
        <w:br w:type="page"/>
      </w:r>
    </w:p>
    <w:p w14:paraId="32F9E662" w14:textId="77777777" w:rsidR="003C268A" w:rsidRPr="00D741F7" w:rsidRDefault="003C268A" w:rsidP="00087EAE">
      <w:pPr>
        <w:pStyle w:val="SubSectionHeading"/>
      </w:pPr>
      <w:bookmarkStart w:id="86" w:name="_Toc135404860"/>
      <w:r>
        <w:t>Closing the Gap–Commonwealth Focus Areas</w:t>
      </w:r>
      <w:bookmarkEnd w:id="82"/>
      <w:bookmarkEnd w:id="83"/>
      <w:bookmarkEnd w:id="84"/>
      <w:bookmarkEnd w:id="85"/>
      <w:bookmarkEnd w:id="86"/>
    </w:p>
    <w:p w14:paraId="38081D36" w14:textId="5D3E6927" w:rsidR="003C268A" w:rsidRDefault="003C268A" w:rsidP="003C268A">
      <w:pPr>
        <w:pStyle w:val="Subbodytext"/>
        <w:rPr>
          <w:lang w:val="en-US"/>
        </w:rPr>
      </w:pPr>
      <w:r>
        <w:rPr>
          <w:lang w:val="en-US"/>
        </w:rPr>
        <w:t xml:space="preserve">The department is collaborating with state and territory governments and the ECEC sector to support 2 of the socio-economic targets </w:t>
      </w:r>
      <w:r>
        <w:rPr>
          <w:rFonts w:cstheme="minorHAnsi"/>
        </w:rPr>
        <w:t>u</w:t>
      </w:r>
      <w:r w:rsidRPr="00D6067A">
        <w:rPr>
          <w:rFonts w:cstheme="minorHAnsi"/>
        </w:rPr>
        <w:t xml:space="preserve">nder </w:t>
      </w:r>
      <w:r>
        <w:rPr>
          <w:rFonts w:cstheme="minorHAnsi"/>
        </w:rPr>
        <w:t xml:space="preserve">the </w:t>
      </w:r>
      <w:r>
        <w:rPr>
          <w:lang w:val="en-US"/>
        </w:rPr>
        <w:t>N</w:t>
      </w:r>
      <w:r w:rsidRPr="00D741F7">
        <w:rPr>
          <w:lang w:val="en-US"/>
        </w:rPr>
        <w:t>ational Agreement on Closing the Gap</w:t>
      </w:r>
      <w:r>
        <w:rPr>
          <w:lang w:val="en-US"/>
        </w:rPr>
        <w:t>.</w:t>
      </w:r>
    </w:p>
    <w:p w14:paraId="2A5571C4" w14:textId="4891B367" w:rsidR="003C268A" w:rsidRDefault="003C268A" w:rsidP="00B23060">
      <w:pPr>
        <w:pStyle w:val="SubList"/>
        <w:rPr>
          <w:lang w:val="en-US"/>
        </w:rPr>
      </w:pPr>
      <w:r w:rsidRPr="007A5BBC">
        <w:rPr>
          <w:lang w:val="en-US"/>
        </w:rPr>
        <w:t>Target 3:</w:t>
      </w:r>
      <w:r>
        <w:rPr>
          <w:lang w:val="en-US"/>
        </w:rPr>
        <w:t xml:space="preserve"> I</w:t>
      </w:r>
      <w:r w:rsidRPr="003B3826">
        <w:rPr>
          <w:lang w:val="en-US"/>
        </w:rPr>
        <w:t>ncrease the proportion of First Nations children enrolled in Year Before Full</w:t>
      </w:r>
      <w:r>
        <w:rPr>
          <w:lang w:val="en-US"/>
        </w:rPr>
        <w:t>-</w:t>
      </w:r>
      <w:r w:rsidRPr="003B3826">
        <w:rPr>
          <w:lang w:val="en-US"/>
        </w:rPr>
        <w:t>time School early childhood education to 95</w:t>
      </w:r>
      <w:r w:rsidR="00346148">
        <w:rPr>
          <w:lang w:val="en-US"/>
        </w:rPr>
        <w:t> per cent</w:t>
      </w:r>
      <w:r w:rsidRPr="003B3826">
        <w:rPr>
          <w:lang w:val="en-US"/>
        </w:rPr>
        <w:t xml:space="preserve"> by 2025</w:t>
      </w:r>
      <w:r>
        <w:rPr>
          <w:rStyle w:val="FootnoteReference"/>
          <w:rFonts w:ascii="Calibri" w:eastAsia="Calibri" w:hAnsi="Calibri" w:cs="Calibri"/>
          <w:lang w:val="en-US"/>
        </w:rPr>
        <w:footnoteReference w:id="32"/>
      </w:r>
    </w:p>
    <w:p w14:paraId="2AFA3B2E" w14:textId="262BE077" w:rsidR="003C268A" w:rsidRPr="008813AE" w:rsidRDefault="003C268A" w:rsidP="00B23060">
      <w:pPr>
        <w:pStyle w:val="SubList"/>
        <w:rPr>
          <w:lang w:val="en-US"/>
        </w:rPr>
      </w:pPr>
      <w:r w:rsidRPr="00BE1157">
        <w:rPr>
          <w:lang w:val="en-US"/>
        </w:rPr>
        <w:t xml:space="preserve">Target 4: </w:t>
      </w:r>
      <w:r w:rsidRPr="003B3826">
        <w:rPr>
          <w:lang w:val="en-US"/>
        </w:rPr>
        <w:t xml:space="preserve">Increase the proportion of First Nations children assessed as developmentally on track </w:t>
      </w:r>
      <w:r w:rsidR="00DB5CBD">
        <w:rPr>
          <w:lang w:val="en-US"/>
        </w:rPr>
        <w:t>i</w:t>
      </w:r>
      <w:r w:rsidRPr="003B3826">
        <w:rPr>
          <w:lang w:val="en-US"/>
        </w:rPr>
        <w:t xml:space="preserve">n all 5 </w:t>
      </w:r>
      <w:r w:rsidRPr="008813AE">
        <w:rPr>
          <w:lang w:val="en-US"/>
        </w:rPr>
        <w:t>domains of the Australian Early Development Census to 55</w:t>
      </w:r>
      <w:r w:rsidR="00346148">
        <w:rPr>
          <w:lang w:val="en-US"/>
        </w:rPr>
        <w:t> per cent</w:t>
      </w:r>
      <w:r w:rsidRPr="008813AE">
        <w:rPr>
          <w:lang w:val="en-US"/>
        </w:rPr>
        <w:t xml:space="preserve"> by 2031.</w:t>
      </w:r>
      <w:r w:rsidRPr="008813AE">
        <w:rPr>
          <w:vertAlign w:val="superscript"/>
        </w:rPr>
        <w:footnoteReference w:id="33"/>
      </w:r>
    </w:p>
    <w:p w14:paraId="5A7234E8" w14:textId="708B7C3B" w:rsidR="00B051B3" w:rsidRDefault="003C268A" w:rsidP="00B051B3">
      <w:pPr>
        <w:pStyle w:val="Caption"/>
        <w:rPr>
          <w:b w:val="0"/>
          <w:bCs/>
        </w:rPr>
      </w:pPr>
      <w:r w:rsidRPr="008813AE">
        <w:rPr>
          <w:b w:val="0"/>
          <w:bCs/>
          <w:color w:val="auto"/>
        </w:rPr>
        <w:t xml:space="preserve">Several Government initiatives contribute towards achieving Targets 3 and 4, including the Early Years Strategy (refer to </w:t>
      </w:r>
      <w:r w:rsidR="00B50AC9">
        <w:rPr>
          <w:color w:val="auto"/>
        </w:rPr>
        <w:t>Section </w:t>
      </w:r>
      <w:r w:rsidRPr="008813AE">
        <w:rPr>
          <w:color w:val="auto"/>
        </w:rPr>
        <w:t>4.</w:t>
      </w:r>
      <w:r w:rsidR="006664A4" w:rsidRPr="008813AE">
        <w:rPr>
          <w:color w:val="auto"/>
        </w:rPr>
        <w:t>6</w:t>
      </w:r>
      <w:r w:rsidRPr="008813AE">
        <w:rPr>
          <w:b w:val="0"/>
          <w:bCs/>
          <w:color w:val="auto"/>
        </w:rPr>
        <w:t xml:space="preserve">), the Preschool Reform Agreement (refer to </w:t>
      </w:r>
      <w:r w:rsidR="00B50AC9">
        <w:rPr>
          <w:color w:val="auto"/>
        </w:rPr>
        <w:t>Section </w:t>
      </w:r>
      <w:r w:rsidRPr="008813AE">
        <w:rPr>
          <w:color w:val="auto"/>
        </w:rPr>
        <w:t>3.4</w:t>
      </w:r>
      <w:r w:rsidRPr="008813AE">
        <w:rPr>
          <w:b w:val="0"/>
          <w:bCs/>
          <w:color w:val="auto"/>
        </w:rPr>
        <w:t xml:space="preserve">), changes to the activity test for First Nations families (refer to </w:t>
      </w:r>
      <w:r w:rsidR="00B50AC9">
        <w:rPr>
          <w:color w:val="auto"/>
        </w:rPr>
        <w:t>Section </w:t>
      </w:r>
      <w:r w:rsidRPr="008813AE">
        <w:rPr>
          <w:color w:val="auto"/>
        </w:rPr>
        <w:t>4.1</w:t>
      </w:r>
      <w:r w:rsidRPr="008813AE">
        <w:rPr>
          <w:b w:val="0"/>
          <w:bCs/>
          <w:color w:val="auto"/>
        </w:rPr>
        <w:t>), and those outlined in</w:t>
      </w:r>
      <w:r w:rsidR="00B051B3" w:rsidRPr="008813AE">
        <w:rPr>
          <w:color w:val="auto"/>
          <w:lang w:val="en-US"/>
        </w:rPr>
        <w:t xml:space="preserve"> </w:t>
      </w:r>
      <w:r w:rsidR="00B051B3" w:rsidRPr="007316D7">
        <w:rPr>
          <w:color w:val="auto"/>
        </w:rPr>
        <w:t>F</w:t>
      </w:r>
      <w:r w:rsidRPr="007316D7">
        <w:rPr>
          <w:color w:val="auto"/>
        </w:rPr>
        <w:t xml:space="preserve">igure </w:t>
      </w:r>
      <w:r w:rsidR="00D47860" w:rsidRPr="007316D7">
        <w:rPr>
          <w:color w:val="auto"/>
        </w:rPr>
        <w:t>1</w:t>
      </w:r>
      <w:r w:rsidR="00C85851" w:rsidRPr="007316D7">
        <w:rPr>
          <w:color w:val="auto"/>
        </w:rPr>
        <w:t>5</w:t>
      </w:r>
      <w:r w:rsidRPr="008813AE">
        <w:rPr>
          <w:b w:val="0"/>
          <w:bCs/>
        </w:rPr>
        <w:t>.</w:t>
      </w:r>
    </w:p>
    <w:p w14:paraId="62DA0BF3" w14:textId="77777777" w:rsidR="00BC33BD" w:rsidRPr="00BC33BD" w:rsidRDefault="00BC33BD" w:rsidP="00BC33BD"/>
    <w:p w14:paraId="03F77012" w14:textId="7FBAEBB9" w:rsidR="003C268A" w:rsidRPr="00F02C72" w:rsidRDefault="00D47860" w:rsidP="00995395">
      <w:pPr>
        <w:pStyle w:val="Caption"/>
        <w:keepNext/>
        <w:rPr>
          <w:lang w:val="en-US"/>
        </w:rPr>
      </w:pPr>
      <w:r>
        <w:t>Fig</w:t>
      </w:r>
      <w:r>
        <w:rPr>
          <w:noProof/>
        </w:rPr>
        <w:t>ure</w:t>
      </w:r>
      <w:r>
        <w:t xml:space="preserve"> </w:t>
      </w:r>
      <w:r>
        <w:fldChar w:fldCharType="begin"/>
      </w:r>
      <w:r>
        <w:instrText>SEQ Figure \* ARABIC</w:instrText>
      </w:r>
      <w:r>
        <w:fldChar w:fldCharType="separate"/>
      </w:r>
      <w:r w:rsidR="00D307AC">
        <w:rPr>
          <w:noProof/>
        </w:rPr>
        <w:t>15</w:t>
      </w:r>
      <w:r>
        <w:fldChar w:fldCharType="end"/>
      </w:r>
      <w:r>
        <w:t>:</w:t>
      </w:r>
      <w:r w:rsidRPr="00D47860">
        <w:t xml:space="preserve"> </w:t>
      </w:r>
      <w:r>
        <w:t>Australian Government Initiatives Contributing Towards Closing the Gap Targets 3 and 4</w:t>
      </w:r>
    </w:p>
    <w:p w14:paraId="5A8F8E5F" w14:textId="43C83D15" w:rsidR="00777D98" w:rsidRPr="00777D98" w:rsidRDefault="00C2675C" w:rsidP="00777D98">
      <w:pPr>
        <w:rPr>
          <w:lang w:val="en-US"/>
        </w:rPr>
      </w:pPr>
      <w:r>
        <w:rPr>
          <w:noProof/>
          <w:lang w:val="en-US"/>
        </w:rPr>
        <w:drawing>
          <wp:inline distT="0" distB="0" distL="0" distR="0" wp14:anchorId="5A8A1BC4" wp14:editId="17AD015B">
            <wp:extent cx="5732890" cy="8124480"/>
            <wp:effectExtent l="0" t="0" r="0" b="0"/>
            <wp:docPr id="6" name="Picture 6" descr="a diagram outlining Australian Government Initiatives contributing towards Closing the Gap Targets 3 and 4. these include the early childhood care and development policy partnership, Connected beginnings, Community child care fund restricted grant program, Intensive ECEC model trial, and the Early learning teaching pil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utlining Australian Government Initiatives contributing towards Closing the Gap Targets 3 and 4. these include the early childhood care and development policy partnership, Connected beginnings, Community child care fund restricted grant program, Intensive ECEC model trial, and the Early learning teaching pilot. "/>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5775926" cy="8185469"/>
                    </a:xfrm>
                    <a:prstGeom prst="rect">
                      <a:avLst/>
                    </a:prstGeom>
                    <a:noFill/>
                    <a:ln>
                      <a:noFill/>
                    </a:ln>
                    <a:extLst>
                      <a:ext uri="{53640926-AAD7-44D8-BBD7-CCE9431645EC}">
                        <a14:shadowObscured xmlns:a14="http://schemas.microsoft.com/office/drawing/2010/main"/>
                      </a:ext>
                    </a:extLst>
                  </pic:spPr>
                </pic:pic>
              </a:graphicData>
            </a:graphic>
          </wp:inline>
        </w:drawing>
      </w:r>
    </w:p>
    <w:p w14:paraId="46931591" w14:textId="02681E62" w:rsidR="003C268A" w:rsidRPr="009D6D8B" w:rsidRDefault="003C268A" w:rsidP="00087EAE">
      <w:pPr>
        <w:pStyle w:val="SubSectionHeading"/>
      </w:pPr>
      <w:bookmarkStart w:id="87" w:name="_Toc132727705"/>
      <w:bookmarkStart w:id="88" w:name="_Toc133915269"/>
      <w:bookmarkStart w:id="89" w:name="_Toc134023023"/>
      <w:bookmarkStart w:id="90" w:name="_Toc134173428"/>
      <w:bookmarkStart w:id="91" w:name="_Toc135404861"/>
      <w:r>
        <w:t>N</w:t>
      </w:r>
      <w:r w:rsidRPr="009D6D8B">
        <w:t>ational Vision</w:t>
      </w:r>
      <w:bookmarkEnd w:id="87"/>
      <w:bookmarkEnd w:id="88"/>
      <w:bookmarkEnd w:id="89"/>
      <w:bookmarkEnd w:id="90"/>
      <w:bookmarkEnd w:id="91"/>
    </w:p>
    <w:p w14:paraId="13AF29E7" w14:textId="6E8DF371" w:rsidR="003C268A" w:rsidRPr="000C4A5F" w:rsidRDefault="003C268A" w:rsidP="003C268A">
      <w:pPr>
        <w:pStyle w:val="Subbodytext"/>
        <w:keepNext/>
      </w:pPr>
      <w:r>
        <w:t xml:space="preserve">In August 2022, </w:t>
      </w:r>
      <w:r w:rsidRPr="009D6D8B">
        <w:t>National Cabinet asked education and early years ministers to develop a national long-term vision</w:t>
      </w:r>
      <w:r>
        <w:t xml:space="preserve"> to support </w:t>
      </w:r>
      <w:r w:rsidRPr="009D6D8B">
        <w:t>parents’ workforce participation and children’s education and development outcomes.</w:t>
      </w:r>
      <w:r>
        <w:t xml:space="preserve"> The draft national vision outlines a shared ambition for the ECEC sector in Australia and recognises that</w:t>
      </w:r>
      <w:r w:rsidRPr="0C8DB647">
        <w:t>:</w:t>
      </w:r>
    </w:p>
    <w:p w14:paraId="41E74EAC" w14:textId="7F543E55" w:rsidR="003C268A" w:rsidRPr="009D6D8B" w:rsidRDefault="006D3486" w:rsidP="00B23060">
      <w:pPr>
        <w:pStyle w:val="SubList"/>
      </w:pPr>
      <w:r>
        <w:t>Q</w:t>
      </w:r>
      <w:r w:rsidR="003C268A" w:rsidRPr="009D6D8B">
        <w:t>uality ECEC has learning and development benefits for children in the most formative period of their lives</w:t>
      </w:r>
      <w:r w:rsidR="003C268A">
        <w:t xml:space="preserve">, which </w:t>
      </w:r>
      <w:r w:rsidR="003C268A" w:rsidRPr="009D6D8B">
        <w:t>can be especially significant for children from vulnerable and disadvantaged communities</w:t>
      </w:r>
      <w:r>
        <w:t>.</w:t>
      </w:r>
    </w:p>
    <w:p w14:paraId="61C1E876" w14:textId="63B129F2" w:rsidR="003C268A" w:rsidRDefault="00B807BB" w:rsidP="00B23060">
      <w:pPr>
        <w:pStyle w:val="SubList"/>
      </w:pPr>
      <w:r>
        <w:t>A</w:t>
      </w:r>
      <w:r w:rsidR="003C268A" w:rsidRPr="009D6D8B">
        <w:t>n affordable and accessible ECEC system supports parents to work and study</w:t>
      </w:r>
      <w:r>
        <w:t>—</w:t>
      </w:r>
      <w:r w:rsidR="003C268A" w:rsidRPr="009D6D8B">
        <w:t>especially women</w:t>
      </w:r>
      <w:r>
        <w:t>—</w:t>
      </w:r>
      <w:r w:rsidR="003C268A">
        <w:t>which</w:t>
      </w:r>
      <w:r>
        <w:t>,</w:t>
      </w:r>
      <w:r w:rsidR="003C268A">
        <w:t xml:space="preserve"> i</w:t>
      </w:r>
      <w:r w:rsidR="003C268A" w:rsidRPr="009D6D8B">
        <w:t>n turn</w:t>
      </w:r>
      <w:r>
        <w:t>,</w:t>
      </w:r>
      <w:r w:rsidR="003C268A" w:rsidRPr="009D6D8B">
        <w:t xml:space="preserve"> supports the Australian economy to grow and prosper.</w:t>
      </w:r>
    </w:p>
    <w:p w14:paraId="7CA30201" w14:textId="3EE49211" w:rsidR="000976BB" w:rsidRPr="001D4165" w:rsidRDefault="000976BB" w:rsidP="001D4165">
      <w:pPr>
        <w:rPr>
          <w:lang w:val="en-GB" w:eastAsia="en-AU"/>
        </w:rPr>
      </w:pPr>
      <w:r w:rsidRPr="751F968A">
        <w:rPr>
          <w:lang w:val="en-GB" w:eastAsia="en-AU"/>
        </w:rPr>
        <w:t xml:space="preserve">The </w:t>
      </w:r>
      <w:r w:rsidR="006A1568">
        <w:rPr>
          <w:lang w:val="en-GB" w:eastAsia="en-AU"/>
        </w:rPr>
        <w:t xml:space="preserve">department sought stakeholder feedback on the </w:t>
      </w:r>
      <w:r w:rsidRPr="751F968A">
        <w:rPr>
          <w:lang w:val="en-GB" w:eastAsia="en-AU"/>
        </w:rPr>
        <w:t>draft national vision between 17</w:t>
      </w:r>
      <w:r>
        <w:rPr>
          <w:lang w:val="en-GB" w:eastAsia="en-AU"/>
        </w:rPr>
        <w:t> </w:t>
      </w:r>
      <w:r w:rsidRPr="751F968A">
        <w:rPr>
          <w:lang w:val="en-GB" w:eastAsia="en-AU"/>
        </w:rPr>
        <w:t>March</w:t>
      </w:r>
      <w:r>
        <w:rPr>
          <w:lang w:val="en-GB" w:eastAsia="en-AU"/>
        </w:rPr>
        <w:t xml:space="preserve"> 2023 </w:t>
      </w:r>
      <w:r w:rsidRPr="751F968A">
        <w:rPr>
          <w:lang w:val="en-GB" w:eastAsia="en-AU"/>
        </w:rPr>
        <w:t>and 7</w:t>
      </w:r>
      <w:r>
        <w:rPr>
          <w:lang w:val="en-GB" w:eastAsia="en-AU"/>
        </w:rPr>
        <w:t> </w:t>
      </w:r>
      <w:r w:rsidRPr="751F968A">
        <w:rPr>
          <w:lang w:val="en-GB" w:eastAsia="en-AU"/>
        </w:rPr>
        <w:t>April</w:t>
      </w:r>
      <w:r>
        <w:rPr>
          <w:lang w:val="en-GB" w:eastAsia="en-AU"/>
        </w:rPr>
        <w:t> 2023</w:t>
      </w:r>
      <w:r w:rsidR="006A1568">
        <w:rPr>
          <w:lang w:val="en-GB" w:eastAsia="en-AU"/>
        </w:rPr>
        <w:t xml:space="preserve">. </w:t>
      </w:r>
      <w:r w:rsidR="00130E58">
        <w:rPr>
          <w:lang w:val="en-GB" w:eastAsia="en-AU"/>
        </w:rPr>
        <w:t>O</w:t>
      </w:r>
      <w:r w:rsidRPr="74C384E5">
        <w:rPr>
          <w:lang w:val="en-GB" w:eastAsia="en-AU"/>
        </w:rPr>
        <w:t xml:space="preserve">ver 200 stakeholder groups </w:t>
      </w:r>
      <w:r w:rsidR="00130E58">
        <w:rPr>
          <w:lang w:val="en-GB" w:eastAsia="en-AU"/>
        </w:rPr>
        <w:t xml:space="preserve">were invited </w:t>
      </w:r>
      <w:r w:rsidRPr="74C384E5">
        <w:rPr>
          <w:lang w:val="en-GB" w:eastAsia="en-AU"/>
        </w:rPr>
        <w:t xml:space="preserve">to engage via the online survey or an online submission, and </w:t>
      </w:r>
      <w:r w:rsidR="000F519A">
        <w:rPr>
          <w:lang w:val="en-GB" w:eastAsia="en-AU"/>
        </w:rPr>
        <w:t xml:space="preserve">in </w:t>
      </w:r>
      <w:r w:rsidRPr="74C384E5">
        <w:rPr>
          <w:lang w:val="en-GB" w:eastAsia="en-AU"/>
        </w:rPr>
        <w:t>workshops and discussions with targeted stakeholders</w:t>
      </w:r>
      <w:r>
        <w:rPr>
          <w:lang w:val="en-GB" w:eastAsia="en-AU"/>
        </w:rPr>
        <w:t>.</w:t>
      </w:r>
      <w:r w:rsidR="006A1568">
        <w:rPr>
          <w:lang w:val="en-GB" w:eastAsia="en-AU"/>
        </w:rPr>
        <w:t xml:space="preserve"> T</w:t>
      </w:r>
      <w:r w:rsidR="006A1568" w:rsidRPr="006A1568">
        <w:rPr>
          <w:lang w:val="en-GB" w:eastAsia="en-AU"/>
        </w:rPr>
        <w:t xml:space="preserve">his consultation is a joint initiative of the </w:t>
      </w:r>
      <w:r w:rsidR="00940AB2">
        <w:rPr>
          <w:lang w:val="en-GB" w:eastAsia="en-AU"/>
        </w:rPr>
        <w:t>Australian</w:t>
      </w:r>
      <w:r w:rsidR="006A1568" w:rsidRPr="006A1568">
        <w:rPr>
          <w:lang w:val="en-GB" w:eastAsia="en-AU"/>
        </w:rPr>
        <w:t>, state</w:t>
      </w:r>
      <w:r w:rsidR="001D0E84">
        <w:rPr>
          <w:lang w:val="en-GB" w:eastAsia="en-AU"/>
        </w:rPr>
        <w:t>,</w:t>
      </w:r>
      <w:r w:rsidR="006A1568" w:rsidRPr="006A1568">
        <w:rPr>
          <w:lang w:val="en-GB" w:eastAsia="en-AU"/>
        </w:rPr>
        <w:t xml:space="preserve"> and territory governments</w:t>
      </w:r>
      <w:r w:rsidR="006A1568">
        <w:rPr>
          <w:lang w:val="en-GB" w:eastAsia="en-AU"/>
        </w:rPr>
        <w:t>. The</w:t>
      </w:r>
      <w:r w:rsidR="006A1568" w:rsidDel="00222F3F">
        <w:rPr>
          <w:lang w:val="en-GB" w:eastAsia="en-AU"/>
        </w:rPr>
        <w:t xml:space="preserve"> </w:t>
      </w:r>
      <w:r w:rsidR="00CA6B6F">
        <w:rPr>
          <w:lang w:val="en-GB" w:eastAsia="en-AU"/>
        </w:rPr>
        <w:t>national</w:t>
      </w:r>
      <w:r w:rsidR="006A1568">
        <w:rPr>
          <w:lang w:val="en-GB" w:eastAsia="en-AU"/>
        </w:rPr>
        <w:t xml:space="preserve"> vision is </w:t>
      </w:r>
      <w:r w:rsidR="00222F3F">
        <w:rPr>
          <w:lang w:val="en-GB" w:eastAsia="en-AU"/>
        </w:rPr>
        <w:t xml:space="preserve">due to be finalised late </w:t>
      </w:r>
      <w:r w:rsidR="006A1568" w:rsidRPr="006A1568">
        <w:rPr>
          <w:lang w:val="en-GB" w:eastAsia="en-AU"/>
        </w:rPr>
        <w:t>2023.</w:t>
      </w:r>
    </w:p>
    <w:p w14:paraId="66FFD7BF" w14:textId="77777777" w:rsidR="003C268A" w:rsidRPr="00BF2A4D" w:rsidRDefault="003C268A" w:rsidP="00087EAE">
      <w:pPr>
        <w:pStyle w:val="SubSectionHeading"/>
      </w:pPr>
      <w:bookmarkStart w:id="92" w:name="_Toc132727704"/>
      <w:bookmarkStart w:id="93" w:name="_Toc133915270"/>
      <w:bookmarkStart w:id="94" w:name="_Toc134023024"/>
      <w:bookmarkStart w:id="95" w:name="_Toc134173429"/>
      <w:bookmarkStart w:id="96" w:name="_Toc135404862"/>
      <w:r>
        <w:t>Early Years Strategy</w:t>
      </w:r>
      <w:bookmarkEnd w:id="92"/>
      <w:bookmarkEnd w:id="93"/>
      <w:bookmarkEnd w:id="94"/>
      <w:bookmarkEnd w:id="95"/>
      <w:bookmarkEnd w:id="96"/>
    </w:p>
    <w:p w14:paraId="0004B546" w14:textId="142CBFE2" w:rsidR="003C268A" w:rsidRDefault="003C268A" w:rsidP="003C268A">
      <w:pPr>
        <w:pStyle w:val="Subbodytext"/>
      </w:pPr>
      <w:r w:rsidRPr="33EC9BC8">
        <w:t>The Government’s</w:t>
      </w:r>
      <w:r w:rsidRPr="33EC9BC8" w:rsidDel="53F9C7AD">
        <w:t xml:space="preserve"> </w:t>
      </w:r>
      <w:r w:rsidRPr="33EC9BC8">
        <w:t>ECEC reform agenda is complemented by a $4.2 million commitment to develop a whole-of-Commonwealth Early Years Strategy (the Strategy). The Strategy will help shape the Government’s vision for the future of Australia’s children and their families by creating a more integrated, holistic approach to the early years and better support the education, development, and wellbeing of Australia’s children.</w:t>
      </w:r>
    </w:p>
    <w:p w14:paraId="4FAAEDB5" w14:textId="5417B6E8" w:rsidR="003C268A" w:rsidRDefault="003C268A" w:rsidP="003C268A">
      <w:pPr>
        <w:pStyle w:val="Subbodytext"/>
      </w:pPr>
      <w:r w:rsidRPr="0242A806">
        <w:t xml:space="preserve">While ECEC is one of the main services supporting children’s learning and development, </w:t>
      </w:r>
      <w:r w:rsidR="003952E3">
        <w:t>the</w:t>
      </w:r>
      <w:r w:rsidRPr="0242A806">
        <w:t xml:space="preserve"> way children learn and grow is shaped by a range of factors and environments, including their home, family, and community. </w:t>
      </w:r>
      <w:r w:rsidRPr="460AB755">
        <w:t xml:space="preserve">Programs and policies that support children and families in children’s first </w:t>
      </w:r>
      <w:r>
        <w:t>5</w:t>
      </w:r>
      <w:r w:rsidRPr="460AB755">
        <w:t xml:space="preserve"> years sit across different </w:t>
      </w:r>
      <w:r>
        <w:t>g</w:t>
      </w:r>
      <w:r w:rsidRPr="460AB755">
        <w:t xml:space="preserve">overnment agencies, including the Department of Social Services, </w:t>
      </w:r>
      <w:r w:rsidR="00593EB7">
        <w:t xml:space="preserve">the </w:t>
      </w:r>
      <w:r w:rsidRPr="460AB755">
        <w:t>Department of Health and Aged Care, and the National Indigenous Australians Agency.</w:t>
      </w:r>
    </w:p>
    <w:p w14:paraId="6B6E2A32" w14:textId="7E80FD76" w:rsidR="003C268A" w:rsidRDefault="003C268A" w:rsidP="003C268A">
      <w:pPr>
        <w:pStyle w:val="Subbodytext"/>
      </w:pPr>
      <w:r w:rsidRPr="6DDD5F9E">
        <w:t xml:space="preserve">The Strategy will </w:t>
      </w:r>
      <w:r>
        <w:t xml:space="preserve">examine the range of Commonwealth programs and funding that directly impact early childhood development and </w:t>
      </w:r>
      <w:r w:rsidRPr="6DDD5F9E">
        <w:t xml:space="preserve">identify ways to reduce silos across departments, better integrate and coordinate functions </w:t>
      </w:r>
      <w:r>
        <w:t xml:space="preserve">and activities </w:t>
      </w:r>
      <w:r w:rsidRPr="6DDD5F9E">
        <w:t>across government, and target investments to deliver better outcomes for young children and their families.</w:t>
      </w:r>
      <w:r>
        <w:t xml:space="preserve"> </w:t>
      </w:r>
      <w:r w:rsidRPr="0242A806">
        <w:t xml:space="preserve">The Strategy will put children and their families at the centre </w:t>
      </w:r>
      <w:r w:rsidR="008A1DB8">
        <w:t xml:space="preserve">of these initiatives </w:t>
      </w:r>
      <w:r w:rsidRPr="0242A806">
        <w:t>and aim to support children’s development holistically across a range of domains, including education, health, wellbeing, safety, and family support.</w:t>
      </w:r>
    </w:p>
    <w:p w14:paraId="119EAE7E" w14:textId="6AE539E1" w:rsidR="00F87A10" w:rsidRPr="009D6D8B" w:rsidRDefault="00F87A10" w:rsidP="003C268A">
      <w:pPr>
        <w:pStyle w:val="Subbodytext"/>
      </w:pPr>
      <w:r>
        <w:t>The Strategy will be informed by comprehensive stakeholder engagement and consultation</w:t>
      </w:r>
      <w:r w:rsidR="001842A0">
        <w:t>, which</w:t>
      </w:r>
      <w:r>
        <w:t xml:space="preserve"> will take place throughout 2023. This was kickstarted with the National Early Years Summit held at Australian Parliament House on 17 February 2023. The Government is continuing to consult on the Strategy through surveys, a public submission process, and a series of community and expert roundtables across Australia.</w:t>
      </w:r>
    </w:p>
    <w:p w14:paraId="00D5A3CD" w14:textId="67F39DD3" w:rsidR="003C268A" w:rsidRDefault="003C268A">
      <w:pPr>
        <w:spacing w:after="160"/>
      </w:pPr>
      <w:r>
        <w:br w:type="page"/>
      </w:r>
    </w:p>
    <w:p w14:paraId="7FA0CD36" w14:textId="77777777" w:rsidR="003C268A" w:rsidRPr="000A4B80" w:rsidRDefault="003C268A" w:rsidP="00B23060">
      <w:pPr>
        <w:pStyle w:val="SubChapterheading"/>
        <w:numPr>
          <w:ilvl w:val="0"/>
          <w:numId w:val="14"/>
        </w:numPr>
        <w:rPr>
          <w:color w:val="FF0000"/>
        </w:rPr>
      </w:pPr>
      <w:bookmarkStart w:id="97" w:name="_Toc133513316"/>
      <w:bookmarkStart w:id="98" w:name="_Toc133933320"/>
      <w:bookmarkStart w:id="99" w:name="_Toc134023025"/>
      <w:bookmarkStart w:id="100" w:name="_Toc134173430"/>
      <w:bookmarkStart w:id="101" w:name="_Toc135404863"/>
      <w:r w:rsidRPr="000A4B80">
        <w:rPr>
          <w:color w:val="FF0000"/>
        </w:rPr>
        <w:t>Key Issues</w:t>
      </w:r>
      <w:bookmarkEnd w:id="97"/>
      <w:bookmarkEnd w:id="98"/>
      <w:bookmarkEnd w:id="99"/>
      <w:bookmarkEnd w:id="100"/>
      <w:bookmarkEnd w:id="101"/>
    </w:p>
    <w:p w14:paraId="56ED7D43" w14:textId="336BF448" w:rsidR="003C268A" w:rsidRPr="00B51255" w:rsidRDefault="0075329B" w:rsidP="003C268A">
      <w:pPr>
        <w:pStyle w:val="Subbodytext"/>
      </w:pPr>
      <w:r>
        <w:t>The Government’s i</w:t>
      </w:r>
      <w:r w:rsidR="003C268A">
        <w:t xml:space="preserve">nvestment in </w:t>
      </w:r>
      <w:r w:rsidR="00322E21">
        <w:t>early childhood education and care (ECEC)</w:t>
      </w:r>
      <w:r w:rsidR="003C268A">
        <w:t xml:space="preserve"> has 2 key policy objectives: improving </w:t>
      </w:r>
      <w:r w:rsidR="003C268A" w:rsidRPr="25FA1C5A">
        <w:t>children’s early learning and developmental outcomes</w:t>
      </w:r>
      <w:r w:rsidR="003C268A">
        <w:t>—</w:t>
      </w:r>
      <w:r w:rsidR="003C268A" w:rsidRPr="25FA1C5A">
        <w:t>particularly for children experiencing vulnerability and disadvantage</w:t>
      </w:r>
      <w:r w:rsidR="003C268A">
        <w:t>—</w:t>
      </w:r>
      <w:r w:rsidR="003C268A" w:rsidRPr="25FA1C5A">
        <w:t xml:space="preserve">and </w:t>
      </w:r>
      <w:r w:rsidR="003C268A">
        <w:t>providing</w:t>
      </w:r>
      <w:r w:rsidR="003C268A" w:rsidRPr="25FA1C5A">
        <w:t xml:space="preserve"> parents </w:t>
      </w:r>
      <w:r w:rsidR="003C268A" w:rsidRPr="008813AE">
        <w:t xml:space="preserve">and carers with the opportunity to join the workforce or increase their level of participation (refer to </w:t>
      </w:r>
      <w:r w:rsidR="00B50AC9">
        <w:rPr>
          <w:b/>
          <w:bCs/>
        </w:rPr>
        <w:t>Section </w:t>
      </w:r>
      <w:r w:rsidR="003C268A" w:rsidRPr="008813AE">
        <w:rPr>
          <w:b/>
          <w:bCs/>
        </w:rPr>
        <w:t>2.1</w:t>
      </w:r>
      <w:r w:rsidR="003C268A" w:rsidRPr="008813AE">
        <w:t>), engage in study, or volunteer. The current system—which, at the Commonwealth level,</w:t>
      </w:r>
      <w:r w:rsidR="003C268A" w:rsidRPr="008018FC">
        <w:t xml:space="preserve"> predominately revolves around the </w:t>
      </w:r>
      <w:r w:rsidR="6D023E33">
        <w:t>C</w:t>
      </w:r>
      <w:r w:rsidR="65DD9339">
        <w:t xml:space="preserve">hild </w:t>
      </w:r>
      <w:r w:rsidR="216884F7">
        <w:t>C</w:t>
      </w:r>
      <w:r w:rsidR="65DD9339">
        <w:t xml:space="preserve">are </w:t>
      </w:r>
      <w:r w:rsidR="35BE47A9">
        <w:t>S</w:t>
      </w:r>
      <w:r w:rsidR="65DD9339">
        <w:t>ubsidy</w:t>
      </w:r>
      <w:r w:rsidR="00EA1D0E">
        <w:t xml:space="preserve"> (CCS)</w:t>
      </w:r>
      <w:r w:rsidR="003C268A">
        <w:t>—</w:t>
      </w:r>
      <w:r w:rsidR="003C268A" w:rsidRPr="008018FC">
        <w:t>aims to support both of these objectives.</w:t>
      </w:r>
    </w:p>
    <w:p w14:paraId="56CA2EB6" w14:textId="5BBF651B" w:rsidR="003C268A" w:rsidRDefault="003C268A" w:rsidP="003C268A">
      <w:pPr>
        <w:pStyle w:val="Subbodytext"/>
        <w:rPr>
          <w:rFonts w:ascii="Calibri" w:eastAsia="Calibri" w:hAnsi="Calibri" w:cs="Calibri"/>
        </w:rPr>
      </w:pPr>
      <w:r w:rsidRPr="4A51E33A">
        <w:rPr>
          <w:rFonts w:ascii="Calibri" w:eastAsia="Calibri" w:hAnsi="Calibri" w:cs="Calibri"/>
        </w:rPr>
        <w:t>External s</w:t>
      </w:r>
      <w:r w:rsidRPr="499572CC">
        <w:rPr>
          <w:rFonts w:ascii="Calibri" w:eastAsia="Calibri" w:hAnsi="Calibri" w:cs="Calibri"/>
        </w:rPr>
        <w:t xml:space="preserve">takeholders and commentators have </w:t>
      </w:r>
      <w:r w:rsidRPr="4A51E33A">
        <w:rPr>
          <w:rFonts w:ascii="Calibri" w:eastAsia="Calibri" w:hAnsi="Calibri" w:cs="Calibri"/>
        </w:rPr>
        <w:t>raised concerns with current policy settings</w:t>
      </w:r>
      <w:r w:rsidRPr="1E8B4AE0">
        <w:rPr>
          <w:rFonts w:ascii="Calibri" w:eastAsia="Calibri" w:hAnsi="Calibri" w:cs="Calibri"/>
        </w:rPr>
        <w:t xml:space="preserve"> and </w:t>
      </w:r>
      <w:r w:rsidRPr="5735EA55">
        <w:rPr>
          <w:rFonts w:ascii="Calibri" w:eastAsia="Calibri" w:hAnsi="Calibri" w:cs="Calibri"/>
        </w:rPr>
        <w:t xml:space="preserve">their impact on achieving these </w:t>
      </w:r>
      <w:r w:rsidRPr="1E8B4AE0">
        <w:rPr>
          <w:rFonts w:ascii="Calibri" w:eastAsia="Calibri" w:hAnsi="Calibri" w:cs="Calibri"/>
        </w:rPr>
        <w:t>objectives</w:t>
      </w:r>
      <w:r w:rsidRPr="5735EA55">
        <w:rPr>
          <w:rFonts w:ascii="Calibri" w:eastAsia="Calibri" w:hAnsi="Calibri" w:cs="Calibri"/>
        </w:rPr>
        <w:t>, particularly in relation to access, affordability</w:t>
      </w:r>
      <w:r>
        <w:rPr>
          <w:rFonts w:ascii="Calibri" w:eastAsia="Calibri" w:hAnsi="Calibri" w:cs="Calibri"/>
        </w:rPr>
        <w:t>,</w:t>
      </w:r>
      <w:r w:rsidRPr="499572CC">
        <w:rPr>
          <w:rFonts w:ascii="Calibri" w:eastAsia="Calibri" w:hAnsi="Calibri" w:cs="Calibri"/>
        </w:rPr>
        <w:t xml:space="preserve"> and </w:t>
      </w:r>
      <w:r w:rsidRPr="4A51E33A">
        <w:rPr>
          <w:rFonts w:ascii="Calibri" w:eastAsia="Calibri" w:hAnsi="Calibri" w:cs="Calibri"/>
        </w:rPr>
        <w:t>the activity test.</w:t>
      </w:r>
      <w:r w:rsidRPr="499572CC">
        <w:rPr>
          <w:rFonts w:ascii="Calibri" w:eastAsia="Calibri" w:hAnsi="Calibri" w:cs="Calibri"/>
        </w:rPr>
        <w:t xml:space="preserve"> Both the Women’s Economic Equality Taskforce and the Economic Inclusion Advisory Committee have raised concerns that the activity test limits early childhood access to educational services and also serves as a barrier to workforce participation</w:t>
      </w:r>
      <w:r w:rsidR="00946605">
        <w:rPr>
          <w:rFonts w:ascii="Calibri" w:eastAsia="Calibri" w:hAnsi="Calibri" w:cs="Calibri"/>
        </w:rPr>
        <w:t>—</w:t>
      </w:r>
      <w:r w:rsidRPr="499572CC">
        <w:rPr>
          <w:rFonts w:ascii="Calibri" w:eastAsia="Calibri" w:hAnsi="Calibri" w:cs="Calibri"/>
        </w:rPr>
        <w:t xml:space="preserve">particularly </w:t>
      </w:r>
      <w:r w:rsidR="00946605">
        <w:rPr>
          <w:rFonts w:ascii="Calibri" w:eastAsia="Calibri" w:hAnsi="Calibri" w:cs="Calibri"/>
        </w:rPr>
        <w:t>for</w:t>
      </w:r>
      <w:r w:rsidRPr="499572CC">
        <w:rPr>
          <w:rFonts w:ascii="Calibri" w:eastAsia="Calibri" w:hAnsi="Calibri" w:cs="Calibri"/>
        </w:rPr>
        <w:t xml:space="preserve"> low-income and vulnerable families.</w:t>
      </w:r>
      <w:r w:rsidRPr="499572CC">
        <w:rPr>
          <w:rStyle w:val="FootnoteReference"/>
          <w:rFonts w:ascii="Calibri" w:eastAsia="Calibri" w:hAnsi="Calibri" w:cs="Calibri"/>
        </w:rPr>
        <w:footnoteReference w:id="34"/>
      </w:r>
    </w:p>
    <w:p w14:paraId="256ED4FC" w14:textId="49EB5115" w:rsidR="003C268A" w:rsidRDefault="003C268A" w:rsidP="003C268A">
      <w:pPr>
        <w:pStyle w:val="Subbodytext"/>
        <w:rPr>
          <w:rFonts w:ascii="Calibri" w:eastAsia="Calibri" w:hAnsi="Calibri" w:cs="Calibri"/>
        </w:rPr>
      </w:pPr>
      <w:r w:rsidRPr="69269B3C">
        <w:rPr>
          <w:rFonts w:ascii="Calibri" w:eastAsia="Calibri" w:hAnsi="Calibri" w:cs="Calibri"/>
        </w:rPr>
        <w:t xml:space="preserve">There is a lack of </w:t>
      </w:r>
      <w:r w:rsidRPr="6F6BECA6">
        <w:rPr>
          <w:rFonts w:ascii="Calibri" w:eastAsia="Calibri" w:hAnsi="Calibri" w:cs="Calibri"/>
        </w:rPr>
        <w:t>consensus</w:t>
      </w:r>
      <w:r w:rsidRPr="69269B3C">
        <w:rPr>
          <w:rFonts w:ascii="Calibri" w:eastAsia="Calibri" w:hAnsi="Calibri" w:cs="Calibri"/>
        </w:rPr>
        <w:t xml:space="preserve"> on the optimal ECEC policy settings that balance children’s developmental and educational outcomes and</w:t>
      </w:r>
      <w:r w:rsidR="00223697">
        <w:rPr>
          <w:rFonts w:ascii="Calibri" w:eastAsia="Calibri" w:hAnsi="Calibri" w:cs="Calibri"/>
        </w:rPr>
        <w:t xml:space="preserve"> </w:t>
      </w:r>
      <w:r w:rsidRPr="69269B3C">
        <w:rPr>
          <w:rFonts w:ascii="Calibri" w:eastAsia="Calibri" w:hAnsi="Calibri" w:cs="Calibri"/>
        </w:rPr>
        <w:t>workforce participation</w:t>
      </w:r>
      <w:r w:rsidR="00BE1EC7">
        <w:rPr>
          <w:rFonts w:ascii="Calibri" w:eastAsia="Calibri" w:hAnsi="Calibri" w:cs="Calibri"/>
        </w:rPr>
        <w:t xml:space="preserve"> by parents and carers</w:t>
      </w:r>
      <w:r w:rsidRPr="1C750CA3">
        <w:rPr>
          <w:rFonts w:ascii="Calibri" w:eastAsia="Calibri" w:hAnsi="Calibri" w:cs="Calibri"/>
        </w:rPr>
        <w:t>.</w:t>
      </w:r>
      <w:r w:rsidRPr="69269B3C">
        <w:rPr>
          <w:rFonts w:ascii="Calibri" w:eastAsia="Calibri" w:hAnsi="Calibri" w:cs="Calibri"/>
        </w:rPr>
        <w:t xml:space="preserve"> </w:t>
      </w:r>
      <w:r>
        <w:rPr>
          <w:rFonts w:ascii="Calibri" w:eastAsia="Calibri" w:hAnsi="Calibri" w:cs="Calibri"/>
        </w:rPr>
        <w:t>This was highlighted in the 2014 Productivity Commission inquiry, which posited, as an example, that unlimited low-cost ECEC may allow parents to work more hours but may not be beneficial for the development of very young children.</w:t>
      </w:r>
      <w:r w:rsidRPr="767B11D5">
        <w:rPr>
          <w:rStyle w:val="FootnoteReference"/>
          <w:rFonts w:ascii="Calibri" w:eastAsia="Calibri" w:hAnsi="Calibri" w:cs="Calibri"/>
        </w:rPr>
        <w:footnoteReference w:id="35"/>
      </w:r>
      <w:r w:rsidRPr="25FA1C5A">
        <w:rPr>
          <w:rFonts w:ascii="Calibri" w:eastAsia="Calibri" w:hAnsi="Calibri" w:cs="Calibri"/>
        </w:rPr>
        <w:t xml:space="preserve"> </w:t>
      </w:r>
      <w:r>
        <w:rPr>
          <w:rFonts w:ascii="Calibri" w:eastAsia="Calibri" w:hAnsi="Calibri" w:cs="Calibri"/>
        </w:rPr>
        <w:t>Evidence for full-time care is mixed, and further research is required to determine the most suitable ECEC dosage for each age group.</w:t>
      </w:r>
    </w:p>
    <w:p w14:paraId="27ED8B5C" w14:textId="77777777" w:rsidR="003C268A" w:rsidRPr="00746FA4" w:rsidRDefault="003C268A" w:rsidP="00B23060">
      <w:pPr>
        <w:pStyle w:val="SubSectionHeading"/>
        <w:numPr>
          <w:ilvl w:val="1"/>
          <w:numId w:val="14"/>
        </w:numPr>
      </w:pPr>
      <w:bookmarkStart w:id="102" w:name="_Toc133513319"/>
      <w:bookmarkStart w:id="103" w:name="_Toc133933321"/>
      <w:bookmarkStart w:id="104" w:name="_Toc134023026"/>
      <w:bookmarkStart w:id="105" w:name="_Toc134173431"/>
      <w:bookmarkStart w:id="106" w:name="_Toc135404864"/>
      <w:r>
        <w:t>Cost and Affordability</w:t>
      </w:r>
      <w:bookmarkEnd w:id="102"/>
      <w:bookmarkEnd w:id="103"/>
      <w:bookmarkEnd w:id="104"/>
      <w:bookmarkEnd w:id="105"/>
      <w:bookmarkEnd w:id="106"/>
    </w:p>
    <w:p w14:paraId="5F080AA8" w14:textId="7F8890B3" w:rsidR="003C268A" w:rsidRDefault="003C268A" w:rsidP="003C268A">
      <w:pPr>
        <w:pStyle w:val="Subbodytext"/>
        <w:rPr>
          <w:rStyle w:val="eop"/>
          <w:rFonts w:ascii="Calibri" w:hAnsi="Calibri" w:cs="Calibri"/>
          <w:color w:val="000000" w:themeColor="text1"/>
        </w:rPr>
      </w:pPr>
      <w:r>
        <w:rPr>
          <w:rStyle w:val="eop"/>
          <w:rFonts w:ascii="Calibri" w:hAnsi="Calibri" w:cs="Calibri"/>
          <w:color w:val="000000"/>
          <w:shd w:val="clear" w:color="auto" w:fill="FFFFFF"/>
        </w:rPr>
        <w:t>Australia’s market-based ECEC system facilitates agility and competition</w:t>
      </w:r>
      <w:r w:rsidR="00D70EE5">
        <w:rPr>
          <w:rStyle w:val="eop"/>
          <w:rFonts w:ascii="Calibri" w:hAnsi="Calibri" w:cs="Calibri"/>
          <w:color w:val="000000"/>
          <w:shd w:val="clear" w:color="auto" w:fill="FFFFFF"/>
        </w:rPr>
        <w:t>—</w:t>
      </w:r>
      <w:r w:rsidR="5B976C06">
        <w:rPr>
          <w:rStyle w:val="eop"/>
          <w:rFonts w:ascii="Calibri" w:hAnsi="Calibri" w:cs="Calibri"/>
          <w:color w:val="000000"/>
          <w:shd w:val="clear" w:color="auto" w:fill="FFFFFF"/>
        </w:rPr>
        <w:t>a</w:t>
      </w:r>
      <w:r w:rsidR="1584B5BA">
        <w:rPr>
          <w:rStyle w:val="eop"/>
          <w:rFonts w:ascii="Calibri" w:hAnsi="Calibri" w:cs="Calibri"/>
          <w:color w:val="000000"/>
          <w:shd w:val="clear" w:color="auto" w:fill="FFFFFF"/>
        </w:rPr>
        <w:t>llowing</w:t>
      </w:r>
      <w:r>
        <w:rPr>
          <w:rStyle w:val="eop"/>
          <w:rFonts w:ascii="Calibri" w:hAnsi="Calibri" w:cs="Calibri"/>
          <w:color w:val="000000"/>
          <w:shd w:val="clear" w:color="auto" w:fill="FFFFFF"/>
        </w:rPr>
        <w:t xml:space="preserve"> market forces </w:t>
      </w:r>
      <w:r w:rsidR="5D8F954B">
        <w:rPr>
          <w:rStyle w:val="eop"/>
          <w:rFonts w:ascii="Calibri" w:hAnsi="Calibri" w:cs="Calibri"/>
          <w:color w:val="000000"/>
          <w:shd w:val="clear" w:color="auto" w:fill="FFFFFF"/>
        </w:rPr>
        <w:t xml:space="preserve">to </w:t>
      </w:r>
      <w:r>
        <w:rPr>
          <w:rStyle w:val="eop"/>
          <w:rFonts w:ascii="Calibri" w:hAnsi="Calibri" w:cs="Calibri"/>
          <w:color w:val="000000"/>
          <w:shd w:val="clear" w:color="auto" w:fill="FFFFFF"/>
        </w:rPr>
        <w:t>determine fees.</w:t>
      </w:r>
    </w:p>
    <w:p w14:paraId="528DBEC0" w14:textId="55266D3D" w:rsidR="003C268A" w:rsidRPr="007B1621" w:rsidRDefault="003C268A" w:rsidP="001C5836">
      <w:pPr>
        <w:pStyle w:val="Subbodytext"/>
      </w:pPr>
      <w:r w:rsidRPr="008018FC">
        <w:t xml:space="preserve">The cost of </w:t>
      </w:r>
      <w:r w:rsidR="00840CAC">
        <w:t>child care</w:t>
      </w:r>
      <w:r w:rsidRPr="008018FC">
        <w:t xml:space="preserve"> is influenced by several factors. Government policy and regulations play a part in determining both costs for providers and out-of-pocket costs for families. </w:t>
      </w:r>
      <w:r>
        <w:t xml:space="preserve">Recent reforms to </w:t>
      </w:r>
      <w:r w:rsidRPr="008813AE">
        <w:t xml:space="preserve">increase CCS rates from July 2023 are aimed at improving </w:t>
      </w:r>
      <w:r w:rsidR="005F2962" w:rsidRPr="008813AE">
        <w:t xml:space="preserve">child care </w:t>
      </w:r>
      <w:r w:rsidRPr="008813AE">
        <w:t xml:space="preserve">affordability (refer to </w:t>
      </w:r>
      <w:r w:rsidR="00B50AC9">
        <w:rPr>
          <w:b/>
          <w:bCs/>
        </w:rPr>
        <w:t>Section </w:t>
      </w:r>
      <w:r w:rsidRPr="008813AE">
        <w:rPr>
          <w:b/>
        </w:rPr>
        <w:t>4.1</w:t>
      </w:r>
      <w:r w:rsidRPr="008813AE">
        <w:t>).</w:t>
      </w:r>
      <w:r w:rsidR="00C17B25" w:rsidRPr="008813AE">
        <w:t xml:space="preserve"> </w:t>
      </w:r>
      <w:r w:rsidR="00D06FAD" w:rsidRPr="008813AE">
        <w:t xml:space="preserve">The average out-of-pocket costs per hour for </w:t>
      </w:r>
      <w:r w:rsidR="001E401B" w:rsidRPr="008813AE">
        <w:t>c</w:t>
      </w:r>
      <w:r w:rsidR="003652AF" w:rsidRPr="008813AE">
        <w:t xml:space="preserve">entre-based day care (CBDC), </w:t>
      </w:r>
      <w:r w:rsidR="00E657F9" w:rsidRPr="008813AE">
        <w:t>o</w:t>
      </w:r>
      <w:r w:rsidR="003652AF" w:rsidRPr="008813AE">
        <w:t>u</w:t>
      </w:r>
      <w:r w:rsidR="00597FC7" w:rsidRPr="008813AE">
        <w:t xml:space="preserve">tside </w:t>
      </w:r>
      <w:r w:rsidR="00E657F9" w:rsidRPr="008813AE">
        <w:t>s</w:t>
      </w:r>
      <w:r w:rsidR="00597FC7" w:rsidRPr="008813AE">
        <w:t xml:space="preserve">chool </w:t>
      </w:r>
      <w:r w:rsidR="00E657F9" w:rsidRPr="008813AE">
        <w:t>h</w:t>
      </w:r>
      <w:r w:rsidR="00597FC7" w:rsidRPr="008813AE">
        <w:t xml:space="preserve">ours </w:t>
      </w:r>
      <w:r w:rsidR="00E657F9" w:rsidRPr="008813AE">
        <w:t>c</w:t>
      </w:r>
      <w:r w:rsidR="00597FC7" w:rsidRPr="008813AE">
        <w:t xml:space="preserve">are (OSHC) and </w:t>
      </w:r>
      <w:r w:rsidR="00E657F9" w:rsidRPr="008813AE">
        <w:t>f</w:t>
      </w:r>
      <w:r w:rsidR="00597FC7" w:rsidRPr="008813AE">
        <w:t xml:space="preserve">amily </w:t>
      </w:r>
      <w:r w:rsidR="00E657F9" w:rsidRPr="008813AE">
        <w:t>d</w:t>
      </w:r>
      <w:r w:rsidR="00597FC7" w:rsidRPr="008813AE">
        <w:t xml:space="preserve">ay </w:t>
      </w:r>
      <w:r w:rsidR="00E657F9" w:rsidRPr="008813AE">
        <w:t>c</w:t>
      </w:r>
      <w:r w:rsidR="00597FC7" w:rsidRPr="008813AE">
        <w:t>are (FDC</w:t>
      </w:r>
      <w:r w:rsidR="00B74521" w:rsidRPr="008813AE">
        <w:t xml:space="preserve">) services between </w:t>
      </w:r>
      <w:r w:rsidR="00143A61">
        <w:t xml:space="preserve">the </w:t>
      </w:r>
      <w:r w:rsidR="00BB1890">
        <w:t>June</w:t>
      </w:r>
      <w:r w:rsidR="004D31F5" w:rsidRPr="008813AE">
        <w:t xml:space="preserve"> quarter 2018 and </w:t>
      </w:r>
      <w:r w:rsidR="00C4313E">
        <w:t xml:space="preserve">the </w:t>
      </w:r>
      <w:r w:rsidR="004D31F5" w:rsidRPr="008813AE">
        <w:t xml:space="preserve">September quarter 2022 are </w:t>
      </w:r>
      <w:r w:rsidR="0090281D" w:rsidRPr="008813AE">
        <w:t xml:space="preserve">shown in </w:t>
      </w:r>
      <w:r w:rsidR="0090281D" w:rsidRPr="008813AE">
        <w:rPr>
          <w:b/>
        </w:rPr>
        <w:t xml:space="preserve">Figure </w:t>
      </w:r>
      <w:r w:rsidR="00503D0C" w:rsidRPr="008813AE">
        <w:rPr>
          <w:b/>
          <w:bCs/>
        </w:rPr>
        <w:t>1</w:t>
      </w:r>
      <w:r w:rsidR="00C85851">
        <w:rPr>
          <w:b/>
          <w:bCs/>
        </w:rPr>
        <w:t>6</w:t>
      </w:r>
      <w:r w:rsidR="0090281D" w:rsidRPr="008813AE">
        <w:t>.</w:t>
      </w:r>
    </w:p>
    <w:p w14:paraId="3670F812" w14:textId="4FED3959" w:rsidR="00503D0C" w:rsidRDefault="00503D0C" w:rsidP="00503D0C">
      <w:pPr>
        <w:pStyle w:val="Caption"/>
        <w:keepNext/>
      </w:pPr>
      <w:r>
        <w:t xml:space="preserve">Figure </w:t>
      </w:r>
      <w:r>
        <w:fldChar w:fldCharType="begin"/>
      </w:r>
      <w:r>
        <w:instrText>SEQ Figure \* ARABIC</w:instrText>
      </w:r>
      <w:r>
        <w:fldChar w:fldCharType="separate"/>
      </w:r>
      <w:r w:rsidR="00D307AC">
        <w:rPr>
          <w:noProof/>
        </w:rPr>
        <w:t>16</w:t>
      </w:r>
      <w:r>
        <w:fldChar w:fldCharType="end"/>
      </w:r>
      <w:r>
        <w:t>:</w:t>
      </w:r>
      <w:r w:rsidRPr="00503D0C">
        <w:t xml:space="preserve"> </w:t>
      </w:r>
      <w:r w:rsidRPr="00DE768C">
        <w:t>Average</w:t>
      </w:r>
      <w:r w:rsidRPr="4D206D9D">
        <w:rPr>
          <w:bCs/>
        </w:rPr>
        <w:t xml:space="preserve"> Out</w:t>
      </w:r>
      <w:r>
        <w:rPr>
          <w:bCs/>
        </w:rPr>
        <w:t>-</w:t>
      </w:r>
      <w:r w:rsidRPr="4D206D9D">
        <w:rPr>
          <w:bCs/>
        </w:rPr>
        <w:t>of</w:t>
      </w:r>
      <w:r>
        <w:rPr>
          <w:bCs/>
        </w:rPr>
        <w:t>-</w:t>
      </w:r>
      <w:r w:rsidRPr="4D206D9D">
        <w:rPr>
          <w:bCs/>
        </w:rPr>
        <w:t xml:space="preserve">Pocket Costs </w:t>
      </w:r>
      <w:r w:rsidRPr="00DE768C">
        <w:t>Per</w:t>
      </w:r>
      <w:r w:rsidRPr="4D206D9D">
        <w:rPr>
          <w:bCs/>
        </w:rPr>
        <w:t xml:space="preserve"> Hour by </w:t>
      </w:r>
      <w:r>
        <w:t>S</w:t>
      </w:r>
      <w:r w:rsidRPr="00DE768C">
        <w:t>ervice</w:t>
      </w:r>
      <w:r w:rsidRPr="4D206D9D">
        <w:rPr>
          <w:bCs/>
        </w:rPr>
        <w:t xml:space="preserve"> </w:t>
      </w:r>
      <w:r>
        <w:t>T</w:t>
      </w:r>
      <w:r w:rsidRPr="00DE768C">
        <w:t>ype</w:t>
      </w:r>
    </w:p>
    <w:p w14:paraId="5EB2121B" w14:textId="2BD43DE1" w:rsidR="00EB7E93" w:rsidRDefault="00095E08" w:rsidP="006E7DC1">
      <w:pPr>
        <w:spacing w:after="0"/>
        <w:rPr>
          <w:b/>
          <w:bCs/>
          <w:color w:val="FF0000"/>
        </w:rPr>
      </w:pPr>
      <w:r>
        <w:rPr>
          <w:b/>
          <w:bCs/>
          <w:noProof/>
          <w:color w:val="FF0000"/>
        </w:rPr>
        <w:drawing>
          <wp:inline distT="0" distB="0" distL="0" distR="0" wp14:anchorId="3444E81A" wp14:editId="4D7BBA52">
            <wp:extent cx="5742940" cy="3152140"/>
            <wp:effectExtent l="0" t="0" r="0" b="0"/>
            <wp:docPr id="9" name="Picture 9" descr="Graph showing changes over time of the average Out-of-Pocket Costs Per Hour by Service Typ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 showing changes over time of the average Out-of-Pocket Costs Per Hour by Service Type&#10;"/>
                    <pic:cNvPicPr>
                      <a:picLocks noChangeAspect="1" noChangeArrowheads="1"/>
                    </pic:cNvPicPr>
                  </pic:nvPicPr>
                  <pic:blipFill>
                    <a:blip r:embed="rId51">
                      <a:extLst>
                        <a:ext uri="{BEBA8EAE-BF5A-486C-A8C5-ECC9F3942E4B}">
                          <a14:imgProps xmlns:a14="http://schemas.microsoft.com/office/drawing/2010/main">
                            <a14:imgLayer r:embed="rId5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42940" cy="3152140"/>
                    </a:xfrm>
                    <a:prstGeom prst="rect">
                      <a:avLst/>
                    </a:prstGeom>
                    <a:noFill/>
                  </pic:spPr>
                </pic:pic>
              </a:graphicData>
            </a:graphic>
          </wp:inline>
        </w:drawing>
      </w:r>
    </w:p>
    <w:p w14:paraId="0A18FB48" w14:textId="0F8C6E9A" w:rsidR="001F4F56" w:rsidRPr="006B6E84" w:rsidRDefault="001F4F56" w:rsidP="0069595F">
      <w:pPr>
        <w:spacing w:after="160"/>
        <w:rPr>
          <w:sz w:val="18"/>
          <w:szCs w:val="18"/>
        </w:rPr>
      </w:pPr>
      <w:r w:rsidRPr="006B6E84">
        <w:rPr>
          <w:sz w:val="18"/>
          <w:szCs w:val="18"/>
        </w:rPr>
        <w:t>Source: Department of Education administrative data</w:t>
      </w:r>
      <w:r w:rsidR="00760986" w:rsidRPr="006B6E84">
        <w:rPr>
          <w:sz w:val="18"/>
          <w:szCs w:val="18"/>
        </w:rPr>
        <w:t>.</w:t>
      </w:r>
    </w:p>
    <w:p w14:paraId="5E6C8F09" w14:textId="1526392E" w:rsidR="003C268A" w:rsidRDefault="003C4657" w:rsidP="0069595F">
      <w:pPr>
        <w:spacing w:after="160"/>
        <w:rPr>
          <w:lang w:eastAsia="en-AU"/>
        </w:rPr>
      </w:pPr>
      <w:r>
        <w:t>Out</w:t>
      </w:r>
      <w:r w:rsidR="00B1445D">
        <w:t>-</w:t>
      </w:r>
      <w:r>
        <w:t>of</w:t>
      </w:r>
      <w:r w:rsidR="00B1445D">
        <w:t>-</w:t>
      </w:r>
      <w:r>
        <w:t xml:space="preserve">pocket costs vary even within service type, with greatest differences being seen when comparing services across geographical lines. The Australian Capital Territory has the highest </w:t>
      </w:r>
      <w:r w:rsidR="000A1D7C">
        <w:br/>
      </w:r>
      <w:r>
        <w:t>out</w:t>
      </w:r>
      <w:r w:rsidR="61474ECB">
        <w:t>-</w:t>
      </w:r>
      <w:r>
        <w:t>of</w:t>
      </w:r>
      <w:r w:rsidR="61474ECB">
        <w:t>-</w:t>
      </w:r>
      <w:r>
        <w:t>pocket costs on average, w</w:t>
      </w:r>
      <w:r w:rsidR="008E0721">
        <w:t>hile</w:t>
      </w:r>
      <w:r>
        <w:t xml:space="preserve"> Queensland, South Australia and Tasmania </w:t>
      </w:r>
      <w:r w:rsidR="008E0721">
        <w:t>have</w:t>
      </w:r>
      <w:r>
        <w:t xml:space="preserve"> the lowest. On average, services in major cities have the highest out</w:t>
      </w:r>
      <w:r w:rsidR="00284923">
        <w:t>-</w:t>
      </w:r>
      <w:r>
        <w:t>of</w:t>
      </w:r>
      <w:r w:rsidR="00284923">
        <w:t>-</w:t>
      </w:r>
      <w:r>
        <w:t xml:space="preserve">pocket costs </w:t>
      </w:r>
      <w:r w:rsidR="00A977C1">
        <w:t>and</w:t>
      </w:r>
      <w:r>
        <w:t xml:space="preserve"> </w:t>
      </w:r>
      <w:r w:rsidRPr="000F3709">
        <w:t>regional</w:t>
      </w:r>
      <w:r>
        <w:t xml:space="preserve"> areas hav</w:t>
      </w:r>
      <w:r w:rsidR="00A977C1">
        <w:t>e</w:t>
      </w:r>
      <w:r>
        <w:t xml:space="preserve"> the lowest</w:t>
      </w:r>
      <w:r w:rsidR="001C1163">
        <w:t xml:space="preserve">, as </w:t>
      </w:r>
      <w:r w:rsidR="001C1163" w:rsidRPr="008813AE">
        <w:t xml:space="preserve">shown in </w:t>
      </w:r>
      <w:r w:rsidR="00D90CC4" w:rsidRPr="008813AE">
        <w:rPr>
          <w:b/>
        </w:rPr>
        <w:t xml:space="preserve">Figure </w:t>
      </w:r>
      <w:r w:rsidR="00A4131B" w:rsidRPr="008813AE">
        <w:rPr>
          <w:b/>
          <w:bCs/>
        </w:rPr>
        <w:t>1</w:t>
      </w:r>
      <w:r w:rsidR="00C85851">
        <w:rPr>
          <w:b/>
          <w:bCs/>
        </w:rPr>
        <w:t>7</w:t>
      </w:r>
      <w:r w:rsidRPr="008813AE">
        <w:t>.</w:t>
      </w:r>
    </w:p>
    <w:p w14:paraId="450AB286" w14:textId="5DA00C8E" w:rsidR="00A4131B" w:rsidRDefault="00A4131B" w:rsidP="00A4131B">
      <w:pPr>
        <w:pStyle w:val="Caption"/>
        <w:keepNext/>
      </w:pPr>
      <w:r>
        <w:t xml:space="preserve">Figure </w:t>
      </w:r>
      <w:r>
        <w:fldChar w:fldCharType="begin"/>
      </w:r>
      <w:r>
        <w:instrText>SEQ Figure \* ARABIC</w:instrText>
      </w:r>
      <w:r>
        <w:fldChar w:fldCharType="separate"/>
      </w:r>
      <w:r w:rsidR="00D307AC">
        <w:rPr>
          <w:noProof/>
        </w:rPr>
        <w:t>17</w:t>
      </w:r>
      <w:r>
        <w:fldChar w:fldCharType="end"/>
      </w:r>
      <w:r>
        <w:t>:</w:t>
      </w:r>
      <w:r w:rsidRPr="00A4131B">
        <w:t xml:space="preserve"> </w:t>
      </w:r>
      <w:r w:rsidRPr="00B07172">
        <w:t>Average Out</w:t>
      </w:r>
      <w:r>
        <w:t>-</w:t>
      </w:r>
      <w:r w:rsidRPr="00B07172">
        <w:t>of</w:t>
      </w:r>
      <w:r>
        <w:t>-</w:t>
      </w:r>
      <w:r w:rsidRPr="00B07172">
        <w:t xml:space="preserve">Pocket Costs Per Hour by </w:t>
      </w:r>
      <w:r>
        <w:t>R</w:t>
      </w:r>
      <w:r w:rsidRPr="00B07172">
        <w:t>emoteness</w:t>
      </w:r>
    </w:p>
    <w:p w14:paraId="0D79BD2F" w14:textId="0BD5B878" w:rsidR="00B07172" w:rsidRPr="00B07172" w:rsidRDefault="004F7A51" w:rsidP="006B6E84">
      <w:pPr>
        <w:spacing w:after="0"/>
        <w:rPr>
          <w:b/>
          <w:highlight w:val="green"/>
        </w:rPr>
      </w:pPr>
      <w:r>
        <w:rPr>
          <w:noProof/>
        </w:rPr>
        <w:drawing>
          <wp:inline distT="0" distB="0" distL="0" distR="0" wp14:anchorId="1474677D" wp14:editId="075706DD">
            <wp:extent cx="5731510" cy="2938635"/>
            <wp:effectExtent l="0" t="0" r="2540" b="0"/>
            <wp:docPr id="14" name="Picture 14" descr="A graph showing the change over time of the average Out-of-Pocket Costs Per Hour by Remot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 showing the change over time of the average Out-of-Pocket Costs Per Hour by Remoteness"/>
                    <pic:cNvPicPr>
                      <a:picLocks noChangeAspect="1" noChangeArrowheads="1"/>
                    </pic:cNvPicPr>
                  </pic:nvPicPr>
                  <pic:blipFill>
                    <a:blip r:embed="rId53">
                      <a:extLst>
                        <a:ext uri="{BEBA8EAE-BF5A-486C-A8C5-ECC9F3942E4B}">
                          <a14:imgProps xmlns:a14="http://schemas.microsoft.com/office/drawing/2010/main">
                            <a14:imgLayer r:embed="rId54">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2938635"/>
                    </a:xfrm>
                    <a:prstGeom prst="rect">
                      <a:avLst/>
                    </a:prstGeom>
                    <a:noFill/>
                  </pic:spPr>
                </pic:pic>
              </a:graphicData>
            </a:graphic>
          </wp:inline>
        </w:drawing>
      </w:r>
    </w:p>
    <w:p w14:paraId="47162D60" w14:textId="753DD927" w:rsidR="00B07172" w:rsidRPr="006A64AE" w:rsidRDefault="00A977C1" w:rsidP="00B07172">
      <w:pPr>
        <w:spacing w:after="160"/>
        <w:rPr>
          <w:b/>
          <w:highlight w:val="green"/>
        </w:rPr>
      </w:pPr>
      <w:r w:rsidRPr="00B07172">
        <w:rPr>
          <w:sz w:val="18"/>
          <w:szCs w:val="18"/>
        </w:rPr>
        <w:t>Note: in home care is excluded</w:t>
      </w:r>
      <w:r>
        <w:rPr>
          <w:sz w:val="18"/>
          <w:szCs w:val="18"/>
        </w:rPr>
        <w:t>.</w:t>
      </w:r>
      <w:r>
        <w:rPr>
          <w:sz w:val="18"/>
          <w:szCs w:val="18"/>
        </w:rPr>
        <w:br/>
      </w:r>
      <w:r w:rsidR="00B07172" w:rsidRPr="00B07172">
        <w:rPr>
          <w:sz w:val="18"/>
          <w:szCs w:val="18"/>
        </w:rPr>
        <w:t>Source: Department of Education administrative data</w:t>
      </w:r>
      <w:r w:rsidR="00B07172">
        <w:rPr>
          <w:sz w:val="18"/>
          <w:szCs w:val="18"/>
        </w:rPr>
        <w:t>.</w:t>
      </w:r>
    </w:p>
    <w:p w14:paraId="3C64A5E2" w14:textId="57E19410" w:rsidR="00D6512C" w:rsidRPr="00D6512C" w:rsidRDefault="003C268A" w:rsidP="00FC2368">
      <w:pPr>
        <w:pStyle w:val="Subbodytext"/>
      </w:pPr>
      <w:r>
        <w:t xml:space="preserve">These differentials in cost are one of the factors being considered by the Australian </w:t>
      </w:r>
      <w:r w:rsidR="00750EEF">
        <w:t>Competition</w:t>
      </w:r>
      <w:r>
        <w:t xml:space="preserve"> and Consumer Commission’s (ACCC) inquiry into ECEC prices (</w:t>
      </w:r>
      <w:r w:rsidRPr="30559287">
        <w:rPr>
          <w:rFonts w:eastAsia="Times New Roman"/>
          <w:lang w:eastAsia="en-AU"/>
        </w:rPr>
        <w:t xml:space="preserve">refer to </w:t>
      </w:r>
      <w:r w:rsidR="00B50AC9">
        <w:rPr>
          <w:rFonts w:eastAsia="Times New Roman"/>
          <w:b/>
          <w:bCs/>
          <w:lang w:eastAsia="en-AU"/>
        </w:rPr>
        <w:t>Section </w:t>
      </w:r>
      <w:r w:rsidRPr="008813AE">
        <w:rPr>
          <w:rFonts w:eastAsia="Times New Roman"/>
          <w:b/>
          <w:bCs/>
          <w:lang w:eastAsia="en-AU"/>
        </w:rPr>
        <w:t>4.3</w:t>
      </w:r>
      <w:r w:rsidRPr="008813AE">
        <w:rPr>
          <w:rFonts w:eastAsia="Times New Roman"/>
          <w:lang w:eastAsia="en-AU"/>
        </w:rPr>
        <w:t>).</w:t>
      </w:r>
    </w:p>
    <w:p w14:paraId="661A0E19" w14:textId="291B8085" w:rsidR="003C268A" w:rsidRPr="00846F57" w:rsidRDefault="003C268A" w:rsidP="00CF5513">
      <w:pPr>
        <w:pStyle w:val="SubHeading6"/>
        <w:spacing w:before="120"/>
        <w:rPr>
          <w:lang w:eastAsia="en-AU"/>
        </w:rPr>
      </w:pPr>
      <w:r>
        <w:rPr>
          <w:lang w:eastAsia="en-AU"/>
        </w:rPr>
        <w:t>H</w:t>
      </w:r>
      <w:r w:rsidRPr="00846F57">
        <w:rPr>
          <w:lang w:eastAsia="en-AU"/>
        </w:rPr>
        <w:t xml:space="preserve">ourly </w:t>
      </w:r>
      <w:r>
        <w:rPr>
          <w:lang w:eastAsia="en-AU"/>
        </w:rPr>
        <w:t>r</w:t>
      </w:r>
      <w:r w:rsidRPr="00846F57">
        <w:rPr>
          <w:lang w:eastAsia="en-AU"/>
        </w:rPr>
        <w:t xml:space="preserve">ate </w:t>
      </w:r>
      <w:r>
        <w:rPr>
          <w:lang w:eastAsia="en-AU"/>
        </w:rPr>
        <w:t>c</w:t>
      </w:r>
      <w:r w:rsidRPr="00846F57">
        <w:rPr>
          <w:lang w:eastAsia="en-AU"/>
        </w:rPr>
        <w:t>ap</w:t>
      </w:r>
    </w:p>
    <w:p w14:paraId="109BB25F" w14:textId="2F0C216B" w:rsidR="003C268A" w:rsidRPr="007F519F" w:rsidRDefault="003C268A" w:rsidP="003C268A">
      <w:pPr>
        <w:pStyle w:val="Subbodytext"/>
        <w:rPr>
          <w:rStyle w:val="FootnoteReference"/>
          <w:rFonts w:ascii="Calibri" w:eastAsia="Times New Roman" w:hAnsi="Calibri" w:cs="Calibri"/>
          <w:b/>
          <w:color w:val="000000" w:themeColor="text1"/>
          <w:shd w:val="clear" w:color="auto" w:fill="FFFFFF"/>
          <w:lang w:eastAsia="en-AU"/>
        </w:rPr>
      </w:pPr>
      <w:r w:rsidRPr="00FA220E">
        <w:rPr>
          <w:lang w:eastAsia="en-AU"/>
        </w:rPr>
        <w:t xml:space="preserve">The </w:t>
      </w:r>
      <w:r>
        <w:rPr>
          <w:lang w:eastAsia="en-AU"/>
        </w:rPr>
        <w:t>CCS</w:t>
      </w:r>
      <w:r w:rsidRPr="00FA220E">
        <w:rPr>
          <w:lang w:eastAsia="en-AU"/>
        </w:rPr>
        <w:t xml:space="preserve"> hourly rate cap </w:t>
      </w:r>
      <w:r w:rsidR="398C2F52" w:rsidRPr="452CC2AC">
        <w:rPr>
          <w:lang w:eastAsia="en-AU"/>
        </w:rPr>
        <w:t>is</w:t>
      </w:r>
      <w:r w:rsidRPr="00FA220E">
        <w:rPr>
          <w:lang w:eastAsia="en-AU"/>
        </w:rPr>
        <w:t xml:space="preserve"> the maximum hourly rate </w:t>
      </w:r>
      <w:r>
        <w:rPr>
          <w:lang w:eastAsia="en-AU"/>
        </w:rPr>
        <w:t xml:space="preserve">that </w:t>
      </w:r>
      <w:r w:rsidRPr="00FA220E">
        <w:rPr>
          <w:lang w:eastAsia="en-AU"/>
        </w:rPr>
        <w:t>the Government subsidises for each service type</w:t>
      </w:r>
      <w:r>
        <w:rPr>
          <w:lang w:eastAsia="en-AU"/>
        </w:rPr>
        <w:t xml:space="preserve"> (refer </w:t>
      </w:r>
      <w:r w:rsidRPr="008813AE">
        <w:rPr>
          <w:lang w:eastAsia="en-AU"/>
        </w:rPr>
        <w:t xml:space="preserve">to </w:t>
      </w:r>
      <w:r w:rsidR="00B50AC9">
        <w:rPr>
          <w:b/>
          <w:bCs/>
          <w:lang w:eastAsia="en-AU"/>
        </w:rPr>
        <w:t>Section </w:t>
      </w:r>
      <w:r w:rsidRPr="008813AE">
        <w:rPr>
          <w:b/>
          <w:lang w:eastAsia="en-AU"/>
        </w:rPr>
        <w:t>3.1</w:t>
      </w:r>
      <w:r w:rsidRPr="008813AE">
        <w:rPr>
          <w:lang w:eastAsia="en-AU"/>
        </w:rPr>
        <w:t>). Hourly rate caps</w:t>
      </w:r>
      <w:r w:rsidR="003633F4">
        <w:rPr>
          <w:lang w:eastAsia="en-AU"/>
        </w:rPr>
        <w:t>,</w:t>
      </w:r>
      <w:r w:rsidRPr="008813AE">
        <w:rPr>
          <w:lang w:eastAsia="en-AU"/>
        </w:rPr>
        <w:t xml:space="preserve"> </w:t>
      </w:r>
      <w:r w:rsidR="00BF0E06" w:rsidRPr="008813AE">
        <w:rPr>
          <w:lang w:eastAsia="en-AU"/>
        </w:rPr>
        <w:t>a</w:t>
      </w:r>
      <w:r w:rsidR="003633F4">
        <w:rPr>
          <w:lang w:eastAsia="en-AU"/>
        </w:rPr>
        <w:t xml:space="preserve">long with </w:t>
      </w:r>
      <w:r w:rsidR="00BF0E06" w:rsidRPr="008813AE">
        <w:rPr>
          <w:lang w:eastAsia="en-AU"/>
        </w:rPr>
        <w:t xml:space="preserve">other </w:t>
      </w:r>
      <w:r w:rsidRPr="008813AE">
        <w:rPr>
          <w:lang w:eastAsia="en-AU"/>
        </w:rPr>
        <w:t>transparency measures</w:t>
      </w:r>
      <w:r w:rsidR="003633F4">
        <w:rPr>
          <w:lang w:eastAsia="en-AU"/>
        </w:rPr>
        <w:t>,</w:t>
      </w:r>
      <w:r w:rsidR="00BF0E06" w:rsidRPr="008813AE">
        <w:rPr>
          <w:lang w:eastAsia="en-AU"/>
        </w:rPr>
        <w:t xml:space="preserve"> </w:t>
      </w:r>
      <w:r w:rsidRPr="008813AE">
        <w:rPr>
          <w:lang w:eastAsia="en-AU"/>
        </w:rPr>
        <w:t xml:space="preserve">aim </w:t>
      </w:r>
      <w:r w:rsidR="00F57762" w:rsidRPr="008813AE">
        <w:rPr>
          <w:lang w:eastAsia="en-AU"/>
        </w:rPr>
        <w:t xml:space="preserve">to put </w:t>
      </w:r>
      <w:r w:rsidRPr="008813AE">
        <w:rPr>
          <w:lang w:eastAsia="en-AU"/>
        </w:rPr>
        <w:t xml:space="preserve">downward pressure on fees. When fees exceed the hourly rate cap, families are subject to higher out-of-pocket costs. </w:t>
      </w:r>
      <w:r w:rsidRPr="008813AE">
        <w:rPr>
          <w:b/>
          <w:lang w:eastAsia="en-AU"/>
        </w:rPr>
        <w:t xml:space="preserve">Figure </w:t>
      </w:r>
      <w:r w:rsidR="0063745D" w:rsidRPr="008813AE">
        <w:rPr>
          <w:b/>
          <w:bCs/>
          <w:lang w:eastAsia="en-AU"/>
        </w:rPr>
        <w:t>1</w:t>
      </w:r>
      <w:r w:rsidR="00637D5B" w:rsidRPr="008813AE">
        <w:rPr>
          <w:b/>
          <w:bCs/>
          <w:lang w:eastAsia="en-AU"/>
        </w:rPr>
        <w:t>8</w:t>
      </w:r>
      <w:r w:rsidRPr="008813AE">
        <w:rPr>
          <w:b/>
          <w:bCs/>
          <w:lang w:eastAsia="en-AU"/>
        </w:rPr>
        <w:t xml:space="preserve"> </w:t>
      </w:r>
      <w:r w:rsidRPr="008813AE">
        <w:rPr>
          <w:lang w:eastAsia="en-AU"/>
        </w:rPr>
        <w:t>shows the percentage of services charging above the hourly rate cap by service type.</w:t>
      </w:r>
    </w:p>
    <w:p w14:paraId="2591A940" w14:textId="4A613253" w:rsidR="0063745D" w:rsidRDefault="003C268A" w:rsidP="0063745D">
      <w:pPr>
        <w:pStyle w:val="Caption"/>
        <w:keepNext/>
      </w:pPr>
      <w:r>
        <w:t xml:space="preserve">Figure </w:t>
      </w:r>
      <w:r>
        <w:fldChar w:fldCharType="begin"/>
      </w:r>
      <w:r>
        <w:instrText>SEQ Figure \* ARABIC</w:instrText>
      </w:r>
      <w:r>
        <w:fldChar w:fldCharType="separate"/>
      </w:r>
      <w:r w:rsidR="00D307AC">
        <w:rPr>
          <w:noProof/>
        </w:rPr>
        <w:t>18</w:t>
      </w:r>
      <w:r>
        <w:fldChar w:fldCharType="end"/>
      </w:r>
      <w:r w:rsidR="0063745D">
        <w:t xml:space="preserve">: </w:t>
      </w:r>
      <w:r w:rsidR="0063745D" w:rsidRPr="0063745D">
        <w:rPr>
          <w:rFonts w:ascii="Calibri" w:eastAsia="Times New Roman" w:hAnsi="Calibri" w:cs="Calibri"/>
          <w:lang w:eastAsia="en-AU"/>
        </w:rPr>
        <w:t>Percentage</w:t>
      </w:r>
      <w:r w:rsidRPr="0063745D">
        <w:rPr>
          <w:rFonts w:ascii="Calibri" w:eastAsia="Times New Roman" w:hAnsi="Calibri" w:cs="Calibri"/>
          <w:lang w:eastAsia="en-AU"/>
        </w:rPr>
        <w:t xml:space="preserve"> of Services Charging </w:t>
      </w:r>
      <w:r w:rsidR="0063745D" w:rsidRPr="0063745D">
        <w:rPr>
          <w:rFonts w:ascii="Calibri" w:eastAsia="Times New Roman" w:hAnsi="Calibri" w:cs="Calibri"/>
          <w:lang w:eastAsia="en-AU"/>
        </w:rPr>
        <w:t xml:space="preserve">Above </w:t>
      </w:r>
      <w:r w:rsidRPr="0063745D">
        <w:rPr>
          <w:rFonts w:ascii="Calibri" w:eastAsia="Times New Roman" w:hAnsi="Calibri" w:cs="Calibri"/>
          <w:lang w:eastAsia="en-AU"/>
        </w:rPr>
        <w:t xml:space="preserve">the Hourly Rate Cap, </w:t>
      </w:r>
      <w:r w:rsidR="0063745D" w:rsidRPr="0063745D">
        <w:rPr>
          <w:rFonts w:ascii="Calibri" w:eastAsia="Times New Roman" w:hAnsi="Calibri" w:cs="Calibri"/>
          <w:lang w:eastAsia="en-AU"/>
        </w:rPr>
        <w:t>September Quarter 2018 to September Quarter 2022</w:t>
      </w:r>
    </w:p>
    <w:p w14:paraId="33F51D58" w14:textId="77777777" w:rsidR="00212065" w:rsidRPr="00212065" w:rsidRDefault="00212065" w:rsidP="0063745D">
      <w:pPr>
        <w:keepNext/>
        <w:keepLines/>
        <w:spacing w:before="120" w:after="0"/>
        <w:rPr>
          <w:sz w:val="18"/>
        </w:rPr>
      </w:pPr>
      <w:r w:rsidRPr="00212065">
        <w:rPr>
          <w:noProof/>
          <w:sz w:val="18"/>
        </w:rPr>
        <w:drawing>
          <wp:inline distT="0" distB="0" distL="0" distR="0" wp14:anchorId="7B75EDC7" wp14:editId="19355D0A">
            <wp:extent cx="5941803" cy="2207020"/>
            <wp:effectExtent l="19050" t="19050" r="20955" b="22225"/>
            <wp:docPr id="24" name="Picture 24" descr="Graph showing the change over time of the percentage of Services Charging Above the Hourly Rate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 showing the change over time of the percentage of Services Charging Above the Hourly Rate Cap."/>
                    <pic:cNvPicPr>
                      <a:picLocks noChangeAspect="1" noChangeArrowheads="1"/>
                    </pic:cNvPicPr>
                  </pic:nvPicPr>
                  <pic:blipFill rotWithShape="1">
                    <a:blip r:embed="rId55" cstate="print">
                      <a:extLst>
                        <a:ext uri="{BEBA8EAE-BF5A-486C-A8C5-ECC9F3942E4B}">
                          <a14:imgProps xmlns:a14="http://schemas.microsoft.com/office/drawing/2010/main">
                            <a14:imgLayer r:embed="rId56">
                              <a14:imgEffect>
                                <a14:sharpenSoften amount="25000"/>
                              </a14:imgEffect>
                            </a14:imgLayer>
                          </a14:imgProps>
                        </a:ext>
                        <a:ext uri="{28A0092B-C50C-407E-A947-70E740481C1C}">
                          <a14:useLocalDpi xmlns:a14="http://schemas.microsoft.com/office/drawing/2010/main" val="0"/>
                        </a:ext>
                      </a:extLst>
                    </a:blip>
                    <a:srcRect l="266" t="10956" r="216" b="1073"/>
                    <a:stretch/>
                  </pic:blipFill>
                  <pic:spPr bwMode="auto">
                    <a:xfrm>
                      <a:off x="0" y="0"/>
                      <a:ext cx="5969145" cy="2217176"/>
                    </a:xfrm>
                    <a:prstGeom prst="rect">
                      <a:avLst/>
                    </a:prstGeom>
                    <a:noFill/>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45B2783" w14:textId="0604F5F0" w:rsidR="00212065" w:rsidRDefault="0060797D" w:rsidP="0063745D">
      <w:pPr>
        <w:keepNext/>
        <w:keepLines/>
        <w:rPr>
          <w:rFonts w:ascii="Calibri" w:eastAsia="Times New Roman" w:hAnsi="Calibri" w:cs="Calibri"/>
          <w:b/>
          <w:lang w:eastAsia="en-AU"/>
        </w:rPr>
      </w:pPr>
      <w:r w:rsidRPr="00212065">
        <w:rPr>
          <w:sz w:val="18"/>
          <w:szCs w:val="18"/>
        </w:rPr>
        <w:t>Note: the hourly rate cap is indexed at the start of each new financial year—this can increase the proportion of services charging at, or below, the cap.</w:t>
      </w:r>
      <w:r>
        <w:rPr>
          <w:sz w:val="18"/>
          <w:szCs w:val="18"/>
        </w:rPr>
        <w:br/>
      </w:r>
      <w:r w:rsidR="00212065" w:rsidRPr="0069595F">
        <w:rPr>
          <w:sz w:val="18"/>
          <w:szCs w:val="18"/>
        </w:rPr>
        <w:t>Source: Department of Education administrative data</w:t>
      </w:r>
      <w:r w:rsidR="006B6E84">
        <w:rPr>
          <w:sz w:val="18"/>
          <w:szCs w:val="18"/>
        </w:rPr>
        <w:t>.</w:t>
      </w:r>
    </w:p>
    <w:p w14:paraId="756D5CAB" w14:textId="77777777" w:rsidR="001C5836" w:rsidRDefault="003C268A" w:rsidP="00CF5513">
      <w:pPr>
        <w:pStyle w:val="SubHeading6"/>
        <w:rPr>
          <w:lang w:val="en-GB"/>
        </w:rPr>
      </w:pPr>
      <w:r w:rsidRPr="0067195F">
        <w:rPr>
          <w:lang w:val="en-GB"/>
        </w:rPr>
        <w:t>Workforce Disincentive Rates</w:t>
      </w:r>
    </w:p>
    <w:p w14:paraId="64BA3B2F" w14:textId="7A5859EB" w:rsidR="003C268A" w:rsidRPr="008813AE" w:rsidRDefault="003C268A" w:rsidP="001C5836">
      <w:pPr>
        <w:pStyle w:val="Subbodytext"/>
        <w:rPr>
          <w:rFonts w:asciiTheme="majorHAnsi" w:eastAsiaTheme="majorEastAsia" w:hAnsiTheme="majorHAnsi" w:cstheme="majorBidi"/>
          <w:lang w:val="en-GB"/>
        </w:rPr>
      </w:pPr>
      <w:r w:rsidRPr="5366535C">
        <w:rPr>
          <w:lang w:val="en-GB"/>
        </w:rPr>
        <w:t xml:space="preserve">Intrinsic to this discussion is the impact </w:t>
      </w:r>
      <w:r>
        <w:rPr>
          <w:lang w:val="en-GB"/>
        </w:rPr>
        <w:t xml:space="preserve">of </w:t>
      </w:r>
      <w:r w:rsidRPr="5366535C">
        <w:rPr>
          <w:lang w:val="en-GB"/>
        </w:rPr>
        <w:t xml:space="preserve">cost and affordability on </w:t>
      </w:r>
      <w:r>
        <w:rPr>
          <w:lang w:val="en-GB"/>
        </w:rPr>
        <w:t>families’</w:t>
      </w:r>
      <w:r w:rsidRPr="5366535C">
        <w:rPr>
          <w:lang w:val="en-GB"/>
        </w:rPr>
        <w:t xml:space="preserve"> financial incentives. In the case of secondary earners within a family unit, the incentive to commence work or work additional days to earn additional income can be constrained by tax</w:t>
      </w:r>
      <w:r w:rsidR="00927029">
        <w:rPr>
          <w:lang w:val="en-GB"/>
        </w:rPr>
        <w:t xml:space="preserve"> and </w:t>
      </w:r>
      <w:r w:rsidRPr="5366535C">
        <w:rPr>
          <w:lang w:val="en-GB"/>
        </w:rPr>
        <w:t xml:space="preserve">transfer settings. This effect is measured by the workforce disincentive rate. This rate captures the proportion of earnings lost from an additional day of work due to tax and transfer settings. The cost of child care is an integral </w:t>
      </w:r>
      <w:r w:rsidRPr="008813AE">
        <w:rPr>
          <w:lang w:val="en-GB"/>
        </w:rPr>
        <w:t>component of this measurement.</w:t>
      </w:r>
    </w:p>
    <w:p w14:paraId="577D6465" w14:textId="6BA09527" w:rsidR="003C268A" w:rsidRDefault="003C268A" w:rsidP="001C5836">
      <w:pPr>
        <w:pStyle w:val="Subbodytext"/>
        <w:rPr>
          <w:lang w:val="en-GB"/>
        </w:rPr>
      </w:pPr>
      <w:r w:rsidRPr="008813AE">
        <w:rPr>
          <w:b/>
          <w:lang w:val="en-GB"/>
        </w:rPr>
        <w:t xml:space="preserve">Figure </w:t>
      </w:r>
      <w:r w:rsidR="00637D5B" w:rsidRPr="008813AE">
        <w:rPr>
          <w:b/>
          <w:lang w:val="en-GB"/>
        </w:rPr>
        <w:t>19</w:t>
      </w:r>
      <w:r w:rsidRPr="008813AE">
        <w:rPr>
          <w:lang w:val="en-GB"/>
        </w:rPr>
        <w:t>, prepared by the Treasury Department,</w:t>
      </w:r>
      <w:r w:rsidR="07C269A9" w:rsidRPr="008813AE">
        <w:rPr>
          <w:lang w:val="en-GB"/>
        </w:rPr>
        <w:t xml:space="preserve"> provides an example based on estimates of tax and transfer settings</w:t>
      </w:r>
      <w:r w:rsidR="07C269A9" w:rsidRPr="5366535C">
        <w:rPr>
          <w:lang w:val="en-GB"/>
        </w:rPr>
        <w:t xml:space="preserve"> in 2023</w:t>
      </w:r>
      <w:r w:rsidR="004D606F">
        <w:rPr>
          <w:lang w:val="en-GB"/>
        </w:rPr>
        <w:t>–</w:t>
      </w:r>
      <w:r w:rsidR="07C269A9" w:rsidRPr="5366535C">
        <w:rPr>
          <w:lang w:val="en-GB"/>
        </w:rPr>
        <w:t>24 to</w:t>
      </w:r>
      <w:r w:rsidRPr="5366535C">
        <w:rPr>
          <w:lang w:val="en-GB"/>
        </w:rPr>
        <w:t xml:space="preserve"> illustrate workforce disincentive rates for a secondary earner in a couple with </w:t>
      </w:r>
      <w:r w:rsidR="0090033F">
        <w:rPr>
          <w:lang w:val="en-GB"/>
        </w:rPr>
        <w:t>3</w:t>
      </w:r>
      <w:r w:rsidRPr="5366535C">
        <w:rPr>
          <w:lang w:val="en-GB"/>
        </w:rPr>
        <w:t xml:space="preserve"> children aged 4, 8</w:t>
      </w:r>
      <w:r>
        <w:rPr>
          <w:lang w:val="en-GB"/>
        </w:rPr>
        <w:t>,</w:t>
      </w:r>
      <w:r w:rsidRPr="5366535C">
        <w:rPr>
          <w:lang w:val="en-GB"/>
        </w:rPr>
        <w:t xml:space="preserve"> and 10. The primary earner receives $60,000 working full</w:t>
      </w:r>
      <w:r w:rsidRPr="5366535C">
        <w:rPr>
          <w:rFonts w:ascii="Cambria Math" w:hAnsi="Cambria Math" w:cs="Cambria Math"/>
          <w:lang w:val="en-GB"/>
        </w:rPr>
        <w:t>‑</w:t>
      </w:r>
      <w:r w:rsidRPr="5366535C">
        <w:rPr>
          <w:lang w:val="en-GB"/>
        </w:rPr>
        <w:t>time</w:t>
      </w:r>
      <w:r>
        <w:rPr>
          <w:lang w:val="en-GB"/>
        </w:rPr>
        <w:t>,</w:t>
      </w:r>
      <w:r w:rsidRPr="5366535C">
        <w:rPr>
          <w:lang w:val="en-GB"/>
        </w:rPr>
        <w:t xml:space="preserve"> while the secondary earner</w:t>
      </w:r>
      <w:r>
        <w:rPr>
          <w:lang w:val="en-GB"/>
        </w:rPr>
        <w:t>,</w:t>
      </w:r>
      <w:r w:rsidRPr="5366535C">
        <w:rPr>
          <w:lang w:val="en-GB"/>
        </w:rPr>
        <w:t xml:space="preserve"> working part</w:t>
      </w:r>
      <w:r w:rsidRPr="5366535C">
        <w:rPr>
          <w:rFonts w:ascii="Cambria Math" w:hAnsi="Cambria Math" w:cs="Cambria Math"/>
          <w:lang w:val="en-GB"/>
        </w:rPr>
        <w:t>‑</w:t>
      </w:r>
      <w:r w:rsidRPr="5366535C">
        <w:rPr>
          <w:lang w:val="en-GB"/>
        </w:rPr>
        <w:t>time</w:t>
      </w:r>
      <w:r>
        <w:rPr>
          <w:lang w:val="en-GB"/>
        </w:rPr>
        <w:t>,</w:t>
      </w:r>
      <w:r w:rsidRPr="5366535C">
        <w:rPr>
          <w:lang w:val="en-GB"/>
        </w:rPr>
        <w:t xml:space="preserve"> receives a full</w:t>
      </w:r>
      <w:r w:rsidRPr="5366535C">
        <w:rPr>
          <w:rFonts w:ascii="Cambria Math" w:hAnsi="Cambria Math" w:cs="Cambria Math"/>
          <w:lang w:val="en-GB"/>
        </w:rPr>
        <w:t>‑</w:t>
      </w:r>
      <w:r w:rsidRPr="5366535C">
        <w:rPr>
          <w:lang w:val="en-GB"/>
        </w:rPr>
        <w:t>time equivalent of $60,000. The rates for the secondary earner in this family exceed 60</w:t>
      </w:r>
      <w:r w:rsidR="00346148">
        <w:rPr>
          <w:lang w:val="en-GB"/>
        </w:rPr>
        <w:t> per cent</w:t>
      </w:r>
      <w:r w:rsidRPr="5366535C">
        <w:rPr>
          <w:lang w:val="en-GB"/>
        </w:rPr>
        <w:t xml:space="preserve"> when taking up more than one day of work. Further, over 80</w:t>
      </w:r>
      <w:r w:rsidR="00346148">
        <w:rPr>
          <w:lang w:val="en-GB"/>
        </w:rPr>
        <w:t> per cent</w:t>
      </w:r>
      <w:r w:rsidRPr="5366535C">
        <w:rPr>
          <w:lang w:val="en-GB"/>
        </w:rPr>
        <w:t xml:space="preserve"> of additional earnings are lost on the fifth day of work due to increased income tax and withdrawal of family payments, as well as out</w:t>
      </w:r>
      <w:r w:rsidRPr="5366535C">
        <w:rPr>
          <w:rFonts w:ascii="Cambria Math" w:hAnsi="Cambria Math" w:cs="Cambria Math"/>
          <w:lang w:val="en-GB"/>
        </w:rPr>
        <w:t>‑</w:t>
      </w:r>
      <w:r w:rsidRPr="5366535C">
        <w:rPr>
          <w:lang w:val="en-GB"/>
        </w:rPr>
        <w:t>of</w:t>
      </w:r>
      <w:r w:rsidRPr="5366535C">
        <w:rPr>
          <w:rFonts w:ascii="Cambria Math" w:hAnsi="Cambria Math" w:cs="Cambria Math"/>
          <w:lang w:val="en-GB"/>
        </w:rPr>
        <w:t>‑</w:t>
      </w:r>
      <w:r w:rsidRPr="5366535C">
        <w:rPr>
          <w:lang w:val="en-GB"/>
        </w:rPr>
        <w:t>pocket child</w:t>
      </w:r>
      <w:r w:rsidR="00027E55">
        <w:rPr>
          <w:lang w:val="en-GB"/>
        </w:rPr>
        <w:t xml:space="preserve"> </w:t>
      </w:r>
      <w:r w:rsidRPr="5366535C">
        <w:rPr>
          <w:lang w:val="en-GB"/>
        </w:rPr>
        <w:t>care costs.</w:t>
      </w:r>
      <w:r>
        <w:rPr>
          <w:rStyle w:val="FootnoteReference"/>
          <w:rFonts w:eastAsiaTheme="minorEastAsia"/>
          <w:lang w:val="en-GB"/>
        </w:rPr>
        <w:footnoteReference w:id="36"/>
      </w:r>
    </w:p>
    <w:p w14:paraId="374DE041" w14:textId="697F54D0" w:rsidR="009C6BDD" w:rsidRDefault="009C6BDD" w:rsidP="009C6BDD">
      <w:pPr>
        <w:pStyle w:val="Caption"/>
        <w:keepNext/>
      </w:pPr>
      <w:r>
        <w:t xml:space="preserve">Figure </w:t>
      </w:r>
      <w:r>
        <w:fldChar w:fldCharType="begin"/>
      </w:r>
      <w:r>
        <w:instrText>SEQ Figure \* ARABIC</w:instrText>
      </w:r>
      <w:r>
        <w:fldChar w:fldCharType="separate"/>
      </w:r>
      <w:r w:rsidR="00D307AC">
        <w:rPr>
          <w:noProof/>
        </w:rPr>
        <w:t>19</w:t>
      </w:r>
      <w:r>
        <w:fldChar w:fldCharType="end"/>
      </w:r>
      <w:r>
        <w:t>:</w:t>
      </w:r>
      <w:r w:rsidRPr="009C6BDD">
        <w:rPr>
          <w:lang w:eastAsia="en-AU"/>
        </w:rPr>
        <w:t xml:space="preserve"> </w:t>
      </w:r>
      <w:r w:rsidRPr="18A7B5E9">
        <w:rPr>
          <w:lang w:eastAsia="en-AU"/>
        </w:rPr>
        <w:t xml:space="preserve">Workforce Disincentive Rates for a Secondary </w:t>
      </w:r>
      <w:r w:rsidRPr="7F66EEB4">
        <w:rPr>
          <w:lang w:eastAsia="en-AU"/>
        </w:rPr>
        <w:t xml:space="preserve">Earner in a Couple with </w:t>
      </w:r>
      <w:r w:rsidR="00B84E31">
        <w:rPr>
          <w:lang w:eastAsia="en-AU"/>
        </w:rPr>
        <w:t>3</w:t>
      </w:r>
      <w:r w:rsidRPr="7F66EEB4">
        <w:rPr>
          <w:lang w:eastAsia="en-AU"/>
        </w:rPr>
        <w:t xml:space="preserve"> Children Aged 4,</w:t>
      </w:r>
      <w:r w:rsidRPr="16087B55">
        <w:rPr>
          <w:lang w:eastAsia="en-AU"/>
        </w:rPr>
        <w:t xml:space="preserve"> 8 And 10, and $60,000 Primary</w:t>
      </w:r>
      <w:r>
        <w:rPr>
          <w:lang w:eastAsia="en-AU"/>
        </w:rPr>
        <w:t>-</w:t>
      </w:r>
      <w:r w:rsidRPr="16087B55">
        <w:rPr>
          <w:lang w:eastAsia="en-AU"/>
        </w:rPr>
        <w:t>earner</w:t>
      </w:r>
      <w:r w:rsidRPr="3C73DFBD">
        <w:rPr>
          <w:lang w:eastAsia="en-AU"/>
        </w:rPr>
        <w:t xml:space="preserve"> Income</w:t>
      </w:r>
      <w:r w:rsidR="00F14A40">
        <w:rPr>
          <w:lang w:eastAsia="en-AU"/>
        </w:rPr>
        <w:t xml:space="preserve"> in 2023–24</w:t>
      </w:r>
    </w:p>
    <w:p w14:paraId="1A456A60" w14:textId="145E9DF3" w:rsidR="004974D5" w:rsidRDefault="0043319B" w:rsidP="00935987">
      <w:pPr>
        <w:keepNext/>
        <w:spacing w:after="0"/>
        <w:jc w:val="center"/>
        <w:rPr>
          <w:sz w:val="18"/>
          <w:szCs w:val="18"/>
          <w:highlight w:val="green"/>
          <w:lang w:val="en-GB"/>
        </w:rPr>
      </w:pPr>
      <w:r>
        <w:rPr>
          <w:noProof/>
        </w:rPr>
        <w:drawing>
          <wp:inline distT="0" distB="0" distL="0" distR="0" wp14:anchorId="2E84D194" wp14:editId="1834C699">
            <wp:extent cx="6245604" cy="3733800"/>
            <wp:effectExtent l="19050" t="19050" r="22225" b="19050"/>
            <wp:docPr id="28" name="Picture 28" descr="A chart showing Workforce Disincentive Rates for a Secondary Earner in a Couple with Three Children Aged 4, 8 And 10, and $60,000 Primary-earner Income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hart showing Workforce Disincentive Rates for a Secondary Earner in a Couple with Three Children Aged 4, 8 And 10, and $60,000 Primary-earner Income in 2023–24"/>
                    <pic:cNvPicPr/>
                  </pic:nvPicPr>
                  <pic:blipFill>
                    <a:blip r:embed="rId57">
                      <a:extLst>
                        <a:ext uri="{BEBA8EAE-BF5A-486C-A8C5-ECC9F3942E4B}">
                          <a14:imgProps xmlns:a14="http://schemas.microsoft.com/office/drawing/2010/main">
                            <a14:imgLayer r:embed="rId58">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6251408" cy="3737270"/>
                    </a:xfrm>
                    <a:prstGeom prst="rect">
                      <a:avLst/>
                    </a:prstGeom>
                    <a:ln>
                      <a:solidFill>
                        <a:schemeClr val="bg1">
                          <a:lumMod val="85000"/>
                        </a:schemeClr>
                      </a:solidFill>
                    </a:ln>
                  </pic:spPr>
                </pic:pic>
              </a:graphicData>
            </a:graphic>
          </wp:inline>
        </w:drawing>
      </w:r>
    </w:p>
    <w:p w14:paraId="0048318D" w14:textId="35403B6A" w:rsidR="003C268A" w:rsidRPr="004F0145" w:rsidRDefault="00406F56" w:rsidP="004974D5">
      <w:pPr>
        <w:pStyle w:val="SubFigureCaption"/>
        <w:rPr>
          <w:lang w:val="en-GB"/>
        </w:rPr>
      </w:pPr>
      <w:r>
        <w:rPr>
          <w:lang w:val="en-GB"/>
        </w:rPr>
        <w:t xml:space="preserve">WDR = </w:t>
      </w:r>
      <w:r w:rsidR="00BF2CFE">
        <w:rPr>
          <w:lang w:val="en-GB"/>
        </w:rPr>
        <w:t>workforce disincentive rate</w:t>
      </w:r>
      <w:r w:rsidR="00133249">
        <w:rPr>
          <w:lang w:val="en-GB"/>
        </w:rPr>
        <w:t xml:space="preserve">; </w:t>
      </w:r>
      <w:r w:rsidR="0092236C">
        <w:rPr>
          <w:lang w:val="en-GB"/>
        </w:rPr>
        <w:t xml:space="preserve">FTBA = </w:t>
      </w:r>
      <w:r w:rsidR="002F2176">
        <w:rPr>
          <w:lang w:val="en-GB"/>
        </w:rPr>
        <w:t xml:space="preserve">Family Tax Benefit </w:t>
      </w:r>
      <w:r w:rsidR="00C800F4">
        <w:rPr>
          <w:lang w:val="en-GB"/>
        </w:rPr>
        <w:t xml:space="preserve">Part </w:t>
      </w:r>
      <w:r w:rsidR="002F2176">
        <w:rPr>
          <w:lang w:val="en-GB"/>
        </w:rPr>
        <w:t>A</w:t>
      </w:r>
      <w:r w:rsidR="00A4000B">
        <w:rPr>
          <w:lang w:val="en-GB"/>
        </w:rPr>
        <w:t>; FTBB =</w:t>
      </w:r>
      <w:r w:rsidR="00C800F4">
        <w:rPr>
          <w:lang w:val="en-GB"/>
        </w:rPr>
        <w:t xml:space="preserve"> Family Tax Benefit Part B</w:t>
      </w:r>
      <w:r w:rsidR="006F3CBF">
        <w:rPr>
          <w:lang w:val="en-GB"/>
        </w:rPr>
        <w:t>.</w:t>
      </w:r>
      <w:r w:rsidR="0096627B">
        <w:br/>
      </w:r>
      <w:r w:rsidR="0096627B" w:rsidRPr="00CE14AD">
        <w:rPr>
          <w:rFonts w:eastAsiaTheme="minorEastAsia"/>
        </w:rPr>
        <w:t>Cameo is based on estimated tax and transfer policy settings for the 2023</w:t>
      </w:r>
      <w:r w:rsidR="00C21C89" w:rsidRPr="00CE14AD">
        <w:rPr>
          <w:rFonts w:eastAsiaTheme="minorEastAsia"/>
        </w:rPr>
        <w:t>–</w:t>
      </w:r>
      <w:r w:rsidR="0096627B" w:rsidRPr="00CE14AD">
        <w:rPr>
          <w:rFonts w:eastAsiaTheme="minorEastAsia"/>
        </w:rPr>
        <w:t>24 financial year. Household is assumed to only receive private income from employment. Children under 6 are assumed to be in centre-based day care (CBDC) for 10 hours per day worked by the secondary earner, for 50 weeks per year, at a cost of $10.80/hr. Children over 6 are assumed to be in out‑of‑school‑hours care (OSHC) for 4 hours per day, at a cost of $7.85/hr</w:t>
      </w:r>
      <w:r w:rsidR="00013A27" w:rsidRPr="00CE14AD">
        <w:rPr>
          <w:rFonts w:eastAsiaTheme="minorEastAsia"/>
        </w:rPr>
        <w:t>.</w:t>
      </w:r>
      <w:r w:rsidR="00430393" w:rsidRPr="00CE14AD">
        <w:br/>
      </w:r>
      <w:r w:rsidR="4F36006B" w:rsidRPr="00CE14AD">
        <w:rPr>
          <w:lang w:val="en-GB"/>
        </w:rPr>
        <w:t>Source: Treasury</w:t>
      </w:r>
      <w:r w:rsidR="63D85665" w:rsidRPr="00CE14AD">
        <w:rPr>
          <w:lang w:val="en-GB"/>
        </w:rPr>
        <w:t xml:space="preserve">, </w:t>
      </w:r>
      <w:hyperlink r:id="rId59">
        <w:r w:rsidR="544F5C7A" w:rsidRPr="00CE14AD">
          <w:rPr>
            <w:rStyle w:val="Hyperlink"/>
            <w:color w:val="auto"/>
            <w:lang w:val="en-GB"/>
          </w:rPr>
          <w:t>Address to the Policy Research Conference</w:t>
        </w:r>
      </w:hyperlink>
      <w:r w:rsidR="00D3FBFE" w:rsidRPr="00CE14AD">
        <w:rPr>
          <w:lang w:val="en-GB"/>
        </w:rPr>
        <w:t>.</w:t>
      </w:r>
    </w:p>
    <w:p w14:paraId="6CA19BC7" w14:textId="6D7D0AA6" w:rsidR="003C268A" w:rsidRPr="00B71D0D" w:rsidRDefault="003C268A" w:rsidP="00B23060">
      <w:pPr>
        <w:pStyle w:val="SubSectionHeading"/>
        <w:numPr>
          <w:ilvl w:val="1"/>
          <w:numId w:val="14"/>
        </w:numPr>
      </w:pPr>
      <w:bookmarkStart w:id="107" w:name="_Toc133513320"/>
      <w:bookmarkStart w:id="108" w:name="_Toc133933322"/>
      <w:bookmarkStart w:id="109" w:name="_Toc134023027"/>
      <w:bookmarkStart w:id="110" w:name="_Toc134173432"/>
      <w:bookmarkStart w:id="111" w:name="_Toc135404865"/>
      <w:r>
        <w:t>Supply and Access</w:t>
      </w:r>
      <w:bookmarkEnd w:id="107"/>
      <w:bookmarkEnd w:id="108"/>
      <w:bookmarkEnd w:id="109"/>
      <w:bookmarkEnd w:id="110"/>
      <w:bookmarkEnd w:id="111"/>
    </w:p>
    <w:p w14:paraId="0EE2176B" w14:textId="710E6894" w:rsidR="003C268A" w:rsidRPr="008813AE" w:rsidRDefault="003C268A" w:rsidP="003C268A">
      <w:pPr>
        <w:pStyle w:val="Subbodytext"/>
      </w:pPr>
      <w:r>
        <w:t xml:space="preserve">The supply of ECEC in Australia is market-based, which means it is influenced by the commercial </w:t>
      </w:r>
      <w:r w:rsidRPr="008813AE">
        <w:t xml:space="preserve">decisions of providers. In addition, factors relating to cost and affordability (refer to </w:t>
      </w:r>
      <w:r w:rsidR="00B50AC9">
        <w:rPr>
          <w:b/>
          <w:bCs/>
        </w:rPr>
        <w:t>Section </w:t>
      </w:r>
      <w:r w:rsidRPr="008813AE">
        <w:rPr>
          <w:b/>
        </w:rPr>
        <w:t>5.</w:t>
      </w:r>
      <w:r w:rsidRPr="008813AE">
        <w:rPr>
          <w:b/>
          <w:bCs/>
        </w:rPr>
        <w:t>1</w:t>
      </w:r>
      <w:r w:rsidRPr="008813AE">
        <w:t>), or where a family lives, for example, can affect the accessibility of ECEC services.</w:t>
      </w:r>
    </w:p>
    <w:p w14:paraId="12A92416" w14:textId="198BAD55" w:rsidR="003C268A" w:rsidRPr="008813AE" w:rsidRDefault="003C268A" w:rsidP="003C268A">
      <w:pPr>
        <w:pStyle w:val="Subbodytext"/>
      </w:pPr>
      <w:r w:rsidRPr="008813AE">
        <w:t>Thin markets occur in regions in which ECEC providers are reluctant to enter and are often found in regional and remote areas. The supply of ECEC services is heavily dependent on commercial considerations and decisions on the part of providers. Such decisions extend to, for example, the locations in which providers operate their services and how this aligns with their business model. As</w:t>
      </w:r>
      <w:r w:rsidR="00591487">
        <w:t xml:space="preserve"> </w:t>
      </w:r>
      <w:r w:rsidRPr="008813AE">
        <w:t>such, regional and remote areas are often disproportionately affected.</w:t>
      </w:r>
    </w:p>
    <w:p w14:paraId="7DDA2D04" w14:textId="0E238568" w:rsidR="003C268A" w:rsidRDefault="003C268A" w:rsidP="003C268A">
      <w:pPr>
        <w:pStyle w:val="Subbodytext"/>
        <w:rPr>
          <w:b/>
          <w:bCs/>
          <w:color w:val="C00000"/>
        </w:rPr>
      </w:pPr>
      <w:r w:rsidRPr="008813AE">
        <w:rPr>
          <w:b/>
        </w:rPr>
        <w:t xml:space="preserve">Table </w:t>
      </w:r>
      <w:r w:rsidR="007740B7">
        <w:rPr>
          <w:b/>
        </w:rPr>
        <w:t>6</w:t>
      </w:r>
      <w:r w:rsidRPr="008813AE">
        <w:rPr>
          <w:b/>
          <w:bCs/>
        </w:rPr>
        <w:t xml:space="preserve"> </w:t>
      </w:r>
      <w:r w:rsidRPr="008813AE">
        <w:t xml:space="preserve">shows the number of children using </w:t>
      </w:r>
      <w:r w:rsidR="00D2029F" w:rsidRPr="008813AE">
        <w:t>child care</w:t>
      </w:r>
      <w:r w:rsidRPr="008813AE">
        <w:t xml:space="preserve"> by region in the September quarter 2022. This is followed by </w:t>
      </w:r>
      <w:r w:rsidRPr="008813AE">
        <w:rPr>
          <w:b/>
        </w:rPr>
        <w:t>Table</w:t>
      </w:r>
      <w:r w:rsidR="007740B7">
        <w:rPr>
          <w:b/>
        </w:rPr>
        <w:t xml:space="preserve"> 7</w:t>
      </w:r>
      <w:r w:rsidRPr="008813AE">
        <w:t>,</w:t>
      </w:r>
      <w:r w:rsidRPr="008813AE">
        <w:rPr>
          <w:b/>
          <w:bCs/>
        </w:rPr>
        <w:t xml:space="preserve"> </w:t>
      </w:r>
      <w:r w:rsidRPr="008813AE">
        <w:t xml:space="preserve">which shows the number </w:t>
      </w:r>
      <w:r w:rsidR="00A90AEB">
        <w:t xml:space="preserve">of </w:t>
      </w:r>
      <w:r w:rsidRPr="008813AE">
        <w:t xml:space="preserve">families using </w:t>
      </w:r>
      <w:r w:rsidR="005A44B7" w:rsidRPr="008813AE">
        <w:t>child care</w:t>
      </w:r>
      <w:r w:rsidRPr="008813AE">
        <w:t xml:space="preserve"> by region during the same period.</w:t>
      </w:r>
    </w:p>
    <w:p w14:paraId="78078585" w14:textId="2EEA4652" w:rsidR="000D454F" w:rsidRDefault="000D454F" w:rsidP="000D454F">
      <w:pPr>
        <w:pStyle w:val="Caption"/>
        <w:keepNext/>
      </w:pPr>
      <w:r>
        <w:t xml:space="preserve">Table </w:t>
      </w:r>
      <w:r>
        <w:fldChar w:fldCharType="begin"/>
      </w:r>
      <w:r>
        <w:instrText>SEQ Table \* ARABIC</w:instrText>
      </w:r>
      <w:r>
        <w:fldChar w:fldCharType="separate"/>
      </w:r>
      <w:r w:rsidR="00D307AC">
        <w:rPr>
          <w:noProof/>
        </w:rPr>
        <w:t>6</w:t>
      </w:r>
      <w:r>
        <w:fldChar w:fldCharType="end"/>
      </w:r>
      <w:r>
        <w:t>:</w:t>
      </w:r>
      <w:r w:rsidRPr="000D454F">
        <w:rPr>
          <w:rFonts w:ascii="Calibri" w:eastAsia="Times New Roman" w:hAnsi="Calibri" w:cs="Calibri"/>
          <w:lang w:eastAsia="en-AU"/>
        </w:rPr>
        <w:t xml:space="preserve"> </w:t>
      </w:r>
      <w:r w:rsidRPr="00CE5BE2">
        <w:rPr>
          <w:rFonts w:ascii="Calibri" w:eastAsia="Times New Roman" w:hAnsi="Calibri" w:cs="Calibri"/>
          <w:lang w:eastAsia="en-AU"/>
        </w:rPr>
        <w:t xml:space="preserve">Number of Children </w:t>
      </w:r>
      <w:r>
        <w:rPr>
          <w:rFonts w:ascii="Calibri" w:eastAsia="Times New Roman" w:hAnsi="Calibri" w:cs="Calibri"/>
          <w:lang w:eastAsia="en-AU"/>
        </w:rPr>
        <w:t xml:space="preserve">Using Child Care </w:t>
      </w:r>
      <w:r w:rsidRPr="00CE5BE2">
        <w:rPr>
          <w:rFonts w:ascii="Calibri" w:eastAsia="Times New Roman" w:hAnsi="Calibri" w:cs="Calibri"/>
          <w:lang w:eastAsia="en-AU"/>
        </w:rPr>
        <w:t>by Region, September Quarter 2022</w:t>
      </w:r>
    </w:p>
    <w:tbl>
      <w:tblPr>
        <w:tblStyle w:val="EDU-Basic"/>
        <w:tblW w:w="0" w:type="auto"/>
        <w:tblLook w:val="04A0" w:firstRow="1" w:lastRow="0" w:firstColumn="1" w:lastColumn="0" w:noHBand="0" w:noVBand="1"/>
      </w:tblPr>
      <w:tblGrid>
        <w:gridCol w:w="1502"/>
        <w:gridCol w:w="1502"/>
        <w:gridCol w:w="1503"/>
        <w:gridCol w:w="1503"/>
        <w:gridCol w:w="1503"/>
        <w:gridCol w:w="1503"/>
      </w:tblGrid>
      <w:tr w:rsidR="003C268A" w14:paraId="50291C1B" w14:textId="77777777" w:rsidTr="00B43BC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02" w:type="dxa"/>
          </w:tcPr>
          <w:p w14:paraId="68C07AE2" w14:textId="77777777" w:rsidR="003C268A" w:rsidRDefault="003C268A" w:rsidP="0016139C">
            <w:pPr>
              <w:pStyle w:val="Subbodytext"/>
              <w:keepNext/>
              <w:keepLines/>
              <w:spacing w:after="100"/>
              <w:rPr>
                <w:color w:val="C00000"/>
              </w:rPr>
            </w:pPr>
          </w:p>
        </w:tc>
        <w:tc>
          <w:tcPr>
            <w:tcW w:w="1502" w:type="dxa"/>
          </w:tcPr>
          <w:p w14:paraId="3B3711F5" w14:textId="41C26BD0" w:rsidR="003C268A" w:rsidRPr="00137776" w:rsidRDefault="003C268A" w:rsidP="0016139C">
            <w:pPr>
              <w:pStyle w:val="Subbodytext"/>
              <w:keepNext/>
              <w:keepLines/>
              <w:spacing w:after="100"/>
              <w:jc w:val="center"/>
              <w:cnfStyle w:val="100000000000" w:firstRow="1" w:lastRow="0" w:firstColumn="0" w:lastColumn="0" w:oddVBand="0" w:evenVBand="0" w:oddHBand="0" w:evenHBand="0" w:firstRowFirstColumn="0" w:firstRowLastColumn="0" w:lastRowFirstColumn="0" w:lastRowLastColumn="0"/>
              <w:rPr>
                <w:b/>
                <w:bCs/>
              </w:rPr>
            </w:pPr>
            <w:r w:rsidRPr="00137776">
              <w:rPr>
                <w:b/>
                <w:bCs/>
              </w:rPr>
              <w:t xml:space="preserve">Major </w:t>
            </w:r>
            <w:r w:rsidR="000F0974">
              <w:rPr>
                <w:b/>
                <w:bCs/>
              </w:rPr>
              <w:t>cities</w:t>
            </w:r>
            <w:r>
              <w:rPr>
                <w:b/>
                <w:bCs/>
              </w:rPr>
              <w:t xml:space="preserve"> of Australia</w:t>
            </w:r>
          </w:p>
        </w:tc>
        <w:tc>
          <w:tcPr>
            <w:tcW w:w="1503" w:type="dxa"/>
          </w:tcPr>
          <w:p w14:paraId="4AB8C662" w14:textId="7BCF9F10" w:rsidR="003C268A" w:rsidRPr="00137776" w:rsidRDefault="003C268A" w:rsidP="0016139C">
            <w:pPr>
              <w:pStyle w:val="Subbodytext"/>
              <w:keepNext/>
              <w:keepLines/>
              <w:spacing w:after="100"/>
              <w:jc w:val="center"/>
              <w:cnfStyle w:val="100000000000" w:firstRow="1" w:lastRow="0" w:firstColumn="0" w:lastColumn="0" w:oddVBand="0" w:evenVBand="0" w:oddHBand="0" w:evenHBand="0" w:firstRowFirstColumn="0" w:firstRowLastColumn="0" w:lastRowFirstColumn="0" w:lastRowLastColumn="0"/>
              <w:rPr>
                <w:b/>
                <w:bCs/>
              </w:rPr>
            </w:pPr>
            <w:r>
              <w:rPr>
                <w:b/>
                <w:bCs/>
              </w:rPr>
              <w:t xml:space="preserve">Inner </w:t>
            </w:r>
            <w:r w:rsidR="000F0974">
              <w:rPr>
                <w:b/>
                <w:bCs/>
              </w:rPr>
              <w:t xml:space="preserve">regional </w:t>
            </w:r>
            <w:r>
              <w:rPr>
                <w:b/>
                <w:bCs/>
              </w:rPr>
              <w:t>Australia</w:t>
            </w:r>
          </w:p>
        </w:tc>
        <w:tc>
          <w:tcPr>
            <w:tcW w:w="1503" w:type="dxa"/>
          </w:tcPr>
          <w:p w14:paraId="2D9F8A66" w14:textId="73E98910" w:rsidR="003C268A" w:rsidRPr="00137776" w:rsidRDefault="003C268A" w:rsidP="0016139C">
            <w:pPr>
              <w:pStyle w:val="Subbodytext"/>
              <w:keepNext/>
              <w:keepLines/>
              <w:spacing w:after="100"/>
              <w:jc w:val="center"/>
              <w:cnfStyle w:val="100000000000" w:firstRow="1" w:lastRow="0" w:firstColumn="0" w:lastColumn="0" w:oddVBand="0" w:evenVBand="0" w:oddHBand="0" w:evenHBand="0" w:firstRowFirstColumn="0" w:firstRowLastColumn="0" w:lastRowFirstColumn="0" w:lastRowLastColumn="0"/>
              <w:rPr>
                <w:b/>
                <w:bCs/>
              </w:rPr>
            </w:pPr>
            <w:r>
              <w:rPr>
                <w:b/>
                <w:bCs/>
              </w:rPr>
              <w:t xml:space="preserve">Outer </w:t>
            </w:r>
            <w:r w:rsidR="000F0974">
              <w:rPr>
                <w:b/>
                <w:bCs/>
              </w:rPr>
              <w:t>regiona</w:t>
            </w:r>
            <w:r>
              <w:rPr>
                <w:b/>
                <w:bCs/>
              </w:rPr>
              <w:t>l Australia</w:t>
            </w:r>
          </w:p>
        </w:tc>
        <w:tc>
          <w:tcPr>
            <w:tcW w:w="1503" w:type="dxa"/>
          </w:tcPr>
          <w:p w14:paraId="5C8D3B00" w14:textId="35EBBB4C" w:rsidR="003C268A" w:rsidRPr="00137776" w:rsidRDefault="003C268A" w:rsidP="0016139C">
            <w:pPr>
              <w:pStyle w:val="Subbodytext"/>
              <w:keepNext/>
              <w:keepLines/>
              <w:spacing w:after="100"/>
              <w:jc w:val="center"/>
              <w:cnfStyle w:val="100000000000" w:firstRow="1" w:lastRow="0" w:firstColumn="0" w:lastColumn="0" w:oddVBand="0" w:evenVBand="0" w:oddHBand="0" w:evenHBand="0" w:firstRowFirstColumn="0" w:firstRowLastColumn="0" w:lastRowFirstColumn="0" w:lastRowLastColumn="0"/>
              <w:rPr>
                <w:b/>
                <w:bCs/>
              </w:rPr>
            </w:pPr>
            <w:r>
              <w:rPr>
                <w:b/>
                <w:bCs/>
              </w:rPr>
              <w:t xml:space="preserve">Remote &amp; </w:t>
            </w:r>
            <w:r w:rsidR="000F0974">
              <w:rPr>
                <w:b/>
                <w:bCs/>
              </w:rPr>
              <w:t xml:space="preserve">very remote </w:t>
            </w:r>
            <w:r>
              <w:rPr>
                <w:b/>
                <w:bCs/>
              </w:rPr>
              <w:t>Australia</w:t>
            </w:r>
          </w:p>
        </w:tc>
        <w:tc>
          <w:tcPr>
            <w:tcW w:w="1503" w:type="dxa"/>
          </w:tcPr>
          <w:p w14:paraId="311D67EF" w14:textId="77777777" w:rsidR="003C268A" w:rsidRPr="00137776" w:rsidRDefault="003C268A" w:rsidP="0016139C">
            <w:pPr>
              <w:pStyle w:val="Subbodytext"/>
              <w:keepNext/>
              <w:keepLines/>
              <w:spacing w:after="100"/>
              <w:jc w:val="center"/>
              <w:cnfStyle w:val="100000000000" w:firstRow="1" w:lastRow="0" w:firstColumn="0" w:lastColumn="0" w:oddVBand="0" w:evenVBand="0" w:oddHBand="0" w:evenHBand="0" w:firstRowFirstColumn="0" w:firstRowLastColumn="0" w:lastRowFirstColumn="0" w:lastRowLastColumn="0"/>
              <w:rPr>
                <w:b/>
                <w:bCs/>
              </w:rPr>
            </w:pPr>
            <w:r>
              <w:rPr>
                <w:b/>
                <w:bCs/>
              </w:rPr>
              <w:t>Australia*</w:t>
            </w:r>
          </w:p>
        </w:tc>
      </w:tr>
      <w:tr w:rsidR="003C268A" w14:paraId="4F88EBA1" w14:textId="77777777" w:rsidTr="00B43BC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02" w:type="dxa"/>
            <w:shd w:val="clear" w:color="auto" w:fill="auto"/>
          </w:tcPr>
          <w:p w14:paraId="5428214F" w14:textId="35E47CF1" w:rsidR="003C268A" w:rsidRPr="00B43BC8" w:rsidRDefault="00CF2D01" w:rsidP="0016139C">
            <w:pPr>
              <w:pStyle w:val="Subbodytext"/>
              <w:keepNext/>
              <w:keepLines/>
              <w:spacing w:after="100"/>
              <w:rPr>
                <w:color w:val="auto"/>
              </w:rPr>
            </w:pPr>
            <w:r w:rsidRPr="00B43BC8">
              <w:rPr>
                <w:color w:val="auto"/>
              </w:rPr>
              <w:t>Centre-based day care</w:t>
            </w:r>
          </w:p>
        </w:tc>
        <w:tc>
          <w:tcPr>
            <w:tcW w:w="1502" w:type="dxa"/>
            <w:shd w:val="clear" w:color="auto" w:fill="auto"/>
          </w:tcPr>
          <w:p w14:paraId="2292A3F3" w14:textId="77777777" w:rsidR="003C268A" w:rsidRPr="00B43BC8" w:rsidRDefault="003C268A" w:rsidP="0016139C">
            <w:pPr>
              <w:pStyle w:val="Subbodytext"/>
              <w:keepNext/>
              <w:keepLines/>
              <w:spacing w:after="100"/>
              <w:jc w:val="center"/>
              <w:cnfStyle w:val="100000000000" w:firstRow="1" w:lastRow="0" w:firstColumn="0" w:lastColumn="0" w:oddVBand="0" w:evenVBand="0" w:oddHBand="0" w:evenHBand="0" w:firstRowFirstColumn="0" w:firstRowLastColumn="0" w:lastRowFirstColumn="0" w:lastRowLastColumn="0"/>
              <w:rPr>
                <w:color w:val="auto"/>
              </w:rPr>
            </w:pPr>
            <w:r w:rsidRPr="00B43BC8">
              <w:rPr>
                <w:color w:val="auto"/>
              </w:rPr>
              <w:t>626,720</w:t>
            </w:r>
          </w:p>
        </w:tc>
        <w:tc>
          <w:tcPr>
            <w:tcW w:w="1503" w:type="dxa"/>
            <w:shd w:val="clear" w:color="auto" w:fill="auto"/>
          </w:tcPr>
          <w:p w14:paraId="6EA8695B" w14:textId="77777777" w:rsidR="003C268A" w:rsidRPr="00B43BC8" w:rsidRDefault="003C268A" w:rsidP="0016139C">
            <w:pPr>
              <w:pStyle w:val="Subbodytext"/>
              <w:keepNext/>
              <w:keepLines/>
              <w:spacing w:after="100"/>
              <w:jc w:val="center"/>
              <w:cnfStyle w:val="100000000000" w:firstRow="1" w:lastRow="0" w:firstColumn="0" w:lastColumn="0" w:oddVBand="0" w:evenVBand="0" w:oddHBand="0" w:evenHBand="0" w:firstRowFirstColumn="0" w:firstRowLastColumn="0" w:lastRowFirstColumn="0" w:lastRowLastColumn="0"/>
              <w:rPr>
                <w:color w:val="auto"/>
              </w:rPr>
            </w:pPr>
            <w:r w:rsidRPr="00B43BC8">
              <w:rPr>
                <w:color w:val="auto"/>
              </w:rPr>
              <w:t>142,490</w:t>
            </w:r>
          </w:p>
        </w:tc>
        <w:tc>
          <w:tcPr>
            <w:tcW w:w="1503" w:type="dxa"/>
            <w:shd w:val="clear" w:color="auto" w:fill="auto"/>
          </w:tcPr>
          <w:p w14:paraId="4DDEBE38" w14:textId="77777777" w:rsidR="003C268A" w:rsidRPr="00B43BC8" w:rsidRDefault="003C268A" w:rsidP="0016139C">
            <w:pPr>
              <w:pStyle w:val="Subbodytext"/>
              <w:keepNext/>
              <w:keepLines/>
              <w:spacing w:after="100"/>
              <w:jc w:val="center"/>
              <w:cnfStyle w:val="100000000000" w:firstRow="1" w:lastRow="0" w:firstColumn="0" w:lastColumn="0" w:oddVBand="0" w:evenVBand="0" w:oddHBand="0" w:evenHBand="0" w:firstRowFirstColumn="0" w:firstRowLastColumn="0" w:lastRowFirstColumn="0" w:lastRowLastColumn="0"/>
              <w:rPr>
                <w:color w:val="auto"/>
              </w:rPr>
            </w:pPr>
            <w:r w:rsidRPr="00B43BC8">
              <w:rPr>
                <w:color w:val="auto"/>
              </w:rPr>
              <w:t>50,470</w:t>
            </w:r>
          </w:p>
        </w:tc>
        <w:tc>
          <w:tcPr>
            <w:tcW w:w="1503" w:type="dxa"/>
            <w:shd w:val="clear" w:color="auto" w:fill="auto"/>
          </w:tcPr>
          <w:p w14:paraId="7534556A" w14:textId="77777777" w:rsidR="003C268A" w:rsidRPr="00B43BC8" w:rsidRDefault="003C268A" w:rsidP="0016139C">
            <w:pPr>
              <w:pStyle w:val="Subbodytext"/>
              <w:keepNext/>
              <w:keepLines/>
              <w:spacing w:after="100"/>
              <w:jc w:val="center"/>
              <w:cnfStyle w:val="100000000000" w:firstRow="1" w:lastRow="0" w:firstColumn="0" w:lastColumn="0" w:oddVBand="0" w:evenVBand="0" w:oddHBand="0" w:evenHBand="0" w:firstRowFirstColumn="0" w:firstRowLastColumn="0" w:lastRowFirstColumn="0" w:lastRowLastColumn="0"/>
              <w:rPr>
                <w:color w:val="auto"/>
              </w:rPr>
            </w:pPr>
            <w:r w:rsidRPr="00B43BC8">
              <w:rPr>
                <w:color w:val="auto"/>
              </w:rPr>
              <w:t>9,130</w:t>
            </w:r>
          </w:p>
        </w:tc>
        <w:tc>
          <w:tcPr>
            <w:tcW w:w="1503" w:type="dxa"/>
            <w:shd w:val="clear" w:color="auto" w:fill="auto"/>
          </w:tcPr>
          <w:p w14:paraId="73BDB300" w14:textId="77777777" w:rsidR="003C268A" w:rsidRPr="00B43BC8" w:rsidRDefault="003C268A" w:rsidP="0016139C">
            <w:pPr>
              <w:pStyle w:val="Subbodytext"/>
              <w:keepNext/>
              <w:keepLines/>
              <w:spacing w:after="100"/>
              <w:jc w:val="center"/>
              <w:cnfStyle w:val="100000000000" w:firstRow="1" w:lastRow="0" w:firstColumn="0" w:lastColumn="0" w:oddVBand="0" w:evenVBand="0" w:oddHBand="0" w:evenHBand="0" w:firstRowFirstColumn="0" w:firstRowLastColumn="0" w:lastRowFirstColumn="0" w:lastRowLastColumn="0"/>
              <w:rPr>
                <w:color w:val="auto"/>
              </w:rPr>
            </w:pPr>
            <w:r w:rsidRPr="00B43BC8">
              <w:rPr>
                <w:color w:val="auto"/>
              </w:rPr>
              <w:t>825,850</w:t>
            </w:r>
          </w:p>
        </w:tc>
      </w:tr>
      <w:tr w:rsidR="003C268A" w14:paraId="2F65756C" w14:textId="77777777" w:rsidTr="00B43BC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02" w:type="dxa"/>
            <w:shd w:val="clear" w:color="auto" w:fill="auto"/>
          </w:tcPr>
          <w:p w14:paraId="52C4573A" w14:textId="404815A0" w:rsidR="003C268A" w:rsidRPr="00B43BC8" w:rsidRDefault="00CF2D01" w:rsidP="0016139C">
            <w:pPr>
              <w:pStyle w:val="Subbodytext"/>
              <w:keepNext/>
              <w:keepLines/>
              <w:spacing w:after="100"/>
              <w:rPr>
                <w:color w:val="auto"/>
              </w:rPr>
            </w:pPr>
            <w:r w:rsidRPr="00B43BC8">
              <w:rPr>
                <w:color w:val="auto"/>
              </w:rPr>
              <w:t xml:space="preserve">Family day care </w:t>
            </w:r>
          </w:p>
        </w:tc>
        <w:tc>
          <w:tcPr>
            <w:tcW w:w="1502" w:type="dxa"/>
            <w:shd w:val="clear" w:color="auto" w:fill="auto"/>
          </w:tcPr>
          <w:p w14:paraId="515340CF" w14:textId="77777777" w:rsidR="003C268A" w:rsidRPr="00B43BC8" w:rsidRDefault="003C268A" w:rsidP="0016139C">
            <w:pPr>
              <w:pStyle w:val="Subbodytext"/>
              <w:keepNext/>
              <w:keepLines/>
              <w:spacing w:after="100"/>
              <w:jc w:val="center"/>
              <w:cnfStyle w:val="100000000000" w:firstRow="1" w:lastRow="0" w:firstColumn="0" w:lastColumn="0" w:oddVBand="0" w:evenVBand="0" w:oddHBand="0" w:evenHBand="0" w:firstRowFirstColumn="0" w:firstRowLastColumn="0" w:lastRowFirstColumn="0" w:lastRowLastColumn="0"/>
              <w:rPr>
                <w:color w:val="auto"/>
              </w:rPr>
            </w:pPr>
            <w:r w:rsidRPr="00B43BC8">
              <w:rPr>
                <w:color w:val="auto"/>
              </w:rPr>
              <w:t>59,650</w:t>
            </w:r>
          </w:p>
        </w:tc>
        <w:tc>
          <w:tcPr>
            <w:tcW w:w="1503" w:type="dxa"/>
            <w:shd w:val="clear" w:color="auto" w:fill="auto"/>
          </w:tcPr>
          <w:p w14:paraId="01EA1EE4" w14:textId="77777777" w:rsidR="003C268A" w:rsidRPr="00B43BC8" w:rsidRDefault="003C268A" w:rsidP="0016139C">
            <w:pPr>
              <w:pStyle w:val="Subbodytext"/>
              <w:keepNext/>
              <w:keepLines/>
              <w:spacing w:after="100"/>
              <w:jc w:val="center"/>
              <w:cnfStyle w:val="100000000000" w:firstRow="1" w:lastRow="0" w:firstColumn="0" w:lastColumn="0" w:oddVBand="0" w:evenVBand="0" w:oddHBand="0" w:evenHBand="0" w:firstRowFirstColumn="0" w:firstRowLastColumn="0" w:lastRowFirstColumn="0" w:lastRowLastColumn="0"/>
              <w:rPr>
                <w:color w:val="auto"/>
              </w:rPr>
            </w:pPr>
            <w:r w:rsidRPr="00B43BC8">
              <w:rPr>
                <w:color w:val="auto"/>
              </w:rPr>
              <w:t>15,600</w:t>
            </w:r>
          </w:p>
        </w:tc>
        <w:tc>
          <w:tcPr>
            <w:tcW w:w="1503" w:type="dxa"/>
            <w:shd w:val="clear" w:color="auto" w:fill="auto"/>
          </w:tcPr>
          <w:p w14:paraId="0DAFD491" w14:textId="77777777" w:rsidR="003C268A" w:rsidRPr="00B43BC8" w:rsidRDefault="003C268A" w:rsidP="0016139C">
            <w:pPr>
              <w:pStyle w:val="Subbodytext"/>
              <w:keepNext/>
              <w:keepLines/>
              <w:spacing w:after="100"/>
              <w:jc w:val="center"/>
              <w:cnfStyle w:val="100000000000" w:firstRow="1" w:lastRow="0" w:firstColumn="0" w:lastColumn="0" w:oddVBand="0" w:evenVBand="0" w:oddHBand="0" w:evenHBand="0" w:firstRowFirstColumn="0" w:firstRowLastColumn="0" w:lastRowFirstColumn="0" w:lastRowLastColumn="0"/>
              <w:rPr>
                <w:color w:val="auto"/>
              </w:rPr>
            </w:pPr>
            <w:r w:rsidRPr="00B43BC8">
              <w:rPr>
                <w:color w:val="auto"/>
              </w:rPr>
              <w:t>7,090</w:t>
            </w:r>
          </w:p>
        </w:tc>
        <w:tc>
          <w:tcPr>
            <w:tcW w:w="1503" w:type="dxa"/>
            <w:shd w:val="clear" w:color="auto" w:fill="auto"/>
          </w:tcPr>
          <w:p w14:paraId="2D7A79F3" w14:textId="77777777" w:rsidR="003C268A" w:rsidRPr="00B43BC8" w:rsidRDefault="003C268A" w:rsidP="0016139C">
            <w:pPr>
              <w:pStyle w:val="Subbodytext"/>
              <w:keepNext/>
              <w:keepLines/>
              <w:spacing w:after="100"/>
              <w:jc w:val="center"/>
              <w:cnfStyle w:val="100000000000" w:firstRow="1" w:lastRow="0" w:firstColumn="0" w:lastColumn="0" w:oddVBand="0" w:evenVBand="0" w:oddHBand="0" w:evenHBand="0" w:firstRowFirstColumn="0" w:firstRowLastColumn="0" w:lastRowFirstColumn="0" w:lastRowLastColumn="0"/>
              <w:rPr>
                <w:color w:val="auto"/>
              </w:rPr>
            </w:pPr>
            <w:r w:rsidRPr="00B43BC8">
              <w:rPr>
                <w:color w:val="auto"/>
              </w:rPr>
              <w:t>530</w:t>
            </w:r>
          </w:p>
        </w:tc>
        <w:tc>
          <w:tcPr>
            <w:tcW w:w="1503" w:type="dxa"/>
            <w:shd w:val="clear" w:color="auto" w:fill="auto"/>
          </w:tcPr>
          <w:p w14:paraId="4EA51D64" w14:textId="77777777" w:rsidR="003C268A" w:rsidRPr="00B43BC8" w:rsidRDefault="003C268A" w:rsidP="0016139C">
            <w:pPr>
              <w:pStyle w:val="Subbodytext"/>
              <w:keepNext/>
              <w:keepLines/>
              <w:spacing w:after="100"/>
              <w:jc w:val="center"/>
              <w:cnfStyle w:val="100000000000" w:firstRow="1" w:lastRow="0" w:firstColumn="0" w:lastColumn="0" w:oddVBand="0" w:evenVBand="0" w:oddHBand="0" w:evenHBand="0" w:firstRowFirstColumn="0" w:firstRowLastColumn="0" w:lastRowFirstColumn="0" w:lastRowLastColumn="0"/>
              <w:rPr>
                <w:color w:val="auto"/>
              </w:rPr>
            </w:pPr>
            <w:r w:rsidRPr="00B43BC8">
              <w:rPr>
                <w:color w:val="auto"/>
              </w:rPr>
              <w:t>82,420</w:t>
            </w:r>
          </w:p>
        </w:tc>
      </w:tr>
      <w:tr w:rsidR="003C268A" w14:paraId="134EDF19" w14:textId="77777777" w:rsidTr="00B43BC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02" w:type="dxa"/>
            <w:shd w:val="clear" w:color="auto" w:fill="auto"/>
          </w:tcPr>
          <w:p w14:paraId="62567FE2" w14:textId="4C2BA050" w:rsidR="003C268A" w:rsidRPr="00B43BC8" w:rsidRDefault="00CF2D01" w:rsidP="0016139C">
            <w:pPr>
              <w:pStyle w:val="Subbodytext"/>
              <w:keepNext/>
              <w:keepLines/>
              <w:spacing w:after="100"/>
              <w:rPr>
                <w:color w:val="auto"/>
              </w:rPr>
            </w:pPr>
            <w:r w:rsidRPr="00B43BC8">
              <w:rPr>
                <w:color w:val="auto"/>
              </w:rPr>
              <w:t>Outside school hours care</w:t>
            </w:r>
          </w:p>
        </w:tc>
        <w:tc>
          <w:tcPr>
            <w:tcW w:w="1502" w:type="dxa"/>
            <w:shd w:val="clear" w:color="auto" w:fill="auto"/>
          </w:tcPr>
          <w:p w14:paraId="2B74DE2A" w14:textId="77777777" w:rsidR="003C268A" w:rsidRPr="00B43BC8" w:rsidRDefault="003C268A" w:rsidP="0016139C">
            <w:pPr>
              <w:pStyle w:val="Subbodytext"/>
              <w:keepNext/>
              <w:keepLines/>
              <w:spacing w:after="100"/>
              <w:jc w:val="center"/>
              <w:cnfStyle w:val="100000000000" w:firstRow="1" w:lastRow="0" w:firstColumn="0" w:lastColumn="0" w:oddVBand="0" w:evenVBand="0" w:oddHBand="0" w:evenHBand="0" w:firstRowFirstColumn="0" w:firstRowLastColumn="0" w:lastRowFirstColumn="0" w:lastRowLastColumn="0"/>
              <w:rPr>
                <w:color w:val="auto"/>
              </w:rPr>
            </w:pPr>
            <w:r w:rsidRPr="00B43BC8">
              <w:rPr>
                <w:color w:val="auto"/>
              </w:rPr>
              <w:t>434,390</w:t>
            </w:r>
          </w:p>
        </w:tc>
        <w:tc>
          <w:tcPr>
            <w:tcW w:w="1503" w:type="dxa"/>
            <w:shd w:val="clear" w:color="auto" w:fill="auto"/>
          </w:tcPr>
          <w:p w14:paraId="3D7BBBA9" w14:textId="77777777" w:rsidR="003C268A" w:rsidRPr="00B43BC8" w:rsidRDefault="003C268A" w:rsidP="0016139C">
            <w:pPr>
              <w:pStyle w:val="Subbodytext"/>
              <w:keepNext/>
              <w:keepLines/>
              <w:spacing w:after="100"/>
              <w:jc w:val="center"/>
              <w:cnfStyle w:val="100000000000" w:firstRow="1" w:lastRow="0" w:firstColumn="0" w:lastColumn="0" w:oddVBand="0" w:evenVBand="0" w:oddHBand="0" w:evenHBand="0" w:firstRowFirstColumn="0" w:firstRowLastColumn="0" w:lastRowFirstColumn="0" w:lastRowLastColumn="0"/>
              <w:rPr>
                <w:color w:val="auto"/>
              </w:rPr>
            </w:pPr>
            <w:r w:rsidRPr="00B43BC8">
              <w:rPr>
                <w:color w:val="auto"/>
              </w:rPr>
              <w:t>75,540</w:t>
            </w:r>
          </w:p>
        </w:tc>
        <w:tc>
          <w:tcPr>
            <w:tcW w:w="1503" w:type="dxa"/>
            <w:shd w:val="clear" w:color="auto" w:fill="auto"/>
          </w:tcPr>
          <w:p w14:paraId="4EDB2A65" w14:textId="77777777" w:rsidR="003C268A" w:rsidRPr="00B43BC8" w:rsidRDefault="003C268A" w:rsidP="0016139C">
            <w:pPr>
              <w:pStyle w:val="Subbodytext"/>
              <w:keepNext/>
              <w:keepLines/>
              <w:spacing w:after="100"/>
              <w:jc w:val="center"/>
              <w:cnfStyle w:val="100000000000" w:firstRow="1" w:lastRow="0" w:firstColumn="0" w:lastColumn="0" w:oddVBand="0" w:evenVBand="0" w:oddHBand="0" w:evenHBand="0" w:firstRowFirstColumn="0" w:firstRowLastColumn="0" w:lastRowFirstColumn="0" w:lastRowLastColumn="0"/>
              <w:rPr>
                <w:color w:val="auto"/>
              </w:rPr>
            </w:pPr>
            <w:r w:rsidRPr="00B43BC8">
              <w:rPr>
                <w:color w:val="auto"/>
              </w:rPr>
              <w:t>25,690</w:t>
            </w:r>
          </w:p>
        </w:tc>
        <w:tc>
          <w:tcPr>
            <w:tcW w:w="1503" w:type="dxa"/>
            <w:shd w:val="clear" w:color="auto" w:fill="auto"/>
          </w:tcPr>
          <w:p w14:paraId="48F64307" w14:textId="77777777" w:rsidR="003C268A" w:rsidRPr="00B43BC8" w:rsidRDefault="003C268A" w:rsidP="0016139C">
            <w:pPr>
              <w:pStyle w:val="Subbodytext"/>
              <w:keepNext/>
              <w:keepLines/>
              <w:spacing w:after="100"/>
              <w:jc w:val="center"/>
              <w:cnfStyle w:val="100000000000" w:firstRow="1" w:lastRow="0" w:firstColumn="0" w:lastColumn="0" w:oddVBand="0" w:evenVBand="0" w:oddHBand="0" w:evenHBand="0" w:firstRowFirstColumn="0" w:firstRowLastColumn="0" w:lastRowFirstColumn="0" w:lastRowLastColumn="0"/>
              <w:rPr>
                <w:color w:val="auto"/>
              </w:rPr>
            </w:pPr>
            <w:r w:rsidRPr="00B43BC8">
              <w:rPr>
                <w:color w:val="auto"/>
              </w:rPr>
              <w:t>2,290</w:t>
            </w:r>
          </w:p>
        </w:tc>
        <w:tc>
          <w:tcPr>
            <w:tcW w:w="1503" w:type="dxa"/>
            <w:shd w:val="clear" w:color="auto" w:fill="auto"/>
          </w:tcPr>
          <w:p w14:paraId="2A763152" w14:textId="77777777" w:rsidR="003C268A" w:rsidRPr="00B43BC8" w:rsidRDefault="003C268A" w:rsidP="0016139C">
            <w:pPr>
              <w:pStyle w:val="Subbodytext"/>
              <w:keepNext/>
              <w:keepLines/>
              <w:spacing w:after="100"/>
              <w:jc w:val="center"/>
              <w:cnfStyle w:val="100000000000" w:firstRow="1" w:lastRow="0" w:firstColumn="0" w:lastColumn="0" w:oddVBand="0" w:evenVBand="0" w:oddHBand="0" w:evenHBand="0" w:firstRowFirstColumn="0" w:firstRowLastColumn="0" w:lastRowFirstColumn="0" w:lastRowLastColumn="0"/>
              <w:rPr>
                <w:color w:val="auto"/>
              </w:rPr>
            </w:pPr>
            <w:r w:rsidRPr="00B43BC8">
              <w:rPr>
                <w:color w:val="auto"/>
              </w:rPr>
              <w:t>536,660</w:t>
            </w:r>
          </w:p>
        </w:tc>
      </w:tr>
      <w:tr w:rsidR="003C268A" w14:paraId="48D789AE" w14:textId="77777777" w:rsidTr="00B43BC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02" w:type="dxa"/>
            <w:shd w:val="clear" w:color="auto" w:fill="auto"/>
          </w:tcPr>
          <w:p w14:paraId="53D1806C" w14:textId="77777777" w:rsidR="003C268A" w:rsidRPr="00B43BC8" w:rsidRDefault="003C268A" w:rsidP="0016139C">
            <w:pPr>
              <w:pStyle w:val="Subbodytext"/>
              <w:keepNext/>
              <w:keepLines/>
              <w:spacing w:after="100"/>
              <w:rPr>
                <w:b/>
                <w:color w:val="auto"/>
              </w:rPr>
            </w:pPr>
            <w:r w:rsidRPr="00B43BC8">
              <w:rPr>
                <w:b/>
                <w:color w:val="auto"/>
              </w:rPr>
              <w:t>Total*#</w:t>
            </w:r>
          </w:p>
        </w:tc>
        <w:tc>
          <w:tcPr>
            <w:tcW w:w="1502" w:type="dxa"/>
            <w:shd w:val="clear" w:color="auto" w:fill="auto"/>
          </w:tcPr>
          <w:p w14:paraId="27388DDF" w14:textId="77777777" w:rsidR="003C268A" w:rsidRPr="00B43BC8" w:rsidRDefault="003C268A" w:rsidP="0016139C">
            <w:pPr>
              <w:pStyle w:val="Subbodytext"/>
              <w:keepNext/>
              <w:keepLines/>
              <w:spacing w:after="100"/>
              <w:jc w:val="center"/>
              <w:cnfStyle w:val="100000000000" w:firstRow="1" w:lastRow="0" w:firstColumn="0" w:lastColumn="0" w:oddVBand="0" w:evenVBand="0" w:oddHBand="0" w:evenHBand="0" w:firstRowFirstColumn="0" w:firstRowLastColumn="0" w:lastRowFirstColumn="0" w:lastRowLastColumn="0"/>
              <w:rPr>
                <w:b/>
                <w:color w:val="auto"/>
              </w:rPr>
            </w:pPr>
            <w:r w:rsidRPr="00B43BC8">
              <w:rPr>
                <w:b/>
                <w:color w:val="auto"/>
              </w:rPr>
              <w:t>1,097,810</w:t>
            </w:r>
          </w:p>
        </w:tc>
        <w:tc>
          <w:tcPr>
            <w:tcW w:w="1503" w:type="dxa"/>
            <w:shd w:val="clear" w:color="auto" w:fill="auto"/>
          </w:tcPr>
          <w:p w14:paraId="3FA7674C" w14:textId="77777777" w:rsidR="003C268A" w:rsidRPr="00B43BC8" w:rsidRDefault="003C268A" w:rsidP="0016139C">
            <w:pPr>
              <w:pStyle w:val="Subbodytext"/>
              <w:keepNext/>
              <w:keepLines/>
              <w:spacing w:after="100"/>
              <w:jc w:val="center"/>
              <w:cnfStyle w:val="100000000000" w:firstRow="1" w:lastRow="0" w:firstColumn="0" w:lastColumn="0" w:oddVBand="0" w:evenVBand="0" w:oddHBand="0" w:evenHBand="0" w:firstRowFirstColumn="0" w:firstRowLastColumn="0" w:lastRowFirstColumn="0" w:lastRowLastColumn="0"/>
              <w:rPr>
                <w:b/>
                <w:color w:val="auto"/>
              </w:rPr>
            </w:pPr>
            <w:r w:rsidRPr="00B43BC8">
              <w:rPr>
                <w:b/>
                <w:color w:val="auto"/>
              </w:rPr>
              <w:t>228,320</w:t>
            </w:r>
          </w:p>
        </w:tc>
        <w:tc>
          <w:tcPr>
            <w:tcW w:w="1503" w:type="dxa"/>
            <w:shd w:val="clear" w:color="auto" w:fill="auto"/>
          </w:tcPr>
          <w:p w14:paraId="1432ACCC" w14:textId="77777777" w:rsidR="003C268A" w:rsidRPr="00B43BC8" w:rsidRDefault="003C268A" w:rsidP="0016139C">
            <w:pPr>
              <w:pStyle w:val="Subbodytext"/>
              <w:keepNext/>
              <w:keepLines/>
              <w:spacing w:after="100"/>
              <w:jc w:val="center"/>
              <w:cnfStyle w:val="100000000000" w:firstRow="1" w:lastRow="0" w:firstColumn="0" w:lastColumn="0" w:oddVBand="0" w:evenVBand="0" w:oddHBand="0" w:evenHBand="0" w:firstRowFirstColumn="0" w:firstRowLastColumn="0" w:lastRowFirstColumn="0" w:lastRowLastColumn="0"/>
              <w:rPr>
                <w:b/>
                <w:color w:val="auto"/>
              </w:rPr>
            </w:pPr>
            <w:r w:rsidRPr="00B43BC8">
              <w:rPr>
                <w:b/>
                <w:color w:val="auto"/>
              </w:rPr>
              <w:t>81,280</w:t>
            </w:r>
          </w:p>
        </w:tc>
        <w:tc>
          <w:tcPr>
            <w:tcW w:w="1503" w:type="dxa"/>
            <w:shd w:val="clear" w:color="auto" w:fill="auto"/>
          </w:tcPr>
          <w:p w14:paraId="771BCDF2" w14:textId="77777777" w:rsidR="003C268A" w:rsidRPr="00B43BC8" w:rsidRDefault="003C268A" w:rsidP="0016139C">
            <w:pPr>
              <w:pStyle w:val="Subbodytext"/>
              <w:keepNext/>
              <w:keepLines/>
              <w:spacing w:after="100"/>
              <w:jc w:val="center"/>
              <w:cnfStyle w:val="100000000000" w:firstRow="1" w:lastRow="0" w:firstColumn="0" w:lastColumn="0" w:oddVBand="0" w:evenVBand="0" w:oddHBand="0" w:evenHBand="0" w:firstRowFirstColumn="0" w:firstRowLastColumn="0" w:lastRowFirstColumn="0" w:lastRowLastColumn="0"/>
              <w:rPr>
                <w:b/>
                <w:color w:val="auto"/>
              </w:rPr>
            </w:pPr>
            <w:r w:rsidRPr="00B43BC8">
              <w:rPr>
                <w:b/>
                <w:color w:val="auto"/>
              </w:rPr>
              <w:t>11,690</w:t>
            </w:r>
          </w:p>
        </w:tc>
        <w:tc>
          <w:tcPr>
            <w:tcW w:w="1503" w:type="dxa"/>
            <w:shd w:val="clear" w:color="auto" w:fill="auto"/>
          </w:tcPr>
          <w:p w14:paraId="00B8B3D4" w14:textId="77777777" w:rsidR="003C268A" w:rsidRPr="00B43BC8" w:rsidRDefault="003C268A" w:rsidP="0016139C">
            <w:pPr>
              <w:pStyle w:val="Subbodytext"/>
              <w:keepNext/>
              <w:keepLines/>
              <w:spacing w:after="100"/>
              <w:jc w:val="center"/>
              <w:cnfStyle w:val="100000000000" w:firstRow="1" w:lastRow="0" w:firstColumn="0" w:lastColumn="0" w:oddVBand="0" w:evenVBand="0" w:oddHBand="0" w:evenHBand="0" w:firstRowFirstColumn="0" w:firstRowLastColumn="0" w:lastRowFirstColumn="0" w:lastRowLastColumn="0"/>
              <w:rPr>
                <w:b/>
                <w:color w:val="auto"/>
              </w:rPr>
            </w:pPr>
            <w:r w:rsidRPr="00B43BC8">
              <w:rPr>
                <w:b/>
                <w:color w:val="auto"/>
              </w:rPr>
              <w:t>1,411,790</w:t>
            </w:r>
          </w:p>
        </w:tc>
      </w:tr>
      <w:tr w:rsidR="003C268A" w14:paraId="66675EF8" w14:textId="77777777" w:rsidTr="00B43BC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02" w:type="dxa"/>
            <w:shd w:val="clear" w:color="auto" w:fill="auto"/>
          </w:tcPr>
          <w:p w14:paraId="0FC9C4DD" w14:textId="7D5F72AF" w:rsidR="003C268A" w:rsidRPr="00B43BC8" w:rsidRDefault="003C268A" w:rsidP="0016139C">
            <w:pPr>
              <w:pStyle w:val="Subbodytext"/>
              <w:keepNext/>
              <w:keepLines/>
              <w:spacing w:after="100"/>
              <w:rPr>
                <w:color w:val="auto"/>
              </w:rPr>
            </w:pPr>
            <w:r w:rsidRPr="00B43BC8">
              <w:rPr>
                <w:color w:val="auto"/>
              </w:rPr>
              <w:t xml:space="preserve">In </w:t>
            </w:r>
            <w:r w:rsidR="00CF2D01" w:rsidRPr="00B43BC8">
              <w:rPr>
                <w:color w:val="auto"/>
              </w:rPr>
              <w:t>home care</w:t>
            </w:r>
          </w:p>
        </w:tc>
        <w:tc>
          <w:tcPr>
            <w:tcW w:w="1502" w:type="dxa"/>
            <w:shd w:val="clear" w:color="auto" w:fill="auto"/>
          </w:tcPr>
          <w:p w14:paraId="4A91F966" w14:textId="77777777" w:rsidR="003C268A" w:rsidRPr="00B43BC8" w:rsidRDefault="003C268A" w:rsidP="0016139C">
            <w:pPr>
              <w:pStyle w:val="Subbodytext"/>
              <w:keepNext/>
              <w:keepLines/>
              <w:spacing w:after="100"/>
              <w:jc w:val="center"/>
              <w:cnfStyle w:val="100000000000" w:firstRow="1" w:lastRow="0" w:firstColumn="0" w:lastColumn="0" w:oddVBand="0" w:evenVBand="0" w:oddHBand="0" w:evenHBand="0" w:firstRowFirstColumn="0" w:firstRowLastColumn="0" w:lastRowFirstColumn="0" w:lastRowLastColumn="0"/>
              <w:rPr>
                <w:color w:val="auto"/>
              </w:rPr>
            </w:pPr>
          </w:p>
        </w:tc>
        <w:tc>
          <w:tcPr>
            <w:tcW w:w="1503" w:type="dxa"/>
            <w:shd w:val="clear" w:color="auto" w:fill="auto"/>
          </w:tcPr>
          <w:p w14:paraId="5D1990D9" w14:textId="77777777" w:rsidR="003C268A" w:rsidRPr="00B43BC8" w:rsidRDefault="003C268A" w:rsidP="0016139C">
            <w:pPr>
              <w:pStyle w:val="Subbodytext"/>
              <w:keepNext/>
              <w:keepLines/>
              <w:spacing w:after="100"/>
              <w:jc w:val="center"/>
              <w:cnfStyle w:val="100000000000" w:firstRow="1" w:lastRow="0" w:firstColumn="0" w:lastColumn="0" w:oddVBand="0" w:evenVBand="0" w:oddHBand="0" w:evenHBand="0" w:firstRowFirstColumn="0" w:firstRowLastColumn="0" w:lastRowFirstColumn="0" w:lastRowLastColumn="0"/>
              <w:rPr>
                <w:color w:val="auto"/>
              </w:rPr>
            </w:pPr>
          </w:p>
        </w:tc>
        <w:tc>
          <w:tcPr>
            <w:tcW w:w="1503" w:type="dxa"/>
            <w:shd w:val="clear" w:color="auto" w:fill="auto"/>
          </w:tcPr>
          <w:p w14:paraId="38D6CA05" w14:textId="77777777" w:rsidR="003C268A" w:rsidRPr="00B43BC8" w:rsidRDefault="003C268A" w:rsidP="0016139C">
            <w:pPr>
              <w:pStyle w:val="Subbodytext"/>
              <w:keepNext/>
              <w:keepLines/>
              <w:spacing w:after="100"/>
              <w:jc w:val="center"/>
              <w:cnfStyle w:val="100000000000" w:firstRow="1" w:lastRow="0" w:firstColumn="0" w:lastColumn="0" w:oddVBand="0" w:evenVBand="0" w:oddHBand="0" w:evenHBand="0" w:firstRowFirstColumn="0" w:firstRowLastColumn="0" w:lastRowFirstColumn="0" w:lastRowLastColumn="0"/>
              <w:rPr>
                <w:color w:val="auto"/>
              </w:rPr>
            </w:pPr>
          </w:p>
        </w:tc>
        <w:tc>
          <w:tcPr>
            <w:tcW w:w="1503" w:type="dxa"/>
            <w:shd w:val="clear" w:color="auto" w:fill="auto"/>
          </w:tcPr>
          <w:p w14:paraId="2310FEF4" w14:textId="77777777" w:rsidR="003C268A" w:rsidRPr="00B43BC8" w:rsidRDefault="003C268A" w:rsidP="0016139C">
            <w:pPr>
              <w:pStyle w:val="Subbodytext"/>
              <w:keepNext/>
              <w:keepLines/>
              <w:spacing w:after="100"/>
              <w:jc w:val="center"/>
              <w:cnfStyle w:val="100000000000" w:firstRow="1" w:lastRow="0" w:firstColumn="0" w:lastColumn="0" w:oddVBand="0" w:evenVBand="0" w:oddHBand="0" w:evenHBand="0" w:firstRowFirstColumn="0" w:firstRowLastColumn="0" w:lastRowFirstColumn="0" w:lastRowLastColumn="0"/>
              <w:rPr>
                <w:color w:val="auto"/>
              </w:rPr>
            </w:pPr>
          </w:p>
        </w:tc>
        <w:tc>
          <w:tcPr>
            <w:tcW w:w="1503" w:type="dxa"/>
            <w:shd w:val="clear" w:color="auto" w:fill="auto"/>
          </w:tcPr>
          <w:p w14:paraId="5E11A803" w14:textId="77777777" w:rsidR="003C268A" w:rsidRPr="00B43BC8" w:rsidRDefault="003C268A" w:rsidP="0016139C">
            <w:pPr>
              <w:pStyle w:val="Subbodytext"/>
              <w:keepNext/>
              <w:keepLines/>
              <w:spacing w:after="100"/>
              <w:jc w:val="center"/>
              <w:cnfStyle w:val="100000000000" w:firstRow="1" w:lastRow="0" w:firstColumn="0" w:lastColumn="0" w:oddVBand="0" w:evenVBand="0" w:oddHBand="0" w:evenHBand="0" w:firstRowFirstColumn="0" w:firstRowLastColumn="0" w:lastRowFirstColumn="0" w:lastRowLastColumn="0"/>
              <w:rPr>
                <w:color w:val="auto"/>
              </w:rPr>
            </w:pPr>
            <w:r w:rsidRPr="00B43BC8">
              <w:rPr>
                <w:color w:val="auto"/>
              </w:rPr>
              <w:t>2,150</w:t>
            </w:r>
          </w:p>
        </w:tc>
      </w:tr>
      <w:tr w:rsidR="003C268A" w14:paraId="711A8483" w14:textId="77777777" w:rsidTr="00B43BC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02" w:type="dxa"/>
            <w:shd w:val="clear" w:color="auto" w:fill="auto"/>
          </w:tcPr>
          <w:p w14:paraId="26B32ECE" w14:textId="77777777" w:rsidR="003C268A" w:rsidRPr="00B43BC8" w:rsidRDefault="003C268A" w:rsidP="0016139C">
            <w:pPr>
              <w:pStyle w:val="Subbodytext"/>
              <w:keepNext/>
              <w:keepLines/>
              <w:spacing w:after="100"/>
              <w:rPr>
                <w:b/>
                <w:color w:val="auto"/>
              </w:rPr>
            </w:pPr>
            <w:r w:rsidRPr="00B43BC8">
              <w:rPr>
                <w:b/>
                <w:color w:val="auto"/>
              </w:rPr>
              <w:t>Total*^</w:t>
            </w:r>
          </w:p>
        </w:tc>
        <w:tc>
          <w:tcPr>
            <w:tcW w:w="1502" w:type="dxa"/>
            <w:shd w:val="clear" w:color="auto" w:fill="auto"/>
          </w:tcPr>
          <w:p w14:paraId="43175F17" w14:textId="77777777" w:rsidR="003C268A" w:rsidRPr="00B43BC8" w:rsidRDefault="003C268A" w:rsidP="0016139C">
            <w:pPr>
              <w:pStyle w:val="Subbodytext"/>
              <w:keepNext/>
              <w:keepLines/>
              <w:spacing w:after="100"/>
              <w:jc w:val="center"/>
              <w:cnfStyle w:val="100000000000" w:firstRow="1" w:lastRow="0" w:firstColumn="0" w:lastColumn="0" w:oddVBand="0" w:evenVBand="0" w:oddHBand="0" w:evenHBand="0" w:firstRowFirstColumn="0" w:firstRowLastColumn="0" w:lastRowFirstColumn="0" w:lastRowLastColumn="0"/>
              <w:rPr>
                <w:b/>
                <w:color w:val="auto"/>
              </w:rPr>
            </w:pPr>
          </w:p>
        </w:tc>
        <w:tc>
          <w:tcPr>
            <w:tcW w:w="1503" w:type="dxa"/>
            <w:shd w:val="clear" w:color="auto" w:fill="auto"/>
          </w:tcPr>
          <w:p w14:paraId="72A7CF6B" w14:textId="77777777" w:rsidR="003C268A" w:rsidRPr="00B43BC8" w:rsidRDefault="003C268A" w:rsidP="0016139C">
            <w:pPr>
              <w:pStyle w:val="Subbodytext"/>
              <w:keepNext/>
              <w:keepLines/>
              <w:spacing w:after="100"/>
              <w:jc w:val="center"/>
              <w:cnfStyle w:val="100000000000" w:firstRow="1" w:lastRow="0" w:firstColumn="0" w:lastColumn="0" w:oddVBand="0" w:evenVBand="0" w:oddHBand="0" w:evenHBand="0" w:firstRowFirstColumn="0" w:firstRowLastColumn="0" w:lastRowFirstColumn="0" w:lastRowLastColumn="0"/>
              <w:rPr>
                <w:b/>
                <w:color w:val="auto"/>
              </w:rPr>
            </w:pPr>
          </w:p>
        </w:tc>
        <w:tc>
          <w:tcPr>
            <w:tcW w:w="1503" w:type="dxa"/>
            <w:shd w:val="clear" w:color="auto" w:fill="auto"/>
          </w:tcPr>
          <w:p w14:paraId="2ACD2273" w14:textId="77777777" w:rsidR="003C268A" w:rsidRPr="00B43BC8" w:rsidRDefault="003C268A" w:rsidP="0016139C">
            <w:pPr>
              <w:pStyle w:val="Subbodytext"/>
              <w:keepNext/>
              <w:keepLines/>
              <w:spacing w:after="100"/>
              <w:jc w:val="center"/>
              <w:cnfStyle w:val="100000000000" w:firstRow="1" w:lastRow="0" w:firstColumn="0" w:lastColumn="0" w:oddVBand="0" w:evenVBand="0" w:oddHBand="0" w:evenHBand="0" w:firstRowFirstColumn="0" w:firstRowLastColumn="0" w:lastRowFirstColumn="0" w:lastRowLastColumn="0"/>
              <w:rPr>
                <w:b/>
                <w:color w:val="auto"/>
              </w:rPr>
            </w:pPr>
          </w:p>
        </w:tc>
        <w:tc>
          <w:tcPr>
            <w:tcW w:w="1503" w:type="dxa"/>
            <w:shd w:val="clear" w:color="auto" w:fill="auto"/>
          </w:tcPr>
          <w:p w14:paraId="1AAF62E2" w14:textId="77777777" w:rsidR="003C268A" w:rsidRPr="00B43BC8" w:rsidRDefault="003C268A" w:rsidP="0016139C">
            <w:pPr>
              <w:pStyle w:val="Subbodytext"/>
              <w:keepNext/>
              <w:keepLines/>
              <w:spacing w:after="100"/>
              <w:jc w:val="center"/>
              <w:cnfStyle w:val="100000000000" w:firstRow="1" w:lastRow="0" w:firstColumn="0" w:lastColumn="0" w:oddVBand="0" w:evenVBand="0" w:oddHBand="0" w:evenHBand="0" w:firstRowFirstColumn="0" w:firstRowLastColumn="0" w:lastRowFirstColumn="0" w:lastRowLastColumn="0"/>
              <w:rPr>
                <w:b/>
                <w:color w:val="auto"/>
              </w:rPr>
            </w:pPr>
          </w:p>
        </w:tc>
        <w:tc>
          <w:tcPr>
            <w:tcW w:w="1503" w:type="dxa"/>
            <w:shd w:val="clear" w:color="auto" w:fill="auto"/>
          </w:tcPr>
          <w:p w14:paraId="5571280E" w14:textId="77777777" w:rsidR="003C268A" w:rsidRPr="00B43BC8" w:rsidRDefault="003C268A" w:rsidP="0016139C">
            <w:pPr>
              <w:pStyle w:val="Subbodytext"/>
              <w:keepNext/>
              <w:keepLines/>
              <w:spacing w:after="100"/>
              <w:jc w:val="center"/>
              <w:cnfStyle w:val="100000000000" w:firstRow="1" w:lastRow="0" w:firstColumn="0" w:lastColumn="0" w:oddVBand="0" w:evenVBand="0" w:oddHBand="0" w:evenHBand="0" w:firstRowFirstColumn="0" w:firstRowLastColumn="0" w:lastRowFirstColumn="0" w:lastRowLastColumn="0"/>
              <w:rPr>
                <w:b/>
                <w:color w:val="auto"/>
              </w:rPr>
            </w:pPr>
            <w:r w:rsidRPr="00B43BC8">
              <w:rPr>
                <w:b/>
                <w:color w:val="auto"/>
              </w:rPr>
              <w:t>1,413,230</w:t>
            </w:r>
          </w:p>
        </w:tc>
      </w:tr>
    </w:tbl>
    <w:p w14:paraId="2B67FC1D" w14:textId="1DE8A322" w:rsidR="003C268A" w:rsidRPr="000D454F" w:rsidRDefault="003C268A" w:rsidP="000D454F">
      <w:pPr>
        <w:pStyle w:val="SubFigureCaption"/>
      </w:pPr>
      <w:r w:rsidRPr="00667D3D">
        <w:t xml:space="preserve"># Excludes </w:t>
      </w:r>
      <w:r w:rsidR="00B732F3" w:rsidRPr="00667D3D">
        <w:t>in home care</w:t>
      </w:r>
      <w:r w:rsidR="006B6E84">
        <w:t xml:space="preserve"> </w:t>
      </w:r>
      <w:r w:rsidRPr="00667D3D">
        <w:t xml:space="preserve">^ Includes </w:t>
      </w:r>
      <w:r w:rsidR="00B732F3" w:rsidRPr="00667D3D">
        <w:t>in home care</w:t>
      </w:r>
      <w:r w:rsidR="006B6E84">
        <w:t xml:space="preserve"> </w:t>
      </w:r>
      <w:r w:rsidR="00566720" w:rsidRPr="00667D3D">
        <w:t xml:space="preserve">*As children may use services in more than one state or territory, and due to rounding, the sum of the component parts may not equal the total. Note: </w:t>
      </w:r>
      <w:r w:rsidR="008139B2">
        <w:t>r</w:t>
      </w:r>
      <w:r w:rsidR="00566720" w:rsidRPr="00667D3D">
        <w:t>egion is based on the ABS Accessibility/Remoteness Index of Australia (ARIA), July 2016.</w:t>
      </w:r>
      <w:r w:rsidR="00373FAE">
        <w:br/>
      </w:r>
      <w:r w:rsidR="00373FAE" w:rsidRPr="00667D3D">
        <w:t>Source: Department of Education administrative data.</w:t>
      </w:r>
    </w:p>
    <w:p w14:paraId="0804C3AA" w14:textId="1D4B5B1F" w:rsidR="000D454F" w:rsidRDefault="000D454F" w:rsidP="000D454F">
      <w:pPr>
        <w:pStyle w:val="Caption"/>
        <w:keepNext/>
      </w:pPr>
      <w:r>
        <w:t xml:space="preserve">Table </w:t>
      </w:r>
      <w:r>
        <w:fldChar w:fldCharType="begin"/>
      </w:r>
      <w:r>
        <w:instrText>SEQ Table \* ARABIC</w:instrText>
      </w:r>
      <w:r>
        <w:fldChar w:fldCharType="separate"/>
      </w:r>
      <w:r w:rsidR="00D307AC">
        <w:rPr>
          <w:noProof/>
        </w:rPr>
        <w:t>7</w:t>
      </w:r>
      <w:r>
        <w:fldChar w:fldCharType="end"/>
      </w:r>
      <w:r>
        <w:t>:</w:t>
      </w:r>
      <w:r w:rsidRPr="000D454F">
        <w:rPr>
          <w:rFonts w:ascii="Calibri" w:eastAsia="Times New Roman" w:hAnsi="Calibri" w:cs="Calibri"/>
          <w:lang w:eastAsia="en-AU"/>
        </w:rPr>
        <w:t xml:space="preserve"> </w:t>
      </w:r>
      <w:r w:rsidRPr="00CE5BE2">
        <w:rPr>
          <w:rFonts w:ascii="Calibri" w:eastAsia="Times New Roman" w:hAnsi="Calibri" w:cs="Calibri"/>
          <w:lang w:eastAsia="en-AU"/>
        </w:rPr>
        <w:t>Number of Families</w:t>
      </w:r>
      <w:r>
        <w:rPr>
          <w:rFonts w:ascii="Calibri" w:eastAsia="Times New Roman" w:hAnsi="Calibri" w:cs="Calibri"/>
          <w:lang w:eastAsia="en-AU"/>
        </w:rPr>
        <w:t xml:space="preserve"> Using Child Care</w:t>
      </w:r>
      <w:r w:rsidRPr="00CE5BE2">
        <w:rPr>
          <w:rFonts w:ascii="Calibri" w:eastAsia="Times New Roman" w:hAnsi="Calibri" w:cs="Calibri"/>
          <w:lang w:eastAsia="en-AU"/>
        </w:rPr>
        <w:t xml:space="preserve"> by Region, September Quarter 2022</w:t>
      </w:r>
    </w:p>
    <w:tbl>
      <w:tblPr>
        <w:tblStyle w:val="EDU-Basic"/>
        <w:tblW w:w="0" w:type="auto"/>
        <w:tblLook w:val="04A0" w:firstRow="1" w:lastRow="0" w:firstColumn="1" w:lastColumn="0" w:noHBand="0" w:noVBand="1"/>
      </w:tblPr>
      <w:tblGrid>
        <w:gridCol w:w="1502"/>
        <w:gridCol w:w="1502"/>
        <w:gridCol w:w="1503"/>
        <w:gridCol w:w="1503"/>
        <w:gridCol w:w="1503"/>
        <w:gridCol w:w="1503"/>
      </w:tblGrid>
      <w:tr w:rsidR="003C268A" w14:paraId="524412FD" w14:textId="77777777" w:rsidTr="00B43B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02" w:type="dxa"/>
          </w:tcPr>
          <w:p w14:paraId="4F3FA3ED" w14:textId="77777777" w:rsidR="003C268A" w:rsidRDefault="003C268A" w:rsidP="0016139C">
            <w:pPr>
              <w:pStyle w:val="Subbodytext"/>
              <w:rPr>
                <w:color w:val="C00000"/>
              </w:rPr>
            </w:pPr>
          </w:p>
        </w:tc>
        <w:tc>
          <w:tcPr>
            <w:tcW w:w="1502" w:type="dxa"/>
          </w:tcPr>
          <w:p w14:paraId="57808833" w14:textId="6FB5DB04" w:rsidR="003C268A" w:rsidRPr="00137776" w:rsidRDefault="003C268A" w:rsidP="0016139C">
            <w:pPr>
              <w:pStyle w:val="Subbodytext"/>
              <w:jc w:val="center"/>
              <w:cnfStyle w:val="100000000000" w:firstRow="1" w:lastRow="0" w:firstColumn="0" w:lastColumn="0" w:oddVBand="0" w:evenVBand="0" w:oddHBand="0" w:evenHBand="0" w:firstRowFirstColumn="0" w:firstRowLastColumn="0" w:lastRowFirstColumn="0" w:lastRowLastColumn="0"/>
              <w:rPr>
                <w:b/>
                <w:bCs/>
              </w:rPr>
            </w:pPr>
            <w:r w:rsidRPr="00137776">
              <w:rPr>
                <w:b/>
                <w:bCs/>
              </w:rPr>
              <w:t xml:space="preserve">Major </w:t>
            </w:r>
            <w:r w:rsidR="00A00184">
              <w:rPr>
                <w:b/>
                <w:bCs/>
              </w:rPr>
              <w:t xml:space="preserve">cities </w:t>
            </w:r>
            <w:r>
              <w:rPr>
                <w:b/>
                <w:bCs/>
              </w:rPr>
              <w:t>of Australia</w:t>
            </w:r>
          </w:p>
        </w:tc>
        <w:tc>
          <w:tcPr>
            <w:tcW w:w="1503" w:type="dxa"/>
          </w:tcPr>
          <w:p w14:paraId="78F5E2D7" w14:textId="513C574E" w:rsidR="003C268A" w:rsidRPr="00137776" w:rsidRDefault="003C268A" w:rsidP="0016139C">
            <w:pPr>
              <w:pStyle w:val="Subbodytext"/>
              <w:jc w:val="center"/>
              <w:cnfStyle w:val="100000000000" w:firstRow="1" w:lastRow="0" w:firstColumn="0" w:lastColumn="0" w:oddVBand="0" w:evenVBand="0" w:oddHBand="0" w:evenHBand="0" w:firstRowFirstColumn="0" w:firstRowLastColumn="0" w:lastRowFirstColumn="0" w:lastRowLastColumn="0"/>
              <w:rPr>
                <w:b/>
                <w:bCs/>
              </w:rPr>
            </w:pPr>
            <w:r>
              <w:rPr>
                <w:b/>
                <w:bCs/>
              </w:rPr>
              <w:t xml:space="preserve">Inner </w:t>
            </w:r>
            <w:r w:rsidR="00A00184">
              <w:rPr>
                <w:b/>
                <w:bCs/>
              </w:rPr>
              <w:t xml:space="preserve">regional </w:t>
            </w:r>
            <w:r>
              <w:rPr>
                <w:b/>
                <w:bCs/>
              </w:rPr>
              <w:t>Australia</w:t>
            </w:r>
          </w:p>
        </w:tc>
        <w:tc>
          <w:tcPr>
            <w:tcW w:w="1503" w:type="dxa"/>
          </w:tcPr>
          <w:p w14:paraId="0C0C5BE7" w14:textId="29407A9A" w:rsidR="003C268A" w:rsidRPr="00137776" w:rsidRDefault="003C268A" w:rsidP="0016139C">
            <w:pPr>
              <w:pStyle w:val="Subbodytext"/>
              <w:jc w:val="center"/>
              <w:cnfStyle w:val="100000000000" w:firstRow="1" w:lastRow="0" w:firstColumn="0" w:lastColumn="0" w:oddVBand="0" w:evenVBand="0" w:oddHBand="0" w:evenHBand="0" w:firstRowFirstColumn="0" w:firstRowLastColumn="0" w:lastRowFirstColumn="0" w:lastRowLastColumn="0"/>
              <w:rPr>
                <w:b/>
                <w:bCs/>
              </w:rPr>
            </w:pPr>
            <w:r>
              <w:rPr>
                <w:b/>
                <w:bCs/>
              </w:rPr>
              <w:t xml:space="preserve">Outer </w:t>
            </w:r>
            <w:r w:rsidR="00A00184">
              <w:rPr>
                <w:b/>
                <w:bCs/>
              </w:rPr>
              <w:t xml:space="preserve">regional </w:t>
            </w:r>
            <w:r>
              <w:rPr>
                <w:b/>
                <w:bCs/>
              </w:rPr>
              <w:t>Australia</w:t>
            </w:r>
          </w:p>
        </w:tc>
        <w:tc>
          <w:tcPr>
            <w:tcW w:w="1503" w:type="dxa"/>
          </w:tcPr>
          <w:p w14:paraId="512E61E4" w14:textId="54B0792F" w:rsidR="003C268A" w:rsidRPr="00137776" w:rsidRDefault="003C268A" w:rsidP="0016139C">
            <w:pPr>
              <w:pStyle w:val="Subbodytext"/>
              <w:jc w:val="center"/>
              <w:cnfStyle w:val="100000000000" w:firstRow="1" w:lastRow="0" w:firstColumn="0" w:lastColumn="0" w:oddVBand="0" w:evenVBand="0" w:oddHBand="0" w:evenHBand="0" w:firstRowFirstColumn="0" w:firstRowLastColumn="0" w:lastRowFirstColumn="0" w:lastRowLastColumn="0"/>
              <w:rPr>
                <w:b/>
                <w:bCs/>
              </w:rPr>
            </w:pPr>
            <w:r>
              <w:rPr>
                <w:b/>
                <w:bCs/>
              </w:rPr>
              <w:t xml:space="preserve">Remote &amp; </w:t>
            </w:r>
            <w:r w:rsidR="00A00184">
              <w:rPr>
                <w:b/>
                <w:bCs/>
              </w:rPr>
              <w:t xml:space="preserve">very remote </w:t>
            </w:r>
            <w:r>
              <w:rPr>
                <w:b/>
                <w:bCs/>
              </w:rPr>
              <w:t>Australia</w:t>
            </w:r>
          </w:p>
        </w:tc>
        <w:tc>
          <w:tcPr>
            <w:tcW w:w="1503" w:type="dxa"/>
          </w:tcPr>
          <w:p w14:paraId="7B6E51C6" w14:textId="77777777" w:rsidR="003C268A" w:rsidRPr="00137776" w:rsidRDefault="003C268A" w:rsidP="0016139C">
            <w:pPr>
              <w:pStyle w:val="Subbodytext"/>
              <w:jc w:val="center"/>
              <w:cnfStyle w:val="100000000000" w:firstRow="1" w:lastRow="0" w:firstColumn="0" w:lastColumn="0" w:oddVBand="0" w:evenVBand="0" w:oddHBand="0" w:evenHBand="0" w:firstRowFirstColumn="0" w:firstRowLastColumn="0" w:lastRowFirstColumn="0" w:lastRowLastColumn="0"/>
              <w:rPr>
                <w:b/>
                <w:bCs/>
              </w:rPr>
            </w:pPr>
            <w:r>
              <w:rPr>
                <w:b/>
                <w:bCs/>
              </w:rPr>
              <w:t>Australia*</w:t>
            </w:r>
          </w:p>
        </w:tc>
      </w:tr>
      <w:tr w:rsidR="003C268A" w14:paraId="1059F787" w14:textId="77777777" w:rsidTr="00B43B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02" w:type="dxa"/>
            <w:shd w:val="clear" w:color="auto" w:fill="auto"/>
          </w:tcPr>
          <w:p w14:paraId="189949B5" w14:textId="652649DE" w:rsidR="003C268A" w:rsidRPr="00B43BC8" w:rsidRDefault="00CF2D01" w:rsidP="0016139C">
            <w:pPr>
              <w:pStyle w:val="Subbodytext"/>
              <w:rPr>
                <w:color w:val="auto"/>
              </w:rPr>
            </w:pPr>
            <w:r w:rsidRPr="00B43BC8">
              <w:rPr>
                <w:color w:val="auto"/>
              </w:rPr>
              <w:t>Centre-based day care</w:t>
            </w:r>
          </w:p>
        </w:tc>
        <w:tc>
          <w:tcPr>
            <w:tcW w:w="1502" w:type="dxa"/>
            <w:shd w:val="clear" w:color="auto" w:fill="auto"/>
          </w:tcPr>
          <w:p w14:paraId="4BAD5768" w14:textId="77777777" w:rsidR="003C268A" w:rsidRPr="00B43BC8" w:rsidRDefault="003C268A" w:rsidP="0016139C">
            <w:pPr>
              <w:pStyle w:val="Subbodytext"/>
              <w:jc w:val="center"/>
              <w:cnfStyle w:val="100000000000" w:firstRow="1" w:lastRow="0" w:firstColumn="0" w:lastColumn="0" w:oddVBand="0" w:evenVBand="0" w:oddHBand="0" w:evenHBand="0" w:firstRowFirstColumn="0" w:firstRowLastColumn="0" w:lastRowFirstColumn="0" w:lastRowLastColumn="0"/>
              <w:rPr>
                <w:color w:val="auto"/>
              </w:rPr>
            </w:pPr>
            <w:r w:rsidRPr="00B43BC8">
              <w:rPr>
                <w:color w:val="auto"/>
              </w:rPr>
              <w:t>517,760</w:t>
            </w:r>
          </w:p>
        </w:tc>
        <w:tc>
          <w:tcPr>
            <w:tcW w:w="1503" w:type="dxa"/>
            <w:shd w:val="clear" w:color="auto" w:fill="auto"/>
          </w:tcPr>
          <w:p w14:paraId="53FF0287" w14:textId="77777777" w:rsidR="003C268A" w:rsidRPr="00B43BC8" w:rsidRDefault="003C268A" w:rsidP="0016139C">
            <w:pPr>
              <w:pStyle w:val="Subbodytext"/>
              <w:jc w:val="center"/>
              <w:cnfStyle w:val="100000000000" w:firstRow="1" w:lastRow="0" w:firstColumn="0" w:lastColumn="0" w:oddVBand="0" w:evenVBand="0" w:oddHBand="0" w:evenHBand="0" w:firstRowFirstColumn="0" w:firstRowLastColumn="0" w:lastRowFirstColumn="0" w:lastRowLastColumn="0"/>
              <w:rPr>
                <w:color w:val="auto"/>
              </w:rPr>
            </w:pPr>
            <w:r w:rsidRPr="00B43BC8">
              <w:rPr>
                <w:color w:val="auto"/>
              </w:rPr>
              <w:t>112,220</w:t>
            </w:r>
          </w:p>
        </w:tc>
        <w:tc>
          <w:tcPr>
            <w:tcW w:w="1503" w:type="dxa"/>
            <w:shd w:val="clear" w:color="auto" w:fill="auto"/>
          </w:tcPr>
          <w:p w14:paraId="7910D566" w14:textId="77777777" w:rsidR="003C268A" w:rsidRPr="00B43BC8" w:rsidRDefault="003C268A" w:rsidP="0016139C">
            <w:pPr>
              <w:pStyle w:val="Subbodytext"/>
              <w:jc w:val="center"/>
              <w:cnfStyle w:val="100000000000" w:firstRow="1" w:lastRow="0" w:firstColumn="0" w:lastColumn="0" w:oddVBand="0" w:evenVBand="0" w:oddHBand="0" w:evenHBand="0" w:firstRowFirstColumn="0" w:firstRowLastColumn="0" w:lastRowFirstColumn="0" w:lastRowLastColumn="0"/>
              <w:rPr>
                <w:color w:val="auto"/>
              </w:rPr>
            </w:pPr>
            <w:r w:rsidRPr="00B43BC8">
              <w:rPr>
                <w:color w:val="auto"/>
              </w:rPr>
              <w:t>40,160</w:t>
            </w:r>
          </w:p>
        </w:tc>
        <w:tc>
          <w:tcPr>
            <w:tcW w:w="1503" w:type="dxa"/>
            <w:shd w:val="clear" w:color="auto" w:fill="auto"/>
          </w:tcPr>
          <w:p w14:paraId="15D79A86" w14:textId="77777777" w:rsidR="003C268A" w:rsidRPr="00B43BC8" w:rsidRDefault="003C268A" w:rsidP="0016139C">
            <w:pPr>
              <w:pStyle w:val="Subbodytext"/>
              <w:jc w:val="center"/>
              <w:cnfStyle w:val="100000000000" w:firstRow="1" w:lastRow="0" w:firstColumn="0" w:lastColumn="0" w:oddVBand="0" w:evenVBand="0" w:oddHBand="0" w:evenHBand="0" w:firstRowFirstColumn="0" w:firstRowLastColumn="0" w:lastRowFirstColumn="0" w:lastRowLastColumn="0"/>
              <w:rPr>
                <w:color w:val="auto"/>
              </w:rPr>
            </w:pPr>
            <w:r w:rsidRPr="00B43BC8">
              <w:rPr>
                <w:color w:val="auto"/>
              </w:rPr>
              <w:t>7,030</w:t>
            </w:r>
          </w:p>
        </w:tc>
        <w:tc>
          <w:tcPr>
            <w:tcW w:w="1503" w:type="dxa"/>
            <w:shd w:val="clear" w:color="auto" w:fill="auto"/>
          </w:tcPr>
          <w:p w14:paraId="0B4FD2E3" w14:textId="77777777" w:rsidR="003C268A" w:rsidRPr="00B43BC8" w:rsidRDefault="003C268A" w:rsidP="0016139C">
            <w:pPr>
              <w:pStyle w:val="Subbodytext"/>
              <w:jc w:val="center"/>
              <w:cnfStyle w:val="100000000000" w:firstRow="1" w:lastRow="0" w:firstColumn="0" w:lastColumn="0" w:oddVBand="0" w:evenVBand="0" w:oddHBand="0" w:evenHBand="0" w:firstRowFirstColumn="0" w:firstRowLastColumn="0" w:lastRowFirstColumn="0" w:lastRowLastColumn="0"/>
              <w:rPr>
                <w:color w:val="auto"/>
              </w:rPr>
            </w:pPr>
            <w:r w:rsidRPr="00B43BC8">
              <w:rPr>
                <w:color w:val="auto"/>
              </w:rPr>
              <w:t>674,650</w:t>
            </w:r>
          </w:p>
        </w:tc>
      </w:tr>
      <w:tr w:rsidR="003C268A" w14:paraId="47E8D0DD" w14:textId="77777777" w:rsidTr="00B43B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02" w:type="dxa"/>
            <w:shd w:val="clear" w:color="auto" w:fill="auto"/>
          </w:tcPr>
          <w:p w14:paraId="6679BE32" w14:textId="7A655747" w:rsidR="003C268A" w:rsidRPr="00B43BC8" w:rsidRDefault="00CF2D01" w:rsidP="0016139C">
            <w:pPr>
              <w:pStyle w:val="Subbodytext"/>
              <w:rPr>
                <w:color w:val="auto"/>
              </w:rPr>
            </w:pPr>
            <w:r w:rsidRPr="00B43BC8">
              <w:rPr>
                <w:color w:val="auto"/>
              </w:rPr>
              <w:t xml:space="preserve">Family day care </w:t>
            </w:r>
          </w:p>
        </w:tc>
        <w:tc>
          <w:tcPr>
            <w:tcW w:w="1502" w:type="dxa"/>
            <w:shd w:val="clear" w:color="auto" w:fill="auto"/>
          </w:tcPr>
          <w:p w14:paraId="6782814B" w14:textId="77777777" w:rsidR="003C268A" w:rsidRPr="00B43BC8" w:rsidRDefault="003C268A" w:rsidP="0016139C">
            <w:pPr>
              <w:pStyle w:val="Subbodytext"/>
              <w:jc w:val="center"/>
              <w:cnfStyle w:val="100000000000" w:firstRow="1" w:lastRow="0" w:firstColumn="0" w:lastColumn="0" w:oddVBand="0" w:evenVBand="0" w:oddHBand="0" w:evenHBand="0" w:firstRowFirstColumn="0" w:firstRowLastColumn="0" w:lastRowFirstColumn="0" w:lastRowLastColumn="0"/>
              <w:rPr>
                <w:color w:val="auto"/>
              </w:rPr>
            </w:pPr>
            <w:r w:rsidRPr="00B43BC8">
              <w:rPr>
                <w:color w:val="auto"/>
              </w:rPr>
              <w:t>41,070</w:t>
            </w:r>
          </w:p>
        </w:tc>
        <w:tc>
          <w:tcPr>
            <w:tcW w:w="1503" w:type="dxa"/>
            <w:shd w:val="clear" w:color="auto" w:fill="auto"/>
          </w:tcPr>
          <w:p w14:paraId="14A70120" w14:textId="77777777" w:rsidR="003C268A" w:rsidRPr="00B43BC8" w:rsidRDefault="003C268A" w:rsidP="0016139C">
            <w:pPr>
              <w:pStyle w:val="Subbodytext"/>
              <w:jc w:val="center"/>
              <w:cnfStyle w:val="100000000000" w:firstRow="1" w:lastRow="0" w:firstColumn="0" w:lastColumn="0" w:oddVBand="0" w:evenVBand="0" w:oddHBand="0" w:evenHBand="0" w:firstRowFirstColumn="0" w:firstRowLastColumn="0" w:lastRowFirstColumn="0" w:lastRowLastColumn="0"/>
              <w:rPr>
                <w:color w:val="auto"/>
              </w:rPr>
            </w:pPr>
            <w:r w:rsidRPr="00B43BC8">
              <w:rPr>
                <w:color w:val="auto"/>
              </w:rPr>
              <w:t>11,840</w:t>
            </w:r>
          </w:p>
        </w:tc>
        <w:tc>
          <w:tcPr>
            <w:tcW w:w="1503" w:type="dxa"/>
            <w:shd w:val="clear" w:color="auto" w:fill="auto"/>
          </w:tcPr>
          <w:p w14:paraId="65E2EB29" w14:textId="77777777" w:rsidR="003C268A" w:rsidRPr="00B43BC8" w:rsidRDefault="003C268A" w:rsidP="0016139C">
            <w:pPr>
              <w:pStyle w:val="Subbodytext"/>
              <w:jc w:val="center"/>
              <w:cnfStyle w:val="100000000000" w:firstRow="1" w:lastRow="0" w:firstColumn="0" w:lastColumn="0" w:oddVBand="0" w:evenVBand="0" w:oddHBand="0" w:evenHBand="0" w:firstRowFirstColumn="0" w:firstRowLastColumn="0" w:lastRowFirstColumn="0" w:lastRowLastColumn="0"/>
              <w:rPr>
                <w:color w:val="auto"/>
              </w:rPr>
            </w:pPr>
            <w:r w:rsidRPr="00B43BC8">
              <w:rPr>
                <w:color w:val="auto"/>
              </w:rPr>
              <w:t>5,420</w:t>
            </w:r>
          </w:p>
        </w:tc>
        <w:tc>
          <w:tcPr>
            <w:tcW w:w="1503" w:type="dxa"/>
            <w:shd w:val="clear" w:color="auto" w:fill="auto"/>
          </w:tcPr>
          <w:p w14:paraId="4D64691F" w14:textId="77777777" w:rsidR="003C268A" w:rsidRPr="00B43BC8" w:rsidRDefault="003C268A" w:rsidP="0016139C">
            <w:pPr>
              <w:pStyle w:val="Subbodytext"/>
              <w:jc w:val="center"/>
              <w:cnfStyle w:val="100000000000" w:firstRow="1" w:lastRow="0" w:firstColumn="0" w:lastColumn="0" w:oddVBand="0" w:evenVBand="0" w:oddHBand="0" w:evenHBand="0" w:firstRowFirstColumn="0" w:firstRowLastColumn="0" w:lastRowFirstColumn="0" w:lastRowLastColumn="0"/>
              <w:rPr>
                <w:color w:val="auto"/>
              </w:rPr>
            </w:pPr>
            <w:r w:rsidRPr="00B43BC8">
              <w:rPr>
                <w:color w:val="auto"/>
              </w:rPr>
              <w:t>400</w:t>
            </w:r>
          </w:p>
        </w:tc>
        <w:tc>
          <w:tcPr>
            <w:tcW w:w="1503" w:type="dxa"/>
            <w:shd w:val="clear" w:color="auto" w:fill="auto"/>
          </w:tcPr>
          <w:p w14:paraId="2021B350" w14:textId="77777777" w:rsidR="003C268A" w:rsidRPr="00B43BC8" w:rsidRDefault="003C268A" w:rsidP="0016139C">
            <w:pPr>
              <w:pStyle w:val="Subbodytext"/>
              <w:jc w:val="center"/>
              <w:cnfStyle w:val="100000000000" w:firstRow="1" w:lastRow="0" w:firstColumn="0" w:lastColumn="0" w:oddVBand="0" w:evenVBand="0" w:oddHBand="0" w:evenHBand="0" w:firstRowFirstColumn="0" w:firstRowLastColumn="0" w:lastRowFirstColumn="0" w:lastRowLastColumn="0"/>
              <w:rPr>
                <w:color w:val="auto"/>
              </w:rPr>
            </w:pPr>
            <w:r w:rsidRPr="00B43BC8">
              <w:rPr>
                <w:color w:val="auto"/>
              </w:rPr>
              <w:t>58,340</w:t>
            </w:r>
          </w:p>
        </w:tc>
      </w:tr>
      <w:tr w:rsidR="003C268A" w14:paraId="0A5D21BD" w14:textId="77777777" w:rsidTr="00B43B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02" w:type="dxa"/>
            <w:shd w:val="clear" w:color="auto" w:fill="auto"/>
          </w:tcPr>
          <w:p w14:paraId="49A18F18" w14:textId="4510191E" w:rsidR="003C268A" w:rsidRPr="00B43BC8" w:rsidRDefault="00CF2D01" w:rsidP="0016139C">
            <w:pPr>
              <w:pStyle w:val="Subbodytext"/>
              <w:rPr>
                <w:color w:val="auto"/>
              </w:rPr>
            </w:pPr>
            <w:r w:rsidRPr="00B43BC8">
              <w:rPr>
                <w:color w:val="auto"/>
              </w:rPr>
              <w:t>Outside school hours care</w:t>
            </w:r>
          </w:p>
        </w:tc>
        <w:tc>
          <w:tcPr>
            <w:tcW w:w="1502" w:type="dxa"/>
            <w:shd w:val="clear" w:color="auto" w:fill="auto"/>
          </w:tcPr>
          <w:p w14:paraId="55FB5945" w14:textId="77777777" w:rsidR="003C268A" w:rsidRPr="00B43BC8" w:rsidRDefault="003C268A" w:rsidP="0016139C">
            <w:pPr>
              <w:pStyle w:val="Subbodytext"/>
              <w:jc w:val="center"/>
              <w:cnfStyle w:val="100000000000" w:firstRow="1" w:lastRow="0" w:firstColumn="0" w:lastColumn="0" w:oddVBand="0" w:evenVBand="0" w:oddHBand="0" w:evenHBand="0" w:firstRowFirstColumn="0" w:firstRowLastColumn="0" w:lastRowFirstColumn="0" w:lastRowLastColumn="0"/>
              <w:rPr>
                <w:color w:val="auto"/>
              </w:rPr>
            </w:pPr>
            <w:r w:rsidRPr="00B43BC8">
              <w:rPr>
                <w:color w:val="auto"/>
              </w:rPr>
              <w:t>322,490</w:t>
            </w:r>
          </w:p>
        </w:tc>
        <w:tc>
          <w:tcPr>
            <w:tcW w:w="1503" w:type="dxa"/>
            <w:shd w:val="clear" w:color="auto" w:fill="auto"/>
          </w:tcPr>
          <w:p w14:paraId="269C85D5" w14:textId="77777777" w:rsidR="003C268A" w:rsidRPr="00B43BC8" w:rsidRDefault="003C268A" w:rsidP="0016139C">
            <w:pPr>
              <w:pStyle w:val="Subbodytext"/>
              <w:jc w:val="center"/>
              <w:cnfStyle w:val="100000000000" w:firstRow="1" w:lastRow="0" w:firstColumn="0" w:lastColumn="0" w:oddVBand="0" w:evenVBand="0" w:oddHBand="0" w:evenHBand="0" w:firstRowFirstColumn="0" w:firstRowLastColumn="0" w:lastRowFirstColumn="0" w:lastRowLastColumn="0"/>
              <w:rPr>
                <w:color w:val="auto"/>
              </w:rPr>
            </w:pPr>
            <w:r w:rsidRPr="00B43BC8">
              <w:rPr>
                <w:color w:val="auto"/>
              </w:rPr>
              <w:t>53,250</w:t>
            </w:r>
          </w:p>
        </w:tc>
        <w:tc>
          <w:tcPr>
            <w:tcW w:w="1503" w:type="dxa"/>
            <w:shd w:val="clear" w:color="auto" w:fill="auto"/>
          </w:tcPr>
          <w:p w14:paraId="5DC70715" w14:textId="77777777" w:rsidR="003C268A" w:rsidRPr="00B43BC8" w:rsidRDefault="003C268A" w:rsidP="0016139C">
            <w:pPr>
              <w:pStyle w:val="Subbodytext"/>
              <w:jc w:val="center"/>
              <w:cnfStyle w:val="100000000000" w:firstRow="1" w:lastRow="0" w:firstColumn="0" w:lastColumn="0" w:oddVBand="0" w:evenVBand="0" w:oddHBand="0" w:evenHBand="0" w:firstRowFirstColumn="0" w:firstRowLastColumn="0" w:lastRowFirstColumn="0" w:lastRowLastColumn="0"/>
              <w:rPr>
                <w:color w:val="auto"/>
              </w:rPr>
            </w:pPr>
            <w:r w:rsidRPr="00B43BC8">
              <w:rPr>
                <w:color w:val="auto"/>
              </w:rPr>
              <w:t>18,240</w:t>
            </w:r>
          </w:p>
        </w:tc>
        <w:tc>
          <w:tcPr>
            <w:tcW w:w="1503" w:type="dxa"/>
            <w:shd w:val="clear" w:color="auto" w:fill="auto"/>
          </w:tcPr>
          <w:p w14:paraId="37678E24" w14:textId="77777777" w:rsidR="003C268A" w:rsidRPr="00B43BC8" w:rsidRDefault="003C268A" w:rsidP="0016139C">
            <w:pPr>
              <w:pStyle w:val="Subbodytext"/>
              <w:jc w:val="center"/>
              <w:cnfStyle w:val="100000000000" w:firstRow="1" w:lastRow="0" w:firstColumn="0" w:lastColumn="0" w:oddVBand="0" w:evenVBand="0" w:oddHBand="0" w:evenHBand="0" w:firstRowFirstColumn="0" w:firstRowLastColumn="0" w:lastRowFirstColumn="0" w:lastRowLastColumn="0"/>
              <w:rPr>
                <w:color w:val="auto"/>
              </w:rPr>
            </w:pPr>
            <w:r w:rsidRPr="00B43BC8">
              <w:rPr>
                <w:color w:val="auto"/>
              </w:rPr>
              <w:t>1,640</w:t>
            </w:r>
          </w:p>
        </w:tc>
        <w:tc>
          <w:tcPr>
            <w:tcW w:w="1503" w:type="dxa"/>
            <w:shd w:val="clear" w:color="auto" w:fill="auto"/>
          </w:tcPr>
          <w:p w14:paraId="1AC4C8EE" w14:textId="77777777" w:rsidR="003C268A" w:rsidRPr="00B43BC8" w:rsidRDefault="003C268A" w:rsidP="0016139C">
            <w:pPr>
              <w:pStyle w:val="Subbodytext"/>
              <w:jc w:val="center"/>
              <w:cnfStyle w:val="100000000000" w:firstRow="1" w:lastRow="0" w:firstColumn="0" w:lastColumn="0" w:oddVBand="0" w:evenVBand="0" w:oddHBand="0" w:evenHBand="0" w:firstRowFirstColumn="0" w:firstRowLastColumn="0" w:lastRowFirstColumn="0" w:lastRowLastColumn="0"/>
              <w:rPr>
                <w:color w:val="auto"/>
              </w:rPr>
            </w:pPr>
            <w:r w:rsidRPr="00B43BC8">
              <w:rPr>
                <w:color w:val="auto"/>
              </w:rPr>
              <w:t>394,750</w:t>
            </w:r>
          </w:p>
        </w:tc>
      </w:tr>
      <w:tr w:rsidR="003C268A" w14:paraId="181E5491" w14:textId="77777777" w:rsidTr="00B43B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02" w:type="dxa"/>
            <w:shd w:val="clear" w:color="auto" w:fill="auto"/>
          </w:tcPr>
          <w:p w14:paraId="31E409E1" w14:textId="77777777" w:rsidR="003C268A" w:rsidRPr="00B43BC8" w:rsidRDefault="003C268A" w:rsidP="0016139C">
            <w:pPr>
              <w:pStyle w:val="Subbodytext"/>
              <w:rPr>
                <w:b/>
                <w:color w:val="auto"/>
              </w:rPr>
            </w:pPr>
            <w:r w:rsidRPr="00B43BC8">
              <w:rPr>
                <w:b/>
                <w:color w:val="auto"/>
              </w:rPr>
              <w:t>Total*#</w:t>
            </w:r>
          </w:p>
        </w:tc>
        <w:tc>
          <w:tcPr>
            <w:tcW w:w="1502" w:type="dxa"/>
            <w:shd w:val="clear" w:color="auto" w:fill="auto"/>
          </w:tcPr>
          <w:p w14:paraId="145BDBC0" w14:textId="77777777" w:rsidR="003C268A" w:rsidRPr="00B43BC8" w:rsidRDefault="003C268A" w:rsidP="0016139C">
            <w:pPr>
              <w:pStyle w:val="Subbodytext"/>
              <w:jc w:val="center"/>
              <w:cnfStyle w:val="100000000000" w:firstRow="1" w:lastRow="0" w:firstColumn="0" w:lastColumn="0" w:oddVBand="0" w:evenVBand="0" w:oddHBand="0" w:evenHBand="0" w:firstRowFirstColumn="0" w:firstRowLastColumn="0" w:lastRowFirstColumn="0" w:lastRowLastColumn="0"/>
              <w:rPr>
                <w:b/>
                <w:color w:val="auto"/>
              </w:rPr>
            </w:pPr>
            <w:r w:rsidRPr="00B43BC8">
              <w:rPr>
                <w:b/>
                <w:color w:val="auto"/>
              </w:rPr>
              <w:t>773,650</w:t>
            </w:r>
          </w:p>
        </w:tc>
        <w:tc>
          <w:tcPr>
            <w:tcW w:w="1503" w:type="dxa"/>
            <w:shd w:val="clear" w:color="auto" w:fill="auto"/>
          </w:tcPr>
          <w:p w14:paraId="230A1484" w14:textId="77777777" w:rsidR="003C268A" w:rsidRPr="00B43BC8" w:rsidRDefault="003C268A" w:rsidP="0016139C">
            <w:pPr>
              <w:pStyle w:val="Subbodytext"/>
              <w:jc w:val="center"/>
              <w:cnfStyle w:val="100000000000" w:firstRow="1" w:lastRow="0" w:firstColumn="0" w:lastColumn="0" w:oddVBand="0" w:evenVBand="0" w:oddHBand="0" w:evenHBand="0" w:firstRowFirstColumn="0" w:firstRowLastColumn="0" w:lastRowFirstColumn="0" w:lastRowLastColumn="0"/>
              <w:rPr>
                <w:b/>
                <w:color w:val="auto"/>
              </w:rPr>
            </w:pPr>
            <w:r w:rsidRPr="00B43BC8">
              <w:rPr>
                <w:b/>
                <w:color w:val="auto"/>
              </w:rPr>
              <w:t>158,610</w:t>
            </w:r>
          </w:p>
        </w:tc>
        <w:tc>
          <w:tcPr>
            <w:tcW w:w="1503" w:type="dxa"/>
            <w:shd w:val="clear" w:color="auto" w:fill="auto"/>
          </w:tcPr>
          <w:p w14:paraId="54C1D588" w14:textId="77777777" w:rsidR="003C268A" w:rsidRPr="00B43BC8" w:rsidRDefault="003C268A" w:rsidP="0016139C">
            <w:pPr>
              <w:pStyle w:val="Subbodytext"/>
              <w:jc w:val="center"/>
              <w:cnfStyle w:val="100000000000" w:firstRow="1" w:lastRow="0" w:firstColumn="0" w:lastColumn="0" w:oddVBand="0" w:evenVBand="0" w:oddHBand="0" w:evenHBand="0" w:firstRowFirstColumn="0" w:firstRowLastColumn="0" w:lastRowFirstColumn="0" w:lastRowLastColumn="0"/>
              <w:rPr>
                <w:b/>
                <w:color w:val="auto"/>
              </w:rPr>
            </w:pPr>
            <w:r w:rsidRPr="00B43BC8">
              <w:rPr>
                <w:b/>
                <w:color w:val="auto"/>
              </w:rPr>
              <w:t>57,220</w:t>
            </w:r>
          </w:p>
        </w:tc>
        <w:tc>
          <w:tcPr>
            <w:tcW w:w="1503" w:type="dxa"/>
            <w:shd w:val="clear" w:color="auto" w:fill="auto"/>
          </w:tcPr>
          <w:p w14:paraId="2B29AA7C" w14:textId="77777777" w:rsidR="003C268A" w:rsidRPr="00B43BC8" w:rsidRDefault="003C268A" w:rsidP="0016139C">
            <w:pPr>
              <w:pStyle w:val="Subbodytext"/>
              <w:jc w:val="center"/>
              <w:cnfStyle w:val="100000000000" w:firstRow="1" w:lastRow="0" w:firstColumn="0" w:lastColumn="0" w:oddVBand="0" w:evenVBand="0" w:oddHBand="0" w:evenHBand="0" w:firstRowFirstColumn="0" w:firstRowLastColumn="0" w:lastRowFirstColumn="0" w:lastRowLastColumn="0"/>
              <w:rPr>
                <w:b/>
                <w:color w:val="auto"/>
              </w:rPr>
            </w:pPr>
            <w:r w:rsidRPr="00B43BC8">
              <w:rPr>
                <w:b/>
                <w:color w:val="auto"/>
              </w:rPr>
              <w:t>8,390</w:t>
            </w:r>
          </w:p>
        </w:tc>
        <w:tc>
          <w:tcPr>
            <w:tcW w:w="1503" w:type="dxa"/>
            <w:shd w:val="clear" w:color="auto" w:fill="auto"/>
          </w:tcPr>
          <w:p w14:paraId="787E15FC" w14:textId="77777777" w:rsidR="003C268A" w:rsidRPr="00B43BC8" w:rsidRDefault="003C268A" w:rsidP="0016139C">
            <w:pPr>
              <w:pStyle w:val="Subbodytext"/>
              <w:jc w:val="center"/>
              <w:cnfStyle w:val="100000000000" w:firstRow="1" w:lastRow="0" w:firstColumn="0" w:lastColumn="0" w:oddVBand="0" w:evenVBand="0" w:oddHBand="0" w:evenHBand="0" w:firstRowFirstColumn="0" w:firstRowLastColumn="0" w:lastRowFirstColumn="0" w:lastRowLastColumn="0"/>
              <w:rPr>
                <w:b/>
                <w:color w:val="auto"/>
              </w:rPr>
            </w:pPr>
            <w:r w:rsidRPr="00B43BC8">
              <w:rPr>
                <w:b/>
                <w:color w:val="auto"/>
              </w:rPr>
              <w:t>990,110</w:t>
            </w:r>
          </w:p>
        </w:tc>
      </w:tr>
      <w:tr w:rsidR="003C268A" w14:paraId="7B6369CA" w14:textId="77777777" w:rsidTr="00B43B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02" w:type="dxa"/>
            <w:shd w:val="clear" w:color="auto" w:fill="auto"/>
          </w:tcPr>
          <w:p w14:paraId="5E9F076E" w14:textId="500ABA8F" w:rsidR="003C268A" w:rsidRPr="00B43BC8" w:rsidRDefault="003C268A" w:rsidP="0016139C">
            <w:pPr>
              <w:pStyle w:val="Subbodytext"/>
              <w:rPr>
                <w:color w:val="auto"/>
              </w:rPr>
            </w:pPr>
            <w:r w:rsidRPr="00B43BC8">
              <w:rPr>
                <w:color w:val="auto"/>
              </w:rPr>
              <w:t xml:space="preserve">In </w:t>
            </w:r>
            <w:r w:rsidR="00CF2D01" w:rsidRPr="00B43BC8">
              <w:rPr>
                <w:color w:val="auto"/>
              </w:rPr>
              <w:t>home care</w:t>
            </w:r>
          </w:p>
        </w:tc>
        <w:tc>
          <w:tcPr>
            <w:tcW w:w="1502" w:type="dxa"/>
            <w:shd w:val="clear" w:color="auto" w:fill="auto"/>
          </w:tcPr>
          <w:p w14:paraId="15ECEF1D" w14:textId="77777777" w:rsidR="003C268A" w:rsidRPr="00B43BC8" w:rsidRDefault="003C268A" w:rsidP="0016139C">
            <w:pPr>
              <w:pStyle w:val="Subbodytext"/>
              <w:jc w:val="center"/>
              <w:cnfStyle w:val="100000000000" w:firstRow="1" w:lastRow="0" w:firstColumn="0" w:lastColumn="0" w:oddVBand="0" w:evenVBand="0" w:oddHBand="0" w:evenHBand="0" w:firstRowFirstColumn="0" w:firstRowLastColumn="0" w:lastRowFirstColumn="0" w:lastRowLastColumn="0"/>
              <w:rPr>
                <w:color w:val="auto"/>
              </w:rPr>
            </w:pPr>
          </w:p>
        </w:tc>
        <w:tc>
          <w:tcPr>
            <w:tcW w:w="1503" w:type="dxa"/>
            <w:shd w:val="clear" w:color="auto" w:fill="auto"/>
          </w:tcPr>
          <w:p w14:paraId="3D9DF172" w14:textId="77777777" w:rsidR="003C268A" w:rsidRPr="00B43BC8" w:rsidRDefault="003C268A" w:rsidP="0016139C">
            <w:pPr>
              <w:pStyle w:val="Subbodytext"/>
              <w:jc w:val="center"/>
              <w:cnfStyle w:val="100000000000" w:firstRow="1" w:lastRow="0" w:firstColumn="0" w:lastColumn="0" w:oddVBand="0" w:evenVBand="0" w:oddHBand="0" w:evenHBand="0" w:firstRowFirstColumn="0" w:firstRowLastColumn="0" w:lastRowFirstColumn="0" w:lastRowLastColumn="0"/>
              <w:rPr>
                <w:color w:val="auto"/>
              </w:rPr>
            </w:pPr>
          </w:p>
        </w:tc>
        <w:tc>
          <w:tcPr>
            <w:tcW w:w="1503" w:type="dxa"/>
            <w:shd w:val="clear" w:color="auto" w:fill="auto"/>
          </w:tcPr>
          <w:p w14:paraId="6F4467F2" w14:textId="77777777" w:rsidR="003C268A" w:rsidRPr="00B43BC8" w:rsidRDefault="003C268A" w:rsidP="0016139C">
            <w:pPr>
              <w:pStyle w:val="Subbodytext"/>
              <w:jc w:val="center"/>
              <w:cnfStyle w:val="100000000000" w:firstRow="1" w:lastRow="0" w:firstColumn="0" w:lastColumn="0" w:oddVBand="0" w:evenVBand="0" w:oddHBand="0" w:evenHBand="0" w:firstRowFirstColumn="0" w:firstRowLastColumn="0" w:lastRowFirstColumn="0" w:lastRowLastColumn="0"/>
              <w:rPr>
                <w:color w:val="auto"/>
              </w:rPr>
            </w:pPr>
          </w:p>
        </w:tc>
        <w:tc>
          <w:tcPr>
            <w:tcW w:w="1503" w:type="dxa"/>
            <w:shd w:val="clear" w:color="auto" w:fill="auto"/>
          </w:tcPr>
          <w:p w14:paraId="2E549E55" w14:textId="77777777" w:rsidR="003C268A" w:rsidRPr="00B43BC8" w:rsidRDefault="003C268A" w:rsidP="0016139C">
            <w:pPr>
              <w:pStyle w:val="Subbodytext"/>
              <w:jc w:val="center"/>
              <w:cnfStyle w:val="100000000000" w:firstRow="1" w:lastRow="0" w:firstColumn="0" w:lastColumn="0" w:oddVBand="0" w:evenVBand="0" w:oddHBand="0" w:evenHBand="0" w:firstRowFirstColumn="0" w:firstRowLastColumn="0" w:lastRowFirstColumn="0" w:lastRowLastColumn="0"/>
              <w:rPr>
                <w:color w:val="auto"/>
              </w:rPr>
            </w:pPr>
          </w:p>
        </w:tc>
        <w:tc>
          <w:tcPr>
            <w:tcW w:w="1503" w:type="dxa"/>
            <w:shd w:val="clear" w:color="auto" w:fill="auto"/>
          </w:tcPr>
          <w:p w14:paraId="7F4B009C" w14:textId="77777777" w:rsidR="003C268A" w:rsidRPr="00B43BC8" w:rsidRDefault="003C268A" w:rsidP="0016139C">
            <w:pPr>
              <w:pStyle w:val="Subbodytext"/>
              <w:jc w:val="center"/>
              <w:cnfStyle w:val="100000000000" w:firstRow="1" w:lastRow="0" w:firstColumn="0" w:lastColumn="0" w:oddVBand="0" w:evenVBand="0" w:oddHBand="0" w:evenHBand="0" w:firstRowFirstColumn="0" w:firstRowLastColumn="0" w:lastRowFirstColumn="0" w:lastRowLastColumn="0"/>
              <w:rPr>
                <w:color w:val="auto"/>
              </w:rPr>
            </w:pPr>
            <w:r w:rsidRPr="00B43BC8">
              <w:rPr>
                <w:color w:val="auto"/>
              </w:rPr>
              <w:t>1,180</w:t>
            </w:r>
          </w:p>
        </w:tc>
      </w:tr>
      <w:tr w:rsidR="003C268A" w14:paraId="1D73C4FF" w14:textId="77777777" w:rsidTr="00B43B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02" w:type="dxa"/>
            <w:shd w:val="clear" w:color="auto" w:fill="auto"/>
          </w:tcPr>
          <w:p w14:paraId="2FDE53CF" w14:textId="77777777" w:rsidR="003C268A" w:rsidRPr="00B43BC8" w:rsidRDefault="003C268A" w:rsidP="0016139C">
            <w:pPr>
              <w:pStyle w:val="Subbodytext"/>
              <w:rPr>
                <w:b/>
                <w:color w:val="auto"/>
              </w:rPr>
            </w:pPr>
            <w:r w:rsidRPr="00B43BC8">
              <w:rPr>
                <w:b/>
                <w:color w:val="auto"/>
              </w:rPr>
              <w:t>Total*^</w:t>
            </w:r>
          </w:p>
        </w:tc>
        <w:tc>
          <w:tcPr>
            <w:tcW w:w="1502" w:type="dxa"/>
            <w:shd w:val="clear" w:color="auto" w:fill="auto"/>
          </w:tcPr>
          <w:p w14:paraId="7F41F58D" w14:textId="77777777" w:rsidR="003C268A" w:rsidRPr="00B43BC8" w:rsidRDefault="003C268A" w:rsidP="0016139C">
            <w:pPr>
              <w:pStyle w:val="Subbodytext"/>
              <w:jc w:val="center"/>
              <w:cnfStyle w:val="100000000000" w:firstRow="1" w:lastRow="0" w:firstColumn="0" w:lastColumn="0" w:oddVBand="0" w:evenVBand="0" w:oddHBand="0" w:evenHBand="0" w:firstRowFirstColumn="0" w:firstRowLastColumn="0" w:lastRowFirstColumn="0" w:lastRowLastColumn="0"/>
              <w:rPr>
                <w:b/>
                <w:color w:val="auto"/>
              </w:rPr>
            </w:pPr>
          </w:p>
        </w:tc>
        <w:tc>
          <w:tcPr>
            <w:tcW w:w="1503" w:type="dxa"/>
            <w:shd w:val="clear" w:color="auto" w:fill="auto"/>
          </w:tcPr>
          <w:p w14:paraId="20761BC2" w14:textId="77777777" w:rsidR="003C268A" w:rsidRPr="00B43BC8" w:rsidRDefault="003C268A" w:rsidP="0016139C">
            <w:pPr>
              <w:pStyle w:val="Subbodytext"/>
              <w:jc w:val="center"/>
              <w:cnfStyle w:val="100000000000" w:firstRow="1" w:lastRow="0" w:firstColumn="0" w:lastColumn="0" w:oddVBand="0" w:evenVBand="0" w:oddHBand="0" w:evenHBand="0" w:firstRowFirstColumn="0" w:firstRowLastColumn="0" w:lastRowFirstColumn="0" w:lastRowLastColumn="0"/>
              <w:rPr>
                <w:b/>
                <w:color w:val="auto"/>
              </w:rPr>
            </w:pPr>
          </w:p>
        </w:tc>
        <w:tc>
          <w:tcPr>
            <w:tcW w:w="1503" w:type="dxa"/>
            <w:shd w:val="clear" w:color="auto" w:fill="auto"/>
          </w:tcPr>
          <w:p w14:paraId="6E13ACED" w14:textId="77777777" w:rsidR="003C268A" w:rsidRPr="00B43BC8" w:rsidRDefault="003C268A" w:rsidP="0016139C">
            <w:pPr>
              <w:pStyle w:val="Subbodytext"/>
              <w:jc w:val="center"/>
              <w:cnfStyle w:val="100000000000" w:firstRow="1" w:lastRow="0" w:firstColumn="0" w:lastColumn="0" w:oddVBand="0" w:evenVBand="0" w:oddHBand="0" w:evenHBand="0" w:firstRowFirstColumn="0" w:firstRowLastColumn="0" w:lastRowFirstColumn="0" w:lastRowLastColumn="0"/>
              <w:rPr>
                <w:b/>
                <w:color w:val="auto"/>
              </w:rPr>
            </w:pPr>
          </w:p>
        </w:tc>
        <w:tc>
          <w:tcPr>
            <w:tcW w:w="1503" w:type="dxa"/>
            <w:shd w:val="clear" w:color="auto" w:fill="auto"/>
          </w:tcPr>
          <w:p w14:paraId="03DDFCEF" w14:textId="77777777" w:rsidR="003C268A" w:rsidRPr="00B43BC8" w:rsidRDefault="003C268A" w:rsidP="0016139C">
            <w:pPr>
              <w:pStyle w:val="Subbodytext"/>
              <w:jc w:val="center"/>
              <w:cnfStyle w:val="100000000000" w:firstRow="1" w:lastRow="0" w:firstColumn="0" w:lastColumn="0" w:oddVBand="0" w:evenVBand="0" w:oddHBand="0" w:evenHBand="0" w:firstRowFirstColumn="0" w:firstRowLastColumn="0" w:lastRowFirstColumn="0" w:lastRowLastColumn="0"/>
              <w:rPr>
                <w:b/>
                <w:color w:val="auto"/>
              </w:rPr>
            </w:pPr>
          </w:p>
        </w:tc>
        <w:tc>
          <w:tcPr>
            <w:tcW w:w="1503" w:type="dxa"/>
            <w:shd w:val="clear" w:color="auto" w:fill="auto"/>
          </w:tcPr>
          <w:p w14:paraId="763D019C" w14:textId="77777777" w:rsidR="003C268A" w:rsidRPr="00B43BC8" w:rsidRDefault="003C268A" w:rsidP="0016139C">
            <w:pPr>
              <w:pStyle w:val="Subbodytext"/>
              <w:jc w:val="center"/>
              <w:cnfStyle w:val="100000000000" w:firstRow="1" w:lastRow="0" w:firstColumn="0" w:lastColumn="0" w:oddVBand="0" w:evenVBand="0" w:oddHBand="0" w:evenHBand="0" w:firstRowFirstColumn="0" w:firstRowLastColumn="0" w:lastRowFirstColumn="0" w:lastRowLastColumn="0"/>
              <w:rPr>
                <w:b/>
                <w:color w:val="auto"/>
              </w:rPr>
            </w:pPr>
            <w:r w:rsidRPr="00B43BC8">
              <w:rPr>
                <w:b/>
                <w:color w:val="auto"/>
              </w:rPr>
              <w:t>990,760</w:t>
            </w:r>
          </w:p>
        </w:tc>
      </w:tr>
    </w:tbl>
    <w:p w14:paraId="7D591FE8" w14:textId="4767DE0C" w:rsidR="003C268A" w:rsidRDefault="5CC1B00A" w:rsidP="00DC748D">
      <w:pPr>
        <w:pStyle w:val="SubFigureCaption"/>
        <w:spacing w:after="120"/>
      </w:pPr>
      <w:r>
        <w:t xml:space="preserve"># Excludes </w:t>
      </w:r>
      <w:r w:rsidR="16981C7E">
        <w:t>in home care</w:t>
      </w:r>
      <w:r w:rsidR="0E41FDB8">
        <w:t xml:space="preserve"> </w:t>
      </w:r>
      <w:r>
        <w:t xml:space="preserve">^ Includes </w:t>
      </w:r>
      <w:r w:rsidR="16981C7E">
        <w:t>in home care</w:t>
      </w:r>
      <w:r w:rsidR="0E41FDB8">
        <w:t xml:space="preserve"> </w:t>
      </w:r>
      <w:r>
        <w:t>*As families may use services in more than one state or territory, and due to rounding, the sum of the component parts may not equal the total.</w:t>
      </w:r>
      <w:r w:rsidR="0E41FDB8">
        <w:t xml:space="preserve"> </w:t>
      </w:r>
      <w:r>
        <w:t xml:space="preserve">Note: </w:t>
      </w:r>
      <w:r w:rsidR="008139B2">
        <w:t xml:space="preserve">region </w:t>
      </w:r>
      <w:r>
        <w:t>is based on the ABS Accessibility/Remoteness Index of Australia (ARIA), July 2016.</w:t>
      </w:r>
      <w:r w:rsidR="00373FAE">
        <w:br/>
        <w:t>Source: Department of Education administrative data.</w:t>
      </w:r>
    </w:p>
    <w:p w14:paraId="08D15FC8" w14:textId="322CC415" w:rsidR="00E8697D" w:rsidRDefault="00970D78" w:rsidP="0040556A">
      <w:pPr>
        <w:pStyle w:val="Subbodytext"/>
      </w:pPr>
      <w:r w:rsidRPr="005C2A05">
        <w:t>In addition to commercial considerations, the delivery of ECEC services depends on labour supply</w:t>
      </w:r>
      <w:r w:rsidRPr="00970D78">
        <w:t>.</w:t>
      </w:r>
      <w:r>
        <w:t xml:space="preserve"> S</w:t>
      </w:r>
      <w:r w:rsidR="005C6D2C">
        <w:t xml:space="preserve">hortages appear to be most acute outside of major </w:t>
      </w:r>
      <w:r w:rsidR="00D11077">
        <w:t>metropolitan regions</w:t>
      </w:r>
      <w:r w:rsidR="00392B8B">
        <w:t>,</w:t>
      </w:r>
      <w:r w:rsidR="00D11077">
        <w:t xml:space="preserve"> with a</w:t>
      </w:r>
      <w:r w:rsidR="5CC1B00A" w:rsidRPr="00E801DF">
        <w:t>pproximately 10</w:t>
      </w:r>
      <w:r w:rsidR="00346148">
        <w:t> per cent</w:t>
      </w:r>
      <w:r w:rsidR="5CC1B00A" w:rsidRPr="00E801DF">
        <w:t xml:space="preserve"> of services </w:t>
      </w:r>
      <w:r w:rsidR="00D11077">
        <w:t xml:space="preserve">(as at 1 July 2021) </w:t>
      </w:r>
      <w:r w:rsidR="5CC1B00A" w:rsidRPr="00E801DF">
        <w:t>in outer regional, remote</w:t>
      </w:r>
      <w:r w:rsidR="5CC1B00A">
        <w:t>,</w:t>
      </w:r>
      <w:r w:rsidR="5CC1B00A" w:rsidRPr="00E801DF">
        <w:t xml:space="preserve"> and very remote areas of Australia hold</w:t>
      </w:r>
      <w:r w:rsidR="00D11077">
        <w:t>ing</w:t>
      </w:r>
      <w:r w:rsidR="5CC1B00A" w:rsidRPr="00E801DF">
        <w:t xml:space="preserve"> a temporary waiver for one or more of the staffing requirements under the National Quality Framework</w:t>
      </w:r>
      <w:r w:rsidR="00C645E7">
        <w:t>.</w:t>
      </w:r>
      <w:r w:rsidR="00D110EE">
        <w:t xml:space="preserve"> </w:t>
      </w:r>
      <w:r w:rsidR="00C645E7">
        <w:t>This compares</w:t>
      </w:r>
      <w:r w:rsidR="00D11077">
        <w:t xml:space="preserve"> to approximately 6 per cent of services</w:t>
      </w:r>
      <w:r w:rsidR="00F9103D">
        <w:t xml:space="preserve"> </w:t>
      </w:r>
      <w:r w:rsidR="00D11077">
        <w:t>in inner regional areas and major cities</w:t>
      </w:r>
      <w:r w:rsidR="5CC1B00A" w:rsidRPr="00E801DF">
        <w:t>.</w:t>
      </w:r>
      <w:r w:rsidR="003C268A" w:rsidRPr="00E801DF">
        <w:rPr>
          <w:rStyle w:val="FootnoteReference"/>
        </w:rPr>
        <w:footnoteReference w:id="37"/>
      </w:r>
      <w:r w:rsidR="5CC1B00A" w:rsidRPr="00E801DF">
        <w:t xml:space="preserve"> Stakeholder consultation conducted by the department has found that these issues are driven by a wide range of factors, including limited opportunities for career development and progression, uncompetitive wages, high levels of personal responsibility</w:t>
      </w:r>
      <w:r w:rsidR="00DA33A3">
        <w:t>,</w:t>
      </w:r>
      <w:r w:rsidR="5CC1B00A" w:rsidRPr="00E801DF">
        <w:t xml:space="preserve"> and challenging working conditions.</w:t>
      </w:r>
    </w:p>
    <w:p w14:paraId="5B19E396" w14:textId="374E87E2" w:rsidR="00E8697D" w:rsidRDefault="38105937" w:rsidP="0040556A">
      <w:pPr>
        <w:pStyle w:val="Subbodytext"/>
      </w:pPr>
      <w:r w:rsidRPr="00656861">
        <w:t>Analysis undertaken by ACECQA</w:t>
      </w:r>
      <w:r w:rsidR="001F180F">
        <w:t xml:space="preserve"> further</w:t>
      </w:r>
      <w:r w:rsidRPr="00656861">
        <w:t xml:space="preserve"> found </w:t>
      </w:r>
      <w:r w:rsidR="006C7974">
        <w:t xml:space="preserve">that quality was lower </w:t>
      </w:r>
      <w:r w:rsidRPr="00656861">
        <w:t xml:space="preserve">in remote areas. The analysis also shows </w:t>
      </w:r>
      <w:r w:rsidR="713A8049">
        <w:t xml:space="preserve">that </w:t>
      </w:r>
      <w:r w:rsidRPr="00656861">
        <w:t>there are modest differences in quality when comparing other geographical regions</w:t>
      </w:r>
      <w:r w:rsidR="713A8049">
        <w:t>.</w:t>
      </w:r>
      <w:r w:rsidR="004D62DD">
        <w:rPr>
          <w:rStyle w:val="FootnoteReference"/>
        </w:rPr>
        <w:footnoteReference w:id="38"/>
      </w:r>
    </w:p>
    <w:p w14:paraId="3075B8CE" w14:textId="5201A6CA" w:rsidR="0040556A" w:rsidRDefault="0040556A" w:rsidP="0040556A">
      <w:pPr>
        <w:pStyle w:val="Caption"/>
        <w:keepNext/>
      </w:pPr>
      <w:r>
        <w:t xml:space="preserve">Table </w:t>
      </w:r>
      <w:r>
        <w:fldChar w:fldCharType="begin"/>
      </w:r>
      <w:r>
        <w:instrText>SEQ Table \* ARABIC</w:instrText>
      </w:r>
      <w:r>
        <w:fldChar w:fldCharType="separate"/>
      </w:r>
      <w:r w:rsidR="00D307AC">
        <w:rPr>
          <w:noProof/>
        </w:rPr>
        <w:t>8</w:t>
      </w:r>
      <w:r>
        <w:fldChar w:fldCharType="end"/>
      </w:r>
      <w:r>
        <w:t>:</w:t>
      </w:r>
      <w:r w:rsidRPr="0040556A">
        <w:t xml:space="preserve"> </w:t>
      </w:r>
      <w:r>
        <w:t>Proportion of Services Rated Working Towards NQS and Exceeding NQS by Remoteness Classification and the Most Disadvantaged Areas</w:t>
      </w:r>
    </w:p>
    <w:tbl>
      <w:tblPr>
        <w:tblStyle w:val="EDU-Basic"/>
        <w:tblW w:w="0" w:type="auto"/>
        <w:tblLook w:val="04A0" w:firstRow="1" w:lastRow="0" w:firstColumn="1" w:lastColumn="0" w:noHBand="0" w:noVBand="1"/>
      </w:tblPr>
      <w:tblGrid>
        <w:gridCol w:w="3823"/>
        <w:gridCol w:w="2835"/>
        <w:gridCol w:w="2358"/>
      </w:tblGrid>
      <w:tr w:rsidR="00794DA4" w14:paraId="2907F495" w14:textId="77777777" w:rsidTr="002A03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658" w:type="dxa"/>
            <w:gridSpan w:val="2"/>
          </w:tcPr>
          <w:p w14:paraId="1AD7E3B3" w14:textId="1B79CEA5" w:rsidR="00794DA4" w:rsidRPr="00E729A0" w:rsidRDefault="00794DA4" w:rsidP="00E729A0">
            <w:pPr>
              <w:pStyle w:val="Subbodytext"/>
              <w:spacing w:before="0" w:beforeAutospacing="0" w:after="0" w:afterAutospacing="0"/>
              <w:contextualSpacing/>
              <w:rPr>
                <w:b/>
                <w:bCs/>
              </w:rPr>
            </w:pPr>
            <w:r w:rsidRPr="00E729A0">
              <w:rPr>
                <w:b/>
                <w:bCs/>
              </w:rPr>
              <w:t>Geographical remoteness</w:t>
            </w:r>
          </w:p>
        </w:tc>
        <w:tc>
          <w:tcPr>
            <w:tcW w:w="2358" w:type="dxa"/>
          </w:tcPr>
          <w:p w14:paraId="0C2E18B9" w14:textId="2FDCFC2E" w:rsidR="00794DA4" w:rsidRPr="00E729A0" w:rsidRDefault="00794DA4" w:rsidP="00E729A0">
            <w:pPr>
              <w:pStyle w:val="Subbodytext"/>
              <w:spacing w:before="0" w:beforeAutospacing="0" w:after="0" w:afterAutospacing="0"/>
              <w:contextualSpacing/>
              <w:cnfStyle w:val="100000000000" w:firstRow="1" w:lastRow="0" w:firstColumn="0" w:lastColumn="0" w:oddVBand="0" w:evenVBand="0" w:oddHBand="0" w:evenHBand="0" w:firstRowFirstColumn="0" w:firstRowLastColumn="0" w:lastRowFirstColumn="0" w:lastRowLastColumn="0"/>
              <w:rPr>
                <w:b/>
                <w:bCs/>
              </w:rPr>
            </w:pPr>
            <w:r w:rsidRPr="00E729A0">
              <w:rPr>
                <w:b/>
                <w:bCs/>
              </w:rPr>
              <w:t xml:space="preserve">SEIFA </w:t>
            </w:r>
            <w:r w:rsidR="006C56C6">
              <w:rPr>
                <w:b/>
                <w:bCs/>
              </w:rPr>
              <w:t>(</w:t>
            </w:r>
            <w:r w:rsidR="006C56C6" w:rsidRPr="006C56C6">
              <w:rPr>
                <w:b/>
                <w:bCs/>
              </w:rPr>
              <w:t>Socio-Economic Indexes for Areas</w:t>
            </w:r>
            <w:r w:rsidR="006C56C6">
              <w:rPr>
                <w:b/>
                <w:bCs/>
              </w:rPr>
              <w:t xml:space="preserve">) </w:t>
            </w:r>
            <w:r w:rsidRPr="00E729A0">
              <w:rPr>
                <w:b/>
                <w:bCs/>
              </w:rPr>
              <w:t>quintile 1</w:t>
            </w:r>
          </w:p>
          <w:p w14:paraId="6746FA94" w14:textId="1CD77B5C" w:rsidR="00794DA4" w:rsidRPr="00E729A0" w:rsidRDefault="00794DA4" w:rsidP="00E729A0">
            <w:pPr>
              <w:pStyle w:val="Subbodytext"/>
              <w:spacing w:before="0" w:beforeAutospacing="0" w:after="0" w:afterAutospacing="0"/>
              <w:contextualSpacing/>
              <w:cnfStyle w:val="100000000000" w:firstRow="1" w:lastRow="0" w:firstColumn="0" w:lastColumn="0" w:oddVBand="0" w:evenVBand="0" w:oddHBand="0" w:evenHBand="0" w:firstRowFirstColumn="0" w:firstRowLastColumn="0" w:lastRowFirstColumn="0" w:lastRowLastColumn="0"/>
              <w:rPr>
                <w:b/>
                <w:bCs/>
              </w:rPr>
            </w:pPr>
            <w:r w:rsidRPr="00E729A0">
              <w:rPr>
                <w:b/>
                <w:bCs/>
              </w:rPr>
              <w:t>(most disadvantaged)</w:t>
            </w:r>
          </w:p>
        </w:tc>
      </w:tr>
      <w:tr w:rsidR="00B65A2F" w14:paraId="23593015" w14:textId="77777777" w:rsidTr="002A03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3" w:type="dxa"/>
            <w:vMerge w:val="restart"/>
            <w:shd w:val="clear" w:color="auto" w:fill="auto"/>
          </w:tcPr>
          <w:p w14:paraId="313EB26D" w14:textId="19E52931" w:rsidR="00B65A2F" w:rsidRPr="00B43BC8" w:rsidRDefault="00B65A2F" w:rsidP="00E729A0">
            <w:pPr>
              <w:pStyle w:val="Subbodytext"/>
              <w:rPr>
                <w:color w:val="auto"/>
              </w:rPr>
            </w:pPr>
            <w:r w:rsidRPr="00B43BC8">
              <w:rPr>
                <w:color w:val="auto"/>
              </w:rPr>
              <w:t xml:space="preserve">Major </w:t>
            </w:r>
            <w:r w:rsidR="00CF2D01" w:rsidRPr="00B43BC8">
              <w:rPr>
                <w:color w:val="auto"/>
              </w:rPr>
              <w:t xml:space="preserve">cities </w:t>
            </w:r>
            <w:r w:rsidRPr="00B43BC8">
              <w:rPr>
                <w:color w:val="auto"/>
              </w:rPr>
              <w:t>of Australia</w:t>
            </w:r>
          </w:p>
        </w:tc>
        <w:tc>
          <w:tcPr>
            <w:tcW w:w="2835" w:type="dxa"/>
            <w:shd w:val="clear" w:color="auto" w:fill="auto"/>
          </w:tcPr>
          <w:p w14:paraId="4D4FBF36" w14:textId="6D61D203" w:rsidR="00B65A2F" w:rsidRPr="00B43BC8" w:rsidRDefault="00B65A2F" w:rsidP="00E729A0">
            <w:pPr>
              <w:pStyle w:val="Subbodytext"/>
              <w:cnfStyle w:val="100000000000" w:firstRow="1" w:lastRow="0" w:firstColumn="0" w:lastColumn="0" w:oddVBand="0" w:evenVBand="0" w:oddHBand="0" w:evenHBand="0" w:firstRowFirstColumn="0" w:firstRowLastColumn="0" w:lastRowFirstColumn="0" w:lastRowLastColumn="0"/>
              <w:rPr>
                <w:color w:val="auto"/>
              </w:rPr>
            </w:pPr>
            <w:r w:rsidRPr="00B43BC8">
              <w:rPr>
                <w:color w:val="auto"/>
              </w:rPr>
              <w:t xml:space="preserve">Working </w:t>
            </w:r>
            <w:r w:rsidR="00CF2D01" w:rsidRPr="00B43BC8">
              <w:rPr>
                <w:color w:val="auto"/>
              </w:rPr>
              <w:t xml:space="preserve">towards </w:t>
            </w:r>
            <w:r w:rsidRPr="00B43BC8">
              <w:rPr>
                <w:color w:val="auto"/>
              </w:rPr>
              <w:t>NQS</w:t>
            </w:r>
          </w:p>
        </w:tc>
        <w:tc>
          <w:tcPr>
            <w:tcW w:w="2358" w:type="dxa"/>
            <w:shd w:val="clear" w:color="auto" w:fill="auto"/>
          </w:tcPr>
          <w:p w14:paraId="07675CA1" w14:textId="1905F3DC" w:rsidR="00B65A2F" w:rsidRPr="00B43BC8" w:rsidRDefault="00B65A2F" w:rsidP="00E729A0">
            <w:pPr>
              <w:pStyle w:val="Subbodytext"/>
              <w:jc w:val="center"/>
              <w:cnfStyle w:val="100000000000" w:firstRow="1" w:lastRow="0" w:firstColumn="0" w:lastColumn="0" w:oddVBand="0" w:evenVBand="0" w:oddHBand="0" w:evenHBand="0" w:firstRowFirstColumn="0" w:firstRowLastColumn="0" w:lastRowFirstColumn="0" w:lastRowLastColumn="0"/>
              <w:rPr>
                <w:color w:val="auto"/>
              </w:rPr>
            </w:pPr>
            <w:r w:rsidRPr="00B43BC8">
              <w:rPr>
                <w:color w:val="auto"/>
              </w:rPr>
              <w:t>24%</w:t>
            </w:r>
          </w:p>
        </w:tc>
      </w:tr>
      <w:tr w:rsidR="00B65A2F" w14:paraId="0A1B8E20" w14:textId="77777777" w:rsidTr="002A03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3" w:type="dxa"/>
            <w:vMerge/>
            <w:shd w:val="clear" w:color="auto" w:fill="auto"/>
          </w:tcPr>
          <w:p w14:paraId="2F9653D2" w14:textId="77777777" w:rsidR="00B65A2F" w:rsidRPr="00B43BC8" w:rsidRDefault="00B65A2F" w:rsidP="00E729A0">
            <w:pPr>
              <w:pStyle w:val="Subbodytext"/>
              <w:rPr>
                <w:color w:val="auto"/>
              </w:rPr>
            </w:pPr>
          </w:p>
        </w:tc>
        <w:tc>
          <w:tcPr>
            <w:tcW w:w="2835" w:type="dxa"/>
            <w:shd w:val="clear" w:color="auto" w:fill="auto"/>
          </w:tcPr>
          <w:p w14:paraId="351A6FFD" w14:textId="3AD1E75F" w:rsidR="00B65A2F" w:rsidRPr="00B43BC8" w:rsidRDefault="00B65A2F" w:rsidP="00E729A0">
            <w:pPr>
              <w:pStyle w:val="Subbodytext"/>
              <w:cnfStyle w:val="100000000000" w:firstRow="1" w:lastRow="0" w:firstColumn="0" w:lastColumn="0" w:oddVBand="0" w:evenVBand="0" w:oddHBand="0" w:evenHBand="0" w:firstRowFirstColumn="0" w:firstRowLastColumn="0" w:lastRowFirstColumn="0" w:lastRowLastColumn="0"/>
              <w:rPr>
                <w:color w:val="auto"/>
              </w:rPr>
            </w:pPr>
            <w:r w:rsidRPr="00B43BC8">
              <w:rPr>
                <w:color w:val="auto"/>
              </w:rPr>
              <w:t>Exceeding NQS</w:t>
            </w:r>
          </w:p>
        </w:tc>
        <w:tc>
          <w:tcPr>
            <w:tcW w:w="2358" w:type="dxa"/>
            <w:shd w:val="clear" w:color="auto" w:fill="auto"/>
          </w:tcPr>
          <w:p w14:paraId="52470870" w14:textId="30D65DFC" w:rsidR="00B65A2F" w:rsidRPr="00B43BC8" w:rsidRDefault="00B65A2F" w:rsidP="00E729A0">
            <w:pPr>
              <w:pStyle w:val="Subbodytext"/>
              <w:jc w:val="center"/>
              <w:cnfStyle w:val="100000000000" w:firstRow="1" w:lastRow="0" w:firstColumn="0" w:lastColumn="0" w:oddVBand="0" w:evenVBand="0" w:oddHBand="0" w:evenHBand="0" w:firstRowFirstColumn="0" w:firstRowLastColumn="0" w:lastRowFirstColumn="0" w:lastRowLastColumn="0"/>
              <w:rPr>
                <w:color w:val="auto"/>
              </w:rPr>
            </w:pPr>
            <w:r w:rsidRPr="00B43BC8">
              <w:rPr>
                <w:color w:val="auto"/>
              </w:rPr>
              <w:t>26%</w:t>
            </w:r>
          </w:p>
        </w:tc>
      </w:tr>
      <w:tr w:rsidR="00B52EA2" w14:paraId="7015199F" w14:textId="77777777" w:rsidTr="002A03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3" w:type="dxa"/>
            <w:vMerge w:val="restart"/>
            <w:shd w:val="clear" w:color="auto" w:fill="auto"/>
          </w:tcPr>
          <w:p w14:paraId="5E282881" w14:textId="77C8819C" w:rsidR="00B52EA2" w:rsidRPr="00B43BC8" w:rsidRDefault="00B52EA2" w:rsidP="00E729A0">
            <w:pPr>
              <w:pStyle w:val="Subbodytext"/>
              <w:rPr>
                <w:color w:val="auto"/>
              </w:rPr>
            </w:pPr>
            <w:r w:rsidRPr="00B43BC8">
              <w:rPr>
                <w:color w:val="auto"/>
              </w:rPr>
              <w:t xml:space="preserve">Inner </w:t>
            </w:r>
            <w:r w:rsidR="00CF2D01" w:rsidRPr="00B43BC8">
              <w:rPr>
                <w:color w:val="auto"/>
              </w:rPr>
              <w:t xml:space="preserve">regional </w:t>
            </w:r>
            <w:r w:rsidRPr="00B43BC8">
              <w:rPr>
                <w:color w:val="auto"/>
              </w:rPr>
              <w:t>Australia</w:t>
            </w:r>
          </w:p>
        </w:tc>
        <w:tc>
          <w:tcPr>
            <w:tcW w:w="2835" w:type="dxa"/>
            <w:shd w:val="clear" w:color="auto" w:fill="auto"/>
          </w:tcPr>
          <w:p w14:paraId="45A6D69F" w14:textId="23CBBAE3" w:rsidR="00B52EA2" w:rsidRPr="00B43BC8" w:rsidRDefault="00B52EA2" w:rsidP="00E729A0">
            <w:pPr>
              <w:pStyle w:val="Subbodytext"/>
              <w:cnfStyle w:val="100000000000" w:firstRow="1" w:lastRow="0" w:firstColumn="0" w:lastColumn="0" w:oddVBand="0" w:evenVBand="0" w:oddHBand="0" w:evenHBand="0" w:firstRowFirstColumn="0" w:firstRowLastColumn="0" w:lastRowFirstColumn="0" w:lastRowLastColumn="0"/>
              <w:rPr>
                <w:color w:val="auto"/>
              </w:rPr>
            </w:pPr>
            <w:r w:rsidRPr="00B43BC8">
              <w:rPr>
                <w:color w:val="auto"/>
              </w:rPr>
              <w:t xml:space="preserve">Working </w:t>
            </w:r>
            <w:r w:rsidR="00CF2D01" w:rsidRPr="00B43BC8">
              <w:rPr>
                <w:color w:val="auto"/>
              </w:rPr>
              <w:t xml:space="preserve">towards </w:t>
            </w:r>
            <w:r w:rsidRPr="00B43BC8">
              <w:rPr>
                <w:color w:val="auto"/>
              </w:rPr>
              <w:t>NQS</w:t>
            </w:r>
          </w:p>
        </w:tc>
        <w:tc>
          <w:tcPr>
            <w:tcW w:w="2358" w:type="dxa"/>
            <w:shd w:val="clear" w:color="auto" w:fill="auto"/>
          </w:tcPr>
          <w:p w14:paraId="2C8471F9" w14:textId="78A05A4A" w:rsidR="00B52EA2" w:rsidRPr="00B43BC8" w:rsidRDefault="00B52EA2" w:rsidP="00E729A0">
            <w:pPr>
              <w:pStyle w:val="Subbodytext"/>
              <w:jc w:val="center"/>
              <w:cnfStyle w:val="100000000000" w:firstRow="1" w:lastRow="0" w:firstColumn="0" w:lastColumn="0" w:oddVBand="0" w:evenVBand="0" w:oddHBand="0" w:evenHBand="0" w:firstRowFirstColumn="0" w:firstRowLastColumn="0" w:lastRowFirstColumn="0" w:lastRowLastColumn="0"/>
              <w:rPr>
                <w:color w:val="auto"/>
              </w:rPr>
            </w:pPr>
            <w:r w:rsidRPr="00B43BC8">
              <w:rPr>
                <w:color w:val="auto"/>
              </w:rPr>
              <w:t>20%</w:t>
            </w:r>
          </w:p>
        </w:tc>
      </w:tr>
      <w:tr w:rsidR="00B52EA2" w14:paraId="76289545" w14:textId="77777777" w:rsidTr="002A03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3" w:type="dxa"/>
            <w:vMerge/>
            <w:shd w:val="clear" w:color="auto" w:fill="auto"/>
          </w:tcPr>
          <w:p w14:paraId="7484E37E" w14:textId="77777777" w:rsidR="00B52EA2" w:rsidRPr="00B43BC8" w:rsidRDefault="00B52EA2" w:rsidP="00E729A0">
            <w:pPr>
              <w:pStyle w:val="Subbodytext"/>
              <w:rPr>
                <w:color w:val="auto"/>
              </w:rPr>
            </w:pPr>
          </w:p>
        </w:tc>
        <w:tc>
          <w:tcPr>
            <w:tcW w:w="2835" w:type="dxa"/>
            <w:shd w:val="clear" w:color="auto" w:fill="auto"/>
          </w:tcPr>
          <w:p w14:paraId="291846FF" w14:textId="15A91C55" w:rsidR="00B52EA2" w:rsidRPr="00B43BC8" w:rsidRDefault="00B52EA2" w:rsidP="00E729A0">
            <w:pPr>
              <w:pStyle w:val="Subbodytext"/>
              <w:cnfStyle w:val="100000000000" w:firstRow="1" w:lastRow="0" w:firstColumn="0" w:lastColumn="0" w:oddVBand="0" w:evenVBand="0" w:oddHBand="0" w:evenHBand="0" w:firstRowFirstColumn="0" w:firstRowLastColumn="0" w:lastRowFirstColumn="0" w:lastRowLastColumn="0"/>
              <w:rPr>
                <w:color w:val="auto"/>
              </w:rPr>
            </w:pPr>
            <w:r w:rsidRPr="00B43BC8">
              <w:rPr>
                <w:color w:val="auto"/>
              </w:rPr>
              <w:t>Exceeding NQS</w:t>
            </w:r>
          </w:p>
        </w:tc>
        <w:tc>
          <w:tcPr>
            <w:tcW w:w="2358" w:type="dxa"/>
            <w:shd w:val="clear" w:color="auto" w:fill="auto"/>
          </w:tcPr>
          <w:p w14:paraId="23685F9B" w14:textId="055D7C27" w:rsidR="00B52EA2" w:rsidRPr="00B43BC8" w:rsidRDefault="00B52EA2" w:rsidP="00E729A0">
            <w:pPr>
              <w:pStyle w:val="Subbodytext"/>
              <w:jc w:val="center"/>
              <w:cnfStyle w:val="100000000000" w:firstRow="1" w:lastRow="0" w:firstColumn="0" w:lastColumn="0" w:oddVBand="0" w:evenVBand="0" w:oddHBand="0" w:evenHBand="0" w:firstRowFirstColumn="0" w:firstRowLastColumn="0" w:lastRowFirstColumn="0" w:lastRowLastColumn="0"/>
              <w:rPr>
                <w:color w:val="auto"/>
              </w:rPr>
            </w:pPr>
            <w:r w:rsidRPr="00B43BC8">
              <w:rPr>
                <w:color w:val="auto"/>
              </w:rPr>
              <w:t>27%</w:t>
            </w:r>
          </w:p>
        </w:tc>
      </w:tr>
      <w:tr w:rsidR="00B52EA2" w14:paraId="635F3B9F" w14:textId="77777777" w:rsidTr="002A03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3" w:type="dxa"/>
            <w:vMerge w:val="restart"/>
            <w:shd w:val="clear" w:color="auto" w:fill="auto"/>
          </w:tcPr>
          <w:p w14:paraId="0C80471D" w14:textId="5ABACEAC" w:rsidR="00B52EA2" w:rsidRPr="00B43BC8" w:rsidRDefault="00B52EA2" w:rsidP="00E729A0">
            <w:pPr>
              <w:pStyle w:val="Subbodytext"/>
              <w:rPr>
                <w:color w:val="auto"/>
              </w:rPr>
            </w:pPr>
            <w:r w:rsidRPr="00B43BC8">
              <w:rPr>
                <w:color w:val="auto"/>
              </w:rPr>
              <w:t xml:space="preserve">Outer </w:t>
            </w:r>
            <w:r w:rsidR="00CF2D01" w:rsidRPr="00B43BC8">
              <w:rPr>
                <w:color w:val="auto"/>
              </w:rPr>
              <w:t xml:space="preserve">regional </w:t>
            </w:r>
            <w:r w:rsidRPr="00B43BC8">
              <w:rPr>
                <w:color w:val="auto"/>
              </w:rPr>
              <w:t>Australia</w:t>
            </w:r>
          </w:p>
        </w:tc>
        <w:tc>
          <w:tcPr>
            <w:tcW w:w="2835" w:type="dxa"/>
            <w:shd w:val="clear" w:color="auto" w:fill="auto"/>
          </w:tcPr>
          <w:p w14:paraId="3034D97C" w14:textId="49C00C90" w:rsidR="00B52EA2" w:rsidRPr="00B43BC8" w:rsidRDefault="00B52EA2" w:rsidP="00E729A0">
            <w:pPr>
              <w:pStyle w:val="Subbodytext"/>
              <w:cnfStyle w:val="100000000000" w:firstRow="1" w:lastRow="0" w:firstColumn="0" w:lastColumn="0" w:oddVBand="0" w:evenVBand="0" w:oddHBand="0" w:evenHBand="0" w:firstRowFirstColumn="0" w:firstRowLastColumn="0" w:lastRowFirstColumn="0" w:lastRowLastColumn="0"/>
              <w:rPr>
                <w:color w:val="auto"/>
              </w:rPr>
            </w:pPr>
            <w:r w:rsidRPr="00B43BC8">
              <w:rPr>
                <w:color w:val="auto"/>
              </w:rPr>
              <w:t xml:space="preserve">Working </w:t>
            </w:r>
            <w:r w:rsidR="00CF2D01" w:rsidRPr="00B43BC8">
              <w:rPr>
                <w:color w:val="auto"/>
              </w:rPr>
              <w:t xml:space="preserve">towards </w:t>
            </w:r>
            <w:r w:rsidRPr="00B43BC8">
              <w:rPr>
                <w:color w:val="auto"/>
              </w:rPr>
              <w:t>NQS</w:t>
            </w:r>
          </w:p>
        </w:tc>
        <w:tc>
          <w:tcPr>
            <w:tcW w:w="2358" w:type="dxa"/>
            <w:shd w:val="clear" w:color="auto" w:fill="auto"/>
          </w:tcPr>
          <w:p w14:paraId="76883B7E" w14:textId="66B86CFF" w:rsidR="00B52EA2" w:rsidRPr="00B43BC8" w:rsidRDefault="00B52EA2" w:rsidP="00E729A0">
            <w:pPr>
              <w:pStyle w:val="Subbodytext"/>
              <w:jc w:val="center"/>
              <w:cnfStyle w:val="100000000000" w:firstRow="1" w:lastRow="0" w:firstColumn="0" w:lastColumn="0" w:oddVBand="0" w:evenVBand="0" w:oddHBand="0" w:evenHBand="0" w:firstRowFirstColumn="0" w:firstRowLastColumn="0" w:lastRowFirstColumn="0" w:lastRowLastColumn="0"/>
              <w:rPr>
                <w:color w:val="auto"/>
              </w:rPr>
            </w:pPr>
            <w:r w:rsidRPr="00B43BC8">
              <w:rPr>
                <w:color w:val="auto"/>
              </w:rPr>
              <w:t>24%</w:t>
            </w:r>
          </w:p>
        </w:tc>
      </w:tr>
      <w:tr w:rsidR="00B52EA2" w14:paraId="3E6C7C0A" w14:textId="77777777" w:rsidTr="002A03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3" w:type="dxa"/>
            <w:vMerge/>
            <w:shd w:val="clear" w:color="auto" w:fill="auto"/>
          </w:tcPr>
          <w:p w14:paraId="4B2004C9" w14:textId="77777777" w:rsidR="00B52EA2" w:rsidRPr="00B43BC8" w:rsidRDefault="00B52EA2" w:rsidP="00E729A0">
            <w:pPr>
              <w:pStyle w:val="Subbodytext"/>
              <w:rPr>
                <w:color w:val="auto"/>
              </w:rPr>
            </w:pPr>
          </w:p>
        </w:tc>
        <w:tc>
          <w:tcPr>
            <w:tcW w:w="2835" w:type="dxa"/>
            <w:shd w:val="clear" w:color="auto" w:fill="auto"/>
          </w:tcPr>
          <w:p w14:paraId="26647A46" w14:textId="6CC136FB" w:rsidR="00B52EA2" w:rsidRPr="00B43BC8" w:rsidRDefault="00B52EA2" w:rsidP="00E729A0">
            <w:pPr>
              <w:pStyle w:val="Subbodytext"/>
              <w:cnfStyle w:val="100000000000" w:firstRow="1" w:lastRow="0" w:firstColumn="0" w:lastColumn="0" w:oddVBand="0" w:evenVBand="0" w:oddHBand="0" w:evenHBand="0" w:firstRowFirstColumn="0" w:firstRowLastColumn="0" w:lastRowFirstColumn="0" w:lastRowLastColumn="0"/>
              <w:rPr>
                <w:color w:val="auto"/>
              </w:rPr>
            </w:pPr>
            <w:r w:rsidRPr="00B43BC8">
              <w:rPr>
                <w:color w:val="auto"/>
              </w:rPr>
              <w:t>Exceeding NQS</w:t>
            </w:r>
          </w:p>
        </w:tc>
        <w:tc>
          <w:tcPr>
            <w:tcW w:w="2358" w:type="dxa"/>
            <w:shd w:val="clear" w:color="auto" w:fill="auto"/>
          </w:tcPr>
          <w:p w14:paraId="77B38E71" w14:textId="2D09A87B" w:rsidR="00B52EA2" w:rsidRPr="00B43BC8" w:rsidRDefault="00B52EA2" w:rsidP="00E729A0">
            <w:pPr>
              <w:pStyle w:val="Subbodytext"/>
              <w:jc w:val="center"/>
              <w:cnfStyle w:val="100000000000" w:firstRow="1" w:lastRow="0" w:firstColumn="0" w:lastColumn="0" w:oddVBand="0" w:evenVBand="0" w:oddHBand="0" w:evenHBand="0" w:firstRowFirstColumn="0" w:firstRowLastColumn="0" w:lastRowFirstColumn="0" w:lastRowLastColumn="0"/>
              <w:rPr>
                <w:color w:val="auto"/>
              </w:rPr>
            </w:pPr>
            <w:r w:rsidRPr="00B43BC8">
              <w:rPr>
                <w:color w:val="auto"/>
              </w:rPr>
              <w:t>27%</w:t>
            </w:r>
          </w:p>
        </w:tc>
      </w:tr>
      <w:tr w:rsidR="00B52EA2" w14:paraId="2ADF53CF" w14:textId="77777777" w:rsidTr="002A03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3" w:type="dxa"/>
            <w:vMerge w:val="restart"/>
            <w:shd w:val="clear" w:color="auto" w:fill="auto"/>
          </w:tcPr>
          <w:p w14:paraId="379B706A" w14:textId="46B32951" w:rsidR="00B52EA2" w:rsidRPr="00B43BC8" w:rsidRDefault="00B52EA2" w:rsidP="00E729A0">
            <w:pPr>
              <w:pStyle w:val="Subbodytext"/>
              <w:rPr>
                <w:color w:val="auto"/>
              </w:rPr>
            </w:pPr>
            <w:r w:rsidRPr="00B43BC8">
              <w:rPr>
                <w:color w:val="auto"/>
              </w:rPr>
              <w:t xml:space="preserve">Remote and </w:t>
            </w:r>
            <w:r w:rsidR="00CF2D01" w:rsidRPr="00B43BC8">
              <w:rPr>
                <w:color w:val="auto"/>
              </w:rPr>
              <w:t xml:space="preserve">very remote </w:t>
            </w:r>
            <w:r w:rsidRPr="00B43BC8">
              <w:rPr>
                <w:color w:val="auto"/>
              </w:rPr>
              <w:t>Australia</w:t>
            </w:r>
          </w:p>
        </w:tc>
        <w:tc>
          <w:tcPr>
            <w:tcW w:w="2835" w:type="dxa"/>
            <w:shd w:val="clear" w:color="auto" w:fill="auto"/>
          </w:tcPr>
          <w:p w14:paraId="61345BDC" w14:textId="3B5804D7" w:rsidR="00B52EA2" w:rsidRPr="00B43BC8" w:rsidRDefault="00B52EA2" w:rsidP="00E729A0">
            <w:pPr>
              <w:pStyle w:val="Subbodytext"/>
              <w:cnfStyle w:val="100000000000" w:firstRow="1" w:lastRow="0" w:firstColumn="0" w:lastColumn="0" w:oddVBand="0" w:evenVBand="0" w:oddHBand="0" w:evenHBand="0" w:firstRowFirstColumn="0" w:firstRowLastColumn="0" w:lastRowFirstColumn="0" w:lastRowLastColumn="0"/>
              <w:rPr>
                <w:color w:val="auto"/>
              </w:rPr>
            </w:pPr>
            <w:r w:rsidRPr="00B43BC8">
              <w:rPr>
                <w:color w:val="auto"/>
              </w:rPr>
              <w:t xml:space="preserve">Working </w:t>
            </w:r>
            <w:r w:rsidR="00CF2D01" w:rsidRPr="00B43BC8">
              <w:rPr>
                <w:color w:val="auto"/>
              </w:rPr>
              <w:t xml:space="preserve">towards </w:t>
            </w:r>
            <w:r w:rsidRPr="00B43BC8">
              <w:rPr>
                <w:color w:val="auto"/>
              </w:rPr>
              <w:t>NQS</w:t>
            </w:r>
          </w:p>
        </w:tc>
        <w:tc>
          <w:tcPr>
            <w:tcW w:w="2358" w:type="dxa"/>
            <w:shd w:val="clear" w:color="auto" w:fill="auto"/>
          </w:tcPr>
          <w:p w14:paraId="30B50075" w14:textId="0F59BAB8" w:rsidR="00B52EA2" w:rsidRPr="00B43BC8" w:rsidRDefault="00B52EA2" w:rsidP="00E729A0">
            <w:pPr>
              <w:pStyle w:val="Subbodytext"/>
              <w:jc w:val="center"/>
              <w:cnfStyle w:val="100000000000" w:firstRow="1" w:lastRow="0" w:firstColumn="0" w:lastColumn="0" w:oddVBand="0" w:evenVBand="0" w:oddHBand="0" w:evenHBand="0" w:firstRowFirstColumn="0" w:firstRowLastColumn="0" w:lastRowFirstColumn="0" w:lastRowLastColumn="0"/>
              <w:rPr>
                <w:color w:val="auto"/>
              </w:rPr>
            </w:pPr>
            <w:r w:rsidRPr="00B43BC8">
              <w:rPr>
                <w:color w:val="auto"/>
              </w:rPr>
              <w:t>27%</w:t>
            </w:r>
          </w:p>
        </w:tc>
      </w:tr>
      <w:tr w:rsidR="00B52EA2" w14:paraId="14983AA9" w14:textId="77777777" w:rsidTr="002A03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3" w:type="dxa"/>
            <w:vMerge/>
            <w:shd w:val="clear" w:color="auto" w:fill="auto"/>
          </w:tcPr>
          <w:p w14:paraId="0BB2DBE6" w14:textId="77777777" w:rsidR="00B52EA2" w:rsidRPr="00B43BC8" w:rsidRDefault="00B52EA2" w:rsidP="00E729A0">
            <w:pPr>
              <w:pStyle w:val="Subbodytext"/>
              <w:rPr>
                <w:color w:val="auto"/>
              </w:rPr>
            </w:pPr>
          </w:p>
        </w:tc>
        <w:tc>
          <w:tcPr>
            <w:tcW w:w="2835" w:type="dxa"/>
            <w:shd w:val="clear" w:color="auto" w:fill="auto"/>
          </w:tcPr>
          <w:p w14:paraId="67AAC139" w14:textId="0F31F960" w:rsidR="00B52EA2" w:rsidRPr="00B43BC8" w:rsidRDefault="00B52EA2" w:rsidP="00E729A0">
            <w:pPr>
              <w:pStyle w:val="Subbodytext"/>
              <w:cnfStyle w:val="100000000000" w:firstRow="1" w:lastRow="0" w:firstColumn="0" w:lastColumn="0" w:oddVBand="0" w:evenVBand="0" w:oddHBand="0" w:evenHBand="0" w:firstRowFirstColumn="0" w:firstRowLastColumn="0" w:lastRowFirstColumn="0" w:lastRowLastColumn="0"/>
              <w:rPr>
                <w:color w:val="auto"/>
              </w:rPr>
            </w:pPr>
            <w:r w:rsidRPr="00B43BC8">
              <w:rPr>
                <w:color w:val="auto"/>
              </w:rPr>
              <w:t>Exceeding NQS</w:t>
            </w:r>
          </w:p>
        </w:tc>
        <w:tc>
          <w:tcPr>
            <w:tcW w:w="2358" w:type="dxa"/>
            <w:shd w:val="clear" w:color="auto" w:fill="auto"/>
          </w:tcPr>
          <w:p w14:paraId="1CC38A2A" w14:textId="538A1B56" w:rsidR="00B52EA2" w:rsidRPr="00B43BC8" w:rsidRDefault="00B52EA2" w:rsidP="00E729A0">
            <w:pPr>
              <w:pStyle w:val="Subbodytext"/>
              <w:jc w:val="center"/>
              <w:cnfStyle w:val="100000000000" w:firstRow="1" w:lastRow="0" w:firstColumn="0" w:lastColumn="0" w:oddVBand="0" w:evenVBand="0" w:oddHBand="0" w:evenHBand="0" w:firstRowFirstColumn="0" w:firstRowLastColumn="0" w:lastRowFirstColumn="0" w:lastRowLastColumn="0"/>
              <w:rPr>
                <w:color w:val="auto"/>
              </w:rPr>
            </w:pPr>
            <w:r w:rsidRPr="00B43BC8">
              <w:rPr>
                <w:color w:val="auto"/>
              </w:rPr>
              <w:t>18%</w:t>
            </w:r>
          </w:p>
        </w:tc>
      </w:tr>
    </w:tbl>
    <w:p w14:paraId="1AC404D4" w14:textId="3D8A1E34" w:rsidR="003602A5" w:rsidRPr="003A05C5" w:rsidRDefault="003602A5" w:rsidP="00DC748D">
      <w:pPr>
        <w:pStyle w:val="SubFigureCaption"/>
        <w:spacing w:after="120"/>
      </w:pPr>
      <w:r>
        <w:t xml:space="preserve">Source: </w:t>
      </w:r>
      <w:r w:rsidR="00461BA8">
        <w:t xml:space="preserve">ACECQA, </w:t>
      </w:r>
      <w:r w:rsidR="00461BA8" w:rsidRPr="00461BA8">
        <w:rPr>
          <w:i/>
          <w:iCs/>
        </w:rPr>
        <w:t>Quality ratings by socio-economic status of area</w:t>
      </w:r>
      <w:r w:rsidR="00461BA8">
        <w:t>, 2020</w:t>
      </w:r>
      <w:r w:rsidR="00A76B22">
        <w:t>.</w:t>
      </w:r>
    </w:p>
    <w:p w14:paraId="6B45882B" w14:textId="2AE3641C" w:rsidR="003C268A" w:rsidRDefault="003C268A" w:rsidP="003C268A">
      <w:pPr>
        <w:pStyle w:val="Subbodytext"/>
      </w:pPr>
      <w:r w:rsidRPr="00E801DF">
        <w:t xml:space="preserve">First Nations children and families </w:t>
      </w:r>
      <w:r>
        <w:t>may</w:t>
      </w:r>
      <w:r w:rsidRPr="00E801DF">
        <w:t xml:space="preserve"> experience barriers to ECEC</w:t>
      </w:r>
      <w:r>
        <w:t xml:space="preserve"> access, such as a lack of culturally safe, holistic ECEC models. A heightened risk of experiencing multiple and complex needs, such as family stress, housing instability, and preventable health conditions can create additional barriers—as can a lack of service provision in regional and remote areas. </w:t>
      </w:r>
      <w:r w:rsidR="005807CF">
        <w:t>SNAICC has</w:t>
      </w:r>
      <w:r w:rsidR="001E3ABE">
        <w:t xml:space="preserve"> highlighted the </w:t>
      </w:r>
      <w:r w:rsidRPr="00E801DF">
        <w:t xml:space="preserve">importance of </w:t>
      </w:r>
      <w:r>
        <w:t xml:space="preserve">high quality, </w:t>
      </w:r>
      <w:r w:rsidRPr="00E801DF">
        <w:t>culturally responsive</w:t>
      </w:r>
      <w:r>
        <w:t>,</w:t>
      </w:r>
      <w:r w:rsidRPr="00E801DF">
        <w:t xml:space="preserve"> </w:t>
      </w:r>
      <w:r>
        <w:t xml:space="preserve">and, where possible, community-led and controlled ECEC </w:t>
      </w:r>
      <w:r w:rsidRPr="00E801DF">
        <w:t>for First Nations children and families</w:t>
      </w:r>
      <w:r>
        <w:t>, complemented by wrap around supports.</w:t>
      </w:r>
      <w:r w:rsidRPr="00E801DF">
        <w:rPr>
          <w:vertAlign w:val="superscript"/>
        </w:rPr>
        <w:footnoteReference w:id="39"/>
      </w:r>
      <w:r w:rsidRPr="00E801DF">
        <w:rPr>
          <w:vertAlign w:val="superscript"/>
        </w:rPr>
        <w:t xml:space="preserve"> </w:t>
      </w:r>
    </w:p>
    <w:p w14:paraId="6585BEC6" w14:textId="77777777" w:rsidR="003C268A" w:rsidRDefault="003C268A" w:rsidP="00B23060">
      <w:pPr>
        <w:pStyle w:val="SubSectionHeading"/>
        <w:numPr>
          <w:ilvl w:val="1"/>
          <w:numId w:val="14"/>
        </w:numPr>
      </w:pPr>
      <w:bookmarkStart w:id="112" w:name="_Toc133513321"/>
      <w:bookmarkStart w:id="113" w:name="_Toc133933323"/>
      <w:bookmarkStart w:id="114" w:name="_Toc134023028"/>
      <w:bookmarkStart w:id="115" w:name="_Toc134173433"/>
      <w:bookmarkStart w:id="116" w:name="_Toc135404866"/>
      <w:r w:rsidRPr="00CB768E">
        <w:t>Flexibility</w:t>
      </w:r>
      <w:bookmarkEnd w:id="112"/>
      <w:bookmarkEnd w:id="113"/>
      <w:bookmarkEnd w:id="114"/>
      <w:bookmarkEnd w:id="115"/>
      <w:bookmarkEnd w:id="116"/>
    </w:p>
    <w:p w14:paraId="56F49429" w14:textId="77777777" w:rsidR="003C268A" w:rsidRPr="008018FC" w:rsidRDefault="003C268A" w:rsidP="003C268A">
      <w:pPr>
        <w:pStyle w:val="Subbodytext"/>
      </w:pPr>
      <w:r>
        <w:t>Flexible offerings (such as different session lengths, non-standard hours of care, and wrap around care) can facilitate greater ECEC access and improve workforce participation, but cost is a potential barrier to provision.</w:t>
      </w:r>
    </w:p>
    <w:p w14:paraId="7FE4C7C0" w14:textId="263993AE" w:rsidR="003C268A" w:rsidRPr="00746FA4" w:rsidRDefault="003C268A" w:rsidP="003C268A">
      <w:pPr>
        <w:pStyle w:val="Subbodytext"/>
        <w:rPr>
          <w:rFonts w:ascii="Calibri" w:eastAsia="Calibri" w:hAnsi="Calibri" w:cs="Calibri"/>
          <w:color w:val="000000" w:themeColor="text1"/>
        </w:rPr>
      </w:pPr>
      <w:r w:rsidRPr="00DA5709">
        <w:rPr>
          <w:rFonts w:ascii="Calibri" w:eastAsia="Calibri" w:hAnsi="Calibri" w:cs="Calibri"/>
          <w:color w:val="000000" w:themeColor="text1"/>
        </w:rPr>
        <w:t xml:space="preserve">The </w:t>
      </w:r>
      <w:r>
        <w:rPr>
          <w:rFonts w:ascii="Calibri" w:eastAsia="Calibri" w:hAnsi="Calibri" w:cs="Calibri"/>
          <w:color w:val="000000" w:themeColor="text1"/>
        </w:rPr>
        <w:t xml:space="preserve">2018 </w:t>
      </w:r>
      <w:r w:rsidRPr="00DA5709">
        <w:rPr>
          <w:rFonts w:ascii="Calibri" w:eastAsia="Calibri" w:hAnsi="Calibri" w:cs="Calibri"/>
          <w:color w:val="000000" w:themeColor="text1"/>
        </w:rPr>
        <w:t>Child Care Package removed regulatory requirements</w:t>
      </w:r>
      <w:r>
        <w:rPr>
          <w:rFonts w:ascii="Calibri" w:eastAsia="Calibri" w:hAnsi="Calibri" w:cs="Calibri"/>
          <w:color w:val="000000" w:themeColor="text1"/>
        </w:rPr>
        <w:t xml:space="preserve"> that limited flexibility, as well as those</w:t>
      </w:r>
      <w:r w:rsidRPr="00DA5709">
        <w:rPr>
          <w:rFonts w:ascii="Calibri" w:eastAsia="Calibri" w:hAnsi="Calibri" w:cs="Calibri"/>
          <w:color w:val="000000" w:themeColor="text1"/>
        </w:rPr>
        <w:t xml:space="preserve"> </w:t>
      </w:r>
      <w:r>
        <w:rPr>
          <w:rFonts w:ascii="Calibri" w:eastAsia="Calibri" w:hAnsi="Calibri" w:cs="Calibri"/>
          <w:color w:val="000000" w:themeColor="text1"/>
        </w:rPr>
        <w:t xml:space="preserve">related </w:t>
      </w:r>
      <w:r w:rsidRPr="00DA5709">
        <w:rPr>
          <w:rFonts w:ascii="Calibri" w:eastAsia="Calibri" w:hAnsi="Calibri" w:cs="Calibri"/>
          <w:color w:val="000000" w:themeColor="text1"/>
        </w:rPr>
        <w:t xml:space="preserve">to </w:t>
      </w:r>
      <w:r>
        <w:rPr>
          <w:rFonts w:ascii="Calibri" w:eastAsia="Calibri" w:hAnsi="Calibri" w:cs="Calibri"/>
          <w:color w:val="000000" w:themeColor="text1"/>
        </w:rPr>
        <w:t xml:space="preserve">services’ operating </w:t>
      </w:r>
      <w:r w:rsidRPr="00DA5709">
        <w:rPr>
          <w:rFonts w:ascii="Calibri" w:eastAsia="Calibri" w:hAnsi="Calibri" w:cs="Calibri"/>
          <w:color w:val="000000" w:themeColor="text1"/>
        </w:rPr>
        <w:t>hours and days</w:t>
      </w:r>
      <w:r>
        <w:rPr>
          <w:rFonts w:ascii="Calibri" w:eastAsia="Calibri" w:hAnsi="Calibri" w:cs="Calibri"/>
          <w:color w:val="000000" w:themeColor="text1"/>
        </w:rPr>
        <w:t>. Notwithstanding this,</w:t>
      </w:r>
      <w:r w:rsidRPr="00DA5709" w:rsidDel="00BB29C5">
        <w:rPr>
          <w:rFonts w:ascii="Calibri" w:eastAsia="Calibri" w:hAnsi="Calibri" w:cs="Calibri"/>
          <w:color w:val="000000" w:themeColor="text1"/>
        </w:rPr>
        <w:t xml:space="preserve"> </w:t>
      </w:r>
      <w:r w:rsidRPr="00087224">
        <w:rPr>
          <w:rFonts w:ascii="Calibri" w:eastAsia="Calibri" w:hAnsi="Calibri" w:cs="Calibri"/>
          <w:color w:val="000000" w:themeColor="text1"/>
        </w:rPr>
        <w:t>the subsequent evaluation of the Child Care Package by the Australian Institute of Family Studies</w:t>
      </w:r>
      <w:r w:rsidRPr="544B3E0F">
        <w:rPr>
          <w:rFonts w:ascii="Calibri" w:eastAsia="Calibri" w:hAnsi="Calibri" w:cs="Calibri"/>
          <w:color w:val="000000" w:themeColor="text1"/>
        </w:rPr>
        <w:t xml:space="preserve"> found</w:t>
      </w:r>
      <w:r>
        <w:rPr>
          <w:rFonts w:ascii="Calibri" w:eastAsia="Calibri" w:hAnsi="Calibri" w:cs="Calibri"/>
          <w:color w:val="000000" w:themeColor="text1"/>
        </w:rPr>
        <w:t xml:space="preserve"> that</w:t>
      </w:r>
      <w:r w:rsidRPr="544B3E0F">
        <w:rPr>
          <w:rFonts w:ascii="Calibri" w:eastAsia="Calibri" w:hAnsi="Calibri" w:cs="Calibri"/>
          <w:color w:val="000000" w:themeColor="text1"/>
        </w:rPr>
        <w:t xml:space="preserve"> the </w:t>
      </w:r>
      <w:r>
        <w:rPr>
          <w:rFonts w:ascii="Calibri" w:eastAsia="Calibri" w:hAnsi="Calibri" w:cs="Calibri"/>
          <w:color w:val="000000" w:themeColor="text1"/>
        </w:rPr>
        <w:t>reforms</w:t>
      </w:r>
      <w:r w:rsidRPr="544B3E0F">
        <w:rPr>
          <w:rFonts w:ascii="Calibri" w:eastAsia="Calibri" w:hAnsi="Calibri" w:cs="Calibri"/>
          <w:color w:val="000000" w:themeColor="text1"/>
        </w:rPr>
        <w:t xml:space="preserve"> had little impact on the flexibility of child care provision and that parental satisfaction regarding flexibility remained unchanged. Cost was identified as the key barrier inhibiting flexible care offerings.</w:t>
      </w:r>
      <w:r>
        <w:rPr>
          <w:rStyle w:val="FootnoteReference"/>
          <w:rFonts w:ascii="Calibri" w:eastAsia="Calibri" w:hAnsi="Calibri" w:cs="Calibri"/>
          <w:color w:val="000000" w:themeColor="text1"/>
        </w:rPr>
        <w:footnoteReference w:id="40"/>
      </w:r>
    </w:p>
    <w:p w14:paraId="06D00F4F" w14:textId="38A236FF" w:rsidR="003C268A" w:rsidRPr="00746FA4" w:rsidRDefault="003C268A" w:rsidP="003C268A">
      <w:pPr>
        <w:pStyle w:val="Subbodytext"/>
        <w:rPr>
          <w:rFonts w:ascii="Calibri" w:eastAsia="Calibri" w:hAnsi="Calibri" w:cs="Calibri"/>
          <w:color w:val="000000" w:themeColor="text1"/>
        </w:rPr>
      </w:pPr>
      <w:r w:rsidRPr="78881C38">
        <w:rPr>
          <w:rFonts w:ascii="Calibri" w:eastAsia="Calibri" w:hAnsi="Calibri" w:cs="Calibri"/>
          <w:color w:val="000000" w:themeColor="text1"/>
        </w:rPr>
        <w:t xml:space="preserve">The session length for each service type is primarily determined by the relevant care type model. </w:t>
      </w:r>
      <w:r>
        <w:rPr>
          <w:rFonts w:ascii="Calibri" w:eastAsia="Calibri" w:hAnsi="Calibri" w:cs="Calibri"/>
          <w:color w:val="000000" w:themeColor="text1"/>
        </w:rPr>
        <w:t xml:space="preserve">For example, </w:t>
      </w:r>
      <w:r w:rsidR="67FF987F" w:rsidRPr="29615452">
        <w:rPr>
          <w:rFonts w:ascii="Calibri" w:eastAsia="Calibri" w:hAnsi="Calibri" w:cs="Calibri"/>
          <w:color w:val="000000" w:themeColor="text1"/>
        </w:rPr>
        <w:t>the</w:t>
      </w:r>
      <w:r w:rsidR="459E307C" w:rsidRPr="648D7E0A">
        <w:rPr>
          <w:rFonts w:ascii="Calibri" w:eastAsia="Calibri" w:hAnsi="Calibri" w:cs="Calibri"/>
          <w:color w:val="000000" w:themeColor="text1"/>
        </w:rPr>
        <w:t xml:space="preserve"> </w:t>
      </w:r>
      <w:r w:rsidRPr="78881C38">
        <w:rPr>
          <w:rFonts w:ascii="Calibri" w:eastAsia="Calibri" w:hAnsi="Calibri" w:cs="Calibri"/>
          <w:color w:val="000000" w:themeColor="text1"/>
        </w:rPr>
        <w:t xml:space="preserve">FDC </w:t>
      </w:r>
      <w:r w:rsidR="1BF44B5F" w:rsidRPr="29615452">
        <w:rPr>
          <w:rFonts w:ascii="Calibri" w:eastAsia="Calibri" w:hAnsi="Calibri" w:cs="Calibri"/>
          <w:color w:val="000000" w:themeColor="text1"/>
        </w:rPr>
        <w:t>business model</w:t>
      </w:r>
      <w:r w:rsidR="459E307C" w:rsidRPr="29615452">
        <w:rPr>
          <w:rFonts w:ascii="Calibri" w:eastAsia="Calibri" w:hAnsi="Calibri" w:cs="Calibri"/>
          <w:color w:val="000000" w:themeColor="text1"/>
        </w:rPr>
        <w:t xml:space="preserve"> </w:t>
      </w:r>
      <w:r w:rsidRPr="78881C38">
        <w:rPr>
          <w:rFonts w:ascii="Calibri" w:eastAsia="Calibri" w:hAnsi="Calibri" w:cs="Calibri"/>
          <w:color w:val="000000" w:themeColor="text1"/>
        </w:rPr>
        <w:t>often offers more flexibility than CBDC.</w:t>
      </w:r>
      <w:r w:rsidR="0043008D">
        <w:rPr>
          <w:rStyle w:val="FootnoteReference"/>
          <w:rFonts w:ascii="Calibri" w:eastAsia="Calibri" w:hAnsi="Calibri" w:cs="Calibri"/>
          <w:color w:val="000000" w:themeColor="text1"/>
        </w:rPr>
        <w:footnoteReference w:id="41"/>
      </w:r>
      <w:r w:rsidRPr="78881C38">
        <w:rPr>
          <w:rFonts w:ascii="Calibri" w:eastAsia="Calibri" w:hAnsi="Calibri" w:cs="Calibri"/>
          <w:color w:val="000000" w:themeColor="text1"/>
        </w:rPr>
        <w:t xml:space="preserve"> Shorter sessions </w:t>
      </w:r>
      <w:r>
        <w:rPr>
          <w:rFonts w:ascii="Calibri" w:eastAsia="Calibri" w:hAnsi="Calibri" w:cs="Calibri"/>
          <w:color w:val="000000" w:themeColor="text1"/>
        </w:rPr>
        <w:t>can be</w:t>
      </w:r>
      <w:r w:rsidRPr="78881C38">
        <w:rPr>
          <w:rFonts w:ascii="Calibri" w:eastAsia="Calibri" w:hAnsi="Calibri" w:cs="Calibri"/>
          <w:color w:val="000000" w:themeColor="text1"/>
        </w:rPr>
        <w:t xml:space="preserve"> more expensive for providers to offer, which reduces the incentive to provide more flexible session lengths.</w:t>
      </w:r>
      <w:r>
        <w:rPr>
          <w:rFonts w:ascii="Calibri" w:eastAsia="Calibri" w:hAnsi="Calibri" w:cs="Calibri"/>
          <w:color w:val="000000" w:themeColor="text1"/>
        </w:rPr>
        <w:t xml:space="preserve"> If providers do choose to offer short sessions, they may offset their costs by charging above the hourly rate cap. </w:t>
      </w:r>
      <w:r w:rsidRPr="78881C38">
        <w:rPr>
          <w:rFonts w:ascii="Calibri" w:eastAsia="Calibri" w:hAnsi="Calibri" w:cs="Calibri"/>
          <w:color w:val="000000" w:themeColor="text1"/>
        </w:rPr>
        <w:t xml:space="preserve">As </w:t>
      </w:r>
      <w:r w:rsidRPr="00F91483">
        <w:rPr>
          <w:rFonts w:ascii="Calibri" w:eastAsia="Calibri" w:hAnsi="Calibri" w:cs="Calibri"/>
          <w:color w:val="000000" w:themeColor="text1"/>
        </w:rPr>
        <w:t xml:space="preserve">shown in </w:t>
      </w:r>
      <w:r w:rsidRPr="00F91483">
        <w:rPr>
          <w:rFonts w:ascii="Calibri" w:eastAsia="Calibri" w:hAnsi="Calibri" w:cs="Calibri"/>
          <w:b/>
          <w:bCs/>
          <w:color w:val="000000" w:themeColor="text1"/>
        </w:rPr>
        <w:t xml:space="preserve">Figure </w:t>
      </w:r>
      <w:r w:rsidR="005656AA" w:rsidRPr="00F91483">
        <w:rPr>
          <w:rFonts w:ascii="Calibri" w:eastAsia="Calibri" w:hAnsi="Calibri" w:cs="Calibri"/>
          <w:b/>
          <w:bCs/>
          <w:color w:val="000000" w:themeColor="text1"/>
        </w:rPr>
        <w:t>2</w:t>
      </w:r>
      <w:r w:rsidR="001D5649" w:rsidRPr="00F91483">
        <w:rPr>
          <w:rFonts w:ascii="Calibri" w:eastAsia="Calibri" w:hAnsi="Calibri" w:cs="Calibri"/>
          <w:b/>
          <w:bCs/>
          <w:color w:val="000000" w:themeColor="text1"/>
        </w:rPr>
        <w:t>0</w:t>
      </w:r>
      <w:r w:rsidRPr="00F91483">
        <w:rPr>
          <w:rFonts w:ascii="Calibri" w:eastAsia="Calibri" w:hAnsi="Calibri" w:cs="Calibri"/>
          <w:color w:val="000000" w:themeColor="text1"/>
        </w:rPr>
        <w:t>, families of</w:t>
      </w:r>
      <w:r w:rsidRPr="78881C38">
        <w:rPr>
          <w:rFonts w:ascii="Calibri" w:eastAsia="Calibri" w:hAnsi="Calibri" w:cs="Calibri"/>
          <w:color w:val="000000" w:themeColor="text1"/>
        </w:rPr>
        <w:t xml:space="preserve"> most children in CBDC are charged for a 10–</w:t>
      </w:r>
      <w:r w:rsidR="00E94400">
        <w:rPr>
          <w:rFonts w:ascii="Calibri" w:eastAsia="Calibri" w:hAnsi="Calibri" w:cs="Calibri"/>
          <w:color w:val="000000" w:themeColor="text1"/>
        </w:rPr>
        <w:t>‍</w:t>
      </w:r>
      <w:r w:rsidRPr="78881C38">
        <w:rPr>
          <w:rFonts w:ascii="Calibri" w:eastAsia="Calibri" w:hAnsi="Calibri" w:cs="Calibri"/>
          <w:color w:val="000000" w:themeColor="text1"/>
        </w:rPr>
        <w:t>12-hour session</w:t>
      </w:r>
      <w:r>
        <w:rPr>
          <w:rFonts w:ascii="Calibri" w:eastAsia="Calibri" w:hAnsi="Calibri" w:cs="Calibri"/>
          <w:color w:val="000000" w:themeColor="text1"/>
        </w:rPr>
        <w:t>,</w:t>
      </w:r>
      <w:r w:rsidRPr="78881C38">
        <w:rPr>
          <w:rFonts w:ascii="Calibri" w:eastAsia="Calibri" w:hAnsi="Calibri" w:cs="Calibri"/>
          <w:color w:val="000000" w:themeColor="text1"/>
        </w:rPr>
        <w:t xml:space="preserve"> irrespective of how many hours a family</w:t>
      </w:r>
      <w:r>
        <w:rPr>
          <w:rFonts w:ascii="Calibri" w:eastAsia="Calibri" w:hAnsi="Calibri" w:cs="Calibri"/>
          <w:color w:val="000000" w:themeColor="text1"/>
        </w:rPr>
        <w:t xml:space="preserve"> </w:t>
      </w:r>
      <w:r w:rsidR="00E179DF">
        <w:rPr>
          <w:rFonts w:ascii="Calibri" w:eastAsia="Calibri" w:hAnsi="Calibri" w:cs="Calibri"/>
          <w:color w:val="000000" w:themeColor="text1"/>
        </w:rPr>
        <w:t>is</w:t>
      </w:r>
      <w:r>
        <w:rPr>
          <w:rFonts w:ascii="Calibri" w:eastAsia="Calibri" w:hAnsi="Calibri" w:cs="Calibri"/>
          <w:color w:val="000000" w:themeColor="text1"/>
        </w:rPr>
        <w:t xml:space="preserve"> actually</w:t>
      </w:r>
      <w:r w:rsidRPr="78881C38">
        <w:rPr>
          <w:rFonts w:ascii="Calibri" w:eastAsia="Calibri" w:hAnsi="Calibri" w:cs="Calibri"/>
          <w:color w:val="000000" w:themeColor="text1"/>
        </w:rPr>
        <w:t xml:space="preserve"> using or wishes to use.</w:t>
      </w:r>
    </w:p>
    <w:p w14:paraId="5E9A6FE9" w14:textId="143CB9F5" w:rsidR="005656AA" w:rsidRDefault="003C268A" w:rsidP="005656AA">
      <w:pPr>
        <w:pStyle w:val="Caption"/>
        <w:keepNext/>
      </w:pPr>
      <w:r>
        <w:t xml:space="preserve">Figure </w:t>
      </w:r>
      <w:r>
        <w:fldChar w:fldCharType="begin"/>
      </w:r>
      <w:r>
        <w:instrText>SEQ Figure \* ARABIC</w:instrText>
      </w:r>
      <w:r>
        <w:fldChar w:fldCharType="separate"/>
      </w:r>
      <w:r w:rsidR="00D307AC">
        <w:rPr>
          <w:noProof/>
        </w:rPr>
        <w:t>20</w:t>
      </w:r>
      <w:r>
        <w:fldChar w:fldCharType="end"/>
      </w:r>
      <w:r w:rsidR="005656AA">
        <w:rPr>
          <w:rFonts w:ascii="Calibri" w:eastAsia="Calibri" w:hAnsi="Calibri" w:cs="Calibri"/>
        </w:rPr>
        <w:t xml:space="preserve">: </w:t>
      </w:r>
      <w:r w:rsidR="005656AA" w:rsidRPr="00B401CE">
        <w:rPr>
          <w:rFonts w:ascii="Calibri" w:eastAsia="Calibri" w:hAnsi="Calibri" w:cs="Calibri"/>
        </w:rPr>
        <w:t xml:space="preserve">Distribution of Average Session Length for Children in CBDC, </w:t>
      </w:r>
      <w:r w:rsidR="005656AA" w:rsidRPr="00E60100">
        <w:rPr>
          <w:rFonts w:ascii="Calibri" w:eastAsia="Calibri" w:hAnsi="Calibri" w:cs="Calibri"/>
        </w:rPr>
        <w:t>September Quarter 2022</w:t>
      </w:r>
    </w:p>
    <w:p w14:paraId="58B1E5EF" w14:textId="77777777" w:rsidR="00B401CE" w:rsidRPr="00B401CE" w:rsidRDefault="00B401CE" w:rsidP="00B401CE">
      <w:pPr>
        <w:keepNext/>
        <w:spacing w:after="0"/>
        <w:rPr>
          <w:rFonts w:ascii="Calibri" w:eastAsia="Calibri" w:hAnsi="Calibri" w:cs="Calibri"/>
          <w:color w:val="000000" w:themeColor="text1"/>
        </w:rPr>
      </w:pPr>
      <w:r w:rsidRPr="00B401CE">
        <w:rPr>
          <w:rFonts w:ascii="Calibri" w:eastAsia="Calibri" w:hAnsi="Calibri" w:cs="Calibri"/>
          <w:noProof/>
          <w:color w:val="000000" w:themeColor="text1"/>
        </w:rPr>
        <w:drawing>
          <wp:inline distT="0" distB="0" distL="0" distR="0" wp14:anchorId="0CBEF88D" wp14:editId="2531B9B1">
            <wp:extent cx="5761355" cy="2886075"/>
            <wp:effectExtent l="19050" t="19050" r="10795" b="28575"/>
            <wp:docPr id="36" name="Picture 36" descr="A chart showing the distribution of Average Session Length for Children in CB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chart showing the distribution of Average Session Length for Children in CBDC."/>
                    <pic:cNvPicPr>
                      <a:picLocks noChangeAspect="1" noChangeArrowheads="1"/>
                    </pic:cNvPicPr>
                  </pic:nvPicPr>
                  <pic:blipFill rotWithShape="1">
                    <a:blip r:embed="rId60" cstate="print">
                      <a:extLst>
                        <a:ext uri="{BEBA8EAE-BF5A-486C-A8C5-ECC9F3942E4B}">
                          <a14:imgProps xmlns:a14="http://schemas.microsoft.com/office/drawing/2010/main">
                            <a14:imgLayer r:embed="rId61">
                              <a14:imgEffect>
                                <a14:sharpenSoften amount="25000"/>
                              </a14:imgEffect>
                            </a14:imgLayer>
                          </a14:imgProps>
                        </a:ext>
                        <a:ext uri="{28A0092B-C50C-407E-A947-70E740481C1C}">
                          <a14:useLocalDpi xmlns:a14="http://schemas.microsoft.com/office/drawing/2010/main" val="0"/>
                        </a:ext>
                      </a:extLst>
                    </a:blip>
                    <a:srcRect l="327" t="6416" r="480" b="994"/>
                    <a:stretch/>
                  </pic:blipFill>
                  <pic:spPr bwMode="auto">
                    <a:xfrm>
                      <a:off x="0" y="0"/>
                      <a:ext cx="5777563" cy="2894194"/>
                    </a:xfrm>
                    <a:prstGeom prst="rect">
                      <a:avLst/>
                    </a:prstGeom>
                    <a:noFill/>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E7480C9" w14:textId="6B7CA94A" w:rsidR="00B401CE" w:rsidRPr="00B401CE" w:rsidRDefault="00B401CE" w:rsidP="00B401CE">
      <w:pPr>
        <w:pStyle w:val="SubFigureHeading"/>
        <w:rPr>
          <w:sz w:val="18"/>
        </w:rPr>
      </w:pPr>
      <w:r w:rsidRPr="00B401CE">
        <w:rPr>
          <w:b w:val="0"/>
          <w:iCs w:val="0"/>
          <w:color w:val="auto"/>
          <w:sz w:val="18"/>
        </w:rPr>
        <w:t>Source: Department of Education administrative data</w:t>
      </w:r>
      <w:r w:rsidR="006B6E84">
        <w:rPr>
          <w:b w:val="0"/>
          <w:iCs w:val="0"/>
          <w:color w:val="auto"/>
          <w:sz w:val="18"/>
        </w:rPr>
        <w:t>.</w:t>
      </w:r>
    </w:p>
    <w:p w14:paraId="50FE1FFC" w14:textId="3DBA4EFB" w:rsidR="003C268A" w:rsidRDefault="003C268A" w:rsidP="00B401CE">
      <w:pPr>
        <w:pStyle w:val="Subbodytext"/>
        <w:spacing w:before="240"/>
      </w:pPr>
      <w:r w:rsidRPr="77BE8548">
        <w:t>Very few services offer sessions during non-standard hours. Approximately 2</w:t>
      </w:r>
      <w:r w:rsidR="00346148">
        <w:t> per cent</w:t>
      </w:r>
      <w:r w:rsidRPr="77BE8548">
        <w:t xml:space="preserve"> of services offer sessions on weekends </w:t>
      </w:r>
      <w:r>
        <w:t>(</w:t>
      </w:r>
      <w:r w:rsidRPr="77BE8548">
        <w:t>0.8</w:t>
      </w:r>
      <w:r w:rsidR="00346148">
        <w:t> per cent</w:t>
      </w:r>
      <w:r w:rsidRPr="77BE8548">
        <w:t xml:space="preserve"> of CBDC and 40.6</w:t>
      </w:r>
      <w:r w:rsidR="00346148">
        <w:t> per cent</w:t>
      </w:r>
      <w:r w:rsidRPr="77BE8548">
        <w:t xml:space="preserve"> of FDC services</w:t>
      </w:r>
      <w:r>
        <w:t>)</w:t>
      </w:r>
      <w:r w:rsidRPr="77BE8548">
        <w:t>.</w:t>
      </w:r>
      <w:r>
        <w:t xml:space="preserve"> </w:t>
      </w:r>
      <w:r w:rsidRPr="77BE8548">
        <w:t>In 2022, approximately 1.7</w:t>
      </w:r>
      <w:r w:rsidR="00346148">
        <w:t> per cent</w:t>
      </w:r>
      <w:r w:rsidRPr="77BE8548">
        <w:t xml:space="preserve"> of services were open after 6:30pm on weekdays</w:t>
      </w:r>
      <w:r>
        <w:t xml:space="preserve"> and e</w:t>
      </w:r>
      <w:r w:rsidRPr="77BE8548">
        <w:t>ven fewer services offer</w:t>
      </w:r>
      <w:r w:rsidR="001E294B">
        <w:t>ed</w:t>
      </w:r>
      <w:r w:rsidRPr="77BE8548">
        <w:t xml:space="preserve"> overnight care.</w:t>
      </w:r>
      <w:r>
        <w:t xml:space="preserve"> Access to casual sessions of ECEC can also be limited for families. Although families</w:t>
      </w:r>
      <w:r w:rsidRPr="77BE8548">
        <w:t xml:space="preserve"> who are already enrolled in services may be able to use casual sessions where the service ha</w:t>
      </w:r>
      <w:r>
        <w:t>s</w:t>
      </w:r>
      <w:r w:rsidRPr="77BE8548">
        <w:t xml:space="preserve"> vacancies</w:t>
      </w:r>
      <w:r>
        <w:t xml:space="preserve">, </w:t>
      </w:r>
      <w:r w:rsidRPr="77BE8548">
        <w:t>uncertainty about the demand and uptake of casual care</w:t>
      </w:r>
      <w:r w:rsidDel="00543ADC">
        <w:t xml:space="preserve"> </w:t>
      </w:r>
      <w:r>
        <w:t>means that s</w:t>
      </w:r>
      <w:r w:rsidRPr="77BE8548">
        <w:t>ervices at full capacity have limited incentive to offer casual sessions.</w:t>
      </w:r>
    </w:p>
    <w:p w14:paraId="401DEE53" w14:textId="77777777" w:rsidR="003C268A" w:rsidRDefault="003C268A" w:rsidP="003C268A">
      <w:pPr>
        <w:pStyle w:val="Subbodytext"/>
      </w:pPr>
      <w:r>
        <w:t>P</w:t>
      </w:r>
      <w:r w:rsidRPr="544B3E0F">
        <w:t xml:space="preserve">rior to the introduction of </w:t>
      </w:r>
      <w:r>
        <w:t xml:space="preserve">the </w:t>
      </w:r>
      <w:r w:rsidRPr="544B3E0F">
        <w:t>CCS</w:t>
      </w:r>
      <w:r>
        <w:t>,</w:t>
      </w:r>
      <w:r w:rsidRPr="544B3E0F">
        <w:t xml:space="preserve"> </w:t>
      </w:r>
      <w:r>
        <w:t>s</w:t>
      </w:r>
      <w:r w:rsidRPr="544B3E0F">
        <w:t xml:space="preserve">everal </w:t>
      </w:r>
      <w:r>
        <w:t>programs to increase ECEC flexibility were trialled,</w:t>
      </w:r>
      <w:r w:rsidRPr="544B3E0F">
        <w:t xml:space="preserve"> including the Flexible Care Trial and</w:t>
      </w:r>
      <w:r>
        <w:t xml:space="preserve"> the</w:t>
      </w:r>
      <w:r w:rsidRPr="544B3E0F">
        <w:t xml:space="preserve"> Nanny Pilot. </w:t>
      </w:r>
      <w:r>
        <w:t xml:space="preserve">However, </w:t>
      </w:r>
      <w:r w:rsidRPr="544B3E0F">
        <w:t xml:space="preserve">a model </w:t>
      </w:r>
      <w:r>
        <w:t>that</w:t>
      </w:r>
      <w:r w:rsidRPr="544B3E0F">
        <w:t xml:space="preserve"> maintained viable service provision</w:t>
      </w:r>
      <w:r>
        <w:t xml:space="preserve"> was not identified</w:t>
      </w:r>
      <w:r w:rsidRPr="544B3E0F">
        <w:t xml:space="preserve">. </w:t>
      </w:r>
      <w:r>
        <w:t>P</w:t>
      </w:r>
      <w:r w:rsidRPr="544B3E0F">
        <w:t>roviders incurred significant costs</w:t>
      </w:r>
      <w:r>
        <w:t xml:space="preserve">, which meant </w:t>
      </w:r>
      <w:r w:rsidRPr="544B3E0F">
        <w:t>families were charged high fees</w:t>
      </w:r>
      <w:r>
        <w:t xml:space="preserve"> and </w:t>
      </w:r>
      <w:r w:rsidRPr="544B3E0F">
        <w:t>demand was lower than expected.</w:t>
      </w:r>
    </w:p>
    <w:p w14:paraId="574CAF95" w14:textId="6DBB04B7" w:rsidR="003C268A" w:rsidRDefault="003C268A" w:rsidP="00B23060">
      <w:pPr>
        <w:pStyle w:val="SubSectionHeading"/>
        <w:numPr>
          <w:ilvl w:val="1"/>
          <w:numId w:val="14"/>
        </w:numPr>
      </w:pPr>
      <w:bookmarkStart w:id="117" w:name="_Toc133933324"/>
      <w:bookmarkStart w:id="118" w:name="_Toc134023029"/>
      <w:bookmarkStart w:id="119" w:name="_Toc134173434"/>
      <w:bookmarkStart w:id="120" w:name="_Toc135404867"/>
      <w:r>
        <w:t>E</w:t>
      </w:r>
      <w:r w:rsidR="00823210">
        <w:t xml:space="preserve">arly </w:t>
      </w:r>
      <w:r>
        <w:t>C</w:t>
      </w:r>
      <w:r w:rsidR="00823210">
        <w:t xml:space="preserve">hildhood </w:t>
      </w:r>
      <w:r>
        <w:t>E</w:t>
      </w:r>
      <w:r w:rsidR="00823210">
        <w:t xml:space="preserve">ducation and </w:t>
      </w:r>
      <w:r>
        <w:t>C</w:t>
      </w:r>
      <w:r w:rsidR="00823210">
        <w:t>are</w:t>
      </w:r>
      <w:r>
        <w:t xml:space="preserve"> Workforce</w:t>
      </w:r>
      <w:bookmarkEnd w:id="117"/>
      <w:bookmarkEnd w:id="118"/>
      <w:bookmarkEnd w:id="119"/>
      <w:bookmarkEnd w:id="120"/>
    </w:p>
    <w:p w14:paraId="33F8C145" w14:textId="2F1B369A" w:rsidR="003C268A" w:rsidRDefault="001E3ABE" w:rsidP="003C268A">
      <w:pPr>
        <w:pStyle w:val="Subbodytext"/>
      </w:pPr>
      <w:r>
        <w:t>Evidence</w:t>
      </w:r>
      <w:r w:rsidR="003C268A">
        <w:t xml:space="preserve"> suggests that the ECEC workforce is experiencing long term, persistent challenges,</w:t>
      </w:r>
      <w:r w:rsidR="003C268A" w:rsidRPr="5735EA55">
        <w:rPr>
          <w:rStyle w:val="FootnoteReference"/>
        </w:rPr>
        <w:footnoteReference w:id="42"/>
      </w:r>
      <w:r w:rsidR="003C268A">
        <w:t xml:space="preserve"> including supply and retention, which have been further exacerbated by the impacts of the </w:t>
      </w:r>
      <w:r w:rsidR="0046792D">
        <w:br/>
      </w:r>
      <w:r w:rsidR="003C268A">
        <w:t>COVID-19 pandemic.</w:t>
      </w:r>
      <w:r w:rsidR="003C268A" w:rsidRPr="5735EA55">
        <w:rPr>
          <w:rStyle w:val="FootnoteReference"/>
        </w:rPr>
        <w:footnoteReference w:id="43"/>
      </w:r>
      <w:r w:rsidR="003C268A">
        <w:t xml:space="preserve"> Wages and conditions are among the primary concerns of workers, with many </w:t>
      </w:r>
      <w:r w:rsidR="00621552">
        <w:t xml:space="preserve">in the sector </w:t>
      </w:r>
      <w:r w:rsidR="003C268A">
        <w:t>saying more can be done to support qualification attainment in remote areas.</w:t>
      </w:r>
      <w:r w:rsidR="003C268A" w:rsidRPr="5735EA55">
        <w:rPr>
          <w:rStyle w:val="FootnoteReference"/>
        </w:rPr>
        <w:footnoteReference w:id="44"/>
      </w:r>
    </w:p>
    <w:p w14:paraId="54BCCF27" w14:textId="01C356CB" w:rsidR="003C268A" w:rsidRPr="005656AA" w:rsidRDefault="003C268A" w:rsidP="005656AA">
      <w:pPr>
        <w:pStyle w:val="Subbodytext"/>
        <w:rPr>
          <w:rFonts w:ascii="Calibri" w:hAnsi="Calibri" w:cs="Calibri"/>
          <w:color w:val="000000" w:themeColor="text1"/>
        </w:rPr>
      </w:pPr>
      <w:r w:rsidRPr="5735EA55">
        <w:rPr>
          <w:rStyle w:val="normaltextrun"/>
          <w:rFonts w:ascii="Calibri" w:hAnsi="Calibri" w:cs="Calibri"/>
          <w:color w:val="000000" w:themeColor="text1"/>
        </w:rPr>
        <w:t>The National Skills Commission 2022 Skills Priority List identifies current national shortages of both educators (child care workers) and early childhood (pre-primary) teachers.</w:t>
      </w:r>
      <w:r w:rsidRPr="5735EA55">
        <w:rPr>
          <w:rStyle w:val="FootnoteReference"/>
          <w:rFonts w:ascii="Calibri" w:hAnsi="Calibri" w:cs="Calibri"/>
          <w:color w:val="000000" w:themeColor="text1"/>
        </w:rPr>
        <w:footnoteReference w:id="45"/>
      </w:r>
      <w:r w:rsidRPr="5735EA55">
        <w:rPr>
          <w:rStyle w:val="normaltextrun"/>
          <w:rFonts w:ascii="Calibri" w:hAnsi="Calibri" w:cs="Calibri"/>
          <w:color w:val="000000" w:themeColor="text1"/>
        </w:rPr>
        <w:t xml:space="preserve"> As shown </w:t>
      </w:r>
      <w:r w:rsidRPr="00F91483">
        <w:rPr>
          <w:rStyle w:val="normaltextrun"/>
          <w:rFonts w:ascii="Calibri" w:hAnsi="Calibri" w:cs="Calibri"/>
          <w:color w:val="000000" w:themeColor="text1"/>
        </w:rPr>
        <w:t xml:space="preserve">in </w:t>
      </w:r>
      <w:r w:rsidRPr="00F91483">
        <w:rPr>
          <w:rStyle w:val="normaltextrun"/>
          <w:rFonts w:ascii="Calibri" w:hAnsi="Calibri" w:cs="Calibri"/>
          <w:b/>
          <w:color w:val="000000" w:themeColor="text1"/>
        </w:rPr>
        <w:t xml:space="preserve">Table </w:t>
      </w:r>
      <w:r w:rsidR="007740B7">
        <w:rPr>
          <w:rStyle w:val="normaltextrun"/>
          <w:rFonts w:ascii="Calibri" w:hAnsi="Calibri" w:cs="Calibri"/>
          <w:b/>
          <w:bCs/>
          <w:color w:val="000000" w:themeColor="text1"/>
        </w:rPr>
        <w:t>9</w:t>
      </w:r>
      <w:r w:rsidRPr="00F91483">
        <w:rPr>
          <w:rStyle w:val="normaltextrun"/>
          <w:rFonts w:ascii="Calibri" w:hAnsi="Calibri" w:cs="Calibri"/>
          <w:color w:val="000000" w:themeColor="text1"/>
        </w:rPr>
        <w:t xml:space="preserve">, </w:t>
      </w:r>
      <w:r w:rsidRPr="00F91483">
        <w:t xml:space="preserve">vacancies for the 3 main occupation types in the ECEC sector increased by </w:t>
      </w:r>
      <w:r w:rsidR="00A13EC3" w:rsidRPr="00F91483">
        <w:t>13.84</w:t>
      </w:r>
      <w:r w:rsidR="00346148">
        <w:t> per cent</w:t>
      </w:r>
      <w:r w:rsidRPr="00F91483">
        <w:t xml:space="preserve"> between</w:t>
      </w:r>
      <w:r w:rsidRPr="001C5836">
        <w:t xml:space="preserve"> </w:t>
      </w:r>
      <w:r w:rsidR="00A13EC3">
        <w:t>March 2022 and March 2023</w:t>
      </w:r>
      <w:r w:rsidRPr="001C5836">
        <w:t xml:space="preserve">. Of these, vacancies for early childhood teachers </w:t>
      </w:r>
      <w:r w:rsidR="002D01C5">
        <w:t>had</w:t>
      </w:r>
      <w:r w:rsidRPr="001C5836">
        <w:t xml:space="preserve"> the largest increase (</w:t>
      </w:r>
      <w:r w:rsidR="00B81321">
        <w:t>30.76</w:t>
      </w:r>
      <w:r w:rsidR="00346148">
        <w:t> per cent</w:t>
      </w:r>
      <w:r w:rsidRPr="001C5836">
        <w:t xml:space="preserve">), followed by </w:t>
      </w:r>
      <w:r w:rsidR="00B81321">
        <w:t>child care centre managers</w:t>
      </w:r>
      <w:r w:rsidRPr="001C5836">
        <w:t xml:space="preserve"> (</w:t>
      </w:r>
      <w:r w:rsidR="00B81321">
        <w:t>22.05</w:t>
      </w:r>
      <w:r w:rsidR="00346148">
        <w:t> per cent</w:t>
      </w:r>
      <w:r w:rsidRPr="001C5836">
        <w:t>) over the same period.</w:t>
      </w:r>
      <w:r w:rsidRPr="002F541C">
        <w:t xml:space="preserve"> </w:t>
      </w:r>
      <w:r w:rsidRPr="00F91483">
        <w:t xml:space="preserve">Workforce demographics and further information, including employment projections, are detailed in </w:t>
      </w:r>
      <w:r w:rsidR="00B50AC9">
        <w:rPr>
          <w:b/>
        </w:rPr>
        <w:t>Section </w:t>
      </w:r>
      <w:r w:rsidRPr="00F91483">
        <w:rPr>
          <w:b/>
        </w:rPr>
        <w:t>2.</w:t>
      </w:r>
      <w:r w:rsidR="00CC2AB3" w:rsidRPr="00F91483">
        <w:rPr>
          <w:b/>
          <w:bCs/>
        </w:rPr>
        <w:t>5</w:t>
      </w:r>
      <w:r w:rsidRPr="00F91483">
        <w:t>.</w:t>
      </w:r>
    </w:p>
    <w:p w14:paraId="2B3625B0" w14:textId="4C288C8B" w:rsidR="005656AA" w:rsidRDefault="005656AA" w:rsidP="005656AA">
      <w:pPr>
        <w:pStyle w:val="Caption"/>
        <w:keepNext/>
      </w:pPr>
      <w:r>
        <w:t xml:space="preserve">Table </w:t>
      </w:r>
      <w:r>
        <w:fldChar w:fldCharType="begin"/>
      </w:r>
      <w:r>
        <w:instrText>SEQ Table \* ARABIC</w:instrText>
      </w:r>
      <w:r>
        <w:fldChar w:fldCharType="separate"/>
      </w:r>
      <w:r w:rsidR="00D307AC">
        <w:rPr>
          <w:noProof/>
        </w:rPr>
        <w:t>9</w:t>
      </w:r>
      <w:r>
        <w:fldChar w:fldCharType="end"/>
      </w:r>
      <w:r>
        <w:t>:</w:t>
      </w:r>
      <w:r w:rsidRPr="005656AA">
        <w:t xml:space="preserve"> </w:t>
      </w:r>
      <w:r>
        <w:t>Jobs and Skills Australia</w:t>
      </w:r>
      <w:r w:rsidR="00451A97">
        <w:t>’s</w:t>
      </w:r>
      <w:r>
        <w:t xml:space="preserve"> Internet Vacancy Index</w:t>
      </w:r>
      <w:r w:rsidR="007C5FA2">
        <w:t>—</w:t>
      </w:r>
      <w:r w:rsidR="00303AA5">
        <w:t>Vacancies by Occupation</w:t>
      </w:r>
    </w:p>
    <w:tbl>
      <w:tblPr>
        <w:tblStyle w:val="EDU-Basic"/>
        <w:tblW w:w="5028" w:type="pct"/>
        <w:tblLook w:val="04A0" w:firstRow="1" w:lastRow="0" w:firstColumn="1" w:lastColumn="0" w:noHBand="0" w:noVBand="1"/>
      </w:tblPr>
      <w:tblGrid>
        <w:gridCol w:w="2122"/>
        <w:gridCol w:w="1276"/>
        <w:gridCol w:w="1133"/>
        <w:gridCol w:w="1133"/>
        <w:gridCol w:w="1701"/>
        <w:gridCol w:w="1701"/>
      </w:tblGrid>
      <w:tr w:rsidR="009602B5" w14:paraId="034140F5" w14:textId="77777777" w:rsidTr="00B43BC8">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170" w:type="pct"/>
            <w:shd w:val="clear" w:color="auto" w:fill="595959" w:themeFill="text1" w:themeFillTint="A6"/>
            <w:hideMark/>
          </w:tcPr>
          <w:p w14:paraId="11420634" w14:textId="77777777" w:rsidR="006D6AD7" w:rsidRPr="00477A03" w:rsidRDefault="006D6AD7" w:rsidP="003A4D83">
            <w:pPr>
              <w:pStyle w:val="Subbodytext"/>
              <w:spacing w:after="0"/>
              <w:ind w:left="128"/>
              <w:rPr>
                <w:b/>
              </w:rPr>
            </w:pPr>
            <w:r w:rsidRPr="00477A03">
              <w:rPr>
                <w:b/>
              </w:rPr>
              <w:t>Occupation </w:t>
            </w:r>
          </w:p>
        </w:tc>
        <w:tc>
          <w:tcPr>
            <w:tcW w:w="704" w:type="pct"/>
            <w:shd w:val="clear" w:color="auto" w:fill="595959" w:themeFill="text1" w:themeFillTint="A6"/>
            <w:hideMark/>
          </w:tcPr>
          <w:p w14:paraId="2CF4BCED" w14:textId="13934F2A" w:rsidR="006D6AD7" w:rsidRPr="00477A03" w:rsidRDefault="006D6AD7" w:rsidP="003A4D83">
            <w:pPr>
              <w:pStyle w:val="Subbodytext"/>
              <w:spacing w:after="0"/>
              <w:contextualSpacing/>
              <w:jc w:val="center"/>
              <w:cnfStyle w:val="100000000000" w:firstRow="1" w:lastRow="0" w:firstColumn="0" w:lastColumn="0" w:oddVBand="0" w:evenVBand="0" w:oddHBand="0" w:evenHBand="0" w:firstRowFirstColumn="0" w:firstRowLastColumn="0" w:lastRowFirstColumn="0" w:lastRowLastColumn="0"/>
              <w:rPr>
                <w:b/>
              </w:rPr>
            </w:pPr>
            <w:r w:rsidRPr="00477A03">
              <w:rPr>
                <w:b/>
              </w:rPr>
              <w:t xml:space="preserve">Mar </w:t>
            </w:r>
            <w:r w:rsidR="00D201ED" w:rsidRPr="00477A03">
              <w:rPr>
                <w:b/>
              </w:rPr>
              <w:t>20</w:t>
            </w:r>
            <w:r w:rsidRPr="00477A03">
              <w:rPr>
                <w:b/>
              </w:rPr>
              <w:t>22</w:t>
            </w:r>
          </w:p>
        </w:tc>
        <w:tc>
          <w:tcPr>
            <w:tcW w:w="625" w:type="pct"/>
            <w:shd w:val="clear" w:color="auto" w:fill="595959" w:themeFill="text1" w:themeFillTint="A6"/>
            <w:hideMark/>
          </w:tcPr>
          <w:p w14:paraId="4400A73D" w14:textId="1550BE40" w:rsidR="006D6AD7" w:rsidRPr="00477A03" w:rsidRDefault="006D6AD7" w:rsidP="003A4D83">
            <w:pPr>
              <w:pStyle w:val="Subbodytext"/>
              <w:spacing w:after="0"/>
              <w:contextualSpacing/>
              <w:jc w:val="center"/>
              <w:cnfStyle w:val="100000000000" w:firstRow="1" w:lastRow="0" w:firstColumn="0" w:lastColumn="0" w:oddVBand="0" w:evenVBand="0" w:oddHBand="0" w:evenHBand="0" w:firstRowFirstColumn="0" w:firstRowLastColumn="0" w:lastRowFirstColumn="0" w:lastRowLastColumn="0"/>
              <w:rPr>
                <w:b/>
              </w:rPr>
            </w:pPr>
            <w:r w:rsidRPr="00477A03">
              <w:rPr>
                <w:b/>
              </w:rPr>
              <w:t xml:space="preserve">Feb </w:t>
            </w:r>
            <w:r w:rsidR="00D201ED" w:rsidRPr="00477A03">
              <w:rPr>
                <w:b/>
              </w:rPr>
              <w:t>20</w:t>
            </w:r>
            <w:r w:rsidRPr="00477A03">
              <w:rPr>
                <w:b/>
              </w:rPr>
              <w:t>23</w:t>
            </w:r>
          </w:p>
        </w:tc>
        <w:tc>
          <w:tcPr>
            <w:tcW w:w="625" w:type="pct"/>
            <w:shd w:val="clear" w:color="auto" w:fill="595959" w:themeFill="text1" w:themeFillTint="A6"/>
            <w:hideMark/>
          </w:tcPr>
          <w:p w14:paraId="681CB283" w14:textId="559F555F" w:rsidR="006D6AD7" w:rsidRPr="00477A03" w:rsidRDefault="006D6AD7" w:rsidP="003A4D83">
            <w:pPr>
              <w:pStyle w:val="Subbodytext"/>
              <w:spacing w:after="0"/>
              <w:contextualSpacing/>
              <w:jc w:val="center"/>
              <w:cnfStyle w:val="100000000000" w:firstRow="1" w:lastRow="0" w:firstColumn="0" w:lastColumn="0" w:oddVBand="0" w:evenVBand="0" w:oddHBand="0" w:evenHBand="0" w:firstRowFirstColumn="0" w:firstRowLastColumn="0" w:lastRowFirstColumn="0" w:lastRowLastColumn="0"/>
              <w:rPr>
                <w:b/>
              </w:rPr>
            </w:pPr>
            <w:r w:rsidRPr="00477A03">
              <w:rPr>
                <w:b/>
              </w:rPr>
              <w:t xml:space="preserve">Mar </w:t>
            </w:r>
            <w:r w:rsidR="00D201ED" w:rsidRPr="00477A03">
              <w:rPr>
                <w:b/>
              </w:rPr>
              <w:t>20</w:t>
            </w:r>
            <w:r w:rsidRPr="00477A03">
              <w:rPr>
                <w:b/>
              </w:rPr>
              <w:t>23</w:t>
            </w:r>
          </w:p>
        </w:tc>
        <w:tc>
          <w:tcPr>
            <w:tcW w:w="938" w:type="pct"/>
            <w:shd w:val="clear" w:color="auto" w:fill="595959" w:themeFill="text1" w:themeFillTint="A6"/>
            <w:hideMark/>
          </w:tcPr>
          <w:p w14:paraId="2FF94640" w14:textId="5C9AF939" w:rsidR="006D6AD7" w:rsidRPr="00477A03" w:rsidRDefault="006D6AD7" w:rsidP="003A4D83">
            <w:pPr>
              <w:pStyle w:val="Subbodytext"/>
              <w:spacing w:after="0"/>
              <w:contextualSpacing/>
              <w:jc w:val="center"/>
              <w:cnfStyle w:val="100000000000" w:firstRow="1" w:lastRow="0" w:firstColumn="0" w:lastColumn="0" w:oddVBand="0" w:evenVBand="0" w:oddHBand="0" w:evenHBand="0" w:firstRowFirstColumn="0" w:firstRowLastColumn="0" w:lastRowFirstColumn="0" w:lastRowLastColumn="0"/>
              <w:rPr>
                <w:b/>
              </w:rPr>
            </w:pPr>
            <w:r w:rsidRPr="00477A03">
              <w:rPr>
                <w:b/>
              </w:rPr>
              <w:t>% Change</w:t>
            </w:r>
          </w:p>
          <w:p w14:paraId="0908C5FE" w14:textId="4057E622" w:rsidR="006D6AD7" w:rsidRPr="00477A03" w:rsidRDefault="006D6AD7" w:rsidP="003A4D83">
            <w:pPr>
              <w:pStyle w:val="Subbodytext"/>
              <w:spacing w:after="0"/>
              <w:contextualSpacing/>
              <w:jc w:val="center"/>
              <w:cnfStyle w:val="100000000000" w:firstRow="1" w:lastRow="0" w:firstColumn="0" w:lastColumn="0" w:oddVBand="0" w:evenVBand="0" w:oddHBand="0" w:evenHBand="0" w:firstRowFirstColumn="0" w:firstRowLastColumn="0" w:lastRowFirstColumn="0" w:lastRowLastColumn="0"/>
              <w:rPr>
                <w:b/>
              </w:rPr>
            </w:pPr>
            <w:r w:rsidRPr="00477A03">
              <w:rPr>
                <w:b/>
              </w:rPr>
              <w:t xml:space="preserve">(Mar </w:t>
            </w:r>
            <w:r w:rsidR="00D201ED" w:rsidRPr="00477A03">
              <w:rPr>
                <w:b/>
              </w:rPr>
              <w:t>20</w:t>
            </w:r>
            <w:r w:rsidRPr="00477A03">
              <w:rPr>
                <w:b/>
              </w:rPr>
              <w:t>22 to</w:t>
            </w:r>
            <w:r w:rsidR="00A95072" w:rsidRPr="00477A03">
              <w:rPr>
                <w:b/>
              </w:rPr>
              <w:br/>
            </w:r>
            <w:r w:rsidRPr="00477A03">
              <w:rPr>
                <w:b/>
              </w:rPr>
              <w:t xml:space="preserve"> Mar </w:t>
            </w:r>
            <w:r w:rsidR="00D201ED" w:rsidRPr="00477A03">
              <w:rPr>
                <w:b/>
              </w:rPr>
              <w:t>20</w:t>
            </w:r>
            <w:r w:rsidRPr="00477A03">
              <w:rPr>
                <w:b/>
              </w:rPr>
              <w:t>23)</w:t>
            </w:r>
          </w:p>
        </w:tc>
        <w:tc>
          <w:tcPr>
            <w:tcW w:w="938" w:type="pct"/>
            <w:shd w:val="clear" w:color="auto" w:fill="595959" w:themeFill="text1" w:themeFillTint="A6"/>
            <w:hideMark/>
          </w:tcPr>
          <w:p w14:paraId="30A0525A" w14:textId="07248BCF" w:rsidR="006D6AD7" w:rsidRPr="00477A03" w:rsidRDefault="006D6AD7" w:rsidP="003A4D83">
            <w:pPr>
              <w:pStyle w:val="Subbodytext"/>
              <w:spacing w:after="0"/>
              <w:contextualSpacing/>
              <w:jc w:val="center"/>
              <w:cnfStyle w:val="100000000000" w:firstRow="1" w:lastRow="0" w:firstColumn="0" w:lastColumn="0" w:oddVBand="0" w:evenVBand="0" w:oddHBand="0" w:evenHBand="0" w:firstRowFirstColumn="0" w:firstRowLastColumn="0" w:lastRowFirstColumn="0" w:lastRowLastColumn="0"/>
              <w:rPr>
                <w:b/>
              </w:rPr>
            </w:pPr>
            <w:r w:rsidRPr="00477A03">
              <w:rPr>
                <w:b/>
              </w:rPr>
              <w:t>% Change</w:t>
            </w:r>
          </w:p>
          <w:p w14:paraId="11841F90" w14:textId="2014356E" w:rsidR="006D6AD7" w:rsidRPr="00477A03" w:rsidRDefault="006D6AD7" w:rsidP="003A4D83">
            <w:pPr>
              <w:pStyle w:val="Subbodytext"/>
              <w:spacing w:after="0"/>
              <w:contextualSpacing/>
              <w:jc w:val="center"/>
              <w:cnfStyle w:val="100000000000" w:firstRow="1" w:lastRow="0" w:firstColumn="0" w:lastColumn="0" w:oddVBand="0" w:evenVBand="0" w:oddHBand="0" w:evenHBand="0" w:firstRowFirstColumn="0" w:firstRowLastColumn="0" w:lastRowFirstColumn="0" w:lastRowLastColumn="0"/>
              <w:rPr>
                <w:b/>
              </w:rPr>
            </w:pPr>
            <w:r w:rsidRPr="00477A03">
              <w:rPr>
                <w:b/>
              </w:rPr>
              <w:t xml:space="preserve">(Feb </w:t>
            </w:r>
            <w:r w:rsidR="00D201ED" w:rsidRPr="00477A03">
              <w:rPr>
                <w:b/>
              </w:rPr>
              <w:t>20</w:t>
            </w:r>
            <w:r w:rsidRPr="00477A03">
              <w:rPr>
                <w:b/>
              </w:rPr>
              <w:t xml:space="preserve">23 to </w:t>
            </w:r>
            <w:r w:rsidR="00A95072" w:rsidRPr="00477A03">
              <w:rPr>
                <w:b/>
              </w:rPr>
              <w:br/>
            </w:r>
            <w:r w:rsidRPr="00477A03">
              <w:rPr>
                <w:b/>
              </w:rPr>
              <w:t xml:space="preserve">Mar </w:t>
            </w:r>
            <w:r w:rsidR="00D201ED" w:rsidRPr="00477A03">
              <w:rPr>
                <w:b/>
              </w:rPr>
              <w:t>20</w:t>
            </w:r>
            <w:r w:rsidRPr="00477A03">
              <w:rPr>
                <w:b/>
              </w:rPr>
              <w:t>23)</w:t>
            </w:r>
          </w:p>
        </w:tc>
      </w:tr>
      <w:tr w:rsidR="007F7115" w14:paraId="0FB3B8D4" w14:textId="77777777" w:rsidTr="00B43BC8">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170" w:type="pct"/>
            <w:shd w:val="clear" w:color="auto" w:fill="auto"/>
            <w:hideMark/>
          </w:tcPr>
          <w:p w14:paraId="7C3ADCDC" w14:textId="56BD23E6" w:rsidR="006D6AD7" w:rsidRPr="00B43BC8" w:rsidRDefault="00305E92" w:rsidP="009420A1">
            <w:pPr>
              <w:pStyle w:val="Subbodytext"/>
              <w:spacing w:after="0"/>
              <w:ind w:left="128"/>
              <w:rPr>
                <w:color w:val="auto"/>
              </w:rPr>
            </w:pPr>
            <w:r w:rsidRPr="00B43BC8">
              <w:rPr>
                <w:color w:val="auto"/>
              </w:rPr>
              <w:t>Child carers </w:t>
            </w:r>
          </w:p>
        </w:tc>
        <w:tc>
          <w:tcPr>
            <w:tcW w:w="704" w:type="pct"/>
            <w:shd w:val="clear" w:color="auto" w:fill="auto"/>
            <w:hideMark/>
          </w:tcPr>
          <w:p w14:paraId="7937D3A3" w14:textId="489E5449" w:rsidR="006D6AD7" w:rsidRPr="00B43BC8" w:rsidRDefault="006D6AD7" w:rsidP="009420A1">
            <w:pPr>
              <w:spacing w:after="0"/>
              <w:jc w:val="center"/>
              <w:textAlignment w:val="baseline"/>
              <w:cnfStyle w:val="100000000000" w:firstRow="1" w:lastRow="0" w:firstColumn="0" w:lastColumn="0" w:oddVBand="0" w:evenVBand="0" w:oddHBand="0" w:evenHBand="0" w:firstRowFirstColumn="0" w:firstRowLastColumn="0" w:lastRowFirstColumn="0" w:lastRowLastColumn="0"/>
              <w:rPr>
                <w:color w:val="auto"/>
                <w:lang w:eastAsia="en-AU"/>
              </w:rPr>
            </w:pPr>
            <w:r w:rsidRPr="00B43BC8">
              <w:rPr>
                <w:color w:val="auto"/>
                <w:lang w:val="en-US" w:eastAsia="en-AU"/>
              </w:rPr>
              <w:t>4,135</w:t>
            </w:r>
          </w:p>
        </w:tc>
        <w:tc>
          <w:tcPr>
            <w:tcW w:w="625" w:type="pct"/>
            <w:shd w:val="clear" w:color="auto" w:fill="auto"/>
            <w:hideMark/>
          </w:tcPr>
          <w:p w14:paraId="6DBF0DD2" w14:textId="7D144AAF" w:rsidR="006D6AD7" w:rsidRPr="00B43BC8" w:rsidRDefault="006D6AD7" w:rsidP="009420A1">
            <w:pPr>
              <w:spacing w:after="0"/>
              <w:jc w:val="center"/>
              <w:textAlignment w:val="baseline"/>
              <w:cnfStyle w:val="100000000000" w:firstRow="1" w:lastRow="0" w:firstColumn="0" w:lastColumn="0" w:oddVBand="0" w:evenVBand="0" w:oddHBand="0" w:evenHBand="0" w:firstRowFirstColumn="0" w:firstRowLastColumn="0" w:lastRowFirstColumn="0" w:lastRowLastColumn="0"/>
              <w:rPr>
                <w:color w:val="auto"/>
                <w:lang w:eastAsia="en-AU"/>
              </w:rPr>
            </w:pPr>
            <w:r w:rsidRPr="00B43BC8">
              <w:rPr>
                <w:color w:val="auto"/>
                <w:lang w:val="en-US" w:eastAsia="en-AU"/>
              </w:rPr>
              <w:t>4,022</w:t>
            </w:r>
          </w:p>
        </w:tc>
        <w:tc>
          <w:tcPr>
            <w:tcW w:w="625" w:type="pct"/>
            <w:shd w:val="clear" w:color="auto" w:fill="auto"/>
            <w:hideMark/>
          </w:tcPr>
          <w:p w14:paraId="558229FF" w14:textId="0E82176F" w:rsidR="006D6AD7" w:rsidRPr="00B43BC8" w:rsidRDefault="006D6AD7" w:rsidP="009420A1">
            <w:pPr>
              <w:spacing w:after="0"/>
              <w:jc w:val="center"/>
              <w:textAlignment w:val="baseline"/>
              <w:cnfStyle w:val="100000000000" w:firstRow="1" w:lastRow="0" w:firstColumn="0" w:lastColumn="0" w:oddVBand="0" w:evenVBand="0" w:oddHBand="0" w:evenHBand="0" w:firstRowFirstColumn="0" w:firstRowLastColumn="0" w:lastRowFirstColumn="0" w:lastRowLastColumn="0"/>
              <w:rPr>
                <w:color w:val="auto"/>
                <w:lang w:eastAsia="en-AU"/>
              </w:rPr>
            </w:pPr>
            <w:r w:rsidRPr="00B43BC8">
              <w:rPr>
                <w:color w:val="auto"/>
                <w:lang w:eastAsia="en-AU"/>
              </w:rPr>
              <w:t>4,378</w:t>
            </w:r>
            <w:r w:rsidRPr="00B43BC8">
              <w:rPr>
                <w:color w:val="auto"/>
                <w:lang w:val="en-GB" w:eastAsia="en-AU"/>
              </w:rPr>
              <w:t> </w:t>
            </w:r>
          </w:p>
        </w:tc>
        <w:tc>
          <w:tcPr>
            <w:tcW w:w="0" w:type="pct"/>
            <w:shd w:val="clear" w:color="auto" w:fill="auto"/>
            <w:hideMark/>
          </w:tcPr>
          <w:p w14:paraId="7D920D73" w14:textId="637C213A" w:rsidR="006D6AD7" w:rsidRPr="00B43BC8" w:rsidRDefault="004207BC" w:rsidP="009420A1">
            <w:pPr>
              <w:spacing w:after="0"/>
              <w:jc w:val="center"/>
              <w:textAlignment w:val="baseline"/>
              <w:cnfStyle w:val="100000000000" w:firstRow="1" w:lastRow="0" w:firstColumn="0" w:lastColumn="0" w:oddVBand="0" w:evenVBand="0" w:oddHBand="0" w:evenHBand="0" w:firstRowFirstColumn="0" w:firstRowLastColumn="0" w:lastRowFirstColumn="0" w:lastRowLastColumn="0"/>
              <w:rPr>
                <w:color w:val="auto"/>
                <w:lang w:eastAsia="en-AU"/>
              </w:rPr>
            </w:pPr>
            <w:r w:rsidRPr="00B43BC8">
              <w:rPr>
                <w:color w:val="auto"/>
                <w:lang w:val="en-US" w:eastAsia="en-AU"/>
              </w:rPr>
              <w:t>+</w:t>
            </w:r>
            <w:r w:rsidR="006D6AD7" w:rsidRPr="00B43BC8">
              <w:rPr>
                <w:color w:val="auto"/>
                <w:lang w:val="en-US" w:eastAsia="en-AU"/>
              </w:rPr>
              <w:t>5.88%</w:t>
            </w:r>
            <w:r w:rsidR="006D6AD7" w:rsidRPr="00B43BC8">
              <w:rPr>
                <w:color w:val="auto"/>
                <w:lang w:val="en-GB" w:eastAsia="en-AU"/>
              </w:rPr>
              <w:t> </w:t>
            </w:r>
          </w:p>
        </w:tc>
        <w:tc>
          <w:tcPr>
            <w:tcW w:w="0" w:type="pct"/>
            <w:shd w:val="clear" w:color="auto" w:fill="auto"/>
            <w:hideMark/>
          </w:tcPr>
          <w:p w14:paraId="671AF19B" w14:textId="2C138849" w:rsidR="006D6AD7" w:rsidRPr="00B43BC8" w:rsidRDefault="004207BC" w:rsidP="009420A1">
            <w:pPr>
              <w:spacing w:after="0"/>
              <w:jc w:val="center"/>
              <w:textAlignment w:val="baseline"/>
              <w:cnfStyle w:val="100000000000" w:firstRow="1" w:lastRow="0" w:firstColumn="0" w:lastColumn="0" w:oddVBand="0" w:evenVBand="0" w:oddHBand="0" w:evenHBand="0" w:firstRowFirstColumn="0" w:firstRowLastColumn="0" w:lastRowFirstColumn="0" w:lastRowLastColumn="0"/>
              <w:rPr>
                <w:color w:val="auto"/>
                <w:lang w:eastAsia="en-AU"/>
              </w:rPr>
            </w:pPr>
            <w:r w:rsidRPr="00B43BC8">
              <w:rPr>
                <w:color w:val="auto"/>
                <w:lang w:val="en-US" w:eastAsia="en-AU"/>
              </w:rPr>
              <w:t>+</w:t>
            </w:r>
            <w:r w:rsidR="006D6AD7" w:rsidRPr="00B43BC8">
              <w:rPr>
                <w:color w:val="auto"/>
                <w:lang w:val="en-US" w:eastAsia="en-AU"/>
              </w:rPr>
              <w:t>8.85%</w:t>
            </w:r>
            <w:r w:rsidR="006D6AD7" w:rsidRPr="00B43BC8">
              <w:rPr>
                <w:color w:val="auto"/>
                <w:lang w:val="en-GB" w:eastAsia="en-AU"/>
              </w:rPr>
              <w:t> </w:t>
            </w:r>
          </w:p>
        </w:tc>
      </w:tr>
      <w:tr w:rsidR="007F7115" w14:paraId="69616A97" w14:textId="77777777" w:rsidTr="00B43BC8">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170" w:type="pct"/>
            <w:shd w:val="clear" w:color="auto" w:fill="auto"/>
            <w:hideMark/>
          </w:tcPr>
          <w:p w14:paraId="7CC6579B" w14:textId="5C5374BB" w:rsidR="006D6AD7" w:rsidRPr="00B43BC8" w:rsidRDefault="00305E92" w:rsidP="009420A1">
            <w:pPr>
              <w:pStyle w:val="Subbodytext"/>
              <w:spacing w:after="0"/>
              <w:ind w:left="128"/>
              <w:rPr>
                <w:color w:val="auto"/>
              </w:rPr>
            </w:pPr>
            <w:r w:rsidRPr="00B43BC8">
              <w:rPr>
                <w:color w:val="auto"/>
              </w:rPr>
              <w:t>Early childhood teachers </w:t>
            </w:r>
          </w:p>
        </w:tc>
        <w:tc>
          <w:tcPr>
            <w:tcW w:w="704" w:type="pct"/>
            <w:shd w:val="clear" w:color="auto" w:fill="auto"/>
            <w:hideMark/>
          </w:tcPr>
          <w:p w14:paraId="601BD728" w14:textId="2C6C7C9E" w:rsidR="006D6AD7" w:rsidRPr="00B43BC8" w:rsidRDefault="006D6AD7" w:rsidP="009420A1">
            <w:pPr>
              <w:spacing w:after="0"/>
              <w:jc w:val="center"/>
              <w:textAlignment w:val="baseline"/>
              <w:cnfStyle w:val="100000000000" w:firstRow="1" w:lastRow="0" w:firstColumn="0" w:lastColumn="0" w:oddVBand="0" w:evenVBand="0" w:oddHBand="0" w:evenHBand="0" w:firstRowFirstColumn="0" w:firstRowLastColumn="0" w:lastRowFirstColumn="0" w:lastRowLastColumn="0"/>
              <w:rPr>
                <w:color w:val="auto"/>
                <w:lang w:eastAsia="en-AU"/>
              </w:rPr>
            </w:pPr>
            <w:r w:rsidRPr="00B43BC8">
              <w:rPr>
                <w:color w:val="auto"/>
                <w:lang w:val="en-US" w:eastAsia="en-AU"/>
              </w:rPr>
              <w:t>1,799</w:t>
            </w:r>
            <w:r w:rsidRPr="00B43BC8">
              <w:rPr>
                <w:color w:val="auto"/>
                <w:lang w:val="en-GB" w:eastAsia="en-AU"/>
              </w:rPr>
              <w:t> </w:t>
            </w:r>
          </w:p>
        </w:tc>
        <w:tc>
          <w:tcPr>
            <w:tcW w:w="625" w:type="pct"/>
            <w:shd w:val="clear" w:color="auto" w:fill="auto"/>
            <w:hideMark/>
          </w:tcPr>
          <w:p w14:paraId="271A117E" w14:textId="58F591F6" w:rsidR="006D6AD7" w:rsidRPr="00B43BC8" w:rsidRDefault="006D6AD7" w:rsidP="009420A1">
            <w:pPr>
              <w:spacing w:after="0"/>
              <w:jc w:val="center"/>
              <w:textAlignment w:val="baseline"/>
              <w:cnfStyle w:val="100000000000" w:firstRow="1" w:lastRow="0" w:firstColumn="0" w:lastColumn="0" w:oddVBand="0" w:evenVBand="0" w:oddHBand="0" w:evenHBand="0" w:firstRowFirstColumn="0" w:firstRowLastColumn="0" w:lastRowFirstColumn="0" w:lastRowLastColumn="0"/>
              <w:rPr>
                <w:color w:val="auto"/>
                <w:lang w:eastAsia="en-AU"/>
              </w:rPr>
            </w:pPr>
            <w:r w:rsidRPr="00B43BC8">
              <w:rPr>
                <w:color w:val="auto"/>
                <w:lang w:val="en-US" w:eastAsia="en-AU"/>
              </w:rPr>
              <w:t>2,253</w:t>
            </w:r>
            <w:r w:rsidRPr="00B43BC8">
              <w:rPr>
                <w:color w:val="auto"/>
                <w:lang w:val="en-GB" w:eastAsia="en-AU"/>
              </w:rPr>
              <w:t> </w:t>
            </w:r>
          </w:p>
        </w:tc>
        <w:tc>
          <w:tcPr>
            <w:tcW w:w="625" w:type="pct"/>
            <w:shd w:val="clear" w:color="auto" w:fill="auto"/>
            <w:hideMark/>
          </w:tcPr>
          <w:p w14:paraId="2E1DE132" w14:textId="5FED7F07" w:rsidR="006D6AD7" w:rsidRPr="00B43BC8" w:rsidRDefault="006D6AD7" w:rsidP="009420A1">
            <w:pPr>
              <w:spacing w:after="0"/>
              <w:jc w:val="center"/>
              <w:textAlignment w:val="baseline"/>
              <w:cnfStyle w:val="100000000000" w:firstRow="1" w:lastRow="0" w:firstColumn="0" w:lastColumn="0" w:oddVBand="0" w:evenVBand="0" w:oddHBand="0" w:evenHBand="0" w:firstRowFirstColumn="0" w:firstRowLastColumn="0" w:lastRowFirstColumn="0" w:lastRowLastColumn="0"/>
              <w:rPr>
                <w:color w:val="auto"/>
                <w:lang w:eastAsia="en-AU"/>
              </w:rPr>
            </w:pPr>
            <w:r w:rsidRPr="00B43BC8">
              <w:rPr>
                <w:color w:val="auto"/>
                <w:lang w:eastAsia="en-AU"/>
              </w:rPr>
              <w:t>2,352</w:t>
            </w:r>
            <w:r w:rsidRPr="00B43BC8">
              <w:rPr>
                <w:color w:val="auto"/>
                <w:lang w:val="en-GB" w:eastAsia="en-AU"/>
              </w:rPr>
              <w:t> </w:t>
            </w:r>
          </w:p>
        </w:tc>
        <w:tc>
          <w:tcPr>
            <w:tcW w:w="0" w:type="pct"/>
            <w:shd w:val="clear" w:color="auto" w:fill="auto"/>
            <w:hideMark/>
          </w:tcPr>
          <w:p w14:paraId="4B550D83" w14:textId="046026AC" w:rsidR="006D6AD7" w:rsidRPr="00B43BC8" w:rsidRDefault="004207BC" w:rsidP="009420A1">
            <w:pPr>
              <w:spacing w:after="0"/>
              <w:jc w:val="center"/>
              <w:textAlignment w:val="baseline"/>
              <w:cnfStyle w:val="100000000000" w:firstRow="1" w:lastRow="0" w:firstColumn="0" w:lastColumn="0" w:oddVBand="0" w:evenVBand="0" w:oddHBand="0" w:evenHBand="0" w:firstRowFirstColumn="0" w:firstRowLastColumn="0" w:lastRowFirstColumn="0" w:lastRowLastColumn="0"/>
              <w:rPr>
                <w:color w:val="auto"/>
                <w:lang w:eastAsia="en-AU"/>
              </w:rPr>
            </w:pPr>
            <w:r w:rsidRPr="00B43BC8">
              <w:rPr>
                <w:color w:val="auto"/>
                <w:lang w:val="en-US" w:eastAsia="en-AU"/>
              </w:rPr>
              <w:t>+</w:t>
            </w:r>
            <w:r w:rsidR="006D6AD7" w:rsidRPr="00B43BC8">
              <w:rPr>
                <w:color w:val="auto"/>
                <w:lang w:val="en-US" w:eastAsia="en-AU"/>
              </w:rPr>
              <w:t>30.76%</w:t>
            </w:r>
            <w:r w:rsidR="006D6AD7" w:rsidRPr="00B43BC8">
              <w:rPr>
                <w:color w:val="auto"/>
                <w:lang w:val="en-GB" w:eastAsia="en-AU"/>
              </w:rPr>
              <w:t> </w:t>
            </w:r>
          </w:p>
        </w:tc>
        <w:tc>
          <w:tcPr>
            <w:tcW w:w="0" w:type="pct"/>
            <w:shd w:val="clear" w:color="auto" w:fill="auto"/>
            <w:hideMark/>
          </w:tcPr>
          <w:p w14:paraId="18F425F8" w14:textId="77B85944" w:rsidR="006D6AD7" w:rsidRPr="00B43BC8" w:rsidRDefault="004207BC" w:rsidP="009420A1">
            <w:pPr>
              <w:spacing w:after="0"/>
              <w:jc w:val="center"/>
              <w:textAlignment w:val="baseline"/>
              <w:cnfStyle w:val="100000000000" w:firstRow="1" w:lastRow="0" w:firstColumn="0" w:lastColumn="0" w:oddVBand="0" w:evenVBand="0" w:oddHBand="0" w:evenHBand="0" w:firstRowFirstColumn="0" w:firstRowLastColumn="0" w:lastRowFirstColumn="0" w:lastRowLastColumn="0"/>
              <w:rPr>
                <w:color w:val="auto"/>
                <w:lang w:eastAsia="en-AU"/>
              </w:rPr>
            </w:pPr>
            <w:r w:rsidRPr="00B43BC8">
              <w:rPr>
                <w:color w:val="auto"/>
                <w:lang w:val="en-US" w:eastAsia="en-AU"/>
              </w:rPr>
              <w:t>+</w:t>
            </w:r>
            <w:r w:rsidR="006D6AD7" w:rsidRPr="00B43BC8">
              <w:rPr>
                <w:color w:val="auto"/>
                <w:lang w:val="en-US" w:eastAsia="en-AU"/>
              </w:rPr>
              <w:t>4.42%</w:t>
            </w:r>
            <w:r w:rsidR="006D6AD7" w:rsidRPr="00B43BC8">
              <w:rPr>
                <w:color w:val="auto"/>
                <w:lang w:val="en-GB" w:eastAsia="en-AU"/>
              </w:rPr>
              <w:t> </w:t>
            </w:r>
          </w:p>
        </w:tc>
      </w:tr>
      <w:tr w:rsidR="007F7115" w14:paraId="60A9EF07" w14:textId="77777777" w:rsidTr="00B43BC8">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170" w:type="pct"/>
            <w:shd w:val="clear" w:color="auto" w:fill="auto"/>
            <w:hideMark/>
          </w:tcPr>
          <w:p w14:paraId="59431858" w14:textId="3404C989" w:rsidR="006D6AD7" w:rsidRPr="00B43BC8" w:rsidRDefault="00305E92" w:rsidP="009420A1">
            <w:pPr>
              <w:pStyle w:val="Subbodytext"/>
              <w:spacing w:after="0"/>
              <w:ind w:left="128"/>
              <w:rPr>
                <w:color w:val="auto"/>
              </w:rPr>
            </w:pPr>
            <w:r w:rsidRPr="00B43BC8">
              <w:rPr>
                <w:color w:val="auto"/>
              </w:rPr>
              <w:t>Child care centre managers </w:t>
            </w:r>
          </w:p>
        </w:tc>
        <w:tc>
          <w:tcPr>
            <w:tcW w:w="704" w:type="pct"/>
            <w:shd w:val="clear" w:color="auto" w:fill="auto"/>
            <w:hideMark/>
          </w:tcPr>
          <w:p w14:paraId="7E09BA9C" w14:textId="5C80C139" w:rsidR="006D6AD7" w:rsidRPr="00B43BC8" w:rsidRDefault="006D6AD7" w:rsidP="009420A1">
            <w:pPr>
              <w:spacing w:after="0"/>
              <w:jc w:val="center"/>
              <w:textAlignment w:val="baseline"/>
              <w:cnfStyle w:val="100000000000" w:firstRow="1" w:lastRow="0" w:firstColumn="0" w:lastColumn="0" w:oddVBand="0" w:evenVBand="0" w:oddHBand="0" w:evenHBand="0" w:firstRowFirstColumn="0" w:firstRowLastColumn="0" w:lastRowFirstColumn="0" w:lastRowLastColumn="0"/>
              <w:rPr>
                <w:color w:val="auto"/>
                <w:lang w:eastAsia="en-AU"/>
              </w:rPr>
            </w:pPr>
            <w:r w:rsidRPr="00B43BC8">
              <w:rPr>
                <w:color w:val="auto"/>
                <w:lang w:val="en-US" w:eastAsia="en-AU"/>
              </w:rPr>
              <w:t>302</w:t>
            </w:r>
            <w:r w:rsidRPr="00B43BC8">
              <w:rPr>
                <w:color w:val="auto"/>
                <w:lang w:val="en-GB" w:eastAsia="en-AU"/>
              </w:rPr>
              <w:t> </w:t>
            </w:r>
          </w:p>
        </w:tc>
        <w:tc>
          <w:tcPr>
            <w:tcW w:w="625" w:type="pct"/>
            <w:shd w:val="clear" w:color="auto" w:fill="auto"/>
            <w:hideMark/>
          </w:tcPr>
          <w:p w14:paraId="56490049" w14:textId="52819F38" w:rsidR="006D6AD7" w:rsidRPr="00B43BC8" w:rsidRDefault="006D6AD7" w:rsidP="009420A1">
            <w:pPr>
              <w:spacing w:after="0"/>
              <w:jc w:val="center"/>
              <w:textAlignment w:val="baseline"/>
              <w:cnfStyle w:val="100000000000" w:firstRow="1" w:lastRow="0" w:firstColumn="0" w:lastColumn="0" w:oddVBand="0" w:evenVBand="0" w:oddHBand="0" w:evenHBand="0" w:firstRowFirstColumn="0" w:firstRowLastColumn="0" w:lastRowFirstColumn="0" w:lastRowLastColumn="0"/>
              <w:rPr>
                <w:color w:val="auto"/>
                <w:lang w:eastAsia="en-AU"/>
              </w:rPr>
            </w:pPr>
            <w:r w:rsidRPr="00B43BC8">
              <w:rPr>
                <w:color w:val="auto"/>
                <w:lang w:val="en-US" w:eastAsia="en-AU"/>
              </w:rPr>
              <w:t>311</w:t>
            </w:r>
            <w:r w:rsidRPr="00B43BC8">
              <w:rPr>
                <w:color w:val="auto"/>
                <w:lang w:val="en-GB" w:eastAsia="en-AU"/>
              </w:rPr>
              <w:t> </w:t>
            </w:r>
          </w:p>
        </w:tc>
        <w:tc>
          <w:tcPr>
            <w:tcW w:w="625" w:type="pct"/>
            <w:shd w:val="clear" w:color="auto" w:fill="auto"/>
            <w:hideMark/>
          </w:tcPr>
          <w:p w14:paraId="499CD60C" w14:textId="51C5F651" w:rsidR="006D6AD7" w:rsidRPr="00B43BC8" w:rsidRDefault="006D6AD7" w:rsidP="009420A1">
            <w:pPr>
              <w:spacing w:after="0"/>
              <w:jc w:val="center"/>
              <w:textAlignment w:val="baseline"/>
              <w:cnfStyle w:val="100000000000" w:firstRow="1" w:lastRow="0" w:firstColumn="0" w:lastColumn="0" w:oddVBand="0" w:evenVBand="0" w:oddHBand="0" w:evenHBand="0" w:firstRowFirstColumn="0" w:firstRowLastColumn="0" w:lastRowFirstColumn="0" w:lastRowLastColumn="0"/>
              <w:rPr>
                <w:color w:val="auto"/>
                <w:lang w:eastAsia="en-AU"/>
              </w:rPr>
            </w:pPr>
            <w:r w:rsidRPr="00B43BC8">
              <w:rPr>
                <w:color w:val="auto"/>
                <w:lang w:eastAsia="en-AU"/>
              </w:rPr>
              <w:t>369</w:t>
            </w:r>
            <w:r w:rsidRPr="00B43BC8">
              <w:rPr>
                <w:color w:val="auto"/>
                <w:lang w:val="en-GB" w:eastAsia="en-AU"/>
              </w:rPr>
              <w:t> </w:t>
            </w:r>
          </w:p>
        </w:tc>
        <w:tc>
          <w:tcPr>
            <w:tcW w:w="0" w:type="pct"/>
            <w:shd w:val="clear" w:color="auto" w:fill="auto"/>
            <w:hideMark/>
          </w:tcPr>
          <w:p w14:paraId="20CC68EC" w14:textId="76457C29" w:rsidR="006D6AD7" w:rsidRPr="00B43BC8" w:rsidRDefault="004207BC" w:rsidP="009420A1">
            <w:pPr>
              <w:spacing w:after="0"/>
              <w:jc w:val="center"/>
              <w:textAlignment w:val="baseline"/>
              <w:cnfStyle w:val="100000000000" w:firstRow="1" w:lastRow="0" w:firstColumn="0" w:lastColumn="0" w:oddVBand="0" w:evenVBand="0" w:oddHBand="0" w:evenHBand="0" w:firstRowFirstColumn="0" w:firstRowLastColumn="0" w:lastRowFirstColumn="0" w:lastRowLastColumn="0"/>
              <w:rPr>
                <w:color w:val="auto"/>
                <w:lang w:eastAsia="en-AU"/>
              </w:rPr>
            </w:pPr>
            <w:r w:rsidRPr="00B43BC8">
              <w:rPr>
                <w:color w:val="auto"/>
                <w:lang w:val="en-US" w:eastAsia="en-AU"/>
              </w:rPr>
              <w:t>+</w:t>
            </w:r>
            <w:r w:rsidR="006D6AD7" w:rsidRPr="00B43BC8">
              <w:rPr>
                <w:color w:val="auto"/>
                <w:lang w:val="en-US" w:eastAsia="en-AU"/>
              </w:rPr>
              <w:t>22.05%</w:t>
            </w:r>
            <w:r w:rsidR="006D6AD7" w:rsidRPr="00B43BC8">
              <w:rPr>
                <w:color w:val="auto"/>
                <w:lang w:val="en-GB" w:eastAsia="en-AU"/>
              </w:rPr>
              <w:t> </w:t>
            </w:r>
          </w:p>
        </w:tc>
        <w:tc>
          <w:tcPr>
            <w:tcW w:w="0" w:type="pct"/>
            <w:shd w:val="clear" w:color="auto" w:fill="auto"/>
            <w:hideMark/>
          </w:tcPr>
          <w:p w14:paraId="5CE1E20D" w14:textId="62B937D7" w:rsidR="006D6AD7" w:rsidRPr="00B43BC8" w:rsidRDefault="004207BC" w:rsidP="009420A1">
            <w:pPr>
              <w:spacing w:after="0"/>
              <w:jc w:val="center"/>
              <w:textAlignment w:val="baseline"/>
              <w:cnfStyle w:val="100000000000" w:firstRow="1" w:lastRow="0" w:firstColumn="0" w:lastColumn="0" w:oddVBand="0" w:evenVBand="0" w:oddHBand="0" w:evenHBand="0" w:firstRowFirstColumn="0" w:firstRowLastColumn="0" w:lastRowFirstColumn="0" w:lastRowLastColumn="0"/>
              <w:rPr>
                <w:color w:val="auto"/>
                <w:lang w:eastAsia="en-AU"/>
              </w:rPr>
            </w:pPr>
            <w:r w:rsidRPr="00B43BC8">
              <w:rPr>
                <w:color w:val="auto"/>
                <w:lang w:val="en-US" w:eastAsia="en-AU"/>
              </w:rPr>
              <w:t>+</w:t>
            </w:r>
            <w:r w:rsidR="006D6AD7" w:rsidRPr="00B43BC8">
              <w:rPr>
                <w:color w:val="auto"/>
                <w:lang w:val="en-US" w:eastAsia="en-AU"/>
              </w:rPr>
              <w:t>18.52%</w:t>
            </w:r>
            <w:r w:rsidR="006D6AD7" w:rsidRPr="00B43BC8">
              <w:rPr>
                <w:color w:val="auto"/>
                <w:lang w:val="en-GB" w:eastAsia="en-AU"/>
              </w:rPr>
              <w:t> </w:t>
            </w:r>
          </w:p>
        </w:tc>
      </w:tr>
      <w:tr w:rsidR="005D0429" w14:paraId="3D366A23" w14:textId="77777777" w:rsidTr="00B43BC8">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170" w:type="pct"/>
            <w:shd w:val="clear" w:color="auto" w:fill="auto"/>
            <w:hideMark/>
          </w:tcPr>
          <w:p w14:paraId="7243C55E" w14:textId="77777777" w:rsidR="006D6AD7" w:rsidRPr="00B43BC8" w:rsidRDefault="006D6AD7" w:rsidP="009420A1">
            <w:pPr>
              <w:pStyle w:val="Subbodytext"/>
              <w:spacing w:after="0"/>
              <w:ind w:left="128"/>
              <w:rPr>
                <w:b/>
                <w:color w:val="auto"/>
              </w:rPr>
            </w:pPr>
            <w:r w:rsidRPr="00B43BC8">
              <w:rPr>
                <w:b/>
                <w:color w:val="auto"/>
              </w:rPr>
              <w:t>Total </w:t>
            </w:r>
          </w:p>
        </w:tc>
        <w:tc>
          <w:tcPr>
            <w:tcW w:w="704" w:type="pct"/>
            <w:shd w:val="clear" w:color="auto" w:fill="auto"/>
            <w:hideMark/>
          </w:tcPr>
          <w:p w14:paraId="2CF7A195" w14:textId="6F7B8C1D" w:rsidR="006D6AD7" w:rsidRPr="00B43BC8" w:rsidRDefault="006D6AD7" w:rsidP="009420A1">
            <w:pPr>
              <w:spacing w:after="0"/>
              <w:jc w:val="center"/>
              <w:textAlignment w:val="baseline"/>
              <w:cnfStyle w:val="100000000000" w:firstRow="1" w:lastRow="0" w:firstColumn="0" w:lastColumn="0" w:oddVBand="0" w:evenVBand="0" w:oddHBand="0" w:evenHBand="0" w:firstRowFirstColumn="0" w:firstRowLastColumn="0" w:lastRowFirstColumn="0" w:lastRowLastColumn="0"/>
              <w:rPr>
                <w:color w:val="auto"/>
                <w:lang w:eastAsia="en-AU"/>
              </w:rPr>
            </w:pPr>
            <w:r w:rsidRPr="00B43BC8">
              <w:rPr>
                <w:b/>
                <w:color w:val="auto"/>
                <w:lang w:val="en-US" w:eastAsia="en-AU"/>
              </w:rPr>
              <w:t>6,237</w:t>
            </w:r>
            <w:r w:rsidRPr="00B43BC8">
              <w:rPr>
                <w:color w:val="auto"/>
                <w:lang w:val="en-GB" w:eastAsia="en-AU"/>
              </w:rPr>
              <w:t> </w:t>
            </w:r>
          </w:p>
        </w:tc>
        <w:tc>
          <w:tcPr>
            <w:tcW w:w="625" w:type="pct"/>
            <w:shd w:val="clear" w:color="auto" w:fill="auto"/>
            <w:hideMark/>
          </w:tcPr>
          <w:p w14:paraId="32FEA37A" w14:textId="71BB3290" w:rsidR="006D6AD7" w:rsidRPr="00B43BC8" w:rsidRDefault="006D6AD7" w:rsidP="009420A1">
            <w:pPr>
              <w:spacing w:after="0"/>
              <w:jc w:val="center"/>
              <w:textAlignment w:val="baseline"/>
              <w:cnfStyle w:val="100000000000" w:firstRow="1" w:lastRow="0" w:firstColumn="0" w:lastColumn="0" w:oddVBand="0" w:evenVBand="0" w:oddHBand="0" w:evenHBand="0" w:firstRowFirstColumn="0" w:firstRowLastColumn="0" w:lastRowFirstColumn="0" w:lastRowLastColumn="0"/>
              <w:rPr>
                <w:color w:val="auto"/>
                <w:lang w:eastAsia="en-AU"/>
              </w:rPr>
            </w:pPr>
            <w:r w:rsidRPr="00B43BC8">
              <w:rPr>
                <w:b/>
                <w:color w:val="auto"/>
                <w:lang w:val="en-US" w:eastAsia="en-AU"/>
              </w:rPr>
              <w:t>6,586</w:t>
            </w:r>
            <w:r w:rsidRPr="00B43BC8">
              <w:rPr>
                <w:color w:val="auto"/>
                <w:lang w:val="en-GB" w:eastAsia="en-AU"/>
              </w:rPr>
              <w:t> </w:t>
            </w:r>
          </w:p>
        </w:tc>
        <w:tc>
          <w:tcPr>
            <w:tcW w:w="625" w:type="pct"/>
            <w:shd w:val="clear" w:color="auto" w:fill="auto"/>
            <w:hideMark/>
          </w:tcPr>
          <w:p w14:paraId="6DD24AB2" w14:textId="358FAC3C" w:rsidR="006D6AD7" w:rsidRPr="00B43BC8" w:rsidRDefault="006D6AD7" w:rsidP="009420A1">
            <w:pPr>
              <w:spacing w:after="0"/>
              <w:jc w:val="center"/>
              <w:textAlignment w:val="baseline"/>
              <w:cnfStyle w:val="100000000000" w:firstRow="1" w:lastRow="0" w:firstColumn="0" w:lastColumn="0" w:oddVBand="0" w:evenVBand="0" w:oddHBand="0" w:evenHBand="0" w:firstRowFirstColumn="0" w:firstRowLastColumn="0" w:lastRowFirstColumn="0" w:lastRowLastColumn="0"/>
              <w:rPr>
                <w:color w:val="auto"/>
                <w:lang w:eastAsia="en-AU"/>
              </w:rPr>
            </w:pPr>
            <w:r w:rsidRPr="00B43BC8">
              <w:rPr>
                <w:b/>
                <w:color w:val="auto"/>
                <w:lang w:eastAsia="en-AU"/>
              </w:rPr>
              <w:t>7,100</w:t>
            </w:r>
            <w:r w:rsidRPr="00B43BC8">
              <w:rPr>
                <w:color w:val="auto"/>
                <w:lang w:val="en-GB" w:eastAsia="en-AU"/>
              </w:rPr>
              <w:t> </w:t>
            </w:r>
          </w:p>
        </w:tc>
        <w:tc>
          <w:tcPr>
            <w:tcW w:w="938" w:type="pct"/>
            <w:shd w:val="clear" w:color="auto" w:fill="auto"/>
            <w:hideMark/>
          </w:tcPr>
          <w:p w14:paraId="37888487" w14:textId="76A01230" w:rsidR="006D6AD7" w:rsidRPr="00B43BC8" w:rsidRDefault="004207BC" w:rsidP="009420A1">
            <w:pPr>
              <w:spacing w:after="0"/>
              <w:jc w:val="center"/>
              <w:textAlignment w:val="baseline"/>
              <w:cnfStyle w:val="100000000000" w:firstRow="1" w:lastRow="0" w:firstColumn="0" w:lastColumn="0" w:oddVBand="0" w:evenVBand="0" w:oddHBand="0" w:evenHBand="0" w:firstRowFirstColumn="0" w:firstRowLastColumn="0" w:lastRowFirstColumn="0" w:lastRowLastColumn="0"/>
              <w:rPr>
                <w:color w:val="auto"/>
                <w:lang w:eastAsia="en-AU"/>
              </w:rPr>
            </w:pPr>
            <w:r w:rsidRPr="00B43BC8">
              <w:rPr>
                <w:b/>
                <w:color w:val="auto"/>
                <w:lang w:val="en-US" w:eastAsia="en-AU"/>
              </w:rPr>
              <w:t>+</w:t>
            </w:r>
            <w:r w:rsidR="006D6AD7" w:rsidRPr="00B43BC8">
              <w:rPr>
                <w:b/>
                <w:color w:val="auto"/>
                <w:lang w:val="en-US" w:eastAsia="en-AU"/>
              </w:rPr>
              <w:t>13.84%</w:t>
            </w:r>
            <w:r w:rsidR="006D6AD7" w:rsidRPr="00B43BC8">
              <w:rPr>
                <w:color w:val="auto"/>
                <w:lang w:val="en-GB" w:eastAsia="en-AU"/>
              </w:rPr>
              <w:t> </w:t>
            </w:r>
          </w:p>
        </w:tc>
        <w:tc>
          <w:tcPr>
            <w:tcW w:w="938" w:type="pct"/>
            <w:shd w:val="clear" w:color="auto" w:fill="auto"/>
            <w:hideMark/>
          </w:tcPr>
          <w:p w14:paraId="0B50FE3F" w14:textId="75E6A888" w:rsidR="006D6AD7" w:rsidRPr="00B43BC8" w:rsidRDefault="004207BC" w:rsidP="009420A1">
            <w:pPr>
              <w:spacing w:after="0"/>
              <w:jc w:val="center"/>
              <w:textAlignment w:val="baseline"/>
              <w:cnfStyle w:val="100000000000" w:firstRow="1" w:lastRow="0" w:firstColumn="0" w:lastColumn="0" w:oddVBand="0" w:evenVBand="0" w:oddHBand="0" w:evenHBand="0" w:firstRowFirstColumn="0" w:firstRowLastColumn="0" w:lastRowFirstColumn="0" w:lastRowLastColumn="0"/>
              <w:rPr>
                <w:color w:val="auto"/>
                <w:lang w:eastAsia="en-AU"/>
              </w:rPr>
            </w:pPr>
            <w:r w:rsidRPr="00B43BC8">
              <w:rPr>
                <w:b/>
                <w:color w:val="auto"/>
                <w:lang w:val="en-US" w:eastAsia="en-AU"/>
              </w:rPr>
              <w:t>+</w:t>
            </w:r>
            <w:r w:rsidR="006D6AD7" w:rsidRPr="00B43BC8">
              <w:rPr>
                <w:b/>
                <w:color w:val="auto"/>
                <w:lang w:val="en-US" w:eastAsia="en-AU"/>
              </w:rPr>
              <w:t>7.79%</w:t>
            </w:r>
            <w:r w:rsidR="006D6AD7" w:rsidRPr="00B43BC8">
              <w:rPr>
                <w:color w:val="auto"/>
                <w:lang w:val="en-GB" w:eastAsia="en-AU"/>
              </w:rPr>
              <w:t> </w:t>
            </w:r>
          </w:p>
        </w:tc>
      </w:tr>
    </w:tbl>
    <w:p w14:paraId="4239EB29" w14:textId="678472C5" w:rsidR="57C9B9AB" w:rsidRPr="00DC748D" w:rsidRDefault="003C268A" w:rsidP="00DC748D">
      <w:pPr>
        <w:textAlignment w:val="baseline"/>
        <w:rPr>
          <w:rFonts w:ascii="Segoe UI" w:hAnsi="Segoe UI" w:cs="Segoe UI"/>
          <w:sz w:val="18"/>
          <w:szCs w:val="18"/>
          <w:lang w:eastAsia="en-AU"/>
        </w:rPr>
      </w:pPr>
      <w:r w:rsidRPr="009420A1">
        <w:rPr>
          <w:sz w:val="18"/>
          <w:szCs w:val="18"/>
        </w:rPr>
        <w:t xml:space="preserve">Source: </w:t>
      </w:r>
      <w:r w:rsidR="005B0AB8" w:rsidRPr="009420A1">
        <w:rPr>
          <w:sz w:val="18"/>
          <w:szCs w:val="18"/>
          <w:lang w:eastAsia="en-AU"/>
        </w:rPr>
        <w:t>Jobs and Skills</w:t>
      </w:r>
      <w:r w:rsidR="005B0AB8">
        <w:rPr>
          <w:sz w:val="18"/>
          <w:szCs w:val="18"/>
          <w:lang w:eastAsia="en-AU"/>
        </w:rPr>
        <w:t xml:space="preserve"> Australia, Labour Market Insights, Internet Vacancy Index, April 2023.</w:t>
      </w:r>
    </w:p>
    <w:sectPr w:rsidR="57C9B9AB" w:rsidRPr="00DC748D">
      <w:footerReference w:type="default" r:id="rId6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2FDEF" w14:textId="77777777" w:rsidR="00E77FEA" w:rsidRDefault="00E77FEA" w:rsidP="000A6228">
      <w:pPr>
        <w:spacing w:after="0" w:line="240" w:lineRule="auto"/>
      </w:pPr>
      <w:r>
        <w:separator/>
      </w:r>
    </w:p>
  </w:endnote>
  <w:endnote w:type="continuationSeparator" w:id="0">
    <w:p w14:paraId="70B6B9E0" w14:textId="77777777" w:rsidR="00E77FEA" w:rsidRDefault="00E77FEA" w:rsidP="000A6228">
      <w:pPr>
        <w:spacing w:after="0" w:line="240" w:lineRule="auto"/>
      </w:pPr>
      <w:r>
        <w:continuationSeparator/>
      </w:r>
    </w:p>
  </w:endnote>
  <w:endnote w:type="continuationNotice" w:id="1">
    <w:p w14:paraId="50AB9894" w14:textId="77777777" w:rsidR="00E77FEA" w:rsidRDefault="00E77F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43BE7" w14:textId="77777777" w:rsidR="00871BFF" w:rsidRDefault="00871B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3F914" w14:textId="77777777" w:rsidR="00871BFF" w:rsidRDefault="00871B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987E1" w14:textId="77777777" w:rsidR="00871BFF" w:rsidRDefault="00871B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EA5DF" w14:textId="4BF93FC6" w:rsidR="00540245" w:rsidRDefault="00540245">
    <w:pPr>
      <w:pStyle w:val="Footer"/>
    </w:pPr>
    <w:r w:rsidRPr="00540245">
      <w:t>Productivity Commission Inquiry into Early Childhood Education and Care</w:t>
    </w:r>
  </w:p>
  <w:p w14:paraId="265D6B6A" w14:textId="4C2692AC" w:rsidR="00221D8F" w:rsidRDefault="00540245">
    <w:pPr>
      <w:pStyle w:val="Footer"/>
    </w:pPr>
    <w:r w:rsidRPr="00540245">
      <w:t>Australian Government Department of Education Submission</w:t>
    </w:r>
    <w:r w:rsidR="00221D8F">
      <w:t xml:space="preserve"> | </w:t>
    </w:r>
    <w:r w:rsidR="00221D8F" w:rsidRPr="00216381">
      <w:rPr>
        <w:color w:val="2B579A"/>
      </w:rPr>
      <w:fldChar w:fldCharType="begin"/>
    </w:r>
    <w:r w:rsidR="00221D8F" w:rsidRPr="00AF1F18">
      <w:instrText xml:space="preserve"> PAGE   \* MERGEFORMAT </w:instrText>
    </w:r>
    <w:r w:rsidR="00221D8F" w:rsidRPr="00216381">
      <w:rPr>
        <w:color w:val="2B579A"/>
      </w:rPr>
      <w:fldChar w:fldCharType="separate"/>
    </w:r>
    <w:r w:rsidR="00221D8F" w:rsidRPr="00AF1F18">
      <w:t>1</w:t>
    </w:r>
    <w:r w:rsidR="00221D8F" w:rsidRPr="00216381">
      <w:rPr>
        <w:color w:val="2B579A"/>
      </w:rPr>
      <w:fldChar w:fldCharType="end"/>
    </w:r>
    <w:r w:rsidR="00221D8F">
      <w:rPr>
        <w:noProof/>
        <w:color w:val="2B579A"/>
        <w:shd w:val="clear" w:color="auto" w:fill="E6E6E6"/>
      </w:rPr>
      <w:drawing>
        <wp:anchor distT="0" distB="0" distL="114300" distR="114300" simplePos="0" relativeHeight="251658240" behindDoc="1" locked="1" layoutInCell="1" allowOverlap="1" wp14:anchorId="4BDF40A9" wp14:editId="6761AFAD">
          <wp:simplePos x="0" y="0"/>
          <wp:positionH relativeFrom="page">
            <wp:align>right</wp:align>
          </wp:positionH>
          <wp:positionV relativeFrom="page">
            <wp:align>bottom</wp:align>
          </wp:positionV>
          <wp:extent cx="1219835" cy="645160"/>
          <wp:effectExtent l="0" t="0" r="0" b="254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9835" cy="6451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71FB6" w14:textId="77777777" w:rsidR="00E77FEA" w:rsidRDefault="00E77FEA" w:rsidP="000A6228">
      <w:pPr>
        <w:spacing w:after="0" w:line="240" w:lineRule="auto"/>
      </w:pPr>
      <w:r>
        <w:separator/>
      </w:r>
    </w:p>
  </w:footnote>
  <w:footnote w:type="continuationSeparator" w:id="0">
    <w:p w14:paraId="2B7E7258" w14:textId="77777777" w:rsidR="00E77FEA" w:rsidRDefault="00E77FEA" w:rsidP="000A6228">
      <w:pPr>
        <w:spacing w:after="0" w:line="240" w:lineRule="auto"/>
      </w:pPr>
      <w:r>
        <w:continuationSeparator/>
      </w:r>
    </w:p>
  </w:footnote>
  <w:footnote w:type="continuationNotice" w:id="1">
    <w:p w14:paraId="5CA075E4" w14:textId="77777777" w:rsidR="00E77FEA" w:rsidRDefault="00E77FEA">
      <w:pPr>
        <w:spacing w:after="0" w:line="240" w:lineRule="auto"/>
      </w:pPr>
    </w:p>
  </w:footnote>
  <w:footnote w:id="2">
    <w:p w14:paraId="111041E2" w14:textId="06FDBB7B" w:rsidR="00426F1D" w:rsidRPr="009C3E4B" w:rsidRDefault="00426F1D" w:rsidP="00B64B04">
      <w:pPr>
        <w:pStyle w:val="SubFootnote"/>
      </w:pPr>
      <w:r w:rsidRPr="009C3E4B">
        <w:rPr>
          <w:rStyle w:val="FootnoteReference"/>
        </w:rPr>
        <w:footnoteRef/>
      </w:r>
      <w:r w:rsidRPr="009C3E4B">
        <w:t xml:space="preserve"> S Fox, A Southwell, N Stafford, R Goodhue, D Jackson, and C Smith, </w:t>
      </w:r>
      <w:hyperlink r:id="rId1" w:history="1">
        <w:r w:rsidRPr="009C3E4B">
          <w:rPr>
            <w:rStyle w:val="Hyperlink"/>
            <w:i/>
            <w:iCs/>
            <w:color w:val="auto"/>
          </w:rPr>
          <w:t>Better Systems, Better Chances</w:t>
        </w:r>
      </w:hyperlink>
      <w:r w:rsidRPr="009C3E4B">
        <w:t>, Australian Research Alliance for Children and Youth, 2015, accessed 24 April 2023.</w:t>
      </w:r>
    </w:p>
  </w:footnote>
  <w:footnote w:id="3">
    <w:p w14:paraId="3B848765" w14:textId="5344E4CF" w:rsidR="00943A59" w:rsidRPr="009C3E4B" w:rsidRDefault="00943A59" w:rsidP="00784057">
      <w:pPr>
        <w:pStyle w:val="SubFootnote"/>
      </w:pPr>
      <w:r w:rsidRPr="009C3E4B">
        <w:rPr>
          <w:rStyle w:val="FootnoteReference"/>
        </w:rPr>
        <w:footnoteRef/>
      </w:r>
      <w:r w:rsidRPr="009C3E4B">
        <w:t xml:space="preserve"> </w:t>
      </w:r>
      <w:r w:rsidR="001E6A37">
        <w:t xml:space="preserve">Australian Government </w:t>
      </w:r>
      <w:r w:rsidR="00461104" w:rsidRPr="009C3E4B">
        <w:t>Department of Education (</w:t>
      </w:r>
      <w:r w:rsidR="008C71FB" w:rsidRPr="009C3E4B">
        <w:t>DoE</w:t>
      </w:r>
      <w:r w:rsidR="00461104" w:rsidRPr="009C3E4B">
        <w:t>)</w:t>
      </w:r>
      <w:r w:rsidR="008C71FB" w:rsidRPr="009C3E4B">
        <w:t xml:space="preserve">, </w:t>
      </w:r>
      <w:hyperlink r:id="rId2" w:history="1">
        <w:r w:rsidR="00747514" w:rsidRPr="00A667C7">
          <w:rPr>
            <w:rStyle w:val="Hyperlink"/>
            <w:i/>
            <w:color w:val="auto"/>
          </w:rPr>
          <w:t>September quarter 2022 report</w:t>
        </w:r>
      </w:hyperlink>
      <w:r w:rsidR="008C71FB" w:rsidRPr="00A667C7">
        <w:rPr>
          <w:i/>
        </w:rPr>
        <w:t xml:space="preserve">, </w:t>
      </w:r>
      <w:r w:rsidR="008C71FB" w:rsidRPr="00A667C7">
        <w:t xml:space="preserve">DoE website, 2023, accessed </w:t>
      </w:r>
      <w:r w:rsidR="001C2AC9" w:rsidRPr="00A667C7">
        <w:t xml:space="preserve">15 </w:t>
      </w:r>
      <w:r w:rsidR="00D96E71" w:rsidRPr="00A667C7">
        <w:t>May</w:t>
      </w:r>
      <w:r w:rsidR="008C71FB" w:rsidRPr="00A667C7">
        <w:t xml:space="preserve"> 2023.</w:t>
      </w:r>
    </w:p>
  </w:footnote>
  <w:footnote w:id="4">
    <w:p w14:paraId="4C4C91A0" w14:textId="77777777" w:rsidR="003C268A" w:rsidRPr="009C3E4B" w:rsidRDefault="003C268A" w:rsidP="003C268A">
      <w:pPr>
        <w:pStyle w:val="SubFootnote"/>
      </w:pPr>
      <w:r w:rsidRPr="009C3E4B">
        <w:rPr>
          <w:rStyle w:val="FootnoteReference"/>
        </w:rPr>
        <w:footnoteRef/>
      </w:r>
      <w:r w:rsidRPr="009C3E4B">
        <w:t xml:space="preserve"> Family Assistance Law is the basis for Commonwealth child care fee assistance and consists of primary legislation and legislative instruments. Primary legislation under FAL includes the</w:t>
      </w:r>
      <w:r w:rsidRPr="00691A6C">
        <w:t xml:space="preserve"> </w:t>
      </w:r>
      <w:hyperlink r:id="rId3" w:history="1">
        <w:r w:rsidRPr="00691A6C">
          <w:rPr>
            <w:rStyle w:val="Hyperlink"/>
            <w:i/>
            <w:iCs/>
            <w:color w:val="auto"/>
          </w:rPr>
          <w:t>A New Tax System (Family Assistance) Act 1999</w:t>
        </w:r>
      </w:hyperlink>
      <w:r w:rsidRPr="00691A6C">
        <w:rPr>
          <w:i/>
          <w:iCs/>
        </w:rPr>
        <w:t xml:space="preserve"> and </w:t>
      </w:r>
      <w:hyperlink r:id="rId4" w:history="1">
        <w:r w:rsidRPr="00691A6C">
          <w:rPr>
            <w:rStyle w:val="Hyperlink"/>
            <w:i/>
            <w:iCs/>
            <w:color w:val="auto"/>
          </w:rPr>
          <w:t>A New Tax System (Family Assistance) (Administration) Act 1999</w:t>
        </w:r>
      </w:hyperlink>
      <w:r w:rsidRPr="00691A6C">
        <w:rPr>
          <w:i/>
          <w:iCs/>
        </w:rPr>
        <w:t>.</w:t>
      </w:r>
      <w:r w:rsidRPr="00691A6C">
        <w:t xml:space="preserve"> Legislative instruments include the </w:t>
      </w:r>
      <w:hyperlink r:id="rId5" w:history="1">
        <w:r w:rsidRPr="00691A6C">
          <w:rPr>
            <w:rStyle w:val="Hyperlink"/>
            <w:color w:val="auto"/>
          </w:rPr>
          <w:t>Child Care Subsidy Minister’s Rules 2017</w:t>
        </w:r>
      </w:hyperlink>
      <w:r w:rsidRPr="00691A6C">
        <w:t xml:space="preserve"> and </w:t>
      </w:r>
      <w:hyperlink r:id="rId6" w:history="1">
        <w:r w:rsidRPr="00691A6C">
          <w:rPr>
            <w:rStyle w:val="Hyperlink"/>
            <w:color w:val="auto"/>
          </w:rPr>
          <w:t>Child Care Subsidy Secretary’s Rules 2017</w:t>
        </w:r>
      </w:hyperlink>
      <w:r w:rsidRPr="00691A6C">
        <w:t>.</w:t>
      </w:r>
    </w:p>
  </w:footnote>
  <w:footnote w:id="5">
    <w:p w14:paraId="307B7F2B" w14:textId="77777777" w:rsidR="003C268A" w:rsidRPr="009C3E4B" w:rsidRDefault="003C268A" w:rsidP="003C268A">
      <w:pPr>
        <w:pStyle w:val="SubFootnote"/>
      </w:pPr>
      <w:r w:rsidRPr="009C3E4B">
        <w:rPr>
          <w:rStyle w:val="FootnoteReference"/>
        </w:rPr>
        <w:footnoteRef/>
      </w:r>
      <w:r w:rsidRPr="009C3E4B">
        <w:t xml:space="preserve"> The Front Project, </w:t>
      </w:r>
      <w:hyperlink r:id="rId7" w:tgtFrame="_blank" w:tooltip="https://www.thefrontproject.org.au/economic-analysis" w:history="1">
        <w:r w:rsidRPr="009C3E4B">
          <w:rPr>
            <w:rStyle w:val="Hyperlink"/>
            <w:i/>
            <w:color w:val="auto"/>
          </w:rPr>
          <w:t>A Smart Investment for a Smarter Australia</w:t>
        </w:r>
      </w:hyperlink>
      <w:r w:rsidRPr="009C3E4B">
        <w:t>, 2019, accessed 24 April 2023.</w:t>
      </w:r>
    </w:p>
  </w:footnote>
  <w:footnote w:id="6">
    <w:p w14:paraId="5A5D6244" w14:textId="77777777" w:rsidR="005E7162" w:rsidRPr="009C3E4B" w:rsidRDefault="005E7162" w:rsidP="005E7162">
      <w:pPr>
        <w:pStyle w:val="FootnoteText"/>
        <w:rPr>
          <w:rFonts w:cstheme="minorHAnsi"/>
          <w:sz w:val="16"/>
          <w:szCs w:val="16"/>
        </w:rPr>
      </w:pPr>
      <w:r w:rsidRPr="009C3E4B">
        <w:rPr>
          <w:rStyle w:val="FootnoteReference"/>
          <w:rFonts w:cstheme="minorHAnsi"/>
          <w:sz w:val="16"/>
          <w:szCs w:val="16"/>
        </w:rPr>
        <w:footnoteRef/>
      </w:r>
      <w:r w:rsidRPr="009C3E4B">
        <w:rPr>
          <w:rFonts w:cstheme="minorHAnsi"/>
          <w:sz w:val="16"/>
          <w:szCs w:val="16"/>
        </w:rPr>
        <w:t xml:space="preserve"> </w:t>
      </w:r>
      <w:r w:rsidRPr="009C3E4B">
        <w:rPr>
          <w:rStyle w:val="ui-provider"/>
          <w:rFonts w:cstheme="minorHAnsi"/>
          <w:sz w:val="16"/>
          <w:szCs w:val="16"/>
        </w:rPr>
        <w:t xml:space="preserve">Victorian Government Department of Education and Early Childhood Development (DEECD), </w:t>
      </w:r>
      <w:hyperlink r:id="rId8" w:tgtFrame="_blank" w:tooltip="https://www.education.vic.gov.au/documents/about/research/preschoolparticipationandqualissummarypaper2013.pdf" w:history="1">
        <w:r w:rsidRPr="009C3E4B">
          <w:rPr>
            <w:rStyle w:val="Hyperlink"/>
            <w:rFonts w:cstheme="minorHAnsi"/>
            <w:i/>
            <w:color w:val="auto"/>
            <w:sz w:val="16"/>
            <w:szCs w:val="16"/>
          </w:rPr>
          <w:t>Early Bird Catches the Worm: The Causal Impact of Pre-school Participation and Teacher Qualifications on Year 3 NAPLAN Outcomes</w:t>
        </w:r>
        <w:r w:rsidRPr="009C3E4B">
          <w:rPr>
            <w:rStyle w:val="Hyperlink"/>
            <w:rFonts w:cstheme="minorHAnsi"/>
            <w:color w:val="auto"/>
            <w:sz w:val="16"/>
            <w:szCs w:val="16"/>
          </w:rPr>
          <w:t xml:space="preserve"> [PDF 0.508 MB]</w:t>
        </w:r>
      </w:hyperlink>
      <w:r w:rsidRPr="009C3E4B">
        <w:rPr>
          <w:rStyle w:val="ui-provider"/>
          <w:rFonts w:cstheme="minorHAnsi"/>
          <w:sz w:val="16"/>
          <w:szCs w:val="16"/>
        </w:rPr>
        <w:t>, DEECD, 2013, accessed 2 May 2023.</w:t>
      </w:r>
    </w:p>
  </w:footnote>
  <w:footnote w:id="7">
    <w:p w14:paraId="0CCA6F83" w14:textId="77777777" w:rsidR="003C268A" w:rsidRPr="009C3E4B" w:rsidRDefault="003C268A" w:rsidP="003C268A">
      <w:pPr>
        <w:pStyle w:val="SubFootnote"/>
      </w:pPr>
      <w:r w:rsidRPr="009C3E4B">
        <w:rPr>
          <w:rStyle w:val="FootnoteReference"/>
        </w:rPr>
        <w:footnoteRef/>
      </w:r>
      <w:r w:rsidRPr="009C3E4B">
        <w:t xml:space="preserve"> Centre for Adolescent Health, Murdoch Children’s Research Institute, </w:t>
      </w:r>
      <w:hyperlink r:id="rId9" w:history="1">
        <w:r w:rsidRPr="009C3E4B">
          <w:rPr>
            <w:rStyle w:val="Hyperlink"/>
            <w:i/>
            <w:color w:val="auto"/>
          </w:rPr>
          <w:t>The Effects on Schooling Outcomes of Early Developmental Vulnerabilities in Children</w:t>
        </w:r>
      </w:hyperlink>
      <w:r w:rsidRPr="009C3E4B">
        <w:t>, 2018, accessed 26 April 2023.</w:t>
      </w:r>
    </w:p>
  </w:footnote>
  <w:footnote w:id="8">
    <w:p w14:paraId="14362FFF" w14:textId="77777777" w:rsidR="003C268A" w:rsidRPr="009C3E4B" w:rsidRDefault="003C268A" w:rsidP="003C268A">
      <w:pPr>
        <w:pStyle w:val="SubFootnote"/>
      </w:pPr>
      <w:r w:rsidRPr="009C3E4B">
        <w:rPr>
          <w:vertAlign w:val="superscript"/>
        </w:rPr>
        <w:footnoteRef/>
      </w:r>
      <w:r w:rsidRPr="009C3E4B">
        <w:t xml:space="preserve"> Australian Government Workplace Gender Equality Agency (WGEA), </w:t>
      </w:r>
      <w:hyperlink r:id="rId10" w:history="1">
        <w:r w:rsidRPr="009C3E4B">
          <w:rPr>
            <w:rStyle w:val="Hyperlink"/>
            <w:i/>
            <w:color w:val="auto"/>
          </w:rPr>
          <w:t>Wages and Ages: Mapping the Gender Pay Gap by Age</w:t>
        </w:r>
      </w:hyperlink>
      <w:r w:rsidRPr="009C3E4B">
        <w:t>, WGEA website,</w:t>
      </w:r>
      <w:r w:rsidRPr="009C3E4B">
        <w:rPr>
          <w:i/>
          <w:iCs/>
        </w:rPr>
        <w:t xml:space="preserve"> </w:t>
      </w:r>
      <w:r w:rsidRPr="009C3E4B">
        <w:t>2022, accessed 26 April 2023.</w:t>
      </w:r>
    </w:p>
  </w:footnote>
  <w:footnote w:id="9">
    <w:p w14:paraId="7DDBF6BD" w14:textId="77777777" w:rsidR="003C268A" w:rsidRPr="009C3E4B" w:rsidRDefault="003C268A" w:rsidP="003C268A">
      <w:pPr>
        <w:pStyle w:val="SubFootnote"/>
      </w:pPr>
      <w:r w:rsidRPr="009C3E4B">
        <w:rPr>
          <w:rStyle w:val="FootnoteReference"/>
        </w:rPr>
        <w:footnoteRef/>
      </w:r>
      <w:r w:rsidRPr="009C3E4B">
        <w:t xml:space="preserve"> Australian Bureau of Statistics (ABS), </w:t>
      </w:r>
      <w:hyperlink r:id="rId11" w:history="1">
        <w:r w:rsidRPr="009C3E4B">
          <w:rPr>
            <w:rStyle w:val="Hyperlink"/>
            <w:i/>
            <w:color w:val="auto"/>
          </w:rPr>
          <w:t>Barriers and Incentives to Labour Force Participation, Australia</w:t>
        </w:r>
      </w:hyperlink>
      <w:r w:rsidRPr="009C3E4B">
        <w:t>, ABS website, 2022, accessed 26 April 2023.</w:t>
      </w:r>
    </w:p>
  </w:footnote>
  <w:footnote w:id="10">
    <w:p w14:paraId="7A95BE32" w14:textId="77777777" w:rsidR="003C268A" w:rsidRPr="009C3E4B" w:rsidRDefault="003C268A" w:rsidP="003C268A">
      <w:pPr>
        <w:pStyle w:val="SubFootnote"/>
      </w:pPr>
      <w:r w:rsidRPr="009C3E4B">
        <w:rPr>
          <w:rStyle w:val="FootnoteReference"/>
        </w:rPr>
        <w:footnoteRef/>
      </w:r>
      <w:r w:rsidRPr="009C3E4B">
        <w:t xml:space="preserve"> Australian Government Department of the Prime Minister and Cabinet (PM&amp;C), </w:t>
      </w:r>
      <w:hyperlink r:id="rId12" w:history="1">
        <w:r w:rsidRPr="009C3E4B">
          <w:rPr>
            <w:rStyle w:val="Hyperlink"/>
            <w:i/>
            <w:color w:val="auto"/>
          </w:rPr>
          <w:t xml:space="preserve">Towards 2025: An Australian Government Strategy to Boost Women’s Workforce Participation </w:t>
        </w:r>
        <w:r w:rsidRPr="009C3E4B">
          <w:rPr>
            <w:rStyle w:val="Hyperlink"/>
            <w:color w:val="auto"/>
          </w:rPr>
          <w:t>[PDF 1,082KB]</w:t>
        </w:r>
      </w:hyperlink>
      <w:r w:rsidRPr="009C3E4B">
        <w:t>, PM&amp;C, Australian Government, 2017, accessed 26 April 2023.</w:t>
      </w:r>
    </w:p>
  </w:footnote>
  <w:footnote w:id="11">
    <w:p w14:paraId="5DAE8903" w14:textId="77777777" w:rsidR="003C268A" w:rsidRPr="009C3E4B" w:rsidRDefault="003C268A" w:rsidP="003C268A">
      <w:pPr>
        <w:pStyle w:val="SubFootnote"/>
      </w:pPr>
      <w:r w:rsidRPr="009C3E4B">
        <w:rPr>
          <w:rStyle w:val="FootnoteReference"/>
        </w:rPr>
        <w:footnoteRef/>
      </w:r>
      <w:r w:rsidRPr="009C3E4B">
        <w:rPr>
          <w:i/>
          <w:iCs/>
        </w:rPr>
        <w:t xml:space="preserve"> </w:t>
      </w:r>
      <w:r w:rsidRPr="009C3E4B">
        <w:t>A New Tax System (Family Assistance) (Administration) Act 1999 (Cth).</w:t>
      </w:r>
    </w:p>
  </w:footnote>
  <w:footnote w:id="12">
    <w:p w14:paraId="5E4A8080" w14:textId="7E5C8702" w:rsidR="00BD2497" w:rsidRPr="009C3E4B" w:rsidRDefault="00BD2497">
      <w:pPr>
        <w:pStyle w:val="FootnoteText"/>
        <w:rPr>
          <w:sz w:val="16"/>
          <w:szCs w:val="16"/>
        </w:rPr>
      </w:pPr>
      <w:r w:rsidRPr="009C3E4B">
        <w:rPr>
          <w:rStyle w:val="FootnoteReference"/>
          <w:sz w:val="16"/>
          <w:szCs w:val="16"/>
        </w:rPr>
        <w:footnoteRef/>
      </w:r>
      <w:r w:rsidRPr="009C3E4B">
        <w:rPr>
          <w:sz w:val="16"/>
          <w:szCs w:val="16"/>
        </w:rPr>
        <w:t xml:space="preserve"> </w:t>
      </w:r>
      <w:r w:rsidR="00BE31BF">
        <w:rPr>
          <w:sz w:val="16"/>
          <w:szCs w:val="16"/>
        </w:rPr>
        <w:t>Australian Government Department of Education</w:t>
      </w:r>
      <w:r w:rsidR="001E2628" w:rsidRPr="009C3E4B">
        <w:rPr>
          <w:sz w:val="16"/>
          <w:szCs w:val="16"/>
        </w:rPr>
        <w:t xml:space="preserve"> (</w:t>
      </w:r>
      <w:r w:rsidR="001E2628" w:rsidRPr="009C3E4B">
        <w:rPr>
          <w:rFonts w:cstheme="minorHAnsi"/>
          <w:sz w:val="16"/>
          <w:szCs w:val="16"/>
        </w:rPr>
        <w:t xml:space="preserve">DoE), </w:t>
      </w:r>
      <w:hyperlink r:id="rId13" w:history="1">
        <w:r w:rsidR="00B765BF" w:rsidRPr="009C3E4B">
          <w:rPr>
            <w:rStyle w:val="Hyperlink"/>
            <w:rFonts w:cstheme="minorHAnsi"/>
            <w:i/>
            <w:color w:val="auto"/>
            <w:sz w:val="16"/>
            <w:szCs w:val="16"/>
          </w:rPr>
          <w:t>September quarter 2018</w:t>
        </w:r>
      </w:hyperlink>
      <w:r w:rsidR="001E2628" w:rsidRPr="009C3E4B">
        <w:rPr>
          <w:rStyle w:val="Hyperlink"/>
          <w:rFonts w:cstheme="minorHAnsi"/>
          <w:i/>
          <w:color w:val="auto"/>
          <w:sz w:val="16"/>
          <w:szCs w:val="16"/>
        </w:rPr>
        <w:t xml:space="preserve"> report</w:t>
      </w:r>
      <w:r w:rsidR="001E2628" w:rsidRPr="009C3E4B">
        <w:rPr>
          <w:rFonts w:cstheme="minorHAnsi"/>
          <w:sz w:val="16"/>
          <w:szCs w:val="16"/>
        </w:rPr>
        <w:t xml:space="preserve">, DoE website, </w:t>
      </w:r>
      <w:r w:rsidR="00F91BD5" w:rsidRPr="009C3E4B">
        <w:rPr>
          <w:rFonts w:cstheme="minorHAnsi"/>
          <w:sz w:val="16"/>
          <w:szCs w:val="16"/>
        </w:rPr>
        <w:t>2022</w:t>
      </w:r>
      <w:r w:rsidR="001E2628" w:rsidRPr="009C3E4B">
        <w:rPr>
          <w:rFonts w:cstheme="minorHAnsi"/>
          <w:sz w:val="16"/>
          <w:szCs w:val="16"/>
        </w:rPr>
        <w:t xml:space="preserve">, </w:t>
      </w:r>
      <w:r w:rsidR="001E2628" w:rsidRPr="009C3E4B">
        <w:rPr>
          <w:sz w:val="16"/>
          <w:szCs w:val="16"/>
        </w:rPr>
        <w:t xml:space="preserve">accessed </w:t>
      </w:r>
      <w:r w:rsidR="00E173FF" w:rsidRPr="009C3E4B">
        <w:rPr>
          <w:sz w:val="16"/>
          <w:szCs w:val="16"/>
        </w:rPr>
        <w:t>8</w:t>
      </w:r>
      <w:r w:rsidR="001E2628" w:rsidRPr="009C3E4B">
        <w:rPr>
          <w:sz w:val="16"/>
          <w:szCs w:val="16"/>
        </w:rPr>
        <w:t xml:space="preserve"> </w:t>
      </w:r>
      <w:r w:rsidR="00E173FF" w:rsidRPr="009C3E4B">
        <w:rPr>
          <w:sz w:val="16"/>
          <w:szCs w:val="16"/>
        </w:rPr>
        <w:t>May</w:t>
      </w:r>
      <w:r w:rsidR="001E2628" w:rsidRPr="009C3E4B">
        <w:rPr>
          <w:sz w:val="16"/>
          <w:szCs w:val="16"/>
        </w:rPr>
        <w:t xml:space="preserve"> 2023</w:t>
      </w:r>
      <w:r w:rsidR="00D05E40" w:rsidRPr="009C3E4B">
        <w:rPr>
          <w:sz w:val="16"/>
          <w:szCs w:val="16"/>
        </w:rPr>
        <w:t xml:space="preserve">; </w:t>
      </w:r>
      <w:r w:rsidR="00DB279F" w:rsidRPr="009C3E4B">
        <w:rPr>
          <w:sz w:val="16"/>
          <w:szCs w:val="16"/>
        </w:rPr>
        <w:t xml:space="preserve">Department of Education (DoE), </w:t>
      </w:r>
      <w:hyperlink r:id="rId14" w:history="1">
        <w:r w:rsidR="00DB279F" w:rsidRPr="003379FC">
          <w:rPr>
            <w:rStyle w:val="Hyperlink"/>
            <w:i/>
            <w:color w:val="auto"/>
            <w:sz w:val="16"/>
            <w:szCs w:val="16"/>
          </w:rPr>
          <w:t>September quarter 2022 report</w:t>
        </w:r>
      </w:hyperlink>
      <w:r w:rsidR="00DB279F" w:rsidRPr="003379FC">
        <w:rPr>
          <w:i/>
          <w:sz w:val="16"/>
          <w:szCs w:val="16"/>
        </w:rPr>
        <w:t xml:space="preserve">, </w:t>
      </w:r>
      <w:r w:rsidR="00DB279F" w:rsidRPr="003379FC">
        <w:rPr>
          <w:sz w:val="16"/>
          <w:szCs w:val="16"/>
        </w:rPr>
        <w:t>DoE website, 2023, accessed 15 May 2023.</w:t>
      </w:r>
    </w:p>
  </w:footnote>
  <w:footnote w:id="13">
    <w:p w14:paraId="7E4F612B" w14:textId="77777777" w:rsidR="000573B1" w:rsidRPr="009C3E4B" w:rsidRDefault="000573B1" w:rsidP="000573B1">
      <w:pPr>
        <w:pStyle w:val="FootnoteText"/>
        <w:rPr>
          <w:sz w:val="16"/>
          <w:szCs w:val="16"/>
        </w:rPr>
      </w:pPr>
      <w:r w:rsidRPr="009C3E4B">
        <w:rPr>
          <w:rStyle w:val="FootnoteReference"/>
          <w:sz w:val="16"/>
          <w:szCs w:val="16"/>
        </w:rPr>
        <w:footnoteRef/>
      </w:r>
      <w:r w:rsidRPr="009C3E4B">
        <w:rPr>
          <w:sz w:val="16"/>
          <w:szCs w:val="16"/>
        </w:rPr>
        <w:t xml:space="preserve"> </w:t>
      </w:r>
      <w:r w:rsidRPr="009C3E4B">
        <w:rPr>
          <w:rFonts w:cstheme="minorHAnsi"/>
          <w:sz w:val="16"/>
          <w:szCs w:val="16"/>
        </w:rPr>
        <w:t xml:space="preserve">DoE, </w:t>
      </w:r>
      <w:r w:rsidRPr="009C3E4B">
        <w:rPr>
          <w:rFonts w:cstheme="minorHAnsi"/>
          <w:i/>
          <w:sz w:val="16"/>
          <w:szCs w:val="16"/>
        </w:rPr>
        <w:t>September quarter 2018</w:t>
      </w:r>
      <w:r w:rsidRPr="009C3E4B">
        <w:rPr>
          <w:rStyle w:val="Hyperlink"/>
          <w:rFonts w:cstheme="minorHAnsi"/>
          <w:i/>
          <w:color w:val="auto"/>
          <w:sz w:val="16"/>
          <w:szCs w:val="16"/>
          <w:u w:val="none"/>
        </w:rPr>
        <w:t xml:space="preserve"> report</w:t>
      </w:r>
      <w:r w:rsidRPr="009C3E4B">
        <w:rPr>
          <w:sz w:val="16"/>
          <w:szCs w:val="16"/>
        </w:rPr>
        <w:t xml:space="preserve">; DoE, </w:t>
      </w:r>
      <w:r w:rsidRPr="009C3E4B">
        <w:rPr>
          <w:i/>
          <w:sz w:val="16"/>
          <w:szCs w:val="16"/>
        </w:rPr>
        <w:t>September quarter 2022 report</w:t>
      </w:r>
      <w:r w:rsidRPr="009C3E4B">
        <w:rPr>
          <w:sz w:val="16"/>
          <w:szCs w:val="16"/>
        </w:rPr>
        <w:t>.</w:t>
      </w:r>
    </w:p>
  </w:footnote>
  <w:footnote w:id="14">
    <w:p w14:paraId="266A9399" w14:textId="77777777" w:rsidR="003C268A" w:rsidRPr="009C3E4B" w:rsidRDefault="003C268A" w:rsidP="003C268A">
      <w:pPr>
        <w:pStyle w:val="SubFootnote"/>
      </w:pPr>
      <w:r w:rsidRPr="009C3E4B">
        <w:rPr>
          <w:rStyle w:val="FootnoteReference"/>
        </w:rPr>
        <w:footnoteRef/>
      </w:r>
      <w:r w:rsidRPr="009C3E4B">
        <w:t xml:space="preserve"> A New Tax System (Family Assistance) (Administration) Act 1999 (Cth).</w:t>
      </w:r>
    </w:p>
  </w:footnote>
  <w:footnote w:id="15">
    <w:p w14:paraId="10446CE2" w14:textId="77777777" w:rsidR="005B336D" w:rsidRPr="009C3E4B" w:rsidRDefault="005B336D" w:rsidP="005B336D">
      <w:pPr>
        <w:pStyle w:val="FootnoteText"/>
        <w:rPr>
          <w:sz w:val="16"/>
          <w:szCs w:val="16"/>
        </w:rPr>
      </w:pPr>
      <w:r w:rsidRPr="009C3E4B">
        <w:rPr>
          <w:rStyle w:val="FootnoteReference"/>
          <w:sz w:val="16"/>
          <w:szCs w:val="16"/>
        </w:rPr>
        <w:footnoteRef/>
      </w:r>
      <w:r w:rsidRPr="009C3E4B">
        <w:rPr>
          <w:sz w:val="16"/>
          <w:szCs w:val="16"/>
        </w:rPr>
        <w:t xml:space="preserve"> </w:t>
      </w:r>
      <w:r w:rsidRPr="009C3E4B">
        <w:rPr>
          <w:rFonts w:cstheme="minorHAnsi"/>
          <w:sz w:val="16"/>
          <w:szCs w:val="16"/>
        </w:rPr>
        <w:t xml:space="preserve">DoE, </w:t>
      </w:r>
      <w:r w:rsidRPr="009C3E4B">
        <w:rPr>
          <w:rFonts w:cstheme="minorHAnsi"/>
          <w:i/>
          <w:sz w:val="16"/>
          <w:szCs w:val="16"/>
        </w:rPr>
        <w:t>September quarter 2018</w:t>
      </w:r>
      <w:r w:rsidRPr="009C3E4B">
        <w:rPr>
          <w:rStyle w:val="Hyperlink"/>
          <w:rFonts w:cstheme="minorHAnsi"/>
          <w:i/>
          <w:color w:val="auto"/>
          <w:sz w:val="16"/>
          <w:szCs w:val="16"/>
          <w:u w:val="none"/>
        </w:rPr>
        <w:t xml:space="preserve"> report</w:t>
      </w:r>
      <w:r w:rsidRPr="009C3E4B">
        <w:rPr>
          <w:sz w:val="16"/>
          <w:szCs w:val="16"/>
        </w:rPr>
        <w:t xml:space="preserve">; DoE, </w:t>
      </w:r>
      <w:r w:rsidRPr="009C3E4B">
        <w:rPr>
          <w:i/>
          <w:sz w:val="16"/>
          <w:szCs w:val="16"/>
        </w:rPr>
        <w:t>September quarter 2022 report</w:t>
      </w:r>
      <w:r w:rsidRPr="009C3E4B">
        <w:rPr>
          <w:sz w:val="16"/>
          <w:szCs w:val="16"/>
        </w:rPr>
        <w:t>.</w:t>
      </w:r>
    </w:p>
  </w:footnote>
  <w:footnote w:id="16">
    <w:p w14:paraId="3A5B820D" w14:textId="7C9D6EC6" w:rsidR="003C268A" w:rsidRPr="009C3E4B" w:rsidRDefault="003C268A" w:rsidP="003C268A">
      <w:pPr>
        <w:pStyle w:val="SubFootnote"/>
      </w:pPr>
      <w:r w:rsidRPr="009C3E4B">
        <w:rPr>
          <w:rStyle w:val="FootnoteReference"/>
        </w:rPr>
        <w:footnoteRef/>
      </w:r>
      <w:r w:rsidRPr="009C3E4B">
        <w:t xml:space="preserve"> </w:t>
      </w:r>
      <w:r w:rsidR="009C3E4B" w:rsidRPr="009C3E4B">
        <w:t xml:space="preserve">DoE, </w:t>
      </w:r>
      <w:r w:rsidR="009C3E4B" w:rsidRPr="009C3E4B">
        <w:rPr>
          <w:i/>
        </w:rPr>
        <w:t>September quarter 2022 report</w:t>
      </w:r>
      <w:r w:rsidR="009C3E4B" w:rsidRPr="009C3E4B">
        <w:t>.</w:t>
      </w:r>
    </w:p>
  </w:footnote>
  <w:footnote w:id="17">
    <w:p w14:paraId="6399019D" w14:textId="77777777" w:rsidR="003C268A" w:rsidRPr="009C3E4B" w:rsidRDefault="003C268A" w:rsidP="003C268A">
      <w:pPr>
        <w:pStyle w:val="SubFootnote"/>
      </w:pPr>
      <w:r w:rsidRPr="009C3E4B">
        <w:rPr>
          <w:rStyle w:val="FootnoteReference"/>
        </w:rPr>
        <w:footnoteRef/>
      </w:r>
      <w:r w:rsidRPr="009C3E4B">
        <w:rPr>
          <w:rFonts w:cstheme="minorHAnsi"/>
        </w:rPr>
        <w:t xml:space="preserve"> Australian Bureau of Statistics (ABS), </w:t>
      </w:r>
      <w:hyperlink r:id="rId15" w:tgtFrame="_blank" w:tooltip="https://www.abs.gov.au/statistics/people/education/preschool-education/latest-release" w:history="1">
        <w:r w:rsidRPr="009C3E4B">
          <w:rPr>
            <w:rStyle w:val="Hyperlink"/>
            <w:rFonts w:cstheme="minorHAnsi"/>
            <w:i/>
            <w:color w:val="auto"/>
            <w:shd w:val="clear" w:color="auto" w:fill="FFFFFF"/>
          </w:rPr>
          <w:t>Preschool Education</w:t>
        </w:r>
        <w:r w:rsidRPr="009C3E4B">
          <w:rPr>
            <w:rStyle w:val="Hyperlink"/>
            <w:rFonts w:cstheme="minorHAnsi"/>
            <w:color w:val="auto"/>
            <w:u w:val="none"/>
            <w:shd w:val="clear" w:color="auto" w:fill="FFFFFF"/>
          </w:rPr>
          <w:t>,</w:t>
        </w:r>
      </w:hyperlink>
      <w:r w:rsidRPr="009C3E4B">
        <w:rPr>
          <w:rStyle w:val="Hyperlink"/>
          <w:rFonts w:cstheme="minorHAnsi"/>
          <w:color w:val="auto"/>
          <w:u w:val="none"/>
          <w:shd w:val="clear" w:color="auto" w:fill="FFFFFF"/>
        </w:rPr>
        <w:t xml:space="preserve"> </w:t>
      </w:r>
      <w:r w:rsidRPr="009C3E4B">
        <w:t>ABS website, 2022, accessed 24 April 2023</w:t>
      </w:r>
      <w:r w:rsidRPr="009C3E4B">
        <w:rPr>
          <w:rStyle w:val="Hyperlink"/>
          <w:rFonts w:cstheme="minorHAnsi"/>
          <w:color w:val="auto"/>
          <w:u w:val="none"/>
          <w:shd w:val="clear" w:color="auto" w:fill="FFFFFF"/>
        </w:rPr>
        <w:t>.</w:t>
      </w:r>
    </w:p>
  </w:footnote>
  <w:footnote w:id="18">
    <w:p w14:paraId="53798E07" w14:textId="1A2E2660" w:rsidR="003203D7" w:rsidRPr="009C3E4B" w:rsidRDefault="003203D7">
      <w:pPr>
        <w:pStyle w:val="FootnoteText"/>
        <w:rPr>
          <w:sz w:val="16"/>
          <w:szCs w:val="16"/>
        </w:rPr>
      </w:pPr>
      <w:r w:rsidRPr="009C3E4B">
        <w:rPr>
          <w:rStyle w:val="FootnoteReference"/>
          <w:sz w:val="16"/>
          <w:szCs w:val="16"/>
        </w:rPr>
        <w:footnoteRef/>
      </w:r>
      <w:r w:rsidRPr="009C3E4B">
        <w:rPr>
          <w:sz w:val="16"/>
          <w:szCs w:val="16"/>
        </w:rPr>
        <w:t xml:space="preserve"> </w:t>
      </w:r>
      <w:r w:rsidR="00F45F85" w:rsidRPr="009C3E4B">
        <w:rPr>
          <w:sz w:val="16"/>
          <w:szCs w:val="16"/>
        </w:rPr>
        <w:t xml:space="preserve">DoE, </w:t>
      </w:r>
      <w:r w:rsidR="00F45F85" w:rsidRPr="0080784C">
        <w:rPr>
          <w:i/>
          <w:sz w:val="16"/>
          <w:szCs w:val="16"/>
        </w:rPr>
        <w:t>September quarter 2022 report</w:t>
      </w:r>
      <w:r w:rsidR="00F45F85" w:rsidRPr="009C3E4B">
        <w:rPr>
          <w:sz w:val="16"/>
          <w:szCs w:val="16"/>
        </w:rPr>
        <w:t>.</w:t>
      </w:r>
    </w:p>
  </w:footnote>
  <w:footnote w:id="19">
    <w:p w14:paraId="7FDFDC84" w14:textId="1E5F71ED" w:rsidR="003C268A" w:rsidRPr="009C3E4B" w:rsidRDefault="003C268A" w:rsidP="003C268A">
      <w:pPr>
        <w:pStyle w:val="SubFootnote"/>
      </w:pPr>
      <w:r w:rsidRPr="009C3E4B">
        <w:rPr>
          <w:rStyle w:val="FootnoteReference"/>
        </w:rPr>
        <w:footnoteRef/>
      </w:r>
      <w:r w:rsidRPr="009C3E4B">
        <w:t xml:space="preserve"> </w:t>
      </w:r>
      <w:r w:rsidR="001E6A37">
        <w:t xml:space="preserve">Australian Government </w:t>
      </w:r>
      <w:r w:rsidR="00460917" w:rsidRPr="009C3E4B">
        <w:t>Jobs and Skills Australia</w:t>
      </w:r>
      <w:r w:rsidR="002D686F">
        <w:t xml:space="preserve"> (JSA)</w:t>
      </w:r>
      <w:r w:rsidR="00460917" w:rsidRPr="009C3E4B">
        <w:t xml:space="preserve">, </w:t>
      </w:r>
      <w:hyperlink r:id="rId16" w:history="1">
        <w:r w:rsidR="00460917" w:rsidRPr="009C3E4B">
          <w:rPr>
            <w:rStyle w:val="Hyperlink"/>
            <w:i/>
            <w:color w:val="auto"/>
          </w:rPr>
          <w:t>Child Care Centre Managers</w:t>
        </w:r>
      </w:hyperlink>
      <w:r w:rsidR="00460917" w:rsidRPr="009C3E4B">
        <w:rPr>
          <w:rStyle w:val="Hyperlink"/>
          <w:i/>
          <w:color w:val="auto"/>
        </w:rPr>
        <w:t xml:space="preserve">, </w:t>
      </w:r>
      <w:hyperlink r:id="rId17" w:history="1">
        <w:r w:rsidR="00460917" w:rsidRPr="009C3E4B">
          <w:rPr>
            <w:rStyle w:val="Hyperlink"/>
            <w:i/>
            <w:color w:val="auto"/>
          </w:rPr>
          <w:t>Job Outlook and the Labour Market Information Portal (LMIP)</w:t>
        </w:r>
      </w:hyperlink>
      <w:r w:rsidR="00460917" w:rsidRPr="009C3E4B">
        <w:t xml:space="preserve">, ANZSCO ID 1341, </w:t>
      </w:r>
      <w:r w:rsidR="002D686F">
        <w:t>JSA</w:t>
      </w:r>
      <w:r w:rsidR="00460917" w:rsidRPr="009C3E4B">
        <w:t xml:space="preserve"> Labour Market Insights website, 2022, accessed </w:t>
      </w:r>
      <w:r w:rsidR="00794568">
        <w:t>15 May</w:t>
      </w:r>
      <w:r w:rsidR="00460917" w:rsidRPr="009C3E4B">
        <w:t xml:space="preserve"> 2023; </w:t>
      </w:r>
      <w:r w:rsidR="002D686F">
        <w:t>JSA</w:t>
      </w:r>
      <w:r w:rsidR="00460917" w:rsidRPr="009C3E4B">
        <w:t xml:space="preserve">, </w:t>
      </w:r>
      <w:hyperlink r:id="rId18" w:history="1">
        <w:r w:rsidR="00460917" w:rsidRPr="009C3E4B">
          <w:rPr>
            <w:rStyle w:val="Hyperlink"/>
            <w:i/>
            <w:color w:val="auto"/>
          </w:rPr>
          <w:t>Child Carers</w:t>
        </w:r>
      </w:hyperlink>
      <w:r w:rsidR="00460917" w:rsidRPr="009C3E4B">
        <w:t xml:space="preserve">, ANZSCO ID 4211, </w:t>
      </w:r>
      <w:r w:rsidR="002D686F">
        <w:t>JSA</w:t>
      </w:r>
      <w:r w:rsidR="00460917" w:rsidRPr="009C3E4B">
        <w:t xml:space="preserve"> Labour Market Insights website, 2021, accessed </w:t>
      </w:r>
      <w:r w:rsidR="00794568">
        <w:t>15 May</w:t>
      </w:r>
      <w:r w:rsidR="00460917" w:rsidRPr="009C3E4B">
        <w:t xml:space="preserve"> 2023; </w:t>
      </w:r>
      <w:r w:rsidR="002D686F">
        <w:t>JSA</w:t>
      </w:r>
      <w:r w:rsidR="00460917" w:rsidRPr="009C3E4B">
        <w:t xml:space="preserve">, </w:t>
      </w:r>
      <w:hyperlink r:id="rId19" w:history="1">
        <w:r w:rsidR="00460917" w:rsidRPr="009C3E4B">
          <w:rPr>
            <w:rStyle w:val="Hyperlink"/>
            <w:i/>
            <w:color w:val="auto"/>
          </w:rPr>
          <w:t>Early Childhood (Pre</w:t>
        </w:r>
        <w:r w:rsidR="00460917" w:rsidRPr="009C3E4B">
          <w:rPr>
            <w:rStyle w:val="Hyperlink"/>
            <w:i/>
            <w:color w:val="auto"/>
          </w:rPr>
          <w:noBreakHyphen/>
          <w:t>primary School) Teachers</w:t>
        </w:r>
      </w:hyperlink>
      <w:r w:rsidR="00460917" w:rsidRPr="009C3E4B">
        <w:t xml:space="preserve">, ANZSCO ID 2411, </w:t>
      </w:r>
      <w:r w:rsidR="002D686F">
        <w:t>JSA</w:t>
      </w:r>
      <w:r w:rsidR="00460917" w:rsidRPr="009C3E4B">
        <w:t xml:space="preserve"> Labour Market Insights website, 2021, accessed </w:t>
      </w:r>
      <w:r w:rsidR="00460917">
        <w:t>15 May</w:t>
      </w:r>
      <w:r w:rsidR="00460917" w:rsidRPr="009C3E4B">
        <w:t xml:space="preserve"> 2023.</w:t>
      </w:r>
    </w:p>
  </w:footnote>
  <w:footnote w:id="20">
    <w:p w14:paraId="1CD1831C" w14:textId="533B1625" w:rsidR="003C268A" w:rsidRPr="009C3E4B" w:rsidRDefault="0062312B" w:rsidP="003C268A">
      <w:pPr>
        <w:pStyle w:val="SubFootnote"/>
      </w:pPr>
      <w:r>
        <w:rPr>
          <w:rStyle w:val="FootnoteReference"/>
        </w:rPr>
        <w:footnoteRef/>
      </w:r>
      <w:r>
        <w:t xml:space="preserve"> </w:t>
      </w:r>
      <w:r w:rsidR="00BE31BF">
        <w:t>Australian Government Department of Education</w:t>
      </w:r>
      <w:r w:rsidRPr="007F072C">
        <w:t xml:space="preserve"> (DoE), </w:t>
      </w:r>
      <w:hyperlink r:id="rId20" w:history="1">
        <w:r w:rsidRPr="007F072C">
          <w:rPr>
            <w:rStyle w:val="Hyperlink"/>
            <w:i/>
            <w:color w:val="auto"/>
          </w:rPr>
          <w:t>2021 Early Childhood Education and Care National Workforce Census report</w:t>
        </w:r>
      </w:hyperlink>
      <w:r w:rsidRPr="007F072C">
        <w:t>, DoE website, 2022, accessed 3 April 2023</w:t>
      </w:r>
      <w:r w:rsidR="00883B22">
        <w:t>.</w:t>
      </w:r>
    </w:p>
  </w:footnote>
  <w:footnote w:id="21">
    <w:p w14:paraId="2D4540A7" w14:textId="00AFD5A6" w:rsidR="003C268A" w:rsidRPr="009C3E4B" w:rsidRDefault="003C268A" w:rsidP="003C268A">
      <w:pPr>
        <w:pStyle w:val="SubFootnote"/>
      </w:pPr>
      <w:r w:rsidRPr="009C3E4B">
        <w:rPr>
          <w:rStyle w:val="FootnoteReference"/>
        </w:rPr>
        <w:footnoteRef/>
      </w:r>
      <w:r w:rsidRPr="009C3E4B">
        <w:t xml:space="preserve"> </w:t>
      </w:r>
      <w:r w:rsidR="005045E9">
        <w:t>JSA</w:t>
      </w:r>
      <w:r w:rsidRPr="009C3E4B">
        <w:t xml:space="preserve">, </w:t>
      </w:r>
      <w:hyperlink r:id="rId21" w:history="1">
        <w:r w:rsidRPr="009C3E4B">
          <w:rPr>
            <w:rStyle w:val="Hyperlink"/>
            <w:i/>
            <w:color w:val="auto"/>
          </w:rPr>
          <w:t>Child Care Centre Managers</w:t>
        </w:r>
      </w:hyperlink>
      <w:r w:rsidRPr="009C3E4B">
        <w:rPr>
          <w:rStyle w:val="Hyperlink"/>
          <w:i/>
          <w:color w:val="auto"/>
        </w:rPr>
        <w:t xml:space="preserve">, </w:t>
      </w:r>
      <w:hyperlink r:id="rId22" w:history="1">
        <w:r w:rsidR="00B967FD" w:rsidRPr="009C3E4B">
          <w:rPr>
            <w:rStyle w:val="Hyperlink"/>
            <w:i/>
            <w:color w:val="auto"/>
          </w:rPr>
          <w:t>Job Outlook and the Labour Market Information Portal (LMIP)</w:t>
        </w:r>
      </w:hyperlink>
      <w:r w:rsidRPr="009C3E4B">
        <w:t xml:space="preserve">, ANZSCO ID 1341, </w:t>
      </w:r>
      <w:r w:rsidR="005045E9">
        <w:t>JSA</w:t>
      </w:r>
      <w:r w:rsidRPr="009C3E4B">
        <w:t xml:space="preserve"> Labour Market Insights website, 2022, accessed 24 April 2023; </w:t>
      </w:r>
      <w:r w:rsidR="005045E9">
        <w:t>JSA</w:t>
      </w:r>
      <w:r w:rsidRPr="009C3E4B">
        <w:t xml:space="preserve">, </w:t>
      </w:r>
      <w:hyperlink r:id="rId23" w:history="1">
        <w:r w:rsidRPr="009C3E4B">
          <w:rPr>
            <w:rStyle w:val="Hyperlink"/>
            <w:i/>
            <w:color w:val="auto"/>
          </w:rPr>
          <w:t>Child Carers</w:t>
        </w:r>
      </w:hyperlink>
      <w:r w:rsidRPr="009C3E4B">
        <w:t xml:space="preserve">, ANZSCO ID 4211, </w:t>
      </w:r>
      <w:r w:rsidR="005045E9">
        <w:t>JSA</w:t>
      </w:r>
      <w:r w:rsidRPr="009C3E4B">
        <w:t xml:space="preserve"> Labour Market Insights website, 2021, accessed 24 April 2023; </w:t>
      </w:r>
      <w:r w:rsidR="005045E9">
        <w:t>JSA</w:t>
      </w:r>
      <w:r w:rsidRPr="009C3E4B">
        <w:t xml:space="preserve">, </w:t>
      </w:r>
      <w:hyperlink r:id="rId24" w:history="1">
        <w:r w:rsidRPr="009C3E4B">
          <w:rPr>
            <w:rStyle w:val="Hyperlink"/>
            <w:i/>
            <w:color w:val="auto"/>
          </w:rPr>
          <w:t>Early Childhood (Pre</w:t>
        </w:r>
        <w:r w:rsidR="00300567" w:rsidRPr="009C3E4B">
          <w:rPr>
            <w:rStyle w:val="Hyperlink"/>
            <w:i/>
            <w:color w:val="auto"/>
          </w:rPr>
          <w:noBreakHyphen/>
        </w:r>
        <w:r w:rsidRPr="009C3E4B">
          <w:rPr>
            <w:rStyle w:val="Hyperlink"/>
            <w:i/>
            <w:color w:val="auto"/>
          </w:rPr>
          <w:t>primary School) Teachers</w:t>
        </w:r>
      </w:hyperlink>
      <w:r w:rsidRPr="009C3E4B">
        <w:t xml:space="preserve">, ANZSCO ID 2411, </w:t>
      </w:r>
      <w:r w:rsidR="005045E9">
        <w:t>JSA</w:t>
      </w:r>
      <w:r w:rsidRPr="009C3E4B">
        <w:t xml:space="preserve"> Labour Market Insights website, 2021, accessed 24 April 2023.</w:t>
      </w:r>
    </w:p>
  </w:footnote>
  <w:footnote w:id="22">
    <w:p w14:paraId="2F7DFF7F" w14:textId="49C7DBB8" w:rsidR="007E5289" w:rsidRPr="009C3E4B" w:rsidRDefault="007E5289" w:rsidP="007E5289">
      <w:pPr>
        <w:pStyle w:val="FootnoteText"/>
        <w:rPr>
          <w:sz w:val="16"/>
          <w:szCs w:val="16"/>
        </w:rPr>
      </w:pPr>
      <w:r w:rsidRPr="009C3E4B">
        <w:rPr>
          <w:rStyle w:val="FootnoteReference"/>
          <w:sz w:val="16"/>
          <w:szCs w:val="16"/>
        </w:rPr>
        <w:footnoteRef/>
      </w:r>
      <w:r w:rsidRPr="009C3E4B">
        <w:rPr>
          <w:sz w:val="16"/>
          <w:szCs w:val="16"/>
        </w:rPr>
        <w:t xml:space="preserve"> </w:t>
      </w:r>
      <w:r w:rsidR="004C73F9" w:rsidRPr="009C3E4B">
        <w:rPr>
          <w:sz w:val="16"/>
          <w:szCs w:val="16"/>
        </w:rPr>
        <w:t xml:space="preserve">Australian Children’s Education </w:t>
      </w:r>
      <w:r w:rsidR="00B8256A">
        <w:rPr>
          <w:sz w:val="16"/>
          <w:szCs w:val="16"/>
        </w:rPr>
        <w:t>and</w:t>
      </w:r>
      <w:r w:rsidR="004C73F9" w:rsidRPr="009C3E4B">
        <w:rPr>
          <w:sz w:val="16"/>
          <w:szCs w:val="16"/>
        </w:rPr>
        <w:t xml:space="preserve"> Care Quality Authority (</w:t>
      </w:r>
      <w:r w:rsidRPr="009C3E4B">
        <w:rPr>
          <w:sz w:val="16"/>
          <w:szCs w:val="16"/>
        </w:rPr>
        <w:t>ACECQA</w:t>
      </w:r>
      <w:r w:rsidR="004C73F9" w:rsidRPr="009C3E4B">
        <w:rPr>
          <w:sz w:val="16"/>
          <w:szCs w:val="16"/>
        </w:rPr>
        <w:t>)</w:t>
      </w:r>
      <w:r w:rsidRPr="009C3E4B">
        <w:rPr>
          <w:sz w:val="16"/>
          <w:szCs w:val="16"/>
        </w:rPr>
        <w:t xml:space="preserve">, </w:t>
      </w:r>
      <w:hyperlink r:id="rId25" w:history="1">
        <w:r w:rsidRPr="009C3E4B">
          <w:rPr>
            <w:rStyle w:val="Hyperlink"/>
            <w:i/>
            <w:color w:val="auto"/>
            <w:sz w:val="16"/>
            <w:szCs w:val="16"/>
          </w:rPr>
          <w:t>Progressing a national approach to the children's education and care workforce</w:t>
        </w:r>
        <w:r w:rsidR="008153DA" w:rsidRPr="009C3E4B">
          <w:rPr>
            <w:rStyle w:val="Hyperlink"/>
            <w:i/>
            <w:color w:val="auto"/>
            <w:sz w:val="16"/>
            <w:szCs w:val="16"/>
          </w:rPr>
          <w:t xml:space="preserve"> [PDF</w:t>
        </w:r>
        <w:r w:rsidR="00F5211D" w:rsidRPr="009C3E4B">
          <w:rPr>
            <w:rStyle w:val="Hyperlink"/>
            <w:i/>
            <w:color w:val="auto"/>
            <w:sz w:val="16"/>
            <w:szCs w:val="16"/>
          </w:rPr>
          <w:t xml:space="preserve"> 4.2MB]</w:t>
        </w:r>
      </w:hyperlink>
      <w:r w:rsidRPr="009C3E4B">
        <w:rPr>
          <w:sz w:val="16"/>
          <w:szCs w:val="16"/>
        </w:rPr>
        <w:t xml:space="preserve">, </w:t>
      </w:r>
      <w:r w:rsidR="004C73F9" w:rsidRPr="009C3E4B">
        <w:rPr>
          <w:sz w:val="16"/>
          <w:szCs w:val="16"/>
        </w:rPr>
        <w:t>ACECQA,</w:t>
      </w:r>
      <w:r w:rsidR="00337024" w:rsidRPr="009C3E4B">
        <w:rPr>
          <w:sz w:val="16"/>
          <w:szCs w:val="16"/>
        </w:rPr>
        <w:t xml:space="preserve"> 2019</w:t>
      </w:r>
      <w:r w:rsidR="000219E7">
        <w:rPr>
          <w:sz w:val="16"/>
          <w:szCs w:val="16"/>
        </w:rPr>
        <w:t>,</w:t>
      </w:r>
      <w:r w:rsidR="004C73F9" w:rsidRPr="009C3E4B">
        <w:rPr>
          <w:sz w:val="16"/>
          <w:szCs w:val="16"/>
        </w:rPr>
        <w:t xml:space="preserve"> </w:t>
      </w:r>
      <w:r w:rsidRPr="009C3E4B">
        <w:rPr>
          <w:sz w:val="16"/>
          <w:szCs w:val="16"/>
        </w:rPr>
        <w:t>accessed 8 May 2023</w:t>
      </w:r>
      <w:r w:rsidR="00F5211D" w:rsidRPr="009C3E4B">
        <w:rPr>
          <w:sz w:val="16"/>
          <w:szCs w:val="16"/>
        </w:rPr>
        <w:t xml:space="preserve">. </w:t>
      </w:r>
    </w:p>
  </w:footnote>
  <w:footnote w:id="23">
    <w:p w14:paraId="10756001" w14:textId="77777777" w:rsidR="003C268A" w:rsidRPr="009C3E4B" w:rsidRDefault="003C268A" w:rsidP="003C268A">
      <w:pPr>
        <w:pStyle w:val="SubFootnote"/>
      </w:pPr>
      <w:r w:rsidRPr="009C3E4B">
        <w:rPr>
          <w:rStyle w:val="FootnoteReference"/>
        </w:rPr>
        <w:footnoteRef/>
      </w:r>
      <w:r w:rsidRPr="009C3E4B">
        <w:t xml:space="preserve"> To the extent that it relates to the CCS, Additional Child Care Subsidy, child care providers and child care services.</w:t>
      </w:r>
    </w:p>
  </w:footnote>
  <w:footnote w:id="24">
    <w:p w14:paraId="01F0B51F" w14:textId="7D2CAFBA" w:rsidR="003C268A" w:rsidRPr="009C3E4B" w:rsidRDefault="003C268A" w:rsidP="003C268A">
      <w:pPr>
        <w:pStyle w:val="SubFootnote"/>
      </w:pPr>
      <w:r w:rsidRPr="009C3E4B">
        <w:rPr>
          <w:rStyle w:val="FootnoteReference"/>
        </w:rPr>
        <w:footnoteRef/>
      </w:r>
      <w:r w:rsidRPr="009C3E4B">
        <w:t xml:space="preserve"> </w:t>
      </w:r>
      <w:r w:rsidR="00BE31BF">
        <w:t>Australian Government Department of Education</w:t>
      </w:r>
      <w:r w:rsidR="00F5574A" w:rsidRPr="009C3E4B">
        <w:t xml:space="preserve"> (DoE), </w:t>
      </w:r>
      <w:hyperlink r:id="rId26" w:history="1">
        <w:r w:rsidR="00F5574A" w:rsidRPr="002D08AE">
          <w:rPr>
            <w:rStyle w:val="Hyperlink"/>
            <w:i/>
            <w:color w:val="auto"/>
          </w:rPr>
          <w:t>September quarter 2022 report</w:t>
        </w:r>
      </w:hyperlink>
      <w:r w:rsidR="00F5574A" w:rsidRPr="002D08AE">
        <w:rPr>
          <w:i/>
        </w:rPr>
        <w:t xml:space="preserve">, </w:t>
      </w:r>
      <w:r w:rsidR="00F5574A" w:rsidRPr="002D08AE">
        <w:t>DoE website, 2023, accessed 15 May 2023.</w:t>
      </w:r>
    </w:p>
  </w:footnote>
  <w:footnote w:id="25">
    <w:p w14:paraId="381D79AF" w14:textId="5D49CB99" w:rsidR="00ED06FB" w:rsidRPr="009C3E4B" w:rsidRDefault="00ED06FB" w:rsidP="003C5B21">
      <w:pPr>
        <w:pStyle w:val="SubFootnote"/>
      </w:pPr>
      <w:bookmarkStart w:id="50" w:name="_Hlk135040126"/>
      <w:r w:rsidRPr="009C3E4B">
        <w:rPr>
          <w:rStyle w:val="FootnoteReference"/>
        </w:rPr>
        <w:footnoteRef/>
      </w:r>
      <w:r w:rsidRPr="009C3E4B">
        <w:t xml:space="preserve"> The department forecast that 5.3 per cent of families would access CCS24, which would have been 54,291 families based on the total number of CCS families at the time (1.024 million families). The modelling did not account for behaviour change and included all families that may have received CCS24 for a minimum of one week of the year (e.g. a family who received 36 subsidised hours of care for 51 weeks, but received CCS24 for one week would be included in this figure). Given this approach to the modelling, the figure is not directly comparable to point-in-time administrative data such as the September 2022 quarter data, which only shows CCS24 recipients in that quarter.</w:t>
      </w:r>
      <w:bookmarkEnd w:id="50"/>
    </w:p>
  </w:footnote>
  <w:footnote w:id="26">
    <w:p w14:paraId="40DEA444" w14:textId="60CACF99" w:rsidR="003C268A" w:rsidRPr="009C3E4B" w:rsidRDefault="003C268A" w:rsidP="003C268A">
      <w:pPr>
        <w:pStyle w:val="SubFootnote"/>
      </w:pPr>
      <w:r w:rsidRPr="009C3E4B">
        <w:rPr>
          <w:rStyle w:val="FootnoteReference"/>
        </w:rPr>
        <w:footnoteRef/>
      </w:r>
      <w:r w:rsidRPr="009C3E4B">
        <w:t xml:space="preserve"> Australian Government Department of Education (DoE), </w:t>
      </w:r>
      <w:hyperlink r:id="rId27">
        <w:r w:rsidRPr="009C3E4B">
          <w:rPr>
            <w:rStyle w:val="Hyperlink"/>
            <w:i/>
            <w:color w:val="auto"/>
          </w:rPr>
          <w:t>Child Care Financial Integrity Strategy</w:t>
        </w:r>
      </w:hyperlink>
      <w:r w:rsidRPr="009C3E4B">
        <w:t>, DoE, Australian Government, 2019, accessed 17 April 2023.</w:t>
      </w:r>
    </w:p>
  </w:footnote>
  <w:footnote w:id="27">
    <w:p w14:paraId="38508930" w14:textId="77777777" w:rsidR="003C268A" w:rsidRPr="009C3E4B" w:rsidRDefault="003C268A" w:rsidP="003C268A">
      <w:pPr>
        <w:pStyle w:val="SubFootnote"/>
      </w:pPr>
      <w:r w:rsidRPr="009C3E4B">
        <w:rPr>
          <w:rStyle w:val="FootnoteReference"/>
        </w:rPr>
        <w:footnoteRef/>
      </w:r>
      <w:r w:rsidRPr="009C3E4B">
        <w:t xml:space="preserve"> Parliament of Australia, </w:t>
      </w:r>
      <w:hyperlink r:id="rId28" w:history="1">
        <w:r w:rsidRPr="009C3E4B">
          <w:rPr>
            <w:rStyle w:val="Hyperlink"/>
            <w:i/>
            <w:color w:val="auto"/>
          </w:rPr>
          <w:t>Education, Skills and Employment Portfolio</w:t>
        </w:r>
      </w:hyperlink>
      <w:r w:rsidRPr="009C3E4B">
        <w:t>, Portfolio Budget Statements 2022–23: Budget Related Paper No. 1.4, Australian Government, 2022, accessed 17 April 2023.</w:t>
      </w:r>
    </w:p>
  </w:footnote>
  <w:footnote w:id="28">
    <w:p w14:paraId="04ABD108" w14:textId="5F8B1984" w:rsidR="003C268A" w:rsidRPr="009C3E4B" w:rsidRDefault="003C268A" w:rsidP="003C268A">
      <w:pPr>
        <w:pStyle w:val="SubFootnote"/>
      </w:pPr>
      <w:r w:rsidRPr="009C3E4B">
        <w:rPr>
          <w:rStyle w:val="FootnoteReference"/>
        </w:rPr>
        <w:footnoteRef/>
      </w:r>
      <w:r w:rsidRPr="009C3E4B">
        <w:t xml:space="preserve"> Australian Government Department of Education, Skills and Employment (DESE), </w:t>
      </w:r>
      <w:hyperlink r:id="rId29">
        <w:r w:rsidRPr="009C3E4B">
          <w:rPr>
            <w:rStyle w:val="Hyperlink"/>
            <w:i/>
            <w:color w:val="auto"/>
          </w:rPr>
          <w:t>Department of Education, Skills and Employment Annual Report 2021–2022</w:t>
        </w:r>
      </w:hyperlink>
      <w:r w:rsidRPr="009C3E4B">
        <w:t>, DESE, Australian Government, 2022, accessed 17 April 2023.</w:t>
      </w:r>
    </w:p>
  </w:footnote>
  <w:footnote w:id="29">
    <w:p w14:paraId="4E7EC42C" w14:textId="2B8E904C" w:rsidR="003C268A" w:rsidRPr="009C3E4B" w:rsidRDefault="003C268A" w:rsidP="003C268A">
      <w:pPr>
        <w:pStyle w:val="SubFootnote"/>
      </w:pPr>
      <w:r w:rsidRPr="009C3E4B">
        <w:rPr>
          <w:rStyle w:val="FootnoteReference"/>
        </w:rPr>
        <w:footnoteRef/>
      </w:r>
      <w:r w:rsidRPr="009C3E4B">
        <w:t xml:space="preserve"> In 2022, there were 12,999 service providers delivering a preschool program to children aged 3 to 6 years and 284,000 children</w:t>
      </w:r>
      <w:r w:rsidR="001B23CB">
        <w:t xml:space="preserve"> enrolled</w:t>
      </w:r>
      <w:r w:rsidRPr="009C3E4B">
        <w:t xml:space="preserve"> in the state-specific year before school. </w:t>
      </w:r>
      <w:r w:rsidR="003C1DD2" w:rsidRPr="009C3E4B">
        <w:t>Australian Bureau of Statistics (</w:t>
      </w:r>
      <w:r w:rsidRPr="009C3E4B">
        <w:t>ABS</w:t>
      </w:r>
      <w:r w:rsidR="003C1DD2" w:rsidRPr="009C3E4B">
        <w:t>)</w:t>
      </w:r>
      <w:r w:rsidRPr="009C3E4B">
        <w:t xml:space="preserve">, </w:t>
      </w:r>
      <w:hyperlink r:id="rId30" w:history="1">
        <w:r w:rsidRPr="009C3E4B">
          <w:rPr>
            <w:rStyle w:val="Hyperlink"/>
            <w:i/>
            <w:color w:val="auto"/>
          </w:rPr>
          <w:t>Preschool Education, Australia</w:t>
        </w:r>
      </w:hyperlink>
      <w:r w:rsidRPr="009C3E4B">
        <w:t>, ABS website, 2022, accessed 20 April 2023.</w:t>
      </w:r>
    </w:p>
  </w:footnote>
  <w:footnote w:id="30">
    <w:p w14:paraId="7038A286" w14:textId="77777777" w:rsidR="003C268A" w:rsidRPr="009C3E4B" w:rsidRDefault="003C268A" w:rsidP="003C268A">
      <w:pPr>
        <w:pStyle w:val="SubFootnote"/>
      </w:pPr>
      <w:r w:rsidRPr="009C3E4B">
        <w:rPr>
          <w:rStyle w:val="FootnoteReference"/>
        </w:rPr>
        <w:footnoteRef/>
      </w:r>
      <w:r w:rsidRPr="009C3E4B">
        <w:t xml:space="preserve"> See: federalfinancialrelations.gov.au/agreements/preschool-reform-agreement.</w:t>
      </w:r>
    </w:p>
  </w:footnote>
  <w:footnote w:id="31">
    <w:p w14:paraId="2EB6EC9D" w14:textId="33C5B582" w:rsidR="003C268A" w:rsidRPr="009C3E4B" w:rsidRDefault="003C268A" w:rsidP="003C268A">
      <w:pPr>
        <w:pStyle w:val="SubFootnote"/>
      </w:pPr>
      <w:r w:rsidRPr="009C3E4B">
        <w:rPr>
          <w:rStyle w:val="FootnoteReference"/>
        </w:rPr>
        <w:footnoteRef/>
      </w:r>
      <w:r w:rsidRPr="009C3E4B">
        <w:t xml:space="preserve"> Parliament of Australia, </w:t>
      </w:r>
      <w:hyperlink r:id="rId31" w:history="1">
        <w:r w:rsidRPr="009C3E4B">
          <w:rPr>
            <w:rStyle w:val="Hyperlink"/>
            <w:i/>
            <w:color w:val="auto"/>
          </w:rPr>
          <w:t>Budget: October 2022–23</w:t>
        </w:r>
        <w:r w:rsidRPr="009C3E4B">
          <w:rPr>
            <w:rStyle w:val="Hyperlink"/>
          </w:rPr>
          <w:t>,</w:t>
        </w:r>
      </w:hyperlink>
      <w:r w:rsidRPr="009C3E4B">
        <w:t xml:space="preserve"> Budget Paper No. 2</w:t>
      </w:r>
      <w:r w:rsidRPr="009C3E4B">
        <w:rPr>
          <w:i/>
          <w:iCs/>
        </w:rPr>
        <w:t>,</w:t>
      </w:r>
      <w:r w:rsidRPr="009C3E4B">
        <w:t xml:space="preserve"> Australian Government, 2022.</w:t>
      </w:r>
    </w:p>
  </w:footnote>
  <w:footnote w:id="32">
    <w:p w14:paraId="3AA009B1" w14:textId="174283DC" w:rsidR="003C268A" w:rsidRPr="009C3E4B" w:rsidRDefault="003C268A" w:rsidP="003C268A">
      <w:pPr>
        <w:pStyle w:val="SubFootnote"/>
        <w:rPr>
          <w:lang w:val="en-US"/>
        </w:rPr>
      </w:pPr>
      <w:r w:rsidRPr="009C3E4B">
        <w:rPr>
          <w:rStyle w:val="FootnoteReference"/>
        </w:rPr>
        <w:footnoteRef/>
      </w:r>
      <w:r w:rsidR="00445C23">
        <w:t xml:space="preserve"> Australian Government</w:t>
      </w:r>
      <w:r w:rsidRPr="009C3E4B">
        <w:t xml:space="preserve"> Productivity Commission</w:t>
      </w:r>
      <w:r w:rsidR="00D33990" w:rsidRPr="009C3E4B">
        <w:t xml:space="preserve"> (PC)</w:t>
      </w:r>
      <w:r w:rsidRPr="009C3E4B">
        <w:t xml:space="preserve">, </w:t>
      </w:r>
      <w:hyperlink r:id="rId32" w:history="1">
        <w:r w:rsidRPr="009C3E4B">
          <w:rPr>
            <w:rStyle w:val="Hyperlink"/>
            <w:i/>
            <w:color w:val="auto"/>
          </w:rPr>
          <w:t>Closing the Gap Information Repository</w:t>
        </w:r>
      </w:hyperlink>
      <w:r w:rsidRPr="009C3E4B">
        <w:t xml:space="preserve">, </w:t>
      </w:r>
      <w:r w:rsidR="00D33990" w:rsidRPr="009C3E4B">
        <w:t>PC</w:t>
      </w:r>
      <w:r w:rsidRPr="009C3E4B">
        <w:t xml:space="preserve"> website, 2023, accessed 11 April 2023. Target 3 is on track to be met. </w:t>
      </w:r>
      <w:r w:rsidRPr="009C3E4B">
        <w:rPr>
          <w:lang w:val="en-US"/>
        </w:rPr>
        <w:t>Nationally in 2021, 96.7 per cent of First Nations children in the Year Before Full-time School age cohort were enrolled in a preschool program</w:t>
      </w:r>
      <w:r w:rsidR="007722DC">
        <w:rPr>
          <w:lang w:val="en-US"/>
        </w:rPr>
        <w:t>—</w:t>
      </w:r>
      <w:r w:rsidRPr="009C3E4B">
        <w:rPr>
          <w:lang w:val="en-US"/>
        </w:rPr>
        <w:t>an increase from 76.7 per cent in 2016 (the baseline year). A new Target 3</w:t>
      </w:r>
      <w:r w:rsidR="00DB5CBD">
        <w:rPr>
          <w:lang w:val="en-US"/>
        </w:rPr>
        <w:t>,</w:t>
      </w:r>
      <w:r w:rsidRPr="009C3E4B">
        <w:rPr>
          <w:lang w:val="en-US"/>
        </w:rPr>
        <w:t xml:space="preserve"> focused on enrolment and attendance</w:t>
      </w:r>
      <w:r w:rsidR="00DB5CBD">
        <w:rPr>
          <w:lang w:val="en-US"/>
        </w:rPr>
        <w:t>,</w:t>
      </w:r>
      <w:r w:rsidRPr="009C3E4B">
        <w:rPr>
          <w:lang w:val="en-US"/>
        </w:rPr>
        <w:t xml:space="preserve"> will be developed by 2025 to refresh this measurement.</w:t>
      </w:r>
    </w:p>
  </w:footnote>
  <w:footnote w:id="33">
    <w:p w14:paraId="28A0B028" w14:textId="2438DC60" w:rsidR="003C268A" w:rsidRPr="009C3E4B" w:rsidRDefault="003C268A" w:rsidP="003C268A">
      <w:pPr>
        <w:pStyle w:val="SubFootnote"/>
      </w:pPr>
      <w:r w:rsidRPr="009C3E4B">
        <w:rPr>
          <w:rStyle w:val="FootnoteReference"/>
        </w:rPr>
        <w:footnoteRef/>
      </w:r>
      <w:r w:rsidRPr="009C3E4B">
        <w:t xml:space="preserve"> </w:t>
      </w:r>
      <w:r w:rsidR="00D33990" w:rsidRPr="009C3E4B">
        <w:t>PC</w:t>
      </w:r>
      <w:r w:rsidRPr="009C3E4B">
        <w:t xml:space="preserve">, </w:t>
      </w:r>
      <w:r w:rsidRPr="009C3E4B">
        <w:rPr>
          <w:i/>
          <w:iCs/>
        </w:rPr>
        <w:t>Closing the Gap Information Repository</w:t>
      </w:r>
      <w:r w:rsidRPr="009C3E4B">
        <w:t>. Progress on achieving Target 4 declined in 2021</w:t>
      </w:r>
      <w:r w:rsidR="001D0E84">
        <w:t>. T</w:t>
      </w:r>
      <w:r w:rsidRPr="009C3E4B">
        <w:t>he proportion of First Nations children who were assessed as developmentally on track when they began school declin</w:t>
      </w:r>
      <w:r w:rsidR="001D0E84">
        <w:t>ed</w:t>
      </w:r>
      <w:r w:rsidRPr="009C3E4B">
        <w:t xml:space="preserve"> from 35.2 per cent in 2018 to 34.3 per cent in 2021. A similar decline can be observed when measuring all children, where the percentage of children who were assessed as developmentally on track also decreased from 55.4 per cent in 2018 to 54.8 per cent in 2021. Factors such as the impacts of COVID-19, as well as increased family stress, may have contributed to these results.</w:t>
      </w:r>
    </w:p>
  </w:footnote>
  <w:footnote w:id="34">
    <w:p w14:paraId="4541CF9F" w14:textId="77777777" w:rsidR="003C268A" w:rsidRPr="009C3E4B" w:rsidRDefault="003C268A" w:rsidP="003C268A">
      <w:pPr>
        <w:pStyle w:val="SubFootnote"/>
      </w:pPr>
      <w:r w:rsidRPr="009C3E4B">
        <w:rPr>
          <w:rStyle w:val="FootnoteReference"/>
        </w:rPr>
        <w:footnoteRef/>
      </w:r>
      <w:r w:rsidRPr="009C3E4B">
        <w:t xml:space="preserve"> Interim Economic Inclusion Advisory Committee, </w:t>
      </w:r>
      <w:hyperlink r:id="rId33">
        <w:r w:rsidRPr="009C3E4B">
          <w:rPr>
            <w:rStyle w:val="Hyperlink"/>
            <w:i/>
            <w:color w:val="auto"/>
          </w:rPr>
          <w:t xml:space="preserve">2023–24 Report to the Australian Government </w:t>
        </w:r>
        <w:r w:rsidRPr="009C3E4B">
          <w:rPr>
            <w:rStyle w:val="Hyperlink"/>
            <w:color w:val="auto"/>
          </w:rPr>
          <w:t>[PDF 1.5MB]</w:t>
        </w:r>
      </w:hyperlink>
      <w:r w:rsidRPr="009C3E4B">
        <w:t xml:space="preserve">, Australian Government, 2023, accessed 1 May 2023; Women’s Economic Equality Taskforce, </w:t>
      </w:r>
      <w:hyperlink r:id="rId34">
        <w:r w:rsidRPr="009C3E4B">
          <w:rPr>
            <w:rStyle w:val="Hyperlink"/>
            <w:color w:val="auto"/>
          </w:rPr>
          <w:t>‘Letter to Senator the Hon. Katy Gallagher re: Women's Economic Equality Taskforce advice for May 2023 Budget’</w:t>
        </w:r>
      </w:hyperlink>
      <w:r w:rsidRPr="009C3E4B">
        <w:t>, 2023, accessed 1 May 2023.</w:t>
      </w:r>
    </w:p>
  </w:footnote>
  <w:footnote w:id="35">
    <w:p w14:paraId="08C6D72A" w14:textId="2EC98577" w:rsidR="003C268A" w:rsidRPr="009C3E4B" w:rsidRDefault="003C268A" w:rsidP="003C268A">
      <w:pPr>
        <w:pStyle w:val="SubFootnote"/>
      </w:pPr>
      <w:r w:rsidRPr="009C3E4B">
        <w:rPr>
          <w:rStyle w:val="FootnoteReference"/>
        </w:rPr>
        <w:footnoteRef/>
      </w:r>
      <w:r w:rsidRPr="009C3E4B">
        <w:t xml:space="preserve"> Australian Government Productivity Commission (PC), </w:t>
      </w:r>
      <w:hyperlink r:id="rId35" w:history="1">
        <w:r w:rsidRPr="009C3E4B">
          <w:rPr>
            <w:rStyle w:val="Hyperlink"/>
            <w:i/>
            <w:color w:val="auto"/>
          </w:rPr>
          <w:t>Productivity Commission Inquiry Report – Overview and Recommendations</w:t>
        </w:r>
      </w:hyperlink>
      <w:r w:rsidRPr="009C3E4B">
        <w:t>, PC, Australian Government, 2014, accessed 1 May 2023.</w:t>
      </w:r>
    </w:p>
  </w:footnote>
  <w:footnote w:id="36">
    <w:p w14:paraId="5C0A7990" w14:textId="5DDEDDD1" w:rsidR="003C268A" w:rsidRPr="009C3E4B" w:rsidRDefault="003C268A" w:rsidP="003C268A">
      <w:pPr>
        <w:pStyle w:val="SubFootnote"/>
        <w:rPr>
          <w:rFonts w:asciiTheme="minorHAnsi" w:eastAsiaTheme="minorEastAsia" w:hAnsiTheme="minorHAnsi" w:cstheme="minorBidi"/>
          <w:color w:val="313131"/>
        </w:rPr>
      </w:pPr>
      <w:r w:rsidRPr="009C3E4B">
        <w:rPr>
          <w:rStyle w:val="FootnoteReference"/>
        </w:rPr>
        <w:footnoteRef/>
      </w:r>
      <w:r w:rsidRPr="009C3E4B">
        <w:t xml:space="preserve"> S Kennedy, </w:t>
      </w:r>
      <w:hyperlink r:id="rId36" w:anchor="_ftn14" w:history="1">
        <w:r w:rsidRPr="009C3E4B">
          <w:rPr>
            <w:rStyle w:val="Hyperlink"/>
            <w:color w:val="auto"/>
          </w:rPr>
          <w:t>‘Employment White Paper – incentives for secondary earners and income support recipients’</w:t>
        </w:r>
      </w:hyperlink>
      <w:r w:rsidRPr="009C3E4B">
        <w:t xml:space="preserve">, Address to the Policy Research Conference, 2023, Australian Government Treasury </w:t>
      </w:r>
      <w:r w:rsidR="00340AAF" w:rsidRPr="009C3E4B">
        <w:t>(Treasury)</w:t>
      </w:r>
      <w:r w:rsidRPr="009C3E4B">
        <w:t xml:space="preserve"> website, accessed 1 May 2023</w:t>
      </w:r>
      <w:r w:rsidRPr="00AB6441">
        <w:rPr>
          <w:rFonts w:asciiTheme="minorHAnsi" w:eastAsiaTheme="minorEastAsia" w:hAnsiTheme="minorHAnsi" w:cstheme="minorBidi"/>
          <w:color w:val="313131"/>
        </w:rPr>
        <w:t>.</w:t>
      </w:r>
    </w:p>
  </w:footnote>
  <w:footnote w:id="37">
    <w:p w14:paraId="18E67510" w14:textId="307C3F6C" w:rsidR="003C268A" w:rsidRPr="009C3E4B" w:rsidRDefault="003C268A" w:rsidP="003C268A">
      <w:pPr>
        <w:pStyle w:val="SubFootnote"/>
        <w:rPr>
          <w:rFonts w:eastAsia="Calibri Light"/>
          <w:color w:val="000000" w:themeColor="text1"/>
        </w:rPr>
      </w:pPr>
      <w:r w:rsidRPr="009C3E4B">
        <w:rPr>
          <w:rStyle w:val="FootnoteReference"/>
        </w:rPr>
        <w:footnoteRef/>
      </w:r>
      <w:r w:rsidRPr="009C3E4B">
        <w:t xml:space="preserve"> Education Services Australia (ESA), </w:t>
      </w:r>
      <w:hyperlink r:id="rId37" w:history="1">
        <w:r w:rsidRPr="009C3E4B">
          <w:rPr>
            <w:rStyle w:val="Hyperlink"/>
            <w:i/>
            <w:color w:val="auto"/>
          </w:rPr>
          <w:t>Shaping Our Future</w:t>
        </w:r>
      </w:hyperlink>
      <w:r w:rsidRPr="009C3E4B">
        <w:t>, ESA, Australian Government, 2021, accessed 2 May 2023.</w:t>
      </w:r>
    </w:p>
  </w:footnote>
  <w:footnote w:id="38">
    <w:p w14:paraId="76D68D6F" w14:textId="5224BB63" w:rsidR="004D62DD" w:rsidRPr="00702FDB" w:rsidRDefault="004D62DD" w:rsidP="009F6DBE">
      <w:pPr>
        <w:pStyle w:val="SubFootnote"/>
      </w:pPr>
      <w:r w:rsidRPr="00D26CF1">
        <w:rPr>
          <w:rStyle w:val="FootnoteReference"/>
        </w:rPr>
        <w:footnoteRef/>
      </w:r>
      <w:r w:rsidRPr="00D26CF1">
        <w:t xml:space="preserve"> </w:t>
      </w:r>
      <w:r w:rsidR="00BE31BF" w:rsidRPr="009C3E4B">
        <w:t xml:space="preserve">Australian Children’s Education </w:t>
      </w:r>
      <w:r w:rsidR="00BE31BF">
        <w:t>and</w:t>
      </w:r>
      <w:r w:rsidR="00BE31BF" w:rsidRPr="009C3E4B">
        <w:t xml:space="preserve"> Care Quality Authority (</w:t>
      </w:r>
      <w:r w:rsidR="00702FDB" w:rsidRPr="00D26CF1">
        <w:t>ACECQA</w:t>
      </w:r>
      <w:r w:rsidR="00BE31BF">
        <w:t>)</w:t>
      </w:r>
      <w:r w:rsidR="00702FDB" w:rsidRPr="00D26CF1">
        <w:t xml:space="preserve">, </w:t>
      </w:r>
      <w:hyperlink r:id="rId38" w:history="1">
        <w:r w:rsidR="00702FDB" w:rsidRPr="00D26CF1">
          <w:rPr>
            <w:rStyle w:val="Hyperlink"/>
            <w:i/>
            <w:iCs/>
            <w:color w:val="auto"/>
          </w:rPr>
          <w:t>Quality ratings by socio-economic status of areas</w:t>
        </w:r>
      </w:hyperlink>
      <w:r w:rsidR="00702FDB" w:rsidRPr="00D26CF1">
        <w:t>, ACECQA</w:t>
      </w:r>
      <w:r w:rsidR="00702FDB">
        <w:t xml:space="preserve">, </w:t>
      </w:r>
      <w:r w:rsidR="009F6DBE">
        <w:t>2020, accessed 10 May 2023</w:t>
      </w:r>
      <w:r w:rsidR="00D26CF1">
        <w:t>.</w:t>
      </w:r>
    </w:p>
  </w:footnote>
  <w:footnote w:id="39">
    <w:p w14:paraId="5C25A1EE" w14:textId="78AF789E" w:rsidR="003C268A" w:rsidRPr="009C3E4B" w:rsidRDefault="003C268A" w:rsidP="003C268A">
      <w:pPr>
        <w:pStyle w:val="SubFootnote"/>
      </w:pPr>
      <w:r w:rsidRPr="009C3E4B">
        <w:rPr>
          <w:rStyle w:val="FootnoteReference"/>
        </w:rPr>
        <w:footnoteRef/>
      </w:r>
      <w:r w:rsidRPr="009C3E4B">
        <w:t xml:space="preserve"> SNAICC, </w:t>
      </w:r>
      <w:hyperlink r:id="rId39" w:history="1">
        <w:r w:rsidRPr="009C3E4B">
          <w:rPr>
            <w:rStyle w:val="Hyperlink"/>
            <w:i/>
            <w:color w:val="auto"/>
          </w:rPr>
          <w:t>SNAICC Submission to the House of Representatives Standing Committee on Employment, Education and Training</w:t>
        </w:r>
      </w:hyperlink>
      <w:r w:rsidRPr="009C3E4B">
        <w:t>, SNAICC, 2020, accessed 2 May 2023.</w:t>
      </w:r>
    </w:p>
  </w:footnote>
  <w:footnote w:id="40">
    <w:p w14:paraId="2AC20D5D" w14:textId="55678772" w:rsidR="003C268A" w:rsidRPr="009C3E4B" w:rsidRDefault="003C268A" w:rsidP="003C268A">
      <w:pPr>
        <w:pStyle w:val="SubFootnote"/>
      </w:pPr>
      <w:r w:rsidRPr="009C3E4B">
        <w:rPr>
          <w:rStyle w:val="FootnoteReference"/>
        </w:rPr>
        <w:footnoteRef/>
      </w:r>
      <w:r w:rsidRPr="009C3E4B">
        <w:t xml:space="preserve"> Australian Government Australian Institute of Family Studies (AIFS), </w:t>
      </w:r>
      <w:hyperlink r:id="rId40" w:history="1">
        <w:r w:rsidR="00745C22" w:rsidRPr="009C3E4B">
          <w:rPr>
            <w:rStyle w:val="Hyperlink"/>
            <w:i/>
            <w:color w:val="auto"/>
          </w:rPr>
          <w:t>Child Care Package Evaluation: Final Report</w:t>
        </w:r>
      </w:hyperlink>
      <w:r w:rsidR="00745C22" w:rsidRPr="009C3E4B">
        <w:t>, AIFS, Australian Government</w:t>
      </w:r>
      <w:r w:rsidRPr="009C3E4B">
        <w:t>, 2022, accessed 2 May 2023.</w:t>
      </w:r>
    </w:p>
  </w:footnote>
  <w:footnote w:id="41">
    <w:p w14:paraId="5DC3DA90" w14:textId="176F6BE4" w:rsidR="0043008D" w:rsidRPr="00135312" w:rsidRDefault="0043008D" w:rsidP="003B23BC">
      <w:pPr>
        <w:pStyle w:val="SubFootnote"/>
      </w:pPr>
      <w:r>
        <w:rPr>
          <w:rStyle w:val="FootnoteReference"/>
        </w:rPr>
        <w:footnoteRef/>
      </w:r>
      <w:r>
        <w:t xml:space="preserve"> </w:t>
      </w:r>
      <w:r w:rsidR="00135312">
        <w:t xml:space="preserve">AIFS, </w:t>
      </w:r>
      <w:r w:rsidR="00135312" w:rsidRPr="003B23BC">
        <w:rPr>
          <w:i/>
          <w:iCs/>
        </w:rPr>
        <w:t>Child Care Package Evaluation</w:t>
      </w:r>
      <w:r w:rsidR="00135312">
        <w:t>.</w:t>
      </w:r>
    </w:p>
  </w:footnote>
  <w:footnote w:id="42">
    <w:p w14:paraId="718783D2" w14:textId="71C9E352" w:rsidR="003C268A" w:rsidRPr="009C3E4B" w:rsidRDefault="003C268A" w:rsidP="003C268A">
      <w:pPr>
        <w:pStyle w:val="SubFootnote"/>
      </w:pPr>
      <w:r w:rsidRPr="009C3E4B">
        <w:rPr>
          <w:rStyle w:val="FootnoteReference"/>
        </w:rPr>
        <w:footnoteRef/>
      </w:r>
      <w:r w:rsidRPr="009C3E4B">
        <w:t xml:space="preserve"> ACECQA, </w:t>
      </w:r>
      <w:hyperlink r:id="rId41">
        <w:r w:rsidRPr="009C3E4B">
          <w:rPr>
            <w:rStyle w:val="Hyperlink"/>
            <w:i/>
            <w:color w:val="auto"/>
          </w:rPr>
          <w:t>Consultation on a Ten Year National Children’s Education and Care Workforce Strategy (2021–30)</w:t>
        </w:r>
      </w:hyperlink>
      <w:r w:rsidRPr="009C3E4B">
        <w:t>, ACECQA, 2021, accessed 24 April 2023.</w:t>
      </w:r>
    </w:p>
  </w:footnote>
  <w:footnote w:id="43">
    <w:p w14:paraId="76D903BA" w14:textId="77777777" w:rsidR="003C268A" w:rsidRPr="009C3E4B" w:rsidRDefault="003C268A" w:rsidP="003C268A">
      <w:pPr>
        <w:pStyle w:val="SubFootnote"/>
      </w:pPr>
      <w:r w:rsidRPr="009C3E4B">
        <w:rPr>
          <w:rStyle w:val="FootnoteReference"/>
        </w:rPr>
        <w:footnoteRef/>
      </w:r>
      <w:r w:rsidRPr="009C3E4B">
        <w:t xml:space="preserve"> Australian Government Jobs and Skills Australia (JSA), </w:t>
      </w:r>
      <w:hyperlink r:id="rId42">
        <w:r w:rsidRPr="009C3E4B">
          <w:rPr>
            <w:rStyle w:val="Hyperlink"/>
            <w:i/>
            <w:color w:val="auto"/>
          </w:rPr>
          <w:t>Labour Market Update</w:t>
        </w:r>
      </w:hyperlink>
      <w:r w:rsidRPr="009C3E4B">
        <w:t>, JSA, Australian Government, 2023, accessed 27 April 2023.</w:t>
      </w:r>
    </w:p>
  </w:footnote>
  <w:footnote w:id="44">
    <w:p w14:paraId="7E70DAE5" w14:textId="77777777" w:rsidR="003C268A" w:rsidRPr="009C3E4B" w:rsidRDefault="003C268A" w:rsidP="003C268A">
      <w:pPr>
        <w:pStyle w:val="SubFootnote"/>
        <w:rPr>
          <w:i/>
          <w:iCs/>
        </w:rPr>
      </w:pPr>
      <w:r w:rsidRPr="009C3E4B">
        <w:rPr>
          <w:rStyle w:val="FootnoteReference"/>
        </w:rPr>
        <w:footnoteRef/>
      </w:r>
      <w:r w:rsidRPr="009C3E4B">
        <w:t xml:space="preserve"> ACECQA, </w:t>
      </w:r>
      <w:r w:rsidRPr="009C3E4B">
        <w:rPr>
          <w:i/>
          <w:iCs/>
        </w:rPr>
        <w:t>Consultation on a Ten Year National Children’s Education and Care Workforce Strategy.</w:t>
      </w:r>
    </w:p>
  </w:footnote>
  <w:footnote w:id="45">
    <w:p w14:paraId="4A8A8BC9" w14:textId="77777777" w:rsidR="003C268A" w:rsidRPr="009C3E4B" w:rsidRDefault="003C268A" w:rsidP="003C268A">
      <w:pPr>
        <w:pStyle w:val="SubFootnote"/>
      </w:pPr>
      <w:r w:rsidRPr="009C3E4B">
        <w:rPr>
          <w:rStyle w:val="FootnoteReference"/>
        </w:rPr>
        <w:footnoteRef/>
      </w:r>
      <w:r w:rsidRPr="009C3E4B">
        <w:t xml:space="preserve"> Australian Government National Skills Commission (NSC), </w:t>
      </w:r>
      <w:hyperlink r:id="rId43">
        <w:r w:rsidRPr="009C3E4B">
          <w:rPr>
            <w:rStyle w:val="Hyperlink"/>
            <w:i/>
            <w:color w:val="auto"/>
          </w:rPr>
          <w:t>Skills Priority List</w:t>
        </w:r>
      </w:hyperlink>
      <w:r w:rsidRPr="009C3E4B">
        <w:t>, NSC website, Australian Government, 2022, accessed 27 April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65136" w14:textId="77777777" w:rsidR="00871BFF" w:rsidRDefault="00871B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595F6" w14:textId="77777777" w:rsidR="00871BFF" w:rsidRDefault="00871B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F38DC" w14:textId="77777777" w:rsidR="00871BFF" w:rsidRDefault="00871B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22EAD2EC"/>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4244B43C"/>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D7601552"/>
    <w:lvl w:ilvl="0">
      <w:start w:val="1"/>
      <w:numFmt w:val="decimal"/>
      <w:pStyle w:val="ListNumber2"/>
      <w:lvlText w:val="%1."/>
      <w:lvlJc w:val="left"/>
      <w:pPr>
        <w:tabs>
          <w:tab w:val="num" w:pos="643"/>
        </w:tabs>
        <w:ind w:left="643" w:hanging="360"/>
      </w:pPr>
    </w:lvl>
  </w:abstractNum>
  <w:abstractNum w:abstractNumId="3" w15:restartNumberingAfterBreak="0">
    <w:nsid w:val="FFFFFF81"/>
    <w:multiLevelType w:val="singleLevel"/>
    <w:tmpl w:val="CA884E8E"/>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23803C24"/>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7A8A603E"/>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2BC44ED0"/>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69E60614"/>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6325763"/>
    <w:multiLevelType w:val="hybridMultilevel"/>
    <w:tmpl w:val="88FCC764"/>
    <w:lvl w:ilvl="0" w:tplc="C13A56B0">
      <w:start w:val="1"/>
      <w:numFmt w:val="bullet"/>
      <w:lvlText w:val=""/>
      <w:lvlJc w:val="left"/>
      <w:pPr>
        <w:ind w:left="1440" w:hanging="360"/>
      </w:pPr>
      <w:rPr>
        <w:rFonts w:ascii="Symbol" w:hAnsi="Symbol"/>
      </w:rPr>
    </w:lvl>
    <w:lvl w:ilvl="1" w:tplc="393E6F0E">
      <w:start w:val="1"/>
      <w:numFmt w:val="bullet"/>
      <w:lvlText w:val=""/>
      <w:lvlJc w:val="left"/>
      <w:pPr>
        <w:ind w:left="1440" w:hanging="360"/>
      </w:pPr>
      <w:rPr>
        <w:rFonts w:ascii="Symbol" w:hAnsi="Symbol"/>
      </w:rPr>
    </w:lvl>
    <w:lvl w:ilvl="2" w:tplc="04326126">
      <w:start w:val="1"/>
      <w:numFmt w:val="bullet"/>
      <w:lvlText w:val=""/>
      <w:lvlJc w:val="left"/>
      <w:pPr>
        <w:ind w:left="1440" w:hanging="360"/>
      </w:pPr>
      <w:rPr>
        <w:rFonts w:ascii="Symbol" w:hAnsi="Symbol"/>
      </w:rPr>
    </w:lvl>
    <w:lvl w:ilvl="3" w:tplc="6F78C506">
      <w:start w:val="1"/>
      <w:numFmt w:val="bullet"/>
      <w:lvlText w:val=""/>
      <w:lvlJc w:val="left"/>
      <w:pPr>
        <w:ind w:left="1440" w:hanging="360"/>
      </w:pPr>
      <w:rPr>
        <w:rFonts w:ascii="Symbol" w:hAnsi="Symbol"/>
      </w:rPr>
    </w:lvl>
    <w:lvl w:ilvl="4" w:tplc="1554A188">
      <w:start w:val="1"/>
      <w:numFmt w:val="bullet"/>
      <w:lvlText w:val=""/>
      <w:lvlJc w:val="left"/>
      <w:pPr>
        <w:ind w:left="1440" w:hanging="360"/>
      </w:pPr>
      <w:rPr>
        <w:rFonts w:ascii="Symbol" w:hAnsi="Symbol"/>
      </w:rPr>
    </w:lvl>
    <w:lvl w:ilvl="5" w:tplc="88AEEBA8">
      <w:start w:val="1"/>
      <w:numFmt w:val="bullet"/>
      <w:lvlText w:val=""/>
      <w:lvlJc w:val="left"/>
      <w:pPr>
        <w:ind w:left="1440" w:hanging="360"/>
      </w:pPr>
      <w:rPr>
        <w:rFonts w:ascii="Symbol" w:hAnsi="Symbol"/>
      </w:rPr>
    </w:lvl>
    <w:lvl w:ilvl="6" w:tplc="2B9E9634">
      <w:start w:val="1"/>
      <w:numFmt w:val="bullet"/>
      <w:lvlText w:val=""/>
      <w:lvlJc w:val="left"/>
      <w:pPr>
        <w:ind w:left="1440" w:hanging="360"/>
      </w:pPr>
      <w:rPr>
        <w:rFonts w:ascii="Symbol" w:hAnsi="Symbol"/>
      </w:rPr>
    </w:lvl>
    <w:lvl w:ilvl="7" w:tplc="D7A8D6F8">
      <w:start w:val="1"/>
      <w:numFmt w:val="bullet"/>
      <w:lvlText w:val=""/>
      <w:lvlJc w:val="left"/>
      <w:pPr>
        <w:ind w:left="1440" w:hanging="360"/>
      </w:pPr>
      <w:rPr>
        <w:rFonts w:ascii="Symbol" w:hAnsi="Symbol"/>
      </w:rPr>
    </w:lvl>
    <w:lvl w:ilvl="8" w:tplc="8B04A4A8">
      <w:start w:val="1"/>
      <w:numFmt w:val="bullet"/>
      <w:lvlText w:val=""/>
      <w:lvlJc w:val="left"/>
      <w:pPr>
        <w:ind w:left="1440" w:hanging="360"/>
      </w:pPr>
      <w:rPr>
        <w:rFonts w:ascii="Symbol" w:hAnsi="Symbol"/>
      </w:rPr>
    </w:lvl>
  </w:abstractNum>
  <w:abstractNum w:abstractNumId="9" w15:restartNumberingAfterBreak="0">
    <w:nsid w:val="065171D1"/>
    <w:multiLevelType w:val="hybridMultilevel"/>
    <w:tmpl w:val="74CE74AC"/>
    <w:lvl w:ilvl="0" w:tplc="4B14A9D0">
      <w:start w:val="1"/>
      <w:numFmt w:val="bullet"/>
      <w:lvlText w:val=""/>
      <w:lvlJc w:val="left"/>
      <w:pPr>
        <w:ind w:left="1440" w:hanging="360"/>
      </w:pPr>
      <w:rPr>
        <w:rFonts w:ascii="Symbol" w:hAnsi="Symbol"/>
      </w:rPr>
    </w:lvl>
    <w:lvl w:ilvl="1" w:tplc="2E0012CA">
      <w:start w:val="1"/>
      <w:numFmt w:val="bullet"/>
      <w:lvlText w:val=""/>
      <w:lvlJc w:val="left"/>
      <w:pPr>
        <w:ind w:left="1440" w:hanging="360"/>
      </w:pPr>
      <w:rPr>
        <w:rFonts w:ascii="Symbol" w:hAnsi="Symbol"/>
      </w:rPr>
    </w:lvl>
    <w:lvl w:ilvl="2" w:tplc="2272BF06">
      <w:start w:val="1"/>
      <w:numFmt w:val="bullet"/>
      <w:lvlText w:val=""/>
      <w:lvlJc w:val="left"/>
      <w:pPr>
        <w:ind w:left="1440" w:hanging="360"/>
      </w:pPr>
      <w:rPr>
        <w:rFonts w:ascii="Symbol" w:hAnsi="Symbol"/>
      </w:rPr>
    </w:lvl>
    <w:lvl w:ilvl="3" w:tplc="C4462F58">
      <w:start w:val="1"/>
      <w:numFmt w:val="bullet"/>
      <w:lvlText w:val=""/>
      <w:lvlJc w:val="left"/>
      <w:pPr>
        <w:ind w:left="1440" w:hanging="360"/>
      </w:pPr>
      <w:rPr>
        <w:rFonts w:ascii="Symbol" w:hAnsi="Symbol"/>
      </w:rPr>
    </w:lvl>
    <w:lvl w:ilvl="4" w:tplc="A7B09E42">
      <w:start w:val="1"/>
      <w:numFmt w:val="bullet"/>
      <w:lvlText w:val=""/>
      <w:lvlJc w:val="left"/>
      <w:pPr>
        <w:ind w:left="1440" w:hanging="360"/>
      </w:pPr>
      <w:rPr>
        <w:rFonts w:ascii="Symbol" w:hAnsi="Symbol"/>
      </w:rPr>
    </w:lvl>
    <w:lvl w:ilvl="5" w:tplc="D684FCAA">
      <w:start w:val="1"/>
      <w:numFmt w:val="bullet"/>
      <w:lvlText w:val=""/>
      <w:lvlJc w:val="left"/>
      <w:pPr>
        <w:ind w:left="1440" w:hanging="360"/>
      </w:pPr>
      <w:rPr>
        <w:rFonts w:ascii="Symbol" w:hAnsi="Symbol"/>
      </w:rPr>
    </w:lvl>
    <w:lvl w:ilvl="6" w:tplc="91F282B6">
      <w:start w:val="1"/>
      <w:numFmt w:val="bullet"/>
      <w:lvlText w:val=""/>
      <w:lvlJc w:val="left"/>
      <w:pPr>
        <w:ind w:left="1440" w:hanging="360"/>
      </w:pPr>
      <w:rPr>
        <w:rFonts w:ascii="Symbol" w:hAnsi="Symbol"/>
      </w:rPr>
    </w:lvl>
    <w:lvl w:ilvl="7" w:tplc="F432DB90">
      <w:start w:val="1"/>
      <w:numFmt w:val="bullet"/>
      <w:lvlText w:val=""/>
      <w:lvlJc w:val="left"/>
      <w:pPr>
        <w:ind w:left="1440" w:hanging="360"/>
      </w:pPr>
      <w:rPr>
        <w:rFonts w:ascii="Symbol" w:hAnsi="Symbol"/>
      </w:rPr>
    </w:lvl>
    <w:lvl w:ilvl="8" w:tplc="C9AC6248">
      <w:start w:val="1"/>
      <w:numFmt w:val="bullet"/>
      <w:lvlText w:val=""/>
      <w:lvlJc w:val="left"/>
      <w:pPr>
        <w:ind w:left="1440" w:hanging="360"/>
      </w:pPr>
      <w:rPr>
        <w:rFonts w:ascii="Symbol" w:hAnsi="Symbol"/>
      </w:rPr>
    </w:lvl>
  </w:abstractNum>
  <w:abstractNum w:abstractNumId="10"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CEC77A0"/>
    <w:multiLevelType w:val="hybridMultilevel"/>
    <w:tmpl w:val="E99A4094"/>
    <w:name w:val="EDU - Bullet List2"/>
    <w:lvl w:ilvl="0" w:tplc="034CB666">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2" w15:restartNumberingAfterBreak="0">
    <w:nsid w:val="18FF1AB7"/>
    <w:multiLevelType w:val="multilevel"/>
    <w:tmpl w:val="4F68E302"/>
    <w:name w:val="EDU - Bullet List"/>
    <w:lvl w:ilvl="0">
      <w:start w:val="1"/>
      <w:numFmt w:val="bullet"/>
      <w:lvlText w:val=""/>
      <w:lvlJc w:val="left"/>
      <w:pPr>
        <w:ind w:left="360" w:hanging="360"/>
      </w:pPr>
      <w:rPr>
        <w:rFonts w:ascii="Symbol" w:hAnsi="Symbol" w:hint="default"/>
      </w:rPr>
    </w:lvl>
    <w:lvl w:ilvl="1">
      <w:start w:val="1"/>
      <w:numFmt w:val="none"/>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DC55326"/>
    <w:multiLevelType w:val="hybridMultilevel"/>
    <w:tmpl w:val="A9BE70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4F6E64"/>
    <w:multiLevelType w:val="hybridMultilevel"/>
    <w:tmpl w:val="5D54F4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646829"/>
    <w:multiLevelType w:val="multilevel"/>
    <w:tmpl w:val="74B00926"/>
    <w:name w:val="EDU - List Number"/>
    <w:lvl w:ilvl="0">
      <w:start w:val="1"/>
      <w:numFmt w:val="decimal"/>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814" w:hanging="850"/>
      </w:pPr>
      <w:rPr>
        <w:rFonts w:hint="default"/>
      </w:rPr>
    </w:lvl>
    <w:lvl w:ilvl="3">
      <w:start w:val="1"/>
      <w:numFmt w:val="decimal"/>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EDA01F3"/>
    <w:multiLevelType w:val="hybridMultilevel"/>
    <w:tmpl w:val="EB2A2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DD330A"/>
    <w:multiLevelType w:val="hybridMultilevel"/>
    <w:tmpl w:val="A6A0F2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39F37BC"/>
    <w:multiLevelType w:val="hybridMultilevel"/>
    <w:tmpl w:val="F148F49E"/>
    <w:lvl w:ilvl="0" w:tplc="127C7726">
      <w:start w:val="1"/>
      <w:numFmt w:val="bullet"/>
      <w:pStyle w:val="Sub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1332A94"/>
    <w:multiLevelType w:val="multilevel"/>
    <w:tmpl w:val="C19622A8"/>
    <w:lvl w:ilvl="0">
      <w:start w:val="1"/>
      <w:numFmt w:val="decimal"/>
      <w:pStyle w:val="SubChapterheading"/>
      <w:suff w:val="space"/>
      <w:lvlText w:val="%1."/>
      <w:lvlJc w:val="left"/>
      <w:pPr>
        <w:ind w:left="0" w:firstLine="0"/>
      </w:pPr>
      <w:rPr>
        <w:rFonts w:hint="default"/>
      </w:rPr>
    </w:lvl>
    <w:lvl w:ilvl="1">
      <w:start w:val="1"/>
      <w:numFmt w:val="decimal"/>
      <w:lvlRestart w:val="0"/>
      <w:pStyle w:val="SubSectionHeading"/>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53C7C0F"/>
    <w:multiLevelType w:val="hybridMultilevel"/>
    <w:tmpl w:val="15B66220"/>
    <w:lvl w:ilvl="0" w:tplc="E872DEF2">
      <w:start w:val="1"/>
      <w:numFmt w:val="decimal"/>
      <w:pStyle w:val="SubNumberedList"/>
      <w:lvlText w:val="%1."/>
      <w:lvlJc w:val="left"/>
      <w:pPr>
        <w:ind w:left="720" w:hanging="360"/>
      </w:pPr>
      <w:rPr>
        <w:sz w:val="22"/>
        <w:szCs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3A3173E"/>
    <w:multiLevelType w:val="hybridMultilevel"/>
    <w:tmpl w:val="A5E4CC6E"/>
    <w:name w:val="EDU - Bullet List22"/>
    <w:lvl w:ilvl="0" w:tplc="F260E872">
      <w:start w:val="1"/>
      <w:numFmt w:val="bullet"/>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4" w15:restartNumberingAfterBreak="0">
    <w:nsid w:val="768A67C7"/>
    <w:multiLevelType w:val="multilevel"/>
    <w:tmpl w:val="3E164E0A"/>
    <w:lvl w:ilvl="0">
      <w:start w:val="5"/>
      <w:numFmt w:val="decimal"/>
      <w:suff w:val="space"/>
      <w:lvlText w:val="%1."/>
      <w:lvlJc w:val="left"/>
      <w:pPr>
        <w:ind w:left="0" w:firstLine="0"/>
      </w:pPr>
      <w:rPr>
        <w:rFonts w:hint="default"/>
        <w:color w:val="FF0000"/>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6B315E8"/>
    <w:multiLevelType w:val="hybridMultilevel"/>
    <w:tmpl w:val="32344C88"/>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06499642">
    <w:abstractNumId w:val="5"/>
  </w:num>
  <w:num w:numId="2" w16cid:durableId="335114958">
    <w:abstractNumId w:val="4"/>
  </w:num>
  <w:num w:numId="3" w16cid:durableId="672342037">
    <w:abstractNumId w:val="3"/>
  </w:num>
  <w:num w:numId="4" w16cid:durableId="1970477964">
    <w:abstractNumId w:val="2"/>
  </w:num>
  <w:num w:numId="5" w16cid:durableId="132605758">
    <w:abstractNumId w:val="1"/>
  </w:num>
  <w:num w:numId="6" w16cid:durableId="296035208">
    <w:abstractNumId w:val="0"/>
  </w:num>
  <w:num w:numId="7" w16cid:durableId="215899708">
    <w:abstractNumId w:val="7"/>
  </w:num>
  <w:num w:numId="8" w16cid:durableId="960958028">
    <w:abstractNumId w:val="20"/>
  </w:num>
  <w:num w:numId="9" w16cid:durableId="1538422545">
    <w:abstractNumId w:val="6"/>
  </w:num>
  <w:num w:numId="10" w16cid:durableId="318659917">
    <w:abstractNumId w:val="22"/>
  </w:num>
  <w:num w:numId="11" w16cid:durableId="833569608">
    <w:abstractNumId w:val="19"/>
  </w:num>
  <w:num w:numId="12" w16cid:durableId="1553344409">
    <w:abstractNumId w:val="21"/>
  </w:num>
  <w:num w:numId="13" w16cid:durableId="85421453">
    <w:abstractNumId w:val="21"/>
  </w:num>
  <w:num w:numId="14" w16cid:durableId="371421581">
    <w:abstractNumId w:val="24"/>
  </w:num>
  <w:num w:numId="15" w16cid:durableId="79835275">
    <w:abstractNumId w:val="17"/>
  </w:num>
  <w:num w:numId="16" w16cid:durableId="609898432">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78683064">
    <w:abstractNumId w:val="11"/>
  </w:num>
  <w:num w:numId="18" w16cid:durableId="3036590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2975925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78389437">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01864760">
    <w:abstractNumId w:val="18"/>
  </w:num>
  <w:num w:numId="22" w16cid:durableId="147480052">
    <w:abstractNumId w:val="14"/>
  </w:num>
  <w:num w:numId="23" w16cid:durableId="1458454888">
    <w:abstractNumId w:val="25"/>
  </w:num>
  <w:num w:numId="24" w16cid:durableId="1541240837">
    <w:abstractNumId w:val="13"/>
  </w:num>
  <w:num w:numId="25" w16cid:durableId="22487813">
    <w:abstractNumId w:val="9"/>
  </w:num>
  <w:num w:numId="26" w16cid:durableId="593247527">
    <w:abstractNumId w:val="8"/>
  </w:num>
  <w:num w:numId="27" w16cid:durableId="1146698937">
    <w:abstractNumId w:val="21"/>
  </w:num>
  <w:num w:numId="28" w16cid:durableId="1698844993">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6EC"/>
    <w:rsid w:val="00000B0F"/>
    <w:rsid w:val="00000C07"/>
    <w:rsid w:val="00000F0E"/>
    <w:rsid w:val="00000FB8"/>
    <w:rsid w:val="00001A8C"/>
    <w:rsid w:val="00001B00"/>
    <w:rsid w:val="00002915"/>
    <w:rsid w:val="0000364F"/>
    <w:rsid w:val="00003689"/>
    <w:rsid w:val="0000392C"/>
    <w:rsid w:val="00003E88"/>
    <w:rsid w:val="00004200"/>
    <w:rsid w:val="00004505"/>
    <w:rsid w:val="00004E4A"/>
    <w:rsid w:val="000056B7"/>
    <w:rsid w:val="00005BDC"/>
    <w:rsid w:val="00005FEB"/>
    <w:rsid w:val="000061B1"/>
    <w:rsid w:val="00006247"/>
    <w:rsid w:val="00006A73"/>
    <w:rsid w:val="00006C78"/>
    <w:rsid w:val="00007A7E"/>
    <w:rsid w:val="00011179"/>
    <w:rsid w:val="00011FA0"/>
    <w:rsid w:val="00012108"/>
    <w:rsid w:val="0001232B"/>
    <w:rsid w:val="00012366"/>
    <w:rsid w:val="00012C60"/>
    <w:rsid w:val="00013A27"/>
    <w:rsid w:val="00013C7D"/>
    <w:rsid w:val="0001412F"/>
    <w:rsid w:val="000145BF"/>
    <w:rsid w:val="000145FA"/>
    <w:rsid w:val="00014694"/>
    <w:rsid w:val="00014A23"/>
    <w:rsid w:val="00014B28"/>
    <w:rsid w:val="00014F33"/>
    <w:rsid w:val="000155EB"/>
    <w:rsid w:val="00015C53"/>
    <w:rsid w:val="00015ED9"/>
    <w:rsid w:val="00015FE2"/>
    <w:rsid w:val="00016CA1"/>
    <w:rsid w:val="000170BD"/>
    <w:rsid w:val="00017B46"/>
    <w:rsid w:val="0002006C"/>
    <w:rsid w:val="00020799"/>
    <w:rsid w:val="00020902"/>
    <w:rsid w:val="00021155"/>
    <w:rsid w:val="00021197"/>
    <w:rsid w:val="0002134A"/>
    <w:rsid w:val="000219E7"/>
    <w:rsid w:val="00021D45"/>
    <w:rsid w:val="00021EE9"/>
    <w:rsid w:val="00021FBE"/>
    <w:rsid w:val="00022200"/>
    <w:rsid w:val="000224A4"/>
    <w:rsid w:val="0002325D"/>
    <w:rsid w:val="0002347E"/>
    <w:rsid w:val="000245AE"/>
    <w:rsid w:val="00024746"/>
    <w:rsid w:val="0002498D"/>
    <w:rsid w:val="000249C1"/>
    <w:rsid w:val="00024B9F"/>
    <w:rsid w:val="00024CCC"/>
    <w:rsid w:val="0002527A"/>
    <w:rsid w:val="000256A5"/>
    <w:rsid w:val="00025C7F"/>
    <w:rsid w:val="00026AB6"/>
    <w:rsid w:val="00026D64"/>
    <w:rsid w:val="00027B04"/>
    <w:rsid w:val="00027E55"/>
    <w:rsid w:val="0002CA39"/>
    <w:rsid w:val="000302FB"/>
    <w:rsid w:val="00030A41"/>
    <w:rsid w:val="00030D66"/>
    <w:rsid w:val="00031AB3"/>
    <w:rsid w:val="000324F6"/>
    <w:rsid w:val="0003284A"/>
    <w:rsid w:val="00032880"/>
    <w:rsid w:val="00032AE7"/>
    <w:rsid w:val="00032BE7"/>
    <w:rsid w:val="00032F72"/>
    <w:rsid w:val="00033299"/>
    <w:rsid w:val="000332D2"/>
    <w:rsid w:val="00033F36"/>
    <w:rsid w:val="00034896"/>
    <w:rsid w:val="00034CBC"/>
    <w:rsid w:val="0003501E"/>
    <w:rsid w:val="00035428"/>
    <w:rsid w:val="00035CB8"/>
    <w:rsid w:val="00035E78"/>
    <w:rsid w:val="0003613B"/>
    <w:rsid w:val="00036C4C"/>
    <w:rsid w:val="00037150"/>
    <w:rsid w:val="00037179"/>
    <w:rsid w:val="000375EE"/>
    <w:rsid w:val="00037891"/>
    <w:rsid w:val="00037BA0"/>
    <w:rsid w:val="00037C30"/>
    <w:rsid w:val="00040446"/>
    <w:rsid w:val="0004053D"/>
    <w:rsid w:val="000407EB"/>
    <w:rsid w:val="00041EF1"/>
    <w:rsid w:val="00042913"/>
    <w:rsid w:val="00042D1F"/>
    <w:rsid w:val="000430D6"/>
    <w:rsid w:val="00043454"/>
    <w:rsid w:val="000437C6"/>
    <w:rsid w:val="00043BDF"/>
    <w:rsid w:val="00043C40"/>
    <w:rsid w:val="00044665"/>
    <w:rsid w:val="00044FAE"/>
    <w:rsid w:val="00044FCE"/>
    <w:rsid w:val="00044FFE"/>
    <w:rsid w:val="00045F23"/>
    <w:rsid w:val="00045FD8"/>
    <w:rsid w:val="00047401"/>
    <w:rsid w:val="0004786F"/>
    <w:rsid w:val="00047993"/>
    <w:rsid w:val="00047998"/>
    <w:rsid w:val="00047B6C"/>
    <w:rsid w:val="00047D6C"/>
    <w:rsid w:val="000500AE"/>
    <w:rsid w:val="000503C6"/>
    <w:rsid w:val="00051F17"/>
    <w:rsid w:val="000521D7"/>
    <w:rsid w:val="000522CD"/>
    <w:rsid w:val="00052324"/>
    <w:rsid w:val="00052557"/>
    <w:rsid w:val="00052798"/>
    <w:rsid w:val="00052A17"/>
    <w:rsid w:val="00052E9A"/>
    <w:rsid w:val="00053067"/>
    <w:rsid w:val="0005351C"/>
    <w:rsid w:val="00053868"/>
    <w:rsid w:val="00053B8A"/>
    <w:rsid w:val="000540D1"/>
    <w:rsid w:val="000541ED"/>
    <w:rsid w:val="00054473"/>
    <w:rsid w:val="00054743"/>
    <w:rsid w:val="00054A81"/>
    <w:rsid w:val="000551CE"/>
    <w:rsid w:val="00055396"/>
    <w:rsid w:val="00055465"/>
    <w:rsid w:val="000556C2"/>
    <w:rsid w:val="0005581A"/>
    <w:rsid w:val="00055F8E"/>
    <w:rsid w:val="00056012"/>
    <w:rsid w:val="00056167"/>
    <w:rsid w:val="00056756"/>
    <w:rsid w:val="00056AF6"/>
    <w:rsid w:val="00057290"/>
    <w:rsid w:val="000573B1"/>
    <w:rsid w:val="000576E9"/>
    <w:rsid w:val="0005778A"/>
    <w:rsid w:val="000579D7"/>
    <w:rsid w:val="00057D18"/>
    <w:rsid w:val="00057F86"/>
    <w:rsid w:val="0006005B"/>
    <w:rsid w:val="0006087F"/>
    <w:rsid w:val="00061323"/>
    <w:rsid w:val="000613BB"/>
    <w:rsid w:val="000613FE"/>
    <w:rsid w:val="000616E7"/>
    <w:rsid w:val="0006185E"/>
    <w:rsid w:val="00061C31"/>
    <w:rsid w:val="00061C7F"/>
    <w:rsid w:val="00061EA0"/>
    <w:rsid w:val="0006200F"/>
    <w:rsid w:val="000622C1"/>
    <w:rsid w:val="00062AB3"/>
    <w:rsid w:val="000633B8"/>
    <w:rsid w:val="00063D7A"/>
    <w:rsid w:val="000647B8"/>
    <w:rsid w:val="00064B82"/>
    <w:rsid w:val="00064BF3"/>
    <w:rsid w:val="00064DDA"/>
    <w:rsid w:val="00065044"/>
    <w:rsid w:val="00065273"/>
    <w:rsid w:val="00065301"/>
    <w:rsid w:val="000654B3"/>
    <w:rsid w:val="00065803"/>
    <w:rsid w:val="00066159"/>
    <w:rsid w:val="00066501"/>
    <w:rsid w:val="00067164"/>
    <w:rsid w:val="00067F80"/>
    <w:rsid w:val="00067FDE"/>
    <w:rsid w:val="000709BF"/>
    <w:rsid w:val="00070A9E"/>
    <w:rsid w:val="00071116"/>
    <w:rsid w:val="000711AF"/>
    <w:rsid w:val="00071B1E"/>
    <w:rsid w:val="00071C28"/>
    <w:rsid w:val="00071D8B"/>
    <w:rsid w:val="0007209C"/>
    <w:rsid w:val="00072898"/>
    <w:rsid w:val="00072BA2"/>
    <w:rsid w:val="000735B4"/>
    <w:rsid w:val="0007366E"/>
    <w:rsid w:val="000738DC"/>
    <w:rsid w:val="00073B94"/>
    <w:rsid w:val="000742E2"/>
    <w:rsid w:val="00074553"/>
    <w:rsid w:val="00074B7D"/>
    <w:rsid w:val="00075044"/>
    <w:rsid w:val="0007575D"/>
    <w:rsid w:val="00075916"/>
    <w:rsid w:val="00075BCA"/>
    <w:rsid w:val="00075FED"/>
    <w:rsid w:val="0007602A"/>
    <w:rsid w:val="00076924"/>
    <w:rsid w:val="00076CCD"/>
    <w:rsid w:val="00076E7C"/>
    <w:rsid w:val="00076FFC"/>
    <w:rsid w:val="000773A2"/>
    <w:rsid w:val="0007771A"/>
    <w:rsid w:val="0007782C"/>
    <w:rsid w:val="0007783C"/>
    <w:rsid w:val="0007A28F"/>
    <w:rsid w:val="000804E9"/>
    <w:rsid w:val="00080898"/>
    <w:rsid w:val="0008101E"/>
    <w:rsid w:val="000816DB"/>
    <w:rsid w:val="00081A56"/>
    <w:rsid w:val="00082148"/>
    <w:rsid w:val="00082834"/>
    <w:rsid w:val="00082B4F"/>
    <w:rsid w:val="00082B75"/>
    <w:rsid w:val="000831D7"/>
    <w:rsid w:val="00083547"/>
    <w:rsid w:val="00083CB2"/>
    <w:rsid w:val="00083D41"/>
    <w:rsid w:val="000846BC"/>
    <w:rsid w:val="000848AF"/>
    <w:rsid w:val="00084C15"/>
    <w:rsid w:val="00085324"/>
    <w:rsid w:val="0008617F"/>
    <w:rsid w:val="00086362"/>
    <w:rsid w:val="00086ADD"/>
    <w:rsid w:val="00087111"/>
    <w:rsid w:val="00087224"/>
    <w:rsid w:val="00087357"/>
    <w:rsid w:val="000875D1"/>
    <w:rsid w:val="00087A91"/>
    <w:rsid w:val="00087BD0"/>
    <w:rsid w:val="00087BE5"/>
    <w:rsid w:val="00087DA3"/>
    <w:rsid w:val="00087EAE"/>
    <w:rsid w:val="0008B20E"/>
    <w:rsid w:val="000901E5"/>
    <w:rsid w:val="000903F5"/>
    <w:rsid w:val="00090A01"/>
    <w:rsid w:val="00090E16"/>
    <w:rsid w:val="00090F18"/>
    <w:rsid w:val="0009128A"/>
    <w:rsid w:val="000912C9"/>
    <w:rsid w:val="00091481"/>
    <w:rsid w:val="000922E0"/>
    <w:rsid w:val="00092441"/>
    <w:rsid w:val="000926FD"/>
    <w:rsid w:val="00092AC5"/>
    <w:rsid w:val="00092AE0"/>
    <w:rsid w:val="000930A4"/>
    <w:rsid w:val="0009332C"/>
    <w:rsid w:val="00093414"/>
    <w:rsid w:val="00093610"/>
    <w:rsid w:val="00093717"/>
    <w:rsid w:val="00094688"/>
    <w:rsid w:val="0009472D"/>
    <w:rsid w:val="00094E47"/>
    <w:rsid w:val="00095455"/>
    <w:rsid w:val="00095855"/>
    <w:rsid w:val="00095AC4"/>
    <w:rsid w:val="00095E08"/>
    <w:rsid w:val="00096397"/>
    <w:rsid w:val="000963AF"/>
    <w:rsid w:val="0009662C"/>
    <w:rsid w:val="00096771"/>
    <w:rsid w:val="000976BB"/>
    <w:rsid w:val="00097766"/>
    <w:rsid w:val="000A0B58"/>
    <w:rsid w:val="000A13DF"/>
    <w:rsid w:val="000A14B7"/>
    <w:rsid w:val="000A1D7C"/>
    <w:rsid w:val="000A2213"/>
    <w:rsid w:val="000A25F4"/>
    <w:rsid w:val="000A2804"/>
    <w:rsid w:val="000A2A8C"/>
    <w:rsid w:val="000A2CD3"/>
    <w:rsid w:val="000A2DED"/>
    <w:rsid w:val="000A3455"/>
    <w:rsid w:val="000A4256"/>
    <w:rsid w:val="000A4518"/>
    <w:rsid w:val="000A467F"/>
    <w:rsid w:val="000A4937"/>
    <w:rsid w:val="000A61AB"/>
    <w:rsid w:val="000A6228"/>
    <w:rsid w:val="000A6795"/>
    <w:rsid w:val="000A6DC8"/>
    <w:rsid w:val="000A7111"/>
    <w:rsid w:val="000A7835"/>
    <w:rsid w:val="000A7F98"/>
    <w:rsid w:val="000B0216"/>
    <w:rsid w:val="000B04C1"/>
    <w:rsid w:val="000B0600"/>
    <w:rsid w:val="000B07EB"/>
    <w:rsid w:val="000B0B96"/>
    <w:rsid w:val="000B17EE"/>
    <w:rsid w:val="000B1C6A"/>
    <w:rsid w:val="000B215C"/>
    <w:rsid w:val="000B22A4"/>
    <w:rsid w:val="000B2388"/>
    <w:rsid w:val="000B35EE"/>
    <w:rsid w:val="000B3858"/>
    <w:rsid w:val="000B3D3E"/>
    <w:rsid w:val="000B3E9B"/>
    <w:rsid w:val="000B42CD"/>
    <w:rsid w:val="000B4B9A"/>
    <w:rsid w:val="000B4B9B"/>
    <w:rsid w:val="000B4CF4"/>
    <w:rsid w:val="000B521A"/>
    <w:rsid w:val="000B5770"/>
    <w:rsid w:val="000B5B79"/>
    <w:rsid w:val="000B5D40"/>
    <w:rsid w:val="000B6643"/>
    <w:rsid w:val="000B73ED"/>
    <w:rsid w:val="000B7B8C"/>
    <w:rsid w:val="000B7EC6"/>
    <w:rsid w:val="000C03C9"/>
    <w:rsid w:val="000C0721"/>
    <w:rsid w:val="000C07C4"/>
    <w:rsid w:val="000C0B83"/>
    <w:rsid w:val="000C0E33"/>
    <w:rsid w:val="000C170F"/>
    <w:rsid w:val="000C17C4"/>
    <w:rsid w:val="000C1B6D"/>
    <w:rsid w:val="000C1B86"/>
    <w:rsid w:val="000C1EEA"/>
    <w:rsid w:val="000C264A"/>
    <w:rsid w:val="000C3456"/>
    <w:rsid w:val="000C37AB"/>
    <w:rsid w:val="000C3874"/>
    <w:rsid w:val="000C3BF0"/>
    <w:rsid w:val="000C48F9"/>
    <w:rsid w:val="000C542D"/>
    <w:rsid w:val="000C5534"/>
    <w:rsid w:val="000C55CA"/>
    <w:rsid w:val="000C598C"/>
    <w:rsid w:val="000C60D4"/>
    <w:rsid w:val="000C68F6"/>
    <w:rsid w:val="000C6E2D"/>
    <w:rsid w:val="000C6FE2"/>
    <w:rsid w:val="000C765D"/>
    <w:rsid w:val="000C7882"/>
    <w:rsid w:val="000C7B35"/>
    <w:rsid w:val="000C7BBA"/>
    <w:rsid w:val="000C7D93"/>
    <w:rsid w:val="000D049E"/>
    <w:rsid w:val="000D0922"/>
    <w:rsid w:val="000D0A25"/>
    <w:rsid w:val="000D0F10"/>
    <w:rsid w:val="000D1111"/>
    <w:rsid w:val="000D15D4"/>
    <w:rsid w:val="000D161D"/>
    <w:rsid w:val="000D166B"/>
    <w:rsid w:val="000D17E3"/>
    <w:rsid w:val="000D2032"/>
    <w:rsid w:val="000D2686"/>
    <w:rsid w:val="000D2C38"/>
    <w:rsid w:val="000D2D7A"/>
    <w:rsid w:val="000D30B4"/>
    <w:rsid w:val="000D3596"/>
    <w:rsid w:val="000D40D1"/>
    <w:rsid w:val="000D4367"/>
    <w:rsid w:val="000D454F"/>
    <w:rsid w:val="000D47EE"/>
    <w:rsid w:val="000D4883"/>
    <w:rsid w:val="000D4C25"/>
    <w:rsid w:val="000D4D67"/>
    <w:rsid w:val="000D4FCE"/>
    <w:rsid w:val="000D51B2"/>
    <w:rsid w:val="000D54A3"/>
    <w:rsid w:val="000D55B6"/>
    <w:rsid w:val="000D55F8"/>
    <w:rsid w:val="000D57EC"/>
    <w:rsid w:val="000D5950"/>
    <w:rsid w:val="000D5983"/>
    <w:rsid w:val="000D5FDD"/>
    <w:rsid w:val="000D6197"/>
    <w:rsid w:val="000D62FC"/>
    <w:rsid w:val="000D6352"/>
    <w:rsid w:val="000D6BC8"/>
    <w:rsid w:val="000D795D"/>
    <w:rsid w:val="000D7F85"/>
    <w:rsid w:val="000E0194"/>
    <w:rsid w:val="000E038A"/>
    <w:rsid w:val="000E06C7"/>
    <w:rsid w:val="000E0BB5"/>
    <w:rsid w:val="000E0F4B"/>
    <w:rsid w:val="000E2236"/>
    <w:rsid w:val="000E2486"/>
    <w:rsid w:val="000E263E"/>
    <w:rsid w:val="000E28BB"/>
    <w:rsid w:val="000E28CA"/>
    <w:rsid w:val="000E2D5A"/>
    <w:rsid w:val="000E3418"/>
    <w:rsid w:val="000E398C"/>
    <w:rsid w:val="000E3F1B"/>
    <w:rsid w:val="000E426B"/>
    <w:rsid w:val="000E45E2"/>
    <w:rsid w:val="000E4DFE"/>
    <w:rsid w:val="000E4EE4"/>
    <w:rsid w:val="000E50D1"/>
    <w:rsid w:val="000E5790"/>
    <w:rsid w:val="000E5F0C"/>
    <w:rsid w:val="000E6162"/>
    <w:rsid w:val="000E6547"/>
    <w:rsid w:val="000E7150"/>
    <w:rsid w:val="000E7B12"/>
    <w:rsid w:val="000E7C63"/>
    <w:rsid w:val="000E7DBA"/>
    <w:rsid w:val="000E7E14"/>
    <w:rsid w:val="000F04F6"/>
    <w:rsid w:val="000F05DF"/>
    <w:rsid w:val="000F08C5"/>
    <w:rsid w:val="000F0974"/>
    <w:rsid w:val="000F0C69"/>
    <w:rsid w:val="000F0FDB"/>
    <w:rsid w:val="000F1017"/>
    <w:rsid w:val="000F10ED"/>
    <w:rsid w:val="000F11CF"/>
    <w:rsid w:val="000F142E"/>
    <w:rsid w:val="000F1579"/>
    <w:rsid w:val="000F29CB"/>
    <w:rsid w:val="000F2C98"/>
    <w:rsid w:val="000F3116"/>
    <w:rsid w:val="000F3356"/>
    <w:rsid w:val="000F3E7E"/>
    <w:rsid w:val="000F454E"/>
    <w:rsid w:val="000F45CD"/>
    <w:rsid w:val="000F46F5"/>
    <w:rsid w:val="000F519A"/>
    <w:rsid w:val="000F5808"/>
    <w:rsid w:val="000F5841"/>
    <w:rsid w:val="000F5881"/>
    <w:rsid w:val="000F5EEF"/>
    <w:rsid w:val="000F7550"/>
    <w:rsid w:val="000F7D55"/>
    <w:rsid w:val="00100199"/>
    <w:rsid w:val="001002D4"/>
    <w:rsid w:val="001002E1"/>
    <w:rsid w:val="001003B8"/>
    <w:rsid w:val="0010059A"/>
    <w:rsid w:val="00100C47"/>
    <w:rsid w:val="00101191"/>
    <w:rsid w:val="001015FD"/>
    <w:rsid w:val="001018D7"/>
    <w:rsid w:val="00101C7B"/>
    <w:rsid w:val="001022C8"/>
    <w:rsid w:val="00102379"/>
    <w:rsid w:val="00103733"/>
    <w:rsid w:val="00104310"/>
    <w:rsid w:val="0010560B"/>
    <w:rsid w:val="001056F6"/>
    <w:rsid w:val="00105C8D"/>
    <w:rsid w:val="00105FAE"/>
    <w:rsid w:val="00105FF9"/>
    <w:rsid w:val="001060AB"/>
    <w:rsid w:val="001061CB"/>
    <w:rsid w:val="001062DC"/>
    <w:rsid w:val="001068EF"/>
    <w:rsid w:val="0010717A"/>
    <w:rsid w:val="001075A0"/>
    <w:rsid w:val="0010762B"/>
    <w:rsid w:val="0010792F"/>
    <w:rsid w:val="00107BE6"/>
    <w:rsid w:val="00107D87"/>
    <w:rsid w:val="00107DD5"/>
    <w:rsid w:val="00110A0B"/>
    <w:rsid w:val="001118ED"/>
    <w:rsid w:val="00111A14"/>
    <w:rsid w:val="00112301"/>
    <w:rsid w:val="0011258B"/>
    <w:rsid w:val="0011292C"/>
    <w:rsid w:val="00112BDC"/>
    <w:rsid w:val="00113420"/>
    <w:rsid w:val="00113428"/>
    <w:rsid w:val="00113D69"/>
    <w:rsid w:val="001140EB"/>
    <w:rsid w:val="001141AE"/>
    <w:rsid w:val="001148C4"/>
    <w:rsid w:val="00114929"/>
    <w:rsid w:val="00114A16"/>
    <w:rsid w:val="00114FEE"/>
    <w:rsid w:val="001156AE"/>
    <w:rsid w:val="001157A8"/>
    <w:rsid w:val="00115E31"/>
    <w:rsid w:val="00116654"/>
    <w:rsid w:val="00116F15"/>
    <w:rsid w:val="00117506"/>
    <w:rsid w:val="00117655"/>
    <w:rsid w:val="001177AE"/>
    <w:rsid w:val="001177F1"/>
    <w:rsid w:val="00117ADE"/>
    <w:rsid w:val="00121031"/>
    <w:rsid w:val="00121046"/>
    <w:rsid w:val="00121511"/>
    <w:rsid w:val="00121AC6"/>
    <w:rsid w:val="00121BB0"/>
    <w:rsid w:val="00121C15"/>
    <w:rsid w:val="00121DA6"/>
    <w:rsid w:val="001220B0"/>
    <w:rsid w:val="001222A8"/>
    <w:rsid w:val="00122322"/>
    <w:rsid w:val="0012238B"/>
    <w:rsid w:val="00122B57"/>
    <w:rsid w:val="00122BF8"/>
    <w:rsid w:val="00122EA9"/>
    <w:rsid w:val="001232FD"/>
    <w:rsid w:val="001233E6"/>
    <w:rsid w:val="0012343A"/>
    <w:rsid w:val="00123833"/>
    <w:rsid w:val="00124685"/>
    <w:rsid w:val="00124741"/>
    <w:rsid w:val="001248D2"/>
    <w:rsid w:val="00125609"/>
    <w:rsid w:val="001268FD"/>
    <w:rsid w:val="001269AA"/>
    <w:rsid w:val="00127142"/>
    <w:rsid w:val="001302D2"/>
    <w:rsid w:val="001304A4"/>
    <w:rsid w:val="00130893"/>
    <w:rsid w:val="00130E58"/>
    <w:rsid w:val="00130F01"/>
    <w:rsid w:val="0013127A"/>
    <w:rsid w:val="001314B7"/>
    <w:rsid w:val="0013150F"/>
    <w:rsid w:val="0013185A"/>
    <w:rsid w:val="00131A9D"/>
    <w:rsid w:val="00131B2B"/>
    <w:rsid w:val="0013298F"/>
    <w:rsid w:val="00132B95"/>
    <w:rsid w:val="00132D14"/>
    <w:rsid w:val="00133249"/>
    <w:rsid w:val="00133B8D"/>
    <w:rsid w:val="00133BE4"/>
    <w:rsid w:val="00134481"/>
    <w:rsid w:val="0013477E"/>
    <w:rsid w:val="00134D81"/>
    <w:rsid w:val="00134EE3"/>
    <w:rsid w:val="00134F9B"/>
    <w:rsid w:val="00135312"/>
    <w:rsid w:val="0013539D"/>
    <w:rsid w:val="0013611E"/>
    <w:rsid w:val="00136532"/>
    <w:rsid w:val="001365CE"/>
    <w:rsid w:val="00136ECA"/>
    <w:rsid w:val="001377EB"/>
    <w:rsid w:val="0013795D"/>
    <w:rsid w:val="001403EC"/>
    <w:rsid w:val="001408AF"/>
    <w:rsid w:val="00140BE0"/>
    <w:rsid w:val="00140F53"/>
    <w:rsid w:val="00141296"/>
    <w:rsid w:val="001412CB"/>
    <w:rsid w:val="001419A9"/>
    <w:rsid w:val="00141C90"/>
    <w:rsid w:val="001420EE"/>
    <w:rsid w:val="001421BD"/>
    <w:rsid w:val="001424E3"/>
    <w:rsid w:val="00142925"/>
    <w:rsid w:val="00142CB4"/>
    <w:rsid w:val="0014345D"/>
    <w:rsid w:val="00143A61"/>
    <w:rsid w:val="00143DD6"/>
    <w:rsid w:val="00143E8A"/>
    <w:rsid w:val="00145384"/>
    <w:rsid w:val="00145AAE"/>
    <w:rsid w:val="00145D25"/>
    <w:rsid w:val="00146315"/>
    <w:rsid w:val="00147206"/>
    <w:rsid w:val="00147C58"/>
    <w:rsid w:val="00147E7A"/>
    <w:rsid w:val="001503C7"/>
    <w:rsid w:val="001503F6"/>
    <w:rsid w:val="001504DC"/>
    <w:rsid w:val="001509AC"/>
    <w:rsid w:val="00150AAD"/>
    <w:rsid w:val="001515BF"/>
    <w:rsid w:val="00151A67"/>
    <w:rsid w:val="00152021"/>
    <w:rsid w:val="0015265E"/>
    <w:rsid w:val="001527E3"/>
    <w:rsid w:val="00152969"/>
    <w:rsid w:val="00152AC8"/>
    <w:rsid w:val="00152B9E"/>
    <w:rsid w:val="0015306B"/>
    <w:rsid w:val="001535D5"/>
    <w:rsid w:val="00153717"/>
    <w:rsid w:val="00154032"/>
    <w:rsid w:val="00154958"/>
    <w:rsid w:val="00154B94"/>
    <w:rsid w:val="001556D0"/>
    <w:rsid w:val="00155E2C"/>
    <w:rsid w:val="00155ECF"/>
    <w:rsid w:val="00155F62"/>
    <w:rsid w:val="0015657C"/>
    <w:rsid w:val="00156B0F"/>
    <w:rsid w:val="00156C6F"/>
    <w:rsid w:val="0015778F"/>
    <w:rsid w:val="0016050B"/>
    <w:rsid w:val="00160853"/>
    <w:rsid w:val="00160A71"/>
    <w:rsid w:val="00160DC0"/>
    <w:rsid w:val="0016139C"/>
    <w:rsid w:val="00161D86"/>
    <w:rsid w:val="00161F6F"/>
    <w:rsid w:val="00162001"/>
    <w:rsid w:val="00162357"/>
    <w:rsid w:val="00162426"/>
    <w:rsid w:val="00162E7F"/>
    <w:rsid w:val="00163403"/>
    <w:rsid w:val="00163594"/>
    <w:rsid w:val="00163897"/>
    <w:rsid w:val="00163B64"/>
    <w:rsid w:val="00163CB3"/>
    <w:rsid w:val="001640F1"/>
    <w:rsid w:val="0016451C"/>
    <w:rsid w:val="0016460F"/>
    <w:rsid w:val="00164788"/>
    <w:rsid w:val="001649BD"/>
    <w:rsid w:val="00164EC5"/>
    <w:rsid w:val="00164EFD"/>
    <w:rsid w:val="001654AA"/>
    <w:rsid w:val="0016570C"/>
    <w:rsid w:val="0016599F"/>
    <w:rsid w:val="00165C5C"/>
    <w:rsid w:val="00165E03"/>
    <w:rsid w:val="001667B4"/>
    <w:rsid w:val="00167804"/>
    <w:rsid w:val="00167826"/>
    <w:rsid w:val="00167E09"/>
    <w:rsid w:val="0017027D"/>
    <w:rsid w:val="0017051C"/>
    <w:rsid w:val="00170882"/>
    <w:rsid w:val="0017134D"/>
    <w:rsid w:val="00171739"/>
    <w:rsid w:val="00171813"/>
    <w:rsid w:val="00171B19"/>
    <w:rsid w:val="001722F3"/>
    <w:rsid w:val="00172349"/>
    <w:rsid w:val="001726F3"/>
    <w:rsid w:val="00172871"/>
    <w:rsid w:val="00172A02"/>
    <w:rsid w:val="00172D2E"/>
    <w:rsid w:val="001735B2"/>
    <w:rsid w:val="0017414C"/>
    <w:rsid w:val="0017473B"/>
    <w:rsid w:val="00174969"/>
    <w:rsid w:val="00174CF4"/>
    <w:rsid w:val="001755F4"/>
    <w:rsid w:val="001758D7"/>
    <w:rsid w:val="001760FF"/>
    <w:rsid w:val="00176860"/>
    <w:rsid w:val="00176EC9"/>
    <w:rsid w:val="001776D7"/>
    <w:rsid w:val="00177AC1"/>
    <w:rsid w:val="001803B7"/>
    <w:rsid w:val="00180AD9"/>
    <w:rsid w:val="00181161"/>
    <w:rsid w:val="0018117E"/>
    <w:rsid w:val="0018161D"/>
    <w:rsid w:val="0018193E"/>
    <w:rsid w:val="001819E3"/>
    <w:rsid w:val="00181BD0"/>
    <w:rsid w:val="00182126"/>
    <w:rsid w:val="0018222B"/>
    <w:rsid w:val="0018317E"/>
    <w:rsid w:val="001831C2"/>
    <w:rsid w:val="001836D6"/>
    <w:rsid w:val="00183755"/>
    <w:rsid w:val="0018403A"/>
    <w:rsid w:val="001842A0"/>
    <w:rsid w:val="0018475E"/>
    <w:rsid w:val="0018486D"/>
    <w:rsid w:val="00184976"/>
    <w:rsid w:val="00185035"/>
    <w:rsid w:val="001855C4"/>
    <w:rsid w:val="001855F9"/>
    <w:rsid w:val="001856DF"/>
    <w:rsid w:val="00185A3B"/>
    <w:rsid w:val="00185E9D"/>
    <w:rsid w:val="001860BB"/>
    <w:rsid w:val="0018637B"/>
    <w:rsid w:val="00186ECC"/>
    <w:rsid w:val="00187DB3"/>
    <w:rsid w:val="00187E16"/>
    <w:rsid w:val="001903C4"/>
    <w:rsid w:val="001906D6"/>
    <w:rsid w:val="00190A6E"/>
    <w:rsid w:val="00190A93"/>
    <w:rsid w:val="00190EBF"/>
    <w:rsid w:val="001912FE"/>
    <w:rsid w:val="00191645"/>
    <w:rsid w:val="001916A5"/>
    <w:rsid w:val="001916D8"/>
    <w:rsid w:val="001919D6"/>
    <w:rsid w:val="00191F5D"/>
    <w:rsid w:val="001922DD"/>
    <w:rsid w:val="00193768"/>
    <w:rsid w:val="001937E4"/>
    <w:rsid w:val="00193914"/>
    <w:rsid w:val="00193C29"/>
    <w:rsid w:val="0019406A"/>
    <w:rsid w:val="001948A4"/>
    <w:rsid w:val="00194BAC"/>
    <w:rsid w:val="00194F08"/>
    <w:rsid w:val="0019539C"/>
    <w:rsid w:val="001954D2"/>
    <w:rsid w:val="001958E2"/>
    <w:rsid w:val="00195F24"/>
    <w:rsid w:val="001963DF"/>
    <w:rsid w:val="00196572"/>
    <w:rsid w:val="00196615"/>
    <w:rsid w:val="001969AA"/>
    <w:rsid w:val="00196F53"/>
    <w:rsid w:val="00197032"/>
    <w:rsid w:val="00197A72"/>
    <w:rsid w:val="001A04EB"/>
    <w:rsid w:val="001A0A3B"/>
    <w:rsid w:val="001A0A9A"/>
    <w:rsid w:val="001A0F1D"/>
    <w:rsid w:val="001A0F38"/>
    <w:rsid w:val="001A129C"/>
    <w:rsid w:val="001A1E2F"/>
    <w:rsid w:val="001A2614"/>
    <w:rsid w:val="001A26A1"/>
    <w:rsid w:val="001A2E10"/>
    <w:rsid w:val="001A3468"/>
    <w:rsid w:val="001A3A8B"/>
    <w:rsid w:val="001A3DE8"/>
    <w:rsid w:val="001A4B73"/>
    <w:rsid w:val="001A4C72"/>
    <w:rsid w:val="001A563B"/>
    <w:rsid w:val="001A5817"/>
    <w:rsid w:val="001A68DA"/>
    <w:rsid w:val="001A74C1"/>
    <w:rsid w:val="001A7A48"/>
    <w:rsid w:val="001B1718"/>
    <w:rsid w:val="001B1D36"/>
    <w:rsid w:val="001B1DEE"/>
    <w:rsid w:val="001B219D"/>
    <w:rsid w:val="001B23CB"/>
    <w:rsid w:val="001B382A"/>
    <w:rsid w:val="001B41C8"/>
    <w:rsid w:val="001B4499"/>
    <w:rsid w:val="001B4707"/>
    <w:rsid w:val="001B4CF8"/>
    <w:rsid w:val="001B4DA0"/>
    <w:rsid w:val="001B4EB2"/>
    <w:rsid w:val="001B4F07"/>
    <w:rsid w:val="001B533F"/>
    <w:rsid w:val="001B56CB"/>
    <w:rsid w:val="001B5A10"/>
    <w:rsid w:val="001B60A5"/>
    <w:rsid w:val="001B622E"/>
    <w:rsid w:val="001B651F"/>
    <w:rsid w:val="001B6D30"/>
    <w:rsid w:val="001B7521"/>
    <w:rsid w:val="001B77E4"/>
    <w:rsid w:val="001B77F7"/>
    <w:rsid w:val="001B7C0B"/>
    <w:rsid w:val="001B7F25"/>
    <w:rsid w:val="001C1163"/>
    <w:rsid w:val="001C12DB"/>
    <w:rsid w:val="001C1442"/>
    <w:rsid w:val="001C1523"/>
    <w:rsid w:val="001C187B"/>
    <w:rsid w:val="001C19D1"/>
    <w:rsid w:val="001C20DE"/>
    <w:rsid w:val="001C2AC9"/>
    <w:rsid w:val="001C2CAD"/>
    <w:rsid w:val="001C2DBC"/>
    <w:rsid w:val="001C2E43"/>
    <w:rsid w:val="001C2E8F"/>
    <w:rsid w:val="001C30D2"/>
    <w:rsid w:val="001C32D6"/>
    <w:rsid w:val="001C3948"/>
    <w:rsid w:val="001C3C07"/>
    <w:rsid w:val="001C41ED"/>
    <w:rsid w:val="001C43F0"/>
    <w:rsid w:val="001C446A"/>
    <w:rsid w:val="001C44A7"/>
    <w:rsid w:val="001C4691"/>
    <w:rsid w:val="001C4CEF"/>
    <w:rsid w:val="001C534D"/>
    <w:rsid w:val="001C5836"/>
    <w:rsid w:val="001C6B7A"/>
    <w:rsid w:val="001C6CA7"/>
    <w:rsid w:val="001C6CB1"/>
    <w:rsid w:val="001C72A0"/>
    <w:rsid w:val="001C754C"/>
    <w:rsid w:val="001C76C5"/>
    <w:rsid w:val="001C7B0C"/>
    <w:rsid w:val="001D0E84"/>
    <w:rsid w:val="001D1405"/>
    <w:rsid w:val="001D17F3"/>
    <w:rsid w:val="001D1EC2"/>
    <w:rsid w:val="001D262A"/>
    <w:rsid w:val="001D2996"/>
    <w:rsid w:val="001D2FDC"/>
    <w:rsid w:val="001D30DA"/>
    <w:rsid w:val="001D3720"/>
    <w:rsid w:val="001D3992"/>
    <w:rsid w:val="001D3AB8"/>
    <w:rsid w:val="001D3AE0"/>
    <w:rsid w:val="001D4165"/>
    <w:rsid w:val="001D4442"/>
    <w:rsid w:val="001D4755"/>
    <w:rsid w:val="001D497B"/>
    <w:rsid w:val="001D4AAB"/>
    <w:rsid w:val="001D4C06"/>
    <w:rsid w:val="001D55BC"/>
    <w:rsid w:val="001D5649"/>
    <w:rsid w:val="001D5957"/>
    <w:rsid w:val="001D5CB4"/>
    <w:rsid w:val="001D680F"/>
    <w:rsid w:val="001D6FA6"/>
    <w:rsid w:val="001D7D5D"/>
    <w:rsid w:val="001E0186"/>
    <w:rsid w:val="001E0771"/>
    <w:rsid w:val="001E0E87"/>
    <w:rsid w:val="001E17D6"/>
    <w:rsid w:val="001E180D"/>
    <w:rsid w:val="001E1857"/>
    <w:rsid w:val="001E1911"/>
    <w:rsid w:val="001E1A49"/>
    <w:rsid w:val="001E216A"/>
    <w:rsid w:val="001E2172"/>
    <w:rsid w:val="001E21A2"/>
    <w:rsid w:val="001E2428"/>
    <w:rsid w:val="001E2445"/>
    <w:rsid w:val="001E2446"/>
    <w:rsid w:val="001E2628"/>
    <w:rsid w:val="001E2675"/>
    <w:rsid w:val="001E27A1"/>
    <w:rsid w:val="001E294B"/>
    <w:rsid w:val="001E3408"/>
    <w:rsid w:val="001E3ABE"/>
    <w:rsid w:val="001E3ECE"/>
    <w:rsid w:val="001E401B"/>
    <w:rsid w:val="001E4516"/>
    <w:rsid w:val="001E54D9"/>
    <w:rsid w:val="001E5937"/>
    <w:rsid w:val="001E59E5"/>
    <w:rsid w:val="001E5F45"/>
    <w:rsid w:val="001E6405"/>
    <w:rsid w:val="001E65D4"/>
    <w:rsid w:val="001E6901"/>
    <w:rsid w:val="001E6A37"/>
    <w:rsid w:val="001E6D15"/>
    <w:rsid w:val="001E6EBF"/>
    <w:rsid w:val="001E6FA7"/>
    <w:rsid w:val="001E70A8"/>
    <w:rsid w:val="001E7712"/>
    <w:rsid w:val="001F0C1F"/>
    <w:rsid w:val="001F0C7C"/>
    <w:rsid w:val="001F12BF"/>
    <w:rsid w:val="001F180F"/>
    <w:rsid w:val="001F20B4"/>
    <w:rsid w:val="001F2ACA"/>
    <w:rsid w:val="001F30F0"/>
    <w:rsid w:val="001F34F0"/>
    <w:rsid w:val="001F3AA7"/>
    <w:rsid w:val="001F4C02"/>
    <w:rsid w:val="001F4F24"/>
    <w:rsid w:val="001F4F56"/>
    <w:rsid w:val="001F51B4"/>
    <w:rsid w:val="001F5D9C"/>
    <w:rsid w:val="001F622D"/>
    <w:rsid w:val="001F62AB"/>
    <w:rsid w:val="001F6D06"/>
    <w:rsid w:val="001F7474"/>
    <w:rsid w:val="001F7663"/>
    <w:rsid w:val="002002D7"/>
    <w:rsid w:val="00200E2C"/>
    <w:rsid w:val="00201A5D"/>
    <w:rsid w:val="00201CB5"/>
    <w:rsid w:val="00201FEF"/>
    <w:rsid w:val="002023E9"/>
    <w:rsid w:val="002024D2"/>
    <w:rsid w:val="00202587"/>
    <w:rsid w:val="002025C1"/>
    <w:rsid w:val="00202B3C"/>
    <w:rsid w:val="00202E85"/>
    <w:rsid w:val="00202FA0"/>
    <w:rsid w:val="00203064"/>
    <w:rsid w:val="0020335A"/>
    <w:rsid w:val="00203BD3"/>
    <w:rsid w:val="00203DA0"/>
    <w:rsid w:val="00204065"/>
    <w:rsid w:val="002046CB"/>
    <w:rsid w:val="00204A99"/>
    <w:rsid w:val="00204C7D"/>
    <w:rsid w:val="00204DD3"/>
    <w:rsid w:val="00205716"/>
    <w:rsid w:val="00206280"/>
    <w:rsid w:val="00206330"/>
    <w:rsid w:val="00206480"/>
    <w:rsid w:val="00206498"/>
    <w:rsid w:val="002072E4"/>
    <w:rsid w:val="00207A42"/>
    <w:rsid w:val="00207E74"/>
    <w:rsid w:val="00207EAD"/>
    <w:rsid w:val="0021057F"/>
    <w:rsid w:val="00210F26"/>
    <w:rsid w:val="0021146A"/>
    <w:rsid w:val="00211471"/>
    <w:rsid w:val="0021152C"/>
    <w:rsid w:val="00212065"/>
    <w:rsid w:val="002120F1"/>
    <w:rsid w:val="00212B2F"/>
    <w:rsid w:val="0021347B"/>
    <w:rsid w:val="00213CEA"/>
    <w:rsid w:val="00213F56"/>
    <w:rsid w:val="002145A1"/>
    <w:rsid w:val="00214B2B"/>
    <w:rsid w:val="00214D1A"/>
    <w:rsid w:val="002150C3"/>
    <w:rsid w:val="00215180"/>
    <w:rsid w:val="002152E8"/>
    <w:rsid w:val="00215799"/>
    <w:rsid w:val="00215BE6"/>
    <w:rsid w:val="00215CD4"/>
    <w:rsid w:val="00216381"/>
    <w:rsid w:val="002164F6"/>
    <w:rsid w:val="00216B40"/>
    <w:rsid w:val="00217286"/>
    <w:rsid w:val="002179C1"/>
    <w:rsid w:val="00220386"/>
    <w:rsid w:val="00220772"/>
    <w:rsid w:val="00221247"/>
    <w:rsid w:val="002218F4"/>
    <w:rsid w:val="002219BE"/>
    <w:rsid w:val="00221B45"/>
    <w:rsid w:val="00221D8F"/>
    <w:rsid w:val="00222605"/>
    <w:rsid w:val="00222B5F"/>
    <w:rsid w:val="00222E0C"/>
    <w:rsid w:val="00222F3F"/>
    <w:rsid w:val="00222FCB"/>
    <w:rsid w:val="00223697"/>
    <w:rsid w:val="002238BC"/>
    <w:rsid w:val="00223BDE"/>
    <w:rsid w:val="00224069"/>
    <w:rsid w:val="0022539D"/>
    <w:rsid w:val="002253D8"/>
    <w:rsid w:val="002253FC"/>
    <w:rsid w:val="00225685"/>
    <w:rsid w:val="002256FD"/>
    <w:rsid w:val="002262E0"/>
    <w:rsid w:val="0022637D"/>
    <w:rsid w:val="00226761"/>
    <w:rsid w:val="00226BA9"/>
    <w:rsid w:val="002272DB"/>
    <w:rsid w:val="00227A31"/>
    <w:rsid w:val="00227ACC"/>
    <w:rsid w:val="00230D6E"/>
    <w:rsid w:val="00231B55"/>
    <w:rsid w:val="00231C4A"/>
    <w:rsid w:val="00231DE0"/>
    <w:rsid w:val="00231E94"/>
    <w:rsid w:val="002320E0"/>
    <w:rsid w:val="00232252"/>
    <w:rsid w:val="0023229C"/>
    <w:rsid w:val="00232703"/>
    <w:rsid w:val="00232F2C"/>
    <w:rsid w:val="002336C7"/>
    <w:rsid w:val="00233AA7"/>
    <w:rsid w:val="0023476D"/>
    <w:rsid w:val="00234A16"/>
    <w:rsid w:val="00234F50"/>
    <w:rsid w:val="0023600E"/>
    <w:rsid w:val="00236019"/>
    <w:rsid w:val="002366E9"/>
    <w:rsid w:val="00236775"/>
    <w:rsid w:val="00236900"/>
    <w:rsid w:val="00236963"/>
    <w:rsid w:val="0023744A"/>
    <w:rsid w:val="00237D84"/>
    <w:rsid w:val="00240198"/>
    <w:rsid w:val="00240A67"/>
    <w:rsid w:val="002414FF"/>
    <w:rsid w:val="002416C7"/>
    <w:rsid w:val="002416C9"/>
    <w:rsid w:val="0024177A"/>
    <w:rsid w:val="00242E80"/>
    <w:rsid w:val="0024324A"/>
    <w:rsid w:val="00243646"/>
    <w:rsid w:val="00243C68"/>
    <w:rsid w:val="00243FA2"/>
    <w:rsid w:val="002443CE"/>
    <w:rsid w:val="002454CB"/>
    <w:rsid w:val="00245EC1"/>
    <w:rsid w:val="002463E3"/>
    <w:rsid w:val="00246D86"/>
    <w:rsid w:val="00246DF5"/>
    <w:rsid w:val="00247BA7"/>
    <w:rsid w:val="00247CF5"/>
    <w:rsid w:val="002505BD"/>
    <w:rsid w:val="002505D0"/>
    <w:rsid w:val="00250784"/>
    <w:rsid w:val="00251239"/>
    <w:rsid w:val="00251BD5"/>
    <w:rsid w:val="002523AB"/>
    <w:rsid w:val="00252A42"/>
    <w:rsid w:val="00252C04"/>
    <w:rsid w:val="00252C0C"/>
    <w:rsid w:val="00252EF4"/>
    <w:rsid w:val="00253588"/>
    <w:rsid w:val="002538D9"/>
    <w:rsid w:val="00253A3E"/>
    <w:rsid w:val="00253E39"/>
    <w:rsid w:val="00254203"/>
    <w:rsid w:val="0025428E"/>
    <w:rsid w:val="00254CAE"/>
    <w:rsid w:val="002553F0"/>
    <w:rsid w:val="0025559E"/>
    <w:rsid w:val="00255839"/>
    <w:rsid w:val="002561F9"/>
    <w:rsid w:val="00256519"/>
    <w:rsid w:val="00256678"/>
    <w:rsid w:val="002567F4"/>
    <w:rsid w:val="00256DF3"/>
    <w:rsid w:val="00256E33"/>
    <w:rsid w:val="0025700F"/>
    <w:rsid w:val="0025714A"/>
    <w:rsid w:val="002573AC"/>
    <w:rsid w:val="00257A65"/>
    <w:rsid w:val="00257F5A"/>
    <w:rsid w:val="00257FA8"/>
    <w:rsid w:val="00257FE3"/>
    <w:rsid w:val="00260DDE"/>
    <w:rsid w:val="00261F34"/>
    <w:rsid w:val="002623CA"/>
    <w:rsid w:val="002626E1"/>
    <w:rsid w:val="0026405D"/>
    <w:rsid w:val="0026461F"/>
    <w:rsid w:val="0026467B"/>
    <w:rsid w:val="002648A6"/>
    <w:rsid w:val="00264927"/>
    <w:rsid w:val="0026498F"/>
    <w:rsid w:val="00265855"/>
    <w:rsid w:val="00265A4F"/>
    <w:rsid w:val="00265E4C"/>
    <w:rsid w:val="00266011"/>
    <w:rsid w:val="00266846"/>
    <w:rsid w:val="0026688F"/>
    <w:rsid w:val="002679ED"/>
    <w:rsid w:val="00267B94"/>
    <w:rsid w:val="00270083"/>
    <w:rsid w:val="002701FF"/>
    <w:rsid w:val="00270296"/>
    <w:rsid w:val="00270A86"/>
    <w:rsid w:val="00270ABA"/>
    <w:rsid w:val="00270F31"/>
    <w:rsid w:val="00270FD0"/>
    <w:rsid w:val="002719AE"/>
    <w:rsid w:val="0027237E"/>
    <w:rsid w:val="002723A6"/>
    <w:rsid w:val="002727BD"/>
    <w:rsid w:val="00272919"/>
    <w:rsid w:val="00272E02"/>
    <w:rsid w:val="00273037"/>
    <w:rsid w:val="00273209"/>
    <w:rsid w:val="0027454B"/>
    <w:rsid w:val="00274746"/>
    <w:rsid w:val="00274D7E"/>
    <w:rsid w:val="00274E2D"/>
    <w:rsid w:val="002751E9"/>
    <w:rsid w:val="00275BB4"/>
    <w:rsid w:val="00275D82"/>
    <w:rsid w:val="00276047"/>
    <w:rsid w:val="00276237"/>
    <w:rsid w:val="002763E5"/>
    <w:rsid w:val="00276476"/>
    <w:rsid w:val="00276599"/>
    <w:rsid w:val="00276ED6"/>
    <w:rsid w:val="002771D9"/>
    <w:rsid w:val="002772BF"/>
    <w:rsid w:val="00277A58"/>
    <w:rsid w:val="00277B58"/>
    <w:rsid w:val="0028007F"/>
    <w:rsid w:val="00280988"/>
    <w:rsid w:val="00280AF8"/>
    <w:rsid w:val="002810CC"/>
    <w:rsid w:val="002825FA"/>
    <w:rsid w:val="00282986"/>
    <w:rsid w:val="002837B2"/>
    <w:rsid w:val="00283C4E"/>
    <w:rsid w:val="00284923"/>
    <w:rsid w:val="00284D20"/>
    <w:rsid w:val="00285183"/>
    <w:rsid w:val="0028531E"/>
    <w:rsid w:val="002859A4"/>
    <w:rsid w:val="00286751"/>
    <w:rsid w:val="002869A3"/>
    <w:rsid w:val="002869D2"/>
    <w:rsid w:val="00286AC1"/>
    <w:rsid w:val="00286C0D"/>
    <w:rsid w:val="0028711B"/>
    <w:rsid w:val="002874AB"/>
    <w:rsid w:val="0028779C"/>
    <w:rsid w:val="0029130C"/>
    <w:rsid w:val="00291752"/>
    <w:rsid w:val="00291A61"/>
    <w:rsid w:val="00291D03"/>
    <w:rsid w:val="002923AD"/>
    <w:rsid w:val="002924EE"/>
    <w:rsid w:val="002929B8"/>
    <w:rsid w:val="00292AEF"/>
    <w:rsid w:val="00293907"/>
    <w:rsid w:val="00293B31"/>
    <w:rsid w:val="00293C9C"/>
    <w:rsid w:val="00294440"/>
    <w:rsid w:val="00294E22"/>
    <w:rsid w:val="00294F7B"/>
    <w:rsid w:val="00294FFD"/>
    <w:rsid w:val="0029526D"/>
    <w:rsid w:val="00295296"/>
    <w:rsid w:val="00295441"/>
    <w:rsid w:val="00295666"/>
    <w:rsid w:val="002957D6"/>
    <w:rsid w:val="00295C2E"/>
    <w:rsid w:val="00295D3E"/>
    <w:rsid w:val="00295FB2"/>
    <w:rsid w:val="002965C9"/>
    <w:rsid w:val="002968F8"/>
    <w:rsid w:val="00296C4C"/>
    <w:rsid w:val="00296D1E"/>
    <w:rsid w:val="00296D65"/>
    <w:rsid w:val="00296D7D"/>
    <w:rsid w:val="00296E76"/>
    <w:rsid w:val="00297547"/>
    <w:rsid w:val="0029783D"/>
    <w:rsid w:val="00297E42"/>
    <w:rsid w:val="002A015A"/>
    <w:rsid w:val="002A0357"/>
    <w:rsid w:val="002A035A"/>
    <w:rsid w:val="002A03FF"/>
    <w:rsid w:val="002A0839"/>
    <w:rsid w:val="002A0A53"/>
    <w:rsid w:val="002A110B"/>
    <w:rsid w:val="002A1165"/>
    <w:rsid w:val="002A1269"/>
    <w:rsid w:val="002A1BA6"/>
    <w:rsid w:val="002A1E49"/>
    <w:rsid w:val="002A245A"/>
    <w:rsid w:val="002A24B6"/>
    <w:rsid w:val="002A28D1"/>
    <w:rsid w:val="002A2AE1"/>
    <w:rsid w:val="002A2CC2"/>
    <w:rsid w:val="002A36D0"/>
    <w:rsid w:val="002A38B1"/>
    <w:rsid w:val="002A39D3"/>
    <w:rsid w:val="002A3B9B"/>
    <w:rsid w:val="002A3C7D"/>
    <w:rsid w:val="002A4458"/>
    <w:rsid w:val="002A45FB"/>
    <w:rsid w:val="002A4F89"/>
    <w:rsid w:val="002A4FCC"/>
    <w:rsid w:val="002A5ECB"/>
    <w:rsid w:val="002A66CB"/>
    <w:rsid w:val="002A67F4"/>
    <w:rsid w:val="002A6B22"/>
    <w:rsid w:val="002A6C9E"/>
    <w:rsid w:val="002A6CDD"/>
    <w:rsid w:val="002A6D64"/>
    <w:rsid w:val="002A6F44"/>
    <w:rsid w:val="002A6FC6"/>
    <w:rsid w:val="002A7A53"/>
    <w:rsid w:val="002A7C8E"/>
    <w:rsid w:val="002A7F65"/>
    <w:rsid w:val="002B06C6"/>
    <w:rsid w:val="002B0816"/>
    <w:rsid w:val="002B0894"/>
    <w:rsid w:val="002B1F92"/>
    <w:rsid w:val="002B2037"/>
    <w:rsid w:val="002B2BB6"/>
    <w:rsid w:val="002B2E5F"/>
    <w:rsid w:val="002B2FC8"/>
    <w:rsid w:val="002B30E2"/>
    <w:rsid w:val="002B3428"/>
    <w:rsid w:val="002B38CE"/>
    <w:rsid w:val="002B3923"/>
    <w:rsid w:val="002B3F53"/>
    <w:rsid w:val="002B4938"/>
    <w:rsid w:val="002B5400"/>
    <w:rsid w:val="002B56D2"/>
    <w:rsid w:val="002B5BE7"/>
    <w:rsid w:val="002B5C3E"/>
    <w:rsid w:val="002B6449"/>
    <w:rsid w:val="002B64AA"/>
    <w:rsid w:val="002B6E0D"/>
    <w:rsid w:val="002B7E12"/>
    <w:rsid w:val="002B7E94"/>
    <w:rsid w:val="002B7F86"/>
    <w:rsid w:val="002B7FD6"/>
    <w:rsid w:val="002C0197"/>
    <w:rsid w:val="002C0B95"/>
    <w:rsid w:val="002C0C41"/>
    <w:rsid w:val="002C155D"/>
    <w:rsid w:val="002C1912"/>
    <w:rsid w:val="002C2171"/>
    <w:rsid w:val="002C2224"/>
    <w:rsid w:val="002C2321"/>
    <w:rsid w:val="002C2765"/>
    <w:rsid w:val="002C2EAC"/>
    <w:rsid w:val="002C30A9"/>
    <w:rsid w:val="002C3564"/>
    <w:rsid w:val="002C3685"/>
    <w:rsid w:val="002C3B62"/>
    <w:rsid w:val="002C4394"/>
    <w:rsid w:val="002C4DE5"/>
    <w:rsid w:val="002C5ABA"/>
    <w:rsid w:val="002C5F32"/>
    <w:rsid w:val="002C65F1"/>
    <w:rsid w:val="002C67BA"/>
    <w:rsid w:val="002C74B4"/>
    <w:rsid w:val="002C7772"/>
    <w:rsid w:val="002C790A"/>
    <w:rsid w:val="002C7BCF"/>
    <w:rsid w:val="002D01C5"/>
    <w:rsid w:val="002D02FB"/>
    <w:rsid w:val="002D07C3"/>
    <w:rsid w:val="002D08AE"/>
    <w:rsid w:val="002D146F"/>
    <w:rsid w:val="002D188E"/>
    <w:rsid w:val="002D1B2B"/>
    <w:rsid w:val="002D206B"/>
    <w:rsid w:val="002D229B"/>
    <w:rsid w:val="002D248E"/>
    <w:rsid w:val="002D24AB"/>
    <w:rsid w:val="002D2628"/>
    <w:rsid w:val="002D265F"/>
    <w:rsid w:val="002D2733"/>
    <w:rsid w:val="002D2A29"/>
    <w:rsid w:val="002D2E19"/>
    <w:rsid w:val="002D3048"/>
    <w:rsid w:val="002D3F07"/>
    <w:rsid w:val="002D3FB3"/>
    <w:rsid w:val="002D49DC"/>
    <w:rsid w:val="002D582B"/>
    <w:rsid w:val="002D589A"/>
    <w:rsid w:val="002D5DB1"/>
    <w:rsid w:val="002D656C"/>
    <w:rsid w:val="002D6785"/>
    <w:rsid w:val="002D686F"/>
    <w:rsid w:val="002D6A1C"/>
    <w:rsid w:val="002D6AA0"/>
    <w:rsid w:val="002D6BD4"/>
    <w:rsid w:val="002D70AB"/>
    <w:rsid w:val="002D7679"/>
    <w:rsid w:val="002E0383"/>
    <w:rsid w:val="002E04C8"/>
    <w:rsid w:val="002E0B04"/>
    <w:rsid w:val="002E0C33"/>
    <w:rsid w:val="002E0D14"/>
    <w:rsid w:val="002E0DE3"/>
    <w:rsid w:val="002E116C"/>
    <w:rsid w:val="002E1B22"/>
    <w:rsid w:val="002E23AB"/>
    <w:rsid w:val="002E249C"/>
    <w:rsid w:val="002E2691"/>
    <w:rsid w:val="002E2910"/>
    <w:rsid w:val="002E29D9"/>
    <w:rsid w:val="002E2E29"/>
    <w:rsid w:val="002E348A"/>
    <w:rsid w:val="002E3AE2"/>
    <w:rsid w:val="002E40E1"/>
    <w:rsid w:val="002E44E5"/>
    <w:rsid w:val="002E451C"/>
    <w:rsid w:val="002E4BA0"/>
    <w:rsid w:val="002E4F69"/>
    <w:rsid w:val="002E5E00"/>
    <w:rsid w:val="002E6494"/>
    <w:rsid w:val="002E71BD"/>
    <w:rsid w:val="002E78E1"/>
    <w:rsid w:val="002F0362"/>
    <w:rsid w:val="002F1070"/>
    <w:rsid w:val="002F158E"/>
    <w:rsid w:val="002F1873"/>
    <w:rsid w:val="002F20CB"/>
    <w:rsid w:val="002F2176"/>
    <w:rsid w:val="002F281E"/>
    <w:rsid w:val="002F2948"/>
    <w:rsid w:val="002F2D56"/>
    <w:rsid w:val="002F343C"/>
    <w:rsid w:val="002F3951"/>
    <w:rsid w:val="002F4111"/>
    <w:rsid w:val="002F42EE"/>
    <w:rsid w:val="002F4399"/>
    <w:rsid w:val="002F4B8C"/>
    <w:rsid w:val="002F4C99"/>
    <w:rsid w:val="002F55E1"/>
    <w:rsid w:val="002F5681"/>
    <w:rsid w:val="002F5A67"/>
    <w:rsid w:val="002F5F7E"/>
    <w:rsid w:val="002F6198"/>
    <w:rsid w:val="002F663C"/>
    <w:rsid w:val="002F6CA8"/>
    <w:rsid w:val="002F6DB4"/>
    <w:rsid w:val="002F72DB"/>
    <w:rsid w:val="002F73F7"/>
    <w:rsid w:val="002F7688"/>
    <w:rsid w:val="002F7AEB"/>
    <w:rsid w:val="00300371"/>
    <w:rsid w:val="00300567"/>
    <w:rsid w:val="003007D5"/>
    <w:rsid w:val="00300CCF"/>
    <w:rsid w:val="003010DA"/>
    <w:rsid w:val="00301178"/>
    <w:rsid w:val="00301EC3"/>
    <w:rsid w:val="00302B5C"/>
    <w:rsid w:val="00302C72"/>
    <w:rsid w:val="00302D90"/>
    <w:rsid w:val="003033CB"/>
    <w:rsid w:val="00303611"/>
    <w:rsid w:val="00303AA5"/>
    <w:rsid w:val="0030487D"/>
    <w:rsid w:val="003048DF"/>
    <w:rsid w:val="00304E48"/>
    <w:rsid w:val="00305E92"/>
    <w:rsid w:val="00306BED"/>
    <w:rsid w:val="00307754"/>
    <w:rsid w:val="00307DC2"/>
    <w:rsid w:val="0031061F"/>
    <w:rsid w:val="00310B4D"/>
    <w:rsid w:val="00310B51"/>
    <w:rsid w:val="00310C11"/>
    <w:rsid w:val="00310D93"/>
    <w:rsid w:val="00310D95"/>
    <w:rsid w:val="00311272"/>
    <w:rsid w:val="0031189E"/>
    <w:rsid w:val="00311C27"/>
    <w:rsid w:val="00312001"/>
    <w:rsid w:val="00312401"/>
    <w:rsid w:val="00312AB1"/>
    <w:rsid w:val="00312C32"/>
    <w:rsid w:val="00313780"/>
    <w:rsid w:val="003142F9"/>
    <w:rsid w:val="003143AE"/>
    <w:rsid w:val="003147C4"/>
    <w:rsid w:val="003148BC"/>
    <w:rsid w:val="00314906"/>
    <w:rsid w:val="00314BFD"/>
    <w:rsid w:val="003152A9"/>
    <w:rsid w:val="00315699"/>
    <w:rsid w:val="0031571A"/>
    <w:rsid w:val="003157B8"/>
    <w:rsid w:val="003158EC"/>
    <w:rsid w:val="00315F6F"/>
    <w:rsid w:val="003164FA"/>
    <w:rsid w:val="00316C2B"/>
    <w:rsid w:val="003170CE"/>
    <w:rsid w:val="003171D2"/>
    <w:rsid w:val="0031722A"/>
    <w:rsid w:val="00317245"/>
    <w:rsid w:val="003173B2"/>
    <w:rsid w:val="00317711"/>
    <w:rsid w:val="00317E0A"/>
    <w:rsid w:val="00317E10"/>
    <w:rsid w:val="00317F5E"/>
    <w:rsid w:val="003203D7"/>
    <w:rsid w:val="0032097F"/>
    <w:rsid w:val="003211BE"/>
    <w:rsid w:val="003217BA"/>
    <w:rsid w:val="00321C72"/>
    <w:rsid w:val="00321E5E"/>
    <w:rsid w:val="00321F48"/>
    <w:rsid w:val="0032210F"/>
    <w:rsid w:val="00322223"/>
    <w:rsid w:val="00322986"/>
    <w:rsid w:val="00322E21"/>
    <w:rsid w:val="0032324E"/>
    <w:rsid w:val="0032370C"/>
    <w:rsid w:val="003237EF"/>
    <w:rsid w:val="00323E12"/>
    <w:rsid w:val="00324107"/>
    <w:rsid w:val="0032414E"/>
    <w:rsid w:val="003244B5"/>
    <w:rsid w:val="00325E32"/>
    <w:rsid w:val="00326997"/>
    <w:rsid w:val="00326B2C"/>
    <w:rsid w:val="00326EC6"/>
    <w:rsid w:val="00327CBF"/>
    <w:rsid w:val="00330FB8"/>
    <w:rsid w:val="0033104F"/>
    <w:rsid w:val="0033113D"/>
    <w:rsid w:val="00331673"/>
    <w:rsid w:val="00331983"/>
    <w:rsid w:val="003319A4"/>
    <w:rsid w:val="003320D3"/>
    <w:rsid w:val="00332191"/>
    <w:rsid w:val="0033261C"/>
    <w:rsid w:val="00332A5C"/>
    <w:rsid w:val="00332DFB"/>
    <w:rsid w:val="00333046"/>
    <w:rsid w:val="00333446"/>
    <w:rsid w:val="003334BF"/>
    <w:rsid w:val="00333A5A"/>
    <w:rsid w:val="00333C63"/>
    <w:rsid w:val="00333F9B"/>
    <w:rsid w:val="0033439A"/>
    <w:rsid w:val="00334529"/>
    <w:rsid w:val="0033463B"/>
    <w:rsid w:val="00334774"/>
    <w:rsid w:val="00334842"/>
    <w:rsid w:val="00334956"/>
    <w:rsid w:val="00335B89"/>
    <w:rsid w:val="00335EDE"/>
    <w:rsid w:val="00336F69"/>
    <w:rsid w:val="00337024"/>
    <w:rsid w:val="003370B9"/>
    <w:rsid w:val="00337610"/>
    <w:rsid w:val="003379FC"/>
    <w:rsid w:val="00340339"/>
    <w:rsid w:val="003408B9"/>
    <w:rsid w:val="00340AAF"/>
    <w:rsid w:val="00340CB7"/>
    <w:rsid w:val="0034104D"/>
    <w:rsid w:val="003411B5"/>
    <w:rsid w:val="003412A6"/>
    <w:rsid w:val="00341A6B"/>
    <w:rsid w:val="00341A7D"/>
    <w:rsid w:val="00341FFD"/>
    <w:rsid w:val="003431AE"/>
    <w:rsid w:val="0034370E"/>
    <w:rsid w:val="00343FD9"/>
    <w:rsid w:val="0034472B"/>
    <w:rsid w:val="0034493E"/>
    <w:rsid w:val="003455EF"/>
    <w:rsid w:val="003457E5"/>
    <w:rsid w:val="003458CD"/>
    <w:rsid w:val="00345F3F"/>
    <w:rsid w:val="00346148"/>
    <w:rsid w:val="003462DA"/>
    <w:rsid w:val="00346C8C"/>
    <w:rsid w:val="00346DF6"/>
    <w:rsid w:val="00346E82"/>
    <w:rsid w:val="003473C7"/>
    <w:rsid w:val="00347483"/>
    <w:rsid w:val="0034758B"/>
    <w:rsid w:val="003475E1"/>
    <w:rsid w:val="00347D90"/>
    <w:rsid w:val="00347DD2"/>
    <w:rsid w:val="00350354"/>
    <w:rsid w:val="00350C5C"/>
    <w:rsid w:val="00351013"/>
    <w:rsid w:val="0035154D"/>
    <w:rsid w:val="00351557"/>
    <w:rsid w:val="00351822"/>
    <w:rsid w:val="0035221D"/>
    <w:rsid w:val="00352336"/>
    <w:rsid w:val="00352D49"/>
    <w:rsid w:val="00352FFF"/>
    <w:rsid w:val="0035363D"/>
    <w:rsid w:val="00353A30"/>
    <w:rsid w:val="00353BCE"/>
    <w:rsid w:val="00353C36"/>
    <w:rsid w:val="00353F87"/>
    <w:rsid w:val="0035423F"/>
    <w:rsid w:val="003542F1"/>
    <w:rsid w:val="00354878"/>
    <w:rsid w:val="00354B48"/>
    <w:rsid w:val="00354CC2"/>
    <w:rsid w:val="00354D37"/>
    <w:rsid w:val="00354E79"/>
    <w:rsid w:val="003552AE"/>
    <w:rsid w:val="003557BB"/>
    <w:rsid w:val="00355964"/>
    <w:rsid w:val="00355CC4"/>
    <w:rsid w:val="003576B3"/>
    <w:rsid w:val="0035770D"/>
    <w:rsid w:val="00357E66"/>
    <w:rsid w:val="00357E94"/>
    <w:rsid w:val="003602A5"/>
    <w:rsid w:val="003602B7"/>
    <w:rsid w:val="003606C4"/>
    <w:rsid w:val="003607FE"/>
    <w:rsid w:val="003608D3"/>
    <w:rsid w:val="003621EF"/>
    <w:rsid w:val="00362908"/>
    <w:rsid w:val="00362A25"/>
    <w:rsid w:val="00362B2C"/>
    <w:rsid w:val="00362F17"/>
    <w:rsid w:val="003633F4"/>
    <w:rsid w:val="0036373C"/>
    <w:rsid w:val="0036382A"/>
    <w:rsid w:val="003646C6"/>
    <w:rsid w:val="0036490D"/>
    <w:rsid w:val="00364A5B"/>
    <w:rsid w:val="00364B95"/>
    <w:rsid w:val="00364F84"/>
    <w:rsid w:val="003652AF"/>
    <w:rsid w:val="00365EE1"/>
    <w:rsid w:val="00365F69"/>
    <w:rsid w:val="00366782"/>
    <w:rsid w:val="00366BA5"/>
    <w:rsid w:val="0036732D"/>
    <w:rsid w:val="00367959"/>
    <w:rsid w:val="00367AF5"/>
    <w:rsid w:val="00367DB4"/>
    <w:rsid w:val="00367EC6"/>
    <w:rsid w:val="00370004"/>
    <w:rsid w:val="0037051B"/>
    <w:rsid w:val="0037083D"/>
    <w:rsid w:val="003708BD"/>
    <w:rsid w:val="003710AB"/>
    <w:rsid w:val="00371B1D"/>
    <w:rsid w:val="00371F8D"/>
    <w:rsid w:val="00372147"/>
    <w:rsid w:val="003721A6"/>
    <w:rsid w:val="00372894"/>
    <w:rsid w:val="003728E9"/>
    <w:rsid w:val="00372D6C"/>
    <w:rsid w:val="0037351F"/>
    <w:rsid w:val="0037352B"/>
    <w:rsid w:val="00373F8F"/>
    <w:rsid w:val="00373FAB"/>
    <w:rsid w:val="00373FAE"/>
    <w:rsid w:val="00374166"/>
    <w:rsid w:val="003748D8"/>
    <w:rsid w:val="003750EF"/>
    <w:rsid w:val="003758F1"/>
    <w:rsid w:val="0037599F"/>
    <w:rsid w:val="00375D61"/>
    <w:rsid w:val="00376122"/>
    <w:rsid w:val="00376184"/>
    <w:rsid w:val="003764A8"/>
    <w:rsid w:val="00376F7F"/>
    <w:rsid w:val="00376F89"/>
    <w:rsid w:val="00377B1B"/>
    <w:rsid w:val="00377C9B"/>
    <w:rsid w:val="00377FD4"/>
    <w:rsid w:val="003801B0"/>
    <w:rsid w:val="00380F58"/>
    <w:rsid w:val="00381042"/>
    <w:rsid w:val="0038167A"/>
    <w:rsid w:val="0038196E"/>
    <w:rsid w:val="00381CD5"/>
    <w:rsid w:val="00381E9B"/>
    <w:rsid w:val="00382277"/>
    <w:rsid w:val="00382A3B"/>
    <w:rsid w:val="00382B48"/>
    <w:rsid w:val="00382E55"/>
    <w:rsid w:val="0038366B"/>
    <w:rsid w:val="00383711"/>
    <w:rsid w:val="00383ADF"/>
    <w:rsid w:val="00383D0C"/>
    <w:rsid w:val="00384669"/>
    <w:rsid w:val="0038477A"/>
    <w:rsid w:val="00384CDB"/>
    <w:rsid w:val="00384F75"/>
    <w:rsid w:val="00385602"/>
    <w:rsid w:val="0038573D"/>
    <w:rsid w:val="00385C4E"/>
    <w:rsid w:val="00385C62"/>
    <w:rsid w:val="0038648E"/>
    <w:rsid w:val="00386635"/>
    <w:rsid w:val="00386AF9"/>
    <w:rsid w:val="003870B1"/>
    <w:rsid w:val="003870E2"/>
    <w:rsid w:val="00387622"/>
    <w:rsid w:val="00387727"/>
    <w:rsid w:val="00387E4F"/>
    <w:rsid w:val="00390A0D"/>
    <w:rsid w:val="00390B5A"/>
    <w:rsid w:val="00390C13"/>
    <w:rsid w:val="00390C24"/>
    <w:rsid w:val="00390EC6"/>
    <w:rsid w:val="00390F58"/>
    <w:rsid w:val="00391B00"/>
    <w:rsid w:val="00391BD3"/>
    <w:rsid w:val="00391D88"/>
    <w:rsid w:val="003920E8"/>
    <w:rsid w:val="00392B8B"/>
    <w:rsid w:val="00392F46"/>
    <w:rsid w:val="0039305A"/>
    <w:rsid w:val="00393FD5"/>
    <w:rsid w:val="00394286"/>
    <w:rsid w:val="00394370"/>
    <w:rsid w:val="0039443D"/>
    <w:rsid w:val="003944EC"/>
    <w:rsid w:val="00394848"/>
    <w:rsid w:val="00394E7B"/>
    <w:rsid w:val="00394EB7"/>
    <w:rsid w:val="00395075"/>
    <w:rsid w:val="003952E3"/>
    <w:rsid w:val="00395791"/>
    <w:rsid w:val="00395943"/>
    <w:rsid w:val="00396267"/>
    <w:rsid w:val="00396757"/>
    <w:rsid w:val="0039712F"/>
    <w:rsid w:val="003972C2"/>
    <w:rsid w:val="00397814"/>
    <w:rsid w:val="003A002F"/>
    <w:rsid w:val="003A1562"/>
    <w:rsid w:val="003A1CD1"/>
    <w:rsid w:val="003A1EDC"/>
    <w:rsid w:val="003A2459"/>
    <w:rsid w:val="003A2CEE"/>
    <w:rsid w:val="003A2D14"/>
    <w:rsid w:val="003A38F9"/>
    <w:rsid w:val="003A39F1"/>
    <w:rsid w:val="003A4811"/>
    <w:rsid w:val="003A4D83"/>
    <w:rsid w:val="003A4D99"/>
    <w:rsid w:val="003A5C43"/>
    <w:rsid w:val="003A5C4E"/>
    <w:rsid w:val="003A5CCE"/>
    <w:rsid w:val="003A6008"/>
    <w:rsid w:val="003A6990"/>
    <w:rsid w:val="003A6EAA"/>
    <w:rsid w:val="003A7511"/>
    <w:rsid w:val="003A7663"/>
    <w:rsid w:val="003A78E7"/>
    <w:rsid w:val="003A7F9F"/>
    <w:rsid w:val="003B0945"/>
    <w:rsid w:val="003B0F90"/>
    <w:rsid w:val="003B1AA6"/>
    <w:rsid w:val="003B1B84"/>
    <w:rsid w:val="003B1BAB"/>
    <w:rsid w:val="003B1E81"/>
    <w:rsid w:val="003B1E95"/>
    <w:rsid w:val="003B2348"/>
    <w:rsid w:val="003B23BC"/>
    <w:rsid w:val="003B245B"/>
    <w:rsid w:val="003B2B4C"/>
    <w:rsid w:val="003B2E65"/>
    <w:rsid w:val="003B3BC1"/>
    <w:rsid w:val="003B3BFA"/>
    <w:rsid w:val="003B3F2C"/>
    <w:rsid w:val="003B3FED"/>
    <w:rsid w:val="003B45E1"/>
    <w:rsid w:val="003B52FE"/>
    <w:rsid w:val="003B6AEF"/>
    <w:rsid w:val="003B758A"/>
    <w:rsid w:val="003B77BD"/>
    <w:rsid w:val="003B7965"/>
    <w:rsid w:val="003C0014"/>
    <w:rsid w:val="003C0521"/>
    <w:rsid w:val="003C08DB"/>
    <w:rsid w:val="003C1617"/>
    <w:rsid w:val="003C1DD2"/>
    <w:rsid w:val="003C1E01"/>
    <w:rsid w:val="003C268A"/>
    <w:rsid w:val="003C2A49"/>
    <w:rsid w:val="003C2F70"/>
    <w:rsid w:val="003C319B"/>
    <w:rsid w:val="003C39F5"/>
    <w:rsid w:val="003C3CB5"/>
    <w:rsid w:val="003C4657"/>
    <w:rsid w:val="003C4C99"/>
    <w:rsid w:val="003C4D2F"/>
    <w:rsid w:val="003C50F2"/>
    <w:rsid w:val="003C54F9"/>
    <w:rsid w:val="003C5916"/>
    <w:rsid w:val="003C595A"/>
    <w:rsid w:val="003C5B21"/>
    <w:rsid w:val="003C620C"/>
    <w:rsid w:val="003C6426"/>
    <w:rsid w:val="003C661B"/>
    <w:rsid w:val="003C731B"/>
    <w:rsid w:val="003C73C3"/>
    <w:rsid w:val="003D0323"/>
    <w:rsid w:val="003D036D"/>
    <w:rsid w:val="003D0461"/>
    <w:rsid w:val="003D04A2"/>
    <w:rsid w:val="003D0802"/>
    <w:rsid w:val="003D0D44"/>
    <w:rsid w:val="003D10ED"/>
    <w:rsid w:val="003D1143"/>
    <w:rsid w:val="003D1409"/>
    <w:rsid w:val="003D2214"/>
    <w:rsid w:val="003D25AA"/>
    <w:rsid w:val="003D2974"/>
    <w:rsid w:val="003D2F6B"/>
    <w:rsid w:val="003D2FCB"/>
    <w:rsid w:val="003D3668"/>
    <w:rsid w:val="003D3A62"/>
    <w:rsid w:val="003D4045"/>
    <w:rsid w:val="003D4945"/>
    <w:rsid w:val="003D4E9A"/>
    <w:rsid w:val="003D5584"/>
    <w:rsid w:val="003D5A7B"/>
    <w:rsid w:val="003D6931"/>
    <w:rsid w:val="003D6DE8"/>
    <w:rsid w:val="003D7065"/>
    <w:rsid w:val="003D713C"/>
    <w:rsid w:val="003D72A7"/>
    <w:rsid w:val="003D776E"/>
    <w:rsid w:val="003D7AFC"/>
    <w:rsid w:val="003E06D6"/>
    <w:rsid w:val="003E0883"/>
    <w:rsid w:val="003E0957"/>
    <w:rsid w:val="003E1039"/>
    <w:rsid w:val="003E18F2"/>
    <w:rsid w:val="003E19D9"/>
    <w:rsid w:val="003E21FD"/>
    <w:rsid w:val="003E2417"/>
    <w:rsid w:val="003E2686"/>
    <w:rsid w:val="003E26B2"/>
    <w:rsid w:val="003E3583"/>
    <w:rsid w:val="003E381B"/>
    <w:rsid w:val="003E3A12"/>
    <w:rsid w:val="003E40F3"/>
    <w:rsid w:val="003E52A7"/>
    <w:rsid w:val="003E5330"/>
    <w:rsid w:val="003E554D"/>
    <w:rsid w:val="003E560B"/>
    <w:rsid w:val="003E5886"/>
    <w:rsid w:val="003E5C07"/>
    <w:rsid w:val="003E6138"/>
    <w:rsid w:val="003E61E0"/>
    <w:rsid w:val="003E69C9"/>
    <w:rsid w:val="003E6A81"/>
    <w:rsid w:val="003E6B9B"/>
    <w:rsid w:val="003E7043"/>
    <w:rsid w:val="003E7533"/>
    <w:rsid w:val="003E7976"/>
    <w:rsid w:val="003F02DF"/>
    <w:rsid w:val="003F12FC"/>
    <w:rsid w:val="003F14E8"/>
    <w:rsid w:val="003F1A14"/>
    <w:rsid w:val="003F1E38"/>
    <w:rsid w:val="003F2665"/>
    <w:rsid w:val="003F272B"/>
    <w:rsid w:val="003F27D8"/>
    <w:rsid w:val="003F39F8"/>
    <w:rsid w:val="003F3E0E"/>
    <w:rsid w:val="003F422D"/>
    <w:rsid w:val="003F4898"/>
    <w:rsid w:val="003F493C"/>
    <w:rsid w:val="003F4BAA"/>
    <w:rsid w:val="003F523A"/>
    <w:rsid w:val="003F55C5"/>
    <w:rsid w:val="003F57E8"/>
    <w:rsid w:val="003F5E51"/>
    <w:rsid w:val="003F6061"/>
    <w:rsid w:val="003F607A"/>
    <w:rsid w:val="003F6D01"/>
    <w:rsid w:val="003F6EBC"/>
    <w:rsid w:val="003F6F0F"/>
    <w:rsid w:val="003F77E6"/>
    <w:rsid w:val="003F7F50"/>
    <w:rsid w:val="003F7F8E"/>
    <w:rsid w:val="00400276"/>
    <w:rsid w:val="00400A3F"/>
    <w:rsid w:val="00400FF8"/>
    <w:rsid w:val="0040126E"/>
    <w:rsid w:val="0040155D"/>
    <w:rsid w:val="00401688"/>
    <w:rsid w:val="00401FD3"/>
    <w:rsid w:val="00402971"/>
    <w:rsid w:val="00402976"/>
    <w:rsid w:val="00402F44"/>
    <w:rsid w:val="0040332F"/>
    <w:rsid w:val="00403C80"/>
    <w:rsid w:val="00403D12"/>
    <w:rsid w:val="00404228"/>
    <w:rsid w:val="0040454A"/>
    <w:rsid w:val="0040460E"/>
    <w:rsid w:val="004048D6"/>
    <w:rsid w:val="00404BDF"/>
    <w:rsid w:val="00404C87"/>
    <w:rsid w:val="0040505B"/>
    <w:rsid w:val="0040556A"/>
    <w:rsid w:val="004059BF"/>
    <w:rsid w:val="00405A34"/>
    <w:rsid w:val="00405CA3"/>
    <w:rsid w:val="004060AD"/>
    <w:rsid w:val="00406F56"/>
    <w:rsid w:val="00406FB3"/>
    <w:rsid w:val="00407751"/>
    <w:rsid w:val="00407A0B"/>
    <w:rsid w:val="00407C20"/>
    <w:rsid w:val="00407D63"/>
    <w:rsid w:val="00410833"/>
    <w:rsid w:val="004108BE"/>
    <w:rsid w:val="00410A07"/>
    <w:rsid w:val="00410BA0"/>
    <w:rsid w:val="00410FF4"/>
    <w:rsid w:val="004113CC"/>
    <w:rsid w:val="00411B46"/>
    <w:rsid w:val="00411D9A"/>
    <w:rsid w:val="0041256C"/>
    <w:rsid w:val="0041298C"/>
    <w:rsid w:val="004133F2"/>
    <w:rsid w:val="00413994"/>
    <w:rsid w:val="00413AAA"/>
    <w:rsid w:val="00413DD4"/>
    <w:rsid w:val="00414384"/>
    <w:rsid w:val="00414FDA"/>
    <w:rsid w:val="004152D9"/>
    <w:rsid w:val="0041551B"/>
    <w:rsid w:val="004163A1"/>
    <w:rsid w:val="00416493"/>
    <w:rsid w:val="00416FC3"/>
    <w:rsid w:val="0041713E"/>
    <w:rsid w:val="0041743D"/>
    <w:rsid w:val="00417442"/>
    <w:rsid w:val="00417D11"/>
    <w:rsid w:val="00417ECC"/>
    <w:rsid w:val="004207BC"/>
    <w:rsid w:val="00420D7A"/>
    <w:rsid w:val="00421283"/>
    <w:rsid w:val="00421517"/>
    <w:rsid w:val="00421D3F"/>
    <w:rsid w:val="00421D43"/>
    <w:rsid w:val="00421DEA"/>
    <w:rsid w:val="004224D8"/>
    <w:rsid w:val="004226DC"/>
    <w:rsid w:val="00422AD6"/>
    <w:rsid w:val="00422EBC"/>
    <w:rsid w:val="00423785"/>
    <w:rsid w:val="004239F8"/>
    <w:rsid w:val="00423B76"/>
    <w:rsid w:val="00424F9B"/>
    <w:rsid w:val="00425195"/>
    <w:rsid w:val="0042578F"/>
    <w:rsid w:val="0042595F"/>
    <w:rsid w:val="00425E43"/>
    <w:rsid w:val="00425F97"/>
    <w:rsid w:val="004266BA"/>
    <w:rsid w:val="004267D1"/>
    <w:rsid w:val="00426F1D"/>
    <w:rsid w:val="00427092"/>
    <w:rsid w:val="0042709D"/>
    <w:rsid w:val="0042717B"/>
    <w:rsid w:val="004275B3"/>
    <w:rsid w:val="00427B75"/>
    <w:rsid w:val="00427C6E"/>
    <w:rsid w:val="0043008D"/>
    <w:rsid w:val="00430393"/>
    <w:rsid w:val="004306AC"/>
    <w:rsid w:val="00430E4C"/>
    <w:rsid w:val="00430F7D"/>
    <w:rsid w:val="00431477"/>
    <w:rsid w:val="004314B5"/>
    <w:rsid w:val="00431C2D"/>
    <w:rsid w:val="00431CC8"/>
    <w:rsid w:val="004321CC"/>
    <w:rsid w:val="00432403"/>
    <w:rsid w:val="0043248B"/>
    <w:rsid w:val="004328B8"/>
    <w:rsid w:val="00432F05"/>
    <w:rsid w:val="00433123"/>
    <w:rsid w:val="0043319B"/>
    <w:rsid w:val="00433243"/>
    <w:rsid w:val="00433739"/>
    <w:rsid w:val="0043395F"/>
    <w:rsid w:val="00433E1D"/>
    <w:rsid w:val="0043405A"/>
    <w:rsid w:val="0043437C"/>
    <w:rsid w:val="00434633"/>
    <w:rsid w:val="0043463D"/>
    <w:rsid w:val="00435EE5"/>
    <w:rsid w:val="00436922"/>
    <w:rsid w:val="00436CA1"/>
    <w:rsid w:val="0043739E"/>
    <w:rsid w:val="00437AC3"/>
    <w:rsid w:val="004400B3"/>
    <w:rsid w:val="004401C8"/>
    <w:rsid w:val="0044025D"/>
    <w:rsid w:val="004403F8"/>
    <w:rsid w:val="00440D9A"/>
    <w:rsid w:val="0044148A"/>
    <w:rsid w:val="00441621"/>
    <w:rsid w:val="0044166F"/>
    <w:rsid w:val="00441688"/>
    <w:rsid w:val="00441C86"/>
    <w:rsid w:val="00441F91"/>
    <w:rsid w:val="0044227F"/>
    <w:rsid w:val="00442320"/>
    <w:rsid w:val="0044243A"/>
    <w:rsid w:val="00442516"/>
    <w:rsid w:val="00442675"/>
    <w:rsid w:val="00443516"/>
    <w:rsid w:val="00444673"/>
    <w:rsid w:val="00444B09"/>
    <w:rsid w:val="00445C23"/>
    <w:rsid w:val="00445D0B"/>
    <w:rsid w:val="0044673B"/>
    <w:rsid w:val="00446F24"/>
    <w:rsid w:val="004478BE"/>
    <w:rsid w:val="0045066F"/>
    <w:rsid w:val="00451123"/>
    <w:rsid w:val="00451629"/>
    <w:rsid w:val="004517C2"/>
    <w:rsid w:val="00451A97"/>
    <w:rsid w:val="00451C24"/>
    <w:rsid w:val="00452AA1"/>
    <w:rsid w:val="00452D26"/>
    <w:rsid w:val="00452DB7"/>
    <w:rsid w:val="00452DBC"/>
    <w:rsid w:val="00453142"/>
    <w:rsid w:val="00453524"/>
    <w:rsid w:val="00453684"/>
    <w:rsid w:val="00454243"/>
    <w:rsid w:val="004542D5"/>
    <w:rsid w:val="004546AC"/>
    <w:rsid w:val="00454F19"/>
    <w:rsid w:val="00455048"/>
    <w:rsid w:val="00455552"/>
    <w:rsid w:val="00455A3E"/>
    <w:rsid w:val="004562A4"/>
    <w:rsid w:val="004567A4"/>
    <w:rsid w:val="0045689E"/>
    <w:rsid w:val="004572DB"/>
    <w:rsid w:val="0045770D"/>
    <w:rsid w:val="0045771D"/>
    <w:rsid w:val="00457FD2"/>
    <w:rsid w:val="004603C4"/>
    <w:rsid w:val="00460917"/>
    <w:rsid w:val="00460B17"/>
    <w:rsid w:val="00460B8A"/>
    <w:rsid w:val="00461104"/>
    <w:rsid w:val="004613C3"/>
    <w:rsid w:val="004614DB"/>
    <w:rsid w:val="00461587"/>
    <w:rsid w:val="004615AE"/>
    <w:rsid w:val="00461BA8"/>
    <w:rsid w:val="00461D8B"/>
    <w:rsid w:val="00461F96"/>
    <w:rsid w:val="00462CF4"/>
    <w:rsid w:val="004631C8"/>
    <w:rsid w:val="00463328"/>
    <w:rsid w:val="00463347"/>
    <w:rsid w:val="0046361C"/>
    <w:rsid w:val="00463968"/>
    <w:rsid w:val="00463EFE"/>
    <w:rsid w:val="0046428C"/>
    <w:rsid w:val="004645D1"/>
    <w:rsid w:val="0046494E"/>
    <w:rsid w:val="004650D3"/>
    <w:rsid w:val="00465388"/>
    <w:rsid w:val="004655EA"/>
    <w:rsid w:val="004657A6"/>
    <w:rsid w:val="004662E6"/>
    <w:rsid w:val="00466A57"/>
    <w:rsid w:val="00467517"/>
    <w:rsid w:val="0046792D"/>
    <w:rsid w:val="00467D88"/>
    <w:rsid w:val="00467E4F"/>
    <w:rsid w:val="00467EF3"/>
    <w:rsid w:val="004708F6"/>
    <w:rsid w:val="00470C1B"/>
    <w:rsid w:val="00470CD1"/>
    <w:rsid w:val="00471022"/>
    <w:rsid w:val="0047137E"/>
    <w:rsid w:val="00471451"/>
    <w:rsid w:val="0047199D"/>
    <w:rsid w:val="00471AF8"/>
    <w:rsid w:val="00471C41"/>
    <w:rsid w:val="00471F99"/>
    <w:rsid w:val="00472DBB"/>
    <w:rsid w:val="00473475"/>
    <w:rsid w:val="00473637"/>
    <w:rsid w:val="0047406C"/>
    <w:rsid w:val="00474CB2"/>
    <w:rsid w:val="00474E69"/>
    <w:rsid w:val="004751E2"/>
    <w:rsid w:val="004751E8"/>
    <w:rsid w:val="00475A9C"/>
    <w:rsid w:val="00475AA7"/>
    <w:rsid w:val="00475F26"/>
    <w:rsid w:val="004763A4"/>
    <w:rsid w:val="0047733C"/>
    <w:rsid w:val="004779D5"/>
    <w:rsid w:val="00477A03"/>
    <w:rsid w:val="00477D3F"/>
    <w:rsid w:val="00477F06"/>
    <w:rsid w:val="0048056E"/>
    <w:rsid w:val="00480590"/>
    <w:rsid w:val="004808FA"/>
    <w:rsid w:val="00481028"/>
    <w:rsid w:val="004811A6"/>
    <w:rsid w:val="004814DB"/>
    <w:rsid w:val="00481C56"/>
    <w:rsid w:val="00481E64"/>
    <w:rsid w:val="00482383"/>
    <w:rsid w:val="00482C76"/>
    <w:rsid w:val="004830FA"/>
    <w:rsid w:val="00483217"/>
    <w:rsid w:val="004832BF"/>
    <w:rsid w:val="00483742"/>
    <w:rsid w:val="00483E07"/>
    <w:rsid w:val="00484320"/>
    <w:rsid w:val="004845C6"/>
    <w:rsid w:val="00484D31"/>
    <w:rsid w:val="00484E71"/>
    <w:rsid w:val="004851FC"/>
    <w:rsid w:val="00485212"/>
    <w:rsid w:val="004863F2"/>
    <w:rsid w:val="00486D46"/>
    <w:rsid w:val="00487291"/>
    <w:rsid w:val="004872C6"/>
    <w:rsid w:val="0048749F"/>
    <w:rsid w:val="00487AFC"/>
    <w:rsid w:val="00487BDF"/>
    <w:rsid w:val="00490074"/>
    <w:rsid w:val="004903FB"/>
    <w:rsid w:val="00490AC4"/>
    <w:rsid w:val="00490B0F"/>
    <w:rsid w:val="0049157C"/>
    <w:rsid w:val="00491611"/>
    <w:rsid w:val="004916E2"/>
    <w:rsid w:val="004917EF"/>
    <w:rsid w:val="004918E3"/>
    <w:rsid w:val="0049263D"/>
    <w:rsid w:val="00492741"/>
    <w:rsid w:val="004928EC"/>
    <w:rsid w:val="00492C9D"/>
    <w:rsid w:val="004935C4"/>
    <w:rsid w:val="004935FF"/>
    <w:rsid w:val="00493C03"/>
    <w:rsid w:val="00493EAE"/>
    <w:rsid w:val="0049415C"/>
    <w:rsid w:val="00494BD4"/>
    <w:rsid w:val="00495152"/>
    <w:rsid w:val="004951AD"/>
    <w:rsid w:val="00495403"/>
    <w:rsid w:val="00495A07"/>
    <w:rsid w:val="00495DDC"/>
    <w:rsid w:val="00496B5F"/>
    <w:rsid w:val="00496B91"/>
    <w:rsid w:val="004974D5"/>
    <w:rsid w:val="004978AE"/>
    <w:rsid w:val="00497C81"/>
    <w:rsid w:val="004A0138"/>
    <w:rsid w:val="004A03DE"/>
    <w:rsid w:val="004A041C"/>
    <w:rsid w:val="004A06B1"/>
    <w:rsid w:val="004A06CD"/>
    <w:rsid w:val="004A0D47"/>
    <w:rsid w:val="004A13FC"/>
    <w:rsid w:val="004A147A"/>
    <w:rsid w:val="004A172A"/>
    <w:rsid w:val="004A1AFA"/>
    <w:rsid w:val="004A23E5"/>
    <w:rsid w:val="004A32CD"/>
    <w:rsid w:val="004A32F5"/>
    <w:rsid w:val="004A34BF"/>
    <w:rsid w:val="004A404E"/>
    <w:rsid w:val="004A4B6F"/>
    <w:rsid w:val="004A4CF9"/>
    <w:rsid w:val="004A4DF8"/>
    <w:rsid w:val="004A51C9"/>
    <w:rsid w:val="004A521D"/>
    <w:rsid w:val="004A5555"/>
    <w:rsid w:val="004A5841"/>
    <w:rsid w:val="004A59BD"/>
    <w:rsid w:val="004A5AB0"/>
    <w:rsid w:val="004A61B1"/>
    <w:rsid w:val="004A61CD"/>
    <w:rsid w:val="004A6968"/>
    <w:rsid w:val="004A7234"/>
    <w:rsid w:val="004A758F"/>
    <w:rsid w:val="004A7B08"/>
    <w:rsid w:val="004A7D90"/>
    <w:rsid w:val="004B0031"/>
    <w:rsid w:val="004B00EB"/>
    <w:rsid w:val="004B022F"/>
    <w:rsid w:val="004B04BB"/>
    <w:rsid w:val="004B074B"/>
    <w:rsid w:val="004B0814"/>
    <w:rsid w:val="004B09DB"/>
    <w:rsid w:val="004B0F29"/>
    <w:rsid w:val="004B16B7"/>
    <w:rsid w:val="004B1A12"/>
    <w:rsid w:val="004B1B20"/>
    <w:rsid w:val="004B1C7E"/>
    <w:rsid w:val="004B1D40"/>
    <w:rsid w:val="004B1D93"/>
    <w:rsid w:val="004B20D2"/>
    <w:rsid w:val="004B2964"/>
    <w:rsid w:val="004B3129"/>
    <w:rsid w:val="004B32DC"/>
    <w:rsid w:val="004B35D1"/>
    <w:rsid w:val="004B39ED"/>
    <w:rsid w:val="004B3DB6"/>
    <w:rsid w:val="004B4006"/>
    <w:rsid w:val="004B4208"/>
    <w:rsid w:val="004B460B"/>
    <w:rsid w:val="004B478C"/>
    <w:rsid w:val="004B47C2"/>
    <w:rsid w:val="004B4DA4"/>
    <w:rsid w:val="004B5B1C"/>
    <w:rsid w:val="004B5D59"/>
    <w:rsid w:val="004B5FF8"/>
    <w:rsid w:val="004B65F6"/>
    <w:rsid w:val="004B6848"/>
    <w:rsid w:val="004B710C"/>
    <w:rsid w:val="004B7C02"/>
    <w:rsid w:val="004B7D36"/>
    <w:rsid w:val="004C0634"/>
    <w:rsid w:val="004C08B1"/>
    <w:rsid w:val="004C1D52"/>
    <w:rsid w:val="004C1ED4"/>
    <w:rsid w:val="004C20A0"/>
    <w:rsid w:val="004C2596"/>
    <w:rsid w:val="004C2CFF"/>
    <w:rsid w:val="004C2E81"/>
    <w:rsid w:val="004C2EAB"/>
    <w:rsid w:val="004C2F7A"/>
    <w:rsid w:val="004C2F93"/>
    <w:rsid w:val="004C35E9"/>
    <w:rsid w:val="004C3887"/>
    <w:rsid w:val="004C409A"/>
    <w:rsid w:val="004C43FD"/>
    <w:rsid w:val="004C4614"/>
    <w:rsid w:val="004C47EB"/>
    <w:rsid w:val="004C4815"/>
    <w:rsid w:val="004C4921"/>
    <w:rsid w:val="004C59C4"/>
    <w:rsid w:val="004C5BA6"/>
    <w:rsid w:val="004C65BE"/>
    <w:rsid w:val="004C73DE"/>
    <w:rsid w:val="004C73F9"/>
    <w:rsid w:val="004C759E"/>
    <w:rsid w:val="004C7922"/>
    <w:rsid w:val="004C7ACF"/>
    <w:rsid w:val="004C7EFD"/>
    <w:rsid w:val="004D0A04"/>
    <w:rsid w:val="004D0BB3"/>
    <w:rsid w:val="004D223D"/>
    <w:rsid w:val="004D27F1"/>
    <w:rsid w:val="004D2965"/>
    <w:rsid w:val="004D2EB7"/>
    <w:rsid w:val="004D3109"/>
    <w:rsid w:val="004D31F5"/>
    <w:rsid w:val="004D361E"/>
    <w:rsid w:val="004D4DDE"/>
    <w:rsid w:val="004D4F94"/>
    <w:rsid w:val="004D52F6"/>
    <w:rsid w:val="004D5553"/>
    <w:rsid w:val="004D597A"/>
    <w:rsid w:val="004D606F"/>
    <w:rsid w:val="004D62DD"/>
    <w:rsid w:val="004D6875"/>
    <w:rsid w:val="004D7DA6"/>
    <w:rsid w:val="004E0975"/>
    <w:rsid w:val="004E0B32"/>
    <w:rsid w:val="004E102B"/>
    <w:rsid w:val="004E12B3"/>
    <w:rsid w:val="004E13E8"/>
    <w:rsid w:val="004E27E7"/>
    <w:rsid w:val="004E3250"/>
    <w:rsid w:val="004E3B0F"/>
    <w:rsid w:val="004E3DCF"/>
    <w:rsid w:val="004E4648"/>
    <w:rsid w:val="004E4AE9"/>
    <w:rsid w:val="004E5242"/>
    <w:rsid w:val="004E527C"/>
    <w:rsid w:val="004E5343"/>
    <w:rsid w:val="004E5530"/>
    <w:rsid w:val="004E57E2"/>
    <w:rsid w:val="004E5E0D"/>
    <w:rsid w:val="004E65F0"/>
    <w:rsid w:val="004E69AD"/>
    <w:rsid w:val="004E6B97"/>
    <w:rsid w:val="004E7264"/>
    <w:rsid w:val="004E72A5"/>
    <w:rsid w:val="004E778B"/>
    <w:rsid w:val="004E77A7"/>
    <w:rsid w:val="004E77EA"/>
    <w:rsid w:val="004E7F65"/>
    <w:rsid w:val="004EE167"/>
    <w:rsid w:val="004F009D"/>
    <w:rsid w:val="004F0105"/>
    <w:rsid w:val="004F0145"/>
    <w:rsid w:val="004F01F0"/>
    <w:rsid w:val="004F0255"/>
    <w:rsid w:val="004F0D59"/>
    <w:rsid w:val="004F1025"/>
    <w:rsid w:val="004F173B"/>
    <w:rsid w:val="004F1CDF"/>
    <w:rsid w:val="004F221E"/>
    <w:rsid w:val="004F2F61"/>
    <w:rsid w:val="004F2F9E"/>
    <w:rsid w:val="004F374C"/>
    <w:rsid w:val="004F3914"/>
    <w:rsid w:val="004F3DF2"/>
    <w:rsid w:val="004F3F49"/>
    <w:rsid w:val="004F4919"/>
    <w:rsid w:val="004F5092"/>
    <w:rsid w:val="004F509C"/>
    <w:rsid w:val="004F5329"/>
    <w:rsid w:val="004F5370"/>
    <w:rsid w:val="004F5CC3"/>
    <w:rsid w:val="004F5DD3"/>
    <w:rsid w:val="004F5E0A"/>
    <w:rsid w:val="004F68C0"/>
    <w:rsid w:val="004F6CBA"/>
    <w:rsid w:val="004F7702"/>
    <w:rsid w:val="004F784F"/>
    <w:rsid w:val="004F7A4C"/>
    <w:rsid w:val="004F7A51"/>
    <w:rsid w:val="0050011B"/>
    <w:rsid w:val="0050053A"/>
    <w:rsid w:val="00500542"/>
    <w:rsid w:val="00500A03"/>
    <w:rsid w:val="005016B5"/>
    <w:rsid w:val="005019EC"/>
    <w:rsid w:val="00501D5E"/>
    <w:rsid w:val="00501F08"/>
    <w:rsid w:val="00502566"/>
    <w:rsid w:val="005027D7"/>
    <w:rsid w:val="005028C5"/>
    <w:rsid w:val="005029AD"/>
    <w:rsid w:val="00502DA2"/>
    <w:rsid w:val="00502E93"/>
    <w:rsid w:val="0050386B"/>
    <w:rsid w:val="00503895"/>
    <w:rsid w:val="005039EE"/>
    <w:rsid w:val="00503BB6"/>
    <w:rsid w:val="00503CE2"/>
    <w:rsid w:val="00503D0C"/>
    <w:rsid w:val="00503F7A"/>
    <w:rsid w:val="005045E9"/>
    <w:rsid w:val="00504A1C"/>
    <w:rsid w:val="00504D88"/>
    <w:rsid w:val="00505870"/>
    <w:rsid w:val="00505CE9"/>
    <w:rsid w:val="00506025"/>
    <w:rsid w:val="005067CE"/>
    <w:rsid w:val="005068F7"/>
    <w:rsid w:val="00507086"/>
    <w:rsid w:val="00510DE5"/>
    <w:rsid w:val="005115D6"/>
    <w:rsid w:val="00511A56"/>
    <w:rsid w:val="00511BB9"/>
    <w:rsid w:val="00511DA2"/>
    <w:rsid w:val="005126D1"/>
    <w:rsid w:val="00512A6D"/>
    <w:rsid w:val="00512AAC"/>
    <w:rsid w:val="00513960"/>
    <w:rsid w:val="00513AF1"/>
    <w:rsid w:val="00513F8A"/>
    <w:rsid w:val="00514733"/>
    <w:rsid w:val="00514E04"/>
    <w:rsid w:val="00514FE5"/>
    <w:rsid w:val="00515155"/>
    <w:rsid w:val="00515FAE"/>
    <w:rsid w:val="00516168"/>
    <w:rsid w:val="00516332"/>
    <w:rsid w:val="00516B33"/>
    <w:rsid w:val="00517C23"/>
    <w:rsid w:val="00517E88"/>
    <w:rsid w:val="00517F61"/>
    <w:rsid w:val="00520259"/>
    <w:rsid w:val="00520A11"/>
    <w:rsid w:val="0052146F"/>
    <w:rsid w:val="00521632"/>
    <w:rsid w:val="00521850"/>
    <w:rsid w:val="00521AF0"/>
    <w:rsid w:val="00521C49"/>
    <w:rsid w:val="005229E7"/>
    <w:rsid w:val="00522A5F"/>
    <w:rsid w:val="00522B37"/>
    <w:rsid w:val="00523238"/>
    <w:rsid w:val="005236B0"/>
    <w:rsid w:val="0052375C"/>
    <w:rsid w:val="00523B45"/>
    <w:rsid w:val="00523F01"/>
    <w:rsid w:val="00524565"/>
    <w:rsid w:val="005247FA"/>
    <w:rsid w:val="00525E6D"/>
    <w:rsid w:val="00526256"/>
    <w:rsid w:val="005262F2"/>
    <w:rsid w:val="005266B6"/>
    <w:rsid w:val="00526EBD"/>
    <w:rsid w:val="00527546"/>
    <w:rsid w:val="005275FA"/>
    <w:rsid w:val="00527665"/>
    <w:rsid w:val="00527C28"/>
    <w:rsid w:val="00530234"/>
    <w:rsid w:val="005306EE"/>
    <w:rsid w:val="00530A7D"/>
    <w:rsid w:val="0053135C"/>
    <w:rsid w:val="00531B30"/>
    <w:rsid w:val="0053233D"/>
    <w:rsid w:val="00532666"/>
    <w:rsid w:val="005326F5"/>
    <w:rsid w:val="00532F1C"/>
    <w:rsid w:val="00532FA5"/>
    <w:rsid w:val="0053362A"/>
    <w:rsid w:val="00533AF5"/>
    <w:rsid w:val="00533C69"/>
    <w:rsid w:val="00534691"/>
    <w:rsid w:val="00534E20"/>
    <w:rsid w:val="0053553C"/>
    <w:rsid w:val="005360DF"/>
    <w:rsid w:val="00536527"/>
    <w:rsid w:val="00536A84"/>
    <w:rsid w:val="00536A8F"/>
    <w:rsid w:val="00536E73"/>
    <w:rsid w:val="005374FC"/>
    <w:rsid w:val="005377D8"/>
    <w:rsid w:val="00537B13"/>
    <w:rsid w:val="00537C3B"/>
    <w:rsid w:val="00537FD2"/>
    <w:rsid w:val="00540245"/>
    <w:rsid w:val="005407DA"/>
    <w:rsid w:val="00541191"/>
    <w:rsid w:val="005417C7"/>
    <w:rsid w:val="00542926"/>
    <w:rsid w:val="00542DBD"/>
    <w:rsid w:val="005433D4"/>
    <w:rsid w:val="00543429"/>
    <w:rsid w:val="00543442"/>
    <w:rsid w:val="0054346F"/>
    <w:rsid w:val="00543872"/>
    <w:rsid w:val="00544773"/>
    <w:rsid w:val="00545FC1"/>
    <w:rsid w:val="00546BF8"/>
    <w:rsid w:val="005470E0"/>
    <w:rsid w:val="0054753E"/>
    <w:rsid w:val="005478EC"/>
    <w:rsid w:val="00547DE6"/>
    <w:rsid w:val="005502FF"/>
    <w:rsid w:val="005504BB"/>
    <w:rsid w:val="00550541"/>
    <w:rsid w:val="00550A02"/>
    <w:rsid w:val="005512F5"/>
    <w:rsid w:val="00551489"/>
    <w:rsid w:val="0055169E"/>
    <w:rsid w:val="0055184A"/>
    <w:rsid w:val="00551C6B"/>
    <w:rsid w:val="00551D97"/>
    <w:rsid w:val="00551DD2"/>
    <w:rsid w:val="00551E64"/>
    <w:rsid w:val="00552038"/>
    <w:rsid w:val="0055220A"/>
    <w:rsid w:val="00552335"/>
    <w:rsid w:val="00552745"/>
    <w:rsid w:val="00552A83"/>
    <w:rsid w:val="00552B5D"/>
    <w:rsid w:val="00552E50"/>
    <w:rsid w:val="00552E82"/>
    <w:rsid w:val="005536A4"/>
    <w:rsid w:val="00553E51"/>
    <w:rsid w:val="00553F29"/>
    <w:rsid w:val="0055436A"/>
    <w:rsid w:val="00554956"/>
    <w:rsid w:val="00555F95"/>
    <w:rsid w:val="00556579"/>
    <w:rsid w:val="00556912"/>
    <w:rsid w:val="00556BB6"/>
    <w:rsid w:val="00557829"/>
    <w:rsid w:val="00557A71"/>
    <w:rsid w:val="00557DCA"/>
    <w:rsid w:val="0056034B"/>
    <w:rsid w:val="005604DB"/>
    <w:rsid w:val="00560645"/>
    <w:rsid w:val="00560856"/>
    <w:rsid w:val="0056097D"/>
    <w:rsid w:val="00560F2B"/>
    <w:rsid w:val="00561218"/>
    <w:rsid w:val="005613B2"/>
    <w:rsid w:val="00561E08"/>
    <w:rsid w:val="0056238E"/>
    <w:rsid w:val="00562CF0"/>
    <w:rsid w:val="0056319B"/>
    <w:rsid w:val="00563370"/>
    <w:rsid w:val="0056397A"/>
    <w:rsid w:val="00564183"/>
    <w:rsid w:val="005641BF"/>
    <w:rsid w:val="00564689"/>
    <w:rsid w:val="005649D6"/>
    <w:rsid w:val="00564CA6"/>
    <w:rsid w:val="00564D70"/>
    <w:rsid w:val="00564F10"/>
    <w:rsid w:val="005656AA"/>
    <w:rsid w:val="00565915"/>
    <w:rsid w:val="00565990"/>
    <w:rsid w:val="0056667A"/>
    <w:rsid w:val="00566720"/>
    <w:rsid w:val="00567533"/>
    <w:rsid w:val="005678A6"/>
    <w:rsid w:val="00567FC0"/>
    <w:rsid w:val="005701E8"/>
    <w:rsid w:val="00570673"/>
    <w:rsid w:val="00570B55"/>
    <w:rsid w:val="00570BC6"/>
    <w:rsid w:val="00570DA1"/>
    <w:rsid w:val="005715F0"/>
    <w:rsid w:val="00571A2E"/>
    <w:rsid w:val="00571B37"/>
    <w:rsid w:val="00571EAE"/>
    <w:rsid w:val="00571F71"/>
    <w:rsid w:val="00572DF1"/>
    <w:rsid w:val="00573074"/>
    <w:rsid w:val="00573326"/>
    <w:rsid w:val="005733D2"/>
    <w:rsid w:val="00573742"/>
    <w:rsid w:val="00573DEE"/>
    <w:rsid w:val="00573F43"/>
    <w:rsid w:val="00574281"/>
    <w:rsid w:val="005743BC"/>
    <w:rsid w:val="00574447"/>
    <w:rsid w:val="005744DF"/>
    <w:rsid w:val="005745CA"/>
    <w:rsid w:val="00574653"/>
    <w:rsid w:val="005746B4"/>
    <w:rsid w:val="00575672"/>
    <w:rsid w:val="00575DE7"/>
    <w:rsid w:val="00576298"/>
    <w:rsid w:val="00576345"/>
    <w:rsid w:val="0057675A"/>
    <w:rsid w:val="00576F32"/>
    <w:rsid w:val="005775CC"/>
    <w:rsid w:val="00577930"/>
    <w:rsid w:val="00577DEF"/>
    <w:rsid w:val="00580782"/>
    <w:rsid w:val="005807CF"/>
    <w:rsid w:val="00580A64"/>
    <w:rsid w:val="0058123C"/>
    <w:rsid w:val="005815E4"/>
    <w:rsid w:val="00581D5C"/>
    <w:rsid w:val="005823F0"/>
    <w:rsid w:val="00582C67"/>
    <w:rsid w:val="00583509"/>
    <w:rsid w:val="00583525"/>
    <w:rsid w:val="005835C4"/>
    <w:rsid w:val="0058484D"/>
    <w:rsid w:val="00584E81"/>
    <w:rsid w:val="00584F95"/>
    <w:rsid w:val="00585349"/>
    <w:rsid w:val="00585667"/>
    <w:rsid w:val="005857B4"/>
    <w:rsid w:val="00585A23"/>
    <w:rsid w:val="00586544"/>
    <w:rsid w:val="0058659E"/>
    <w:rsid w:val="00586C48"/>
    <w:rsid w:val="00586C96"/>
    <w:rsid w:val="00586D04"/>
    <w:rsid w:val="005874B1"/>
    <w:rsid w:val="00587635"/>
    <w:rsid w:val="0058791C"/>
    <w:rsid w:val="00590B57"/>
    <w:rsid w:val="00590C74"/>
    <w:rsid w:val="00591487"/>
    <w:rsid w:val="0059294C"/>
    <w:rsid w:val="00592CE1"/>
    <w:rsid w:val="00592DDE"/>
    <w:rsid w:val="0059307B"/>
    <w:rsid w:val="005931FD"/>
    <w:rsid w:val="0059329E"/>
    <w:rsid w:val="0059378F"/>
    <w:rsid w:val="00593C81"/>
    <w:rsid w:val="00593EB7"/>
    <w:rsid w:val="0059533D"/>
    <w:rsid w:val="0059581B"/>
    <w:rsid w:val="005958C1"/>
    <w:rsid w:val="00595E75"/>
    <w:rsid w:val="005965B9"/>
    <w:rsid w:val="00596786"/>
    <w:rsid w:val="005968A0"/>
    <w:rsid w:val="00596942"/>
    <w:rsid w:val="00596DFF"/>
    <w:rsid w:val="005977A6"/>
    <w:rsid w:val="00597B2C"/>
    <w:rsid w:val="00597FC7"/>
    <w:rsid w:val="005A01FC"/>
    <w:rsid w:val="005A08AA"/>
    <w:rsid w:val="005A0C25"/>
    <w:rsid w:val="005A20AB"/>
    <w:rsid w:val="005A225E"/>
    <w:rsid w:val="005A231E"/>
    <w:rsid w:val="005A2743"/>
    <w:rsid w:val="005A28F6"/>
    <w:rsid w:val="005A2B41"/>
    <w:rsid w:val="005A2EC3"/>
    <w:rsid w:val="005A3A7E"/>
    <w:rsid w:val="005A4214"/>
    <w:rsid w:val="005A42C8"/>
    <w:rsid w:val="005A44B7"/>
    <w:rsid w:val="005A45E9"/>
    <w:rsid w:val="005A48F8"/>
    <w:rsid w:val="005A6065"/>
    <w:rsid w:val="005A651B"/>
    <w:rsid w:val="005A72D0"/>
    <w:rsid w:val="005A75C9"/>
    <w:rsid w:val="005B01E9"/>
    <w:rsid w:val="005B076A"/>
    <w:rsid w:val="005B0AB8"/>
    <w:rsid w:val="005B10B6"/>
    <w:rsid w:val="005B10F6"/>
    <w:rsid w:val="005B12ED"/>
    <w:rsid w:val="005B1544"/>
    <w:rsid w:val="005B187D"/>
    <w:rsid w:val="005B1945"/>
    <w:rsid w:val="005B21DE"/>
    <w:rsid w:val="005B22B9"/>
    <w:rsid w:val="005B26F9"/>
    <w:rsid w:val="005B2E25"/>
    <w:rsid w:val="005B2F1C"/>
    <w:rsid w:val="005B336D"/>
    <w:rsid w:val="005B3605"/>
    <w:rsid w:val="005B4341"/>
    <w:rsid w:val="005B44FB"/>
    <w:rsid w:val="005B464A"/>
    <w:rsid w:val="005B4803"/>
    <w:rsid w:val="005B4C9E"/>
    <w:rsid w:val="005B51A7"/>
    <w:rsid w:val="005B5326"/>
    <w:rsid w:val="005B5861"/>
    <w:rsid w:val="005B58F6"/>
    <w:rsid w:val="005B5CBD"/>
    <w:rsid w:val="005B635A"/>
    <w:rsid w:val="005B65C1"/>
    <w:rsid w:val="005B6F81"/>
    <w:rsid w:val="005B77DB"/>
    <w:rsid w:val="005B792C"/>
    <w:rsid w:val="005B7AA6"/>
    <w:rsid w:val="005B7AE5"/>
    <w:rsid w:val="005B7B59"/>
    <w:rsid w:val="005C032A"/>
    <w:rsid w:val="005C0769"/>
    <w:rsid w:val="005C080E"/>
    <w:rsid w:val="005C09BC"/>
    <w:rsid w:val="005C14A6"/>
    <w:rsid w:val="005C1BB6"/>
    <w:rsid w:val="005C2755"/>
    <w:rsid w:val="005C28D4"/>
    <w:rsid w:val="005C2A05"/>
    <w:rsid w:val="005C2DA4"/>
    <w:rsid w:val="005C3237"/>
    <w:rsid w:val="005C37A3"/>
    <w:rsid w:val="005C385A"/>
    <w:rsid w:val="005C38C4"/>
    <w:rsid w:val="005C3A4C"/>
    <w:rsid w:val="005C3D28"/>
    <w:rsid w:val="005C4403"/>
    <w:rsid w:val="005C4BA2"/>
    <w:rsid w:val="005C4CA2"/>
    <w:rsid w:val="005C5532"/>
    <w:rsid w:val="005C591A"/>
    <w:rsid w:val="005C5B0F"/>
    <w:rsid w:val="005C5B33"/>
    <w:rsid w:val="005C5CCC"/>
    <w:rsid w:val="005C5EE8"/>
    <w:rsid w:val="005C6002"/>
    <w:rsid w:val="005C6D2C"/>
    <w:rsid w:val="005C73D7"/>
    <w:rsid w:val="005D0429"/>
    <w:rsid w:val="005D0D06"/>
    <w:rsid w:val="005D176C"/>
    <w:rsid w:val="005D20CE"/>
    <w:rsid w:val="005D22ED"/>
    <w:rsid w:val="005D2458"/>
    <w:rsid w:val="005D25EE"/>
    <w:rsid w:val="005D2689"/>
    <w:rsid w:val="005D26A0"/>
    <w:rsid w:val="005D2990"/>
    <w:rsid w:val="005D29B5"/>
    <w:rsid w:val="005D2C2B"/>
    <w:rsid w:val="005D2E82"/>
    <w:rsid w:val="005D334E"/>
    <w:rsid w:val="005D3528"/>
    <w:rsid w:val="005D3AEA"/>
    <w:rsid w:val="005D4120"/>
    <w:rsid w:val="005D4573"/>
    <w:rsid w:val="005D4C90"/>
    <w:rsid w:val="005D4D24"/>
    <w:rsid w:val="005D5523"/>
    <w:rsid w:val="005D5971"/>
    <w:rsid w:val="005D5CC7"/>
    <w:rsid w:val="005D5E69"/>
    <w:rsid w:val="005D6154"/>
    <w:rsid w:val="005D69A8"/>
    <w:rsid w:val="005D7583"/>
    <w:rsid w:val="005D7746"/>
    <w:rsid w:val="005D7792"/>
    <w:rsid w:val="005D7EF0"/>
    <w:rsid w:val="005D7EF8"/>
    <w:rsid w:val="005E156A"/>
    <w:rsid w:val="005E1752"/>
    <w:rsid w:val="005E1B41"/>
    <w:rsid w:val="005E202E"/>
    <w:rsid w:val="005E304D"/>
    <w:rsid w:val="005E3870"/>
    <w:rsid w:val="005E3DC5"/>
    <w:rsid w:val="005E4C26"/>
    <w:rsid w:val="005E4EB7"/>
    <w:rsid w:val="005E522F"/>
    <w:rsid w:val="005E53D9"/>
    <w:rsid w:val="005E7162"/>
    <w:rsid w:val="005E7565"/>
    <w:rsid w:val="005F0144"/>
    <w:rsid w:val="005F084D"/>
    <w:rsid w:val="005F0C03"/>
    <w:rsid w:val="005F0CB5"/>
    <w:rsid w:val="005F1EC4"/>
    <w:rsid w:val="005F205D"/>
    <w:rsid w:val="005F2962"/>
    <w:rsid w:val="005F2AD5"/>
    <w:rsid w:val="005F3195"/>
    <w:rsid w:val="005F3C18"/>
    <w:rsid w:val="005F424D"/>
    <w:rsid w:val="005F50FA"/>
    <w:rsid w:val="005F5A0E"/>
    <w:rsid w:val="005F5D70"/>
    <w:rsid w:val="005F6B98"/>
    <w:rsid w:val="005F700B"/>
    <w:rsid w:val="005F72E9"/>
    <w:rsid w:val="005F7B0F"/>
    <w:rsid w:val="005F7D59"/>
    <w:rsid w:val="005F7F9F"/>
    <w:rsid w:val="006003F8"/>
    <w:rsid w:val="00600696"/>
    <w:rsid w:val="00600808"/>
    <w:rsid w:val="00600A7E"/>
    <w:rsid w:val="00600AEA"/>
    <w:rsid w:val="00601559"/>
    <w:rsid w:val="00601649"/>
    <w:rsid w:val="00601CDC"/>
    <w:rsid w:val="00601FA2"/>
    <w:rsid w:val="00602CA9"/>
    <w:rsid w:val="00603A02"/>
    <w:rsid w:val="00603CE3"/>
    <w:rsid w:val="006040A9"/>
    <w:rsid w:val="006043DD"/>
    <w:rsid w:val="00605033"/>
    <w:rsid w:val="00605465"/>
    <w:rsid w:val="00605522"/>
    <w:rsid w:val="00605BE7"/>
    <w:rsid w:val="0060609F"/>
    <w:rsid w:val="0060667C"/>
    <w:rsid w:val="00606776"/>
    <w:rsid w:val="0060688F"/>
    <w:rsid w:val="00606DD4"/>
    <w:rsid w:val="00606E9A"/>
    <w:rsid w:val="006070B4"/>
    <w:rsid w:val="006074D6"/>
    <w:rsid w:val="0060797D"/>
    <w:rsid w:val="00607A30"/>
    <w:rsid w:val="00607BFC"/>
    <w:rsid w:val="00607D4B"/>
    <w:rsid w:val="00610096"/>
    <w:rsid w:val="0061035A"/>
    <w:rsid w:val="00610868"/>
    <w:rsid w:val="00610A05"/>
    <w:rsid w:val="00611024"/>
    <w:rsid w:val="00611741"/>
    <w:rsid w:val="00611954"/>
    <w:rsid w:val="006124B2"/>
    <w:rsid w:val="00612C94"/>
    <w:rsid w:val="00612E51"/>
    <w:rsid w:val="0061309F"/>
    <w:rsid w:val="00613BBD"/>
    <w:rsid w:val="00613CE2"/>
    <w:rsid w:val="00613D23"/>
    <w:rsid w:val="00614079"/>
    <w:rsid w:val="006143E7"/>
    <w:rsid w:val="00614747"/>
    <w:rsid w:val="00614FA7"/>
    <w:rsid w:val="0061527F"/>
    <w:rsid w:val="00615D36"/>
    <w:rsid w:val="00615F6F"/>
    <w:rsid w:val="0061617B"/>
    <w:rsid w:val="00616187"/>
    <w:rsid w:val="006167DD"/>
    <w:rsid w:val="00617205"/>
    <w:rsid w:val="00617434"/>
    <w:rsid w:val="00617E57"/>
    <w:rsid w:val="00620754"/>
    <w:rsid w:val="006208A3"/>
    <w:rsid w:val="006210DD"/>
    <w:rsid w:val="00621515"/>
    <w:rsid w:val="00621552"/>
    <w:rsid w:val="0062168F"/>
    <w:rsid w:val="00621690"/>
    <w:rsid w:val="00621854"/>
    <w:rsid w:val="006218B5"/>
    <w:rsid w:val="00621D85"/>
    <w:rsid w:val="00621F17"/>
    <w:rsid w:val="0062213C"/>
    <w:rsid w:val="00622268"/>
    <w:rsid w:val="006228AB"/>
    <w:rsid w:val="0062312B"/>
    <w:rsid w:val="00623229"/>
    <w:rsid w:val="006232DC"/>
    <w:rsid w:val="0062337F"/>
    <w:rsid w:val="00623B06"/>
    <w:rsid w:val="006240FC"/>
    <w:rsid w:val="0062417C"/>
    <w:rsid w:val="00624180"/>
    <w:rsid w:val="00624358"/>
    <w:rsid w:val="00624D8A"/>
    <w:rsid w:val="00625304"/>
    <w:rsid w:val="0062598C"/>
    <w:rsid w:val="00625E8A"/>
    <w:rsid w:val="006264C8"/>
    <w:rsid w:val="00626815"/>
    <w:rsid w:val="00626B96"/>
    <w:rsid w:val="00627038"/>
    <w:rsid w:val="00627524"/>
    <w:rsid w:val="00627886"/>
    <w:rsid w:val="00627B28"/>
    <w:rsid w:val="00627BB3"/>
    <w:rsid w:val="00627D3E"/>
    <w:rsid w:val="0063094F"/>
    <w:rsid w:val="0063139D"/>
    <w:rsid w:val="006315D3"/>
    <w:rsid w:val="00631925"/>
    <w:rsid w:val="006319E4"/>
    <w:rsid w:val="00632179"/>
    <w:rsid w:val="006321A5"/>
    <w:rsid w:val="00632426"/>
    <w:rsid w:val="00632B2C"/>
    <w:rsid w:val="00633B5B"/>
    <w:rsid w:val="00633BDA"/>
    <w:rsid w:val="00633C01"/>
    <w:rsid w:val="00633F50"/>
    <w:rsid w:val="00634248"/>
    <w:rsid w:val="00635422"/>
    <w:rsid w:val="006354CA"/>
    <w:rsid w:val="00635513"/>
    <w:rsid w:val="006357CA"/>
    <w:rsid w:val="006359B6"/>
    <w:rsid w:val="00635DB2"/>
    <w:rsid w:val="0063607B"/>
    <w:rsid w:val="006360AF"/>
    <w:rsid w:val="00636FB0"/>
    <w:rsid w:val="00636FEE"/>
    <w:rsid w:val="0063745D"/>
    <w:rsid w:val="006377AB"/>
    <w:rsid w:val="00637B2E"/>
    <w:rsid w:val="00637D5B"/>
    <w:rsid w:val="00637DDF"/>
    <w:rsid w:val="00637E7D"/>
    <w:rsid w:val="006409F7"/>
    <w:rsid w:val="00640A9C"/>
    <w:rsid w:val="006412C5"/>
    <w:rsid w:val="006415A4"/>
    <w:rsid w:val="00641AC4"/>
    <w:rsid w:val="00642187"/>
    <w:rsid w:val="0064259E"/>
    <w:rsid w:val="00642AF4"/>
    <w:rsid w:val="00642DD1"/>
    <w:rsid w:val="00642EE9"/>
    <w:rsid w:val="006438AE"/>
    <w:rsid w:val="00643961"/>
    <w:rsid w:val="00644A54"/>
    <w:rsid w:val="00644E33"/>
    <w:rsid w:val="00644F9E"/>
    <w:rsid w:val="006466CB"/>
    <w:rsid w:val="00646A12"/>
    <w:rsid w:val="00647424"/>
    <w:rsid w:val="006476EE"/>
    <w:rsid w:val="00647B67"/>
    <w:rsid w:val="00650CC0"/>
    <w:rsid w:val="00650F46"/>
    <w:rsid w:val="00651141"/>
    <w:rsid w:val="00651245"/>
    <w:rsid w:val="006515EE"/>
    <w:rsid w:val="0065174C"/>
    <w:rsid w:val="00651940"/>
    <w:rsid w:val="00651BD4"/>
    <w:rsid w:val="00651BD9"/>
    <w:rsid w:val="00651D46"/>
    <w:rsid w:val="006525EA"/>
    <w:rsid w:val="0065273F"/>
    <w:rsid w:val="00653811"/>
    <w:rsid w:val="006539F1"/>
    <w:rsid w:val="00653AB9"/>
    <w:rsid w:val="00653DC6"/>
    <w:rsid w:val="00654202"/>
    <w:rsid w:val="0065443F"/>
    <w:rsid w:val="00654A69"/>
    <w:rsid w:val="006550F3"/>
    <w:rsid w:val="006552B6"/>
    <w:rsid w:val="0065636C"/>
    <w:rsid w:val="00656704"/>
    <w:rsid w:val="00656861"/>
    <w:rsid w:val="0065691C"/>
    <w:rsid w:val="00660044"/>
    <w:rsid w:val="00660228"/>
    <w:rsid w:val="006604DA"/>
    <w:rsid w:val="00661326"/>
    <w:rsid w:val="00661B7A"/>
    <w:rsid w:val="00661D71"/>
    <w:rsid w:val="0066294E"/>
    <w:rsid w:val="00662A68"/>
    <w:rsid w:val="00662DBA"/>
    <w:rsid w:val="00663848"/>
    <w:rsid w:val="006639E4"/>
    <w:rsid w:val="00663A82"/>
    <w:rsid w:val="00665214"/>
    <w:rsid w:val="0066522D"/>
    <w:rsid w:val="0066557C"/>
    <w:rsid w:val="006658AA"/>
    <w:rsid w:val="00665B27"/>
    <w:rsid w:val="006664A4"/>
    <w:rsid w:val="006666ED"/>
    <w:rsid w:val="00666923"/>
    <w:rsid w:val="006669FB"/>
    <w:rsid w:val="006671AE"/>
    <w:rsid w:val="00667414"/>
    <w:rsid w:val="00667838"/>
    <w:rsid w:val="00667B23"/>
    <w:rsid w:val="00670410"/>
    <w:rsid w:val="00670589"/>
    <w:rsid w:val="0067069F"/>
    <w:rsid w:val="00670CB5"/>
    <w:rsid w:val="006710F3"/>
    <w:rsid w:val="0067114B"/>
    <w:rsid w:val="006713F8"/>
    <w:rsid w:val="00671471"/>
    <w:rsid w:val="006714F0"/>
    <w:rsid w:val="00671C04"/>
    <w:rsid w:val="00671C25"/>
    <w:rsid w:val="00671D40"/>
    <w:rsid w:val="00671E2A"/>
    <w:rsid w:val="0067220B"/>
    <w:rsid w:val="006727DA"/>
    <w:rsid w:val="006728C2"/>
    <w:rsid w:val="00672D84"/>
    <w:rsid w:val="006738D7"/>
    <w:rsid w:val="00673914"/>
    <w:rsid w:val="006741BC"/>
    <w:rsid w:val="006741E1"/>
    <w:rsid w:val="00674258"/>
    <w:rsid w:val="00674272"/>
    <w:rsid w:val="00676311"/>
    <w:rsid w:val="00676341"/>
    <w:rsid w:val="006768D5"/>
    <w:rsid w:val="00676E69"/>
    <w:rsid w:val="006770C4"/>
    <w:rsid w:val="00677B70"/>
    <w:rsid w:val="00677CD8"/>
    <w:rsid w:val="006806E9"/>
    <w:rsid w:val="006808BC"/>
    <w:rsid w:val="00681100"/>
    <w:rsid w:val="006821F3"/>
    <w:rsid w:val="00682997"/>
    <w:rsid w:val="006833CB"/>
    <w:rsid w:val="006834D7"/>
    <w:rsid w:val="00683C18"/>
    <w:rsid w:val="00684413"/>
    <w:rsid w:val="006849B0"/>
    <w:rsid w:val="00684C5C"/>
    <w:rsid w:val="00684CBB"/>
    <w:rsid w:val="00684CC3"/>
    <w:rsid w:val="006862EA"/>
    <w:rsid w:val="006866F4"/>
    <w:rsid w:val="0068761F"/>
    <w:rsid w:val="00687673"/>
    <w:rsid w:val="006879C8"/>
    <w:rsid w:val="00687FA5"/>
    <w:rsid w:val="006914D0"/>
    <w:rsid w:val="006915F0"/>
    <w:rsid w:val="006917B9"/>
    <w:rsid w:val="00691A6C"/>
    <w:rsid w:val="00691CF3"/>
    <w:rsid w:val="00692102"/>
    <w:rsid w:val="0069294D"/>
    <w:rsid w:val="006933A1"/>
    <w:rsid w:val="006933B7"/>
    <w:rsid w:val="006933BA"/>
    <w:rsid w:val="0069361E"/>
    <w:rsid w:val="00693654"/>
    <w:rsid w:val="006936EC"/>
    <w:rsid w:val="0069418F"/>
    <w:rsid w:val="006952C4"/>
    <w:rsid w:val="0069595F"/>
    <w:rsid w:val="00696357"/>
    <w:rsid w:val="00696B16"/>
    <w:rsid w:val="00696D59"/>
    <w:rsid w:val="006972E4"/>
    <w:rsid w:val="00697939"/>
    <w:rsid w:val="00697E48"/>
    <w:rsid w:val="00697E6C"/>
    <w:rsid w:val="00697EC0"/>
    <w:rsid w:val="006A048D"/>
    <w:rsid w:val="006A0EF2"/>
    <w:rsid w:val="006A10CD"/>
    <w:rsid w:val="006A148D"/>
    <w:rsid w:val="006A1568"/>
    <w:rsid w:val="006A15C2"/>
    <w:rsid w:val="006A2A5D"/>
    <w:rsid w:val="006A2AC6"/>
    <w:rsid w:val="006A2FFE"/>
    <w:rsid w:val="006A401B"/>
    <w:rsid w:val="006A403A"/>
    <w:rsid w:val="006A412D"/>
    <w:rsid w:val="006A45F1"/>
    <w:rsid w:val="006A4B36"/>
    <w:rsid w:val="006A5077"/>
    <w:rsid w:val="006A50F5"/>
    <w:rsid w:val="006A56C7"/>
    <w:rsid w:val="006A56F5"/>
    <w:rsid w:val="006A5C26"/>
    <w:rsid w:val="006A5C30"/>
    <w:rsid w:val="006A5CEE"/>
    <w:rsid w:val="006A716A"/>
    <w:rsid w:val="006A7362"/>
    <w:rsid w:val="006A7E25"/>
    <w:rsid w:val="006A7FB3"/>
    <w:rsid w:val="006B0059"/>
    <w:rsid w:val="006B0AEF"/>
    <w:rsid w:val="006B1034"/>
    <w:rsid w:val="006B1667"/>
    <w:rsid w:val="006B1761"/>
    <w:rsid w:val="006B1E44"/>
    <w:rsid w:val="006B2152"/>
    <w:rsid w:val="006B21A9"/>
    <w:rsid w:val="006B25B5"/>
    <w:rsid w:val="006B25D3"/>
    <w:rsid w:val="006B2C7B"/>
    <w:rsid w:val="006B2D10"/>
    <w:rsid w:val="006B2DD4"/>
    <w:rsid w:val="006B3399"/>
    <w:rsid w:val="006B3B53"/>
    <w:rsid w:val="006B3DA7"/>
    <w:rsid w:val="006B3F1A"/>
    <w:rsid w:val="006B401F"/>
    <w:rsid w:val="006B4597"/>
    <w:rsid w:val="006B477A"/>
    <w:rsid w:val="006B4AEE"/>
    <w:rsid w:val="006B5302"/>
    <w:rsid w:val="006B53B6"/>
    <w:rsid w:val="006B56DC"/>
    <w:rsid w:val="006B5B71"/>
    <w:rsid w:val="006B5F34"/>
    <w:rsid w:val="006B60C6"/>
    <w:rsid w:val="006B60C9"/>
    <w:rsid w:val="006B6E44"/>
    <w:rsid w:val="006B6E84"/>
    <w:rsid w:val="006B6FA2"/>
    <w:rsid w:val="006B7B19"/>
    <w:rsid w:val="006B7C52"/>
    <w:rsid w:val="006C0277"/>
    <w:rsid w:val="006C0735"/>
    <w:rsid w:val="006C0778"/>
    <w:rsid w:val="006C079A"/>
    <w:rsid w:val="006C0841"/>
    <w:rsid w:val="006C0FFE"/>
    <w:rsid w:val="006C1678"/>
    <w:rsid w:val="006C230A"/>
    <w:rsid w:val="006C26E3"/>
    <w:rsid w:val="006C2BA4"/>
    <w:rsid w:val="006C2C46"/>
    <w:rsid w:val="006C2DC1"/>
    <w:rsid w:val="006C2E81"/>
    <w:rsid w:val="006C2FB7"/>
    <w:rsid w:val="006C36AC"/>
    <w:rsid w:val="006C3749"/>
    <w:rsid w:val="006C3CEA"/>
    <w:rsid w:val="006C40DF"/>
    <w:rsid w:val="006C432D"/>
    <w:rsid w:val="006C44BC"/>
    <w:rsid w:val="006C47B5"/>
    <w:rsid w:val="006C4998"/>
    <w:rsid w:val="006C4C50"/>
    <w:rsid w:val="006C4D4F"/>
    <w:rsid w:val="006C4D50"/>
    <w:rsid w:val="006C5480"/>
    <w:rsid w:val="006C56C6"/>
    <w:rsid w:val="006C7974"/>
    <w:rsid w:val="006C7C41"/>
    <w:rsid w:val="006C7D2E"/>
    <w:rsid w:val="006D0482"/>
    <w:rsid w:val="006D04B4"/>
    <w:rsid w:val="006D07B0"/>
    <w:rsid w:val="006D1054"/>
    <w:rsid w:val="006D1720"/>
    <w:rsid w:val="006D2284"/>
    <w:rsid w:val="006D2A57"/>
    <w:rsid w:val="006D2EBC"/>
    <w:rsid w:val="006D3486"/>
    <w:rsid w:val="006D36BF"/>
    <w:rsid w:val="006D382E"/>
    <w:rsid w:val="006D3AD1"/>
    <w:rsid w:val="006D3EAC"/>
    <w:rsid w:val="006D3F5D"/>
    <w:rsid w:val="006D495C"/>
    <w:rsid w:val="006D4AB2"/>
    <w:rsid w:val="006D4C54"/>
    <w:rsid w:val="006D4C6C"/>
    <w:rsid w:val="006D4E6A"/>
    <w:rsid w:val="006D5132"/>
    <w:rsid w:val="006D5299"/>
    <w:rsid w:val="006D5462"/>
    <w:rsid w:val="006D558D"/>
    <w:rsid w:val="006D5BB2"/>
    <w:rsid w:val="006D5E24"/>
    <w:rsid w:val="006D6274"/>
    <w:rsid w:val="006D63F2"/>
    <w:rsid w:val="006D6533"/>
    <w:rsid w:val="006D67F3"/>
    <w:rsid w:val="006D6AD7"/>
    <w:rsid w:val="006D7309"/>
    <w:rsid w:val="006D74FF"/>
    <w:rsid w:val="006D7C06"/>
    <w:rsid w:val="006D7FBF"/>
    <w:rsid w:val="006E01FD"/>
    <w:rsid w:val="006E0809"/>
    <w:rsid w:val="006E1296"/>
    <w:rsid w:val="006E2315"/>
    <w:rsid w:val="006E27DF"/>
    <w:rsid w:val="006E2831"/>
    <w:rsid w:val="006E2A41"/>
    <w:rsid w:val="006E3185"/>
    <w:rsid w:val="006E35A7"/>
    <w:rsid w:val="006E3B9E"/>
    <w:rsid w:val="006E4811"/>
    <w:rsid w:val="006E5122"/>
    <w:rsid w:val="006E57C7"/>
    <w:rsid w:val="006E6416"/>
    <w:rsid w:val="006E6484"/>
    <w:rsid w:val="006E6656"/>
    <w:rsid w:val="006E66BD"/>
    <w:rsid w:val="006E7068"/>
    <w:rsid w:val="006E70C6"/>
    <w:rsid w:val="006E7723"/>
    <w:rsid w:val="006E79C4"/>
    <w:rsid w:val="006E7B53"/>
    <w:rsid w:val="006E7DC1"/>
    <w:rsid w:val="006F04F4"/>
    <w:rsid w:val="006F09A4"/>
    <w:rsid w:val="006F1768"/>
    <w:rsid w:val="006F1864"/>
    <w:rsid w:val="006F1A47"/>
    <w:rsid w:val="006F1FFF"/>
    <w:rsid w:val="006F20ED"/>
    <w:rsid w:val="006F2C69"/>
    <w:rsid w:val="006F2D63"/>
    <w:rsid w:val="006F33F0"/>
    <w:rsid w:val="006F3993"/>
    <w:rsid w:val="006F3BAA"/>
    <w:rsid w:val="006F3CBF"/>
    <w:rsid w:val="006F3DE5"/>
    <w:rsid w:val="006F3E4C"/>
    <w:rsid w:val="006F498F"/>
    <w:rsid w:val="006F4A91"/>
    <w:rsid w:val="006F4FE6"/>
    <w:rsid w:val="006F5B63"/>
    <w:rsid w:val="006F6D10"/>
    <w:rsid w:val="006F707C"/>
    <w:rsid w:val="006F7B36"/>
    <w:rsid w:val="007009D1"/>
    <w:rsid w:val="00700D17"/>
    <w:rsid w:val="00701C2F"/>
    <w:rsid w:val="00702338"/>
    <w:rsid w:val="00702ADF"/>
    <w:rsid w:val="00702DB6"/>
    <w:rsid w:val="00702DC7"/>
    <w:rsid w:val="00702FDB"/>
    <w:rsid w:val="0070342D"/>
    <w:rsid w:val="007036E1"/>
    <w:rsid w:val="0070389F"/>
    <w:rsid w:val="00703B74"/>
    <w:rsid w:val="00703D2E"/>
    <w:rsid w:val="007041C0"/>
    <w:rsid w:val="007041EF"/>
    <w:rsid w:val="0070493D"/>
    <w:rsid w:val="00704CF6"/>
    <w:rsid w:val="0070591A"/>
    <w:rsid w:val="00705CD1"/>
    <w:rsid w:val="0070609B"/>
    <w:rsid w:val="00706341"/>
    <w:rsid w:val="00706675"/>
    <w:rsid w:val="007072F4"/>
    <w:rsid w:val="00707BC9"/>
    <w:rsid w:val="00707DA3"/>
    <w:rsid w:val="0071053B"/>
    <w:rsid w:val="00710C7A"/>
    <w:rsid w:val="00710D65"/>
    <w:rsid w:val="00711535"/>
    <w:rsid w:val="007118B8"/>
    <w:rsid w:val="00712120"/>
    <w:rsid w:val="00712261"/>
    <w:rsid w:val="0071230B"/>
    <w:rsid w:val="00712B94"/>
    <w:rsid w:val="00712BB4"/>
    <w:rsid w:val="00713247"/>
    <w:rsid w:val="00713387"/>
    <w:rsid w:val="00713790"/>
    <w:rsid w:val="007138F5"/>
    <w:rsid w:val="007138FE"/>
    <w:rsid w:val="00713C72"/>
    <w:rsid w:val="00713EC5"/>
    <w:rsid w:val="0071425A"/>
    <w:rsid w:val="00715DF9"/>
    <w:rsid w:val="00716BBA"/>
    <w:rsid w:val="00716F97"/>
    <w:rsid w:val="007171D8"/>
    <w:rsid w:val="00717299"/>
    <w:rsid w:val="007172AB"/>
    <w:rsid w:val="00720046"/>
    <w:rsid w:val="0072004D"/>
    <w:rsid w:val="0072034B"/>
    <w:rsid w:val="00720652"/>
    <w:rsid w:val="00720DE0"/>
    <w:rsid w:val="00721078"/>
    <w:rsid w:val="0072125A"/>
    <w:rsid w:val="00721260"/>
    <w:rsid w:val="0072136D"/>
    <w:rsid w:val="00721AD7"/>
    <w:rsid w:val="00721D04"/>
    <w:rsid w:val="00721DB4"/>
    <w:rsid w:val="0072232A"/>
    <w:rsid w:val="0072234D"/>
    <w:rsid w:val="0072280E"/>
    <w:rsid w:val="00722A12"/>
    <w:rsid w:val="00722AC8"/>
    <w:rsid w:val="00722D29"/>
    <w:rsid w:val="007233D7"/>
    <w:rsid w:val="007235F7"/>
    <w:rsid w:val="007238D5"/>
    <w:rsid w:val="00724404"/>
    <w:rsid w:val="0072480F"/>
    <w:rsid w:val="007249C6"/>
    <w:rsid w:val="00724F74"/>
    <w:rsid w:val="00725183"/>
    <w:rsid w:val="00725407"/>
    <w:rsid w:val="00725432"/>
    <w:rsid w:val="007256F9"/>
    <w:rsid w:val="00725736"/>
    <w:rsid w:val="00725CFF"/>
    <w:rsid w:val="00725DA3"/>
    <w:rsid w:val="0072687E"/>
    <w:rsid w:val="007268A1"/>
    <w:rsid w:val="00726BE9"/>
    <w:rsid w:val="0072731C"/>
    <w:rsid w:val="00727343"/>
    <w:rsid w:val="007278D9"/>
    <w:rsid w:val="00730787"/>
    <w:rsid w:val="00730C2E"/>
    <w:rsid w:val="00730DBA"/>
    <w:rsid w:val="007312EC"/>
    <w:rsid w:val="00731320"/>
    <w:rsid w:val="007315AF"/>
    <w:rsid w:val="0073167A"/>
    <w:rsid w:val="007316D7"/>
    <w:rsid w:val="00731C78"/>
    <w:rsid w:val="00731D6F"/>
    <w:rsid w:val="00731FA3"/>
    <w:rsid w:val="00732811"/>
    <w:rsid w:val="00732EE0"/>
    <w:rsid w:val="00733723"/>
    <w:rsid w:val="00733837"/>
    <w:rsid w:val="0073414A"/>
    <w:rsid w:val="00735491"/>
    <w:rsid w:val="00735594"/>
    <w:rsid w:val="00736479"/>
    <w:rsid w:val="00737259"/>
    <w:rsid w:val="00737A8D"/>
    <w:rsid w:val="00740212"/>
    <w:rsid w:val="007403D2"/>
    <w:rsid w:val="007408C8"/>
    <w:rsid w:val="00740B0A"/>
    <w:rsid w:val="00740CE8"/>
    <w:rsid w:val="00740D07"/>
    <w:rsid w:val="00740FAA"/>
    <w:rsid w:val="007412CB"/>
    <w:rsid w:val="00741AF1"/>
    <w:rsid w:val="00741B5B"/>
    <w:rsid w:val="0074202C"/>
    <w:rsid w:val="0074221F"/>
    <w:rsid w:val="00742258"/>
    <w:rsid w:val="00742420"/>
    <w:rsid w:val="00742BC3"/>
    <w:rsid w:val="00743140"/>
    <w:rsid w:val="00743261"/>
    <w:rsid w:val="007436EB"/>
    <w:rsid w:val="00743A41"/>
    <w:rsid w:val="00744714"/>
    <w:rsid w:val="007449A6"/>
    <w:rsid w:val="00744A7C"/>
    <w:rsid w:val="00744EB8"/>
    <w:rsid w:val="00745C22"/>
    <w:rsid w:val="0074606E"/>
    <w:rsid w:val="0074609B"/>
    <w:rsid w:val="0074628F"/>
    <w:rsid w:val="007463F8"/>
    <w:rsid w:val="00747294"/>
    <w:rsid w:val="00747514"/>
    <w:rsid w:val="0074751E"/>
    <w:rsid w:val="007475C2"/>
    <w:rsid w:val="007477DF"/>
    <w:rsid w:val="00747D5C"/>
    <w:rsid w:val="00747DD4"/>
    <w:rsid w:val="0075009F"/>
    <w:rsid w:val="007501C1"/>
    <w:rsid w:val="00750803"/>
    <w:rsid w:val="00750CF3"/>
    <w:rsid w:val="00750EC7"/>
    <w:rsid w:val="00750EEF"/>
    <w:rsid w:val="007517A5"/>
    <w:rsid w:val="007518B6"/>
    <w:rsid w:val="007518D9"/>
    <w:rsid w:val="0075218C"/>
    <w:rsid w:val="007521DE"/>
    <w:rsid w:val="0075239A"/>
    <w:rsid w:val="0075255A"/>
    <w:rsid w:val="00752E64"/>
    <w:rsid w:val="00752FA8"/>
    <w:rsid w:val="0075329B"/>
    <w:rsid w:val="0075346F"/>
    <w:rsid w:val="00753B50"/>
    <w:rsid w:val="00753C6B"/>
    <w:rsid w:val="00753C8C"/>
    <w:rsid w:val="0075494E"/>
    <w:rsid w:val="00754A3F"/>
    <w:rsid w:val="00754B2A"/>
    <w:rsid w:val="00754BF0"/>
    <w:rsid w:val="0075545C"/>
    <w:rsid w:val="0075558A"/>
    <w:rsid w:val="007555E7"/>
    <w:rsid w:val="00755929"/>
    <w:rsid w:val="00755DE4"/>
    <w:rsid w:val="0075681C"/>
    <w:rsid w:val="00756A7B"/>
    <w:rsid w:val="00756D9B"/>
    <w:rsid w:val="00757442"/>
    <w:rsid w:val="00757E18"/>
    <w:rsid w:val="007608DC"/>
    <w:rsid w:val="00760986"/>
    <w:rsid w:val="007611CE"/>
    <w:rsid w:val="007611E8"/>
    <w:rsid w:val="007613E3"/>
    <w:rsid w:val="00761DCA"/>
    <w:rsid w:val="0076315C"/>
    <w:rsid w:val="00763B93"/>
    <w:rsid w:val="00763DB8"/>
    <w:rsid w:val="00763F49"/>
    <w:rsid w:val="00764D39"/>
    <w:rsid w:val="00765330"/>
    <w:rsid w:val="0076550E"/>
    <w:rsid w:val="00765921"/>
    <w:rsid w:val="00765EFC"/>
    <w:rsid w:val="00766508"/>
    <w:rsid w:val="0076653B"/>
    <w:rsid w:val="0076674C"/>
    <w:rsid w:val="00766786"/>
    <w:rsid w:val="00766B30"/>
    <w:rsid w:val="00766C44"/>
    <w:rsid w:val="007670C4"/>
    <w:rsid w:val="00767126"/>
    <w:rsid w:val="0076767A"/>
    <w:rsid w:val="00767927"/>
    <w:rsid w:val="00770421"/>
    <w:rsid w:val="007706DE"/>
    <w:rsid w:val="007708BA"/>
    <w:rsid w:val="00770BA7"/>
    <w:rsid w:val="00770EF9"/>
    <w:rsid w:val="007713BC"/>
    <w:rsid w:val="007713E9"/>
    <w:rsid w:val="007716A7"/>
    <w:rsid w:val="007716C0"/>
    <w:rsid w:val="00771885"/>
    <w:rsid w:val="00771A57"/>
    <w:rsid w:val="00772126"/>
    <w:rsid w:val="007722DC"/>
    <w:rsid w:val="00772316"/>
    <w:rsid w:val="00772361"/>
    <w:rsid w:val="00772527"/>
    <w:rsid w:val="007726A2"/>
    <w:rsid w:val="007726E8"/>
    <w:rsid w:val="007740B7"/>
    <w:rsid w:val="00774136"/>
    <w:rsid w:val="007743C9"/>
    <w:rsid w:val="0077463C"/>
    <w:rsid w:val="007747C3"/>
    <w:rsid w:val="00774D6F"/>
    <w:rsid w:val="0077547B"/>
    <w:rsid w:val="007754BD"/>
    <w:rsid w:val="00775736"/>
    <w:rsid w:val="007758F8"/>
    <w:rsid w:val="0077612D"/>
    <w:rsid w:val="00776795"/>
    <w:rsid w:val="0077685E"/>
    <w:rsid w:val="00776DBF"/>
    <w:rsid w:val="00776FBA"/>
    <w:rsid w:val="007775CF"/>
    <w:rsid w:val="00777691"/>
    <w:rsid w:val="00777ABB"/>
    <w:rsid w:val="00777C3B"/>
    <w:rsid w:val="00777D98"/>
    <w:rsid w:val="00777EE7"/>
    <w:rsid w:val="00777FBC"/>
    <w:rsid w:val="007801BC"/>
    <w:rsid w:val="00780290"/>
    <w:rsid w:val="00780814"/>
    <w:rsid w:val="00780F2E"/>
    <w:rsid w:val="00781132"/>
    <w:rsid w:val="0078142D"/>
    <w:rsid w:val="00781634"/>
    <w:rsid w:val="00781671"/>
    <w:rsid w:val="00781ED1"/>
    <w:rsid w:val="0078264D"/>
    <w:rsid w:val="00782BF3"/>
    <w:rsid w:val="007831C3"/>
    <w:rsid w:val="007836C1"/>
    <w:rsid w:val="0078394F"/>
    <w:rsid w:val="00783C26"/>
    <w:rsid w:val="00784057"/>
    <w:rsid w:val="00784136"/>
    <w:rsid w:val="00784653"/>
    <w:rsid w:val="007847BF"/>
    <w:rsid w:val="00785643"/>
    <w:rsid w:val="007858C5"/>
    <w:rsid w:val="00785B1E"/>
    <w:rsid w:val="007866FE"/>
    <w:rsid w:val="00787087"/>
    <w:rsid w:val="00787308"/>
    <w:rsid w:val="00787937"/>
    <w:rsid w:val="0079003C"/>
    <w:rsid w:val="007902AE"/>
    <w:rsid w:val="00791092"/>
    <w:rsid w:val="00791132"/>
    <w:rsid w:val="007927CF"/>
    <w:rsid w:val="00792AA0"/>
    <w:rsid w:val="00792F0E"/>
    <w:rsid w:val="00793100"/>
    <w:rsid w:val="00793785"/>
    <w:rsid w:val="00793B38"/>
    <w:rsid w:val="00793D2E"/>
    <w:rsid w:val="00794453"/>
    <w:rsid w:val="00794568"/>
    <w:rsid w:val="00794600"/>
    <w:rsid w:val="0079472A"/>
    <w:rsid w:val="00794DA4"/>
    <w:rsid w:val="007955D7"/>
    <w:rsid w:val="0079584F"/>
    <w:rsid w:val="00795B19"/>
    <w:rsid w:val="00796244"/>
    <w:rsid w:val="00796658"/>
    <w:rsid w:val="00797044"/>
    <w:rsid w:val="0079794B"/>
    <w:rsid w:val="007A02DC"/>
    <w:rsid w:val="007A13CC"/>
    <w:rsid w:val="007A19D8"/>
    <w:rsid w:val="007A21B9"/>
    <w:rsid w:val="007A2B49"/>
    <w:rsid w:val="007A3186"/>
    <w:rsid w:val="007A4124"/>
    <w:rsid w:val="007A43A0"/>
    <w:rsid w:val="007A44D4"/>
    <w:rsid w:val="007A4818"/>
    <w:rsid w:val="007A54BA"/>
    <w:rsid w:val="007A5698"/>
    <w:rsid w:val="007A5844"/>
    <w:rsid w:val="007A64F8"/>
    <w:rsid w:val="007A69A5"/>
    <w:rsid w:val="007A743B"/>
    <w:rsid w:val="007A75E1"/>
    <w:rsid w:val="007A7969"/>
    <w:rsid w:val="007A7C31"/>
    <w:rsid w:val="007A7D39"/>
    <w:rsid w:val="007A7E3C"/>
    <w:rsid w:val="007B03FD"/>
    <w:rsid w:val="007B0544"/>
    <w:rsid w:val="007B1621"/>
    <w:rsid w:val="007B1FE1"/>
    <w:rsid w:val="007B2C45"/>
    <w:rsid w:val="007B2CA1"/>
    <w:rsid w:val="007B2D67"/>
    <w:rsid w:val="007B3FC4"/>
    <w:rsid w:val="007B4079"/>
    <w:rsid w:val="007B5596"/>
    <w:rsid w:val="007B559D"/>
    <w:rsid w:val="007B5723"/>
    <w:rsid w:val="007B5A57"/>
    <w:rsid w:val="007B5F17"/>
    <w:rsid w:val="007B61B8"/>
    <w:rsid w:val="007B6682"/>
    <w:rsid w:val="007B6886"/>
    <w:rsid w:val="007B6B54"/>
    <w:rsid w:val="007B7288"/>
    <w:rsid w:val="007B75B3"/>
    <w:rsid w:val="007C035C"/>
    <w:rsid w:val="007C039B"/>
    <w:rsid w:val="007C042A"/>
    <w:rsid w:val="007C1065"/>
    <w:rsid w:val="007C1D36"/>
    <w:rsid w:val="007C2198"/>
    <w:rsid w:val="007C2F7F"/>
    <w:rsid w:val="007C32EF"/>
    <w:rsid w:val="007C35D9"/>
    <w:rsid w:val="007C3AAD"/>
    <w:rsid w:val="007C5510"/>
    <w:rsid w:val="007C5F63"/>
    <w:rsid w:val="007C5FA2"/>
    <w:rsid w:val="007C662D"/>
    <w:rsid w:val="007C66C8"/>
    <w:rsid w:val="007C6978"/>
    <w:rsid w:val="007C6EAD"/>
    <w:rsid w:val="007C7382"/>
    <w:rsid w:val="007C7D45"/>
    <w:rsid w:val="007C7F62"/>
    <w:rsid w:val="007D014C"/>
    <w:rsid w:val="007D0346"/>
    <w:rsid w:val="007D09C3"/>
    <w:rsid w:val="007D09F7"/>
    <w:rsid w:val="007D0ABC"/>
    <w:rsid w:val="007D16F2"/>
    <w:rsid w:val="007D2212"/>
    <w:rsid w:val="007D2235"/>
    <w:rsid w:val="007D27EE"/>
    <w:rsid w:val="007D2815"/>
    <w:rsid w:val="007D285F"/>
    <w:rsid w:val="007D33F8"/>
    <w:rsid w:val="007D33FB"/>
    <w:rsid w:val="007D37F1"/>
    <w:rsid w:val="007D388A"/>
    <w:rsid w:val="007D3949"/>
    <w:rsid w:val="007D3A47"/>
    <w:rsid w:val="007D3C18"/>
    <w:rsid w:val="007D4046"/>
    <w:rsid w:val="007D409B"/>
    <w:rsid w:val="007D448B"/>
    <w:rsid w:val="007D4B50"/>
    <w:rsid w:val="007D4D56"/>
    <w:rsid w:val="007D4DCE"/>
    <w:rsid w:val="007D52C2"/>
    <w:rsid w:val="007D57F6"/>
    <w:rsid w:val="007D5E6C"/>
    <w:rsid w:val="007D63AD"/>
    <w:rsid w:val="007D6CEC"/>
    <w:rsid w:val="007D771B"/>
    <w:rsid w:val="007D7B01"/>
    <w:rsid w:val="007E05FD"/>
    <w:rsid w:val="007E1455"/>
    <w:rsid w:val="007E21C6"/>
    <w:rsid w:val="007E231B"/>
    <w:rsid w:val="007E241E"/>
    <w:rsid w:val="007E288D"/>
    <w:rsid w:val="007E2A91"/>
    <w:rsid w:val="007E2BC0"/>
    <w:rsid w:val="007E362F"/>
    <w:rsid w:val="007E3AAF"/>
    <w:rsid w:val="007E3BF7"/>
    <w:rsid w:val="007E3FFF"/>
    <w:rsid w:val="007E4E6B"/>
    <w:rsid w:val="007E5289"/>
    <w:rsid w:val="007E53D9"/>
    <w:rsid w:val="007E64B2"/>
    <w:rsid w:val="007E65C7"/>
    <w:rsid w:val="007E67EB"/>
    <w:rsid w:val="007E6C80"/>
    <w:rsid w:val="007E6F4C"/>
    <w:rsid w:val="007E703B"/>
    <w:rsid w:val="007E7334"/>
    <w:rsid w:val="007E767C"/>
    <w:rsid w:val="007E7C0A"/>
    <w:rsid w:val="007F061E"/>
    <w:rsid w:val="007F072C"/>
    <w:rsid w:val="007F0BCA"/>
    <w:rsid w:val="007F0EE6"/>
    <w:rsid w:val="007F1633"/>
    <w:rsid w:val="007F16A5"/>
    <w:rsid w:val="007F16B0"/>
    <w:rsid w:val="007F1ADA"/>
    <w:rsid w:val="007F1BBF"/>
    <w:rsid w:val="007F1C28"/>
    <w:rsid w:val="007F2136"/>
    <w:rsid w:val="007F26C8"/>
    <w:rsid w:val="007F273A"/>
    <w:rsid w:val="007F2836"/>
    <w:rsid w:val="007F28F1"/>
    <w:rsid w:val="007F2DAC"/>
    <w:rsid w:val="007F39F5"/>
    <w:rsid w:val="007F40DC"/>
    <w:rsid w:val="007F47A1"/>
    <w:rsid w:val="007F47AC"/>
    <w:rsid w:val="007F4851"/>
    <w:rsid w:val="007F48C6"/>
    <w:rsid w:val="007F4E44"/>
    <w:rsid w:val="007F6080"/>
    <w:rsid w:val="007F6200"/>
    <w:rsid w:val="007F6C55"/>
    <w:rsid w:val="007F6D28"/>
    <w:rsid w:val="007F6EE4"/>
    <w:rsid w:val="007F7115"/>
    <w:rsid w:val="007F72D4"/>
    <w:rsid w:val="007F7580"/>
    <w:rsid w:val="007F7E2D"/>
    <w:rsid w:val="007F7ED1"/>
    <w:rsid w:val="008001AD"/>
    <w:rsid w:val="0080063F"/>
    <w:rsid w:val="008008EC"/>
    <w:rsid w:val="00800B09"/>
    <w:rsid w:val="0080169C"/>
    <w:rsid w:val="00801AFB"/>
    <w:rsid w:val="00801BAC"/>
    <w:rsid w:val="00801C0F"/>
    <w:rsid w:val="00801DCE"/>
    <w:rsid w:val="00801E5A"/>
    <w:rsid w:val="008021AB"/>
    <w:rsid w:val="008022A6"/>
    <w:rsid w:val="00802B68"/>
    <w:rsid w:val="00802F29"/>
    <w:rsid w:val="00802F9E"/>
    <w:rsid w:val="00803BE9"/>
    <w:rsid w:val="00803D85"/>
    <w:rsid w:val="00803ED5"/>
    <w:rsid w:val="00803FC9"/>
    <w:rsid w:val="008042F5"/>
    <w:rsid w:val="0080466F"/>
    <w:rsid w:val="008047D8"/>
    <w:rsid w:val="00804AC2"/>
    <w:rsid w:val="008050A5"/>
    <w:rsid w:val="00806105"/>
    <w:rsid w:val="00806614"/>
    <w:rsid w:val="008067DB"/>
    <w:rsid w:val="00806EEB"/>
    <w:rsid w:val="00806F64"/>
    <w:rsid w:val="0080706D"/>
    <w:rsid w:val="008075B0"/>
    <w:rsid w:val="0080784C"/>
    <w:rsid w:val="00807D95"/>
    <w:rsid w:val="0081011F"/>
    <w:rsid w:val="00810EDB"/>
    <w:rsid w:val="00810F75"/>
    <w:rsid w:val="00811382"/>
    <w:rsid w:val="00811BC7"/>
    <w:rsid w:val="00811ED9"/>
    <w:rsid w:val="0081201F"/>
    <w:rsid w:val="0081231D"/>
    <w:rsid w:val="00812A49"/>
    <w:rsid w:val="008139B2"/>
    <w:rsid w:val="00813E13"/>
    <w:rsid w:val="00813FCD"/>
    <w:rsid w:val="00813FFE"/>
    <w:rsid w:val="0081422F"/>
    <w:rsid w:val="0081457A"/>
    <w:rsid w:val="00814787"/>
    <w:rsid w:val="00814C3D"/>
    <w:rsid w:val="0081508B"/>
    <w:rsid w:val="008153DA"/>
    <w:rsid w:val="00816017"/>
    <w:rsid w:val="0081693A"/>
    <w:rsid w:val="00817329"/>
    <w:rsid w:val="0081763B"/>
    <w:rsid w:val="008176C4"/>
    <w:rsid w:val="00817BE2"/>
    <w:rsid w:val="00820137"/>
    <w:rsid w:val="008205BD"/>
    <w:rsid w:val="008206A2"/>
    <w:rsid w:val="008211B0"/>
    <w:rsid w:val="0082145A"/>
    <w:rsid w:val="00821725"/>
    <w:rsid w:val="0082188C"/>
    <w:rsid w:val="00821AB8"/>
    <w:rsid w:val="00821BCA"/>
    <w:rsid w:val="00822716"/>
    <w:rsid w:val="00822CE9"/>
    <w:rsid w:val="00822D6B"/>
    <w:rsid w:val="00822F09"/>
    <w:rsid w:val="00823118"/>
    <w:rsid w:val="008231B3"/>
    <w:rsid w:val="00823210"/>
    <w:rsid w:val="00823390"/>
    <w:rsid w:val="0082376D"/>
    <w:rsid w:val="00823A5D"/>
    <w:rsid w:val="00823D25"/>
    <w:rsid w:val="00824016"/>
    <w:rsid w:val="00824019"/>
    <w:rsid w:val="00824193"/>
    <w:rsid w:val="008249BC"/>
    <w:rsid w:val="00824CD5"/>
    <w:rsid w:val="0082550C"/>
    <w:rsid w:val="008256DF"/>
    <w:rsid w:val="0082586F"/>
    <w:rsid w:val="008271D6"/>
    <w:rsid w:val="0082750B"/>
    <w:rsid w:val="00827719"/>
    <w:rsid w:val="00827BCD"/>
    <w:rsid w:val="0083022F"/>
    <w:rsid w:val="00830D02"/>
    <w:rsid w:val="00830D20"/>
    <w:rsid w:val="008311A0"/>
    <w:rsid w:val="008327E8"/>
    <w:rsid w:val="0083284E"/>
    <w:rsid w:val="00832FE7"/>
    <w:rsid w:val="0083308D"/>
    <w:rsid w:val="008332AB"/>
    <w:rsid w:val="008338F1"/>
    <w:rsid w:val="00833ADB"/>
    <w:rsid w:val="00833C43"/>
    <w:rsid w:val="008340C1"/>
    <w:rsid w:val="00834A05"/>
    <w:rsid w:val="00834FD0"/>
    <w:rsid w:val="008357EC"/>
    <w:rsid w:val="00835F4D"/>
    <w:rsid w:val="00836414"/>
    <w:rsid w:val="0083642E"/>
    <w:rsid w:val="008365ED"/>
    <w:rsid w:val="00836643"/>
    <w:rsid w:val="008369DC"/>
    <w:rsid w:val="008370DD"/>
    <w:rsid w:val="00840019"/>
    <w:rsid w:val="0084053B"/>
    <w:rsid w:val="008405E7"/>
    <w:rsid w:val="00840A3D"/>
    <w:rsid w:val="00840CAC"/>
    <w:rsid w:val="00841110"/>
    <w:rsid w:val="00841463"/>
    <w:rsid w:val="00841980"/>
    <w:rsid w:val="00841BFD"/>
    <w:rsid w:val="00842124"/>
    <w:rsid w:val="008424DE"/>
    <w:rsid w:val="008426B4"/>
    <w:rsid w:val="00842A96"/>
    <w:rsid w:val="00842EF1"/>
    <w:rsid w:val="00843019"/>
    <w:rsid w:val="00843F57"/>
    <w:rsid w:val="00844407"/>
    <w:rsid w:val="00844521"/>
    <w:rsid w:val="008445CA"/>
    <w:rsid w:val="00844A3A"/>
    <w:rsid w:val="00845197"/>
    <w:rsid w:val="00845451"/>
    <w:rsid w:val="00845539"/>
    <w:rsid w:val="0084587B"/>
    <w:rsid w:val="00845A5D"/>
    <w:rsid w:val="00845F88"/>
    <w:rsid w:val="00846244"/>
    <w:rsid w:val="00846D57"/>
    <w:rsid w:val="00846FAB"/>
    <w:rsid w:val="00846FB8"/>
    <w:rsid w:val="0084732D"/>
    <w:rsid w:val="0084736A"/>
    <w:rsid w:val="008476A7"/>
    <w:rsid w:val="008477C2"/>
    <w:rsid w:val="00847D2B"/>
    <w:rsid w:val="00847D5D"/>
    <w:rsid w:val="0085017D"/>
    <w:rsid w:val="0085087E"/>
    <w:rsid w:val="00850D80"/>
    <w:rsid w:val="00850E9E"/>
    <w:rsid w:val="00851216"/>
    <w:rsid w:val="008513A7"/>
    <w:rsid w:val="0085217A"/>
    <w:rsid w:val="00852884"/>
    <w:rsid w:val="00852D4A"/>
    <w:rsid w:val="0085300B"/>
    <w:rsid w:val="008532CA"/>
    <w:rsid w:val="008533B7"/>
    <w:rsid w:val="00854C06"/>
    <w:rsid w:val="0085506C"/>
    <w:rsid w:val="008554E7"/>
    <w:rsid w:val="008559DC"/>
    <w:rsid w:val="00856466"/>
    <w:rsid w:val="00856605"/>
    <w:rsid w:val="00856631"/>
    <w:rsid w:val="00856A22"/>
    <w:rsid w:val="00856A45"/>
    <w:rsid w:val="00856D3C"/>
    <w:rsid w:val="0085723C"/>
    <w:rsid w:val="0085727E"/>
    <w:rsid w:val="00857C76"/>
    <w:rsid w:val="00860B30"/>
    <w:rsid w:val="008610EC"/>
    <w:rsid w:val="008616FE"/>
    <w:rsid w:val="0086196F"/>
    <w:rsid w:val="00861E41"/>
    <w:rsid w:val="00861EC0"/>
    <w:rsid w:val="00861FFF"/>
    <w:rsid w:val="00862236"/>
    <w:rsid w:val="0086234D"/>
    <w:rsid w:val="008625B3"/>
    <w:rsid w:val="008626F0"/>
    <w:rsid w:val="0086288F"/>
    <w:rsid w:val="00862A03"/>
    <w:rsid w:val="00863601"/>
    <w:rsid w:val="00863D3B"/>
    <w:rsid w:val="0086407B"/>
    <w:rsid w:val="00864460"/>
    <w:rsid w:val="008649F9"/>
    <w:rsid w:val="00864D5D"/>
    <w:rsid w:val="00864E69"/>
    <w:rsid w:val="008651A0"/>
    <w:rsid w:val="00866C8C"/>
    <w:rsid w:val="00866F7A"/>
    <w:rsid w:val="00867038"/>
    <w:rsid w:val="00867C80"/>
    <w:rsid w:val="008700EF"/>
    <w:rsid w:val="00870A73"/>
    <w:rsid w:val="00871BFF"/>
    <w:rsid w:val="0087275A"/>
    <w:rsid w:val="00872893"/>
    <w:rsid w:val="00873430"/>
    <w:rsid w:val="00873CA1"/>
    <w:rsid w:val="00873DA7"/>
    <w:rsid w:val="008745BE"/>
    <w:rsid w:val="00874DC3"/>
    <w:rsid w:val="0087502D"/>
    <w:rsid w:val="0087586F"/>
    <w:rsid w:val="00876199"/>
    <w:rsid w:val="0087656F"/>
    <w:rsid w:val="00876683"/>
    <w:rsid w:val="00876926"/>
    <w:rsid w:val="00876AD2"/>
    <w:rsid w:val="00877203"/>
    <w:rsid w:val="008774AA"/>
    <w:rsid w:val="0087755C"/>
    <w:rsid w:val="00877601"/>
    <w:rsid w:val="0087796A"/>
    <w:rsid w:val="00880247"/>
    <w:rsid w:val="0088058E"/>
    <w:rsid w:val="0088076C"/>
    <w:rsid w:val="008808EA"/>
    <w:rsid w:val="00881108"/>
    <w:rsid w:val="00881143"/>
    <w:rsid w:val="008813AE"/>
    <w:rsid w:val="00881B08"/>
    <w:rsid w:val="008826A5"/>
    <w:rsid w:val="00882B04"/>
    <w:rsid w:val="00882B36"/>
    <w:rsid w:val="00882BDC"/>
    <w:rsid w:val="00882CCE"/>
    <w:rsid w:val="00883B22"/>
    <w:rsid w:val="0088504C"/>
    <w:rsid w:val="008854AF"/>
    <w:rsid w:val="00885543"/>
    <w:rsid w:val="008861E9"/>
    <w:rsid w:val="00886959"/>
    <w:rsid w:val="00886EBA"/>
    <w:rsid w:val="00887259"/>
    <w:rsid w:val="00887369"/>
    <w:rsid w:val="008874B8"/>
    <w:rsid w:val="008875D0"/>
    <w:rsid w:val="00887B1D"/>
    <w:rsid w:val="00887BE1"/>
    <w:rsid w:val="008906A0"/>
    <w:rsid w:val="008906D3"/>
    <w:rsid w:val="00890DBF"/>
    <w:rsid w:val="00891033"/>
    <w:rsid w:val="00891104"/>
    <w:rsid w:val="008911D1"/>
    <w:rsid w:val="008912C3"/>
    <w:rsid w:val="00891701"/>
    <w:rsid w:val="00891DD8"/>
    <w:rsid w:val="00892246"/>
    <w:rsid w:val="008934D3"/>
    <w:rsid w:val="00893F56"/>
    <w:rsid w:val="0089456B"/>
    <w:rsid w:val="008953BE"/>
    <w:rsid w:val="00895DDC"/>
    <w:rsid w:val="0089615E"/>
    <w:rsid w:val="00896B36"/>
    <w:rsid w:val="00896CBA"/>
    <w:rsid w:val="00897413"/>
    <w:rsid w:val="008A06F6"/>
    <w:rsid w:val="008A0BB9"/>
    <w:rsid w:val="008A1C6E"/>
    <w:rsid w:val="008A1DB8"/>
    <w:rsid w:val="008A2273"/>
    <w:rsid w:val="008A2B07"/>
    <w:rsid w:val="008A2F4E"/>
    <w:rsid w:val="008A351F"/>
    <w:rsid w:val="008A36E1"/>
    <w:rsid w:val="008A37A7"/>
    <w:rsid w:val="008A387D"/>
    <w:rsid w:val="008A3DB6"/>
    <w:rsid w:val="008A3E1C"/>
    <w:rsid w:val="008A3EA5"/>
    <w:rsid w:val="008A3ECE"/>
    <w:rsid w:val="008A4104"/>
    <w:rsid w:val="008A4589"/>
    <w:rsid w:val="008A4688"/>
    <w:rsid w:val="008A4792"/>
    <w:rsid w:val="008A4F59"/>
    <w:rsid w:val="008A5681"/>
    <w:rsid w:val="008A6193"/>
    <w:rsid w:val="008A7467"/>
    <w:rsid w:val="008B0075"/>
    <w:rsid w:val="008B0292"/>
    <w:rsid w:val="008B0736"/>
    <w:rsid w:val="008B0A5E"/>
    <w:rsid w:val="008B1B75"/>
    <w:rsid w:val="008B2D32"/>
    <w:rsid w:val="008B344C"/>
    <w:rsid w:val="008B34B6"/>
    <w:rsid w:val="008B42EA"/>
    <w:rsid w:val="008B4450"/>
    <w:rsid w:val="008B470A"/>
    <w:rsid w:val="008B521E"/>
    <w:rsid w:val="008B558B"/>
    <w:rsid w:val="008B5640"/>
    <w:rsid w:val="008B5AC7"/>
    <w:rsid w:val="008B6435"/>
    <w:rsid w:val="008B65F0"/>
    <w:rsid w:val="008B6ED6"/>
    <w:rsid w:val="008B74A4"/>
    <w:rsid w:val="008B7E03"/>
    <w:rsid w:val="008C0880"/>
    <w:rsid w:val="008C11DC"/>
    <w:rsid w:val="008C1389"/>
    <w:rsid w:val="008C1583"/>
    <w:rsid w:val="008C1761"/>
    <w:rsid w:val="008C1931"/>
    <w:rsid w:val="008C1B7B"/>
    <w:rsid w:val="008C1C1A"/>
    <w:rsid w:val="008C2321"/>
    <w:rsid w:val="008C23EB"/>
    <w:rsid w:val="008C2557"/>
    <w:rsid w:val="008C2709"/>
    <w:rsid w:val="008C28B6"/>
    <w:rsid w:val="008C2940"/>
    <w:rsid w:val="008C2ECD"/>
    <w:rsid w:val="008C3133"/>
    <w:rsid w:val="008C3289"/>
    <w:rsid w:val="008C339A"/>
    <w:rsid w:val="008C36F9"/>
    <w:rsid w:val="008C3F6B"/>
    <w:rsid w:val="008C42DE"/>
    <w:rsid w:val="008C52AE"/>
    <w:rsid w:val="008C5346"/>
    <w:rsid w:val="008C55DA"/>
    <w:rsid w:val="008C5657"/>
    <w:rsid w:val="008C5759"/>
    <w:rsid w:val="008C58A6"/>
    <w:rsid w:val="008C5D83"/>
    <w:rsid w:val="008C62E4"/>
    <w:rsid w:val="008C65DA"/>
    <w:rsid w:val="008C71FB"/>
    <w:rsid w:val="008C75FC"/>
    <w:rsid w:val="008C7FD0"/>
    <w:rsid w:val="008D002B"/>
    <w:rsid w:val="008D0191"/>
    <w:rsid w:val="008D0ED1"/>
    <w:rsid w:val="008D10A7"/>
    <w:rsid w:val="008D1279"/>
    <w:rsid w:val="008D1328"/>
    <w:rsid w:val="008D2452"/>
    <w:rsid w:val="008D27DD"/>
    <w:rsid w:val="008D2D8F"/>
    <w:rsid w:val="008D2E6F"/>
    <w:rsid w:val="008D3392"/>
    <w:rsid w:val="008D3E6A"/>
    <w:rsid w:val="008D403E"/>
    <w:rsid w:val="008D4154"/>
    <w:rsid w:val="008D42E1"/>
    <w:rsid w:val="008D4335"/>
    <w:rsid w:val="008D4417"/>
    <w:rsid w:val="008D44E4"/>
    <w:rsid w:val="008D4684"/>
    <w:rsid w:val="008D4757"/>
    <w:rsid w:val="008D47C0"/>
    <w:rsid w:val="008D4D59"/>
    <w:rsid w:val="008D5CB1"/>
    <w:rsid w:val="008D62D9"/>
    <w:rsid w:val="008D66B0"/>
    <w:rsid w:val="008D6B78"/>
    <w:rsid w:val="008D6F6B"/>
    <w:rsid w:val="008D737C"/>
    <w:rsid w:val="008E0721"/>
    <w:rsid w:val="008E093F"/>
    <w:rsid w:val="008E0D2D"/>
    <w:rsid w:val="008E1A07"/>
    <w:rsid w:val="008E2397"/>
    <w:rsid w:val="008E27FE"/>
    <w:rsid w:val="008E2959"/>
    <w:rsid w:val="008E3160"/>
    <w:rsid w:val="008E3186"/>
    <w:rsid w:val="008E3215"/>
    <w:rsid w:val="008E356E"/>
    <w:rsid w:val="008E36EF"/>
    <w:rsid w:val="008E45B3"/>
    <w:rsid w:val="008E4770"/>
    <w:rsid w:val="008E486D"/>
    <w:rsid w:val="008E4FB2"/>
    <w:rsid w:val="008E4FE2"/>
    <w:rsid w:val="008E5B90"/>
    <w:rsid w:val="008E6A03"/>
    <w:rsid w:val="008E6AC8"/>
    <w:rsid w:val="008E7486"/>
    <w:rsid w:val="008E76BA"/>
    <w:rsid w:val="008F005F"/>
    <w:rsid w:val="008F0097"/>
    <w:rsid w:val="008F103B"/>
    <w:rsid w:val="008F111B"/>
    <w:rsid w:val="008F2034"/>
    <w:rsid w:val="008F24F8"/>
    <w:rsid w:val="008F2C87"/>
    <w:rsid w:val="008F2D07"/>
    <w:rsid w:val="008F2D98"/>
    <w:rsid w:val="008F333C"/>
    <w:rsid w:val="008F3358"/>
    <w:rsid w:val="008F348C"/>
    <w:rsid w:val="008F4467"/>
    <w:rsid w:val="008F4CCE"/>
    <w:rsid w:val="008F4E04"/>
    <w:rsid w:val="008F5067"/>
    <w:rsid w:val="008F522D"/>
    <w:rsid w:val="008F5369"/>
    <w:rsid w:val="008F5A61"/>
    <w:rsid w:val="008F61BA"/>
    <w:rsid w:val="008F63EE"/>
    <w:rsid w:val="008F66F9"/>
    <w:rsid w:val="008F673B"/>
    <w:rsid w:val="008F677F"/>
    <w:rsid w:val="008F6D8C"/>
    <w:rsid w:val="008F7197"/>
    <w:rsid w:val="008F7341"/>
    <w:rsid w:val="008F77E6"/>
    <w:rsid w:val="00900338"/>
    <w:rsid w:val="0090033F"/>
    <w:rsid w:val="009003BF"/>
    <w:rsid w:val="00900E36"/>
    <w:rsid w:val="00901094"/>
    <w:rsid w:val="00901523"/>
    <w:rsid w:val="00901668"/>
    <w:rsid w:val="009016BE"/>
    <w:rsid w:val="00901753"/>
    <w:rsid w:val="00901D30"/>
    <w:rsid w:val="0090281D"/>
    <w:rsid w:val="00902B43"/>
    <w:rsid w:val="00903291"/>
    <w:rsid w:val="0090346D"/>
    <w:rsid w:val="00903799"/>
    <w:rsid w:val="00903840"/>
    <w:rsid w:val="00904DE8"/>
    <w:rsid w:val="0090527F"/>
    <w:rsid w:val="00905640"/>
    <w:rsid w:val="0090575F"/>
    <w:rsid w:val="009058F7"/>
    <w:rsid w:val="00906540"/>
    <w:rsid w:val="009068B8"/>
    <w:rsid w:val="00906B41"/>
    <w:rsid w:val="00906C1F"/>
    <w:rsid w:val="00906F13"/>
    <w:rsid w:val="00906F5F"/>
    <w:rsid w:val="0090710C"/>
    <w:rsid w:val="00910539"/>
    <w:rsid w:val="0091084D"/>
    <w:rsid w:val="00911153"/>
    <w:rsid w:val="009111A4"/>
    <w:rsid w:val="009112D5"/>
    <w:rsid w:val="00911963"/>
    <w:rsid w:val="009119B5"/>
    <w:rsid w:val="00911A3F"/>
    <w:rsid w:val="0091232D"/>
    <w:rsid w:val="0091247D"/>
    <w:rsid w:val="009125B2"/>
    <w:rsid w:val="0091343C"/>
    <w:rsid w:val="0091357C"/>
    <w:rsid w:val="009142B9"/>
    <w:rsid w:val="0091434E"/>
    <w:rsid w:val="0091442F"/>
    <w:rsid w:val="00915057"/>
    <w:rsid w:val="00915765"/>
    <w:rsid w:val="00915E78"/>
    <w:rsid w:val="00916B4B"/>
    <w:rsid w:val="00916DA7"/>
    <w:rsid w:val="00917407"/>
    <w:rsid w:val="009174AA"/>
    <w:rsid w:val="00917DD4"/>
    <w:rsid w:val="009200B8"/>
    <w:rsid w:val="009207EE"/>
    <w:rsid w:val="00920956"/>
    <w:rsid w:val="00920A5A"/>
    <w:rsid w:val="00920B85"/>
    <w:rsid w:val="00920BE9"/>
    <w:rsid w:val="009210FB"/>
    <w:rsid w:val="009212B8"/>
    <w:rsid w:val="00921371"/>
    <w:rsid w:val="009216A5"/>
    <w:rsid w:val="00921716"/>
    <w:rsid w:val="0092196A"/>
    <w:rsid w:val="00921A4D"/>
    <w:rsid w:val="00921F4A"/>
    <w:rsid w:val="0092236C"/>
    <w:rsid w:val="009225DF"/>
    <w:rsid w:val="00922A3F"/>
    <w:rsid w:val="00922C42"/>
    <w:rsid w:val="00922CB8"/>
    <w:rsid w:val="0092339D"/>
    <w:rsid w:val="00923C3E"/>
    <w:rsid w:val="00923E77"/>
    <w:rsid w:val="00923FC1"/>
    <w:rsid w:val="0092457B"/>
    <w:rsid w:val="00924DA0"/>
    <w:rsid w:val="009251BB"/>
    <w:rsid w:val="00925A0A"/>
    <w:rsid w:val="00925DF9"/>
    <w:rsid w:val="00926833"/>
    <w:rsid w:val="00926A9B"/>
    <w:rsid w:val="00926B42"/>
    <w:rsid w:val="00926E62"/>
    <w:rsid w:val="00927029"/>
    <w:rsid w:val="00927193"/>
    <w:rsid w:val="00927DC8"/>
    <w:rsid w:val="00930842"/>
    <w:rsid w:val="00930BD8"/>
    <w:rsid w:val="00931318"/>
    <w:rsid w:val="00931AF7"/>
    <w:rsid w:val="0093218C"/>
    <w:rsid w:val="0093253B"/>
    <w:rsid w:val="009325D9"/>
    <w:rsid w:val="00932C6C"/>
    <w:rsid w:val="009332B3"/>
    <w:rsid w:val="00933510"/>
    <w:rsid w:val="00933FC3"/>
    <w:rsid w:val="00934217"/>
    <w:rsid w:val="00934EA0"/>
    <w:rsid w:val="009358B4"/>
    <w:rsid w:val="00935987"/>
    <w:rsid w:val="00935A9C"/>
    <w:rsid w:val="00935EE3"/>
    <w:rsid w:val="00936000"/>
    <w:rsid w:val="0093626F"/>
    <w:rsid w:val="00936C1C"/>
    <w:rsid w:val="00937242"/>
    <w:rsid w:val="00937488"/>
    <w:rsid w:val="009403F0"/>
    <w:rsid w:val="00940478"/>
    <w:rsid w:val="00940AB2"/>
    <w:rsid w:val="00940EEE"/>
    <w:rsid w:val="0094105D"/>
    <w:rsid w:val="00941794"/>
    <w:rsid w:val="00941946"/>
    <w:rsid w:val="00941981"/>
    <w:rsid w:val="00941DCC"/>
    <w:rsid w:val="009420A1"/>
    <w:rsid w:val="009422E7"/>
    <w:rsid w:val="00942808"/>
    <w:rsid w:val="00942A61"/>
    <w:rsid w:val="00942E24"/>
    <w:rsid w:val="0094361B"/>
    <w:rsid w:val="00943716"/>
    <w:rsid w:val="00943722"/>
    <w:rsid w:val="00943A59"/>
    <w:rsid w:val="00944DB5"/>
    <w:rsid w:val="009459F2"/>
    <w:rsid w:val="00945C5B"/>
    <w:rsid w:val="00946242"/>
    <w:rsid w:val="00946605"/>
    <w:rsid w:val="0094684D"/>
    <w:rsid w:val="00946EB5"/>
    <w:rsid w:val="00947896"/>
    <w:rsid w:val="00947EB3"/>
    <w:rsid w:val="00950701"/>
    <w:rsid w:val="00950929"/>
    <w:rsid w:val="00950A53"/>
    <w:rsid w:val="00950B06"/>
    <w:rsid w:val="00950E5E"/>
    <w:rsid w:val="009510E5"/>
    <w:rsid w:val="009519A6"/>
    <w:rsid w:val="00951AAB"/>
    <w:rsid w:val="009526D8"/>
    <w:rsid w:val="00952C37"/>
    <w:rsid w:val="00952FCB"/>
    <w:rsid w:val="00952FF1"/>
    <w:rsid w:val="009532AD"/>
    <w:rsid w:val="009538DD"/>
    <w:rsid w:val="00954395"/>
    <w:rsid w:val="00954D3C"/>
    <w:rsid w:val="00955848"/>
    <w:rsid w:val="00956083"/>
    <w:rsid w:val="0095675B"/>
    <w:rsid w:val="0095744A"/>
    <w:rsid w:val="009578DF"/>
    <w:rsid w:val="009602B5"/>
    <w:rsid w:val="0096089D"/>
    <w:rsid w:val="00960CBB"/>
    <w:rsid w:val="00961470"/>
    <w:rsid w:val="009614C4"/>
    <w:rsid w:val="00961B2B"/>
    <w:rsid w:val="00961F03"/>
    <w:rsid w:val="009620AD"/>
    <w:rsid w:val="00962209"/>
    <w:rsid w:val="00963900"/>
    <w:rsid w:val="00964276"/>
    <w:rsid w:val="00965069"/>
    <w:rsid w:val="0096506E"/>
    <w:rsid w:val="00965398"/>
    <w:rsid w:val="00965615"/>
    <w:rsid w:val="00965D1A"/>
    <w:rsid w:val="00965EA6"/>
    <w:rsid w:val="00965F5C"/>
    <w:rsid w:val="0096627B"/>
    <w:rsid w:val="00966A49"/>
    <w:rsid w:val="00970069"/>
    <w:rsid w:val="009701DC"/>
    <w:rsid w:val="009703BA"/>
    <w:rsid w:val="009703C7"/>
    <w:rsid w:val="009704D9"/>
    <w:rsid w:val="00970D78"/>
    <w:rsid w:val="009711E5"/>
    <w:rsid w:val="009714B7"/>
    <w:rsid w:val="00971637"/>
    <w:rsid w:val="009717BF"/>
    <w:rsid w:val="00971816"/>
    <w:rsid w:val="00971DEC"/>
    <w:rsid w:val="0097208A"/>
    <w:rsid w:val="0097210F"/>
    <w:rsid w:val="009721EB"/>
    <w:rsid w:val="0097289E"/>
    <w:rsid w:val="00972B13"/>
    <w:rsid w:val="00972B46"/>
    <w:rsid w:val="00972D9C"/>
    <w:rsid w:val="009730F9"/>
    <w:rsid w:val="009732A2"/>
    <w:rsid w:val="00974128"/>
    <w:rsid w:val="009744A1"/>
    <w:rsid w:val="0097454B"/>
    <w:rsid w:val="00974C70"/>
    <w:rsid w:val="00974C7C"/>
    <w:rsid w:val="009761D2"/>
    <w:rsid w:val="00976581"/>
    <w:rsid w:val="0097682B"/>
    <w:rsid w:val="00976A69"/>
    <w:rsid w:val="00976A71"/>
    <w:rsid w:val="0098081B"/>
    <w:rsid w:val="0098087D"/>
    <w:rsid w:val="00980E4D"/>
    <w:rsid w:val="00980EE0"/>
    <w:rsid w:val="00981024"/>
    <w:rsid w:val="0098173A"/>
    <w:rsid w:val="00981F9F"/>
    <w:rsid w:val="009822E3"/>
    <w:rsid w:val="0098379E"/>
    <w:rsid w:val="0098397E"/>
    <w:rsid w:val="009839F6"/>
    <w:rsid w:val="00984ABB"/>
    <w:rsid w:val="00985399"/>
    <w:rsid w:val="0098558F"/>
    <w:rsid w:val="0098613A"/>
    <w:rsid w:val="00987374"/>
    <w:rsid w:val="009901E9"/>
    <w:rsid w:val="00990B64"/>
    <w:rsid w:val="00990E70"/>
    <w:rsid w:val="00990F35"/>
    <w:rsid w:val="00990FE2"/>
    <w:rsid w:val="009910A2"/>
    <w:rsid w:val="009921E5"/>
    <w:rsid w:val="009933F9"/>
    <w:rsid w:val="009936D5"/>
    <w:rsid w:val="00993D54"/>
    <w:rsid w:val="00993D6B"/>
    <w:rsid w:val="0099424D"/>
    <w:rsid w:val="00995183"/>
    <w:rsid w:val="00995395"/>
    <w:rsid w:val="009956AA"/>
    <w:rsid w:val="00995710"/>
    <w:rsid w:val="00995833"/>
    <w:rsid w:val="00995E88"/>
    <w:rsid w:val="00995EC0"/>
    <w:rsid w:val="00995FC5"/>
    <w:rsid w:val="00996AE2"/>
    <w:rsid w:val="00996F2C"/>
    <w:rsid w:val="00997288"/>
    <w:rsid w:val="00997B32"/>
    <w:rsid w:val="009A0B81"/>
    <w:rsid w:val="009A0C1E"/>
    <w:rsid w:val="009A138F"/>
    <w:rsid w:val="009A18D8"/>
    <w:rsid w:val="009A1A9C"/>
    <w:rsid w:val="009A2453"/>
    <w:rsid w:val="009A2736"/>
    <w:rsid w:val="009A2B7C"/>
    <w:rsid w:val="009A2EAF"/>
    <w:rsid w:val="009A323F"/>
    <w:rsid w:val="009A32F6"/>
    <w:rsid w:val="009A3582"/>
    <w:rsid w:val="009A383C"/>
    <w:rsid w:val="009A402F"/>
    <w:rsid w:val="009A44D3"/>
    <w:rsid w:val="009A4A27"/>
    <w:rsid w:val="009A4B28"/>
    <w:rsid w:val="009A4CF8"/>
    <w:rsid w:val="009A5765"/>
    <w:rsid w:val="009A5811"/>
    <w:rsid w:val="009A582F"/>
    <w:rsid w:val="009A5A0C"/>
    <w:rsid w:val="009A5B50"/>
    <w:rsid w:val="009A5E4E"/>
    <w:rsid w:val="009A5F99"/>
    <w:rsid w:val="009A60C5"/>
    <w:rsid w:val="009A6519"/>
    <w:rsid w:val="009A65D5"/>
    <w:rsid w:val="009A6661"/>
    <w:rsid w:val="009A6C4F"/>
    <w:rsid w:val="009A7215"/>
    <w:rsid w:val="009B0233"/>
    <w:rsid w:val="009B063E"/>
    <w:rsid w:val="009B0887"/>
    <w:rsid w:val="009B0935"/>
    <w:rsid w:val="009B14B3"/>
    <w:rsid w:val="009B1AEA"/>
    <w:rsid w:val="009B1C21"/>
    <w:rsid w:val="009B1EAA"/>
    <w:rsid w:val="009B1EF8"/>
    <w:rsid w:val="009B260B"/>
    <w:rsid w:val="009B2B6A"/>
    <w:rsid w:val="009B2B7A"/>
    <w:rsid w:val="009B2C1B"/>
    <w:rsid w:val="009B2E5A"/>
    <w:rsid w:val="009B30AF"/>
    <w:rsid w:val="009B343D"/>
    <w:rsid w:val="009B35C3"/>
    <w:rsid w:val="009B3F00"/>
    <w:rsid w:val="009B496C"/>
    <w:rsid w:val="009B4DA9"/>
    <w:rsid w:val="009B4EFC"/>
    <w:rsid w:val="009B533E"/>
    <w:rsid w:val="009B5763"/>
    <w:rsid w:val="009B57CE"/>
    <w:rsid w:val="009B585B"/>
    <w:rsid w:val="009B5A2E"/>
    <w:rsid w:val="009B5DBB"/>
    <w:rsid w:val="009B61A2"/>
    <w:rsid w:val="009B6853"/>
    <w:rsid w:val="009B706E"/>
    <w:rsid w:val="009B7AF7"/>
    <w:rsid w:val="009C0558"/>
    <w:rsid w:val="009C09AB"/>
    <w:rsid w:val="009C0CB0"/>
    <w:rsid w:val="009C0E81"/>
    <w:rsid w:val="009C146A"/>
    <w:rsid w:val="009C192B"/>
    <w:rsid w:val="009C19DC"/>
    <w:rsid w:val="009C19E8"/>
    <w:rsid w:val="009C28C5"/>
    <w:rsid w:val="009C3E4B"/>
    <w:rsid w:val="009C3FEB"/>
    <w:rsid w:val="009C421D"/>
    <w:rsid w:val="009C423A"/>
    <w:rsid w:val="009C43E6"/>
    <w:rsid w:val="009C4571"/>
    <w:rsid w:val="009C48FA"/>
    <w:rsid w:val="009C4951"/>
    <w:rsid w:val="009C4B04"/>
    <w:rsid w:val="009C4BD4"/>
    <w:rsid w:val="009C506B"/>
    <w:rsid w:val="009C50F2"/>
    <w:rsid w:val="009C51AA"/>
    <w:rsid w:val="009C5D74"/>
    <w:rsid w:val="009C5DDB"/>
    <w:rsid w:val="009C6244"/>
    <w:rsid w:val="009C6611"/>
    <w:rsid w:val="009C6BDD"/>
    <w:rsid w:val="009C6C9D"/>
    <w:rsid w:val="009C7217"/>
    <w:rsid w:val="009C74F6"/>
    <w:rsid w:val="009D01DE"/>
    <w:rsid w:val="009D07D3"/>
    <w:rsid w:val="009D166E"/>
    <w:rsid w:val="009D22D1"/>
    <w:rsid w:val="009D4C18"/>
    <w:rsid w:val="009D4DFC"/>
    <w:rsid w:val="009D50E5"/>
    <w:rsid w:val="009D54BD"/>
    <w:rsid w:val="009D5800"/>
    <w:rsid w:val="009D5957"/>
    <w:rsid w:val="009D5A21"/>
    <w:rsid w:val="009D5A6C"/>
    <w:rsid w:val="009D6C17"/>
    <w:rsid w:val="009E03BC"/>
    <w:rsid w:val="009E09F5"/>
    <w:rsid w:val="009E0C7D"/>
    <w:rsid w:val="009E16B4"/>
    <w:rsid w:val="009E17ED"/>
    <w:rsid w:val="009E194A"/>
    <w:rsid w:val="009E28B2"/>
    <w:rsid w:val="009E2979"/>
    <w:rsid w:val="009E2A82"/>
    <w:rsid w:val="009E3085"/>
    <w:rsid w:val="009E325D"/>
    <w:rsid w:val="009E3577"/>
    <w:rsid w:val="009E38F4"/>
    <w:rsid w:val="009E3A44"/>
    <w:rsid w:val="009E401B"/>
    <w:rsid w:val="009E4088"/>
    <w:rsid w:val="009E4DB5"/>
    <w:rsid w:val="009E500B"/>
    <w:rsid w:val="009E50FC"/>
    <w:rsid w:val="009E52FC"/>
    <w:rsid w:val="009E585C"/>
    <w:rsid w:val="009E5883"/>
    <w:rsid w:val="009E5E7A"/>
    <w:rsid w:val="009E6375"/>
    <w:rsid w:val="009E6572"/>
    <w:rsid w:val="009E6A28"/>
    <w:rsid w:val="009E6F0B"/>
    <w:rsid w:val="009E73F2"/>
    <w:rsid w:val="009E761E"/>
    <w:rsid w:val="009E79ED"/>
    <w:rsid w:val="009E7ABD"/>
    <w:rsid w:val="009F00C7"/>
    <w:rsid w:val="009F03F5"/>
    <w:rsid w:val="009F07CD"/>
    <w:rsid w:val="009F0F95"/>
    <w:rsid w:val="009F18E1"/>
    <w:rsid w:val="009F1BAC"/>
    <w:rsid w:val="009F1C2D"/>
    <w:rsid w:val="009F1D54"/>
    <w:rsid w:val="009F1FCD"/>
    <w:rsid w:val="009F2050"/>
    <w:rsid w:val="009F2272"/>
    <w:rsid w:val="009F2777"/>
    <w:rsid w:val="009F28A9"/>
    <w:rsid w:val="009F360D"/>
    <w:rsid w:val="009F3FF4"/>
    <w:rsid w:val="009F4296"/>
    <w:rsid w:val="009F42ED"/>
    <w:rsid w:val="009F4508"/>
    <w:rsid w:val="009F4963"/>
    <w:rsid w:val="009F4E20"/>
    <w:rsid w:val="009F4E2A"/>
    <w:rsid w:val="009F4F86"/>
    <w:rsid w:val="009F54CC"/>
    <w:rsid w:val="009F55F8"/>
    <w:rsid w:val="009F5A1E"/>
    <w:rsid w:val="009F5D7F"/>
    <w:rsid w:val="009F5F15"/>
    <w:rsid w:val="009F61C3"/>
    <w:rsid w:val="009F63B4"/>
    <w:rsid w:val="009F6401"/>
    <w:rsid w:val="009F66B5"/>
    <w:rsid w:val="009F6C65"/>
    <w:rsid w:val="009F6DBE"/>
    <w:rsid w:val="009F6E61"/>
    <w:rsid w:val="009F7191"/>
    <w:rsid w:val="009F7204"/>
    <w:rsid w:val="009F7207"/>
    <w:rsid w:val="00A00184"/>
    <w:rsid w:val="00A00594"/>
    <w:rsid w:val="00A00685"/>
    <w:rsid w:val="00A00F92"/>
    <w:rsid w:val="00A011A0"/>
    <w:rsid w:val="00A011FF"/>
    <w:rsid w:val="00A0120A"/>
    <w:rsid w:val="00A018EE"/>
    <w:rsid w:val="00A01C2E"/>
    <w:rsid w:val="00A01E22"/>
    <w:rsid w:val="00A02205"/>
    <w:rsid w:val="00A02EA5"/>
    <w:rsid w:val="00A02FB0"/>
    <w:rsid w:val="00A03342"/>
    <w:rsid w:val="00A038EF"/>
    <w:rsid w:val="00A03E60"/>
    <w:rsid w:val="00A04270"/>
    <w:rsid w:val="00A04298"/>
    <w:rsid w:val="00A043D2"/>
    <w:rsid w:val="00A045FC"/>
    <w:rsid w:val="00A04763"/>
    <w:rsid w:val="00A04AC1"/>
    <w:rsid w:val="00A04DD2"/>
    <w:rsid w:val="00A05335"/>
    <w:rsid w:val="00A05A98"/>
    <w:rsid w:val="00A05B68"/>
    <w:rsid w:val="00A060DC"/>
    <w:rsid w:val="00A06415"/>
    <w:rsid w:val="00A0741E"/>
    <w:rsid w:val="00A07596"/>
    <w:rsid w:val="00A078D2"/>
    <w:rsid w:val="00A07951"/>
    <w:rsid w:val="00A07A18"/>
    <w:rsid w:val="00A10367"/>
    <w:rsid w:val="00A1060D"/>
    <w:rsid w:val="00A10924"/>
    <w:rsid w:val="00A109AB"/>
    <w:rsid w:val="00A1118F"/>
    <w:rsid w:val="00A116F9"/>
    <w:rsid w:val="00A118B1"/>
    <w:rsid w:val="00A1217F"/>
    <w:rsid w:val="00A12703"/>
    <w:rsid w:val="00A129DF"/>
    <w:rsid w:val="00A12B1D"/>
    <w:rsid w:val="00A12CF6"/>
    <w:rsid w:val="00A132C4"/>
    <w:rsid w:val="00A134C8"/>
    <w:rsid w:val="00A13C79"/>
    <w:rsid w:val="00A13D3C"/>
    <w:rsid w:val="00A13D7E"/>
    <w:rsid w:val="00A13EC3"/>
    <w:rsid w:val="00A13F40"/>
    <w:rsid w:val="00A14110"/>
    <w:rsid w:val="00A14432"/>
    <w:rsid w:val="00A147E1"/>
    <w:rsid w:val="00A15186"/>
    <w:rsid w:val="00A15F4B"/>
    <w:rsid w:val="00A17362"/>
    <w:rsid w:val="00A17A08"/>
    <w:rsid w:val="00A17D5E"/>
    <w:rsid w:val="00A17E87"/>
    <w:rsid w:val="00A20281"/>
    <w:rsid w:val="00A20537"/>
    <w:rsid w:val="00A205A5"/>
    <w:rsid w:val="00A20608"/>
    <w:rsid w:val="00A20A8C"/>
    <w:rsid w:val="00A20B57"/>
    <w:rsid w:val="00A21264"/>
    <w:rsid w:val="00A214EE"/>
    <w:rsid w:val="00A21599"/>
    <w:rsid w:val="00A2162D"/>
    <w:rsid w:val="00A21A82"/>
    <w:rsid w:val="00A21E3D"/>
    <w:rsid w:val="00A22800"/>
    <w:rsid w:val="00A22858"/>
    <w:rsid w:val="00A22928"/>
    <w:rsid w:val="00A22978"/>
    <w:rsid w:val="00A22BE4"/>
    <w:rsid w:val="00A22DCF"/>
    <w:rsid w:val="00A22FF1"/>
    <w:rsid w:val="00A2337C"/>
    <w:rsid w:val="00A233B7"/>
    <w:rsid w:val="00A233F1"/>
    <w:rsid w:val="00A2578D"/>
    <w:rsid w:val="00A26E10"/>
    <w:rsid w:val="00A26F6F"/>
    <w:rsid w:val="00A26FC0"/>
    <w:rsid w:val="00A27348"/>
    <w:rsid w:val="00A275C7"/>
    <w:rsid w:val="00A2796B"/>
    <w:rsid w:val="00A305D5"/>
    <w:rsid w:val="00A305F1"/>
    <w:rsid w:val="00A30734"/>
    <w:rsid w:val="00A309DE"/>
    <w:rsid w:val="00A30B02"/>
    <w:rsid w:val="00A30B39"/>
    <w:rsid w:val="00A30F91"/>
    <w:rsid w:val="00A31232"/>
    <w:rsid w:val="00A31E86"/>
    <w:rsid w:val="00A33A4E"/>
    <w:rsid w:val="00A33A74"/>
    <w:rsid w:val="00A33A84"/>
    <w:rsid w:val="00A34F8D"/>
    <w:rsid w:val="00A358B6"/>
    <w:rsid w:val="00A35D29"/>
    <w:rsid w:val="00A35EC4"/>
    <w:rsid w:val="00A36222"/>
    <w:rsid w:val="00A3644F"/>
    <w:rsid w:val="00A36B6A"/>
    <w:rsid w:val="00A36BB0"/>
    <w:rsid w:val="00A371C0"/>
    <w:rsid w:val="00A372D7"/>
    <w:rsid w:val="00A4000B"/>
    <w:rsid w:val="00A40179"/>
    <w:rsid w:val="00A4042A"/>
    <w:rsid w:val="00A40A1A"/>
    <w:rsid w:val="00A4131B"/>
    <w:rsid w:val="00A41E27"/>
    <w:rsid w:val="00A43063"/>
    <w:rsid w:val="00A43460"/>
    <w:rsid w:val="00A43C6F"/>
    <w:rsid w:val="00A43FB9"/>
    <w:rsid w:val="00A441DA"/>
    <w:rsid w:val="00A4490B"/>
    <w:rsid w:val="00A44AAA"/>
    <w:rsid w:val="00A45409"/>
    <w:rsid w:val="00A45E21"/>
    <w:rsid w:val="00A45FE9"/>
    <w:rsid w:val="00A4666A"/>
    <w:rsid w:val="00A46A42"/>
    <w:rsid w:val="00A46ABB"/>
    <w:rsid w:val="00A46B09"/>
    <w:rsid w:val="00A46BFB"/>
    <w:rsid w:val="00A46D4C"/>
    <w:rsid w:val="00A46D6B"/>
    <w:rsid w:val="00A4718E"/>
    <w:rsid w:val="00A473DC"/>
    <w:rsid w:val="00A473F0"/>
    <w:rsid w:val="00A47955"/>
    <w:rsid w:val="00A50209"/>
    <w:rsid w:val="00A50CAF"/>
    <w:rsid w:val="00A51078"/>
    <w:rsid w:val="00A519E0"/>
    <w:rsid w:val="00A51B87"/>
    <w:rsid w:val="00A51BF3"/>
    <w:rsid w:val="00A521EE"/>
    <w:rsid w:val="00A5239B"/>
    <w:rsid w:val="00A526D7"/>
    <w:rsid w:val="00A52C56"/>
    <w:rsid w:val="00A52F1F"/>
    <w:rsid w:val="00A53324"/>
    <w:rsid w:val="00A5337C"/>
    <w:rsid w:val="00A5386F"/>
    <w:rsid w:val="00A54EA5"/>
    <w:rsid w:val="00A54F19"/>
    <w:rsid w:val="00A553B0"/>
    <w:rsid w:val="00A5573F"/>
    <w:rsid w:val="00A559AA"/>
    <w:rsid w:val="00A55E8B"/>
    <w:rsid w:val="00A55FE8"/>
    <w:rsid w:val="00A563E0"/>
    <w:rsid w:val="00A5693E"/>
    <w:rsid w:val="00A57424"/>
    <w:rsid w:val="00A57F71"/>
    <w:rsid w:val="00A60114"/>
    <w:rsid w:val="00A60289"/>
    <w:rsid w:val="00A60673"/>
    <w:rsid w:val="00A60B33"/>
    <w:rsid w:val="00A60D5E"/>
    <w:rsid w:val="00A60EB2"/>
    <w:rsid w:val="00A61113"/>
    <w:rsid w:val="00A6122D"/>
    <w:rsid w:val="00A6146C"/>
    <w:rsid w:val="00A61AA6"/>
    <w:rsid w:val="00A624DB"/>
    <w:rsid w:val="00A62D6C"/>
    <w:rsid w:val="00A635E6"/>
    <w:rsid w:val="00A638BF"/>
    <w:rsid w:val="00A6398E"/>
    <w:rsid w:val="00A63B90"/>
    <w:rsid w:val="00A6485B"/>
    <w:rsid w:val="00A64A23"/>
    <w:rsid w:val="00A652D9"/>
    <w:rsid w:val="00A6542F"/>
    <w:rsid w:val="00A654E0"/>
    <w:rsid w:val="00A65704"/>
    <w:rsid w:val="00A65C86"/>
    <w:rsid w:val="00A667C7"/>
    <w:rsid w:val="00A66CF1"/>
    <w:rsid w:val="00A673AC"/>
    <w:rsid w:val="00A677CC"/>
    <w:rsid w:val="00A67D20"/>
    <w:rsid w:val="00A7094B"/>
    <w:rsid w:val="00A70BED"/>
    <w:rsid w:val="00A7108B"/>
    <w:rsid w:val="00A71211"/>
    <w:rsid w:val="00A7121A"/>
    <w:rsid w:val="00A71265"/>
    <w:rsid w:val="00A713D9"/>
    <w:rsid w:val="00A7189A"/>
    <w:rsid w:val="00A72356"/>
    <w:rsid w:val="00A726CA"/>
    <w:rsid w:val="00A734AC"/>
    <w:rsid w:val="00A73C7B"/>
    <w:rsid w:val="00A73DDD"/>
    <w:rsid w:val="00A73EF1"/>
    <w:rsid w:val="00A74C4B"/>
    <w:rsid w:val="00A752C7"/>
    <w:rsid w:val="00A75620"/>
    <w:rsid w:val="00A76B22"/>
    <w:rsid w:val="00A772F1"/>
    <w:rsid w:val="00A774A9"/>
    <w:rsid w:val="00A77AE5"/>
    <w:rsid w:val="00A77B63"/>
    <w:rsid w:val="00A77C3A"/>
    <w:rsid w:val="00A8085A"/>
    <w:rsid w:val="00A80C07"/>
    <w:rsid w:val="00A80F55"/>
    <w:rsid w:val="00A80FD5"/>
    <w:rsid w:val="00A8118C"/>
    <w:rsid w:val="00A81378"/>
    <w:rsid w:val="00A8150B"/>
    <w:rsid w:val="00A81779"/>
    <w:rsid w:val="00A81A51"/>
    <w:rsid w:val="00A8202B"/>
    <w:rsid w:val="00A8228C"/>
    <w:rsid w:val="00A82599"/>
    <w:rsid w:val="00A82BB4"/>
    <w:rsid w:val="00A82C1F"/>
    <w:rsid w:val="00A830E7"/>
    <w:rsid w:val="00A8322A"/>
    <w:rsid w:val="00A83259"/>
    <w:rsid w:val="00A832ED"/>
    <w:rsid w:val="00A834D6"/>
    <w:rsid w:val="00A834FB"/>
    <w:rsid w:val="00A83560"/>
    <w:rsid w:val="00A83768"/>
    <w:rsid w:val="00A8390B"/>
    <w:rsid w:val="00A846A1"/>
    <w:rsid w:val="00A848C1"/>
    <w:rsid w:val="00A84ABE"/>
    <w:rsid w:val="00A84D24"/>
    <w:rsid w:val="00A84E8B"/>
    <w:rsid w:val="00A857D4"/>
    <w:rsid w:val="00A85849"/>
    <w:rsid w:val="00A85F75"/>
    <w:rsid w:val="00A862C9"/>
    <w:rsid w:val="00A8634D"/>
    <w:rsid w:val="00A86FA5"/>
    <w:rsid w:val="00A87285"/>
    <w:rsid w:val="00A87FB1"/>
    <w:rsid w:val="00A902C7"/>
    <w:rsid w:val="00A90AEB"/>
    <w:rsid w:val="00A92C72"/>
    <w:rsid w:val="00A92D09"/>
    <w:rsid w:val="00A92D66"/>
    <w:rsid w:val="00A93F12"/>
    <w:rsid w:val="00A95072"/>
    <w:rsid w:val="00A957F8"/>
    <w:rsid w:val="00A95827"/>
    <w:rsid w:val="00A95B3C"/>
    <w:rsid w:val="00A964C7"/>
    <w:rsid w:val="00A96991"/>
    <w:rsid w:val="00A969CE"/>
    <w:rsid w:val="00A96B2C"/>
    <w:rsid w:val="00A96B45"/>
    <w:rsid w:val="00A972F7"/>
    <w:rsid w:val="00A9742B"/>
    <w:rsid w:val="00A977C1"/>
    <w:rsid w:val="00A97C4E"/>
    <w:rsid w:val="00A97DA0"/>
    <w:rsid w:val="00AA072D"/>
    <w:rsid w:val="00AA09DA"/>
    <w:rsid w:val="00AA0F09"/>
    <w:rsid w:val="00AA12E6"/>
    <w:rsid w:val="00AA336D"/>
    <w:rsid w:val="00AA3859"/>
    <w:rsid w:val="00AA3A49"/>
    <w:rsid w:val="00AA42DB"/>
    <w:rsid w:val="00AA473D"/>
    <w:rsid w:val="00AA4771"/>
    <w:rsid w:val="00AA4A64"/>
    <w:rsid w:val="00AA4C58"/>
    <w:rsid w:val="00AA540D"/>
    <w:rsid w:val="00AA5946"/>
    <w:rsid w:val="00AA662D"/>
    <w:rsid w:val="00AA70D9"/>
    <w:rsid w:val="00AA7BE7"/>
    <w:rsid w:val="00AA7CEC"/>
    <w:rsid w:val="00AB0105"/>
    <w:rsid w:val="00AB0777"/>
    <w:rsid w:val="00AB0917"/>
    <w:rsid w:val="00AB0D83"/>
    <w:rsid w:val="00AB1296"/>
    <w:rsid w:val="00AB1401"/>
    <w:rsid w:val="00AB1ADB"/>
    <w:rsid w:val="00AB218A"/>
    <w:rsid w:val="00AB24B1"/>
    <w:rsid w:val="00AB2E60"/>
    <w:rsid w:val="00AB381C"/>
    <w:rsid w:val="00AB3C1B"/>
    <w:rsid w:val="00AB3C2B"/>
    <w:rsid w:val="00AB4DEA"/>
    <w:rsid w:val="00AB5307"/>
    <w:rsid w:val="00AB5B79"/>
    <w:rsid w:val="00AB5BE2"/>
    <w:rsid w:val="00AB6441"/>
    <w:rsid w:val="00AB68CF"/>
    <w:rsid w:val="00AB696B"/>
    <w:rsid w:val="00AB69FE"/>
    <w:rsid w:val="00AB6D26"/>
    <w:rsid w:val="00AB778B"/>
    <w:rsid w:val="00AB7E2F"/>
    <w:rsid w:val="00AC0338"/>
    <w:rsid w:val="00AC0CCB"/>
    <w:rsid w:val="00AC13C0"/>
    <w:rsid w:val="00AC15A9"/>
    <w:rsid w:val="00AC1872"/>
    <w:rsid w:val="00AC1880"/>
    <w:rsid w:val="00AC2268"/>
    <w:rsid w:val="00AC2C47"/>
    <w:rsid w:val="00AC2E1A"/>
    <w:rsid w:val="00AC336A"/>
    <w:rsid w:val="00AC348B"/>
    <w:rsid w:val="00AC349E"/>
    <w:rsid w:val="00AC3BD8"/>
    <w:rsid w:val="00AC3C98"/>
    <w:rsid w:val="00AC4313"/>
    <w:rsid w:val="00AC4674"/>
    <w:rsid w:val="00AC4E85"/>
    <w:rsid w:val="00AC54B7"/>
    <w:rsid w:val="00AC5632"/>
    <w:rsid w:val="00AC57A0"/>
    <w:rsid w:val="00AC5F17"/>
    <w:rsid w:val="00AC6516"/>
    <w:rsid w:val="00AC66D0"/>
    <w:rsid w:val="00AC67FA"/>
    <w:rsid w:val="00AC6C15"/>
    <w:rsid w:val="00AC70FC"/>
    <w:rsid w:val="00AD0342"/>
    <w:rsid w:val="00AD03BB"/>
    <w:rsid w:val="00AD0425"/>
    <w:rsid w:val="00AD0568"/>
    <w:rsid w:val="00AD0762"/>
    <w:rsid w:val="00AD0C38"/>
    <w:rsid w:val="00AD0D1F"/>
    <w:rsid w:val="00AD0DA1"/>
    <w:rsid w:val="00AD14D2"/>
    <w:rsid w:val="00AD17DE"/>
    <w:rsid w:val="00AD1A25"/>
    <w:rsid w:val="00AD1AFE"/>
    <w:rsid w:val="00AD1E6B"/>
    <w:rsid w:val="00AD29A6"/>
    <w:rsid w:val="00AD2CA2"/>
    <w:rsid w:val="00AD2E82"/>
    <w:rsid w:val="00AD436E"/>
    <w:rsid w:val="00AD4778"/>
    <w:rsid w:val="00AD4AB4"/>
    <w:rsid w:val="00AD4B9D"/>
    <w:rsid w:val="00AD5752"/>
    <w:rsid w:val="00AD5C19"/>
    <w:rsid w:val="00AD5CA9"/>
    <w:rsid w:val="00AD631F"/>
    <w:rsid w:val="00AD633F"/>
    <w:rsid w:val="00AD64CF"/>
    <w:rsid w:val="00AD65C0"/>
    <w:rsid w:val="00AD6737"/>
    <w:rsid w:val="00AD74A6"/>
    <w:rsid w:val="00AD7CEC"/>
    <w:rsid w:val="00AD7F30"/>
    <w:rsid w:val="00AE0466"/>
    <w:rsid w:val="00AE0518"/>
    <w:rsid w:val="00AE166B"/>
    <w:rsid w:val="00AE1D9D"/>
    <w:rsid w:val="00AE20FF"/>
    <w:rsid w:val="00AE21B1"/>
    <w:rsid w:val="00AE21FF"/>
    <w:rsid w:val="00AE2C08"/>
    <w:rsid w:val="00AE3313"/>
    <w:rsid w:val="00AE332B"/>
    <w:rsid w:val="00AE340F"/>
    <w:rsid w:val="00AE37AD"/>
    <w:rsid w:val="00AE3B2F"/>
    <w:rsid w:val="00AE3C70"/>
    <w:rsid w:val="00AE4082"/>
    <w:rsid w:val="00AE43E9"/>
    <w:rsid w:val="00AE47A0"/>
    <w:rsid w:val="00AE5C5A"/>
    <w:rsid w:val="00AE63AF"/>
    <w:rsid w:val="00AE7063"/>
    <w:rsid w:val="00AE731B"/>
    <w:rsid w:val="00AE771E"/>
    <w:rsid w:val="00AE7938"/>
    <w:rsid w:val="00AE7B9D"/>
    <w:rsid w:val="00AF0655"/>
    <w:rsid w:val="00AF07CC"/>
    <w:rsid w:val="00AF1448"/>
    <w:rsid w:val="00AF14C1"/>
    <w:rsid w:val="00AF15A4"/>
    <w:rsid w:val="00AF16F8"/>
    <w:rsid w:val="00AF19BC"/>
    <w:rsid w:val="00AF1AF7"/>
    <w:rsid w:val="00AF1F18"/>
    <w:rsid w:val="00AF2111"/>
    <w:rsid w:val="00AF2655"/>
    <w:rsid w:val="00AF2825"/>
    <w:rsid w:val="00AF2A27"/>
    <w:rsid w:val="00AF2A8F"/>
    <w:rsid w:val="00AF2D85"/>
    <w:rsid w:val="00AF39BE"/>
    <w:rsid w:val="00AF410C"/>
    <w:rsid w:val="00AF428B"/>
    <w:rsid w:val="00AF48CF"/>
    <w:rsid w:val="00AF51E9"/>
    <w:rsid w:val="00AF54A9"/>
    <w:rsid w:val="00AF5773"/>
    <w:rsid w:val="00AF578C"/>
    <w:rsid w:val="00AF5CBE"/>
    <w:rsid w:val="00AF624F"/>
    <w:rsid w:val="00AF6AB8"/>
    <w:rsid w:val="00AF6F1B"/>
    <w:rsid w:val="00AF77DB"/>
    <w:rsid w:val="00B00543"/>
    <w:rsid w:val="00B00847"/>
    <w:rsid w:val="00B00C1F"/>
    <w:rsid w:val="00B010C8"/>
    <w:rsid w:val="00B0126A"/>
    <w:rsid w:val="00B01271"/>
    <w:rsid w:val="00B01734"/>
    <w:rsid w:val="00B0291D"/>
    <w:rsid w:val="00B02D6A"/>
    <w:rsid w:val="00B03075"/>
    <w:rsid w:val="00B0332C"/>
    <w:rsid w:val="00B03DEB"/>
    <w:rsid w:val="00B04330"/>
    <w:rsid w:val="00B04385"/>
    <w:rsid w:val="00B04431"/>
    <w:rsid w:val="00B04589"/>
    <w:rsid w:val="00B04596"/>
    <w:rsid w:val="00B04A5C"/>
    <w:rsid w:val="00B04FBB"/>
    <w:rsid w:val="00B051B3"/>
    <w:rsid w:val="00B05BD3"/>
    <w:rsid w:val="00B05F7E"/>
    <w:rsid w:val="00B06089"/>
    <w:rsid w:val="00B065E9"/>
    <w:rsid w:val="00B0706C"/>
    <w:rsid w:val="00B07172"/>
    <w:rsid w:val="00B0726E"/>
    <w:rsid w:val="00B07828"/>
    <w:rsid w:val="00B07BA3"/>
    <w:rsid w:val="00B07F4D"/>
    <w:rsid w:val="00B10285"/>
    <w:rsid w:val="00B107FC"/>
    <w:rsid w:val="00B10ACB"/>
    <w:rsid w:val="00B116EE"/>
    <w:rsid w:val="00B11EA0"/>
    <w:rsid w:val="00B139A4"/>
    <w:rsid w:val="00B139B2"/>
    <w:rsid w:val="00B142D8"/>
    <w:rsid w:val="00B14441"/>
    <w:rsid w:val="00B1445D"/>
    <w:rsid w:val="00B14839"/>
    <w:rsid w:val="00B14BF2"/>
    <w:rsid w:val="00B1536F"/>
    <w:rsid w:val="00B155FD"/>
    <w:rsid w:val="00B1572F"/>
    <w:rsid w:val="00B16100"/>
    <w:rsid w:val="00B16558"/>
    <w:rsid w:val="00B16645"/>
    <w:rsid w:val="00B16654"/>
    <w:rsid w:val="00B16D29"/>
    <w:rsid w:val="00B20498"/>
    <w:rsid w:val="00B204DA"/>
    <w:rsid w:val="00B20579"/>
    <w:rsid w:val="00B20CE0"/>
    <w:rsid w:val="00B20EDA"/>
    <w:rsid w:val="00B20FAE"/>
    <w:rsid w:val="00B21275"/>
    <w:rsid w:val="00B213F4"/>
    <w:rsid w:val="00B219D1"/>
    <w:rsid w:val="00B21BA1"/>
    <w:rsid w:val="00B21C3D"/>
    <w:rsid w:val="00B2245E"/>
    <w:rsid w:val="00B22730"/>
    <w:rsid w:val="00B22A48"/>
    <w:rsid w:val="00B22B02"/>
    <w:rsid w:val="00B22E71"/>
    <w:rsid w:val="00B23047"/>
    <w:rsid w:val="00B23060"/>
    <w:rsid w:val="00B23722"/>
    <w:rsid w:val="00B23D31"/>
    <w:rsid w:val="00B24BF5"/>
    <w:rsid w:val="00B252B2"/>
    <w:rsid w:val="00B253DA"/>
    <w:rsid w:val="00B25527"/>
    <w:rsid w:val="00B2620A"/>
    <w:rsid w:val="00B265DD"/>
    <w:rsid w:val="00B269F1"/>
    <w:rsid w:val="00B26B67"/>
    <w:rsid w:val="00B26DD7"/>
    <w:rsid w:val="00B27514"/>
    <w:rsid w:val="00B277B9"/>
    <w:rsid w:val="00B27B78"/>
    <w:rsid w:val="00B301E3"/>
    <w:rsid w:val="00B30427"/>
    <w:rsid w:val="00B30557"/>
    <w:rsid w:val="00B307FA"/>
    <w:rsid w:val="00B3132F"/>
    <w:rsid w:val="00B3226E"/>
    <w:rsid w:val="00B3227E"/>
    <w:rsid w:val="00B328FF"/>
    <w:rsid w:val="00B32D4B"/>
    <w:rsid w:val="00B330B7"/>
    <w:rsid w:val="00B33303"/>
    <w:rsid w:val="00B333C0"/>
    <w:rsid w:val="00B34192"/>
    <w:rsid w:val="00B342D5"/>
    <w:rsid w:val="00B344A9"/>
    <w:rsid w:val="00B344F1"/>
    <w:rsid w:val="00B344F3"/>
    <w:rsid w:val="00B34E36"/>
    <w:rsid w:val="00B34FFA"/>
    <w:rsid w:val="00B3518B"/>
    <w:rsid w:val="00B36362"/>
    <w:rsid w:val="00B363D9"/>
    <w:rsid w:val="00B36A3E"/>
    <w:rsid w:val="00B36A93"/>
    <w:rsid w:val="00B36B13"/>
    <w:rsid w:val="00B36D44"/>
    <w:rsid w:val="00B3727D"/>
    <w:rsid w:val="00B37597"/>
    <w:rsid w:val="00B37B05"/>
    <w:rsid w:val="00B37EBD"/>
    <w:rsid w:val="00B400E2"/>
    <w:rsid w:val="00B401CE"/>
    <w:rsid w:val="00B40402"/>
    <w:rsid w:val="00B40508"/>
    <w:rsid w:val="00B40509"/>
    <w:rsid w:val="00B407F6"/>
    <w:rsid w:val="00B40850"/>
    <w:rsid w:val="00B40C00"/>
    <w:rsid w:val="00B40D24"/>
    <w:rsid w:val="00B413FB"/>
    <w:rsid w:val="00B414AC"/>
    <w:rsid w:val="00B41D4C"/>
    <w:rsid w:val="00B421D5"/>
    <w:rsid w:val="00B4248A"/>
    <w:rsid w:val="00B4294D"/>
    <w:rsid w:val="00B42C56"/>
    <w:rsid w:val="00B42F0B"/>
    <w:rsid w:val="00B431DA"/>
    <w:rsid w:val="00B431F3"/>
    <w:rsid w:val="00B434C7"/>
    <w:rsid w:val="00B43A13"/>
    <w:rsid w:val="00B43BC8"/>
    <w:rsid w:val="00B43EAF"/>
    <w:rsid w:val="00B4409F"/>
    <w:rsid w:val="00B44846"/>
    <w:rsid w:val="00B44E7A"/>
    <w:rsid w:val="00B44F26"/>
    <w:rsid w:val="00B456DA"/>
    <w:rsid w:val="00B4585E"/>
    <w:rsid w:val="00B45BCB"/>
    <w:rsid w:val="00B45C6E"/>
    <w:rsid w:val="00B46905"/>
    <w:rsid w:val="00B46ADC"/>
    <w:rsid w:val="00B475E3"/>
    <w:rsid w:val="00B47861"/>
    <w:rsid w:val="00B47C8F"/>
    <w:rsid w:val="00B50017"/>
    <w:rsid w:val="00B50AC9"/>
    <w:rsid w:val="00B50B67"/>
    <w:rsid w:val="00B50C25"/>
    <w:rsid w:val="00B51047"/>
    <w:rsid w:val="00B51143"/>
    <w:rsid w:val="00B51520"/>
    <w:rsid w:val="00B51786"/>
    <w:rsid w:val="00B51BB0"/>
    <w:rsid w:val="00B51C14"/>
    <w:rsid w:val="00B5221B"/>
    <w:rsid w:val="00B524CC"/>
    <w:rsid w:val="00B525DD"/>
    <w:rsid w:val="00B5297E"/>
    <w:rsid w:val="00B52EA2"/>
    <w:rsid w:val="00B54DB8"/>
    <w:rsid w:val="00B54F89"/>
    <w:rsid w:val="00B551B9"/>
    <w:rsid w:val="00B552F7"/>
    <w:rsid w:val="00B559D6"/>
    <w:rsid w:val="00B55BFF"/>
    <w:rsid w:val="00B55C7B"/>
    <w:rsid w:val="00B56628"/>
    <w:rsid w:val="00B566C7"/>
    <w:rsid w:val="00B566DA"/>
    <w:rsid w:val="00B56B55"/>
    <w:rsid w:val="00B56F5E"/>
    <w:rsid w:val="00B5706D"/>
    <w:rsid w:val="00B57142"/>
    <w:rsid w:val="00B5788F"/>
    <w:rsid w:val="00B60054"/>
    <w:rsid w:val="00B60073"/>
    <w:rsid w:val="00B602A2"/>
    <w:rsid w:val="00B60DB1"/>
    <w:rsid w:val="00B61133"/>
    <w:rsid w:val="00B6125A"/>
    <w:rsid w:val="00B61A54"/>
    <w:rsid w:val="00B624CD"/>
    <w:rsid w:val="00B62888"/>
    <w:rsid w:val="00B62DBE"/>
    <w:rsid w:val="00B62E75"/>
    <w:rsid w:val="00B633E3"/>
    <w:rsid w:val="00B633F9"/>
    <w:rsid w:val="00B63927"/>
    <w:rsid w:val="00B63C57"/>
    <w:rsid w:val="00B64074"/>
    <w:rsid w:val="00B64487"/>
    <w:rsid w:val="00B649ED"/>
    <w:rsid w:val="00B64B04"/>
    <w:rsid w:val="00B656E1"/>
    <w:rsid w:val="00B65A2F"/>
    <w:rsid w:val="00B65A3B"/>
    <w:rsid w:val="00B65C56"/>
    <w:rsid w:val="00B65FDE"/>
    <w:rsid w:val="00B6634E"/>
    <w:rsid w:val="00B67042"/>
    <w:rsid w:val="00B671FC"/>
    <w:rsid w:val="00B67A5F"/>
    <w:rsid w:val="00B67BB1"/>
    <w:rsid w:val="00B67C1F"/>
    <w:rsid w:val="00B67CF3"/>
    <w:rsid w:val="00B707D7"/>
    <w:rsid w:val="00B708BA"/>
    <w:rsid w:val="00B70DEC"/>
    <w:rsid w:val="00B70E6F"/>
    <w:rsid w:val="00B71675"/>
    <w:rsid w:val="00B71995"/>
    <w:rsid w:val="00B71A43"/>
    <w:rsid w:val="00B72915"/>
    <w:rsid w:val="00B732F3"/>
    <w:rsid w:val="00B73A86"/>
    <w:rsid w:val="00B74521"/>
    <w:rsid w:val="00B755D8"/>
    <w:rsid w:val="00B75D6F"/>
    <w:rsid w:val="00B761C7"/>
    <w:rsid w:val="00B765BF"/>
    <w:rsid w:val="00B76690"/>
    <w:rsid w:val="00B766E9"/>
    <w:rsid w:val="00B769BA"/>
    <w:rsid w:val="00B772C6"/>
    <w:rsid w:val="00B7757A"/>
    <w:rsid w:val="00B77585"/>
    <w:rsid w:val="00B801F6"/>
    <w:rsid w:val="00B8036C"/>
    <w:rsid w:val="00B80504"/>
    <w:rsid w:val="00B807BB"/>
    <w:rsid w:val="00B80EBE"/>
    <w:rsid w:val="00B80EE6"/>
    <w:rsid w:val="00B81321"/>
    <w:rsid w:val="00B81440"/>
    <w:rsid w:val="00B816FB"/>
    <w:rsid w:val="00B8171F"/>
    <w:rsid w:val="00B817A0"/>
    <w:rsid w:val="00B81C73"/>
    <w:rsid w:val="00B81C7E"/>
    <w:rsid w:val="00B81FA4"/>
    <w:rsid w:val="00B824F2"/>
    <w:rsid w:val="00B8256A"/>
    <w:rsid w:val="00B82688"/>
    <w:rsid w:val="00B83289"/>
    <w:rsid w:val="00B83362"/>
    <w:rsid w:val="00B836AE"/>
    <w:rsid w:val="00B8380B"/>
    <w:rsid w:val="00B83856"/>
    <w:rsid w:val="00B840A8"/>
    <w:rsid w:val="00B840D3"/>
    <w:rsid w:val="00B84410"/>
    <w:rsid w:val="00B844B7"/>
    <w:rsid w:val="00B84B68"/>
    <w:rsid w:val="00B84CF5"/>
    <w:rsid w:val="00B84E31"/>
    <w:rsid w:val="00B85430"/>
    <w:rsid w:val="00B855FF"/>
    <w:rsid w:val="00B85F5A"/>
    <w:rsid w:val="00B867C9"/>
    <w:rsid w:val="00B86A06"/>
    <w:rsid w:val="00B86A8C"/>
    <w:rsid w:val="00B86B45"/>
    <w:rsid w:val="00B86E77"/>
    <w:rsid w:val="00B87229"/>
    <w:rsid w:val="00B8735E"/>
    <w:rsid w:val="00B8794C"/>
    <w:rsid w:val="00B87A4A"/>
    <w:rsid w:val="00B87D71"/>
    <w:rsid w:val="00B901E0"/>
    <w:rsid w:val="00B90425"/>
    <w:rsid w:val="00B9086D"/>
    <w:rsid w:val="00B90EA5"/>
    <w:rsid w:val="00B9109E"/>
    <w:rsid w:val="00B91507"/>
    <w:rsid w:val="00B91B3D"/>
    <w:rsid w:val="00B91F2A"/>
    <w:rsid w:val="00B91FF2"/>
    <w:rsid w:val="00B9265C"/>
    <w:rsid w:val="00B9346F"/>
    <w:rsid w:val="00B935B5"/>
    <w:rsid w:val="00B9373F"/>
    <w:rsid w:val="00B9453C"/>
    <w:rsid w:val="00B947CE"/>
    <w:rsid w:val="00B94AFD"/>
    <w:rsid w:val="00B94F61"/>
    <w:rsid w:val="00B95DE1"/>
    <w:rsid w:val="00B95DF9"/>
    <w:rsid w:val="00B95EF4"/>
    <w:rsid w:val="00B95F37"/>
    <w:rsid w:val="00B962BD"/>
    <w:rsid w:val="00B9631B"/>
    <w:rsid w:val="00B96385"/>
    <w:rsid w:val="00B96643"/>
    <w:rsid w:val="00B967FD"/>
    <w:rsid w:val="00B96947"/>
    <w:rsid w:val="00B9695D"/>
    <w:rsid w:val="00B969A6"/>
    <w:rsid w:val="00B96BF6"/>
    <w:rsid w:val="00B96E07"/>
    <w:rsid w:val="00B9710F"/>
    <w:rsid w:val="00B97CFB"/>
    <w:rsid w:val="00BA0A63"/>
    <w:rsid w:val="00BA0ED0"/>
    <w:rsid w:val="00BA11EC"/>
    <w:rsid w:val="00BA138B"/>
    <w:rsid w:val="00BA1696"/>
    <w:rsid w:val="00BA180A"/>
    <w:rsid w:val="00BA1DEA"/>
    <w:rsid w:val="00BA2ADB"/>
    <w:rsid w:val="00BA3AE0"/>
    <w:rsid w:val="00BA3B8A"/>
    <w:rsid w:val="00BA3D5A"/>
    <w:rsid w:val="00BA4017"/>
    <w:rsid w:val="00BA40FC"/>
    <w:rsid w:val="00BA4109"/>
    <w:rsid w:val="00BA443F"/>
    <w:rsid w:val="00BA45E9"/>
    <w:rsid w:val="00BA45FC"/>
    <w:rsid w:val="00BA4831"/>
    <w:rsid w:val="00BA4848"/>
    <w:rsid w:val="00BA4D7B"/>
    <w:rsid w:val="00BA5280"/>
    <w:rsid w:val="00BA549E"/>
    <w:rsid w:val="00BA5961"/>
    <w:rsid w:val="00BA5FF4"/>
    <w:rsid w:val="00BA6318"/>
    <w:rsid w:val="00BA7928"/>
    <w:rsid w:val="00BA7D3E"/>
    <w:rsid w:val="00BB0004"/>
    <w:rsid w:val="00BB0036"/>
    <w:rsid w:val="00BB0307"/>
    <w:rsid w:val="00BB05B2"/>
    <w:rsid w:val="00BB0F78"/>
    <w:rsid w:val="00BB1195"/>
    <w:rsid w:val="00BB162F"/>
    <w:rsid w:val="00BB1890"/>
    <w:rsid w:val="00BB1F4F"/>
    <w:rsid w:val="00BB22CF"/>
    <w:rsid w:val="00BB2766"/>
    <w:rsid w:val="00BB4748"/>
    <w:rsid w:val="00BB4AFD"/>
    <w:rsid w:val="00BB4EC8"/>
    <w:rsid w:val="00BB584B"/>
    <w:rsid w:val="00BB5A5F"/>
    <w:rsid w:val="00BB6509"/>
    <w:rsid w:val="00BB6724"/>
    <w:rsid w:val="00BB67D0"/>
    <w:rsid w:val="00BB67FE"/>
    <w:rsid w:val="00BB6CDF"/>
    <w:rsid w:val="00BB6FBE"/>
    <w:rsid w:val="00BB7023"/>
    <w:rsid w:val="00BB76F1"/>
    <w:rsid w:val="00BB7912"/>
    <w:rsid w:val="00BB7B6E"/>
    <w:rsid w:val="00BB7E0D"/>
    <w:rsid w:val="00BB7F98"/>
    <w:rsid w:val="00BC031E"/>
    <w:rsid w:val="00BC03D4"/>
    <w:rsid w:val="00BC0FBF"/>
    <w:rsid w:val="00BC1680"/>
    <w:rsid w:val="00BC1B0D"/>
    <w:rsid w:val="00BC1DB3"/>
    <w:rsid w:val="00BC1E1A"/>
    <w:rsid w:val="00BC1FAD"/>
    <w:rsid w:val="00BC2150"/>
    <w:rsid w:val="00BC248C"/>
    <w:rsid w:val="00BC267E"/>
    <w:rsid w:val="00BC33BD"/>
    <w:rsid w:val="00BC3707"/>
    <w:rsid w:val="00BC38F1"/>
    <w:rsid w:val="00BC3CE4"/>
    <w:rsid w:val="00BC441E"/>
    <w:rsid w:val="00BC4479"/>
    <w:rsid w:val="00BC4739"/>
    <w:rsid w:val="00BC482F"/>
    <w:rsid w:val="00BC485C"/>
    <w:rsid w:val="00BC4914"/>
    <w:rsid w:val="00BC4A28"/>
    <w:rsid w:val="00BC50F6"/>
    <w:rsid w:val="00BC5415"/>
    <w:rsid w:val="00BC5CF5"/>
    <w:rsid w:val="00BC5D37"/>
    <w:rsid w:val="00BC5EBA"/>
    <w:rsid w:val="00BC64F2"/>
    <w:rsid w:val="00BC6849"/>
    <w:rsid w:val="00BC697F"/>
    <w:rsid w:val="00BC6980"/>
    <w:rsid w:val="00BC6BC2"/>
    <w:rsid w:val="00BC6C0F"/>
    <w:rsid w:val="00BC6C7C"/>
    <w:rsid w:val="00BC6D79"/>
    <w:rsid w:val="00BC6F51"/>
    <w:rsid w:val="00BC753E"/>
    <w:rsid w:val="00BC766C"/>
    <w:rsid w:val="00BC7BF6"/>
    <w:rsid w:val="00BC7D7A"/>
    <w:rsid w:val="00BD0780"/>
    <w:rsid w:val="00BD0D19"/>
    <w:rsid w:val="00BD1306"/>
    <w:rsid w:val="00BD16EA"/>
    <w:rsid w:val="00BD2016"/>
    <w:rsid w:val="00BD2309"/>
    <w:rsid w:val="00BD2497"/>
    <w:rsid w:val="00BD285F"/>
    <w:rsid w:val="00BD2C9F"/>
    <w:rsid w:val="00BD2D06"/>
    <w:rsid w:val="00BD2EBB"/>
    <w:rsid w:val="00BD3194"/>
    <w:rsid w:val="00BD3F2F"/>
    <w:rsid w:val="00BD439A"/>
    <w:rsid w:val="00BD460A"/>
    <w:rsid w:val="00BD4629"/>
    <w:rsid w:val="00BD472F"/>
    <w:rsid w:val="00BD4A87"/>
    <w:rsid w:val="00BD4B5B"/>
    <w:rsid w:val="00BD4F7A"/>
    <w:rsid w:val="00BD5C86"/>
    <w:rsid w:val="00BD5E27"/>
    <w:rsid w:val="00BD60FA"/>
    <w:rsid w:val="00BD6102"/>
    <w:rsid w:val="00BD6950"/>
    <w:rsid w:val="00BD7E13"/>
    <w:rsid w:val="00BE042E"/>
    <w:rsid w:val="00BE07E2"/>
    <w:rsid w:val="00BE0A07"/>
    <w:rsid w:val="00BE0A6F"/>
    <w:rsid w:val="00BE0C20"/>
    <w:rsid w:val="00BE1B9D"/>
    <w:rsid w:val="00BE1D92"/>
    <w:rsid w:val="00BE1EB2"/>
    <w:rsid w:val="00BE1EC7"/>
    <w:rsid w:val="00BE2855"/>
    <w:rsid w:val="00BE2A9C"/>
    <w:rsid w:val="00BE2B6A"/>
    <w:rsid w:val="00BE2E68"/>
    <w:rsid w:val="00BE2FB5"/>
    <w:rsid w:val="00BE31BF"/>
    <w:rsid w:val="00BE391B"/>
    <w:rsid w:val="00BE3B8D"/>
    <w:rsid w:val="00BE3F3A"/>
    <w:rsid w:val="00BE40C6"/>
    <w:rsid w:val="00BE48C5"/>
    <w:rsid w:val="00BE5060"/>
    <w:rsid w:val="00BE6B48"/>
    <w:rsid w:val="00BE749E"/>
    <w:rsid w:val="00BF0E06"/>
    <w:rsid w:val="00BF0E38"/>
    <w:rsid w:val="00BF1085"/>
    <w:rsid w:val="00BF16A2"/>
    <w:rsid w:val="00BF19A5"/>
    <w:rsid w:val="00BF1E70"/>
    <w:rsid w:val="00BF201F"/>
    <w:rsid w:val="00BF29F0"/>
    <w:rsid w:val="00BF2A84"/>
    <w:rsid w:val="00BF2A8D"/>
    <w:rsid w:val="00BF2CFE"/>
    <w:rsid w:val="00BF3333"/>
    <w:rsid w:val="00BF42C3"/>
    <w:rsid w:val="00BF50AD"/>
    <w:rsid w:val="00BF57E0"/>
    <w:rsid w:val="00BF5C55"/>
    <w:rsid w:val="00BF60C1"/>
    <w:rsid w:val="00BF716D"/>
    <w:rsid w:val="00BF7F71"/>
    <w:rsid w:val="00C00154"/>
    <w:rsid w:val="00C0044C"/>
    <w:rsid w:val="00C00CE9"/>
    <w:rsid w:val="00C013DF"/>
    <w:rsid w:val="00C017FA"/>
    <w:rsid w:val="00C0183E"/>
    <w:rsid w:val="00C0194B"/>
    <w:rsid w:val="00C01EC0"/>
    <w:rsid w:val="00C0229D"/>
    <w:rsid w:val="00C028D9"/>
    <w:rsid w:val="00C028E5"/>
    <w:rsid w:val="00C037DA"/>
    <w:rsid w:val="00C03E61"/>
    <w:rsid w:val="00C03E87"/>
    <w:rsid w:val="00C045DF"/>
    <w:rsid w:val="00C0470E"/>
    <w:rsid w:val="00C047AA"/>
    <w:rsid w:val="00C0495F"/>
    <w:rsid w:val="00C04B05"/>
    <w:rsid w:val="00C0529F"/>
    <w:rsid w:val="00C05577"/>
    <w:rsid w:val="00C05637"/>
    <w:rsid w:val="00C05679"/>
    <w:rsid w:val="00C059FE"/>
    <w:rsid w:val="00C06C94"/>
    <w:rsid w:val="00C06E9C"/>
    <w:rsid w:val="00C0715F"/>
    <w:rsid w:val="00C073AB"/>
    <w:rsid w:val="00C073E9"/>
    <w:rsid w:val="00C076BE"/>
    <w:rsid w:val="00C078C5"/>
    <w:rsid w:val="00C07AA7"/>
    <w:rsid w:val="00C102BA"/>
    <w:rsid w:val="00C1072D"/>
    <w:rsid w:val="00C10902"/>
    <w:rsid w:val="00C111C9"/>
    <w:rsid w:val="00C1199F"/>
    <w:rsid w:val="00C11C48"/>
    <w:rsid w:val="00C11DC7"/>
    <w:rsid w:val="00C12BBE"/>
    <w:rsid w:val="00C137B2"/>
    <w:rsid w:val="00C13F69"/>
    <w:rsid w:val="00C14ADF"/>
    <w:rsid w:val="00C15A61"/>
    <w:rsid w:val="00C15F30"/>
    <w:rsid w:val="00C1682D"/>
    <w:rsid w:val="00C169AF"/>
    <w:rsid w:val="00C17836"/>
    <w:rsid w:val="00C179F5"/>
    <w:rsid w:val="00C17B25"/>
    <w:rsid w:val="00C17EA1"/>
    <w:rsid w:val="00C17EFE"/>
    <w:rsid w:val="00C202DE"/>
    <w:rsid w:val="00C20504"/>
    <w:rsid w:val="00C20B19"/>
    <w:rsid w:val="00C20C12"/>
    <w:rsid w:val="00C213E5"/>
    <w:rsid w:val="00C21AD8"/>
    <w:rsid w:val="00C21B2D"/>
    <w:rsid w:val="00C21C89"/>
    <w:rsid w:val="00C21D5C"/>
    <w:rsid w:val="00C22A4A"/>
    <w:rsid w:val="00C23206"/>
    <w:rsid w:val="00C23499"/>
    <w:rsid w:val="00C23DEB"/>
    <w:rsid w:val="00C244EE"/>
    <w:rsid w:val="00C24659"/>
    <w:rsid w:val="00C24B2F"/>
    <w:rsid w:val="00C24CB8"/>
    <w:rsid w:val="00C25104"/>
    <w:rsid w:val="00C25E03"/>
    <w:rsid w:val="00C25F67"/>
    <w:rsid w:val="00C260AE"/>
    <w:rsid w:val="00C2675C"/>
    <w:rsid w:val="00C27028"/>
    <w:rsid w:val="00C272DA"/>
    <w:rsid w:val="00C276E7"/>
    <w:rsid w:val="00C27724"/>
    <w:rsid w:val="00C27E20"/>
    <w:rsid w:val="00C301A5"/>
    <w:rsid w:val="00C303D3"/>
    <w:rsid w:val="00C3078F"/>
    <w:rsid w:val="00C30A0B"/>
    <w:rsid w:val="00C30C84"/>
    <w:rsid w:val="00C30D13"/>
    <w:rsid w:val="00C3171C"/>
    <w:rsid w:val="00C31FDE"/>
    <w:rsid w:val="00C324BB"/>
    <w:rsid w:val="00C3260E"/>
    <w:rsid w:val="00C328B2"/>
    <w:rsid w:val="00C32E8E"/>
    <w:rsid w:val="00C34021"/>
    <w:rsid w:val="00C34A3B"/>
    <w:rsid w:val="00C34B15"/>
    <w:rsid w:val="00C34BA8"/>
    <w:rsid w:val="00C35358"/>
    <w:rsid w:val="00C353C4"/>
    <w:rsid w:val="00C356C8"/>
    <w:rsid w:val="00C356F4"/>
    <w:rsid w:val="00C35C18"/>
    <w:rsid w:val="00C35DC4"/>
    <w:rsid w:val="00C35E4B"/>
    <w:rsid w:val="00C35ED4"/>
    <w:rsid w:val="00C3603D"/>
    <w:rsid w:val="00C364F8"/>
    <w:rsid w:val="00C3675E"/>
    <w:rsid w:val="00C3696E"/>
    <w:rsid w:val="00C36ACC"/>
    <w:rsid w:val="00C36B96"/>
    <w:rsid w:val="00C36BC5"/>
    <w:rsid w:val="00C36C30"/>
    <w:rsid w:val="00C37443"/>
    <w:rsid w:val="00C3745D"/>
    <w:rsid w:val="00C37A37"/>
    <w:rsid w:val="00C37BC1"/>
    <w:rsid w:val="00C37D46"/>
    <w:rsid w:val="00C40279"/>
    <w:rsid w:val="00C403B7"/>
    <w:rsid w:val="00C406AF"/>
    <w:rsid w:val="00C40D7E"/>
    <w:rsid w:val="00C41494"/>
    <w:rsid w:val="00C41A16"/>
    <w:rsid w:val="00C41E96"/>
    <w:rsid w:val="00C424C3"/>
    <w:rsid w:val="00C42725"/>
    <w:rsid w:val="00C427B2"/>
    <w:rsid w:val="00C428E1"/>
    <w:rsid w:val="00C4296B"/>
    <w:rsid w:val="00C4298C"/>
    <w:rsid w:val="00C4313E"/>
    <w:rsid w:val="00C433F1"/>
    <w:rsid w:val="00C44339"/>
    <w:rsid w:val="00C44994"/>
    <w:rsid w:val="00C449A2"/>
    <w:rsid w:val="00C44A59"/>
    <w:rsid w:val="00C44FA4"/>
    <w:rsid w:val="00C45496"/>
    <w:rsid w:val="00C4693A"/>
    <w:rsid w:val="00C46958"/>
    <w:rsid w:val="00C46BE3"/>
    <w:rsid w:val="00C46D53"/>
    <w:rsid w:val="00C476AB"/>
    <w:rsid w:val="00C47B71"/>
    <w:rsid w:val="00C50328"/>
    <w:rsid w:val="00C50B25"/>
    <w:rsid w:val="00C50CA4"/>
    <w:rsid w:val="00C50E69"/>
    <w:rsid w:val="00C50ED3"/>
    <w:rsid w:val="00C51330"/>
    <w:rsid w:val="00C52361"/>
    <w:rsid w:val="00C5248B"/>
    <w:rsid w:val="00C52824"/>
    <w:rsid w:val="00C53A72"/>
    <w:rsid w:val="00C53AB2"/>
    <w:rsid w:val="00C548B4"/>
    <w:rsid w:val="00C54A6C"/>
    <w:rsid w:val="00C55C0B"/>
    <w:rsid w:val="00C56248"/>
    <w:rsid w:val="00C5670B"/>
    <w:rsid w:val="00C5691F"/>
    <w:rsid w:val="00C56FEC"/>
    <w:rsid w:val="00C5767F"/>
    <w:rsid w:val="00C57D33"/>
    <w:rsid w:val="00C57DBC"/>
    <w:rsid w:val="00C57E54"/>
    <w:rsid w:val="00C6014F"/>
    <w:rsid w:val="00C6040F"/>
    <w:rsid w:val="00C6067F"/>
    <w:rsid w:val="00C607A7"/>
    <w:rsid w:val="00C6162B"/>
    <w:rsid w:val="00C6182A"/>
    <w:rsid w:val="00C618B7"/>
    <w:rsid w:val="00C61CA8"/>
    <w:rsid w:val="00C61E8E"/>
    <w:rsid w:val="00C6210F"/>
    <w:rsid w:val="00C6219F"/>
    <w:rsid w:val="00C621E1"/>
    <w:rsid w:val="00C62316"/>
    <w:rsid w:val="00C62A13"/>
    <w:rsid w:val="00C62D42"/>
    <w:rsid w:val="00C63B2F"/>
    <w:rsid w:val="00C63DA9"/>
    <w:rsid w:val="00C640D6"/>
    <w:rsid w:val="00C645E7"/>
    <w:rsid w:val="00C647A1"/>
    <w:rsid w:val="00C654B8"/>
    <w:rsid w:val="00C654CB"/>
    <w:rsid w:val="00C6554F"/>
    <w:rsid w:val="00C656EB"/>
    <w:rsid w:val="00C6580F"/>
    <w:rsid w:val="00C66463"/>
    <w:rsid w:val="00C67073"/>
    <w:rsid w:val="00C674B0"/>
    <w:rsid w:val="00C67807"/>
    <w:rsid w:val="00C7085E"/>
    <w:rsid w:val="00C710E7"/>
    <w:rsid w:val="00C7119C"/>
    <w:rsid w:val="00C712C2"/>
    <w:rsid w:val="00C7172A"/>
    <w:rsid w:val="00C71F8E"/>
    <w:rsid w:val="00C72162"/>
    <w:rsid w:val="00C72224"/>
    <w:rsid w:val="00C728FC"/>
    <w:rsid w:val="00C72AF3"/>
    <w:rsid w:val="00C72DB5"/>
    <w:rsid w:val="00C736BF"/>
    <w:rsid w:val="00C73A39"/>
    <w:rsid w:val="00C73C8B"/>
    <w:rsid w:val="00C74237"/>
    <w:rsid w:val="00C74831"/>
    <w:rsid w:val="00C749C9"/>
    <w:rsid w:val="00C74B64"/>
    <w:rsid w:val="00C74FDA"/>
    <w:rsid w:val="00C75125"/>
    <w:rsid w:val="00C755E4"/>
    <w:rsid w:val="00C75706"/>
    <w:rsid w:val="00C757B8"/>
    <w:rsid w:val="00C75941"/>
    <w:rsid w:val="00C75CE5"/>
    <w:rsid w:val="00C75F97"/>
    <w:rsid w:val="00C76409"/>
    <w:rsid w:val="00C7667A"/>
    <w:rsid w:val="00C7675E"/>
    <w:rsid w:val="00C7692E"/>
    <w:rsid w:val="00C76BF6"/>
    <w:rsid w:val="00C800F4"/>
    <w:rsid w:val="00C80150"/>
    <w:rsid w:val="00C80513"/>
    <w:rsid w:val="00C807AA"/>
    <w:rsid w:val="00C80A7D"/>
    <w:rsid w:val="00C80C10"/>
    <w:rsid w:val="00C80F24"/>
    <w:rsid w:val="00C81806"/>
    <w:rsid w:val="00C81B6B"/>
    <w:rsid w:val="00C82D3F"/>
    <w:rsid w:val="00C82E3A"/>
    <w:rsid w:val="00C836A3"/>
    <w:rsid w:val="00C839F3"/>
    <w:rsid w:val="00C83F71"/>
    <w:rsid w:val="00C83FEA"/>
    <w:rsid w:val="00C841BE"/>
    <w:rsid w:val="00C85101"/>
    <w:rsid w:val="00C85256"/>
    <w:rsid w:val="00C852B5"/>
    <w:rsid w:val="00C85851"/>
    <w:rsid w:val="00C858A2"/>
    <w:rsid w:val="00C85BFC"/>
    <w:rsid w:val="00C85C95"/>
    <w:rsid w:val="00C86123"/>
    <w:rsid w:val="00C86688"/>
    <w:rsid w:val="00C86D41"/>
    <w:rsid w:val="00C871FF"/>
    <w:rsid w:val="00C87848"/>
    <w:rsid w:val="00C87ABD"/>
    <w:rsid w:val="00C87C56"/>
    <w:rsid w:val="00C90120"/>
    <w:rsid w:val="00C9095F"/>
    <w:rsid w:val="00C90E02"/>
    <w:rsid w:val="00C90E0B"/>
    <w:rsid w:val="00C91560"/>
    <w:rsid w:val="00C919E4"/>
    <w:rsid w:val="00C91CC2"/>
    <w:rsid w:val="00C91F1F"/>
    <w:rsid w:val="00C92578"/>
    <w:rsid w:val="00C927D4"/>
    <w:rsid w:val="00C93666"/>
    <w:rsid w:val="00C93C6C"/>
    <w:rsid w:val="00C93CF3"/>
    <w:rsid w:val="00C94A0D"/>
    <w:rsid w:val="00C94CE0"/>
    <w:rsid w:val="00C94FE4"/>
    <w:rsid w:val="00C95D80"/>
    <w:rsid w:val="00C95EDE"/>
    <w:rsid w:val="00C96C15"/>
    <w:rsid w:val="00C96E56"/>
    <w:rsid w:val="00C97D89"/>
    <w:rsid w:val="00CA0078"/>
    <w:rsid w:val="00CA019D"/>
    <w:rsid w:val="00CA0891"/>
    <w:rsid w:val="00CA093E"/>
    <w:rsid w:val="00CA095D"/>
    <w:rsid w:val="00CA0975"/>
    <w:rsid w:val="00CA0C92"/>
    <w:rsid w:val="00CA0CEE"/>
    <w:rsid w:val="00CA11A9"/>
    <w:rsid w:val="00CA1363"/>
    <w:rsid w:val="00CA1A53"/>
    <w:rsid w:val="00CA1BC9"/>
    <w:rsid w:val="00CA1E09"/>
    <w:rsid w:val="00CA23F2"/>
    <w:rsid w:val="00CA25E8"/>
    <w:rsid w:val="00CA2662"/>
    <w:rsid w:val="00CA2916"/>
    <w:rsid w:val="00CA3888"/>
    <w:rsid w:val="00CA393F"/>
    <w:rsid w:val="00CA4427"/>
    <w:rsid w:val="00CA4815"/>
    <w:rsid w:val="00CA4A04"/>
    <w:rsid w:val="00CA4D90"/>
    <w:rsid w:val="00CA50DE"/>
    <w:rsid w:val="00CA5A1E"/>
    <w:rsid w:val="00CA5B82"/>
    <w:rsid w:val="00CA5EAF"/>
    <w:rsid w:val="00CA687F"/>
    <w:rsid w:val="00CA6B6F"/>
    <w:rsid w:val="00CA6B8C"/>
    <w:rsid w:val="00CA6C15"/>
    <w:rsid w:val="00CB0268"/>
    <w:rsid w:val="00CB0F8B"/>
    <w:rsid w:val="00CB1D11"/>
    <w:rsid w:val="00CB209F"/>
    <w:rsid w:val="00CB24CF"/>
    <w:rsid w:val="00CB2D54"/>
    <w:rsid w:val="00CB2F64"/>
    <w:rsid w:val="00CB3292"/>
    <w:rsid w:val="00CB348E"/>
    <w:rsid w:val="00CB39ED"/>
    <w:rsid w:val="00CB4C1D"/>
    <w:rsid w:val="00CB4D3A"/>
    <w:rsid w:val="00CB4EC8"/>
    <w:rsid w:val="00CB53F4"/>
    <w:rsid w:val="00CB5824"/>
    <w:rsid w:val="00CB5C82"/>
    <w:rsid w:val="00CB6441"/>
    <w:rsid w:val="00CB6B85"/>
    <w:rsid w:val="00CB7520"/>
    <w:rsid w:val="00CB77BB"/>
    <w:rsid w:val="00CB7AC4"/>
    <w:rsid w:val="00CB7EC2"/>
    <w:rsid w:val="00CB9E6F"/>
    <w:rsid w:val="00CC02EA"/>
    <w:rsid w:val="00CC0307"/>
    <w:rsid w:val="00CC0554"/>
    <w:rsid w:val="00CC0AB0"/>
    <w:rsid w:val="00CC0E8F"/>
    <w:rsid w:val="00CC0ECE"/>
    <w:rsid w:val="00CC0F55"/>
    <w:rsid w:val="00CC12B9"/>
    <w:rsid w:val="00CC1387"/>
    <w:rsid w:val="00CC1C3B"/>
    <w:rsid w:val="00CC1E6C"/>
    <w:rsid w:val="00CC2AB3"/>
    <w:rsid w:val="00CC323C"/>
    <w:rsid w:val="00CC3B08"/>
    <w:rsid w:val="00CC3BA8"/>
    <w:rsid w:val="00CC42A3"/>
    <w:rsid w:val="00CC4555"/>
    <w:rsid w:val="00CC46D1"/>
    <w:rsid w:val="00CC4905"/>
    <w:rsid w:val="00CC4D6C"/>
    <w:rsid w:val="00CC53FA"/>
    <w:rsid w:val="00CC54C0"/>
    <w:rsid w:val="00CC550D"/>
    <w:rsid w:val="00CC5C6A"/>
    <w:rsid w:val="00CC5DCD"/>
    <w:rsid w:val="00CC5E54"/>
    <w:rsid w:val="00CC673D"/>
    <w:rsid w:val="00CC6A86"/>
    <w:rsid w:val="00CC6AA1"/>
    <w:rsid w:val="00CC70C0"/>
    <w:rsid w:val="00CC7281"/>
    <w:rsid w:val="00CC72EE"/>
    <w:rsid w:val="00CC73A6"/>
    <w:rsid w:val="00CC7935"/>
    <w:rsid w:val="00CC7A16"/>
    <w:rsid w:val="00CC7C63"/>
    <w:rsid w:val="00CC7D72"/>
    <w:rsid w:val="00CD022F"/>
    <w:rsid w:val="00CD02F4"/>
    <w:rsid w:val="00CD0470"/>
    <w:rsid w:val="00CD05ED"/>
    <w:rsid w:val="00CD0840"/>
    <w:rsid w:val="00CD16CF"/>
    <w:rsid w:val="00CD1E5B"/>
    <w:rsid w:val="00CD1E86"/>
    <w:rsid w:val="00CD2309"/>
    <w:rsid w:val="00CD23B1"/>
    <w:rsid w:val="00CD2E35"/>
    <w:rsid w:val="00CD3082"/>
    <w:rsid w:val="00CD3409"/>
    <w:rsid w:val="00CD478C"/>
    <w:rsid w:val="00CD59B9"/>
    <w:rsid w:val="00CD61E8"/>
    <w:rsid w:val="00CD6744"/>
    <w:rsid w:val="00CD6AB7"/>
    <w:rsid w:val="00CD6F1F"/>
    <w:rsid w:val="00CD7165"/>
    <w:rsid w:val="00CD7881"/>
    <w:rsid w:val="00CE03EA"/>
    <w:rsid w:val="00CE044C"/>
    <w:rsid w:val="00CE058F"/>
    <w:rsid w:val="00CE0C34"/>
    <w:rsid w:val="00CE104C"/>
    <w:rsid w:val="00CE14AD"/>
    <w:rsid w:val="00CE1A62"/>
    <w:rsid w:val="00CE1DEF"/>
    <w:rsid w:val="00CE29CE"/>
    <w:rsid w:val="00CE35F7"/>
    <w:rsid w:val="00CE3634"/>
    <w:rsid w:val="00CE4075"/>
    <w:rsid w:val="00CE4763"/>
    <w:rsid w:val="00CE4E67"/>
    <w:rsid w:val="00CE500E"/>
    <w:rsid w:val="00CE53BA"/>
    <w:rsid w:val="00CE552A"/>
    <w:rsid w:val="00CE5670"/>
    <w:rsid w:val="00CE59B4"/>
    <w:rsid w:val="00CE5BE2"/>
    <w:rsid w:val="00CE6111"/>
    <w:rsid w:val="00CE6114"/>
    <w:rsid w:val="00CE652F"/>
    <w:rsid w:val="00CE6582"/>
    <w:rsid w:val="00CE673D"/>
    <w:rsid w:val="00CE6A27"/>
    <w:rsid w:val="00CE6CA8"/>
    <w:rsid w:val="00CE72A4"/>
    <w:rsid w:val="00CE7472"/>
    <w:rsid w:val="00CE74CA"/>
    <w:rsid w:val="00CE7D23"/>
    <w:rsid w:val="00CF002E"/>
    <w:rsid w:val="00CF0053"/>
    <w:rsid w:val="00CF00A7"/>
    <w:rsid w:val="00CF1782"/>
    <w:rsid w:val="00CF2386"/>
    <w:rsid w:val="00CF29FF"/>
    <w:rsid w:val="00CF2A70"/>
    <w:rsid w:val="00CF2B10"/>
    <w:rsid w:val="00CF2D01"/>
    <w:rsid w:val="00CF2ECA"/>
    <w:rsid w:val="00CF3041"/>
    <w:rsid w:val="00CF3C76"/>
    <w:rsid w:val="00CF4564"/>
    <w:rsid w:val="00CF4EF5"/>
    <w:rsid w:val="00CF5513"/>
    <w:rsid w:val="00CF59B9"/>
    <w:rsid w:val="00CF5C27"/>
    <w:rsid w:val="00CF6248"/>
    <w:rsid w:val="00CF64B3"/>
    <w:rsid w:val="00CF6562"/>
    <w:rsid w:val="00CF6619"/>
    <w:rsid w:val="00CF6F6E"/>
    <w:rsid w:val="00CF74AE"/>
    <w:rsid w:val="00CF79A2"/>
    <w:rsid w:val="00CF7A11"/>
    <w:rsid w:val="00D0129D"/>
    <w:rsid w:val="00D01347"/>
    <w:rsid w:val="00D01CD3"/>
    <w:rsid w:val="00D01CFC"/>
    <w:rsid w:val="00D01EB9"/>
    <w:rsid w:val="00D021B5"/>
    <w:rsid w:val="00D021C5"/>
    <w:rsid w:val="00D02274"/>
    <w:rsid w:val="00D02746"/>
    <w:rsid w:val="00D02DF7"/>
    <w:rsid w:val="00D02E5A"/>
    <w:rsid w:val="00D033C8"/>
    <w:rsid w:val="00D034A5"/>
    <w:rsid w:val="00D03632"/>
    <w:rsid w:val="00D03CA0"/>
    <w:rsid w:val="00D045A9"/>
    <w:rsid w:val="00D04D88"/>
    <w:rsid w:val="00D04D95"/>
    <w:rsid w:val="00D0579F"/>
    <w:rsid w:val="00D05853"/>
    <w:rsid w:val="00D05A8C"/>
    <w:rsid w:val="00D05DC2"/>
    <w:rsid w:val="00D05E40"/>
    <w:rsid w:val="00D05E67"/>
    <w:rsid w:val="00D060D3"/>
    <w:rsid w:val="00D062DE"/>
    <w:rsid w:val="00D062FC"/>
    <w:rsid w:val="00D064E7"/>
    <w:rsid w:val="00D06992"/>
    <w:rsid w:val="00D06FAD"/>
    <w:rsid w:val="00D0760F"/>
    <w:rsid w:val="00D10339"/>
    <w:rsid w:val="00D10B54"/>
    <w:rsid w:val="00D11077"/>
    <w:rsid w:val="00D110EE"/>
    <w:rsid w:val="00D118D4"/>
    <w:rsid w:val="00D1197C"/>
    <w:rsid w:val="00D12631"/>
    <w:rsid w:val="00D12666"/>
    <w:rsid w:val="00D128C6"/>
    <w:rsid w:val="00D13013"/>
    <w:rsid w:val="00D1332B"/>
    <w:rsid w:val="00D13D92"/>
    <w:rsid w:val="00D147A1"/>
    <w:rsid w:val="00D15771"/>
    <w:rsid w:val="00D1579F"/>
    <w:rsid w:val="00D15876"/>
    <w:rsid w:val="00D1587A"/>
    <w:rsid w:val="00D15F55"/>
    <w:rsid w:val="00D1612D"/>
    <w:rsid w:val="00D168B3"/>
    <w:rsid w:val="00D16FF5"/>
    <w:rsid w:val="00D1756B"/>
    <w:rsid w:val="00D17A7F"/>
    <w:rsid w:val="00D17AFD"/>
    <w:rsid w:val="00D17D8F"/>
    <w:rsid w:val="00D201ED"/>
    <w:rsid w:val="00D2029F"/>
    <w:rsid w:val="00D205E6"/>
    <w:rsid w:val="00D209AC"/>
    <w:rsid w:val="00D209F5"/>
    <w:rsid w:val="00D20FBD"/>
    <w:rsid w:val="00D213FB"/>
    <w:rsid w:val="00D21433"/>
    <w:rsid w:val="00D21774"/>
    <w:rsid w:val="00D219AE"/>
    <w:rsid w:val="00D22414"/>
    <w:rsid w:val="00D22498"/>
    <w:rsid w:val="00D22726"/>
    <w:rsid w:val="00D22D0C"/>
    <w:rsid w:val="00D23306"/>
    <w:rsid w:val="00D234A7"/>
    <w:rsid w:val="00D248B7"/>
    <w:rsid w:val="00D24E80"/>
    <w:rsid w:val="00D251A3"/>
    <w:rsid w:val="00D254DF"/>
    <w:rsid w:val="00D2558D"/>
    <w:rsid w:val="00D25A06"/>
    <w:rsid w:val="00D2689C"/>
    <w:rsid w:val="00D268B1"/>
    <w:rsid w:val="00D26CF1"/>
    <w:rsid w:val="00D27061"/>
    <w:rsid w:val="00D27D3F"/>
    <w:rsid w:val="00D30002"/>
    <w:rsid w:val="00D303E9"/>
    <w:rsid w:val="00D307AC"/>
    <w:rsid w:val="00D30B85"/>
    <w:rsid w:val="00D30F7E"/>
    <w:rsid w:val="00D31EB2"/>
    <w:rsid w:val="00D32282"/>
    <w:rsid w:val="00D322AF"/>
    <w:rsid w:val="00D32CCD"/>
    <w:rsid w:val="00D32FBA"/>
    <w:rsid w:val="00D33990"/>
    <w:rsid w:val="00D33B49"/>
    <w:rsid w:val="00D351EE"/>
    <w:rsid w:val="00D35453"/>
    <w:rsid w:val="00D35BF0"/>
    <w:rsid w:val="00D35DD3"/>
    <w:rsid w:val="00D360A4"/>
    <w:rsid w:val="00D367C3"/>
    <w:rsid w:val="00D36C55"/>
    <w:rsid w:val="00D36D06"/>
    <w:rsid w:val="00D36D0E"/>
    <w:rsid w:val="00D36E8B"/>
    <w:rsid w:val="00D372D4"/>
    <w:rsid w:val="00D37843"/>
    <w:rsid w:val="00D378A9"/>
    <w:rsid w:val="00D37FAC"/>
    <w:rsid w:val="00D37FCD"/>
    <w:rsid w:val="00D3FBFE"/>
    <w:rsid w:val="00D40297"/>
    <w:rsid w:val="00D402D9"/>
    <w:rsid w:val="00D40B80"/>
    <w:rsid w:val="00D40BFE"/>
    <w:rsid w:val="00D40D4A"/>
    <w:rsid w:val="00D40E70"/>
    <w:rsid w:val="00D40ECC"/>
    <w:rsid w:val="00D41108"/>
    <w:rsid w:val="00D41B43"/>
    <w:rsid w:val="00D42AA4"/>
    <w:rsid w:val="00D42C12"/>
    <w:rsid w:val="00D43422"/>
    <w:rsid w:val="00D4352B"/>
    <w:rsid w:val="00D43B5D"/>
    <w:rsid w:val="00D43EF5"/>
    <w:rsid w:val="00D43F01"/>
    <w:rsid w:val="00D43F3A"/>
    <w:rsid w:val="00D44F72"/>
    <w:rsid w:val="00D45085"/>
    <w:rsid w:val="00D4536D"/>
    <w:rsid w:val="00D45EAC"/>
    <w:rsid w:val="00D465AC"/>
    <w:rsid w:val="00D468B1"/>
    <w:rsid w:val="00D46BB8"/>
    <w:rsid w:val="00D4706A"/>
    <w:rsid w:val="00D4724E"/>
    <w:rsid w:val="00D472B6"/>
    <w:rsid w:val="00D47860"/>
    <w:rsid w:val="00D5057F"/>
    <w:rsid w:val="00D51223"/>
    <w:rsid w:val="00D51915"/>
    <w:rsid w:val="00D52B0D"/>
    <w:rsid w:val="00D52C9C"/>
    <w:rsid w:val="00D53271"/>
    <w:rsid w:val="00D5347B"/>
    <w:rsid w:val="00D53BEE"/>
    <w:rsid w:val="00D53C46"/>
    <w:rsid w:val="00D53CF3"/>
    <w:rsid w:val="00D54591"/>
    <w:rsid w:val="00D549C7"/>
    <w:rsid w:val="00D54C40"/>
    <w:rsid w:val="00D54EE0"/>
    <w:rsid w:val="00D55013"/>
    <w:rsid w:val="00D55225"/>
    <w:rsid w:val="00D5557E"/>
    <w:rsid w:val="00D557C3"/>
    <w:rsid w:val="00D557DA"/>
    <w:rsid w:val="00D55FA9"/>
    <w:rsid w:val="00D5688A"/>
    <w:rsid w:val="00D5689F"/>
    <w:rsid w:val="00D56A9C"/>
    <w:rsid w:val="00D56D53"/>
    <w:rsid w:val="00D56F82"/>
    <w:rsid w:val="00D57257"/>
    <w:rsid w:val="00D57343"/>
    <w:rsid w:val="00D5743A"/>
    <w:rsid w:val="00D57C1E"/>
    <w:rsid w:val="00D57D6A"/>
    <w:rsid w:val="00D5C4B0"/>
    <w:rsid w:val="00D60096"/>
    <w:rsid w:val="00D60610"/>
    <w:rsid w:val="00D607A8"/>
    <w:rsid w:val="00D6142E"/>
    <w:rsid w:val="00D614DA"/>
    <w:rsid w:val="00D617F6"/>
    <w:rsid w:val="00D61A2C"/>
    <w:rsid w:val="00D62031"/>
    <w:rsid w:val="00D62132"/>
    <w:rsid w:val="00D62570"/>
    <w:rsid w:val="00D62B6E"/>
    <w:rsid w:val="00D6349D"/>
    <w:rsid w:val="00D634CB"/>
    <w:rsid w:val="00D63B36"/>
    <w:rsid w:val="00D63DAC"/>
    <w:rsid w:val="00D648A5"/>
    <w:rsid w:val="00D649C7"/>
    <w:rsid w:val="00D64B6E"/>
    <w:rsid w:val="00D65038"/>
    <w:rsid w:val="00D6512C"/>
    <w:rsid w:val="00D665FD"/>
    <w:rsid w:val="00D66D30"/>
    <w:rsid w:val="00D67116"/>
    <w:rsid w:val="00D671DC"/>
    <w:rsid w:val="00D673ED"/>
    <w:rsid w:val="00D67AA8"/>
    <w:rsid w:val="00D67E5C"/>
    <w:rsid w:val="00D70381"/>
    <w:rsid w:val="00D704F1"/>
    <w:rsid w:val="00D70585"/>
    <w:rsid w:val="00D70EE5"/>
    <w:rsid w:val="00D7135E"/>
    <w:rsid w:val="00D7152C"/>
    <w:rsid w:val="00D71868"/>
    <w:rsid w:val="00D723F7"/>
    <w:rsid w:val="00D724C8"/>
    <w:rsid w:val="00D7267A"/>
    <w:rsid w:val="00D72707"/>
    <w:rsid w:val="00D72749"/>
    <w:rsid w:val="00D72773"/>
    <w:rsid w:val="00D72966"/>
    <w:rsid w:val="00D7303D"/>
    <w:rsid w:val="00D73FE2"/>
    <w:rsid w:val="00D7475E"/>
    <w:rsid w:val="00D7498E"/>
    <w:rsid w:val="00D74ADC"/>
    <w:rsid w:val="00D74D3E"/>
    <w:rsid w:val="00D7561D"/>
    <w:rsid w:val="00D75AC6"/>
    <w:rsid w:val="00D75B0F"/>
    <w:rsid w:val="00D769F6"/>
    <w:rsid w:val="00D76A08"/>
    <w:rsid w:val="00D76A9C"/>
    <w:rsid w:val="00D76CA3"/>
    <w:rsid w:val="00D7757D"/>
    <w:rsid w:val="00D8010B"/>
    <w:rsid w:val="00D801B5"/>
    <w:rsid w:val="00D802E3"/>
    <w:rsid w:val="00D80D0A"/>
    <w:rsid w:val="00D81835"/>
    <w:rsid w:val="00D81C6E"/>
    <w:rsid w:val="00D81CE7"/>
    <w:rsid w:val="00D81DA6"/>
    <w:rsid w:val="00D8255F"/>
    <w:rsid w:val="00D8278C"/>
    <w:rsid w:val="00D82862"/>
    <w:rsid w:val="00D82B22"/>
    <w:rsid w:val="00D82CC8"/>
    <w:rsid w:val="00D83E86"/>
    <w:rsid w:val="00D84C44"/>
    <w:rsid w:val="00D855E7"/>
    <w:rsid w:val="00D85B57"/>
    <w:rsid w:val="00D85C7D"/>
    <w:rsid w:val="00D868C5"/>
    <w:rsid w:val="00D869A7"/>
    <w:rsid w:val="00D86CC3"/>
    <w:rsid w:val="00D8726C"/>
    <w:rsid w:val="00D8787E"/>
    <w:rsid w:val="00D9037B"/>
    <w:rsid w:val="00D90584"/>
    <w:rsid w:val="00D90BAD"/>
    <w:rsid w:val="00D90CC4"/>
    <w:rsid w:val="00D91492"/>
    <w:rsid w:val="00D91B56"/>
    <w:rsid w:val="00D9215F"/>
    <w:rsid w:val="00D92499"/>
    <w:rsid w:val="00D934C6"/>
    <w:rsid w:val="00D936F9"/>
    <w:rsid w:val="00D93924"/>
    <w:rsid w:val="00D93FB4"/>
    <w:rsid w:val="00D94894"/>
    <w:rsid w:val="00D94D0A"/>
    <w:rsid w:val="00D94EBB"/>
    <w:rsid w:val="00D950FD"/>
    <w:rsid w:val="00D9543F"/>
    <w:rsid w:val="00D95C48"/>
    <w:rsid w:val="00D95ECE"/>
    <w:rsid w:val="00D95ED7"/>
    <w:rsid w:val="00D961AF"/>
    <w:rsid w:val="00D96DF0"/>
    <w:rsid w:val="00D96E71"/>
    <w:rsid w:val="00D97036"/>
    <w:rsid w:val="00D975ED"/>
    <w:rsid w:val="00DA04B1"/>
    <w:rsid w:val="00DA0724"/>
    <w:rsid w:val="00DA0E68"/>
    <w:rsid w:val="00DA1457"/>
    <w:rsid w:val="00DA1BF4"/>
    <w:rsid w:val="00DA2073"/>
    <w:rsid w:val="00DA296D"/>
    <w:rsid w:val="00DA2D7E"/>
    <w:rsid w:val="00DA33A3"/>
    <w:rsid w:val="00DA3469"/>
    <w:rsid w:val="00DA347D"/>
    <w:rsid w:val="00DA3AE2"/>
    <w:rsid w:val="00DA3C37"/>
    <w:rsid w:val="00DA3F3A"/>
    <w:rsid w:val="00DA41A4"/>
    <w:rsid w:val="00DA480D"/>
    <w:rsid w:val="00DA488C"/>
    <w:rsid w:val="00DA4D7D"/>
    <w:rsid w:val="00DA53B9"/>
    <w:rsid w:val="00DA541C"/>
    <w:rsid w:val="00DA5423"/>
    <w:rsid w:val="00DA567E"/>
    <w:rsid w:val="00DA5843"/>
    <w:rsid w:val="00DA5C81"/>
    <w:rsid w:val="00DA5CA9"/>
    <w:rsid w:val="00DA5E72"/>
    <w:rsid w:val="00DA63EB"/>
    <w:rsid w:val="00DA6EF7"/>
    <w:rsid w:val="00DA6FF4"/>
    <w:rsid w:val="00DA702B"/>
    <w:rsid w:val="00DA7166"/>
    <w:rsid w:val="00DA7737"/>
    <w:rsid w:val="00DA7912"/>
    <w:rsid w:val="00DB0DB8"/>
    <w:rsid w:val="00DB1345"/>
    <w:rsid w:val="00DB1A1D"/>
    <w:rsid w:val="00DB1B3D"/>
    <w:rsid w:val="00DB1E5F"/>
    <w:rsid w:val="00DB2512"/>
    <w:rsid w:val="00DB279F"/>
    <w:rsid w:val="00DB325A"/>
    <w:rsid w:val="00DB3F97"/>
    <w:rsid w:val="00DB490F"/>
    <w:rsid w:val="00DB4B36"/>
    <w:rsid w:val="00DB4ED5"/>
    <w:rsid w:val="00DB5074"/>
    <w:rsid w:val="00DB5CBD"/>
    <w:rsid w:val="00DB6324"/>
    <w:rsid w:val="00DB63A7"/>
    <w:rsid w:val="00DB6C5C"/>
    <w:rsid w:val="00DB6D81"/>
    <w:rsid w:val="00DB721F"/>
    <w:rsid w:val="00DB744E"/>
    <w:rsid w:val="00DB7ACD"/>
    <w:rsid w:val="00DB7B98"/>
    <w:rsid w:val="00DB7FE7"/>
    <w:rsid w:val="00DC01E7"/>
    <w:rsid w:val="00DC0523"/>
    <w:rsid w:val="00DC0A6A"/>
    <w:rsid w:val="00DC1282"/>
    <w:rsid w:val="00DC16CE"/>
    <w:rsid w:val="00DC17C1"/>
    <w:rsid w:val="00DC22B0"/>
    <w:rsid w:val="00DC2CDC"/>
    <w:rsid w:val="00DC303E"/>
    <w:rsid w:val="00DC337E"/>
    <w:rsid w:val="00DC341C"/>
    <w:rsid w:val="00DC360A"/>
    <w:rsid w:val="00DC3659"/>
    <w:rsid w:val="00DC3875"/>
    <w:rsid w:val="00DC3B0B"/>
    <w:rsid w:val="00DC4263"/>
    <w:rsid w:val="00DC42DD"/>
    <w:rsid w:val="00DC4321"/>
    <w:rsid w:val="00DC45CC"/>
    <w:rsid w:val="00DC46E0"/>
    <w:rsid w:val="00DC4828"/>
    <w:rsid w:val="00DC5821"/>
    <w:rsid w:val="00DC5980"/>
    <w:rsid w:val="00DC6422"/>
    <w:rsid w:val="00DC6454"/>
    <w:rsid w:val="00DC6B79"/>
    <w:rsid w:val="00DC6F18"/>
    <w:rsid w:val="00DC7103"/>
    <w:rsid w:val="00DC748D"/>
    <w:rsid w:val="00DC7541"/>
    <w:rsid w:val="00DC7D77"/>
    <w:rsid w:val="00DD04D3"/>
    <w:rsid w:val="00DD0BA4"/>
    <w:rsid w:val="00DD15B0"/>
    <w:rsid w:val="00DD1704"/>
    <w:rsid w:val="00DD23E2"/>
    <w:rsid w:val="00DD255D"/>
    <w:rsid w:val="00DD25D9"/>
    <w:rsid w:val="00DD25EA"/>
    <w:rsid w:val="00DD2B46"/>
    <w:rsid w:val="00DD334E"/>
    <w:rsid w:val="00DD359E"/>
    <w:rsid w:val="00DD3CE8"/>
    <w:rsid w:val="00DD401F"/>
    <w:rsid w:val="00DD42BE"/>
    <w:rsid w:val="00DD4604"/>
    <w:rsid w:val="00DD5402"/>
    <w:rsid w:val="00DD5BF2"/>
    <w:rsid w:val="00DD60CA"/>
    <w:rsid w:val="00DD6322"/>
    <w:rsid w:val="00DD6628"/>
    <w:rsid w:val="00DD664A"/>
    <w:rsid w:val="00DD6DE2"/>
    <w:rsid w:val="00DD700D"/>
    <w:rsid w:val="00DD71DD"/>
    <w:rsid w:val="00DD758A"/>
    <w:rsid w:val="00DE0167"/>
    <w:rsid w:val="00DE02D9"/>
    <w:rsid w:val="00DE0C40"/>
    <w:rsid w:val="00DE100F"/>
    <w:rsid w:val="00DE22A4"/>
    <w:rsid w:val="00DE23FB"/>
    <w:rsid w:val="00DE26E6"/>
    <w:rsid w:val="00DE2848"/>
    <w:rsid w:val="00DE303A"/>
    <w:rsid w:val="00DE3845"/>
    <w:rsid w:val="00DE3B40"/>
    <w:rsid w:val="00DE41DC"/>
    <w:rsid w:val="00DE48B5"/>
    <w:rsid w:val="00DE4F9F"/>
    <w:rsid w:val="00DE50BC"/>
    <w:rsid w:val="00DE53A2"/>
    <w:rsid w:val="00DE5E2B"/>
    <w:rsid w:val="00DE6FCE"/>
    <w:rsid w:val="00DE7195"/>
    <w:rsid w:val="00DE728F"/>
    <w:rsid w:val="00DE768C"/>
    <w:rsid w:val="00DE78B7"/>
    <w:rsid w:val="00DE79E6"/>
    <w:rsid w:val="00DF093D"/>
    <w:rsid w:val="00DF0D1C"/>
    <w:rsid w:val="00DF13E8"/>
    <w:rsid w:val="00DF1604"/>
    <w:rsid w:val="00DF1B73"/>
    <w:rsid w:val="00DF2798"/>
    <w:rsid w:val="00DF2822"/>
    <w:rsid w:val="00DF338E"/>
    <w:rsid w:val="00DF36B8"/>
    <w:rsid w:val="00DF3C8A"/>
    <w:rsid w:val="00DF3DFA"/>
    <w:rsid w:val="00DF3E43"/>
    <w:rsid w:val="00DF454F"/>
    <w:rsid w:val="00DF4CD0"/>
    <w:rsid w:val="00DF4EB9"/>
    <w:rsid w:val="00DF51CB"/>
    <w:rsid w:val="00DF5201"/>
    <w:rsid w:val="00DF6240"/>
    <w:rsid w:val="00DF68E6"/>
    <w:rsid w:val="00DF6A42"/>
    <w:rsid w:val="00DF7201"/>
    <w:rsid w:val="00DF7293"/>
    <w:rsid w:val="00DF74C2"/>
    <w:rsid w:val="00DF76D0"/>
    <w:rsid w:val="00DF76DC"/>
    <w:rsid w:val="00DF77BE"/>
    <w:rsid w:val="00DF7FB1"/>
    <w:rsid w:val="00E00223"/>
    <w:rsid w:val="00E00D11"/>
    <w:rsid w:val="00E00FD8"/>
    <w:rsid w:val="00E011CD"/>
    <w:rsid w:val="00E011F9"/>
    <w:rsid w:val="00E01892"/>
    <w:rsid w:val="00E0189A"/>
    <w:rsid w:val="00E01F36"/>
    <w:rsid w:val="00E02396"/>
    <w:rsid w:val="00E02509"/>
    <w:rsid w:val="00E02736"/>
    <w:rsid w:val="00E02975"/>
    <w:rsid w:val="00E033AE"/>
    <w:rsid w:val="00E03502"/>
    <w:rsid w:val="00E03BEA"/>
    <w:rsid w:val="00E03E43"/>
    <w:rsid w:val="00E03FBF"/>
    <w:rsid w:val="00E03FD3"/>
    <w:rsid w:val="00E04A0C"/>
    <w:rsid w:val="00E04A13"/>
    <w:rsid w:val="00E04BBC"/>
    <w:rsid w:val="00E04C5D"/>
    <w:rsid w:val="00E04D43"/>
    <w:rsid w:val="00E05584"/>
    <w:rsid w:val="00E05930"/>
    <w:rsid w:val="00E05BC6"/>
    <w:rsid w:val="00E06016"/>
    <w:rsid w:val="00E0603B"/>
    <w:rsid w:val="00E06062"/>
    <w:rsid w:val="00E0613A"/>
    <w:rsid w:val="00E06268"/>
    <w:rsid w:val="00E0676B"/>
    <w:rsid w:val="00E067D9"/>
    <w:rsid w:val="00E0687C"/>
    <w:rsid w:val="00E06948"/>
    <w:rsid w:val="00E06FCF"/>
    <w:rsid w:val="00E07B18"/>
    <w:rsid w:val="00E10282"/>
    <w:rsid w:val="00E10785"/>
    <w:rsid w:val="00E10D99"/>
    <w:rsid w:val="00E10DDB"/>
    <w:rsid w:val="00E1103D"/>
    <w:rsid w:val="00E1180E"/>
    <w:rsid w:val="00E1249B"/>
    <w:rsid w:val="00E126B5"/>
    <w:rsid w:val="00E127F4"/>
    <w:rsid w:val="00E12925"/>
    <w:rsid w:val="00E129C0"/>
    <w:rsid w:val="00E12A43"/>
    <w:rsid w:val="00E12B30"/>
    <w:rsid w:val="00E12CA9"/>
    <w:rsid w:val="00E12FE8"/>
    <w:rsid w:val="00E13238"/>
    <w:rsid w:val="00E13ACD"/>
    <w:rsid w:val="00E13AF8"/>
    <w:rsid w:val="00E141FF"/>
    <w:rsid w:val="00E144A5"/>
    <w:rsid w:val="00E144CC"/>
    <w:rsid w:val="00E14A40"/>
    <w:rsid w:val="00E14B2E"/>
    <w:rsid w:val="00E14F0B"/>
    <w:rsid w:val="00E157C6"/>
    <w:rsid w:val="00E1593D"/>
    <w:rsid w:val="00E16519"/>
    <w:rsid w:val="00E1679F"/>
    <w:rsid w:val="00E167C6"/>
    <w:rsid w:val="00E16C27"/>
    <w:rsid w:val="00E16DD0"/>
    <w:rsid w:val="00E16DF9"/>
    <w:rsid w:val="00E16E13"/>
    <w:rsid w:val="00E173FF"/>
    <w:rsid w:val="00E178C5"/>
    <w:rsid w:val="00E179DF"/>
    <w:rsid w:val="00E20732"/>
    <w:rsid w:val="00E20757"/>
    <w:rsid w:val="00E20E99"/>
    <w:rsid w:val="00E21BC3"/>
    <w:rsid w:val="00E21BD2"/>
    <w:rsid w:val="00E21CC9"/>
    <w:rsid w:val="00E21D7E"/>
    <w:rsid w:val="00E22F43"/>
    <w:rsid w:val="00E231E9"/>
    <w:rsid w:val="00E23326"/>
    <w:rsid w:val="00E235D8"/>
    <w:rsid w:val="00E23678"/>
    <w:rsid w:val="00E236AD"/>
    <w:rsid w:val="00E23E51"/>
    <w:rsid w:val="00E2430E"/>
    <w:rsid w:val="00E24684"/>
    <w:rsid w:val="00E247BF"/>
    <w:rsid w:val="00E24E4C"/>
    <w:rsid w:val="00E256CF"/>
    <w:rsid w:val="00E25DC2"/>
    <w:rsid w:val="00E2633C"/>
    <w:rsid w:val="00E26EB6"/>
    <w:rsid w:val="00E26EFC"/>
    <w:rsid w:val="00E27534"/>
    <w:rsid w:val="00E27864"/>
    <w:rsid w:val="00E27B4B"/>
    <w:rsid w:val="00E27B83"/>
    <w:rsid w:val="00E30059"/>
    <w:rsid w:val="00E3008E"/>
    <w:rsid w:val="00E3025B"/>
    <w:rsid w:val="00E30466"/>
    <w:rsid w:val="00E30FB4"/>
    <w:rsid w:val="00E31549"/>
    <w:rsid w:val="00E3173D"/>
    <w:rsid w:val="00E31C08"/>
    <w:rsid w:val="00E31CDD"/>
    <w:rsid w:val="00E3215C"/>
    <w:rsid w:val="00E3281B"/>
    <w:rsid w:val="00E32D37"/>
    <w:rsid w:val="00E32F1B"/>
    <w:rsid w:val="00E32F46"/>
    <w:rsid w:val="00E33468"/>
    <w:rsid w:val="00E336FF"/>
    <w:rsid w:val="00E33781"/>
    <w:rsid w:val="00E33949"/>
    <w:rsid w:val="00E33D9B"/>
    <w:rsid w:val="00E33E3E"/>
    <w:rsid w:val="00E3408F"/>
    <w:rsid w:val="00E34F67"/>
    <w:rsid w:val="00E35BFA"/>
    <w:rsid w:val="00E36A37"/>
    <w:rsid w:val="00E36C05"/>
    <w:rsid w:val="00E36DFC"/>
    <w:rsid w:val="00E3729C"/>
    <w:rsid w:val="00E40570"/>
    <w:rsid w:val="00E40CF7"/>
    <w:rsid w:val="00E41154"/>
    <w:rsid w:val="00E41182"/>
    <w:rsid w:val="00E41664"/>
    <w:rsid w:val="00E41EBC"/>
    <w:rsid w:val="00E42626"/>
    <w:rsid w:val="00E428C2"/>
    <w:rsid w:val="00E42C53"/>
    <w:rsid w:val="00E42E34"/>
    <w:rsid w:val="00E42F78"/>
    <w:rsid w:val="00E42FB8"/>
    <w:rsid w:val="00E4436E"/>
    <w:rsid w:val="00E44953"/>
    <w:rsid w:val="00E44BD7"/>
    <w:rsid w:val="00E45CA4"/>
    <w:rsid w:val="00E465F4"/>
    <w:rsid w:val="00E46A63"/>
    <w:rsid w:val="00E47037"/>
    <w:rsid w:val="00E4726A"/>
    <w:rsid w:val="00E47650"/>
    <w:rsid w:val="00E4783B"/>
    <w:rsid w:val="00E47D03"/>
    <w:rsid w:val="00E50ACE"/>
    <w:rsid w:val="00E50DA6"/>
    <w:rsid w:val="00E51302"/>
    <w:rsid w:val="00E51520"/>
    <w:rsid w:val="00E51A47"/>
    <w:rsid w:val="00E51A84"/>
    <w:rsid w:val="00E51F88"/>
    <w:rsid w:val="00E52744"/>
    <w:rsid w:val="00E529E5"/>
    <w:rsid w:val="00E52C18"/>
    <w:rsid w:val="00E52DD6"/>
    <w:rsid w:val="00E5343B"/>
    <w:rsid w:val="00E5346D"/>
    <w:rsid w:val="00E53738"/>
    <w:rsid w:val="00E53E37"/>
    <w:rsid w:val="00E53F3E"/>
    <w:rsid w:val="00E541B6"/>
    <w:rsid w:val="00E54541"/>
    <w:rsid w:val="00E5468B"/>
    <w:rsid w:val="00E546DC"/>
    <w:rsid w:val="00E54C22"/>
    <w:rsid w:val="00E55986"/>
    <w:rsid w:val="00E5612D"/>
    <w:rsid w:val="00E5626E"/>
    <w:rsid w:val="00E5645A"/>
    <w:rsid w:val="00E56761"/>
    <w:rsid w:val="00E570E6"/>
    <w:rsid w:val="00E57135"/>
    <w:rsid w:val="00E57B4F"/>
    <w:rsid w:val="00E57C67"/>
    <w:rsid w:val="00E60100"/>
    <w:rsid w:val="00E60C29"/>
    <w:rsid w:val="00E614E3"/>
    <w:rsid w:val="00E6181F"/>
    <w:rsid w:val="00E61F17"/>
    <w:rsid w:val="00E62256"/>
    <w:rsid w:val="00E62AA1"/>
    <w:rsid w:val="00E62E66"/>
    <w:rsid w:val="00E63449"/>
    <w:rsid w:val="00E640F1"/>
    <w:rsid w:val="00E64648"/>
    <w:rsid w:val="00E64FC0"/>
    <w:rsid w:val="00E655E8"/>
    <w:rsid w:val="00E657F9"/>
    <w:rsid w:val="00E65C3D"/>
    <w:rsid w:val="00E66404"/>
    <w:rsid w:val="00E66B22"/>
    <w:rsid w:val="00E67241"/>
    <w:rsid w:val="00E6741D"/>
    <w:rsid w:val="00E7048B"/>
    <w:rsid w:val="00E708CE"/>
    <w:rsid w:val="00E70A7E"/>
    <w:rsid w:val="00E70C9C"/>
    <w:rsid w:val="00E70CCE"/>
    <w:rsid w:val="00E70E9B"/>
    <w:rsid w:val="00E71C67"/>
    <w:rsid w:val="00E71CEA"/>
    <w:rsid w:val="00E729A0"/>
    <w:rsid w:val="00E72B30"/>
    <w:rsid w:val="00E732E1"/>
    <w:rsid w:val="00E73710"/>
    <w:rsid w:val="00E7387E"/>
    <w:rsid w:val="00E73884"/>
    <w:rsid w:val="00E73E55"/>
    <w:rsid w:val="00E74A57"/>
    <w:rsid w:val="00E74C47"/>
    <w:rsid w:val="00E75014"/>
    <w:rsid w:val="00E7524B"/>
    <w:rsid w:val="00E755DD"/>
    <w:rsid w:val="00E75A5D"/>
    <w:rsid w:val="00E76165"/>
    <w:rsid w:val="00E763C0"/>
    <w:rsid w:val="00E76474"/>
    <w:rsid w:val="00E7674B"/>
    <w:rsid w:val="00E76A25"/>
    <w:rsid w:val="00E76E5A"/>
    <w:rsid w:val="00E773BC"/>
    <w:rsid w:val="00E773E2"/>
    <w:rsid w:val="00E779CC"/>
    <w:rsid w:val="00E77FEA"/>
    <w:rsid w:val="00E80DCF"/>
    <w:rsid w:val="00E81011"/>
    <w:rsid w:val="00E812F4"/>
    <w:rsid w:val="00E8159F"/>
    <w:rsid w:val="00E818F4"/>
    <w:rsid w:val="00E81A4A"/>
    <w:rsid w:val="00E81FAF"/>
    <w:rsid w:val="00E8252A"/>
    <w:rsid w:val="00E82BFF"/>
    <w:rsid w:val="00E8304A"/>
    <w:rsid w:val="00E830F3"/>
    <w:rsid w:val="00E8333A"/>
    <w:rsid w:val="00E840BE"/>
    <w:rsid w:val="00E842AD"/>
    <w:rsid w:val="00E84649"/>
    <w:rsid w:val="00E8469B"/>
    <w:rsid w:val="00E84CD9"/>
    <w:rsid w:val="00E854C9"/>
    <w:rsid w:val="00E85741"/>
    <w:rsid w:val="00E85AB8"/>
    <w:rsid w:val="00E85EA6"/>
    <w:rsid w:val="00E8697D"/>
    <w:rsid w:val="00E8710F"/>
    <w:rsid w:val="00E8761E"/>
    <w:rsid w:val="00E87B55"/>
    <w:rsid w:val="00E87D76"/>
    <w:rsid w:val="00E90179"/>
    <w:rsid w:val="00E9028F"/>
    <w:rsid w:val="00E905E1"/>
    <w:rsid w:val="00E90C61"/>
    <w:rsid w:val="00E91762"/>
    <w:rsid w:val="00E91845"/>
    <w:rsid w:val="00E92504"/>
    <w:rsid w:val="00E92C3D"/>
    <w:rsid w:val="00E92D8F"/>
    <w:rsid w:val="00E92F80"/>
    <w:rsid w:val="00E939CC"/>
    <w:rsid w:val="00E93CD7"/>
    <w:rsid w:val="00E93D84"/>
    <w:rsid w:val="00E9428C"/>
    <w:rsid w:val="00E94400"/>
    <w:rsid w:val="00E9442E"/>
    <w:rsid w:val="00E9469E"/>
    <w:rsid w:val="00E94E60"/>
    <w:rsid w:val="00E94F01"/>
    <w:rsid w:val="00E9578C"/>
    <w:rsid w:val="00E95F03"/>
    <w:rsid w:val="00E96299"/>
    <w:rsid w:val="00E9664B"/>
    <w:rsid w:val="00E97146"/>
    <w:rsid w:val="00E974B9"/>
    <w:rsid w:val="00E97612"/>
    <w:rsid w:val="00E97FC3"/>
    <w:rsid w:val="00EA073A"/>
    <w:rsid w:val="00EA08BF"/>
    <w:rsid w:val="00EA0A4C"/>
    <w:rsid w:val="00EA0CBA"/>
    <w:rsid w:val="00EA1203"/>
    <w:rsid w:val="00EA12D4"/>
    <w:rsid w:val="00EA196D"/>
    <w:rsid w:val="00EA1D0E"/>
    <w:rsid w:val="00EA1DF9"/>
    <w:rsid w:val="00EA1E30"/>
    <w:rsid w:val="00EA2531"/>
    <w:rsid w:val="00EA272E"/>
    <w:rsid w:val="00EA2A37"/>
    <w:rsid w:val="00EA2B01"/>
    <w:rsid w:val="00EA2F95"/>
    <w:rsid w:val="00EA3395"/>
    <w:rsid w:val="00EA37FC"/>
    <w:rsid w:val="00EA3987"/>
    <w:rsid w:val="00EA3AA1"/>
    <w:rsid w:val="00EA3FE9"/>
    <w:rsid w:val="00EA4323"/>
    <w:rsid w:val="00EA469B"/>
    <w:rsid w:val="00EA46B6"/>
    <w:rsid w:val="00EA541B"/>
    <w:rsid w:val="00EA5498"/>
    <w:rsid w:val="00EA55DD"/>
    <w:rsid w:val="00EA5728"/>
    <w:rsid w:val="00EA57A7"/>
    <w:rsid w:val="00EA57E8"/>
    <w:rsid w:val="00EA5B01"/>
    <w:rsid w:val="00EA691D"/>
    <w:rsid w:val="00EA6939"/>
    <w:rsid w:val="00EA6B38"/>
    <w:rsid w:val="00EA7574"/>
    <w:rsid w:val="00EA76A9"/>
    <w:rsid w:val="00EA7A9B"/>
    <w:rsid w:val="00EB031C"/>
    <w:rsid w:val="00EB0C12"/>
    <w:rsid w:val="00EB0CF4"/>
    <w:rsid w:val="00EB146A"/>
    <w:rsid w:val="00EB169C"/>
    <w:rsid w:val="00EB1C3D"/>
    <w:rsid w:val="00EB1F37"/>
    <w:rsid w:val="00EB2244"/>
    <w:rsid w:val="00EB28EE"/>
    <w:rsid w:val="00EB296C"/>
    <w:rsid w:val="00EB2B12"/>
    <w:rsid w:val="00EB2F7F"/>
    <w:rsid w:val="00EB32F4"/>
    <w:rsid w:val="00EB396A"/>
    <w:rsid w:val="00EB3EBA"/>
    <w:rsid w:val="00EB4289"/>
    <w:rsid w:val="00EB46C7"/>
    <w:rsid w:val="00EB4A54"/>
    <w:rsid w:val="00EB4C2F"/>
    <w:rsid w:val="00EB4CD7"/>
    <w:rsid w:val="00EB5767"/>
    <w:rsid w:val="00EB58EA"/>
    <w:rsid w:val="00EB59E4"/>
    <w:rsid w:val="00EB5C95"/>
    <w:rsid w:val="00EB5D1A"/>
    <w:rsid w:val="00EB6403"/>
    <w:rsid w:val="00EB6A8F"/>
    <w:rsid w:val="00EB6ECE"/>
    <w:rsid w:val="00EB6FB6"/>
    <w:rsid w:val="00EB721E"/>
    <w:rsid w:val="00EB7500"/>
    <w:rsid w:val="00EB7614"/>
    <w:rsid w:val="00EB7705"/>
    <w:rsid w:val="00EB7780"/>
    <w:rsid w:val="00EB77B0"/>
    <w:rsid w:val="00EB7E93"/>
    <w:rsid w:val="00EC00D6"/>
    <w:rsid w:val="00EC018A"/>
    <w:rsid w:val="00EC03B1"/>
    <w:rsid w:val="00EC070B"/>
    <w:rsid w:val="00EC0D3D"/>
    <w:rsid w:val="00EC0F16"/>
    <w:rsid w:val="00EC12E4"/>
    <w:rsid w:val="00EC14CF"/>
    <w:rsid w:val="00EC1F19"/>
    <w:rsid w:val="00EC1FF1"/>
    <w:rsid w:val="00EC224C"/>
    <w:rsid w:val="00EC246B"/>
    <w:rsid w:val="00EC27F4"/>
    <w:rsid w:val="00EC2E54"/>
    <w:rsid w:val="00EC3871"/>
    <w:rsid w:val="00EC3B51"/>
    <w:rsid w:val="00EC3D45"/>
    <w:rsid w:val="00EC4263"/>
    <w:rsid w:val="00EC4638"/>
    <w:rsid w:val="00EC545D"/>
    <w:rsid w:val="00EC5852"/>
    <w:rsid w:val="00EC5878"/>
    <w:rsid w:val="00EC60EE"/>
    <w:rsid w:val="00EC616E"/>
    <w:rsid w:val="00EC61A7"/>
    <w:rsid w:val="00EC622D"/>
    <w:rsid w:val="00EC6746"/>
    <w:rsid w:val="00EC7662"/>
    <w:rsid w:val="00ED010B"/>
    <w:rsid w:val="00ED01E1"/>
    <w:rsid w:val="00ED0423"/>
    <w:rsid w:val="00ED0562"/>
    <w:rsid w:val="00ED06FB"/>
    <w:rsid w:val="00ED0DDF"/>
    <w:rsid w:val="00ED0F91"/>
    <w:rsid w:val="00ED0FF9"/>
    <w:rsid w:val="00ED106D"/>
    <w:rsid w:val="00ED11EF"/>
    <w:rsid w:val="00ED17F3"/>
    <w:rsid w:val="00ED1975"/>
    <w:rsid w:val="00ED2081"/>
    <w:rsid w:val="00ED22D8"/>
    <w:rsid w:val="00ED30FD"/>
    <w:rsid w:val="00ED3315"/>
    <w:rsid w:val="00ED35D9"/>
    <w:rsid w:val="00ED3A84"/>
    <w:rsid w:val="00ED3B10"/>
    <w:rsid w:val="00ED465E"/>
    <w:rsid w:val="00ED467E"/>
    <w:rsid w:val="00ED4B35"/>
    <w:rsid w:val="00ED4C3E"/>
    <w:rsid w:val="00ED4CDE"/>
    <w:rsid w:val="00ED5050"/>
    <w:rsid w:val="00ED5508"/>
    <w:rsid w:val="00ED55DA"/>
    <w:rsid w:val="00ED5D74"/>
    <w:rsid w:val="00ED5E42"/>
    <w:rsid w:val="00ED6019"/>
    <w:rsid w:val="00ED60EA"/>
    <w:rsid w:val="00ED66C4"/>
    <w:rsid w:val="00ED69E8"/>
    <w:rsid w:val="00ED70B2"/>
    <w:rsid w:val="00ED7795"/>
    <w:rsid w:val="00ED78D5"/>
    <w:rsid w:val="00ED7C28"/>
    <w:rsid w:val="00EDD1B3"/>
    <w:rsid w:val="00EE056C"/>
    <w:rsid w:val="00EE0628"/>
    <w:rsid w:val="00EE0CAE"/>
    <w:rsid w:val="00EE116C"/>
    <w:rsid w:val="00EE23C0"/>
    <w:rsid w:val="00EE2CC4"/>
    <w:rsid w:val="00EE2DF7"/>
    <w:rsid w:val="00EE2F02"/>
    <w:rsid w:val="00EE3366"/>
    <w:rsid w:val="00EE35AA"/>
    <w:rsid w:val="00EE35BF"/>
    <w:rsid w:val="00EE489B"/>
    <w:rsid w:val="00EE5FAB"/>
    <w:rsid w:val="00EE6AC6"/>
    <w:rsid w:val="00EE6BD7"/>
    <w:rsid w:val="00EE7669"/>
    <w:rsid w:val="00EE7731"/>
    <w:rsid w:val="00EE7A35"/>
    <w:rsid w:val="00EE7A7D"/>
    <w:rsid w:val="00EE7E7D"/>
    <w:rsid w:val="00EF07A3"/>
    <w:rsid w:val="00EF154E"/>
    <w:rsid w:val="00EF18BE"/>
    <w:rsid w:val="00EF1CE5"/>
    <w:rsid w:val="00EF1F98"/>
    <w:rsid w:val="00EF2925"/>
    <w:rsid w:val="00EF2AF9"/>
    <w:rsid w:val="00EF2C32"/>
    <w:rsid w:val="00EF3070"/>
    <w:rsid w:val="00EF314B"/>
    <w:rsid w:val="00EF3A97"/>
    <w:rsid w:val="00EF48E4"/>
    <w:rsid w:val="00EF4936"/>
    <w:rsid w:val="00EF4B3B"/>
    <w:rsid w:val="00EF4E82"/>
    <w:rsid w:val="00EF50A0"/>
    <w:rsid w:val="00EF5476"/>
    <w:rsid w:val="00EF551B"/>
    <w:rsid w:val="00EF64B5"/>
    <w:rsid w:val="00EF671B"/>
    <w:rsid w:val="00EF6925"/>
    <w:rsid w:val="00EF6A44"/>
    <w:rsid w:val="00EF75D8"/>
    <w:rsid w:val="00EF78A5"/>
    <w:rsid w:val="00EF79EF"/>
    <w:rsid w:val="00EF7E6B"/>
    <w:rsid w:val="00F001E7"/>
    <w:rsid w:val="00F00622"/>
    <w:rsid w:val="00F00DB1"/>
    <w:rsid w:val="00F0116E"/>
    <w:rsid w:val="00F01700"/>
    <w:rsid w:val="00F01ABE"/>
    <w:rsid w:val="00F01F93"/>
    <w:rsid w:val="00F02212"/>
    <w:rsid w:val="00F02295"/>
    <w:rsid w:val="00F02802"/>
    <w:rsid w:val="00F02D1C"/>
    <w:rsid w:val="00F030E8"/>
    <w:rsid w:val="00F03172"/>
    <w:rsid w:val="00F03AD7"/>
    <w:rsid w:val="00F041D2"/>
    <w:rsid w:val="00F041D4"/>
    <w:rsid w:val="00F04918"/>
    <w:rsid w:val="00F04B67"/>
    <w:rsid w:val="00F04D90"/>
    <w:rsid w:val="00F058AB"/>
    <w:rsid w:val="00F05E93"/>
    <w:rsid w:val="00F05FA3"/>
    <w:rsid w:val="00F06236"/>
    <w:rsid w:val="00F068C8"/>
    <w:rsid w:val="00F069C6"/>
    <w:rsid w:val="00F069D3"/>
    <w:rsid w:val="00F06E49"/>
    <w:rsid w:val="00F06EBB"/>
    <w:rsid w:val="00F1000D"/>
    <w:rsid w:val="00F10839"/>
    <w:rsid w:val="00F109DE"/>
    <w:rsid w:val="00F10E91"/>
    <w:rsid w:val="00F10E97"/>
    <w:rsid w:val="00F10EC3"/>
    <w:rsid w:val="00F112FA"/>
    <w:rsid w:val="00F1154B"/>
    <w:rsid w:val="00F11A5F"/>
    <w:rsid w:val="00F11D2A"/>
    <w:rsid w:val="00F12563"/>
    <w:rsid w:val="00F127DF"/>
    <w:rsid w:val="00F129BD"/>
    <w:rsid w:val="00F12EF2"/>
    <w:rsid w:val="00F1301A"/>
    <w:rsid w:val="00F13570"/>
    <w:rsid w:val="00F13EB5"/>
    <w:rsid w:val="00F1486B"/>
    <w:rsid w:val="00F14A40"/>
    <w:rsid w:val="00F14C9A"/>
    <w:rsid w:val="00F14F6E"/>
    <w:rsid w:val="00F154D7"/>
    <w:rsid w:val="00F157E5"/>
    <w:rsid w:val="00F15AF1"/>
    <w:rsid w:val="00F15E31"/>
    <w:rsid w:val="00F16117"/>
    <w:rsid w:val="00F16261"/>
    <w:rsid w:val="00F1635A"/>
    <w:rsid w:val="00F16670"/>
    <w:rsid w:val="00F16B02"/>
    <w:rsid w:val="00F16B23"/>
    <w:rsid w:val="00F16F11"/>
    <w:rsid w:val="00F1734C"/>
    <w:rsid w:val="00F20203"/>
    <w:rsid w:val="00F205A4"/>
    <w:rsid w:val="00F2087E"/>
    <w:rsid w:val="00F209A9"/>
    <w:rsid w:val="00F213B2"/>
    <w:rsid w:val="00F2175F"/>
    <w:rsid w:val="00F21AAA"/>
    <w:rsid w:val="00F226BE"/>
    <w:rsid w:val="00F22CE0"/>
    <w:rsid w:val="00F23011"/>
    <w:rsid w:val="00F23248"/>
    <w:rsid w:val="00F236C3"/>
    <w:rsid w:val="00F23771"/>
    <w:rsid w:val="00F2431F"/>
    <w:rsid w:val="00F24499"/>
    <w:rsid w:val="00F24E15"/>
    <w:rsid w:val="00F253E4"/>
    <w:rsid w:val="00F25420"/>
    <w:rsid w:val="00F254F4"/>
    <w:rsid w:val="00F25A29"/>
    <w:rsid w:val="00F25D71"/>
    <w:rsid w:val="00F2628F"/>
    <w:rsid w:val="00F262E9"/>
    <w:rsid w:val="00F26343"/>
    <w:rsid w:val="00F2668F"/>
    <w:rsid w:val="00F26A2D"/>
    <w:rsid w:val="00F27165"/>
    <w:rsid w:val="00F2735A"/>
    <w:rsid w:val="00F27828"/>
    <w:rsid w:val="00F27B4D"/>
    <w:rsid w:val="00F3028E"/>
    <w:rsid w:val="00F3041B"/>
    <w:rsid w:val="00F30520"/>
    <w:rsid w:val="00F30753"/>
    <w:rsid w:val="00F307C9"/>
    <w:rsid w:val="00F30BC1"/>
    <w:rsid w:val="00F30E02"/>
    <w:rsid w:val="00F31014"/>
    <w:rsid w:val="00F311A4"/>
    <w:rsid w:val="00F31406"/>
    <w:rsid w:val="00F31433"/>
    <w:rsid w:val="00F31704"/>
    <w:rsid w:val="00F326E0"/>
    <w:rsid w:val="00F329C4"/>
    <w:rsid w:val="00F32B54"/>
    <w:rsid w:val="00F3336D"/>
    <w:rsid w:val="00F33504"/>
    <w:rsid w:val="00F3376D"/>
    <w:rsid w:val="00F33D64"/>
    <w:rsid w:val="00F33DA2"/>
    <w:rsid w:val="00F33E48"/>
    <w:rsid w:val="00F34141"/>
    <w:rsid w:val="00F3449F"/>
    <w:rsid w:val="00F34866"/>
    <w:rsid w:val="00F3491D"/>
    <w:rsid w:val="00F34DCF"/>
    <w:rsid w:val="00F350EB"/>
    <w:rsid w:val="00F356F2"/>
    <w:rsid w:val="00F35708"/>
    <w:rsid w:val="00F357CA"/>
    <w:rsid w:val="00F35BA9"/>
    <w:rsid w:val="00F362BE"/>
    <w:rsid w:val="00F36313"/>
    <w:rsid w:val="00F36475"/>
    <w:rsid w:val="00F368CD"/>
    <w:rsid w:val="00F369F7"/>
    <w:rsid w:val="00F4023A"/>
    <w:rsid w:val="00F40569"/>
    <w:rsid w:val="00F41AF1"/>
    <w:rsid w:val="00F42BB9"/>
    <w:rsid w:val="00F42BCC"/>
    <w:rsid w:val="00F42F8B"/>
    <w:rsid w:val="00F434B3"/>
    <w:rsid w:val="00F434BC"/>
    <w:rsid w:val="00F43759"/>
    <w:rsid w:val="00F43774"/>
    <w:rsid w:val="00F43B48"/>
    <w:rsid w:val="00F445F9"/>
    <w:rsid w:val="00F446C0"/>
    <w:rsid w:val="00F448E8"/>
    <w:rsid w:val="00F44A83"/>
    <w:rsid w:val="00F44DA0"/>
    <w:rsid w:val="00F450BD"/>
    <w:rsid w:val="00F45134"/>
    <w:rsid w:val="00F453AE"/>
    <w:rsid w:val="00F4554E"/>
    <w:rsid w:val="00F45651"/>
    <w:rsid w:val="00F45F85"/>
    <w:rsid w:val="00F46031"/>
    <w:rsid w:val="00F4659B"/>
    <w:rsid w:val="00F4678D"/>
    <w:rsid w:val="00F475F6"/>
    <w:rsid w:val="00F47FA5"/>
    <w:rsid w:val="00F50B4A"/>
    <w:rsid w:val="00F514EC"/>
    <w:rsid w:val="00F5155E"/>
    <w:rsid w:val="00F51B25"/>
    <w:rsid w:val="00F51B72"/>
    <w:rsid w:val="00F51D89"/>
    <w:rsid w:val="00F51FC6"/>
    <w:rsid w:val="00F5211D"/>
    <w:rsid w:val="00F5217E"/>
    <w:rsid w:val="00F52275"/>
    <w:rsid w:val="00F52655"/>
    <w:rsid w:val="00F528EC"/>
    <w:rsid w:val="00F53519"/>
    <w:rsid w:val="00F53A6E"/>
    <w:rsid w:val="00F53ADC"/>
    <w:rsid w:val="00F53B1C"/>
    <w:rsid w:val="00F53BEB"/>
    <w:rsid w:val="00F53F2D"/>
    <w:rsid w:val="00F54496"/>
    <w:rsid w:val="00F54640"/>
    <w:rsid w:val="00F546B0"/>
    <w:rsid w:val="00F54745"/>
    <w:rsid w:val="00F54C1D"/>
    <w:rsid w:val="00F551AB"/>
    <w:rsid w:val="00F55241"/>
    <w:rsid w:val="00F556FA"/>
    <w:rsid w:val="00F5574A"/>
    <w:rsid w:val="00F55888"/>
    <w:rsid w:val="00F55E08"/>
    <w:rsid w:val="00F561DE"/>
    <w:rsid w:val="00F564B4"/>
    <w:rsid w:val="00F566F1"/>
    <w:rsid w:val="00F569E4"/>
    <w:rsid w:val="00F56A49"/>
    <w:rsid w:val="00F57466"/>
    <w:rsid w:val="00F576FF"/>
    <w:rsid w:val="00F57762"/>
    <w:rsid w:val="00F577EB"/>
    <w:rsid w:val="00F57E98"/>
    <w:rsid w:val="00F6004E"/>
    <w:rsid w:val="00F6023C"/>
    <w:rsid w:val="00F61881"/>
    <w:rsid w:val="00F61F3D"/>
    <w:rsid w:val="00F625ED"/>
    <w:rsid w:val="00F62B93"/>
    <w:rsid w:val="00F62E77"/>
    <w:rsid w:val="00F6307B"/>
    <w:rsid w:val="00F6309C"/>
    <w:rsid w:val="00F638E4"/>
    <w:rsid w:val="00F63F60"/>
    <w:rsid w:val="00F640B3"/>
    <w:rsid w:val="00F64362"/>
    <w:rsid w:val="00F64861"/>
    <w:rsid w:val="00F64A66"/>
    <w:rsid w:val="00F654CD"/>
    <w:rsid w:val="00F65514"/>
    <w:rsid w:val="00F6572B"/>
    <w:rsid w:val="00F667F8"/>
    <w:rsid w:val="00F66BE0"/>
    <w:rsid w:val="00F67649"/>
    <w:rsid w:val="00F67A19"/>
    <w:rsid w:val="00F67B78"/>
    <w:rsid w:val="00F67BF8"/>
    <w:rsid w:val="00F70441"/>
    <w:rsid w:val="00F7046B"/>
    <w:rsid w:val="00F708EE"/>
    <w:rsid w:val="00F715C9"/>
    <w:rsid w:val="00F71707"/>
    <w:rsid w:val="00F71A79"/>
    <w:rsid w:val="00F720A0"/>
    <w:rsid w:val="00F72B4F"/>
    <w:rsid w:val="00F72D60"/>
    <w:rsid w:val="00F73714"/>
    <w:rsid w:val="00F73A9E"/>
    <w:rsid w:val="00F73E17"/>
    <w:rsid w:val="00F74610"/>
    <w:rsid w:val="00F74681"/>
    <w:rsid w:val="00F74853"/>
    <w:rsid w:val="00F74A78"/>
    <w:rsid w:val="00F755C8"/>
    <w:rsid w:val="00F75657"/>
    <w:rsid w:val="00F758C5"/>
    <w:rsid w:val="00F75A9D"/>
    <w:rsid w:val="00F75EBB"/>
    <w:rsid w:val="00F764C9"/>
    <w:rsid w:val="00F767CF"/>
    <w:rsid w:val="00F76CAD"/>
    <w:rsid w:val="00F76D18"/>
    <w:rsid w:val="00F76D52"/>
    <w:rsid w:val="00F77476"/>
    <w:rsid w:val="00F80218"/>
    <w:rsid w:val="00F80A34"/>
    <w:rsid w:val="00F80D1C"/>
    <w:rsid w:val="00F8118C"/>
    <w:rsid w:val="00F81CC3"/>
    <w:rsid w:val="00F82C2C"/>
    <w:rsid w:val="00F836E8"/>
    <w:rsid w:val="00F83843"/>
    <w:rsid w:val="00F8397A"/>
    <w:rsid w:val="00F839F8"/>
    <w:rsid w:val="00F83E91"/>
    <w:rsid w:val="00F84B50"/>
    <w:rsid w:val="00F84DD1"/>
    <w:rsid w:val="00F8510E"/>
    <w:rsid w:val="00F858AD"/>
    <w:rsid w:val="00F85913"/>
    <w:rsid w:val="00F85DB6"/>
    <w:rsid w:val="00F86051"/>
    <w:rsid w:val="00F860EE"/>
    <w:rsid w:val="00F862A3"/>
    <w:rsid w:val="00F8643C"/>
    <w:rsid w:val="00F865B2"/>
    <w:rsid w:val="00F865CE"/>
    <w:rsid w:val="00F865F5"/>
    <w:rsid w:val="00F86AAA"/>
    <w:rsid w:val="00F87196"/>
    <w:rsid w:val="00F87357"/>
    <w:rsid w:val="00F87605"/>
    <w:rsid w:val="00F87A10"/>
    <w:rsid w:val="00F87D43"/>
    <w:rsid w:val="00F903F6"/>
    <w:rsid w:val="00F904DF"/>
    <w:rsid w:val="00F9103D"/>
    <w:rsid w:val="00F91483"/>
    <w:rsid w:val="00F91BD5"/>
    <w:rsid w:val="00F922DF"/>
    <w:rsid w:val="00F927D8"/>
    <w:rsid w:val="00F92DF0"/>
    <w:rsid w:val="00F9310C"/>
    <w:rsid w:val="00F93DC2"/>
    <w:rsid w:val="00F94427"/>
    <w:rsid w:val="00F947B2"/>
    <w:rsid w:val="00F94984"/>
    <w:rsid w:val="00F94A3B"/>
    <w:rsid w:val="00F94B6C"/>
    <w:rsid w:val="00F94BB7"/>
    <w:rsid w:val="00F95125"/>
    <w:rsid w:val="00F951ED"/>
    <w:rsid w:val="00F9590D"/>
    <w:rsid w:val="00F9594E"/>
    <w:rsid w:val="00F95972"/>
    <w:rsid w:val="00F9692E"/>
    <w:rsid w:val="00F96BAB"/>
    <w:rsid w:val="00F96CD8"/>
    <w:rsid w:val="00F96DED"/>
    <w:rsid w:val="00F97E1E"/>
    <w:rsid w:val="00FA0ADE"/>
    <w:rsid w:val="00FA0B7F"/>
    <w:rsid w:val="00FA0D19"/>
    <w:rsid w:val="00FA0D36"/>
    <w:rsid w:val="00FA0DA2"/>
    <w:rsid w:val="00FA1165"/>
    <w:rsid w:val="00FA12E1"/>
    <w:rsid w:val="00FA15AE"/>
    <w:rsid w:val="00FA1677"/>
    <w:rsid w:val="00FA174C"/>
    <w:rsid w:val="00FA1C3F"/>
    <w:rsid w:val="00FA1E5E"/>
    <w:rsid w:val="00FA1EE0"/>
    <w:rsid w:val="00FA2092"/>
    <w:rsid w:val="00FA20D1"/>
    <w:rsid w:val="00FA21C3"/>
    <w:rsid w:val="00FA275B"/>
    <w:rsid w:val="00FA2935"/>
    <w:rsid w:val="00FA37CC"/>
    <w:rsid w:val="00FA3895"/>
    <w:rsid w:val="00FA4232"/>
    <w:rsid w:val="00FA460A"/>
    <w:rsid w:val="00FA46CB"/>
    <w:rsid w:val="00FA49FD"/>
    <w:rsid w:val="00FA57A0"/>
    <w:rsid w:val="00FA5998"/>
    <w:rsid w:val="00FA5B4D"/>
    <w:rsid w:val="00FA6256"/>
    <w:rsid w:val="00FA665E"/>
    <w:rsid w:val="00FA67EC"/>
    <w:rsid w:val="00FA6CED"/>
    <w:rsid w:val="00FA6F81"/>
    <w:rsid w:val="00FA73D4"/>
    <w:rsid w:val="00FA7648"/>
    <w:rsid w:val="00FA7E3C"/>
    <w:rsid w:val="00FB0198"/>
    <w:rsid w:val="00FB0531"/>
    <w:rsid w:val="00FB06B3"/>
    <w:rsid w:val="00FB08F7"/>
    <w:rsid w:val="00FB0EF2"/>
    <w:rsid w:val="00FB12F5"/>
    <w:rsid w:val="00FB1911"/>
    <w:rsid w:val="00FB1DB7"/>
    <w:rsid w:val="00FB222F"/>
    <w:rsid w:val="00FB2483"/>
    <w:rsid w:val="00FB2839"/>
    <w:rsid w:val="00FB2CD6"/>
    <w:rsid w:val="00FB313B"/>
    <w:rsid w:val="00FB3870"/>
    <w:rsid w:val="00FB3BB2"/>
    <w:rsid w:val="00FB3DDA"/>
    <w:rsid w:val="00FB421B"/>
    <w:rsid w:val="00FB48CA"/>
    <w:rsid w:val="00FB4AD9"/>
    <w:rsid w:val="00FB52E9"/>
    <w:rsid w:val="00FB5819"/>
    <w:rsid w:val="00FB6433"/>
    <w:rsid w:val="00FB677C"/>
    <w:rsid w:val="00FB6B3A"/>
    <w:rsid w:val="00FB7EA6"/>
    <w:rsid w:val="00FC07AB"/>
    <w:rsid w:val="00FC09BE"/>
    <w:rsid w:val="00FC1595"/>
    <w:rsid w:val="00FC1E4C"/>
    <w:rsid w:val="00FC1FA3"/>
    <w:rsid w:val="00FC2368"/>
    <w:rsid w:val="00FC2436"/>
    <w:rsid w:val="00FC2C6B"/>
    <w:rsid w:val="00FC35EC"/>
    <w:rsid w:val="00FC38F4"/>
    <w:rsid w:val="00FC3951"/>
    <w:rsid w:val="00FC39DF"/>
    <w:rsid w:val="00FC3CB8"/>
    <w:rsid w:val="00FC4749"/>
    <w:rsid w:val="00FC47D1"/>
    <w:rsid w:val="00FC4E6F"/>
    <w:rsid w:val="00FC5100"/>
    <w:rsid w:val="00FC5821"/>
    <w:rsid w:val="00FC6AB8"/>
    <w:rsid w:val="00FC6CE7"/>
    <w:rsid w:val="00FC7FC9"/>
    <w:rsid w:val="00FD134B"/>
    <w:rsid w:val="00FD17E4"/>
    <w:rsid w:val="00FD18D4"/>
    <w:rsid w:val="00FD1EC7"/>
    <w:rsid w:val="00FD2C7A"/>
    <w:rsid w:val="00FD3908"/>
    <w:rsid w:val="00FD44ED"/>
    <w:rsid w:val="00FD45D1"/>
    <w:rsid w:val="00FD4B82"/>
    <w:rsid w:val="00FD4D6E"/>
    <w:rsid w:val="00FD5746"/>
    <w:rsid w:val="00FD589D"/>
    <w:rsid w:val="00FD58AE"/>
    <w:rsid w:val="00FD5FBC"/>
    <w:rsid w:val="00FD60DF"/>
    <w:rsid w:val="00FD615F"/>
    <w:rsid w:val="00FD697B"/>
    <w:rsid w:val="00FD6995"/>
    <w:rsid w:val="00FD6B34"/>
    <w:rsid w:val="00FD6B3E"/>
    <w:rsid w:val="00FD76FD"/>
    <w:rsid w:val="00FD7A40"/>
    <w:rsid w:val="00FD7E18"/>
    <w:rsid w:val="00FE0601"/>
    <w:rsid w:val="00FE0FCE"/>
    <w:rsid w:val="00FE1064"/>
    <w:rsid w:val="00FE16CD"/>
    <w:rsid w:val="00FE1F05"/>
    <w:rsid w:val="00FE245D"/>
    <w:rsid w:val="00FE25BF"/>
    <w:rsid w:val="00FE33E8"/>
    <w:rsid w:val="00FE3B96"/>
    <w:rsid w:val="00FE3CB4"/>
    <w:rsid w:val="00FE3F81"/>
    <w:rsid w:val="00FE4F2D"/>
    <w:rsid w:val="00FE4F5C"/>
    <w:rsid w:val="00FE5235"/>
    <w:rsid w:val="00FE5248"/>
    <w:rsid w:val="00FE5978"/>
    <w:rsid w:val="00FE59FD"/>
    <w:rsid w:val="00FE5D19"/>
    <w:rsid w:val="00FE5D9A"/>
    <w:rsid w:val="00FE630D"/>
    <w:rsid w:val="00FE65CD"/>
    <w:rsid w:val="00FE6602"/>
    <w:rsid w:val="00FE6A79"/>
    <w:rsid w:val="00FE7401"/>
    <w:rsid w:val="00FE7422"/>
    <w:rsid w:val="00FE749D"/>
    <w:rsid w:val="00FE74A0"/>
    <w:rsid w:val="00FE7917"/>
    <w:rsid w:val="00FE7C13"/>
    <w:rsid w:val="00FE7D0C"/>
    <w:rsid w:val="00FF003B"/>
    <w:rsid w:val="00FF060D"/>
    <w:rsid w:val="00FF0F25"/>
    <w:rsid w:val="00FF120E"/>
    <w:rsid w:val="00FF15BD"/>
    <w:rsid w:val="00FF1B91"/>
    <w:rsid w:val="00FF350B"/>
    <w:rsid w:val="00FF3C37"/>
    <w:rsid w:val="00FF3E56"/>
    <w:rsid w:val="00FF3EA2"/>
    <w:rsid w:val="00FF3F75"/>
    <w:rsid w:val="00FF42BD"/>
    <w:rsid w:val="00FF4A95"/>
    <w:rsid w:val="00FF4D21"/>
    <w:rsid w:val="00FF5BC8"/>
    <w:rsid w:val="00FF5CBF"/>
    <w:rsid w:val="00FF6A8A"/>
    <w:rsid w:val="00FF6F11"/>
    <w:rsid w:val="01094798"/>
    <w:rsid w:val="012153B5"/>
    <w:rsid w:val="01411433"/>
    <w:rsid w:val="014B129D"/>
    <w:rsid w:val="014FBA0B"/>
    <w:rsid w:val="01583826"/>
    <w:rsid w:val="015F2CB0"/>
    <w:rsid w:val="0187BB76"/>
    <w:rsid w:val="01AC0D2F"/>
    <w:rsid w:val="01AE403F"/>
    <w:rsid w:val="01BE62D8"/>
    <w:rsid w:val="01CADEF9"/>
    <w:rsid w:val="01CC7A06"/>
    <w:rsid w:val="01FC298F"/>
    <w:rsid w:val="022A3B58"/>
    <w:rsid w:val="0286C00F"/>
    <w:rsid w:val="0298AA97"/>
    <w:rsid w:val="02A238C2"/>
    <w:rsid w:val="02C01EE8"/>
    <w:rsid w:val="02CC39BA"/>
    <w:rsid w:val="02E34455"/>
    <w:rsid w:val="02E58AC8"/>
    <w:rsid w:val="02F05117"/>
    <w:rsid w:val="02F85E44"/>
    <w:rsid w:val="038A3C8A"/>
    <w:rsid w:val="03D618E6"/>
    <w:rsid w:val="03D6DD63"/>
    <w:rsid w:val="03DA91BF"/>
    <w:rsid w:val="03E7078A"/>
    <w:rsid w:val="040A7EC9"/>
    <w:rsid w:val="04430A41"/>
    <w:rsid w:val="044B203A"/>
    <w:rsid w:val="044CABEC"/>
    <w:rsid w:val="0454895B"/>
    <w:rsid w:val="04559D28"/>
    <w:rsid w:val="045623C0"/>
    <w:rsid w:val="046E916A"/>
    <w:rsid w:val="04774CCD"/>
    <w:rsid w:val="04790C44"/>
    <w:rsid w:val="048D86EC"/>
    <w:rsid w:val="04ABFF99"/>
    <w:rsid w:val="04B26E47"/>
    <w:rsid w:val="04CF2C16"/>
    <w:rsid w:val="04D2EF08"/>
    <w:rsid w:val="04DD8B75"/>
    <w:rsid w:val="04DE1178"/>
    <w:rsid w:val="04F7D89C"/>
    <w:rsid w:val="04FF0025"/>
    <w:rsid w:val="05179991"/>
    <w:rsid w:val="0521EC32"/>
    <w:rsid w:val="055BADF6"/>
    <w:rsid w:val="056312A0"/>
    <w:rsid w:val="05687979"/>
    <w:rsid w:val="0590654D"/>
    <w:rsid w:val="05A42600"/>
    <w:rsid w:val="05EEA2C9"/>
    <w:rsid w:val="06030A57"/>
    <w:rsid w:val="06125DFC"/>
    <w:rsid w:val="061B2EA1"/>
    <w:rsid w:val="0620E9F8"/>
    <w:rsid w:val="06233914"/>
    <w:rsid w:val="0662FFA7"/>
    <w:rsid w:val="066E412D"/>
    <w:rsid w:val="06850E08"/>
    <w:rsid w:val="06B6410F"/>
    <w:rsid w:val="06E5AE93"/>
    <w:rsid w:val="06E83D3D"/>
    <w:rsid w:val="06F105C0"/>
    <w:rsid w:val="06F13F07"/>
    <w:rsid w:val="06F5F9F2"/>
    <w:rsid w:val="0723B190"/>
    <w:rsid w:val="0731EBDB"/>
    <w:rsid w:val="073B9168"/>
    <w:rsid w:val="074BAAA1"/>
    <w:rsid w:val="077F0B77"/>
    <w:rsid w:val="0791C737"/>
    <w:rsid w:val="0799A308"/>
    <w:rsid w:val="07C269A9"/>
    <w:rsid w:val="08088054"/>
    <w:rsid w:val="0826E33E"/>
    <w:rsid w:val="0832B484"/>
    <w:rsid w:val="08407E58"/>
    <w:rsid w:val="088096DC"/>
    <w:rsid w:val="08817EF4"/>
    <w:rsid w:val="08A0F262"/>
    <w:rsid w:val="08B236DB"/>
    <w:rsid w:val="08DC6680"/>
    <w:rsid w:val="08F5DAA0"/>
    <w:rsid w:val="0934CB5E"/>
    <w:rsid w:val="094FF83C"/>
    <w:rsid w:val="095EF75D"/>
    <w:rsid w:val="096DF962"/>
    <w:rsid w:val="09B0E6CE"/>
    <w:rsid w:val="09B18A0B"/>
    <w:rsid w:val="09B66713"/>
    <w:rsid w:val="09C572FD"/>
    <w:rsid w:val="09CC09E7"/>
    <w:rsid w:val="09EB10AE"/>
    <w:rsid w:val="09F08FD1"/>
    <w:rsid w:val="09F2E287"/>
    <w:rsid w:val="0A0D3AFA"/>
    <w:rsid w:val="0A118C03"/>
    <w:rsid w:val="0A1D1E74"/>
    <w:rsid w:val="0A33AA1E"/>
    <w:rsid w:val="0A7DCF29"/>
    <w:rsid w:val="0A877410"/>
    <w:rsid w:val="0ACCED10"/>
    <w:rsid w:val="0AE68E51"/>
    <w:rsid w:val="0AEF39FC"/>
    <w:rsid w:val="0AF5C639"/>
    <w:rsid w:val="0B1263C7"/>
    <w:rsid w:val="0B39849A"/>
    <w:rsid w:val="0B47E3CD"/>
    <w:rsid w:val="0B4EF602"/>
    <w:rsid w:val="0B6B9FAE"/>
    <w:rsid w:val="0B7E0A2F"/>
    <w:rsid w:val="0BAFF796"/>
    <w:rsid w:val="0BB22410"/>
    <w:rsid w:val="0BBB3BD3"/>
    <w:rsid w:val="0BCF02A3"/>
    <w:rsid w:val="0BEBB6DE"/>
    <w:rsid w:val="0BFFE62B"/>
    <w:rsid w:val="0C055093"/>
    <w:rsid w:val="0C6D8D3C"/>
    <w:rsid w:val="0C8209E5"/>
    <w:rsid w:val="0CAC20D0"/>
    <w:rsid w:val="0CADDB01"/>
    <w:rsid w:val="0CD774F9"/>
    <w:rsid w:val="0CE57A3B"/>
    <w:rsid w:val="0CF6AEA0"/>
    <w:rsid w:val="0D00E87E"/>
    <w:rsid w:val="0D037D65"/>
    <w:rsid w:val="0D528AEE"/>
    <w:rsid w:val="0D581203"/>
    <w:rsid w:val="0D624227"/>
    <w:rsid w:val="0D79E86C"/>
    <w:rsid w:val="0D9EFEE8"/>
    <w:rsid w:val="0DADBC21"/>
    <w:rsid w:val="0DBF1337"/>
    <w:rsid w:val="0DCD336A"/>
    <w:rsid w:val="0DF4CCDA"/>
    <w:rsid w:val="0DF92A20"/>
    <w:rsid w:val="0E095D9D"/>
    <w:rsid w:val="0E3E5059"/>
    <w:rsid w:val="0E41FDB8"/>
    <w:rsid w:val="0E4524CF"/>
    <w:rsid w:val="0EADCF31"/>
    <w:rsid w:val="0EB984FB"/>
    <w:rsid w:val="0EC45726"/>
    <w:rsid w:val="0EE0E8D1"/>
    <w:rsid w:val="0EFEF4C9"/>
    <w:rsid w:val="0F568353"/>
    <w:rsid w:val="0FB0EC4C"/>
    <w:rsid w:val="0FBB693B"/>
    <w:rsid w:val="0FC165EE"/>
    <w:rsid w:val="0FF4C194"/>
    <w:rsid w:val="10161BE6"/>
    <w:rsid w:val="102F6CCF"/>
    <w:rsid w:val="10504117"/>
    <w:rsid w:val="108672A9"/>
    <w:rsid w:val="10994B2A"/>
    <w:rsid w:val="109D5615"/>
    <w:rsid w:val="10A2AA56"/>
    <w:rsid w:val="10CD6DF8"/>
    <w:rsid w:val="10D49DEB"/>
    <w:rsid w:val="10D8EF82"/>
    <w:rsid w:val="10DC055D"/>
    <w:rsid w:val="10E10E7B"/>
    <w:rsid w:val="10F1E4AB"/>
    <w:rsid w:val="1141B23A"/>
    <w:rsid w:val="117A1C42"/>
    <w:rsid w:val="118536CB"/>
    <w:rsid w:val="11B9DC3B"/>
    <w:rsid w:val="11BDD008"/>
    <w:rsid w:val="11BDEA88"/>
    <w:rsid w:val="11D375BD"/>
    <w:rsid w:val="121831B7"/>
    <w:rsid w:val="1239C260"/>
    <w:rsid w:val="12442279"/>
    <w:rsid w:val="12514EB3"/>
    <w:rsid w:val="12700EF3"/>
    <w:rsid w:val="1272E8FE"/>
    <w:rsid w:val="12795F4D"/>
    <w:rsid w:val="128716C0"/>
    <w:rsid w:val="129B1C6E"/>
    <w:rsid w:val="129E05CA"/>
    <w:rsid w:val="12A48248"/>
    <w:rsid w:val="12EF3A3D"/>
    <w:rsid w:val="13089A2E"/>
    <w:rsid w:val="130C6AB2"/>
    <w:rsid w:val="130FD133"/>
    <w:rsid w:val="132DA34E"/>
    <w:rsid w:val="133961CD"/>
    <w:rsid w:val="133CAD7B"/>
    <w:rsid w:val="134315FB"/>
    <w:rsid w:val="134645C5"/>
    <w:rsid w:val="13507A84"/>
    <w:rsid w:val="13795522"/>
    <w:rsid w:val="137AE11F"/>
    <w:rsid w:val="1381E708"/>
    <w:rsid w:val="13CB2048"/>
    <w:rsid w:val="1411E2A6"/>
    <w:rsid w:val="14155E80"/>
    <w:rsid w:val="14184F03"/>
    <w:rsid w:val="14201ACE"/>
    <w:rsid w:val="14365169"/>
    <w:rsid w:val="144D073A"/>
    <w:rsid w:val="1455E815"/>
    <w:rsid w:val="147BA579"/>
    <w:rsid w:val="1492A12F"/>
    <w:rsid w:val="14C56995"/>
    <w:rsid w:val="14E4C117"/>
    <w:rsid w:val="14F48474"/>
    <w:rsid w:val="151D6343"/>
    <w:rsid w:val="15204BC2"/>
    <w:rsid w:val="152D6917"/>
    <w:rsid w:val="15325087"/>
    <w:rsid w:val="1572B7BF"/>
    <w:rsid w:val="1584B5BA"/>
    <w:rsid w:val="158CAAE7"/>
    <w:rsid w:val="15C36743"/>
    <w:rsid w:val="15CACE6D"/>
    <w:rsid w:val="160E32F1"/>
    <w:rsid w:val="162B1D6D"/>
    <w:rsid w:val="16350B2D"/>
    <w:rsid w:val="16361567"/>
    <w:rsid w:val="163751BA"/>
    <w:rsid w:val="163B4D6F"/>
    <w:rsid w:val="16570120"/>
    <w:rsid w:val="16981C7E"/>
    <w:rsid w:val="16ACCB42"/>
    <w:rsid w:val="16CC73D7"/>
    <w:rsid w:val="16CF5291"/>
    <w:rsid w:val="16F330DA"/>
    <w:rsid w:val="170E3B79"/>
    <w:rsid w:val="172532AA"/>
    <w:rsid w:val="173A104E"/>
    <w:rsid w:val="173B9375"/>
    <w:rsid w:val="1740F0E3"/>
    <w:rsid w:val="174603DA"/>
    <w:rsid w:val="1752F8B8"/>
    <w:rsid w:val="178381F2"/>
    <w:rsid w:val="17922CF2"/>
    <w:rsid w:val="17AD6F17"/>
    <w:rsid w:val="17CA0588"/>
    <w:rsid w:val="17CB55DC"/>
    <w:rsid w:val="182CC1F3"/>
    <w:rsid w:val="184ABBBE"/>
    <w:rsid w:val="18606C59"/>
    <w:rsid w:val="187B2C7B"/>
    <w:rsid w:val="1882601B"/>
    <w:rsid w:val="188EA26B"/>
    <w:rsid w:val="18A7D9D6"/>
    <w:rsid w:val="18C4CF8B"/>
    <w:rsid w:val="18E149D6"/>
    <w:rsid w:val="18E5DC3C"/>
    <w:rsid w:val="18ECD87D"/>
    <w:rsid w:val="19055022"/>
    <w:rsid w:val="1918E30C"/>
    <w:rsid w:val="191BCFD7"/>
    <w:rsid w:val="1922275C"/>
    <w:rsid w:val="19427191"/>
    <w:rsid w:val="194993E9"/>
    <w:rsid w:val="197BD899"/>
    <w:rsid w:val="199A5A0E"/>
    <w:rsid w:val="199FCEC3"/>
    <w:rsid w:val="19A1C011"/>
    <w:rsid w:val="19EA20E4"/>
    <w:rsid w:val="19EA2B37"/>
    <w:rsid w:val="1A1E307C"/>
    <w:rsid w:val="1A1E350F"/>
    <w:rsid w:val="1A3371F4"/>
    <w:rsid w:val="1A3932DC"/>
    <w:rsid w:val="1A60DE65"/>
    <w:rsid w:val="1ACE781C"/>
    <w:rsid w:val="1B250D12"/>
    <w:rsid w:val="1B329A14"/>
    <w:rsid w:val="1B3D5686"/>
    <w:rsid w:val="1B6DF021"/>
    <w:rsid w:val="1B765241"/>
    <w:rsid w:val="1B83BAC5"/>
    <w:rsid w:val="1BD3EF27"/>
    <w:rsid w:val="1BF44B5F"/>
    <w:rsid w:val="1C21E5EB"/>
    <w:rsid w:val="1C99815A"/>
    <w:rsid w:val="1CA7072E"/>
    <w:rsid w:val="1CC1DED1"/>
    <w:rsid w:val="1CC25383"/>
    <w:rsid w:val="1CFB848F"/>
    <w:rsid w:val="1D170C48"/>
    <w:rsid w:val="1D243A6A"/>
    <w:rsid w:val="1D2AEE25"/>
    <w:rsid w:val="1D2F6CC3"/>
    <w:rsid w:val="1D514E20"/>
    <w:rsid w:val="1D530AEC"/>
    <w:rsid w:val="1D551965"/>
    <w:rsid w:val="1D55D13E"/>
    <w:rsid w:val="1D7D7DEB"/>
    <w:rsid w:val="1D80E15B"/>
    <w:rsid w:val="1D9D3021"/>
    <w:rsid w:val="1D9E8367"/>
    <w:rsid w:val="1DA29D51"/>
    <w:rsid w:val="1DACD6F2"/>
    <w:rsid w:val="1DE6D1F6"/>
    <w:rsid w:val="1DEF2275"/>
    <w:rsid w:val="1E755BCF"/>
    <w:rsid w:val="1E7D4B74"/>
    <w:rsid w:val="1E7EC18C"/>
    <w:rsid w:val="1F193FD4"/>
    <w:rsid w:val="1F39B532"/>
    <w:rsid w:val="1F662A0C"/>
    <w:rsid w:val="1FB4AA0F"/>
    <w:rsid w:val="1FB54AA4"/>
    <w:rsid w:val="1FBB55A2"/>
    <w:rsid w:val="1FC51F22"/>
    <w:rsid w:val="1FF33507"/>
    <w:rsid w:val="2027CAD0"/>
    <w:rsid w:val="20566078"/>
    <w:rsid w:val="205B72E5"/>
    <w:rsid w:val="207C5516"/>
    <w:rsid w:val="20858A85"/>
    <w:rsid w:val="209777D4"/>
    <w:rsid w:val="209F0F1E"/>
    <w:rsid w:val="20A30AD0"/>
    <w:rsid w:val="20AD5207"/>
    <w:rsid w:val="20AE0BF7"/>
    <w:rsid w:val="20EC0DD7"/>
    <w:rsid w:val="210767CF"/>
    <w:rsid w:val="214EBE36"/>
    <w:rsid w:val="21676BB8"/>
    <w:rsid w:val="216884F7"/>
    <w:rsid w:val="216BAA22"/>
    <w:rsid w:val="219F37F5"/>
    <w:rsid w:val="21BCD1AC"/>
    <w:rsid w:val="21EAD46D"/>
    <w:rsid w:val="21FF2E78"/>
    <w:rsid w:val="2204951B"/>
    <w:rsid w:val="221957ED"/>
    <w:rsid w:val="22279EA5"/>
    <w:rsid w:val="223409A0"/>
    <w:rsid w:val="2246B65D"/>
    <w:rsid w:val="2250CA1E"/>
    <w:rsid w:val="226643E6"/>
    <w:rsid w:val="22728C4E"/>
    <w:rsid w:val="2277DB9D"/>
    <w:rsid w:val="22A4A2D0"/>
    <w:rsid w:val="22C68A50"/>
    <w:rsid w:val="22CCA1B1"/>
    <w:rsid w:val="2303CEF2"/>
    <w:rsid w:val="230BF469"/>
    <w:rsid w:val="2331F906"/>
    <w:rsid w:val="2339444D"/>
    <w:rsid w:val="234B325F"/>
    <w:rsid w:val="2350D525"/>
    <w:rsid w:val="237EE275"/>
    <w:rsid w:val="238CF029"/>
    <w:rsid w:val="238E3B52"/>
    <w:rsid w:val="23B584BF"/>
    <w:rsid w:val="23C6A539"/>
    <w:rsid w:val="23CE91EE"/>
    <w:rsid w:val="23F04602"/>
    <w:rsid w:val="24058144"/>
    <w:rsid w:val="241D4F84"/>
    <w:rsid w:val="244E7B44"/>
    <w:rsid w:val="2472CD88"/>
    <w:rsid w:val="248EA06E"/>
    <w:rsid w:val="24913F88"/>
    <w:rsid w:val="24A4ED95"/>
    <w:rsid w:val="24B15004"/>
    <w:rsid w:val="24B2CE3C"/>
    <w:rsid w:val="24B42E1B"/>
    <w:rsid w:val="24BBECD2"/>
    <w:rsid w:val="24BE35A9"/>
    <w:rsid w:val="24C2B564"/>
    <w:rsid w:val="25092529"/>
    <w:rsid w:val="250BF3AB"/>
    <w:rsid w:val="2510E0B2"/>
    <w:rsid w:val="25124FD9"/>
    <w:rsid w:val="252CDF37"/>
    <w:rsid w:val="2582D74E"/>
    <w:rsid w:val="2583CCE9"/>
    <w:rsid w:val="2586DB33"/>
    <w:rsid w:val="25A4A07D"/>
    <w:rsid w:val="25B16390"/>
    <w:rsid w:val="25C2A20E"/>
    <w:rsid w:val="25D3C3D0"/>
    <w:rsid w:val="25F433CA"/>
    <w:rsid w:val="260397A3"/>
    <w:rsid w:val="2610F09D"/>
    <w:rsid w:val="261A409E"/>
    <w:rsid w:val="2633BAB1"/>
    <w:rsid w:val="2646A8C0"/>
    <w:rsid w:val="264B9C07"/>
    <w:rsid w:val="267BA49A"/>
    <w:rsid w:val="26A15DDB"/>
    <w:rsid w:val="26B5978F"/>
    <w:rsid w:val="26BCFC1B"/>
    <w:rsid w:val="26EC313C"/>
    <w:rsid w:val="27179B83"/>
    <w:rsid w:val="271A6AA4"/>
    <w:rsid w:val="277A7B39"/>
    <w:rsid w:val="2799F6C0"/>
    <w:rsid w:val="27A27253"/>
    <w:rsid w:val="27A6DD4C"/>
    <w:rsid w:val="27F5448E"/>
    <w:rsid w:val="283C2994"/>
    <w:rsid w:val="286E2251"/>
    <w:rsid w:val="2872CAD0"/>
    <w:rsid w:val="2879E34A"/>
    <w:rsid w:val="28A157B0"/>
    <w:rsid w:val="28D5D4B5"/>
    <w:rsid w:val="28DD8B34"/>
    <w:rsid w:val="28E3A8C6"/>
    <w:rsid w:val="28E6EFAD"/>
    <w:rsid w:val="292D8A8D"/>
    <w:rsid w:val="293249E3"/>
    <w:rsid w:val="29350890"/>
    <w:rsid w:val="295B689B"/>
    <w:rsid w:val="29615452"/>
    <w:rsid w:val="2982C1E1"/>
    <w:rsid w:val="2999DAFB"/>
    <w:rsid w:val="29CF64DE"/>
    <w:rsid w:val="29D183B8"/>
    <w:rsid w:val="29D56A38"/>
    <w:rsid w:val="29E03A8B"/>
    <w:rsid w:val="29E250CC"/>
    <w:rsid w:val="29FD7CD6"/>
    <w:rsid w:val="2A1AAAD3"/>
    <w:rsid w:val="2A2797D7"/>
    <w:rsid w:val="2A450CF5"/>
    <w:rsid w:val="2A46D106"/>
    <w:rsid w:val="2A6CE7AA"/>
    <w:rsid w:val="2A8232E9"/>
    <w:rsid w:val="2A8C9662"/>
    <w:rsid w:val="2AB1AC0F"/>
    <w:rsid w:val="2AC705C2"/>
    <w:rsid w:val="2ACDDD5F"/>
    <w:rsid w:val="2B3D24A7"/>
    <w:rsid w:val="2B4D49AE"/>
    <w:rsid w:val="2B6B6A71"/>
    <w:rsid w:val="2B99D232"/>
    <w:rsid w:val="2BB6BFFA"/>
    <w:rsid w:val="2BC099FB"/>
    <w:rsid w:val="2BC43B96"/>
    <w:rsid w:val="2BC70F63"/>
    <w:rsid w:val="2BE51D36"/>
    <w:rsid w:val="2BE96DB2"/>
    <w:rsid w:val="2C06CF51"/>
    <w:rsid w:val="2C392D9C"/>
    <w:rsid w:val="2C3C887C"/>
    <w:rsid w:val="2C44161F"/>
    <w:rsid w:val="2C45C97D"/>
    <w:rsid w:val="2C47154C"/>
    <w:rsid w:val="2C5F5EF7"/>
    <w:rsid w:val="2CCEB994"/>
    <w:rsid w:val="2CF50EF5"/>
    <w:rsid w:val="2D096FF3"/>
    <w:rsid w:val="2D0A5A89"/>
    <w:rsid w:val="2D29AF3E"/>
    <w:rsid w:val="2D3A53DF"/>
    <w:rsid w:val="2D45C65D"/>
    <w:rsid w:val="2D46DA3C"/>
    <w:rsid w:val="2DABD4B1"/>
    <w:rsid w:val="2DEB0EE3"/>
    <w:rsid w:val="2E0A197C"/>
    <w:rsid w:val="2E360F3E"/>
    <w:rsid w:val="2E62E2BD"/>
    <w:rsid w:val="2E8E059D"/>
    <w:rsid w:val="2E9A76F3"/>
    <w:rsid w:val="2EA10762"/>
    <w:rsid w:val="2EA5BC18"/>
    <w:rsid w:val="2F01C650"/>
    <w:rsid w:val="2F215ABB"/>
    <w:rsid w:val="2F7C2AD7"/>
    <w:rsid w:val="2F8487AA"/>
    <w:rsid w:val="2F9D75DF"/>
    <w:rsid w:val="2FBACC89"/>
    <w:rsid w:val="2FC1CE52"/>
    <w:rsid w:val="2FD136A5"/>
    <w:rsid w:val="2FF19235"/>
    <w:rsid w:val="30324189"/>
    <w:rsid w:val="305395FD"/>
    <w:rsid w:val="30565828"/>
    <w:rsid w:val="30672963"/>
    <w:rsid w:val="3079CD1B"/>
    <w:rsid w:val="30A7ABC5"/>
    <w:rsid w:val="30B907B7"/>
    <w:rsid w:val="30CBFE73"/>
    <w:rsid w:val="30E1A659"/>
    <w:rsid w:val="30E39C33"/>
    <w:rsid w:val="30FE2CC5"/>
    <w:rsid w:val="310662C2"/>
    <w:rsid w:val="310A0136"/>
    <w:rsid w:val="3134D7C5"/>
    <w:rsid w:val="3154FBC4"/>
    <w:rsid w:val="31628C1B"/>
    <w:rsid w:val="317C5CDC"/>
    <w:rsid w:val="31E339B0"/>
    <w:rsid w:val="31F22889"/>
    <w:rsid w:val="31F5D913"/>
    <w:rsid w:val="31FDD459"/>
    <w:rsid w:val="3214F70D"/>
    <w:rsid w:val="3225C039"/>
    <w:rsid w:val="322F20DB"/>
    <w:rsid w:val="322FAE45"/>
    <w:rsid w:val="327827BD"/>
    <w:rsid w:val="32A08A3F"/>
    <w:rsid w:val="32A20F32"/>
    <w:rsid w:val="32A6AC3A"/>
    <w:rsid w:val="32B17577"/>
    <w:rsid w:val="32C6498D"/>
    <w:rsid w:val="32EB3327"/>
    <w:rsid w:val="330E8867"/>
    <w:rsid w:val="33219213"/>
    <w:rsid w:val="332D010A"/>
    <w:rsid w:val="33504F2D"/>
    <w:rsid w:val="337BE2AA"/>
    <w:rsid w:val="338B36BF"/>
    <w:rsid w:val="33BC0556"/>
    <w:rsid w:val="340F9EAA"/>
    <w:rsid w:val="34140C45"/>
    <w:rsid w:val="342D4F5E"/>
    <w:rsid w:val="343FE764"/>
    <w:rsid w:val="34483F54"/>
    <w:rsid w:val="344E2305"/>
    <w:rsid w:val="34544936"/>
    <w:rsid w:val="3457FDCF"/>
    <w:rsid w:val="348B0862"/>
    <w:rsid w:val="34961D3C"/>
    <w:rsid w:val="34BFF935"/>
    <w:rsid w:val="34E19740"/>
    <w:rsid w:val="34F99921"/>
    <w:rsid w:val="3528691D"/>
    <w:rsid w:val="355E4A7A"/>
    <w:rsid w:val="357C32BB"/>
    <w:rsid w:val="359F5124"/>
    <w:rsid w:val="35BE47A9"/>
    <w:rsid w:val="35CC5256"/>
    <w:rsid w:val="35D11F88"/>
    <w:rsid w:val="35F6984F"/>
    <w:rsid w:val="35FCDA0D"/>
    <w:rsid w:val="36388258"/>
    <w:rsid w:val="3639330C"/>
    <w:rsid w:val="363A51EF"/>
    <w:rsid w:val="36458D26"/>
    <w:rsid w:val="365F9A7C"/>
    <w:rsid w:val="3663D1AF"/>
    <w:rsid w:val="36652589"/>
    <w:rsid w:val="36971DB6"/>
    <w:rsid w:val="36A7C425"/>
    <w:rsid w:val="36AECD64"/>
    <w:rsid w:val="36C2D781"/>
    <w:rsid w:val="36C7DD92"/>
    <w:rsid w:val="36E7DC08"/>
    <w:rsid w:val="36EC6754"/>
    <w:rsid w:val="3746C9FE"/>
    <w:rsid w:val="3748645F"/>
    <w:rsid w:val="37ADB1B1"/>
    <w:rsid w:val="37C707C5"/>
    <w:rsid w:val="37D705A0"/>
    <w:rsid w:val="37DD627E"/>
    <w:rsid w:val="37F59950"/>
    <w:rsid w:val="37FB5369"/>
    <w:rsid w:val="38072113"/>
    <w:rsid w:val="380EA558"/>
    <w:rsid w:val="38105937"/>
    <w:rsid w:val="387CDAAF"/>
    <w:rsid w:val="38B1BB7F"/>
    <w:rsid w:val="38C5D8D2"/>
    <w:rsid w:val="38D45B1C"/>
    <w:rsid w:val="38D62D4B"/>
    <w:rsid w:val="38E6E46A"/>
    <w:rsid w:val="38FC4D9D"/>
    <w:rsid w:val="390FFB0F"/>
    <w:rsid w:val="3919BF71"/>
    <w:rsid w:val="39262933"/>
    <w:rsid w:val="3933CA31"/>
    <w:rsid w:val="393B4F95"/>
    <w:rsid w:val="394AEB41"/>
    <w:rsid w:val="39734020"/>
    <w:rsid w:val="397FD387"/>
    <w:rsid w:val="3989F159"/>
    <w:rsid w:val="398C2F52"/>
    <w:rsid w:val="39AC5868"/>
    <w:rsid w:val="39B1FF34"/>
    <w:rsid w:val="39C75F5A"/>
    <w:rsid w:val="39C7AE52"/>
    <w:rsid w:val="39CBE7FE"/>
    <w:rsid w:val="3A18524C"/>
    <w:rsid w:val="3A409782"/>
    <w:rsid w:val="3A4613ED"/>
    <w:rsid w:val="3A5E4D87"/>
    <w:rsid w:val="3A9380FD"/>
    <w:rsid w:val="3A9B4A01"/>
    <w:rsid w:val="3A9E6C92"/>
    <w:rsid w:val="3AC2EEEE"/>
    <w:rsid w:val="3AD9EE34"/>
    <w:rsid w:val="3AE227AB"/>
    <w:rsid w:val="3B45ADEA"/>
    <w:rsid w:val="3B78E4C5"/>
    <w:rsid w:val="3B80B1C3"/>
    <w:rsid w:val="3B81A58D"/>
    <w:rsid w:val="3B9648A4"/>
    <w:rsid w:val="3BA805AA"/>
    <w:rsid w:val="3BB1853D"/>
    <w:rsid w:val="3BF239BC"/>
    <w:rsid w:val="3C1F1DB6"/>
    <w:rsid w:val="3C2CCD2C"/>
    <w:rsid w:val="3C4391CE"/>
    <w:rsid w:val="3C4F1F76"/>
    <w:rsid w:val="3C5101E3"/>
    <w:rsid w:val="3C6E46B9"/>
    <w:rsid w:val="3C9F17D8"/>
    <w:rsid w:val="3CA3E445"/>
    <w:rsid w:val="3CA9BA81"/>
    <w:rsid w:val="3CACAA70"/>
    <w:rsid w:val="3CC0E307"/>
    <w:rsid w:val="3CF3524E"/>
    <w:rsid w:val="3D2E5FC2"/>
    <w:rsid w:val="3D67ADDA"/>
    <w:rsid w:val="3D8D5830"/>
    <w:rsid w:val="3D92FA1D"/>
    <w:rsid w:val="3DBC0D74"/>
    <w:rsid w:val="3DBD5C4E"/>
    <w:rsid w:val="3DC5A70B"/>
    <w:rsid w:val="3DEF2222"/>
    <w:rsid w:val="3E2B5602"/>
    <w:rsid w:val="3E57B0CB"/>
    <w:rsid w:val="3E5AF50B"/>
    <w:rsid w:val="3E5DF579"/>
    <w:rsid w:val="3E62CCA6"/>
    <w:rsid w:val="3E66CA0C"/>
    <w:rsid w:val="3E6AC31B"/>
    <w:rsid w:val="3E708593"/>
    <w:rsid w:val="3E778053"/>
    <w:rsid w:val="3E8B2F32"/>
    <w:rsid w:val="3E9CE914"/>
    <w:rsid w:val="3EA58FD8"/>
    <w:rsid w:val="3EDFD13E"/>
    <w:rsid w:val="3EE64572"/>
    <w:rsid w:val="3EF4D4B9"/>
    <w:rsid w:val="3EF58DA1"/>
    <w:rsid w:val="3F0DE64F"/>
    <w:rsid w:val="3F22FEE0"/>
    <w:rsid w:val="3F749D4A"/>
    <w:rsid w:val="3FD6F9D7"/>
    <w:rsid w:val="3FF790DC"/>
    <w:rsid w:val="3FF9072E"/>
    <w:rsid w:val="400F5EC9"/>
    <w:rsid w:val="400FF370"/>
    <w:rsid w:val="404352E5"/>
    <w:rsid w:val="4058FA61"/>
    <w:rsid w:val="4060503D"/>
    <w:rsid w:val="4085930A"/>
    <w:rsid w:val="408849D4"/>
    <w:rsid w:val="40BA3578"/>
    <w:rsid w:val="40C18BCF"/>
    <w:rsid w:val="40C1C4DD"/>
    <w:rsid w:val="40DD0F82"/>
    <w:rsid w:val="40E2DA2E"/>
    <w:rsid w:val="40F6BA53"/>
    <w:rsid w:val="40FDAAD4"/>
    <w:rsid w:val="4108B365"/>
    <w:rsid w:val="412175FE"/>
    <w:rsid w:val="413BD8B4"/>
    <w:rsid w:val="414FAB35"/>
    <w:rsid w:val="41626DA8"/>
    <w:rsid w:val="417F2437"/>
    <w:rsid w:val="41865757"/>
    <w:rsid w:val="4188DBB1"/>
    <w:rsid w:val="41AF76DD"/>
    <w:rsid w:val="41B53E55"/>
    <w:rsid w:val="41D63280"/>
    <w:rsid w:val="41DB0860"/>
    <w:rsid w:val="41DD6231"/>
    <w:rsid w:val="41E12226"/>
    <w:rsid w:val="420E2CE7"/>
    <w:rsid w:val="421039D9"/>
    <w:rsid w:val="421D9614"/>
    <w:rsid w:val="423828BF"/>
    <w:rsid w:val="42402553"/>
    <w:rsid w:val="4246675B"/>
    <w:rsid w:val="424EF92D"/>
    <w:rsid w:val="42504B32"/>
    <w:rsid w:val="426D3A33"/>
    <w:rsid w:val="428604DA"/>
    <w:rsid w:val="42C531EA"/>
    <w:rsid w:val="42EEECC1"/>
    <w:rsid w:val="43048BD9"/>
    <w:rsid w:val="430C1B99"/>
    <w:rsid w:val="432B5963"/>
    <w:rsid w:val="4331E14E"/>
    <w:rsid w:val="433F56C1"/>
    <w:rsid w:val="4352E160"/>
    <w:rsid w:val="437850CB"/>
    <w:rsid w:val="437A2F18"/>
    <w:rsid w:val="4386C8D5"/>
    <w:rsid w:val="43A74B70"/>
    <w:rsid w:val="43A9F471"/>
    <w:rsid w:val="43AC688D"/>
    <w:rsid w:val="43D4AA28"/>
    <w:rsid w:val="43E93D8B"/>
    <w:rsid w:val="43F4E78C"/>
    <w:rsid w:val="43FB6E9C"/>
    <w:rsid w:val="44256615"/>
    <w:rsid w:val="442D07E2"/>
    <w:rsid w:val="443F1E14"/>
    <w:rsid w:val="444B51E3"/>
    <w:rsid w:val="4458386E"/>
    <w:rsid w:val="4459BE42"/>
    <w:rsid w:val="4476D6DB"/>
    <w:rsid w:val="44C2BE45"/>
    <w:rsid w:val="44C7703C"/>
    <w:rsid w:val="44CE8E77"/>
    <w:rsid w:val="44EBFC9F"/>
    <w:rsid w:val="45020F52"/>
    <w:rsid w:val="4508CC19"/>
    <w:rsid w:val="452CC2AC"/>
    <w:rsid w:val="4537618A"/>
    <w:rsid w:val="453AC175"/>
    <w:rsid w:val="453C019D"/>
    <w:rsid w:val="4546F868"/>
    <w:rsid w:val="457C67A1"/>
    <w:rsid w:val="45800FC0"/>
    <w:rsid w:val="45855DAB"/>
    <w:rsid w:val="459E307C"/>
    <w:rsid w:val="45B30A81"/>
    <w:rsid w:val="45BAA799"/>
    <w:rsid w:val="45DAC72A"/>
    <w:rsid w:val="45E00188"/>
    <w:rsid w:val="461AB823"/>
    <w:rsid w:val="461CB800"/>
    <w:rsid w:val="461FE926"/>
    <w:rsid w:val="4631A968"/>
    <w:rsid w:val="46A218E7"/>
    <w:rsid w:val="46B2EA81"/>
    <w:rsid w:val="46E82E91"/>
    <w:rsid w:val="46FC36CC"/>
    <w:rsid w:val="46FFE619"/>
    <w:rsid w:val="470242B5"/>
    <w:rsid w:val="4705C338"/>
    <w:rsid w:val="472661BD"/>
    <w:rsid w:val="479C4E4A"/>
    <w:rsid w:val="47A5E4FE"/>
    <w:rsid w:val="47B0EDBE"/>
    <w:rsid w:val="47E28F6F"/>
    <w:rsid w:val="47E462E8"/>
    <w:rsid w:val="482481C3"/>
    <w:rsid w:val="483194F0"/>
    <w:rsid w:val="483C6FE0"/>
    <w:rsid w:val="483CBAA2"/>
    <w:rsid w:val="48458743"/>
    <w:rsid w:val="487749FB"/>
    <w:rsid w:val="488AB252"/>
    <w:rsid w:val="488AE7D0"/>
    <w:rsid w:val="488AFEFE"/>
    <w:rsid w:val="48D847C3"/>
    <w:rsid w:val="48DC0EFC"/>
    <w:rsid w:val="48ECB289"/>
    <w:rsid w:val="48F873C7"/>
    <w:rsid w:val="493210E2"/>
    <w:rsid w:val="4989FAE6"/>
    <w:rsid w:val="49A75395"/>
    <w:rsid w:val="49C36E62"/>
    <w:rsid w:val="49F3DDB0"/>
    <w:rsid w:val="49FAF171"/>
    <w:rsid w:val="4A009287"/>
    <w:rsid w:val="4A050B24"/>
    <w:rsid w:val="4A2279BF"/>
    <w:rsid w:val="4A7E01B2"/>
    <w:rsid w:val="4A8B4A50"/>
    <w:rsid w:val="4AAB2B0A"/>
    <w:rsid w:val="4AAF96DF"/>
    <w:rsid w:val="4AC27371"/>
    <w:rsid w:val="4ACDE143"/>
    <w:rsid w:val="4ACEF0EC"/>
    <w:rsid w:val="4AE3F10D"/>
    <w:rsid w:val="4AE7F811"/>
    <w:rsid w:val="4AEA7E33"/>
    <w:rsid w:val="4AEB36A3"/>
    <w:rsid w:val="4AEE5544"/>
    <w:rsid w:val="4AF74828"/>
    <w:rsid w:val="4AFF1B40"/>
    <w:rsid w:val="4AFF927C"/>
    <w:rsid w:val="4B3809FD"/>
    <w:rsid w:val="4B47C35A"/>
    <w:rsid w:val="4B84EB57"/>
    <w:rsid w:val="4B99C57E"/>
    <w:rsid w:val="4BA14151"/>
    <w:rsid w:val="4BAD4B19"/>
    <w:rsid w:val="4BE21CA7"/>
    <w:rsid w:val="4BE78328"/>
    <w:rsid w:val="4BF3174C"/>
    <w:rsid w:val="4BFC0E3E"/>
    <w:rsid w:val="4C077D82"/>
    <w:rsid w:val="4C0DCC7C"/>
    <w:rsid w:val="4C41F4D7"/>
    <w:rsid w:val="4C693CBE"/>
    <w:rsid w:val="4CB8F7AF"/>
    <w:rsid w:val="4CDEF457"/>
    <w:rsid w:val="4CFFAFCF"/>
    <w:rsid w:val="4D29D9A4"/>
    <w:rsid w:val="4D7E4535"/>
    <w:rsid w:val="4D7EABBF"/>
    <w:rsid w:val="4D86359E"/>
    <w:rsid w:val="4DB82D2C"/>
    <w:rsid w:val="4DDA9372"/>
    <w:rsid w:val="4DE3CEFA"/>
    <w:rsid w:val="4DEE0B97"/>
    <w:rsid w:val="4E013E71"/>
    <w:rsid w:val="4E17937D"/>
    <w:rsid w:val="4E3758F2"/>
    <w:rsid w:val="4E4F7080"/>
    <w:rsid w:val="4E62D3BC"/>
    <w:rsid w:val="4E760375"/>
    <w:rsid w:val="4E7AC4B8"/>
    <w:rsid w:val="4E914D89"/>
    <w:rsid w:val="4E9F307C"/>
    <w:rsid w:val="4EB609BD"/>
    <w:rsid w:val="4EB9F365"/>
    <w:rsid w:val="4EC6BC7F"/>
    <w:rsid w:val="4F071614"/>
    <w:rsid w:val="4F0EEB32"/>
    <w:rsid w:val="4F1EB354"/>
    <w:rsid w:val="4F36006B"/>
    <w:rsid w:val="4F4A0CEF"/>
    <w:rsid w:val="4F5C647B"/>
    <w:rsid w:val="4F6CFF71"/>
    <w:rsid w:val="4F753BA1"/>
    <w:rsid w:val="4F8ED664"/>
    <w:rsid w:val="4F9A3296"/>
    <w:rsid w:val="4FA4034D"/>
    <w:rsid w:val="4FD5117C"/>
    <w:rsid w:val="4FF085FB"/>
    <w:rsid w:val="5008BF28"/>
    <w:rsid w:val="500AD88A"/>
    <w:rsid w:val="50169519"/>
    <w:rsid w:val="50318191"/>
    <w:rsid w:val="5033E0ED"/>
    <w:rsid w:val="503DD1F7"/>
    <w:rsid w:val="5040A401"/>
    <w:rsid w:val="50599470"/>
    <w:rsid w:val="5078AD88"/>
    <w:rsid w:val="5090D728"/>
    <w:rsid w:val="5092ED49"/>
    <w:rsid w:val="50B33EA2"/>
    <w:rsid w:val="50BF4637"/>
    <w:rsid w:val="50D958B0"/>
    <w:rsid w:val="50E3CC22"/>
    <w:rsid w:val="50F76419"/>
    <w:rsid w:val="51422100"/>
    <w:rsid w:val="51689E0A"/>
    <w:rsid w:val="51F7329B"/>
    <w:rsid w:val="520CF605"/>
    <w:rsid w:val="52178F09"/>
    <w:rsid w:val="521934D4"/>
    <w:rsid w:val="521AEBEA"/>
    <w:rsid w:val="522DE1C7"/>
    <w:rsid w:val="523CCB66"/>
    <w:rsid w:val="52838D3D"/>
    <w:rsid w:val="52BA51D6"/>
    <w:rsid w:val="52C39C96"/>
    <w:rsid w:val="52CF6724"/>
    <w:rsid w:val="52EE6DD9"/>
    <w:rsid w:val="5303E5CE"/>
    <w:rsid w:val="5305A90F"/>
    <w:rsid w:val="531A4791"/>
    <w:rsid w:val="53523A21"/>
    <w:rsid w:val="5355DF9B"/>
    <w:rsid w:val="53757AF0"/>
    <w:rsid w:val="537DD855"/>
    <w:rsid w:val="53D28FA8"/>
    <w:rsid w:val="540DD61E"/>
    <w:rsid w:val="540FEFE9"/>
    <w:rsid w:val="544F5C7A"/>
    <w:rsid w:val="5452A41D"/>
    <w:rsid w:val="54589CA1"/>
    <w:rsid w:val="5499229A"/>
    <w:rsid w:val="54BB2C3B"/>
    <w:rsid w:val="54F1731E"/>
    <w:rsid w:val="550DB159"/>
    <w:rsid w:val="55155DC4"/>
    <w:rsid w:val="5521A3FE"/>
    <w:rsid w:val="55269FE6"/>
    <w:rsid w:val="5528D042"/>
    <w:rsid w:val="5539F1DD"/>
    <w:rsid w:val="554B1A0F"/>
    <w:rsid w:val="5553A562"/>
    <w:rsid w:val="5553D7E4"/>
    <w:rsid w:val="558B2C41"/>
    <w:rsid w:val="55B3B9D5"/>
    <w:rsid w:val="55C47DD0"/>
    <w:rsid w:val="55C53AC7"/>
    <w:rsid w:val="55C61D4F"/>
    <w:rsid w:val="55C8B1E1"/>
    <w:rsid w:val="55CAA635"/>
    <w:rsid w:val="55EB4592"/>
    <w:rsid w:val="55F6D229"/>
    <w:rsid w:val="560534F7"/>
    <w:rsid w:val="5610E5E9"/>
    <w:rsid w:val="5626AACF"/>
    <w:rsid w:val="564037D3"/>
    <w:rsid w:val="564FF202"/>
    <w:rsid w:val="5690C348"/>
    <w:rsid w:val="56C51FAB"/>
    <w:rsid w:val="56CDDABD"/>
    <w:rsid w:val="56E1A04C"/>
    <w:rsid w:val="56EFF756"/>
    <w:rsid w:val="572D1DF5"/>
    <w:rsid w:val="57408B58"/>
    <w:rsid w:val="576CFEDA"/>
    <w:rsid w:val="5783C83C"/>
    <w:rsid w:val="5797833E"/>
    <w:rsid w:val="57C23D84"/>
    <w:rsid w:val="57C9B9AB"/>
    <w:rsid w:val="57E9BFC1"/>
    <w:rsid w:val="580E0C2C"/>
    <w:rsid w:val="581B38FC"/>
    <w:rsid w:val="58211705"/>
    <w:rsid w:val="583D81A5"/>
    <w:rsid w:val="584A1976"/>
    <w:rsid w:val="585E94D3"/>
    <w:rsid w:val="586062BC"/>
    <w:rsid w:val="5886E5A2"/>
    <w:rsid w:val="58A2DA9B"/>
    <w:rsid w:val="58B67CB7"/>
    <w:rsid w:val="58B8A08F"/>
    <w:rsid w:val="58C5B725"/>
    <w:rsid w:val="58CDDE77"/>
    <w:rsid w:val="58E44EE5"/>
    <w:rsid w:val="58F8AB1D"/>
    <w:rsid w:val="58FA1153"/>
    <w:rsid w:val="590B30E0"/>
    <w:rsid w:val="59106BDC"/>
    <w:rsid w:val="5933AE88"/>
    <w:rsid w:val="5947F584"/>
    <w:rsid w:val="5953E330"/>
    <w:rsid w:val="5985C5C2"/>
    <w:rsid w:val="59871B2E"/>
    <w:rsid w:val="5992F987"/>
    <w:rsid w:val="599EDF8A"/>
    <w:rsid w:val="599EF0EE"/>
    <w:rsid w:val="59A00986"/>
    <w:rsid w:val="59AEAB48"/>
    <w:rsid w:val="59F86536"/>
    <w:rsid w:val="5A26D5BC"/>
    <w:rsid w:val="5A2A95E0"/>
    <w:rsid w:val="5A604AE9"/>
    <w:rsid w:val="5A6AE8B9"/>
    <w:rsid w:val="5A78043F"/>
    <w:rsid w:val="5A79D9B1"/>
    <w:rsid w:val="5A86B57B"/>
    <w:rsid w:val="5A958A76"/>
    <w:rsid w:val="5A9D4414"/>
    <w:rsid w:val="5AA6D3C4"/>
    <w:rsid w:val="5AAB11F8"/>
    <w:rsid w:val="5AD23678"/>
    <w:rsid w:val="5AFE8876"/>
    <w:rsid w:val="5B44B54A"/>
    <w:rsid w:val="5B5816DF"/>
    <w:rsid w:val="5B61DE81"/>
    <w:rsid w:val="5B72C467"/>
    <w:rsid w:val="5B8814AD"/>
    <w:rsid w:val="5B8C0006"/>
    <w:rsid w:val="5B9152BF"/>
    <w:rsid w:val="5B976C06"/>
    <w:rsid w:val="5BD1201B"/>
    <w:rsid w:val="5C03126A"/>
    <w:rsid w:val="5C0D662B"/>
    <w:rsid w:val="5C102849"/>
    <w:rsid w:val="5C331109"/>
    <w:rsid w:val="5C33DE7C"/>
    <w:rsid w:val="5C7E978F"/>
    <w:rsid w:val="5CB4103B"/>
    <w:rsid w:val="5CC1B00A"/>
    <w:rsid w:val="5D1019B5"/>
    <w:rsid w:val="5D10B3B8"/>
    <w:rsid w:val="5D24A7E9"/>
    <w:rsid w:val="5D27C61E"/>
    <w:rsid w:val="5D5EBB00"/>
    <w:rsid w:val="5D8F954B"/>
    <w:rsid w:val="5D9F81DD"/>
    <w:rsid w:val="5DA6FD87"/>
    <w:rsid w:val="5DD78599"/>
    <w:rsid w:val="5DDAD4E4"/>
    <w:rsid w:val="5DFC464E"/>
    <w:rsid w:val="5E4F0705"/>
    <w:rsid w:val="5E599A97"/>
    <w:rsid w:val="5E608DE4"/>
    <w:rsid w:val="5E6FF4CA"/>
    <w:rsid w:val="5E74FF35"/>
    <w:rsid w:val="5E8E2509"/>
    <w:rsid w:val="5E931530"/>
    <w:rsid w:val="5E950BF9"/>
    <w:rsid w:val="5EB875CB"/>
    <w:rsid w:val="5EC1AC8B"/>
    <w:rsid w:val="5EDB9FE8"/>
    <w:rsid w:val="5EE69916"/>
    <w:rsid w:val="5EE6ABD4"/>
    <w:rsid w:val="5F172A31"/>
    <w:rsid w:val="5F174623"/>
    <w:rsid w:val="5F33965B"/>
    <w:rsid w:val="5F98C566"/>
    <w:rsid w:val="5FAF83ED"/>
    <w:rsid w:val="5FB773A5"/>
    <w:rsid w:val="5FC35FE6"/>
    <w:rsid w:val="5FD54D2D"/>
    <w:rsid w:val="5FDF1BED"/>
    <w:rsid w:val="5FF4D4C9"/>
    <w:rsid w:val="60125613"/>
    <w:rsid w:val="6047C2F2"/>
    <w:rsid w:val="608AE38F"/>
    <w:rsid w:val="60C3C183"/>
    <w:rsid w:val="60E22570"/>
    <w:rsid w:val="60E700DB"/>
    <w:rsid w:val="60FBDF97"/>
    <w:rsid w:val="61043735"/>
    <w:rsid w:val="612B0094"/>
    <w:rsid w:val="613012DD"/>
    <w:rsid w:val="61470736"/>
    <w:rsid w:val="61474ECB"/>
    <w:rsid w:val="61480A5E"/>
    <w:rsid w:val="614AD143"/>
    <w:rsid w:val="614EBF7A"/>
    <w:rsid w:val="616E18F5"/>
    <w:rsid w:val="616FA948"/>
    <w:rsid w:val="619E18C7"/>
    <w:rsid w:val="61B587A9"/>
    <w:rsid w:val="61E3F2F9"/>
    <w:rsid w:val="621521D0"/>
    <w:rsid w:val="621E607C"/>
    <w:rsid w:val="62304FED"/>
    <w:rsid w:val="623D6225"/>
    <w:rsid w:val="6244DC9D"/>
    <w:rsid w:val="624EE678"/>
    <w:rsid w:val="626B7DA5"/>
    <w:rsid w:val="62CF67A0"/>
    <w:rsid w:val="62F56E1E"/>
    <w:rsid w:val="6331407A"/>
    <w:rsid w:val="633A1F4E"/>
    <w:rsid w:val="634F3914"/>
    <w:rsid w:val="63536B68"/>
    <w:rsid w:val="6355D41D"/>
    <w:rsid w:val="635C88F0"/>
    <w:rsid w:val="635D385F"/>
    <w:rsid w:val="63965C15"/>
    <w:rsid w:val="63D85665"/>
    <w:rsid w:val="643E7DA8"/>
    <w:rsid w:val="6463D65C"/>
    <w:rsid w:val="646D22AA"/>
    <w:rsid w:val="647A50A9"/>
    <w:rsid w:val="64891154"/>
    <w:rsid w:val="648D7E0A"/>
    <w:rsid w:val="64946813"/>
    <w:rsid w:val="64C92DC8"/>
    <w:rsid w:val="651D5288"/>
    <w:rsid w:val="65293F79"/>
    <w:rsid w:val="6531BBBF"/>
    <w:rsid w:val="6566B700"/>
    <w:rsid w:val="656FE7BF"/>
    <w:rsid w:val="657A0537"/>
    <w:rsid w:val="658676E3"/>
    <w:rsid w:val="65DD9339"/>
    <w:rsid w:val="6627DA8B"/>
    <w:rsid w:val="66524F18"/>
    <w:rsid w:val="66545FC6"/>
    <w:rsid w:val="669CB533"/>
    <w:rsid w:val="67055DC4"/>
    <w:rsid w:val="6710BFFF"/>
    <w:rsid w:val="674CD9B3"/>
    <w:rsid w:val="675D709E"/>
    <w:rsid w:val="6791756F"/>
    <w:rsid w:val="67A81C0A"/>
    <w:rsid w:val="67ADEBCE"/>
    <w:rsid w:val="67B533A6"/>
    <w:rsid w:val="67B950F2"/>
    <w:rsid w:val="67E7CAFB"/>
    <w:rsid w:val="67FF987F"/>
    <w:rsid w:val="6825C23E"/>
    <w:rsid w:val="682BB4C4"/>
    <w:rsid w:val="682C61AC"/>
    <w:rsid w:val="685273C1"/>
    <w:rsid w:val="685D20DD"/>
    <w:rsid w:val="68CC3511"/>
    <w:rsid w:val="68D0C0A7"/>
    <w:rsid w:val="68E62535"/>
    <w:rsid w:val="68F0C6FB"/>
    <w:rsid w:val="68F6CA19"/>
    <w:rsid w:val="69002C7B"/>
    <w:rsid w:val="69273B8E"/>
    <w:rsid w:val="692A008D"/>
    <w:rsid w:val="69DBA533"/>
    <w:rsid w:val="6A22DDD4"/>
    <w:rsid w:val="6A287E98"/>
    <w:rsid w:val="6A2C1A36"/>
    <w:rsid w:val="6A49C65D"/>
    <w:rsid w:val="6A49DBE9"/>
    <w:rsid w:val="6A4F76C9"/>
    <w:rsid w:val="6A5C997B"/>
    <w:rsid w:val="6A60A8BC"/>
    <w:rsid w:val="6A644423"/>
    <w:rsid w:val="6A7A207A"/>
    <w:rsid w:val="6A87717A"/>
    <w:rsid w:val="6A8BEEEB"/>
    <w:rsid w:val="6AB6DCC1"/>
    <w:rsid w:val="6AB96174"/>
    <w:rsid w:val="6AE18D77"/>
    <w:rsid w:val="6AE805AE"/>
    <w:rsid w:val="6B00ADC3"/>
    <w:rsid w:val="6B1353BD"/>
    <w:rsid w:val="6B14FEEC"/>
    <w:rsid w:val="6B19BC1D"/>
    <w:rsid w:val="6B335B40"/>
    <w:rsid w:val="6B3D5A50"/>
    <w:rsid w:val="6B412EB5"/>
    <w:rsid w:val="6B5188C8"/>
    <w:rsid w:val="6B69710A"/>
    <w:rsid w:val="6B9FB756"/>
    <w:rsid w:val="6BB2C120"/>
    <w:rsid w:val="6BB79F78"/>
    <w:rsid w:val="6BF6013C"/>
    <w:rsid w:val="6C01D2C9"/>
    <w:rsid w:val="6C1979C2"/>
    <w:rsid w:val="6C1DB3B1"/>
    <w:rsid w:val="6C318CF9"/>
    <w:rsid w:val="6C58A500"/>
    <w:rsid w:val="6C628CD1"/>
    <w:rsid w:val="6C78BC56"/>
    <w:rsid w:val="6C78EDEC"/>
    <w:rsid w:val="6C87CD33"/>
    <w:rsid w:val="6CA6DF53"/>
    <w:rsid w:val="6CAB19F3"/>
    <w:rsid w:val="6CB24D71"/>
    <w:rsid w:val="6CC2B6AD"/>
    <w:rsid w:val="6CC6CAF9"/>
    <w:rsid w:val="6CC96FBE"/>
    <w:rsid w:val="6CC974B3"/>
    <w:rsid w:val="6D015ED1"/>
    <w:rsid w:val="6D023E33"/>
    <w:rsid w:val="6D076907"/>
    <w:rsid w:val="6D08268F"/>
    <w:rsid w:val="6D1992D3"/>
    <w:rsid w:val="6D448880"/>
    <w:rsid w:val="6D4DE868"/>
    <w:rsid w:val="6D8D21B5"/>
    <w:rsid w:val="6DA7605A"/>
    <w:rsid w:val="6DB9A6B3"/>
    <w:rsid w:val="6DBBEAA6"/>
    <w:rsid w:val="6DE10F09"/>
    <w:rsid w:val="6DE38296"/>
    <w:rsid w:val="6DF11938"/>
    <w:rsid w:val="6E07BEC6"/>
    <w:rsid w:val="6E16C9BE"/>
    <w:rsid w:val="6E5EF9F4"/>
    <w:rsid w:val="6E69276A"/>
    <w:rsid w:val="6E845F47"/>
    <w:rsid w:val="6EC36302"/>
    <w:rsid w:val="6EDEE7DD"/>
    <w:rsid w:val="6EF2BFE0"/>
    <w:rsid w:val="6F0052F4"/>
    <w:rsid w:val="6F0E666F"/>
    <w:rsid w:val="6F1846D7"/>
    <w:rsid w:val="6F38E525"/>
    <w:rsid w:val="6F6E614A"/>
    <w:rsid w:val="6F70CAC1"/>
    <w:rsid w:val="6F76FB64"/>
    <w:rsid w:val="6F85985D"/>
    <w:rsid w:val="6F9A149A"/>
    <w:rsid w:val="6FB85B71"/>
    <w:rsid w:val="6FC66869"/>
    <w:rsid w:val="6FC9C6F2"/>
    <w:rsid w:val="6FDA312D"/>
    <w:rsid w:val="7014F749"/>
    <w:rsid w:val="701BB3BB"/>
    <w:rsid w:val="702849DE"/>
    <w:rsid w:val="70416E92"/>
    <w:rsid w:val="704C0E9D"/>
    <w:rsid w:val="704EB11A"/>
    <w:rsid w:val="705B5AF8"/>
    <w:rsid w:val="7065AF87"/>
    <w:rsid w:val="706CEDC1"/>
    <w:rsid w:val="70AB965A"/>
    <w:rsid w:val="70B677D9"/>
    <w:rsid w:val="7133F169"/>
    <w:rsid w:val="713A8049"/>
    <w:rsid w:val="7162EABD"/>
    <w:rsid w:val="71D45240"/>
    <w:rsid w:val="7248B9EF"/>
    <w:rsid w:val="72585E58"/>
    <w:rsid w:val="72601D25"/>
    <w:rsid w:val="727CB213"/>
    <w:rsid w:val="72848991"/>
    <w:rsid w:val="729B4899"/>
    <w:rsid w:val="72C26019"/>
    <w:rsid w:val="72C98969"/>
    <w:rsid w:val="72CE9714"/>
    <w:rsid w:val="72E1C608"/>
    <w:rsid w:val="730C90FD"/>
    <w:rsid w:val="730F9DBF"/>
    <w:rsid w:val="731749D5"/>
    <w:rsid w:val="7323124B"/>
    <w:rsid w:val="733D40C6"/>
    <w:rsid w:val="7349D0D5"/>
    <w:rsid w:val="735F0E46"/>
    <w:rsid w:val="73727051"/>
    <w:rsid w:val="739B38E8"/>
    <w:rsid w:val="73A1E704"/>
    <w:rsid w:val="73BBA6B6"/>
    <w:rsid w:val="73C27447"/>
    <w:rsid w:val="73D0DE05"/>
    <w:rsid w:val="74147DA5"/>
    <w:rsid w:val="74161D55"/>
    <w:rsid w:val="74197395"/>
    <w:rsid w:val="742E07C0"/>
    <w:rsid w:val="749A8B7F"/>
    <w:rsid w:val="74B3C16A"/>
    <w:rsid w:val="74BB2ECD"/>
    <w:rsid w:val="74F712BE"/>
    <w:rsid w:val="74FBE56D"/>
    <w:rsid w:val="7500C9FD"/>
    <w:rsid w:val="751D642C"/>
    <w:rsid w:val="752BDCED"/>
    <w:rsid w:val="75343DF5"/>
    <w:rsid w:val="7543C3CA"/>
    <w:rsid w:val="75B58CED"/>
    <w:rsid w:val="75D48878"/>
    <w:rsid w:val="75ECFE70"/>
    <w:rsid w:val="760CD08A"/>
    <w:rsid w:val="761FC4CB"/>
    <w:rsid w:val="7632B041"/>
    <w:rsid w:val="763AEFE8"/>
    <w:rsid w:val="765E4FB7"/>
    <w:rsid w:val="76942716"/>
    <w:rsid w:val="76B961A8"/>
    <w:rsid w:val="76C1A7CA"/>
    <w:rsid w:val="76E6BFBD"/>
    <w:rsid w:val="772BC8F2"/>
    <w:rsid w:val="773418BF"/>
    <w:rsid w:val="7736A58C"/>
    <w:rsid w:val="77697535"/>
    <w:rsid w:val="779CD090"/>
    <w:rsid w:val="77AE5D6D"/>
    <w:rsid w:val="783654FC"/>
    <w:rsid w:val="786D5363"/>
    <w:rsid w:val="7873B607"/>
    <w:rsid w:val="787FD6AA"/>
    <w:rsid w:val="789C78E7"/>
    <w:rsid w:val="78A28499"/>
    <w:rsid w:val="78B373A2"/>
    <w:rsid w:val="78CCE1C6"/>
    <w:rsid w:val="78D26981"/>
    <w:rsid w:val="78DE28A1"/>
    <w:rsid w:val="78E2E4AB"/>
    <w:rsid w:val="7914F6A9"/>
    <w:rsid w:val="7916200A"/>
    <w:rsid w:val="79285D7D"/>
    <w:rsid w:val="7964843A"/>
    <w:rsid w:val="79733190"/>
    <w:rsid w:val="79B3AF28"/>
    <w:rsid w:val="79C9AFCD"/>
    <w:rsid w:val="79E5590D"/>
    <w:rsid w:val="7A02EC48"/>
    <w:rsid w:val="7A050B22"/>
    <w:rsid w:val="7A10E05F"/>
    <w:rsid w:val="7A4FC4FF"/>
    <w:rsid w:val="7A5839AE"/>
    <w:rsid w:val="7A6C30A6"/>
    <w:rsid w:val="7A916901"/>
    <w:rsid w:val="7ABAC887"/>
    <w:rsid w:val="7AF39441"/>
    <w:rsid w:val="7B091CB1"/>
    <w:rsid w:val="7B0E7BDE"/>
    <w:rsid w:val="7B10CE23"/>
    <w:rsid w:val="7B13547E"/>
    <w:rsid w:val="7B22C256"/>
    <w:rsid w:val="7B29FFA0"/>
    <w:rsid w:val="7B39CC9A"/>
    <w:rsid w:val="7B5F49A2"/>
    <w:rsid w:val="7B8584F1"/>
    <w:rsid w:val="7B8A4CFF"/>
    <w:rsid w:val="7B917D8A"/>
    <w:rsid w:val="7B95B249"/>
    <w:rsid w:val="7BC35C11"/>
    <w:rsid w:val="7BC7D8EC"/>
    <w:rsid w:val="7BD4A55B"/>
    <w:rsid w:val="7BDC0765"/>
    <w:rsid w:val="7BEAA902"/>
    <w:rsid w:val="7BF03326"/>
    <w:rsid w:val="7BFE9D36"/>
    <w:rsid w:val="7C095049"/>
    <w:rsid w:val="7C21E723"/>
    <w:rsid w:val="7C2A18B7"/>
    <w:rsid w:val="7C2D3B05"/>
    <w:rsid w:val="7C5B3741"/>
    <w:rsid w:val="7C8E2295"/>
    <w:rsid w:val="7C9B5C5A"/>
    <w:rsid w:val="7CCA4695"/>
    <w:rsid w:val="7CCA5A1A"/>
    <w:rsid w:val="7CF4DE20"/>
    <w:rsid w:val="7D2CA733"/>
    <w:rsid w:val="7D4A3CAB"/>
    <w:rsid w:val="7D5D5AE7"/>
    <w:rsid w:val="7D70B40B"/>
    <w:rsid w:val="7D81EA98"/>
    <w:rsid w:val="7DA364D9"/>
    <w:rsid w:val="7DA8E9E8"/>
    <w:rsid w:val="7DB135BD"/>
    <w:rsid w:val="7DBEEA5F"/>
    <w:rsid w:val="7DF50C8E"/>
    <w:rsid w:val="7DFBBCC5"/>
    <w:rsid w:val="7E1CDD10"/>
    <w:rsid w:val="7E4C3B58"/>
    <w:rsid w:val="7E589F5C"/>
    <w:rsid w:val="7E68F768"/>
    <w:rsid w:val="7E88D9F2"/>
    <w:rsid w:val="7EBB04AC"/>
    <w:rsid w:val="7EC790D6"/>
    <w:rsid w:val="7ECCFC1A"/>
    <w:rsid w:val="7ECF40F3"/>
    <w:rsid w:val="7EDD20A6"/>
    <w:rsid w:val="7F266ABE"/>
    <w:rsid w:val="7F466AE4"/>
    <w:rsid w:val="7F47CADF"/>
    <w:rsid w:val="7F5AC5CD"/>
    <w:rsid w:val="7F5D301F"/>
    <w:rsid w:val="7FA8C180"/>
    <w:rsid w:val="7FBD480D"/>
    <w:rsid w:val="7FDD58B5"/>
    <w:rsid w:val="7FE24F50"/>
    <w:rsid w:val="7FEFEF4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7BD8D"/>
  <w15:chartTrackingRefBased/>
  <w15:docId w15:val="{C97C5BC9-2EDC-49FA-A814-F731AF567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10"/>
    <w:pPr>
      <w:spacing w:after="240"/>
    </w:pPr>
  </w:style>
  <w:style w:type="paragraph" w:styleId="Heading1">
    <w:name w:val="heading 1"/>
    <w:basedOn w:val="Normal"/>
    <w:next w:val="Normal"/>
    <w:link w:val="Heading1Char"/>
    <w:uiPriority w:val="9"/>
    <w:qFormat/>
    <w:rsid w:val="00BC4914"/>
    <w:pPr>
      <w:keepNext/>
      <w:keepLines/>
      <w:spacing w:before="1320" w:after="0" w:line="940" w:lineRule="exact"/>
      <w:outlineLvl w:val="0"/>
    </w:pPr>
    <w:rPr>
      <w:rFonts w:ascii="Calibri" w:eastAsiaTheme="majorEastAsia" w:hAnsi="Calibri" w:cstheme="majorBidi"/>
      <w:b/>
      <w:color w:val="5F646A"/>
      <w:sz w:val="84"/>
      <w:szCs w:val="32"/>
    </w:rPr>
  </w:style>
  <w:style w:type="paragraph" w:styleId="Heading2">
    <w:name w:val="heading 2"/>
    <w:basedOn w:val="Normal"/>
    <w:next w:val="Normal"/>
    <w:link w:val="Heading2Char"/>
    <w:uiPriority w:val="9"/>
    <w:unhideWhenUsed/>
    <w:qFormat/>
    <w:rsid w:val="00BC4914"/>
    <w:pPr>
      <w:keepNext/>
      <w:keepLines/>
      <w:spacing w:before="720"/>
      <w:outlineLvl w:val="1"/>
    </w:pPr>
    <w:rPr>
      <w:rFonts w:asciiTheme="majorHAnsi" w:eastAsiaTheme="majorEastAsia" w:hAnsiTheme="majorHAnsi" w:cstheme="majorBidi"/>
      <w:b/>
      <w:color w:val="F16464" w:themeColor="accent5"/>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2272DB"/>
    <w:pPr>
      <w:keepNext/>
      <w:keepLines/>
      <w:spacing w:before="360" w:after="0"/>
      <w:outlineLvl w:val="3"/>
    </w:pPr>
    <w:rPr>
      <w:rFonts w:asciiTheme="majorHAnsi" w:eastAsiaTheme="majorEastAsia" w:hAnsiTheme="majorHAnsi" w:cstheme="majorBidi"/>
      <w:b/>
      <w:iCs/>
      <w:color w:val="004C6C" w:themeColor="background2"/>
      <w:sz w:val="28"/>
    </w:rPr>
  </w:style>
  <w:style w:type="paragraph" w:styleId="Heading5">
    <w:name w:val="heading 5"/>
    <w:basedOn w:val="Normal"/>
    <w:next w:val="Normal"/>
    <w:link w:val="Heading5Char"/>
    <w:uiPriority w:val="9"/>
    <w:unhideWhenUsed/>
    <w:qFormat/>
    <w:rsid w:val="00F311A4"/>
    <w:pPr>
      <w:keepNext/>
      <w:keepLines/>
      <w:spacing w:before="40" w:after="0"/>
      <w:outlineLvl w:val="4"/>
    </w:pPr>
    <w:rPr>
      <w:rFonts w:asciiTheme="majorHAnsi" w:eastAsiaTheme="majorEastAsia" w:hAnsiTheme="majorHAnsi" w:cstheme="majorBidi"/>
      <w:b/>
      <w:color w:val="00254A" w:themeColor="text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107D87"/>
    <w:rPr>
      <w:color w:val="7F4594"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aliases w:val="Nous Table,Table,NOUS,NOUS Side Header"/>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C4914"/>
    <w:rPr>
      <w:rFonts w:ascii="Calibri" w:eastAsiaTheme="majorEastAsia" w:hAnsi="Calibri" w:cstheme="majorBidi"/>
      <w:b/>
      <w:color w:val="5F646A"/>
      <w:sz w:val="84"/>
      <w:szCs w:val="32"/>
    </w:rPr>
  </w:style>
  <w:style w:type="character" w:customStyle="1" w:styleId="Heading2Char">
    <w:name w:val="Heading 2 Char"/>
    <w:basedOn w:val="DefaultParagraphFont"/>
    <w:link w:val="Heading2"/>
    <w:uiPriority w:val="9"/>
    <w:rsid w:val="00BC4914"/>
    <w:rPr>
      <w:rFonts w:asciiTheme="majorHAnsi" w:eastAsiaTheme="majorEastAsia" w:hAnsiTheme="majorHAnsi" w:cstheme="majorBidi"/>
      <w:b/>
      <w:color w:val="F16464" w:themeColor="accent5"/>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2272DB"/>
    <w:rPr>
      <w:rFonts w:asciiTheme="majorHAnsi" w:eastAsiaTheme="majorEastAsia" w:hAnsiTheme="majorHAnsi" w:cstheme="majorBidi"/>
      <w:b/>
      <w:iCs/>
      <w:color w:val="004C6C" w:themeColor="background2"/>
      <w:sz w:val="28"/>
    </w:rPr>
  </w:style>
  <w:style w:type="character" w:customStyle="1" w:styleId="Heading5Char">
    <w:name w:val="Heading 5 Char"/>
    <w:basedOn w:val="DefaultParagraphFont"/>
    <w:link w:val="Heading5"/>
    <w:uiPriority w:val="9"/>
    <w:rsid w:val="00F311A4"/>
    <w:rPr>
      <w:rFonts w:asciiTheme="majorHAnsi" w:eastAsiaTheme="majorEastAsia" w:hAnsiTheme="majorHAnsi" w:cstheme="majorBidi"/>
      <w:b/>
      <w:color w:val="00254A" w:themeColor="text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EB4C2F"/>
    <w:pPr>
      <w:spacing w:after="120" w:line="240" w:lineRule="auto"/>
    </w:pPr>
    <w:rPr>
      <w:b/>
      <w:iCs/>
      <w:color w:val="00254A" w:themeColor="text2"/>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BC4914"/>
    <w:pPr>
      <w:numPr>
        <w:ilvl w:val="1"/>
      </w:numPr>
      <w:spacing w:before="16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BC4914"/>
    <w:rPr>
      <w:rFonts w:eastAsiaTheme="minorEastAsia"/>
      <w:color w:val="008599" w:themeColor="accent1"/>
      <w:spacing w:val="15"/>
      <w:sz w:val="40"/>
    </w:rPr>
  </w:style>
  <w:style w:type="paragraph" w:styleId="List">
    <w:name w:val="List"/>
    <w:basedOn w:val="Normal"/>
    <w:uiPriority w:val="98"/>
    <w:qFormat/>
    <w:rsid w:val="00886959"/>
    <w:pPr>
      <w:numPr>
        <w:numId w:val="8"/>
      </w:numPr>
      <w:spacing w:after="200"/>
      <w:contextualSpacing/>
    </w:pPr>
  </w:style>
  <w:style w:type="paragraph" w:styleId="List2">
    <w:name w:val="List 2"/>
    <w:basedOn w:val="Normal"/>
    <w:uiPriority w:val="98"/>
    <w:qFormat/>
    <w:rsid w:val="00F85913"/>
    <w:pPr>
      <w:numPr>
        <w:ilvl w:val="1"/>
        <w:numId w:val="8"/>
      </w:numPr>
      <w:spacing w:after="200"/>
      <w:contextualSpacing/>
    </w:pPr>
  </w:style>
  <w:style w:type="paragraph" w:styleId="List3">
    <w:name w:val="List 3"/>
    <w:basedOn w:val="Normal"/>
    <w:uiPriority w:val="98"/>
    <w:qFormat/>
    <w:rsid w:val="00BC248C"/>
    <w:pPr>
      <w:numPr>
        <w:ilvl w:val="2"/>
        <w:numId w:val="8"/>
      </w:numPr>
      <w:spacing w:after="200"/>
      <w:contextualSpacing/>
    </w:pPr>
  </w:style>
  <w:style w:type="paragraph" w:styleId="List4">
    <w:name w:val="List 4"/>
    <w:basedOn w:val="Normal"/>
    <w:uiPriority w:val="98"/>
    <w:qFormat/>
    <w:rsid w:val="00BC248C"/>
    <w:pPr>
      <w:numPr>
        <w:ilvl w:val="3"/>
        <w:numId w:val="8"/>
      </w:numPr>
      <w:spacing w:after="200"/>
      <w:contextualSpacing/>
    </w:pPr>
  </w:style>
  <w:style w:type="paragraph" w:styleId="ListNumber">
    <w:name w:val="List Number"/>
    <w:basedOn w:val="Normal"/>
    <w:uiPriority w:val="98"/>
    <w:qFormat/>
    <w:rsid w:val="00276047"/>
    <w:pPr>
      <w:numPr>
        <w:numId w:val="9"/>
      </w:numPr>
      <w:spacing w:after="200"/>
      <w:contextualSpacing/>
    </w:pPr>
  </w:style>
  <w:style w:type="paragraph" w:styleId="ListNumber2">
    <w:name w:val="List Number 2"/>
    <w:basedOn w:val="Normal"/>
    <w:uiPriority w:val="98"/>
    <w:qFormat/>
    <w:rsid w:val="00276047"/>
    <w:pPr>
      <w:numPr>
        <w:numId w:val="4"/>
      </w:numPr>
      <w:spacing w:after="200"/>
      <w:contextualSpacing/>
    </w:pPr>
  </w:style>
  <w:style w:type="paragraph" w:styleId="ListBullet3">
    <w:name w:val="List Bullet 3"/>
    <w:basedOn w:val="Normal"/>
    <w:uiPriority w:val="98"/>
    <w:qFormat/>
    <w:rsid w:val="008A36E1"/>
    <w:pPr>
      <w:numPr>
        <w:numId w:val="2"/>
      </w:numPr>
      <w:spacing w:after="200"/>
      <w:contextualSpacing/>
    </w:pPr>
  </w:style>
  <w:style w:type="paragraph" w:styleId="ListNumber3">
    <w:name w:val="List Number 3"/>
    <w:basedOn w:val="Normal"/>
    <w:uiPriority w:val="98"/>
    <w:qFormat/>
    <w:rsid w:val="00950B06"/>
    <w:pPr>
      <w:numPr>
        <w:numId w:val="5"/>
      </w:numPr>
      <w:spacing w:after="200"/>
      <w:contextualSpacing/>
    </w:pPr>
  </w:style>
  <w:style w:type="paragraph" w:styleId="ListNumber4">
    <w:name w:val="List Number 4"/>
    <w:basedOn w:val="Normal"/>
    <w:uiPriority w:val="98"/>
    <w:qFormat/>
    <w:rsid w:val="0012343A"/>
    <w:pPr>
      <w:numPr>
        <w:numId w:val="6"/>
      </w:numPr>
      <w:spacing w:after="200"/>
      <w:contextualSpacing/>
    </w:pPr>
  </w:style>
  <w:style w:type="paragraph" w:styleId="ListBullet">
    <w:name w:val="List Bullet"/>
    <w:basedOn w:val="Normal"/>
    <w:uiPriority w:val="98"/>
    <w:qFormat/>
    <w:rsid w:val="008A36E1"/>
    <w:pPr>
      <w:numPr>
        <w:numId w:val="7"/>
      </w:numPr>
      <w:spacing w:after="200"/>
      <w:contextualSpacing/>
    </w:pPr>
  </w:style>
  <w:style w:type="paragraph" w:styleId="ListBullet2">
    <w:name w:val="List Bullet 2"/>
    <w:basedOn w:val="Normal"/>
    <w:uiPriority w:val="98"/>
    <w:qFormat/>
    <w:rsid w:val="00C75706"/>
    <w:pPr>
      <w:numPr>
        <w:numId w:val="1"/>
      </w:numPr>
      <w:spacing w:after="200"/>
      <w:contextualSpacing/>
    </w:pPr>
  </w:style>
  <w:style w:type="paragraph" w:styleId="ListBullet4">
    <w:name w:val="List Bullet 4"/>
    <w:basedOn w:val="Normal"/>
    <w:uiPriority w:val="98"/>
    <w:qFormat/>
    <w:rsid w:val="00C75706"/>
    <w:pPr>
      <w:numPr>
        <w:numId w:val="3"/>
      </w:numPr>
      <w:spacing w:after="200"/>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BC4914"/>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5F646A"/>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4A7D90"/>
    <w:pPr>
      <w:tabs>
        <w:tab w:val="right" w:leader="dot" w:pos="9016"/>
      </w:tabs>
      <w:spacing w:after="100"/>
      <w:jc w:val="center"/>
    </w:pPr>
    <w:rPr>
      <w:b/>
      <w:bCs/>
    </w:rPr>
  </w:style>
  <w:style w:type="paragraph" w:styleId="TOC2">
    <w:name w:val="toc 2"/>
    <w:basedOn w:val="Normal"/>
    <w:next w:val="Normal"/>
    <w:autoRedefine/>
    <w:uiPriority w:val="39"/>
    <w:unhideWhenUsed/>
    <w:rsid w:val="00AD4AB4"/>
    <w:pPr>
      <w:tabs>
        <w:tab w:val="right" w:leader="dot" w:pos="9016"/>
      </w:tabs>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99"/>
    <w:unhideWhenUsed/>
    <w:rsid w:val="00B16558"/>
    <w:pPr>
      <w:spacing w:before="0" w:after="240" w:line="259" w:lineRule="auto"/>
      <w:outlineLvl w:val="9"/>
    </w:pPr>
    <w:rPr>
      <w:rFonts w:asciiTheme="majorHAnsi" w:hAnsiTheme="majorHAnsi"/>
      <w:color w:val="F16464" w:themeColor="accent5"/>
      <w:sz w:val="44"/>
      <w:lang w:val="en-US"/>
    </w:rPr>
  </w:style>
  <w:style w:type="character" w:customStyle="1" w:styleId="normaltextrun">
    <w:name w:val="normaltextrun"/>
    <w:basedOn w:val="DefaultParagraphFont"/>
    <w:rsid w:val="00ED6019"/>
  </w:style>
  <w:style w:type="character" w:customStyle="1" w:styleId="eop">
    <w:name w:val="eop"/>
    <w:basedOn w:val="DefaultParagraphFont"/>
    <w:rsid w:val="00ED6019"/>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A0F1D"/>
    <w:rPr>
      <w:b/>
      <w:bCs/>
    </w:rPr>
  </w:style>
  <w:style w:type="character" w:customStyle="1" w:styleId="CommentSubjectChar">
    <w:name w:val="Comment Subject Char"/>
    <w:basedOn w:val="CommentTextChar"/>
    <w:link w:val="CommentSubject"/>
    <w:uiPriority w:val="99"/>
    <w:semiHidden/>
    <w:rsid w:val="001A0F1D"/>
    <w:rPr>
      <w:b/>
      <w:bCs/>
      <w:sz w:val="20"/>
      <w:szCs w:val="20"/>
    </w:rPr>
  </w:style>
  <w:style w:type="paragraph" w:styleId="Revision">
    <w:name w:val="Revision"/>
    <w:hidden/>
    <w:uiPriority w:val="99"/>
    <w:semiHidden/>
    <w:rsid w:val="008A2F4E"/>
    <w:pPr>
      <w:spacing w:after="0" w:line="240" w:lineRule="auto"/>
    </w:pPr>
  </w:style>
  <w:style w:type="paragraph" w:styleId="FootnoteText">
    <w:name w:val="footnote text"/>
    <w:aliases w:val="Footnote Text Char1 Char,Footnote Text Char Char1 Char,Footnote Text Char Char Char Char Char1,Footnote Text Char Char Char,Footnote Text Char Char Char Char"/>
    <w:basedOn w:val="Normal"/>
    <w:link w:val="FootnoteTextChar"/>
    <w:uiPriority w:val="99"/>
    <w:unhideWhenUsed/>
    <w:rsid w:val="006A148D"/>
    <w:pPr>
      <w:spacing w:after="0" w:line="240" w:lineRule="auto"/>
    </w:pPr>
    <w:rPr>
      <w:sz w:val="20"/>
      <w:szCs w:val="20"/>
    </w:rPr>
  </w:style>
  <w:style w:type="character" w:customStyle="1" w:styleId="FootnoteTextChar">
    <w:name w:val="Footnote Text Char"/>
    <w:aliases w:val="Footnote Text Char1 Char Char,Footnote Text Char Char1 Char Char,Footnote Text Char Char Char Char Char1 Char,Footnote Text Char Char Char Char1,Footnote Text Char Char Char Char Char"/>
    <w:basedOn w:val="DefaultParagraphFont"/>
    <w:link w:val="FootnoteText"/>
    <w:uiPriority w:val="99"/>
    <w:rsid w:val="006A148D"/>
    <w:rPr>
      <w:sz w:val="20"/>
      <w:szCs w:val="20"/>
    </w:rPr>
  </w:style>
  <w:style w:type="character" w:styleId="FootnoteReference">
    <w:name w:val="footnote reference"/>
    <w:basedOn w:val="DefaultParagraphFont"/>
    <w:uiPriority w:val="99"/>
    <w:unhideWhenUsed/>
    <w:qFormat/>
    <w:rsid w:val="006A148D"/>
    <w:rPr>
      <w:vertAlign w:val="superscript"/>
    </w:rPr>
  </w:style>
  <w:style w:type="character" w:styleId="FollowedHyperlink">
    <w:name w:val="FollowedHyperlink"/>
    <w:basedOn w:val="DefaultParagraphFont"/>
    <w:uiPriority w:val="99"/>
    <w:semiHidden/>
    <w:unhideWhenUsed/>
    <w:rsid w:val="00936C1C"/>
    <w:rPr>
      <w:color w:val="CE372F" w:themeColor="followedHyperlink"/>
      <w:u w:val="single"/>
    </w:rPr>
  </w:style>
  <w:style w:type="paragraph" w:customStyle="1" w:styleId="Subbodytext">
    <w:name w:val="Sub: body text"/>
    <w:basedOn w:val="Normal"/>
    <w:qFormat/>
    <w:rsid w:val="003E6B9B"/>
  </w:style>
  <w:style w:type="paragraph" w:customStyle="1" w:styleId="SubChapterheading">
    <w:name w:val="Sub: Chapter heading"/>
    <w:basedOn w:val="Heading2"/>
    <w:qFormat/>
    <w:rsid w:val="003E6B9B"/>
    <w:pPr>
      <w:numPr>
        <w:numId w:val="12"/>
      </w:numPr>
    </w:pPr>
  </w:style>
  <w:style w:type="paragraph" w:customStyle="1" w:styleId="SubFigureCaption">
    <w:name w:val="Sub: Figure Caption"/>
    <w:basedOn w:val="Normal"/>
    <w:qFormat/>
    <w:rsid w:val="00087EAE"/>
    <w:rPr>
      <w:sz w:val="18"/>
    </w:rPr>
  </w:style>
  <w:style w:type="paragraph" w:customStyle="1" w:styleId="SubFigureHeading">
    <w:name w:val="Sub: Figure Heading"/>
    <w:basedOn w:val="Normal"/>
    <w:qFormat/>
    <w:rsid w:val="00057F86"/>
    <w:pPr>
      <w:keepNext/>
      <w:keepLines/>
      <w:spacing w:after="120" w:line="240" w:lineRule="auto"/>
    </w:pPr>
    <w:rPr>
      <w:b/>
      <w:iCs/>
      <w:color w:val="00254A" w:themeColor="text2"/>
      <w:szCs w:val="18"/>
    </w:rPr>
  </w:style>
  <w:style w:type="paragraph" w:customStyle="1" w:styleId="SubFootnote">
    <w:name w:val="Sub: Footnote"/>
    <w:basedOn w:val="Normal"/>
    <w:qFormat/>
    <w:rsid w:val="003E6B9B"/>
    <w:pPr>
      <w:spacing w:after="0"/>
      <w:contextualSpacing/>
    </w:pPr>
    <w:rPr>
      <w:rFonts w:ascii="Calibri" w:eastAsia="Calibri" w:hAnsi="Calibri" w:cs="Calibri"/>
      <w:sz w:val="16"/>
      <w:szCs w:val="16"/>
    </w:rPr>
  </w:style>
  <w:style w:type="paragraph" w:customStyle="1" w:styleId="SubHeading4">
    <w:name w:val="Sub: Heading 4"/>
    <w:basedOn w:val="Heading4"/>
    <w:qFormat/>
    <w:rsid w:val="003E6B9B"/>
    <w:pPr>
      <w:spacing w:before="320" w:after="60"/>
    </w:pPr>
  </w:style>
  <w:style w:type="paragraph" w:customStyle="1" w:styleId="SubList">
    <w:name w:val="Sub: List"/>
    <w:basedOn w:val="Normal"/>
    <w:qFormat/>
    <w:rsid w:val="003E6B9B"/>
    <w:pPr>
      <w:numPr>
        <w:numId w:val="11"/>
      </w:numPr>
      <w:spacing w:after="160"/>
      <w:contextualSpacing/>
    </w:pPr>
  </w:style>
  <w:style w:type="paragraph" w:customStyle="1" w:styleId="SubNumberedList">
    <w:name w:val="Sub: Numbered List"/>
    <w:basedOn w:val="Normal"/>
    <w:qFormat/>
    <w:rsid w:val="003E6B9B"/>
    <w:pPr>
      <w:numPr>
        <w:numId w:val="10"/>
      </w:numPr>
      <w:spacing w:after="160"/>
    </w:pPr>
    <w:rPr>
      <w:rFonts w:ascii="Calibri" w:eastAsia="Calibri" w:hAnsi="Calibri" w:cs="Times New Roman"/>
    </w:rPr>
  </w:style>
  <w:style w:type="paragraph" w:customStyle="1" w:styleId="SubSectionHeading">
    <w:name w:val="Sub: Section Heading"/>
    <w:basedOn w:val="Heading3"/>
    <w:qFormat/>
    <w:rsid w:val="003E6B9B"/>
    <w:pPr>
      <w:numPr>
        <w:ilvl w:val="1"/>
        <w:numId w:val="13"/>
      </w:numPr>
    </w:pPr>
  </w:style>
  <w:style w:type="paragraph" w:customStyle="1" w:styleId="SubSubtitle">
    <w:name w:val="Sub: Subtitle"/>
    <w:basedOn w:val="Normal"/>
    <w:qFormat/>
    <w:rsid w:val="003E6B9B"/>
    <w:rPr>
      <w:rFonts w:ascii="Calibri" w:hAnsi="Calibri" w:cs="Calibri"/>
      <w:color w:val="008599"/>
      <w:sz w:val="40"/>
      <w:szCs w:val="40"/>
      <w:shd w:val="clear" w:color="auto" w:fill="FFFFFF"/>
    </w:rPr>
  </w:style>
  <w:style w:type="paragraph" w:customStyle="1" w:styleId="SubTable">
    <w:name w:val="Sub: Table"/>
    <w:basedOn w:val="Normal"/>
    <w:qFormat/>
    <w:rsid w:val="003E6B9B"/>
    <w:pPr>
      <w:spacing w:before="100" w:beforeAutospacing="1" w:afterAutospacing="1" w:line="240" w:lineRule="auto"/>
    </w:pPr>
    <w:rPr>
      <w:rFonts w:ascii="Calibri" w:eastAsia="Calibri" w:hAnsi="Calibri" w:cs="Calibri"/>
      <w:b/>
      <w:color w:val="FFFFFF" w:themeColor="background1"/>
    </w:rPr>
  </w:style>
  <w:style w:type="paragraph" w:customStyle="1" w:styleId="SubTitlePage">
    <w:name w:val="Sub: Title Page"/>
    <w:basedOn w:val="Heading1"/>
    <w:qFormat/>
    <w:rsid w:val="003E6B9B"/>
    <w:rPr>
      <w:rFonts w:cs="Calibri"/>
      <w:szCs w:val="84"/>
      <w:shd w:val="clear" w:color="auto" w:fill="FFFFFF"/>
    </w:rPr>
  </w:style>
  <w:style w:type="paragraph" w:customStyle="1" w:styleId="SubNoNumberHeading">
    <w:name w:val="Sub: No Number Heading"/>
    <w:basedOn w:val="Heading3"/>
    <w:qFormat/>
    <w:rsid w:val="00784057"/>
  </w:style>
  <w:style w:type="paragraph" w:customStyle="1" w:styleId="SubGlossaryTable">
    <w:name w:val="Sub: Glossary Table"/>
    <w:basedOn w:val="Normal"/>
    <w:qFormat/>
    <w:rsid w:val="000E0F4B"/>
    <w:pPr>
      <w:spacing w:before="120" w:after="120" w:line="240" w:lineRule="auto"/>
    </w:pPr>
  </w:style>
  <w:style w:type="paragraph" w:customStyle="1" w:styleId="SubHeading6">
    <w:name w:val="Sub: Heading 6"/>
    <w:basedOn w:val="Heading6"/>
    <w:qFormat/>
    <w:rsid w:val="003E6B9B"/>
    <w:rPr>
      <w:color w:val="auto"/>
    </w:rPr>
  </w:style>
  <w:style w:type="paragraph" w:customStyle="1" w:styleId="SubNoNumberChapterHeading">
    <w:name w:val="Sub: No Number Chapter Heading"/>
    <w:basedOn w:val="SubChapterheading"/>
    <w:next w:val="Subbodytext"/>
    <w:qFormat/>
    <w:rsid w:val="00B8735E"/>
    <w:pPr>
      <w:numPr>
        <w:numId w:val="0"/>
      </w:numPr>
    </w:pPr>
  </w:style>
  <w:style w:type="character" w:styleId="Mention">
    <w:name w:val="Mention"/>
    <w:basedOn w:val="DefaultParagraphFont"/>
    <w:uiPriority w:val="99"/>
    <w:unhideWhenUsed/>
    <w:rPr>
      <w:color w:val="2B579A"/>
      <w:shd w:val="clear" w:color="auto" w:fill="E6E6E6"/>
    </w:rPr>
  </w:style>
  <w:style w:type="character" w:customStyle="1" w:styleId="findhit">
    <w:name w:val="findhit"/>
    <w:basedOn w:val="DefaultParagraphFont"/>
    <w:rsid w:val="003C268A"/>
  </w:style>
  <w:style w:type="character" w:customStyle="1" w:styleId="ui-provider">
    <w:name w:val="ui-provider"/>
    <w:basedOn w:val="DefaultParagraphFont"/>
    <w:rsid w:val="003C268A"/>
  </w:style>
  <w:style w:type="character" w:customStyle="1" w:styleId="cf01">
    <w:name w:val="cf01"/>
    <w:basedOn w:val="DefaultParagraphFont"/>
    <w:rsid w:val="003C268A"/>
    <w:rPr>
      <w:rFonts w:ascii="Segoe UI" w:hAnsi="Segoe UI" w:cs="Segoe UI" w:hint="default"/>
      <w:sz w:val="18"/>
      <w:szCs w:val="18"/>
    </w:rPr>
  </w:style>
  <w:style w:type="paragraph" w:customStyle="1" w:styleId="paragraph">
    <w:name w:val="paragraph"/>
    <w:basedOn w:val="Normal"/>
    <w:rsid w:val="00676311"/>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33747">
      <w:bodyDiv w:val="1"/>
      <w:marLeft w:val="0"/>
      <w:marRight w:val="0"/>
      <w:marTop w:val="0"/>
      <w:marBottom w:val="0"/>
      <w:divBdr>
        <w:top w:val="none" w:sz="0" w:space="0" w:color="auto"/>
        <w:left w:val="none" w:sz="0" w:space="0" w:color="auto"/>
        <w:bottom w:val="none" w:sz="0" w:space="0" w:color="auto"/>
        <w:right w:val="none" w:sz="0" w:space="0" w:color="auto"/>
      </w:divBdr>
    </w:div>
    <w:div w:id="152260280">
      <w:bodyDiv w:val="1"/>
      <w:marLeft w:val="0"/>
      <w:marRight w:val="0"/>
      <w:marTop w:val="0"/>
      <w:marBottom w:val="0"/>
      <w:divBdr>
        <w:top w:val="none" w:sz="0" w:space="0" w:color="auto"/>
        <w:left w:val="none" w:sz="0" w:space="0" w:color="auto"/>
        <w:bottom w:val="none" w:sz="0" w:space="0" w:color="auto"/>
        <w:right w:val="none" w:sz="0" w:space="0" w:color="auto"/>
      </w:divBdr>
    </w:div>
    <w:div w:id="346837374">
      <w:bodyDiv w:val="1"/>
      <w:marLeft w:val="0"/>
      <w:marRight w:val="0"/>
      <w:marTop w:val="0"/>
      <w:marBottom w:val="0"/>
      <w:divBdr>
        <w:top w:val="none" w:sz="0" w:space="0" w:color="auto"/>
        <w:left w:val="none" w:sz="0" w:space="0" w:color="auto"/>
        <w:bottom w:val="none" w:sz="0" w:space="0" w:color="auto"/>
        <w:right w:val="none" w:sz="0" w:space="0" w:color="auto"/>
      </w:divBdr>
    </w:div>
    <w:div w:id="473912904">
      <w:bodyDiv w:val="1"/>
      <w:marLeft w:val="0"/>
      <w:marRight w:val="0"/>
      <w:marTop w:val="0"/>
      <w:marBottom w:val="0"/>
      <w:divBdr>
        <w:top w:val="none" w:sz="0" w:space="0" w:color="auto"/>
        <w:left w:val="none" w:sz="0" w:space="0" w:color="auto"/>
        <w:bottom w:val="none" w:sz="0" w:space="0" w:color="auto"/>
        <w:right w:val="none" w:sz="0" w:space="0" w:color="auto"/>
      </w:divBdr>
    </w:div>
    <w:div w:id="507983768">
      <w:bodyDiv w:val="1"/>
      <w:marLeft w:val="0"/>
      <w:marRight w:val="0"/>
      <w:marTop w:val="0"/>
      <w:marBottom w:val="0"/>
      <w:divBdr>
        <w:top w:val="none" w:sz="0" w:space="0" w:color="auto"/>
        <w:left w:val="none" w:sz="0" w:space="0" w:color="auto"/>
        <w:bottom w:val="none" w:sz="0" w:space="0" w:color="auto"/>
        <w:right w:val="none" w:sz="0" w:space="0" w:color="auto"/>
      </w:divBdr>
    </w:div>
    <w:div w:id="621570500">
      <w:bodyDiv w:val="1"/>
      <w:marLeft w:val="0"/>
      <w:marRight w:val="0"/>
      <w:marTop w:val="0"/>
      <w:marBottom w:val="0"/>
      <w:divBdr>
        <w:top w:val="none" w:sz="0" w:space="0" w:color="auto"/>
        <w:left w:val="none" w:sz="0" w:space="0" w:color="auto"/>
        <w:bottom w:val="none" w:sz="0" w:space="0" w:color="auto"/>
        <w:right w:val="none" w:sz="0" w:space="0" w:color="auto"/>
      </w:divBdr>
    </w:div>
    <w:div w:id="1081100526">
      <w:bodyDiv w:val="1"/>
      <w:marLeft w:val="0"/>
      <w:marRight w:val="0"/>
      <w:marTop w:val="0"/>
      <w:marBottom w:val="0"/>
      <w:divBdr>
        <w:top w:val="none" w:sz="0" w:space="0" w:color="auto"/>
        <w:left w:val="none" w:sz="0" w:space="0" w:color="auto"/>
        <w:bottom w:val="none" w:sz="0" w:space="0" w:color="auto"/>
        <w:right w:val="none" w:sz="0" w:space="0" w:color="auto"/>
      </w:divBdr>
    </w:div>
    <w:div w:id="1524829849">
      <w:bodyDiv w:val="1"/>
      <w:marLeft w:val="0"/>
      <w:marRight w:val="0"/>
      <w:marTop w:val="0"/>
      <w:marBottom w:val="0"/>
      <w:divBdr>
        <w:top w:val="none" w:sz="0" w:space="0" w:color="auto"/>
        <w:left w:val="none" w:sz="0" w:space="0" w:color="auto"/>
        <w:bottom w:val="none" w:sz="0" w:space="0" w:color="auto"/>
        <w:right w:val="none" w:sz="0" w:space="0" w:color="auto"/>
      </w:divBdr>
    </w:div>
    <w:div w:id="1729568840">
      <w:bodyDiv w:val="1"/>
      <w:marLeft w:val="0"/>
      <w:marRight w:val="0"/>
      <w:marTop w:val="0"/>
      <w:marBottom w:val="0"/>
      <w:divBdr>
        <w:top w:val="none" w:sz="0" w:space="0" w:color="auto"/>
        <w:left w:val="none" w:sz="0" w:space="0" w:color="auto"/>
        <w:bottom w:val="none" w:sz="0" w:space="0" w:color="auto"/>
        <w:right w:val="none" w:sz="0" w:space="0" w:color="auto"/>
      </w:divBdr>
      <w:divsChild>
        <w:div w:id="1308589021">
          <w:marLeft w:val="0"/>
          <w:marRight w:val="0"/>
          <w:marTop w:val="0"/>
          <w:marBottom w:val="0"/>
          <w:divBdr>
            <w:top w:val="none" w:sz="0" w:space="0" w:color="auto"/>
            <w:left w:val="none" w:sz="0" w:space="0" w:color="auto"/>
            <w:bottom w:val="none" w:sz="0" w:space="0" w:color="auto"/>
            <w:right w:val="none" w:sz="0" w:space="0" w:color="auto"/>
          </w:divBdr>
        </w:div>
        <w:div w:id="19663036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microsoft.com/office/2007/relationships/hdphoto" Target="media/hdphoto1.wdp"/><Relationship Id="rId39" Type="http://schemas.microsoft.com/office/2007/relationships/hdphoto" Target="media/hdphoto7.wdp"/><Relationship Id="rId21" Type="http://schemas.openxmlformats.org/officeDocument/2006/relationships/image" Target="media/image4.jpeg"/><Relationship Id="rId34" Type="http://schemas.microsoft.com/office/2007/relationships/hdphoto" Target="media/hdphoto5.wdp"/><Relationship Id="rId42" Type="http://schemas.openxmlformats.org/officeDocument/2006/relationships/image" Target="media/image14.pn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3.png"/><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image" Target="media/image5.png"/><Relationship Id="rId32" Type="http://schemas.microsoft.com/office/2007/relationships/hdphoto" Target="media/hdphoto4.wdp"/><Relationship Id="rId37" Type="http://schemas.openxmlformats.org/officeDocument/2006/relationships/hyperlink" Target="https://www.acecqa.gov.au/qualifications/qualification-requirements" TargetMode="External"/><Relationship Id="rId40" Type="http://schemas.openxmlformats.org/officeDocument/2006/relationships/image" Target="media/image13.png"/><Relationship Id="rId45" Type="http://schemas.microsoft.com/office/2007/relationships/hdphoto" Target="media/hdphoto10.wdp"/><Relationship Id="rId53" Type="http://schemas.openxmlformats.org/officeDocument/2006/relationships/image" Target="media/image22.png"/><Relationship Id="rId58" Type="http://schemas.microsoft.com/office/2007/relationships/hdphoto" Target="media/hdphoto14.wdp"/><Relationship Id="rId5" Type="http://schemas.openxmlformats.org/officeDocument/2006/relationships/customXml" Target="../customXml/item5.xml"/><Relationship Id="rId61" Type="http://schemas.microsoft.com/office/2007/relationships/hdphoto" Target="media/hdphoto15.wdp"/><Relationship Id="rId19" Type="http://schemas.openxmlformats.org/officeDocument/2006/relationships/header" Target="header3.xml"/><Relationship Id="rId14" Type="http://schemas.openxmlformats.org/officeDocument/2006/relationships/image" Target="media/image3.svg"/><Relationship Id="rId22" Type="http://schemas.openxmlformats.org/officeDocument/2006/relationships/hyperlink" Target="https://creativecommons.org/licenses/by/4.0/" TargetMode="External"/><Relationship Id="rId27" Type="http://schemas.openxmlformats.org/officeDocument/2006/relationships/image" Target="media/image7.png"/><Relationship Id="rId30" Type="http://schemas.microsoft.com/office/2007/relationships/hdphoto" Target="media/hdphoto3.wdp"/><Relationship Id="rId35" Type="http://schemas.openxmlformats.org/officeDocument/2006/relationships/image" Target="media/image11.png"/><Relationship Id="rId43" Type="http://schemas.microsoft.com/office/2007/relationships/hdphoto" Target="media/hdphoto9.wdp"/><Relationship Id="rId48" Type="http://schemas.openxmlformats.org/officeDocument/2006/relationships/image" Target="media/image18.jpg"/><Relationship Id="rId56" Type="http://schemas.microsoft.com/office/2007/relationships/hdphoto" Target="media/hdphoto13.wdp"/><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1.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image" Target="media/image12.png"/><Relationship Id="rId46" Type="http://schemas.openxmlformats.org/officeDocument/2006/relationships/image" Target="media/image16.jpeg"/><Relationship Id="rId59" Type="http://schemas.openxmlformats.org/officeDocument/2006/relationships/hyperlink" Target="https://treasury.gov.au/speech/address-policy-research-conference" TargetMode="External"/><Relationship Id="rId20" Type="http://schemas.openxmlformats.org/officeDocument/2006/relationships/footer" Target="footer3.xml"/><Relationship Id="rId41" Type="http://schemas.microsoft.com/office/2007/relationships/hdphoto" Target="media/hdphoto8.wdp"/><Relationship Id="rId54" Type="http://schemas.microsoft.com/office/2007/relationships/hdphoto" Target="media/hdphoto12.wdp"/><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creativecommons.org/licenses/by/4.0/legalcode" TargetMode="External"/><Relationship Id="rId28" Type="http://schemas.microsoft.com/office/2007/relationships/hdphoto" Target="media/hdphoto2.wdp"/><Relationship Id="rId36" Type="http://schemas.microsoft.com/office/2007/relationships/hdphoto" Target="media/hdphoto6.wdp"/><Relationship Id="rId49" Type="http://schemas.openxmlformats.org/officeDocument/2006/relationships/image" Target="media/image19.emf"/><Relationship Id="rId57" Type="http://schemas.openxmlformats.org/officeDocument/2006/relationships/image" Target="media/image24.png"/><Relationship Id="rId10" Type="http://schemas.openxmlformats.org/officeDocument/2006/relationships/footnotes" Target="footnotes.xml"/><Relationship Id="rId31" Type="http://schemas.openxmlformats.org/officeDocument/2006/relationships/image" Target="media/image9.png"/><Relationship Id="rId44" Type="http://schemas.openxmlformats.org/officeDocument/2006/relationships/image" Target="media/image15.png"/><Relationship Id="rId52" Type="http://schemas.microsoft.com/office/2007/relationships/hdphoto" Target="media/hdphoto11.wdp"/><Relationship Id="rId60"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webSettings" Target="webSettings.xml"/></Relationships>
</file>

<file path=word/_rels/footer4.xml.rels><?xml version="1.0" encoding="UTF-8" standalone="yes"?>
<Relationships xmlns="http://schemas.openxmlformats.org/package/2006/relationships"><Relationship Id="rId1" Type="http://schemas.openxmlformats.org/officeDocument/2006/relationships/image" Target="media/image26.jpg"/></Relationships>
</file>

<file path=word/_rels/footnotes.xml.rels><?xml version="1.0" encoding="UTF-8" standalone="yes"?>
<Relationships xmlns="http://schemas.openxmlformats.org/package/2006/relationships"><Relationship Id="rId13" Type="http://schemas.openxmlformats.org/officeDocument/2006/relationships/hyperlink" Target="https://www.education.gov.au/child-care-package/early-childhood-data-and-reports/quarterly-reports/child-care-australia-report-september-quarter-2018" TargetMode="External"/><Relationship Id="rId18" Type="http://schemas.openxmlformats.org/officeDocument/2006/relationships/hyperlink" Target="https://labourmarketinsights.gov.au/occupation-profile/Child-Carers?occupationCode=4211" TargetMode="External"/><Relationship Id="rId26" Type="http://schemas.openxmlformats.org/officeDocument/2006/relationships/hyperlink" Target="https://www.education.gov.au/child-care-package/early-childhood-data-and-reports/quarterly-reports-usage-services-fees-and-subsidies/child-care-subsidy-data-report-september-quarter-2022" TargetMode="External"/><Relationship Id="rId39" Type="http://schemas.openxmlformats.org/officeDocument/2006/relationships/hyperlink" Target="https://www.snaicc.org.au/snaicc-submission-to-remote-education-inquiry/" TargetMode="External"/><Relationship Id="rId21" Type="http://schemas.openxmlformats.org/officeDocument/2006/relationships/hyperlink" Target="https://labourmarketinsights.gov.au/occupation-profile/Child-Care-Centre-Managers?occupationCode=1341" TargetMode="External"/><Relationship Id="rId34" Type="http://schemas.openxmlformats.org/officeDocument/2006/relationships/hyperlink" Target="https://www.pmc.gov.au/office-women/womens-economic-equality/womens-economic-equality-taskforce/letter-minister-office" TargetMode="External"/><Relationship Id="rId42" Type="http://schemas.openxmlformats.org/officeDocument/2006/relationships/hyperlink" Target="https://www.jobsandskills.gov.au/reports/labour-market-update-december-2022" TargetMode="External"/><Relationship Id="rId7" Type="http://schemas.openxmlformats.org/officeDocument/2006/relationships/hyperlink" Target="https://www.thefrontproject.org.au/economic-analysis" TargetMode="External"/><Relationship Id="rId2" Type="http://schemas.openxmlformats.org/officeDocument/2006/relationships/hyperlink" Target="https://www.education.gov.au/child-care-package/early-childhood-data-and-reports/quarterly-reports-usage-services-fees-and-subsidies/child-care-subsidy-data-report-september-quarter-2022" TargetMode="External"/><Relationship Id="rId16" Type="http://schemas.openxmlformats.org/officeDocument/2006/relationships/hyperlink" Target="https://labourmarketinsights.gov.au/occupation-profile/Child-Care-Centre-Managers?occupationCode=1341" TargetMode="External"/><Relationship Id="rId20" Type="http://schemas.openxmlformats.org/officeDocument/2006/relationships/hyperlink" Target="https://www.education.gov.au/child-care-package/resources/2021-early-childhood-education-and-care-national-workforce-census-report" TargetMode="External"/><Relationship Id="rId29" Type="http://schemas.openxmlformats.org/officeDocument/2006/relationships/hyperlink" Target="https://www.education.gov.au/about-department/resources/2021-22-dese-annual-report" TargetMode="External"/><Relationship Id="rId41" Type="http://schemas.openxmlformats.org/officeDocument/2006/relationships/hyperlink" Target="https://www.acecqa.gov.au/national-workforce-strategy" TargetMode="External"/><Relationship Id="rId1" Type="http://schemas.openxmlformats.org/officeDocument/2006/relationships/hyperlink" Target="https://www.aracy.org.au/publications-resources/area?command=record&amp;id=207" TargetMode="External"/><Relationship Id="rId6" Type="http://schemas.openxmlformats.org/officeDocument/2006/relationships/hyperlink" Target="https://www.legislation.gov.au/Series/F2017L01463" TargetMode="External"/><Relationship Id="rId11" Type="http://schemas.openxmlformats.org/officeDocument/2006/relationships/hyperlink" Target="https://www.abs.gov.au/statistics/labour/employment-and-unemployment/barriers-and-incentives-labour-force-participation-australia/2020-21" TargetMode="External"/><Relationship Id="rId24" Type="http://schemas.openxmlformats.org/officeDocument/2006/relationships/hyperlink" Target="https://labourmarketinsights.gov.au/occupation-profile/Early-Childhood-(Pre-primary-School)-Teachers?occupationCode=2411" TargetMode="External"/><Relationship Id="rId32" Type="http://schemas.openxmlformats.org/officeDocument/2006/relationships/hyperlink" Target="https://www.pc.gov.au/closing-the-gap-data/dashboard" TargetMode="External"/><Relationship Id="rId37" Type="http://schemas.openxmlformats.org/officeDocument/2006/relationships/hyperlink" Target="https://www.acecqa.gov.au/national-workforce-strategy" TargetMode="External"/><Relationship Id="rId40" Type="http://schemas.openxmlformats.org/officeDocument/2006/relationships/hyperlink" Target="https://aifs.gov.au/research/research-reports/child-care-package-evaluation-final-report" TargetMode="External"/><Relationship Id="rId5" Type="http://schemas.openxmlformats.org/officeDocument/2006/relationships/hyperlink" Target="https://www.legislation.gov.au/Series/F2017L01464" TargetMode="External"/><Relationship Id="rId15" Type="http://schemas.openxmlformats.org/officeDocument/2006/relationships/hyperlink" Target="https://www.abs.gov.au/statistics/people/education/preschool-education/latest-release" TargetMode="External"/><Relationship Id="rId23" Type="http://schemas.openxmlformats.org/officeDocument/2006/relationships/hyperlink" Target="https://labourmarketinsights.gov.au/occupation-profile/Child-Carers?occupationCode=4211" TargetMode="External"/><Relationship Id="rId28" Type="http://schemas.openxmlformats.org/officeDocument/2006/relationships/hyperlink" Target="https://www.education.gov.au/about-us/resources/portfolio-budget-statements-2022-23" TargetMode="External"/><Relationship Id="rId36" Type="http://schemas.openxmlformats.org/officeDocument/2006/relationships/hyperlink" Target="https://treasury.gov.au/speech/address-policy-research-conference" TargetMode="External"/><Relationship Id="rId10" Type="http://schemas.openxmlformats.org/officeDocument/2006/relationships/hyperlink" Target="https://www.wgea.gov.au/publications/wages-and-ages" TargetMode="External"/><Relationship Id="rId19" Type="http://schemas.openxmlformats.org/officeDocument/2006/relationships/hyperlink" Target="https://labourmarketinsights.gov.au/occupation-profile/Early-Childhood-(Pre-primary-School)-Teachers?occupationCode=2411" TargetMode="External"/><Relationship Id="rId31" Type="http://schemas.openxmlformats.org/officeDocument/2006/relationships/hyperlink" Target="https://archive.budget.gov.au/2022-23-october/" TargetMode="External"/><Relationship Id="rId4" Type="http://schemas.openxmlformats.org/officeDocument/2006/relationships/hyperlink" Target="https://www.legislation.gov.au/Series/C2004A00491" TargetMode="External"/><Relationship Id="rId9" Type="http://schemas.openxmlformats.org/officeDocument/2006/relationships/hyperlink" Target="https://www.education.gov.au/quality-schools-package/resources/effects-schooling-outcomes-early-developmental-vulnerabilities-children" TargetMode="External"/><Relationship Id="rId14" Type="http://schemas.openxmlformats.org/officeDocument/2006/relationships/hyperlink" Target="https://www.education.gov.au/child-care-package/early-childhood-data-and-reports/quarterly-reports-usage-services-fees-and-subsidies/child-care-subsidy-data-report-september-quarter-2022" TargetMode="External"/><Relationship Id="rId22" Type="http://schemas.openxmlformats.org/officeDocument/2006/relationships/hyperlink" Target="https://labourmarketinsights.gov.au/about-us/job-outlook-and-the-labour-market-information-portal-lmip/" TargetMode="External"/><Relationship Id="rId27" Type="http://schemas.openxmlformats.org/officeDocument/2006/relationships/hyperlink" Target="https://www.education.gov.au/child-care-package/resources/child-care-financial-integrity-strategy" TargetMode="External"/><Relationship Id="rId30" Type="http://schemas.openxmlformats.org/officeDocument/2006/relationships/hyperlink" Target="https://www.abs.gov.au/statistics/people/education/preschool-education/2022" TargetMode="External"/><Relationship Id="rId35" Type="http://schemas.openxmlformats.org/officeDocument/2006/relationships/hyperlink" Target="https://www.pc.gov.au/inquiries/completed/childcare/report" TargetMode="External"/><Relationship Id="rId43" Type="http://schemas.openxmlformats.org/officeDocument/2006/relationships/hyperlink" Target="https://www.nationalskillscommission.gov.au/topics/skills-priority-list" TargetMode="External"/><Relationship Id="rId8" Type="http://schemas.openxmlformats.org/officeDocument/2006/relationships/hyperlink" Target="https://www.education.vic.gov.au/Documents/about/research/preschoolparticipationandqualissummarypaper2013.pdf" TargetMode="External"/><Relationship Id="rId3" Type="http://schemas.openxmlformats.org/officeDocument/2006/relationships/hyperlink" Target="https://www.legislation.gov.au/Series/C2004A00490" TargetMode="External"/><Relationship Id="rId12" Type="http://schemas.openxmlformats.org/officeDocument/2006/relationships/hyperlink" Target="https://www.agec.org.au/wp-content/uploads/2022/03/2017-Government-Workforce-Startegy-towards-2025-strategy-Womens-workforce-participation.pdf" TargetMode="External"/><Relationship Id="rId17" Type="http://schemas.openxmlformats.org/officeDocument/2006/relationships/hyperlink" Target="https://labourmarketinsights.gov.au/about-us/job-outlook-and-the-labour-market-information-portal-lmip/" TargetMode="External"/><Relationship Id="rId25" Type="http://schemas.openxmlformats.org/officeDocument/2006/relationships/hyperlink" Target="https://www.acecqa.gov.au/sites/default/files/2022-01/ProgressingNationalApproachChildrensEducationCareWorkforce.pdf" TargetMode="External"/><Relationship Id="rId33" Type="http://schemas.openxmlformats.org/officeDocument/2006/relationships/hyperlink" Target="https://ministers.treasury.gov.au/sites/ministers.treasury.gov.au/files/2023-04/eiac-report.pdf" TargetMode="External"/><Relationship Id="rId38" Type="http://schemas.openxmlformats.org/officeDocument/2006/relationships/hyperlink" Target="https://www.acecqa.gov.au/latest-news/our-latest-occasional-paper-highlights-variation-quality-ratings-across-socio-economic" TargetMode="External"/></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20393cdf-440a-4521-8f19-00ba43423d00">
      <Value>1</Value>
    </TaxCatchAll>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lcf76f155ced4ddcb4097134ff3c332f xmlns="3d385984-9344-419b-a80b-49c06a2bdab8">
      <Terms xmlns="http://schemas.microsoft.com/office/infopath/2007/PartnerControls"/>
    </lcf76f155ced4ddcb4097134ff3c332f>
    <thumbnail xmlns="3d385984-9344-419b-a80b-49c06a2bdab8" xsi:nil="true"/>
    <_Flow_SignoffStatus xmlns="3d385984-9344-419b-a80b-49c06a2bdab8" xsi:nil="true"/>
    <_dlc_DocId xmlns="20393cdf-440a-4521-8f19-00ba43423d00">MPWT-2140667901-21780</_dlc_DocId>
    <_dlc_DocIdUrl xmlns="20393cdf-440a-4521-8f19-00ba43423d00">
      <Url>https://pcgov.sharepoint.com/sites/sceteam/_layouts/15/DocIdRedir.aspx?ID=MPWT-2140667901-21780</Url>
      <Description>MPWT-2140667901-21780</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18" ma:contentTypeDescription="" ma:contentTypeScope="" ma:versionID="45c6a513e0803578067c472271af5d25">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31ea5e3dfda4242864da0f6b8c7117de"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E5359-F461-4366-9B99-859FDF4DD86F}">
  <ds:schemaRefs>
    <ds:schemaRef ds:uri="http://schemas.microsoft.com/sharepoint/events"/>
  </ds:schemaRefs>
</ds:datastoreItem>
</file>

<file path=customXml/itemProps2.xml><?xml version="1.0" encoding="utf-8"?>
<ds:datastoreItem xmlns:ds="http://schemas.openxmlformats.org/officeDocument/2006/customXml" ds:itemID="{19719FB2-58C8-4DD9-AA8A-DDE5AD798B3F}">
  <ds:schemaRefs>
    <ds:schemaRef ds:uri="3d385984-9344-419b-a80b-49c06a2bdab8"/>
    <ds:schemaRef ds:uri="http://schemas.microsoft.com/office/infopath/2007/PartnerControls"/>
    <ds:schemaRef ds:uri="http://schemas.microsoft.com/office/2006/documentManagement/types"/>
    <ds:schemaRef ds:uri="20393cdf-440a-4521-8f19-00ba43423d00"/>
    <ds:schemaRef ds:uri="http://purl.org/dc/dcmitype/"/>
    <ds:schemaRef ds:uri="http://purl.org/dc/elements/1.1/"/>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2D60A0FC-421C-443A-BF1C-6488121830FC}">
  <ds:schemaRefs>
    <ds:schemaRef ds:uri="http://schemas.microsoft.com/sharepoint/v3/contenttype/forms"/>
  </ds:schemaRefs>
</ds:datastoreItem>
</file>

<file path=customXml/itemProps4.xml><?xml version="1.0" encoding="utf-8"?>
<ds:datastoreItem xmlns:ds="http://schemas.openxmlformats.org/officeDocument/2006/customXml" ds:itemID="{97019999-9538-43EB-A02A-528088CEFA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43</Pages>
  <Words>12179</Words>
  <Characters>69423</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Submission 90 - Australian Government Department of Education - Early Childhood Education and Care - Public inquiry</vt:lpstr>
    </vt:vector>
  </TitlesOfParts>
  <Company>Australian Government Department of Education</Company>
  <LinksUpToDate>false</LinksUpToDate>
  <CharactersWithSpaces>81440</CharactersWithSpaces>
  <SharedDoc>false</SharedDoc>
  <HLinks>
    <vt:vector size="480" baseType="variant">
      <vt:variant>
        <vt:i4>1638428</vt:i4>
      </vt:variant>
      <vt:variant>
        <vt:i4>240</vt:i4>
      </vt:variant>
      <vt:variant>
        <vt:i4>0</vt:i4>
      </vt:variant>
      <vt:variant>
        <vt:i4>5</vt:i4>
      </vt:variant>
      <vt:variant>
        <vt:lpwstr>https://treasury.gov.au/speech/address-policy-research-conference</vt:lpwstr>
      </vt:variant>
      <vt:variant>
        <vt:lpwstr/>
      </vt:variant>
      <vt:variant>
        <vt:i4>6946877</vt:i4>
      </vt:variant>
      <vt:variant>
        <vt:i4>186</vt:i4>
      </vt:variant>
      <vt:variant>
        <vt:i4>0</vt:i4>
      </vt:variant>
      <vt:variant>
        <vt:i4>5</vt:i4>
      </vt:variant>
      <vt:variant>
        <vt:lpwstr>https://www.acecqa.gov.au/qualifications/qualification-requirements</vt:lpwstr>
      </vt:variant>
      <vt:variant>
        <vt:lpwstr/>
      </vt:variant>
      <vt:variant>
        <vt:i4>1441848</vt:i4>
      </vt:variant>
      <vt:variant>
        <vt:i4>158</vt:i4>
      </vt:variant>
      <vt:variant>
        <vt:i4>0</vt:i4>
      </vt:variant>
      <vt:variant>
        <vt:i4>5</vt:i4>
      </vt:variant>
      <vt:variant>
        <vt:lpwstr/>
      </vt:variant>
      <vt:variant>
        <vt:lpwstr>_Toc135296564</vt:lpwstr>
      </vt:variant>
      <vt:variant>
        <vt:i4>1441848</vt:i4>
      </vt:variant>
      <vt:variant>
        <vt:i4>152</vt:i4>
      </vt:variant>
      <vt:variant>
        <vt:i4>0</vt:i4>
      </vt:variant>
      <vt:variant>
        <vt:i4>5</vt:i4>
      </vt:variant>
      <vt:variant>
        <vt:lpwstr/>
      </vt:variant>
      <vt:variant>
        <vt:lpwstr>_Toc135296563</vt:lpwstr>
      </vt:variant>
      <vt:variant>
        <vt:i4>1441848</vt:i4>
      </vt:variant>
      <vt:variant>
        <vt:i4>146</vt:i4>
      </vt:variant>
      <vt:variant>
        <vt:i4>0</vt:i4>
      </vt:variant>
      <vt:variant>
        <vt:i4>5</vt:i4>
      </vt:variant>
      <vt:variant>
        <vt:lpwstr/>
      </vt:variant>
      <vt:variant>
        <vt:lpwstr>_Toc135296562</vt:lpwstr>
      </vt:variant>
      <vt:variant>
        <vt:i4>1441848</vt:i4>
      </vt:variant>
      <vt:variant>
        <vt:i4>140</vt:i4>
      </vt:variant>
      <vt:variant>
        <vt:i4>0</vt:i4>
      </vt:variant>
      <vt:variant>
        <vt:i4>5</vt:i4>
      </vt:variant>
      <vt:variant>
        <vt:lpwstr/>
      </vt:variant>
      <vt:variant>
        <vt:lpwstr>_Toc135296561</vt:lpwstr>
      </vt:variant>
      <vt:variant>
        <vt:i4>1441848</vt:i4>
      </vt:variant>
      <vt:variant>
        <vt:i4>134</vt:i4>
      </vt:variant>
      <vt:variant>
        <vt:i4>0</vt:i4>
      </vt:variant>
      <vt:variant>
        <vt:i4>5</vt:i4>
      </vt:variant>
      <vt:variant>
        <vt:lpwstr/>
      </vt:variant>
      <vt:variant>
        <vt:lpwstr>_Toc135296560</vt:lpwstr>
      </vt:variant>
      <vt:variant>
        <vt:i4>1376312</vt:i4>
      </vt:variant>
      <vt:variant>
        <vt:i4>128</vt:i4>
      </vt:variant>
      <vt:variant>
        <vt:i4>0</vt:i4>
      </vt:variant>
      <vt:variant>
        <vt:i4>5</vt:i4>
      </vt:variant>
      <vt:variant>
        <vt:lpwstr/>
      </vt:variant>
      <vt:variant>
        <vt:lpwstr>_Toc135296559</vt:lpwstr>
      </vt:variant>
      <vt:variant>
        <vt:i4>1376312</vt:i4>
      </vt:variant>
      <vt:variant>
        <vt:i4>122</vt:i4>
      </vt:variant>
      <vt:variant>
        <vt:i4>0</vt:i4>
      </vt:variant>
      <vt:variant>
        <vt:i4>5</vt:i4>
      </vt:variant>
      <vt:variant>
        <vt:lpwstr/>
      </vt:variant>
      <vt:variant>
        <vt:lpwstr>_Toc135296558</vt:lpwstr>
      </vt:variant>
      <vt:variant>
        <vt:i4>1376312</vt:i4>
      </vt:variant>
      <vt:variant>
        <vt:i4>116</vt:i4>
      </vt:variant>
      <vt:variant>
        <vt:i4>0</vt:i4>
      </vt:variant>
      <vt:variant>
        <vt:i4>5</vt:i4>
      </vt:variant>
      <vt:variant>
        <vt:lpwstr/>
      </vt:variant>
      <vt:variant>
        <vt:lpwstr>_Toc135296557</vt:lpwstr>
      </vt:variant>
      <vt:variant>
        <vt:i4>1376312</vt:i4>
      </vt:variant>
      <vt:variant>
        <vt:i4>110</vt:i4>
      </vt:variant>
      <vt:variant>
        <vt:i4>0</vt:i4>
      </vt:variant>
      <vt:variant>
        <vt:i4>5</vt:i4>
      </vt:variant>
      <vt:variant>
        <vt:lpwstr/>
      </vt:variant>
      <vt:variant>
        <vt:lpwstr>_Toc135296556</vt:lpwstr>
      </vt:variant>
      <vt:variant>
        <vt:i4>1376312</vt:i4>
      </vt:variant>
      <vt:variant>
        <vt:i4>104</vt:i4>
      </vt:variant>
      <vt:variant>
        <vt:i4>0</vt:i4>
      </vt:variant>
      <vt:variant>
        <vt:i4>5</vt:i4>
      </vt:variant>
      <vt:variant>
        <vt:lpwstr/>
      </vt:variant>
      <vt:variant>
        <vt:lpwstr>_Toc135296555</vt:lpwstr>
      </vt:variant>
      <vt:variant>
        <vt:i4>1376312</vt:i4>
      </vt:variant>
      <vt:variant>
        <vt:i4>98</vt:i4>
      </vt:variant>
      <vt:variant>
        <vt:i4>0</vt:i4>
      </vt:variant>
      <vt:variant>
        <vt:i4>5</vt:i4>
      </vt:variant>
      <vt:variant>
        <vt:lpwstr/>
      </vt:variant>
      <vt:variant>
        <vt:lpwstr>_Toc135296554</vt:lpwstr>
      </vt:variant>
      <vt:variant>
        <vt:i4>1376312</vt:i4>
      </vt:variant>
      <vt:variant>
        <vt:i4>92</vt:i4>
      </vt:variant>
      <vt:variant>
        <vt:i4>0</vt:i4>
      </vt:variant>
      <vt:variant>
        <vt:i4>5</vt:i4>
      </vt:variant>
      <vt:variant>
        <vt:lpwstr/>
      </vt:variant>
      <vt:variant>
        <vt:lpwstr>_Toc135296553</vt:lpwstr>
      </vt:variant>
      <vt:variant>
        <vt:i4>1376312</vt:i4>
      </vt:variant>
      <vt:variant>
        <vt:i4>86</vt:i4>
      </vt:variant>
      <vt:variant>
        <vt:i4>0</vt:i4>
      </vt:variant>
      <vt:variant>
        <vt:i4>5</vt:i4>
      </vt:variant>
      <vt:variant>
        <vt:lpwstr/>
      </vt:variant>
      <vt:variant>
        <vt:lpwstr>_Toc135296552</vt:lpwstr>
      </vt:variant>
      <vt:variant>
        <vt:i4>1376312</vt:i4>
      </vt:variant>
      <vt:variant>
        <vt:i4>80</vt:i4>
      </vt:variant>
      <vt:variant>
        <vt:i4>0</vt:i4>
      </vt:variant>
      <vt:variant>
        <vt:i4>5</vt:i4>
      </vt:variant>
      <vt:variant>
        <vt:lpwstr/>
      </vt:variant>
      <vt:variant>
        <vt:lpwstr>_Toc135296551</vt:lpwstr>
      </vt:variant>
      <vt:variant>
        <vt:i4>1376312</vt:i4>
      </vt:variant>
      <vt:variant>
        <vt:i4>74</vt:i4>
      </vt:variant>
      <vt:variant>
        <vt:i4>0</vt:i4>
      </vt:variant>
      <vt:variant>
        <vt:i4>5</vt:i4>
      </vt:variant>
      <vt:variant>
        <vt:lpwstr/>
      </vt:variant>
      <vt:variant>
        <vt:lpwstr>_Toc135296550</vt:lpwstr>
      </vt:variant>
      <vt:variant>
        <vt:i4>1310776</vt:i4>
      </vt:variant>
      <vt:variant>
        <vt:i4>68</vt:i4>
      </vt:variant>
      <vt:variant>
        <vt:i4>0</vt:i4>
      </vt:variant>
      <vt:variant>
        <vt:i4>5</vt:i4>
      </vt:variant>
      <vt:variant>
        <vt:lpwstr/>
      </vt:variant>
      <vt:variant>
        <vt:lpwstr>_Toc135296549</vt:lpwstr>
      </vt:variant>
      <vt:variant>
        <vt:i4>1310776</vt:i4>
      </vt:variant>
      <vt:variant>
        <vt:i4>62</vt:i4>
      </vt:variant>
      <vt:variant>
        <vt:i4>0</vt:i4>
      </vt:variant>
      <vt:variant>
        <vt:i4>5</vt:i4>
      </vt:variant>
      <vt:variant>
        <vt:lpwstr/>
      </vt:variant>
      <vt:variant>
        <vt:lpwstr>_Toc135296548</vt:lpwstr>
      </vt:variant>
      <vt:variant>
        <vt:i4>1310776</vt:i4>
      </vt:variant>
      <vt:variant>
        <vt:i4>56</vt:i4>
      </vt:variant>
      <vt:variant>
        <vt:i4>0</vt:i4>
      </vt:variant>
      <vt:variant>
        <vt:i4>5</vt:i4>
      </vt:variant>
      <vt:variant>
        <vt:lpwstr/>
      </vt:variant>
      <vt:variant>
        <vt:lpwstr>_Toc135296547</vt:lpwstr>
      </vt:variant>
      <vt:variant>
        <vt:i4>1310776</vt:i4>
      </vt:variant>
      <vt:variant>
        <vt:i4>50</vt:i4>
      </vt:variant>
      <vt:variant>
        <vt:i4>0</vt:i4>
      </vt:variant>
      <vt:variant>
        <vt:i4>5</vt:i4>
      </vt:variant>
      <vt:variant>
        <vt:lpwstr/>
      </vt:variant>
      <vt:variant>
        <vt:lpwstr>_Toc135296546</vt:lpwstr>
      </vt:variant>
      <vt:variant>
        <vt:i4>1310776</vt:i4>
      </vt:variant>
      <vt:variant>
        <vt:i4>44</vt:i4>
      </vt:variant>
      <vt:variant>
        <vt:i4>0</vt:i4>
      </vt:variant>
      <vt:variant>
        <vt:i4>5</vt:i4>
      </vt:variant>
      <vt:variant>
        <vt:lpwstr/>
      </vt:variant>
      <vt:variant>
        <vt:lpwstr>_Toc135296545</vt:lpwstr>
      </vt:variant>
      <vt:variant>
        <vt:i4>1310776</vt:i4>
      </vt:variant>
      <vt:variant>
        <vt:i4>38</vt:i4>
      </vt:variant>
      <vt:variant>
        <vt:i4>0</vt:i4>
      </vt:variant>
      <vt:variant>
        <vt:i4>5</vt:i4>
      </vt:variant>
      <vt:variant>
        <vt:lpwstr/>
      </vt:variant>
      <vt:variant>
        <vt:lpwstr>_Toc135296544</vt:lpwstr>
      </vt:variant>
      <vt:variant>
        <vt:i4>1310776</vt:i4>
      </vt:variant>
      <vt:variant>
        <vt:i4>32</vt:i4>
      </vt:variant>
      <vt:variant>
        <vt:i4>0</vt:i4>
      </vt:variant>
      <vt:variant>
        <vt:i4>5</vt:i4>
      </vt:variant>
      <vt:variant>
        <vt:lpwstr/>
      </vt:variant>
      <vt:variant>
        <vt:lpwstr>_Toc135296543</vt:lpwstr>
      </vt:variant>
      <vt:variant>
        <vt:i4>1310776</vt:i4>
      </vt:variant>
      <vt:variant>
        <vt:i4>26</vt:i4>
      </vt:variant>
      <vt:variant>
        <vt:i4>0</vt:i4>
      </vt:variant>
      <vt:variant>
        <vt:i4>5</vt:i4>
      </vt:variant>
      <vt:variant>
        <vt:lpwstr/>
      </vt:variant>
      <vt:variant>
        <vt:lpwstr>_Toc135296542</vt:lpwstr>
      </vt:variant>
      <vt:variant>
        <vt:i4>1310776</vt:i4>
      </vt:variant>
      <vt:variant>
        <vt:i4>20</vt:i4>
      </vt:variant>
      <vt:variant>
        <vt:i4>0</vt:i4>
      </vt:variant>
      <vt:variant>
        <vt:i4>5</vt:i4>
      </vt:variant>
      <vt:variant>
        <vt:lpwstr/>
      </vt:variant>
      <vt:variant>
        <vt:lpwstr>_Toc135296541</vt:lpwstr>
      </vt:variant>
      <vt:variant>
        <vt:i4>1310776</vt:i4>
      </vt:variant>
      <vt:variant>
        <vt:i4>14</vt:i4>
      </vt:variant>
      <vt:variant>
        <vt:i4>0</vt:i4>
      </vt:variant>
      <vt:variant>
        <vt:i4>5</vt:i4>
      </vt:variant>
      <vt:variant>
        <vt:lpwstr/>
      </vt:variant>
      <vt:variant>
        <vt:lpwstr>_Toc135296540</vt:lpwstr>
      </vt:variant>
      <vt:variant>
        <vt:i4>1245240</vt:i4>
      </vt:variant>
      <vt:variant>
        <vt:i4>8</vt:i4>
      </vt:variant>
      <vt:variant>
        <vt:i4>0</vt:i4>
      </vt:variant>
      <vt:variant>
        <vt:i4>5</vt:i4>
      </vt:variant>
      <vt:variant>
        <vt:lpwstr/>
      </vt:variant>
      <vt:variant>
        <vt:lpwstr>_Toc135296539</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2293796</vt:i4>
      </vt:variant>
      <vt:variant>
        <vt:i4>126</vt:i4>
      </vt:variant>
      <vt:variant>
        <vt:i4>0</vt:i4>
      </vt:variant>
      <vt:variant>
        <vt:i4>5</vt:i4>
      </vt:variant>
      <vt:variant>
        <vt:lpwstr>https://www.nationalskillscommission.gov.au/topics/skills-priority-list</vt:lpwstr>
      </vt:variant>
      <vt:variant>
        <vt:lpwstr/>
      </vt:variant>
      <vt:variant>
        <vt:i4>2424954</vt:i4>
      </vt:variant>
      <vt:variant>
        <vt:i4>123</vt:i4>
      </vt:variant>
      <vt:variant>
        <vt:i4>0</vt:i4>
      </vt:variant>
      <vt:variant>
        <vt:i4>5</vt:i4>
      </vt:variant>
      <vt:variant>
        <vt:lpwstr>https://www.jobsandskills.gov.au/reports/labour-market-update-december-2022</vt:lpwstr>
      </vt:variant>
      <vt:variant>
        <vt:lpwstr/>
      </vt:variant>
      <vt:variant>
        <vt:i4>1704003</vt:i4>
      </vt:variant>
      <vt:variant>
        <vt:i4>120</vt:i4>
      </vt:variant>
      <vt:variant>
        <vt:i4>0</vt:i4>
      </vt:variant>
      <vt:variant>
        <vt:i4>5</vt:i4>
      </vt:variant>
      <vt:variant>
        <vt:lpwstr>https://www.acecqa.gov.au/national-workforce-strategy</vt:lpwstr>
      </vt:variant>
      <vt:variant>
        <vt:lpwstr/>
      </vt:variant>
      <vt:variant>
        <vt:i4>1507346</vt:i4>
      </vt:variant>
      <vt:variant>
        <vt:i4>117</vt:i4>
      </vt:variant>
      <vt:variant>
        <vt:i4>0</vt:i4>
      </vt:variant>
      <vt:variant>
        <vt:i4>5</vt:i4>
      </vt:variant>
      <vt:variant>
        <vt:lpwstr>https://aifs.gov.au/research/research-reports/child-care-package-evaluation-final-report</vt:lpwstr>
      </vt:variant>
      <vt:variant>
        <vt:lpwstr/>
      </vt:variant>
      <vt:variant>
        <vt:i4>1638478</vt:i4>
      </vt:variant>
      <vt:variant>
        <vt:i4>114</vt:i4>
      </vt:variant>
      <vt:variant>
        <vt:i4>0</vt:i4>
      </vt:variant>
      <vt:variant>
        <vt:i4>5</vt:i4>
      </vt:variant>
      <vt:variant>
        <vt:lpwstr>https://www.snaicc.org.au/snaicc-submission-to-remote-education-inquiry/</vt:lpwstr>
      </vt:variant>
      <vt:variant>
        <vt:lpwstr/>
      </vt:variant>
      <vt:variant>
        <vt:i4>131154</vt:i4>
      </vt:variant>
      <vt:variant>
        <vt:i4>111</vt:i4>
      </vt:variant>
      <vt:variant>
        <vt:i4>0</vt:i4>
      </vt:variant>
      <vt:variant>
        <vt:i4>5</vt:i4>
      </vt:variant>
      <vt:variant>
        <vt:lpwstr>https://www.acecqa.gov.au/latest-news/our-latest-occasional-paper-highlights-variation-quality-ratings-across-socio-economic</vt:lpwstr>
      </vt:variant>
      <vt:variant>
        <vt:lpwstr/>
      </vt:variant>
      <vt:variant>
        <vt:i4>1704003</vt:i4>
      </vt:variant>
      <vt:variant>
        <vt:i4>108</vt:i4>
      </vt:variant>
      <vt:variant>
        <vt:i4>0</vt:i4>
      </vt:variant>
      <vt:variant>
        <vt:i4>5</vt:i4>
      </vt:variant>
      <vt:variant>
        <vt:lpwstr>https://www.acecqa.gov.au/national-workforce-strategy</vt:lpwstr>
      </vt:variant>
      <vt:variant>
        <vt:lpwstr/>
      </vt:variant>
      <vt:variant>
        <vt:i4>2424838</vt:i4>
      </vt:variant>
      <vt:variant>
        <vt:i4>105</vt:i4>
      </vt:variant>
      <vt:variant>
        <vt:i4>0</vt:i4>
      </vt:variant>
      <vt:variant>
        <vt:i4>5</vt:i4>
      </vt:variant>
      <vt:variant>
        <vt:lpwstr>https://treasury.gov.au/speech/address-policy-research-conference</vt:lpwstr>
      </vt:variant>
      <vt:variant>
        <vt:lpwstr>_ftn14</vt:lpwstr>
      </vt:variant>
      <vt:variant>
        <vt:i4>2293801</vt:i4>
      </vt:variant>
      <vt:variant>
        <vt:i4>102</vt:i4>
      </vt:variant>
      <vt:variant>
        <vt:i4>0</vt:i4>
      </vt:variant>
      <vt:variant>
        <vt:i4>5</vt:i4>
      </vt:variant>
      <vt:variant>
        <vt:lpwstr>https://www.pc.gov.au/inquiries/completed/childcare/report</vt:lpwstr>
      </vt:variant>
      <vt:variant>
        <vt:lpwstr/>
      </vt:variant>
      <vt:variant>
        <vt:i4>6422653</vt:i4>
      </vt:variant>
      <vt:variant>
        <vt:i4>99</vt:i4>
      </vt:variant>
      <vt:variant>
        <vt:i4>0</vt:i4>
      </vt:variant>
      <vt:variant>
        <vt:i4>5</vt:i4>
      </vt:variant>
      <vt:variant>
        <vt:lpwstr>https://www.pmc.gov.au/office-women/womens-economic-equality/womens-economic-equality-taskforce/letter-minister-office</vt:lpwstr>
      </vt:variant>
      <vt:variant>
        <vt:lpwstr/>
      </vt:variant>
      <vt:variant>
        <vt:i4>3997811</vt:i4>
      </vt:variant>
      <vt:variant>
        <vt:i4>96</vt:i4>
      </vt:variant>
      <vt:variant>
        <vt:i4>0</vt:i4>
      </vt:variant>
      <vt:variant>
        <vt:i4>5</vt:i4>
      </vt:variant>
      <vt:variant>
        <vt:lpwstr>https://ministers.treasury.gov.au/sites/ministers.treasury.gov.au/files/2023-04/eiac-report.pdf</vt:lpwstr>
      </vt:variant>
      <vt:variant>
        <vt:lpwstr/>
      </vt:variant>
      <vt:variant>
        <vt:i4>5308421</vt:i4>
      </vt:variant>
      <vt:variant>
        <vt:i4>93</vt:i4>
      </vt:variant>
      <vt:variant>
        <vt:i4>0</vt:i4>
      </vt:variant>
      <vt:variant>
        <vt:i4>5</vt:i4>
      </vt:variant>
      <vt:variant>
        <vt:lpwstr>https://www.pc.gov.au/closing-the-gap-data/dashboard</vt:lpwstr>
      </vt:variant>
      <vt:variant>
        <vt:lpwstr/>
      </vt:variant>
      <vt:variant>
        <vt:i4>3211298</vt:i4>
      </vt:variant>
      <vt:variant>
        <vt:i4>90</vt:i4>
      </vt:variant>
      <vt:variant>
        <vt:i4>0</vt:i4>
      </vt:variant>
      <vt:variant>
        <vt:i4>5</vt:i4>
      </vt:variant>
      <vt:variant>
        <vt:lpwstr>https://archive.budget.gov.au/2022-23-october/</vt:lpwstr>
      </vt:variant>
      <vt:variant>
        <vt:lpwstr/>
      </vt:variant>
      <vt:variant>
        <vt:i4>7733283</vt:i4>
      </vt:variant>
      <vt:variant>
        <vt:i4>87</vt:i4>
      </vt:variant>
      <vt:variant>
        <vt:i4>0</vt:i4>
      </vt:variant>
      <vt:variant>
        <vt:i4>5</vt:i4>
      </vt:variant>
      <vt:variant>
        <vt:lpwstr>https://www.abs.gov.au/statistics/people/education/preschool-education/2022</vt:lpwstr>
      </vt:variant>
      <vt:variant>
        <vt:lpwstr/>
      </vt:variant>
      <vt:variant>
        <vt:i4>7274612</vt:i4>
      </vt:variant>
      <vt:variant>
        <vt:i4>84</vt:i4>
      </vt:variant>
      <vt:variant>
        <vt:i4>0</vt:i4>
      </vt:variant>
      <vt:variant>
        <vt:i4>5</vt:i4>
      </vt:variant>
      <vt:variant>
        <vt:lpwstr>https://www.education.gov.au/about-department/resources/2021-22-dese-annual-report</vt:lpwstr>
      </vt:variant>
      <vt:variant>
        <vt:lpwstr/>
      </vt:variant>
      <vt:variant>
        <vt:i4>7405616</vt:i4>
      </vt:variant>
      <vt:variant>
        <vt:i4>81</vt:i4>
      </vt:variant>
      <vt:variant>
        <vt:i4>0</vt:i4>
      </vt:variant>
      <vt:variant>
        <vt:i4>5</vt:i4>
      </vt:variant>
      <vt:variant>
        <vt:lpwstr>https://www.education.gov.au/about-us/resources/portfolio-budget-statements-2022-23</vt:lpwstr>
      </vt:variant>
      <vt:variant>
        <vt:lpwstr/>
      </vt:variant>
      <vt:variant>
        <vt:i4>5898258</vt:i4>
      </vt:variant>
      <vt:variant>
        <vt:i4>78</vt:i4>
      </vt:variant>
      <vt:variant>
        <vt:i4>0</vt:i4>
      </vt:variant>
      <vt:variant>
        <vt:i4>5</vt:i4>
      </vt:variant>
      <vt:variant>
        <vt:lpwstr>https://www.education.gov.au/child-care-package/resources/child-care-financial-integrity-strategy</vt:lpwstr>
      </vt:variant>
      <vt:variant>
        <vt:lpwstr/>
      </vt:variant>
      <vt:variant>
        <vt:i4>2293879</vt:i4>
      </vt:variant>
      <vt:variant>
        <vt:i4>75</vt:i4>
      </vt:variant>
      <vt:variant>
        <vt:i4>0</vt:i4>
      </vt:variant>
      <vt:variant>
        <vt:i4>5</vt:i4>
      </vt:variant>
      <vt:variant>
        <vt:lpwstr>https://www.education.gov.au/child-care-package/early-childhood-data-and-reports/quarterly-reports-usage-services-fees-and-subsidies/child-care-subsidy-data-report-september-quarter-2022</vt:lpwstr>
      </vt:variant>
      <vt:variant>
        <vt:lpwstr/>
      </vt:variant>
      <vt:variant>
        <vt:i4>6225924</vt:i4>
      </vt:variant>
      <vt:variant>
        <vt:i4>72</vt:i4>
      </vt:variant>
      <vt:variant>
        <vt:i4>0</vt:i4>
      </vt:variant>
      <vt:variant>
        <vt:i4>5</vt:i4>
      </vt:variant>
      <vt:variant>
        <vt:lpwstr>https://www.acecqa.gov.au/sites/default/files/2022-01/ProgressingNationalApproachChildrensEducationCareWorkforce.pdf</vt:lpwstr>
      </vt:variant>
      <vt:variant>
        <vt:lpwstr/>
      </vt:variant>
      <vt:variant>
        <vt:i4>655425</vt:i4>
      </vt:variant>
      <vt:variant>
        <vt:i4>69</vt:i4>
      </vt:variant>
      <vt:variant>
        <vt:i4>0</vt:i4>
      </vt:variant>
      <vt:variant>
        <vt:i4>5</vt:i4>
      </vt:variant>
      <vt:variant>
        <vt:lpwstr>https://labourmarketinsights.gov.au/occupation-profile/Early-Childhood-(Pre-primary-School)-Teachers?occupationCode=2411</vt:lpwstr>
      </vt:variant>
      <vt:variant>
        <vt:lpwstr/>
      </vt:variant>
      <vt:variant>
        <vt:i4>8257662</vt:i4>
      </vt:variant>
      <vt:variant>
        <vt:i4>66</vt:i4>
      </vt:variant>
      <vt:variant>
        <vt:i4>0</vt:i4>
      </vt:variant>
      <vt:variant>
        <vt:i4>5</vt:i4>
      </vt:variant>
      <vt:variant>
        <vt:lpwstr>https://labourmarketinsights.gov.au/occupation-profile/Child-Carers?occupationCode=4211</vt:lpwstr>
      </vt:variant>
      <vt:variant>
        <vt:lpwstr/>
      </vt:variant>
      <vt:variant>
        <vt:i4>7995502</vt:i4>
      </vt:variant>
      <vt:variant>
        <vt:i4>63</vt:i4>
      </vt:variant>
      <vt:variant>
        <vt:i4>0</vt:i4>
      </vt:variant>
      <vt:variant>
        <vt:i4>5</vt:i4>
      </vt:variant>
      <vt:variant>
        <vt:lpwstr>https://labourmarketinsights.gov.au/about-us/job-outlook-and-the-labour-market-information-portal-lmip/</vt:lpwstr>
      </vt:variant>
      <vt:variant>
        <vt:lpwstr/>
      </vt:variant>
      <vt:variant>
        <vt:i4>4390984</vt:i4>
      </vt:variant>
      <vt:variant>
        <vt:i4>60</vt:i4>
      </vt:variant>
      <vt:variant>
        <vt:i4>0</vt:i4>
      </vt:variant>
      <vt:variant>
        <vt:i4>5</vt:i4>
      </vt:variant>
      <vt:variant>
        <vt:lpwstr>https://labourmarketinsights.gov.au/occupation-profile/Child-Care-Centre-Managers?occupationCode=1341</vt:lpwstr>
      </vt:variant>
      <vt:variant>
        <vt:lpwstr/>
      </vt:variant>
      <vt:variant>
        <vt:i4>8126571</vt:i4>
      </vt:variant>
      <vt:variant>
        <vt:i4>57</vt:i4>
      </vt:variant>
      <vt:variant>
        <vt:i4>0</vt:i4>
      </vt:variant>
      <vt:variant>
        <vt:i4>5</vt:i4>
      </vt:variant>
      <vt:variant>
        <vt:lpwstr>https://www.education.gov.au/child-care-package/resources/2021-early-childhood-education-and-care-national-workforce-census-report</vt:lpwstr>
      </vt:variant>
      <vt:variant>
        <vt:lpwstr/>
      </vt:variant>
      <vt:variant>
        <vt:i4>655425</vt:i4>
      </vt:variant>
      <vt:variant>
        <vt:i4>54</vt:i4>
      </vt:variant>
      <vt:variant>
        <vt:i4>0</vt:i4>
      </vt:variant>
      <vt:variant>
        <vt:i4>5</vt:i4>
      </vt:variant>
      <vt:variant>
        <vt:lpwstr>https://labourmarketinsights.gov.au/occupation-profile/Early-Childhood-(Pre-primary-School)-Teachers?occupationCode=2411</vt:lpwstr>
      </vt:variant>
      <vt:variant>
        <vt:lpwstr/>
      </vt:variant>
      <vt:variant>
        <vt:i4>8257662</vt:i4>
      </vt:variant>
      <vt:variant>
        <vt:i4>51</vt:i4>
      </vt:variant>
      <vt:variant>
        <vt:i4>0</vt:i4>
      </vt:variant>
      <vt:variant>
        <vt:i4>5</vt:i4>
      </vt:variant>
      <vt:variant>
        <vt:lpwstr>https://labourmarketinsights.gov.au/occupation-profile/Child-Carers?occupationCode=4211</vt:lpwstr>
      </vt:variant>
      <vt:variant>
        <vt:lpwstr/>
      </vt:variant>
      <vt:variant>
        <vt:i4>7995502</vt:i4>
      </vt:variant>
      <vt:variant>
        <vt:i4>48</vt:i4>
      </vt:variant>
      <vt:variant>
        <vt:i4>0</vt:i4>
      </vt:variant>
      <vt:variant>
        <vt:i4>5</vt:i4>
      </vt:variant>
      <vt:variant>
        <vt:lpwstr>https://labourmarketinsights.gov.au/about-us/job-outlook-and-the-labour-market-information-portal-lmip/</vt:lpwstr>
      </vt:variant>
      <vt:variant>
        <vt:lpwstr/>
      </vt:variant>
      <vt:variant>
        <vt:i4>4390984</vt:i4>
      </vt:variant>
      <vt:variant>
        <vt:i4>45</vt:i4>
      </vt:variant>
      <vt:variant>
        <vt:i4>0</vt:i4>
      </vt:variant>
      <vt:variant>
        <vt:i4>5</vt:i4>
      </vt:variant>
      <vt:variant>
        <vt:lpwstr>https://labourmarketinsights.gov.au/occupation-profile/Child-Care-Centre-Managers?occupationCode=1341</vt:lpwstr>
      </vt:variant>
      <vt:variant>
        <vt:lpwstr/>
      </vt:variant>
      <vt:variant>
        <vt:i4>4390940</vt:i4>
      </vt:variant>
      <vt:variant>
        <vt:i4>42</vt:i4>
      </vt:variant>
      <vt:variant>
        <vt:i4>0</vt:i4>
      </vt:variant>
      <vt:variant>
        <vt:i4>5</vt:i4>
      </vt:variant>
      <vt:variant>
        <vt:lpwstr>https://www.abs.gov.au/statistics/people/education/preschool-education/latest-release</vt:lpwstr>
      </vt:variant>
      <vt:variant>
        <vt:lpwstr/>
      </vt:variant>
      <vt:variant>
        <vt:i4>2293879</vt:i4>
      </vt:variant>
      <vt:variant>
        <vt:i4>39</vt:i4>
      </vt:variant>
      <vt:variant>
        <vt:i4>0</vt:i4>
      </vt:variant>
      <vt:variant>
        <vt:i4>5</vt:i4>
      </vt:variant>
      <vt:variant>
        <vt:lpwstr>https://www.education.gov.au/child-care-package/early-childhood-data-and-reports/quarterly-reports-usage-services-fees-and-subsidies/child-care-subsidy-data-report-september-quarter-2022</vt:lpwstr>
      </vt:variant>
      <vt:variant>
        <vt:lpwstr/>
      </vt:variant>
      <vt:variant>
        <vt:i4>5308499</vt:i4>
      </vt:variant>
      <vt:variant>
        <vt:i4>36</vt:i4>
      </vt:variant>
      <vt:variant>
        <vt:i4>0</vt:i4>
      </vt:variant>
      <vt:variant>
        <vt:i4>5</vt:i4>
      </vt:variant>
      <vt:variant>
        <vt:lpwstr>https://www.education.gov.au/child-care-package/early-childhood-data-and-reports/quarterly-reports/child-care-australia-report-september-quarter-2018</vt:lpwstr>
      </vt:variant>
      <vt:variant>
        <vt:lpwstr/>
      </vt:variant>
      <vt:variant>
        <vt:i4>7340146</vt:i4>
      </vt:variant>
      <vt:variant>
        <vt:i4>33</vt:i4>
      </vt:variant>
      <vt:variant>
        <vt:i4>0</vt:i4>
      </vt:variant>
      <vt:variant>
        <vt:i4>5</vt:i4>
      </vt:variant>
      <vt:variant>
        <vt:lpwstr>https://www.agec.org.au/wp-content/uploads/2022/03/2017-Government-Workforce-Startegy-towards-2025-strategy-Womens-workforce-participation.pdf</vt:lpwstr>
      </vt:variant>
      <vt:variant>
        <vt:lpwstr/>
      </vt:variant>
      <vt:variant>
        <vt:i4>5439507</vt:i4>
      </vt:variant>
      <vt:variant>
        <vt:i4>30</vt:i4>
      </vt:variant>
      <vt:variant>
        <vt:i4>0</vt:i4>
      </vt:variant>
      <vt:variant>
        <vt:i4>5</vt:i4>
      </vt:variant>
      <vt:variant>
        <vt:lpwstr>https://www.abs.gov.au/statistics/labour/employment-and-unemployment/barriers-and-incentives-labour-force-participation-australia/2020-21</vt:lpwstr>
      </vt:variant>
      <vt:variant>
        <vt:lpwstr/>
      </vt:variant>
      <vt:variant>
        <vt:i4>6357111</vt:i4>
      </vt:variant>
      <vt:variant>
        <vt:i4>27</vt:i4>
      </vt:variant>
      <vt:variant>
        <vt:i4>0</vt:i4>
      </vt:variant>
      <vt:variant>
        <vt:i4>5</vt:i4>
      </vt:variant>
      <vt:variant>
        <vt:lpwstr>https://www.wgea.gov.au/publications/wages-and-ages</vt:lpwstr>
      </vt:variant>
      <vt:variant>
        <vt:lpwstr/>
      </vt:variant>
      <vt:variant>
        <vt:i4>2883703</vt:i4>
      </vt:variant>
      <vt:variant>
        <vt:i4>24</vt:i4>
      </vt:variant>
      <vt:variant>
        <vt:i4>0</vt:i4>
      </vt:variant>
      <vt:variant>
        <vt:i4>5</vt:i4>
      </vt:variant>
      <vt:variant>
        <vt:lpwstr>https://www.education.gov.au/quality-schools-package/resources/effects-schooling-outcomes-early-developmental-vulnerabilities-children</vt:lpwstr>
      </vt:variant>
      <vt:variant>
        <vt:lpwstr/>
      </vt:variant>
      <vt:variant>
        <vt:i4>1441814</vt:i4>
      </vt:variant>
      <vt:variant>
        <vt:i4>21</vt:i4>
      </vt:variant>
      <vt:variant>
        <vt:i4>0</vt:i4>
      </vt:variant>
      <vt:variant>
        <vt:i4>5</vt:i4>
      </vt:variant>
      <vt:variant>
        <vt:lpwstr>https://www.education.vic.gov.au/Documents/about/research/preschoolparticipationandqualissummarypaper2013.pdf</vt:lpwstr>
      </vt:variant>
      <vt:variant>
        <vt:lpwstr/>
      </vt:variant>
      <vt:variant>
        <vt:i4>131094</vt:i4>
      </vt:variant>
      <vt:variant>
        <vt:i4>18</vt:i4>
      </vt:variant>
      <vt:variant>
        <vt:i4>0</vt:i4>
      </vt:variant>
      <vt:variant>
        <vt:i4>5</vt:i4>
      </vt:variant>
      <vt:variant>
        <vt:lpwstr>https://www.thefrontproject.org.au/economic-analysis</vt:lpwstr>
      </vt:variant>
      <vt:variant>
        <vt:lpwstr/>
      </vt:variant>
      <vt:variant>
        <vt:i4>655387</vt:i4>
      </vt:variant>
      <vt:variant>
        <vt:i4>15</vt:i4>
      </vt:variant>
      <vt:variant>
        <vt:i4>0</vt:i4>
      </vt:variant>
      <vt:variant>
        <vt:i4>5</vt:i4>
      </vt:variant>
      <vt:variant>
        <vt:lpwstr>https://www.legislation.gov.au/Series/F2017L01463</vt:lpwstr>
      </vt:variant>
      <vt:variant>
        <vt:lpwstr/>
      </vt:variant>
      <vt:variant>
        <vt:i4>655387</vt:i4>
      </vt:variant>
      <vt:variant>
        <vt:i4>12</vt:i4>
      </vt:variant>
      <vt:variant>
        <vt:i4>0</vt:i4>
      </vt:variant>
      <vt:variant>
        <vt:i4>5</vt:i4>
      </vt:variant>
      <vt:variant>
        <vt:lpwstr>https://www.legislation.gov.au/Series/F2017L01464</vt:lpwstr>
      </vt:variant>
      <vt:variant>
        <vt:lpwstr/>
      </vt:variant>
      <vt:variant>
        <vt:i4>524317</vt:i4>
      </vt:variant>
      <vt:variant>
        <vt:i4>9</vt:i4>
      </vt:variant>
      <vt:variant>
        <vt:i4>0</vt:i4>
      </vt:variant>
      <vt:variant>
        <vt:i4>5</vt:i4>
      </vt:variant>
      <vt:variant>
        <vt:lpwstr>https://www.legislation.gov.au/Series/C2004A00491</vt:lpwstr>
      </vt:variant>
      <vt:variant>
        <vt:lpwstr/>
      </vt:variant>
      <vt:variant>
        <vt:i4>524317</vt:i4>
      </vt:variant>
      <vt:variant>
        <vt:i4>6</vt:i4>
      </vt:variant>
      <vt:variant>
        <vt:i4>0</vt:i4>
      </vt:variant>
      <vt:variant>
        <vt:i4>5</vt:i4>
      </vt:variant>
      <vt:variant>
        <vt:lpwstr>https://www.legislation.gov.au/Series/C2004A00490</vt:lpwstr>
      </vt:variant>
      <vt:variant>
        <vt:lpwstr/>
      </vt:variant>
      <vt:variant>
        <vt:i4>2293879</vt:i4>
      </vt:variant>
      <vt:variant>
        <vt:i4>3</vt:i4>
      </vt:variant>
      <vt:variant>
        <vt:i4>0</vt:i4>
      </vt:variant>
      <vt:variant>
        <vt:i4>5</vt:i4>
      </vt:variant>
      <vt:variant>
        <vt:lpwstr>https://www.education.gov.au/child-care-package/early-childhood-data-and-reports/quarterly-reports-usage-services-fees-and-subsidies/child-care-subsidy-data-report-september-quarter-2022</vt:lpwstr>
      </vt:variant>
      <vt:variant>
        <vt:lpwstr/>
      </vt:variant>
      <vt:variant>
        <vt:i4>6291561</vt:i4>
      </vt:variant>
      <vt:variant>
        <vt:i4>0</vt:i4>
      </vt:variant>
      <vt:variant>
        <vt:i4>0</vt:i4>
      </vt:variant>
      <vt:variant>
        <vt:i4>5</vt:i4>
      </vt:variant>
      <vt:variant>
        <vt:lpwstr>https://www.aracy.org.au/publications-resources/area?command=record&amp;id=207</vt:lpwstr>
      </vt:variant>
      <vt:variant>
        <vt:lpwstr/>
      </vt:variant>
      <vt:variant>
        <vt:i4>786508</vt:i4>
      </vt:variant>
      <vt:variant>
        <vt:i4>18</vt:i4>
      </vt:variant>
      <vt:variant>
        <vt:i4>0</vt:i4>
      </vt:variant>
      <vt:variant>
        <vt:i4>5</vt:i4>
      </vt:variant>
      <vt:variant>
        <vt:lpwstr>https://snapshots.acecqa.gov.au/Snapshot/waivers.html</vt:lpwstr>
      </vt:variant>
      <vt:variant>
        <vt:lpwstr/>
      </vt:variant>
      <vt:variant>
        <vt:i4>7864336</vt:i4>
      </vt:variant>
      <vt:variant>
        <vt:i4>15</vt:i4>
      </vt:variant>
      <vt:variant>
        <vt:i4>0</vt:i4>
      </vt:variant>
      <vt:variant>
        <vt:i4>5</vt:i4>
      </vt:variant>
      <vt:variant>
        <vt:lpwstr>https://budget.gov.au/content/bp2/download/bp2_2023-24.pdf</vt:lpwstr>
      </vt:variant>
      <vt:variant>
        <vt:lpwstr/>
      </vt:variant>
      <vt:variant>
        <vt:i4>4653154</vt:i4>
      </vt:variant>
      <vt:variant>
        <vt:i4>12</vt:i4>
      </vt:variant>
      <vt:variant>
        <vt:i4>0</vt:i4>
      </vt:variant>
      <vt:variant>
        <vt:i4>5</vt:i4>
      </vt:variant>
      <vt:variant>
        <vt:lpwstr>mailto:Ellen.Egan@education.gov.au</vt:lpwstr>
      </vt:variant>
      <vt:variant>
        <vt:lpwstr/>
      </vt:variant>
      <vt:variant>
        <vt:i4>2228250</vt:i4>
      </vt:variant>
      <vt:variant>
        <vt:i4>9</vt:i4>
      </vt:variant>
      <vt:variant>
        <vt:i4>0</vt:i4>
      </vt:variant>
      <vt:variant>
        <vt:i4>5</vt:i4>
      </vt:variant>
      <vt:variant>
        <vt:lpwstr>mailto:Michelle.Ko@education.gov.au</vt:lpwstr>
      </vt:variant>
      <vt:variant>
        <vt:lpwstr/>
      </vt:variant>
      <vt:variant>
        <vt:i4>262204</vt:i4>
      </vt:variant>
      <vt:variant>
        <vt:i4>6</vt:i4>
      </vt:variant>
      <vt:variant>
        <vt:i4>0</vt:i4>
      </vt:variant>
      <vt:variant>
        <vt:i4>5</vt:i4>
      </vt:variant>
      <vt:variant>
        <vt:lpwstr>mailto:Samantha.McPherson@education.gov.au</vt:lpwstr>
      </vt:variant>
      <vt:variant>
        <vt:lpwstr/>
      </vt:variant>
      <vt:variant>
        <vt:i4>4653154</vt:i4>
      </vt:variant>
      <vt:variant>
        <vt:i4>3</vt:i4>
      </vt:variant>
      <vt:variant>
        <vt:i4>0</vt:i4>
      </vt:variant>
      <vt:variant>
        <vt:i4>5</vt:i4>
      </vt:variant>
      <vt:variant>
        <vt:lpwstr>mailto:Ellen.Egan@education.gov.au</vt:lpwstr>
      </vt:variant>
      <vt:variant>
        <vt:lpwstr/>
      </vt:variant>
      <vt:variant>
        <vt:i4>2228250</vt:i4>
      </vt:variant>
      <vt:variant>
        <vt:i4>0</vt:i4>
      </vt:variant>
      <vt:variant>
        <vt:i4>0</vt:i4>
      </vt:variant>
      <vt:variant>
        <vt:i4>5</vt:i4>
      </vt:variant>
      <vt:variant>
        <vt:lpwstr>mailto:Michelle.Ko@education.gov.au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90 - Australian Government Department of Education - Early Childhood Education and Care - Public inquiry</dc:title>
  <dc:subject/>
  <dc:creator>Australian Government Department of Education</dc:creator>
  <cp:keywords/>
  <dc:description/>
  <cp:lastModifiedBy>Chris Alston</cp:lastModifiedBy>
  <cp:revision>8</cp:revision>
  <cp:lastPrinted>2023-05-24T00:04:00Z</cp:lastPrinted>
  <dcterms:created xsi:type="dcterms:W3CDTF">2023-05-23T23:46:00Z</dcterms:created>
  <dcterms:modified xsi:type="dcterms:W3CDTF">2023-11-10T02:18:00Z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2023-05-19T07:10:17Z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2f500f85-a9c4-4cb5-b34b-7241613252e2</vt:lpwstr>
  </property>
  <property fmtid="{D5CDD505-2E9C-101B-9397-08002B2CF9AE}" pid="8" name="MSIP_Label_79d889eb-932f-4752-8739-64d25806ef64_ContentBits">
    <vt:lpwstr>0</vt:lpwstr>
  </property>
  <property fmtid="{D5CDD505-2E9C-101B-9397-08002B2CF9AE}" pid="9" name="ContentTypeId">
    <vt:lpwstr>0x0101006C0B5E815648EF46B6FA6D42F17E5E9F000C963E276195B04F83BC027CFDC94A8D</vt:lpwstr>
  </property>
  <property fmtid="{D5CDD505-2E9C-101B-9397-08002B2CF9AE}" pid="10" name="RevIMBCS">
    <vt:lpwstr>1;#Unclassified|3955eeb1-2d18-4582-aeb2-00144ec3aaf5</vt:lpwstr>
  </property>
  <property fmtid="{D5CDD505-2E9C-101B-9397-08002B2CF9AE}" pid="11" name="_dlc_DocIdItemGuid">
    <vt:lpwstr>cd0f569a-ba0e-4bbf-abe4-89e86b27c01a</vt:lpwstr>
  </property>
  <property fmtid="{D5CDD505-2E9C-101B-9397-08002B2CF9AE}" pid="12" name="MediaServiceImageTags">
    <vt:lpwstr/>
  </property>
</Properties>
</file>