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5DCB" w14:textId="77777777" w:rsidR="00367774" w:rsidRDefault="00387256" w:rsidP="00E71E9F">
      <w:r w:rsidRPr="00E71E9F">
        <w:tab/>
      </w:r>
    </w:p>
    <w:p w14:paraId="48B55DCC" w14:textId="77777777" w:rsidR="00367774" w:rsidRDefault="00367774" w:rsidP="00E71E9F"/>
    <w:p w14:paraId="48B55DCD" w14:textId="77777777" w:rsidR="00387256" w:rsidRPr="00E71E9F" w:rsidRDefault="00173544" w:rsidP="00E71E9F">
      <w:pPr>
        <w:rPr>
          <w:lang w:val="en-GB"/>
        </w:rPr>
      </w:pPr>
      <w:r>
        <w:t>26 July 2016</w:t>
      </w:r>
    </w:p>
    <w:p w14:paraId="48B55DCE" w14:textId="77777777" w:rsidR="00A92EF9" w:rsidRPr="00A92EF9" w:rsidRDefault="00A92EF9" w:rsidP="00A92EF9">
      <w:pPr>
        <w:pStyle w:val="Default"/>
        <w:ind w:left="-284"/>
        <w:rPr>
          <w:rFonts w:asciiTheme="minorHAnsi" w:hAnsiTheme="minorHAnsi"/>
        </w:rPr>
      </w:pPr>
    </w:p>
    <w:p w14:paraId="48B55DCF" w14:textId="77777777" w:rsidR="00367774" w:rsidRDefault="00367774" w:rsidP="00A92EF9">
      <w:pPr>
        <w:pStyle w:val="Default"/>
        <w:ind w:left="-284"/>
        <w:rPr>
          <w:rFonts w:asciiTheme="minorHAnsi" w:hAnsiTheme="minorHAnsi"/>
          <w:sz w:val="22"/>
          <w:szCs w:val="22"/>
        </w:rPr>
      </w:pPr>
    </w:p>
    <w:p w14:paraId="48B55DD0" w14:textId="77777777" w:rsidR="00367774" w:rsidRDefault="00367774" w:rsidP="00A92EF9">
      <w:pPr>
        <w:pStyle w:val="Default"/>
        <w:ind w:left="-284"/>
        <w:rPr>
          <w:rFonts w:asciiTheme="minorHAnsi" w:hAnsiTheme="minorHAnsi"/>
          <w:sz w:val="22"/>
          <w:szCs w:val="22"/>
        </w:rPr>
      </w:pPr>
    </w:p>
    <w:p w14:paraId="48B55DD1" w14:textId="77777777" w:rsidR="00367774" w:rsidRDefault="00367774" w:rsidP="00A92EF9">
      <w:pPr>
        <w:pStyle w:val="Default"/>
        <w:ind w:left="-284"/>
        <w:rPr>
          <w:rFonts w:asciiTheme="minorHAnsi" w:hAnsiTheme="minorHAnsi"/>
          <w:sz w:val="22"/>
          <w:szCs w:val="22"/>
        </w:rPr>
      </w:pPr>
    </w:p>
    <w:p w14:paraId="48B55DD2" w14:textId="77777777" w:rsidR="00367774" w:rsidRDefault="00367774" w:rsidP="00A92EF9">
      <w:pPr>
        <w:pStyle w:val="Default"/>
        <w:ind w:left="-284"/>
        <w:rPr>
          <w:rFonts w:asciiTheme="minorHAnsi" w:hAnsiTheme="minorHAnsi"/>
          <w:sz w:val="22"/>
          <w:szCs w:val="22"/>
        </w:rPr>
      </w:pPr>
    </w:p>
    <w:p w14:paraId="48B55DD3" w14:textId="77777777" w:rsidR="00367774" w:rsidRDefault="00367774" w:rsidP="00A92EF9">
      <w:pPr>
        <w:pStyle w:val="Default"/>
        <w:ind w:left="-284"/>
        <w:rPr>
          <w:rFonts w:asciiTheme="minorHAnsi" w:hAnsiTheme="minorHAnsi"/>
          <w:sz w:val="22"/>
          <w:szCs w:val="22"/>
        </w:rPr>
      </w:pPr>
    </w:p>
    <w:p w14:paraId="48B55DD4" w14:textId="77777777" w:rsidR="00A92EF9" w:rsidRPr="00A92EF9" w:rsidRDefault="00367774" w:rsidP="00A92EF9">
      <w:pPr>
        <w:pStyle w:val="Default"/>
        <w:ind w:left="-284"/>
        <w:rPr>
          <w:rFonts w:asciiTheme="minorHAnsi" w:hAnsiTheme="minorHAnsi"/>
          <w:sz w:val="22"/>
          <w:szCs w:val="22"/>
        </w:rPr>
      </w:pPr>
      <w:r>
        <w:rPr>
          <w:rFonts w:asciiTheme="minorHAnsi" w:hAnsiTheme="minorHAnsi"/>
          <w:sz w:val="22"/>
          <w:szCs w:val="22"/>
        </w:rPr>
        <w:t>To whom it may concern</w:t>
      </w:r>
      <w:r w:rsidR="00A92EF9" w:rsidRPr="00A92EF9">
        <w:rPr>
          <w:rFonts w:asciiTheme="minorHAnsi" w:hAnsiTheme="minorHAnsi"/>
          <w:sz w:val="22"/>
          <w:szCs w:val="22"/>
        </w:rPr>
        <w:t xml:space="preserve"> </w:t>
      </w:r>
    </w:p>
    <w:p w14:paraId="48B55DD5" w14:textId="77777777" w:rsidR="00A92EF9" w:rsidRDefault="00A92EF9" w:rsidP="00A92EF9">
      <w:pPr>
        <w:pStyle w:val="Default"/>
        <w:ind w:left="-284"/>
        <w:rPr>
          <w:rFonts w:asciiTheme="minorHAnsi" w:hAnsiTheme="minorHAnsi"/>
          <w:b/>
          <w:bCs/>
          <w:sz w:val="22"/>
          <w:szCs w:val="22"/>
        </w:rPr>
      </w:pPr>
    </w:p>
    <w:p w14:paraId="48B55DD6" w14:textId="77777777" w:rsidR="00692B55" w:rsidRDefault="00173544" w:rsidP="00A92EF9">
      <w:pPr>
        <w:pStyle w:val="Default"/>
        <w:ind w:left="-284"/>
        <w:rPr>
          <w:rFonts w:asciiTheme="minorHAnsi" w:hAnsiTheme="minorHAnsi"/>
          <w:bCs/>
          <w:sz w:val="22"/>
          <w:szCs w:val="22"/>
        </w:rPr>
      </w:pPr>
      <w:r>
        <w:rPr>
          <w:rFonts w:asciiTheme="minorHAnsi" w:hAnsiTheme="minorHAnsi"/>
          <w:bCs/>
          <w:sz w:val="22"/>
          <w:szCs w:val="22"/>
        </w:rPr>
        <w:tab/>
      </w:r>
    </w:p>
    <w:p w14:paraId="48B55DD7" w14:textId="77777777" w:rsidR="00A92EF9" w:rsidRDefault="00173544" w:rsidP="00A92EF9">
      <w:pPr>
        <w:pStyle w:val="Default"/>
        <w:ind w:left="-284"/>
        <w:rPr>
          <w:rFonts w:asciiTheme="minorHAnsi" w:hAnsiTheme="minorHAnsi"/>
          <w:bCs/>
          <w:sz w:val="22"/>
          <w:szCs w:val="22"/>
        </w:rPr>
      </w:pPr>
      <w:r>
        <w:rPr>
          <w:rFonts w:asciiTheme="minorHAnsi" w:hAnsiTheme="minorHAnsi"/>
          <w:bCs/>
          <w:sz w:val="22"/>
          <w:szCs w:val="22"/>
        </w:rPr>
        <w:tab/>
        <w:t>RE:</w:t>
      </w:r>
      <w:r>
        <w:rPr>
          <w:rFonts w:asciiTheme="minorHAnsi" w:hAnsiTheme="minorHAnsi"/>
          <w:bCs/>
          <w:sz w:val="22"/>
          <w:szCs w:val="22"/>
        </w:rPr>
        <w:tab/>
        <w:t>Productivity Commission: Data Availability and Use</w:t>
      </w:r>
    </w:p>
    <w:p w14:paraId="48B55DD8" w14:textId="77777777" w:rsidR="00173544" w:rsidRDefault="00173544" w:rsidP="00A92EF9">
      <w:pPr>
        <w:pStyle w:val="Default"/>
        <w:ind w:left="-284"/>
        <w:rPr>
          <w:rFonts w:asciiTheme="minorHAnsi" w:hAnsiTheme="minorHAnsi"/>
          <w:bCs/>
          <w:sz w:val="22"/>
          <w:szCs w:val="22"/>
        </w:rPr>
      </w:pPr>
    </w:p>
    <w:p w14:paraId="48B55DD9" w14:textId="77777777" w:rsidR="00173544" w:rsidRPr="00173544" w:rsidRDefault="00173544" w:rsidP="00A92EF9">
      <w:pPr>
        <w:pStyle w:val="Default"/>
        <w:ind w:left="-284"/>
        <w:rPr>
          <w:rFonts w:asciiTheme="minorHAnsi" w:hAnsiTheme="minorHAnsi"/>
          <w:bCs/>
          <w:sz w:val="22"/>
          <w:szCs w:val="22"/>
        </w:rPr>
      </w:pPr>
    </w:p>
    <w:p w14:paraId="48B55DDA" w14:textId="77777777" w:rsidR="00367774" w:rsidRDefault="00173544" w:rsidP="00A92EF9">
      <w:pPr>
        <w:pStyle w:val="Default"/>
        <w:ind w:left="-284"/>
        <w:rPr>
          <w:rFonts w:asciiTheme="minorHAnsi" w:hAnsiTheme="minorHAnsi"/>
          <w:bCs/>
          <w:sz w:val="22"/>
          <w:szCs w:val="22"/>
        </w:rPr>
      </w:pPr>
      <w:r w:rsidRPr="00173544">
        <w:rPr>
          <w:rFonts w:asciiTheme="minorHAnsi" w:hAnsiTheme="minorHAnsi"/>
          <w:bCs/>
          <w:sz w:val="22"/>
          <w:szCs w:val="22"/>
        </w:rPr>
        <w:t xml:space="preserve">Please </w:t>
      </w:r>
      <w:r>
        <w:rPr>
          <w:rFonts w:asciiTheme="minorHAnsi" w:hAnsiTheme="minorHAnsi"/>
          <w:bCs/>
          <w:sz w:val="22"/>
          <w:szCs w:val="22"/>
        </w:rPr>
        <w:t>find a submission to the Productivity Commission Issues Paper on Data Availability and Use.</w:t>
      </w:r>
    </w:p>
    <w:p w14:paraId="48B55DDB" w14:textId="77777777" w:rsidR="00173544" w:rsidRDefault="00173544" w:rsidP="00A92EF9">
      <w:pPr>
        <w:pStyle w:val="Default"/>
        <w:ind w:left="-284"/>
        <w:rPr>
          <w:rFonts w:asciiTheme="minorHAnsi" w:hAnsiTheme="minorHAnsi"/>
          <w:bCs/>
          <w:sz w:val="22"/>
          <w:szCs w:val="22"/>
        </w:rPr>
      </w:pPr>
    </w:p>
    <w:p w14:paraId="48B55DDC" w14:textId="77777777" w:rsidR="00173544" w:rsidRDefault="00173544" w:rsidP="00A92EF9">
      <w:pPr>
        <w:pStyle w:val="Default"/>
        <w:ind w:left="-284"/>
        <w:rPr>
          <w:rFonts w:asciiTheme="minorHAnsi" w:hAnsiTheme="minorHAnsi"/>
          <w:bCs/>
          <w:sz w:val="22"/>
          <w:szCs w:val="22"/>
        </w:rPr>
      </w:pPr>
      <w:r>
        <w:rPr>
          <w:rFonts w:asciiTheme="minorHAnsi" w:hAnsiTheme="minorHAnsi"/>
          <w:bCs/>
          <w:sz w:val="22"/>
          <w:szCs w:val="22"/>
        </w:rPr>
        <w:t>This submission is being made on behalf of the Atlas of Living Australia.</w:t>
      </w:r>
    </w:p>
    <w:p w14:paraId="48B55DDD" w14:textId="77777777" w:rsidR="00173544" w:rsidRDefault="00173544" w:rsidP="00A92EF9">
      <w:pPr>
        <w:pStyle w:val="Default"/>
        <w:ind w:left="-284"/>
        <w:rPr>
          <w:rFonts w:asciiTheme="minorHAnsi" w:hAnsiTheme="minorHAnsi"/>
          <w:bCs/>
          <w:sz w:val="22"/>
          <w:szCs w:val="22"/>
        </w:rPr>
      </w:pPr>
    </w:p>
    <w:p w14:paraId="48B55DDE" w14:textId="77777777" w:rsidR="00173544" w:rsidRPr="00173544" w:rsidRDefault="00173544" w:rsidP="00A92EF9">
      <w:pPr>
        <w:pStyle w:val="Default"/>
        <w:ind w:left="-284"/>
        <w:rPr>
          <w:rFonts w:asciiTheme="minorHAnsi" w:hAnsiTheme="minorHAnsi"/>
          <w:bCs/>
          <w:sz w:val="22"/>
          <w:szCs w:val="22"/>
        </w:rPr>
      </w:pPr>
      <w:r>
        <w:rPr>
          <w:rFonts w:asciiTheme="minorHAnsi" w:hAnsiTheme="minorHAnsi"/>
          <w:bCs/>
          <w:sz w:val="22"/>
          <w:szCs w:val="22"/>
        </w:rPr>
        <w:t>Thanks you very much for your consideration of this submission.</w:t>
      </w:r>
    </w:p>
    <w:p w14:paraId="48B55DDF" w14:textId="77777777" w:rsidR="00367774" w:rsidRPr="00173544" w:rsidRDefault="00367774" w:rsidP="00A92EF9">
      <w:pPr>
        <w:pStyle w:val="Default"/>
        <w:ind w:left="-284"/>
        <w:rPr>
          <w:rFonts w:asciiTheme="minorHAnsi" w:hAnsiTheme="minorHAnsi"/>
          <w:bCs/>
          <w:sz w:val="22"/>
          <w:szCs w:val="22"/>
        </w:rPr>
      </w:pPr>
    </w:p>
    <w:p w14:paraId="48B55DE0" w14:textId="77777777" w:rsidR="00367774" w:rsidRPr="00173544" w:rsidRDefault="00367774" w:rsidP="00A92EF9">
      <w:pPr>
        <w:pStyle w:val="Default"/>
        <w:ind w:left="-284"/>
        <w:rPr>
          <w:rFonts w:asciiTheme="minorHAnsi" w:hAnsiTheme="minorHAnsi"/>
          <w:bCs/>
          <w:sz w:val="22"/>
          <w:szCs w:val="22"/>
        </w:rPr>
      </w:pPr>
    </w:p>
    <w:p w14:paraId="48B55DE1" w14:textId="77777777" w:rsidR="00367774" w:rsidRDefault="00367774" w:rsidP="00A92EF9">
      <w:pPr>
        <w:pStyle w:val="Default"/>
        <w:ind w:left="-284"/>
        <w:rPr>
          <w:rFonts w:asciiTheme="minorHAnsi" w:hAnsiTheme="minorHAnsi"/>
          <w:b/>
          <w:bCs/>
          <w:sz w:val="22"/>
          <w:szCs w:val="22"/>
        </w:rPr>
      </w:pPr>
    </w:p>
    <w:p w14:paraId="48B55DE2" w14:textId="77777777" w:rsidR="00367774" w:rsidRDefault="00367774" w:rsidP="00A92EF9">
      <w:pPr>
        <w:pStyle w:val="Default"/>
        <w:ind w:left="-284"/>
        <w:rPr>
          <w:rFonts w:asciiTheme="minorHAnsi" w:hAnsiTheme="minorHAnsi"/>
          <w:b/>
          <w:bCs/>
          <w:sz w:val="22"/>
          <w:szCs w:val="22"/>
        </w:rPr>
      </w:pPr>
    </w:p>
    <w:p w14:paraId="48B55DE3" w14:textId="77777777" w:rsidR="00367774" w:rsidRDefault="00367774" w:rsidP="00A92EF9">
      <w:pPr>
        <w:pStyle w:val="Default"/>
        <w:ind w:left="-284"/>
        <w:rPr>
          <w:rFonts w:asciiTheme="minorHAnsi" w:hAnsiTheme="minorHAnsi"/>
          <w:b/>
          <w:bCs/>
          <w:sz w:val="22"/>
          <w:szCs w:val="22"/>
        </w:rPr>
      </w:pPr>
    </w:p>
    <w:p w14:paraId="48B55DE4" w14:textId="77777777" w:rsidR="00367774" w:rsidRDefault="00367774" w:rsidP="00A92EF9">
      <w:pPr>
        <w:pStyle w:val="Default"/>
        <w:ind w:left="-284"/>
        <w:rPr>
          <w:rFonts w:asciiTheme="minorHAnsi" w:hAnsiTheme="minorHAnsi"/>
          <w:b/>
          <w:bCs/>
          <w:sz w:val="22"/>
          <w:szCs w:val="22"/>
        </w:rPr>
      </w:pPr>
    </w:p>
    <w:p w14:paraId="48B55DE5" w14:textId="77777777" w:rsidR="00367774" w:rsidRDefault="00367774" w:rsidP="00A92EF9">
      <w:pPr>
        <w:pStyle w:val="Default"/>
        <w:ind w:left="-284"/>
        <w:rPr>
          <w:rFonts w:asciiTheme="minorHAnsi" w:hAnsiTheme="minorHAnsi"/>
          <w:b/>
          <w:bCs/>
          <w:sz w:val="22"/>
          <w:szCs w:val="22"/>
        </w:rPr>
      </w:pPr>
    </w:p>
    <w:p w14:paraId="48B55DE6" w14:textId="77777777" w:rsidR="00367774" w:rsidRDefault="00367774" w:rsidP="00A92EF9">
      <w:pPr>
        <w:pStyle w:val="Default"/>
        <w:ind w:left="-284"/>
        <w:rPr>
          <w:rFonts w:asciiTheme="minorHAnsi" w:hAnsiTheme="minorHAnsi"/>
          <w:b/>
          <w:bCs/>
          <w:sz w:val="22"/>
          <w:szCs w:val="22"/>
        </w:rPr>
      </w:pPr>
    </w:p>
    <w:p w14:paraId="48B55DE7" w14:textId="77777777" w:rsidR="00367774" w:rsidRDefault="00367774" w:rsidP="00A92EF9">
      <w:pPr>
        <w:pStyle w:val="Default"/>
        <w:ind w:left="-284"/>
        <w:rPr>
          <w:rFonts w:asciiTheme="minorHAnsi" w:hAnsiTheme="minorHAnsi"/>
          <w:b/>
          <w:bCs/>
          <w:sz w:val="22"/>
          <w:szCs w:val="22"/>
        </w:rPr>
      </w:pPr>
    </w:p>
    <w:p w14:paraId="48B55DE8" w14:textId="77777777" w:rsidR="00367774" w:rsidRDefault="00367774" w:rsidP="00A92EF9">
      <w:pPr>
        <w:pStyle w:val="Default"/>
        <w:ind w:left="-284"/>
        <w:rPr>
          <w:rFonts w:asciiTheme="minorHAnsi" w:hAnsiTheme="minorHAnsi"/>
          <w:sz w:val="22"/>
          <w:szCs w:val="22"/>
        </w:rPr>
      </w:pPr>
    </w:p>
    <w:p w14:paraId="48B55DE9" w14:textId="77777777" w:rsidR="00B84233" w:rsidRPr="00143936" w:rsidRDefault="00B84233" w:rsidP="00D32F60">
      <w:pPr>
        <w:jc w:val="left"/>
      </w:pPr>
      <w:r w:rsidRPr="00143936">
        <w:t>Sincerely.</w:t>
      </w:r>
    </w:p>
    <w:p w14:paraId="48B55DEA" w14:textId="77777777" w:rsidR="00B84233" w:rsidRPr="00143936" w:rsidRDefault="00B84233" w:rsidP="00D32F60">
      <w:pPr>
        <w:pStyle w:val="PlainText"/>
        <w:jc w:val="left"/>
      </w:pPr>
    </w:p>
    <w:p w14:paraId="48B55DEB" w14:textId="75D45531" w:rsidR="00B84233" w:rsidRDefault="00B84233" w:rsidP="00D32F60">
      <w:pPr>
        <w:jc w:val="left"/>
        <w:rPr>
          <w:noProof/>
          <w:lang w:eastAsia="en-AU"/>
        </w:rPr>
      </w:pPr>
    </w:p>
    <w:p w14:paraId="6DD52884" w14:textId="77777777" w:rsidR="007A2A3B" w:rsidRPr="00143936" w:rsidRDefault="007A2A3B" w:rsidP="00D32F60">
      <w:pPr>
        <w:jc w:val="left"/>
      </w:pPr>
    </w:p>
    <w:p w14:paraId="48B55DEC" w14:textId="77777777" w:rsidR="00B84233" w:rsidRPr="00143936" w:rsidRDefault="00B84233" w:rsidP="00D32F60">
      <w:pPr>
        <w:jc w:val="left"/>
      </w:pPr>
    </w:p>
    <w:p w14:paraId="48B55DED" w14:textId="77777777" w:rsidR="00B84233" w:rsidRPr="00143936" w:rsidRDefault="00173544" w:rsidP="00D32F60">
      <w:pPr>
        <w:jc w:val="left"/>
      </w:pPr>
      <w:r>
        <w:t xml:space="preserve">Dr </w:t>
      </w:r>
      <w:r w:rsidR="00B84233" w:rsidRPr="00143936">
        <w:t>John La Salle</w:t>
      </w:r>
    </w:p>
    <w:p w14:paraId="48B55DEE" w14:textId="77777777" w:rsidR="00B84233" w:rsidRPr="00143936" w:rsidRDefault="00B84233" w:rsidP="00D32F60">
      <w:pPr>
        <w:jc w:val="left"/>
      </w:pPr>
      <w:r w:rsidRPr="00143936">
        <w:t>Director Atlas of Living Australia</w:t>
      </w:r>
    </w:p>
    <w:p w14:paraId="48B55DF2" w14:textId="77777777" w:rsidR="00B84233" w:rsidRPr="00143936" w:rsidRDefault="00B84233" w:rsidP="00D32F60">
      <w:pPr>
        <w:jc w:val="left"/>
      </w:pPr>
      <w:bookmarkStart w:id="0" w:name="_GoBack"/>
      <w:bookmarkEnd w:id="0"/>
    </w:p>
    <w:p w14:paraId="48B55DF3" w14:textId="77777777" w:rsidR="00173544" w:rsidRDefault="00173544">
      <w:pPr>
        <w:tabs>
          <w:tab w:val="clear" w:pos="567"/>
          <w:tab w:val="clear" w:pos="4680"/>
          <w:tab w:val="clear" w:pos="5400"/>
        </w:tabs>
        <w:spacing w:after="200" w:line="276" w:lineRule="auto"/>
        <w:ind w:left="0" w:right="0"/>
        <w:jc w:val="left"/>
      </w:pPr>
      <w:r>
        <w:br w:type="page"/>
      </w:r>
    </w:p>
    <w:p w14:paraId="48B55DF4" w14:textId="77777777" w:rsidR="00173544" w:rsidRDefault="00173544" w:rsidP="00173544">
      <w:pPr>
        <w:pStyle w:val="Heading1"/>
        <w:rPr>
          <w:sz w:val="36"/>
          <w:szCs w:val="36"/>
        </w:rPr>
      </w:pPr>
    </w:p>
    <w:p w14:paraId="48B55DF5" w14:textId="77777777" w:rsidR="00173544" w:rsidRDefault="00173544" w:rsidP="00173544">
      <w:pPr>
        <w:pStyle w:val="Heading1"/>
        <w:rPr>
          <w:sz w:val="36"/>
          <w:szCs w:val="36"/>
        </w:rPr>
      </w:pPr>
      <w:r>
        <w:rPr>
          <w:sz w:val="36"/>
          <w:szCs w:val="36"/>
        </w:rPr>
        <w:t>Atlas of Living Australia</w:t>
      </w:r>
    </w:p>
    <w:p w14:paraId="48B55DF6" w14:textId="77777777" w:rsidR="00173544" w:rsidRDefault="00173544" w:rsidP="00173544">
      <w:pPr>
        <w:rPr>
          <w:lang w:eastAsia="en-AU"/>
        </w:rPr>
      </w:pPr>
    </w:p>
    <w:p w14:paraId="48B55DF7" w14:textId="77777777" w:rsidR="00173544" w:rsidRPr="00AB58B8" w:rsidRDefault="00173544" w:rsidP="006C7EFA">
      <w:pPr>
        <w:ind w:left="0"/>
        <w:jc w:val="left"/>
        <w:rPr>
          <w:sz w:val="28"/>
          <w:szCs w:val="28"/>
          <w:lang w:eastAsia="en-AU"/>
        </w:rPr>
      </w:pPr>
      <w:r w:rsidRPr="00AB58B8">
        <w:rPr>
          <w:sz w:val="28"/>
          <w:szCs w:val="28"/>
          <w:lang w:eastAsia="en-AU"/>
        </w:rPr>
        <w:t>Submission to Productivity Commission</w:t>
      </w:r>
      <w:r>
        <w:rPr>
          <w:sz w:val="28"/>
          <w:szCs w:val="28"/>
          <w:lang w:eastAsia="en-AU"/>
        </w:rPr>
        <w:t xml:space="preserve">: </w:t>
      </w:r>
      <w:r w:rsidRPr="00AB58B8">
        <w:rPr>
          <w:sz w:val="28"/>
          <w:szCs w:val="28"/>
          <w:lang w:eastAsia="en-AU"/>
        </w:rPr>
        <w:t>Data Availability and Use</w:t>
      </w:r>
    </w:p>
    <w:p w14:paraId="48B55DF8" w14:textId="77777777" w:rsidR="00173544" w:rsidRDefault="00173544" w:rsidP="00173544">
      <w:pPr>
        <w:rPr>
          <w:color w:val="0070C0"/>
        </w:rPr>
      </w:pPr>
    </w:p>
    <w:p w14:paraId="48B55DF9" w14:textId="77777777" w:rsidR="00173544" w:rsidRDefault="00173544" w:rsidP="006C7EFA">
      <w:pPr>
        <w:ind w:left="0"/>
        <w:jc w:val="left"/>
        <w:rPr>
          <w:sz w:val="36"/>
          <w:szCs w:val="36"/>
        </w:rPr>
      </w:pPr>
      <w:r w:rsidRPr="00AB58B8">
        <w:rPr>
          <w:sz w:val="36"/>
          <w:szCs w:val="36"/>
        </w:rPr>
        <w:t>Key Messages</w:t>
      </w:r>
    </w:p>
    <w:p w14:paraId="48B55DFA" w14:textId="77777777" w:rsidR="006C7EFA" w:rsidRPr="00AB58B8" w:rsidRDefault="006C7EFA" w:rsidP="006C7EFA">
      <w:pPr>
        <w:ind w:left="0"/>
        <w:jc w:val="left"/>
        <w:rPr>
          <w:sz w:val="36"/>
          <w:szCs w:val="36"/>
        </w:rPr>
      </w:pPr>
    </w:p>
    <w:p w14:paraId="48B55DFB" w14:textId="77777777" w:rsidR="00173544" w:rsidRPr="00AB58B8" w:rsidRDefault="00173544" w:rsidP="00173544">
      <w:pPr>
        <w:pStyle w:val="ListParagraph"/>
        <w:numPr>
          <w:ilvl w:val="0"/>
          <w:numId w:val="2"/>
        </w:numPr>
        <w:spacing w:after="0" w:line="240" w:lineRule="auto"/>
        <w:rPr>
          <w:rFonts w:asciiTheme="minorHAnsi" w:hAnsiTheme="minorHAnsi"/>
        </w:rPr>
      </w:pPr>
      <w:r w:rsidRPr="00AB58B8">
        <w:rPr>
          <w:rFonts w:asciiTheme="minorHAnsi" w:hAnsiTheme="minorHAnsi"/>
        </w:rPr>
        <w:t>The Atlas of Living Australia strongly supports an Open Data policy (at least for biodiversity and environmental data) – and continues to demonstrate the success of making biodiversity and environmental data freely and openly available.</w:t>
      </w:r>
    </w:p>
    <w:p w14:paraId="48B55DFC" w14:textId="77777777" w:rsidR="00173544" w:rsidRPr="00AB58B8" w:rsidRDefault="00173544" w:rsidP="00173544">
      <w:pPr>
        <w:pStyle w:val="ListParagraph"/>
        <w:spacing w:after="0" w:line="240" w:lineRule="auto"/>
        <w:rPr>
          <w:rFonts w:asciiTheme="minorHAnsi" w:hAnsiTheme="minorHAnsi"/>
        </w:rPr>
      </w:pPr>
    </w:p>
    <w:p w14:paraId="48B55DFD" w14:textId="77777777" w:rsidR="00173544" w:rsidRPr="00AB58B8" w:rsidRDefault="00173544" w:rsidP="00173544">
      <w:pPr>
        <w:pStyle w:val="ListParagraph"/>
        <w:numPr>
          <w:ilvl w:val="0"/>
          <w:numId w:val="2"/>
        </w:numPr>
        <w:spacing w:after="0" w:line="240" w:lineRule="auto"/>
        <w:rPr>
          <w:rFonts w:asciiTheme="minorHAnsi" w:hAnsiTheme="minorHAnsi"/>
        </w:rPr>
      </w:pPr>
      <w:r w:rsidRPr="00AB58B8">
        <w:rPr>
          <w:rFonts w:asciiTheme="minorHAnsi" w:hAnsiTheme="minorHAnsi"/>
        </w:rPr>
        <w:t>The ALA provides solid examples of the benefits and impact of making data open and available.  The value of data improves when it can be integrated with other data within an environment that supports data discovery, visualisation and analysis.  The success and achievements of the ALA have help to drive a culture shift in terms of data sharing.</w:t>
      </w:r>
    </w:p>
    <w:p w14:paraId="48B55DFE" w14:textId="77777777" w:rsidR="00173544" w:rsidRPr="00AB58B8" w:rsidRDefault="00173544" w:rsidP="00173544">
      <w:pPr>
        <w:pStyle w:val="ListParagraph"/>
        <w:spacing w:after="0" w:line="240" w:lineRule="auto"/>
        <w:rPr>
          <w:rFonts w:asciiTheme="minorHAnsi" w:hAnsiTheme="minorHAnsi"/>
        </w:rPr>
      </w:pPr>
    </w:p>
    <w:p w14:paraId="48B55DFF" w14:textId="77777777" w:rsidR="00173544" w:rsidRPr="00AB58B8" w:rsidRDefault="00173544" w:rsidP="00173544">
      <w:pPr>
        <w:pStyle w:val="ListParagraph"/>
        <w:numPr>
          <w:ilvl w:val="0"/>
          <w:numId w:val="2"/>
        </w:numPr>
        <w:spacing w:after="0" w:line="240" w:lineRule="auto"/>
        <w:rPr>
          <w:rFonts w:asciiTheme="minorHAnsi" w:hAnsiTheme="minorHAnsi"/>
        </w:rPr>
      </w:pPr>
      <w:r w:rsidRPr="00AB58B8">
        <w:rPr>
          <w:rFonts w:asciiTheme="minorHAnsi" w:hAnsiTheme="minorHAnsi"/>
        </w:rPr>
        <w:t>The ALA supports an Open Data Policy and feels that any data generated with public funding should be made open and freely available.  Having said that, the ALA recognises that there are reasons why a sensitive data service is necessary to protect certain types of data (personal information, data covered under legislation, data around rare or threatened species, biosecurity information that could affect market access). While there should be a quarantine period on data that is protected to provide researchers with time to publish results from that data, there should be strict policies on the length of that period.</w:t>
      </w:r>
    </w:p>
    <w:p w14:paraId="48B55E00" w14:textId="77777777" w:rsidR="00173544" w:rsidRPr="00AB58B8" w:rsidRDefault="00173544" w:rsidP="00173544">
      <w:pPr>
        <w:pStyle w:val="ListParagraph"/>
        <w:spacing w:after="0" w:line="240" w:lineRule="auto"/>
        <w:rPr>
          <w:rFonts w:asciiTheme="minorHAnsi" w:hAnsiTheme="minorHAnsi"/>
        </w:rPr>
      </w:pPr>
    </w:p>
    <w:p w14:paraId="48B55E01" w14:textId="77777777" w:rsidR="00173544" w:rsidRPr="00AB58B8" w:rsidRDefault="00173544" w:rsidP="00173544">
      <w:pPr>
        <w:pStyle w:val="ListParagraph"/>
        <w:numPr>
          <w:ilvl w:val="0"/>
          <w:numId w:val="2"/>
        </w:numPr>
        <w:spacing w:after="0" w:line="240" w:lineRule="auto"/>
        <w:rPr>
          <w:rFonts w:asciiTheme="minorHAnsi" w:hAnsiTheme="minorHAnsi"/>
        </w:rPr>
      </w:pPr>
      <w:r w:rsidRPr="00AB58B8">
        <w:rPr>
          <w:rFonts w:asciiTheme="minorHAnsi" w:hAnsiTheme="minorHAnsi"/>
        </w:rPr>
        <w:t>The ALA encourages the custodians of private sector data to share that data through demonstrating the direct benefits to the private sector of data sharing (e.g. improved environmental impact reporting).</w:t>
      </w:r>
    </w:p>
    <w:p w14:paraId="48B55E02" w14:textId="77777777" w:rsidR="00173544" w:rsidRPr="00AB58B8" w:rsidRDefault="00173544" w:rsidP="00173544">
      <w:pPr>
        <w:pStyle w:val="ListParagraph"/>
        <w:spacing w:after="0" w:line="240" w:lineRule="auto"/>
        <w:rPr>
          <w:rFonts w:asciiTheme="minorHAnsi" w:hAnsiTheme="minorHAnsi"/>
        </w:rPr>
      </w:pPr>
    </w:p>
    <w:p w14:paraId="48B55E03" w14:textId="77777777" w:rsidR="00173544" w:rsidRPr="00AB58B8" w:rsidRDefault="00173544" w:rsidP="00173544">
      <w:pPr>
        <w:pStyle w:val="ListParagraph"/>
        <w:numPr>
          <w:ilvl w:val="0"/>
          <w:numId w:val="2"/>
        </w:numPr>
        <w:spacing w:after="0" w:line="240" w:lineRule="auto"/>
        <w:rPr>
          <w:rFonts w:asciiTheme="minorHAnsi" w:hAnsiTheme="minorHAnsi"/>
        </w:rPr>
      </w:pPr>
      <w:r w:rsidRPr="00AB58B8">
        <w:rPr>
          <w:rFonts w:asciiTheme="minorHAnsi" w:hAnsiTheme="minorHAnsi"/>
        </w:rPr>
        <w:t>Open Data is only one component of the culture shift that needs to be achieved as we embrace the Digital Transformation.  We need to promote open code, open infrastructure, open services and a culture that embraces collaboration rather than the creation of data/infrastructure silos.</w:t>
      </w:r>
    </w:p>
    <w:p w14:paraId="48B55E04" w14:textId="77777777" w:rsidR="00173544" w:rsidRPr="00AB58B8" w:rsidRDefault="00173544" w:rsidP="00173544">
      <w:pPr>
        <w:pStyle w:val="ListParagraph"/>
        <w:spacing w:after="0" w:line="240" w:lineRule="auto"/>
        <w:rPr>
          <w:rFonts w:asciiTheme="minorHAnsi" w:hAnsiTheme="minorHAnsi"/>
        </w:rPr>
      </w:pPr>
    </w:p>
    <w:p w14:paraId="48B55E05" w14:textId="77777777" w:rsidR="00173544" w:rsidRPr="00AB58B8" w:rsidRDefault="00173544" w:rsidP="00173544">
      <w:pPr>
        <w:pStyle w:val="ListParagraph"/>
        <w:numPr>
          <w:ilvl w:val="0"/>
          <w:numId w:val="2"/>
        </w:numPr>
        <w:spacing w:after="0" w:line="240" w:lineRule="auto"/>
        <w:rPr>
          <w:rFonts w:asciiTheme="minorHAnsi" w:hAnsiTheme="minorHAnsi"/>
        </w:rPr>
      </w:pPr>
      <w:r w:rsidRPr="00AB58B8">
        <w:rPr>
          <w:rFonts w:asciiTheme="minorHAnsi" w:hAnsiTheme="minorHAnsi"/>
        </w:rPr>
        <w:t>While we support the issues paper call for standardising, sharing and release of data (where for the most part there are existing protocols already in place), we would like to see additional emphasis on the creation of data.  This should include new methods of data capture, “cradle to grave” data management policies, and rapid digitisation programs to bring physical information into the digital world.</w:t>
      </w:r>
    </w:p>
    <w:p w14:paraId="48B55E06" w14:textId="77777777" w:rsidR="00173544" w:rsidRPr="00AB58B8" w:rsidRDefault="00173544" w:rsidP="00173544">
      <w:pPr>
        <w:pStyle w:val="ListParagraph"/>
        <w:spacing w:after="0" w:line="240" w:lineRule="auto"/>
        <w:rPr>
          <w:rFonts w:asciiTheme="minorHAnsi" w:hAnsiTheme="minorHAnsi"/>
        </w:rPr>
      </w:pPr>
    </w:p>
    <w:p w14:paraId="48B55E07" w14:textId="77777777" w:rsidR="00173544" w:rsidRDefault="00173544" w:rsidP="00173544"/>
    <w:p w14:paraId="48B55E08" w14:textId="77777777" w:rsidR="00173544" w:rsidRDefault="00173544" w:rsidP="00173544"/>
    <w:p w14:paraId="48B55E09" w14:textId="77777777" w:rsidR="00173544" w:rsidRDefault="00173544" w:rsidP="00173544">
      <w:pPr>
        <w:rPr>
          <w:b/>
          <w:noProof/>
          <w:color w:val="E36C0A" w:themeColor="accent6" w:themeShade="BF"/>
          <w:sz w:val="36"/>
          <w:szCs w:val="36"/>
          <w:lang w:eastAsia="en-AU"/>
        </w:rPr>
      </w:pPr>
      <w:r>
        <w:rPr>
          <w:sz w:val="36"/>
          <w:szCs w:val="36"/>
        </w:rPr>
        <w:br w:type="page"/>
      </w:r>
    </w:p>
    <w:p w14:paraId="48B55E0A" w14:textId="77777777" w:rsidR="004070C4" w:rsidRDefault="004070C4" w:rsidP="00173544">
      <w:pPr>
        <w:jc w:val="left"/>
        <w:rPr>
          <w:sz w:val="36"/>
          <w:szCs w:val="36"/>
        </w:rPr>
      </w:pPr>
    </w:p>
    <w:p w14:paraId="48B55E0B" w14:textId="77777777" w:rsidR="004070C4" w:rsidRDefault="004070C4" w:rsidP="004070C4">
      <w:pPr>
        <w:pStyle w:val="Heading1"/>
        <w:rPr>
          <w:sz w:val="36"/>
          <w:szCs w:val="36"/>
        </w:rPr>
      </w:pPr>
      <w:r>
        <w:rPr>
          <w:sz w:val="36"/>
          <w:szCs w:val="36"/>
        </w:rPr>
        <w:t>Atlas of Living Australia</w:t>
      </w:r>
    </w:p>
    <w:p w14:paraId="48B55E0C" w14:textId="77777777" w:rsidR="004070C4" w:rsidRDefault="004070C4" w:rsidP="004070C4">
      <w:pPr>
        <w:ind w:left="0"/>
        <w:rPr>
          <w:lang w:eastAsia="en-AU"/>
        </w:rPr>
      </w:pPr>
    </w:p>
    <w:p w14:paraId="48B55E0D" w14:textId="77777777" w:rsidR="004070C4" w:rsidRPr="00AB58B8" w:rsidRDefault="004070C4" w:rsidP="004070C4">
      <w:pPr>
        <w:ind w:left="0"/>
        <w:jc w:val="left"/>
        <w:rPr>
          <w:sz w:val="28"/>
          <w:szCs w:val="28"/>
          <w:lang w:eastAsia="en-AU"/>
        </w:rPr>
      </w:pPr>
      <w:r w:rsidRPr="00AB58B8">
        <w:rPr>
          <w:sz w:val="28"/>
          <w:szCs w:val="28"/>
          <w:lang w:eastAsia="en-AU"/>
        </w:rPr>
        <w:t>Submission to Productivity Commission</w:t>
      </w:r>
      <w:r>
        <w:rPr>
          <w:sz w:val="28"/>
          <w:szCs w:val="28"/>
          <w:lang w:eastAsia="en-AU"/>
        </w:rPr>
        <w:t xml:space="preserve">: </w:t>
      </w:r>
      <w:r w:rsidRPr="00AB58B8">
        <w:rPr>
          <w:sz w:val="28"/>
          <w:szCs w:val="28"/>
          <w:lang w:eastAsia="en-AU"/>
        </w:rPr>
        <w:t>Data Availability and Use</w:t>
      </w:r>
    </w:p>
    <w:p w14:paraId="48B55E0E" w14:textId="77777777" w:rsidR="004070C4" w:rsidRDefault="004070C4" w:rsidP="00173544">
      <w:pPr>
        <w:jc w:val="left"/>
        <w:rPr>
          <w:sz w:val="36"/>
          <w:szCs w:val="36"/>
        </w:rPr>
      </w:pPr>
    </w:p>
    <w:p w14:paraId="48B55E0F" w14:textId="77777777" w:rsidR="00173544" w:rsidRPr="001B4425" w:rsidRDefault="00173544" w:rsidP="004070C4">
      <w:pPr>
        <w:ind w:left="0"/>
        <w:jc w:val="left"/>
        <w:rPr>
          <w:sz w:val="36"/>
          <w:szCs w:val="36"/>
        </w:rPr>
      </w:pPr>
      <w:r w:rsidRPr="001B4425">
        <w:rPr>
          <w:sz w:val="36"/>
          <w:szCs w:val="36"/>
        </w:rPr>
        <w:t>Specific responses</w:t>
      </w:r>
    </w:p>
    <w:p w14:paraId="48B55E10" w14:textId="77777777" w:rsidR="00173544" w:rsidRDefault="00173544" w:rsidP="00173544">
      <w:pPr>
        <w:pStyle w:val="Heading1"/>
        <w:rPr>
          <w:sz w:val="36"/>
          <w:szCs w:val="36"/>
        </w:rPr>
      </w:pPr>
    </w:p>
    <w:p w14:paraId="48B55E11" w14:textId="77777777" w:rsidR="00173544" w:rsidRPr="00AE2196" w:rsidRDefault="00173544" w:rsidP="00173544">
      <w:pPr>
        <w:pStyle w:val="BodyText"/>
        <w:spacing w:line="260" w:lineRule="atLeast"/>
        <w:ind w:left="567" w:hanging="567"/>
        <w:rPr>
          <w:b/>
          <w:sz w:val="28"/>
          <w:szCs w:val="28"/>
        </w:rPr>
      </w:pPr>
      <w:r w:rsidRPr="00AE2196">
        <w:rPr>
          <w:b/>
          <w:sz w:val="28"/>
          <w:szCs w:val="28"/>
        </w:rPr>
        <w:t>Data Availability and Use – Productivity Commission Contribution</w:t>
      </w:r>
    </w:p>
    <w:p w14:paraId="48B55E12" w14:textId="77777777" w:rsidR="00173544" w:rsidRPr="00AE2196" w:rsidRDefault="00173544" w:rsidP="00173544">
      <w:pPr>
        <w:pStyle w:val="BodyText"/>
        <w:numPr>
          <w:ilvl w:val="0"/>
          <w:numId w:val="3"/>
        </w:numPr>
        <w:spacing w:line="260" w:lineRule="atLeast"/>
        <w:ind w:left="426"/>
        <w:rPr>
          <w:b/>
        </w:rPr>
      </w:pPr>
      <w:r w:rsidRPr="00AE2196">
        <w:rPr>
          <w:b/>
        </w:rPr>
        <w:t>Benefits and costs of options for increasing availability of public sector data to other public sector agencies (including between the different levels of government), the private sector, research sector, academics and the community. Where there are clear benefits, recommend ways to increase and improve data linking and availability.</w:t>
      </w:r>
    </w:p>
    <w:p w14:paraId="48B55E13" w14:textId="77777777" w:rsidR="00173544" w:rsidRPr="00F678A2" w:rsidRDefault="00173544" w:rsidP="00173544">
      <w:pPr>
        <w:pStyle w:val="BodyText"/>
        <w:numPr>
          <w:ilvl w:val="1"/>
          <w:numId w:val="3"/>
        </w:numPr>
        <w:spacing w:before="120" w:line="260" w:lineRule="atLeast"/>
        <w:ind w:left="1134"/>
        <w:rPr>
          <w:b/>
        </w:rPr>
      </w:pPr>
      <w:r w:rsidRPr="00F678A2">
        <w:rPr>
          <w:b/>
        </w:rPr>
        <w:t>identify the characteristics and provide examples of public sector datasets that would provide high value to the public sector, research sector, academics and the community to assist public sector agencies to identify their most valuable data; and</w:t>
      </w:r>
    </w:p>
    <w:p w14:paraId="48B55E14" w14:textId="77777777" w:rsidR="00173544" w:rsidRPr="00F678A2" w:rsidRDefault="00173544" w:rsidP="00173544">
      <w:pPr>
        <w:pStyle w:val="BodyText"/>
        <w:spacing w:before="120" w:line="260" w:lineRule="atLeast"/>
      </w:pPr>
      <w:r w:rsidRPr="00F678A2">
        <w:t>The ALA combines mainly public sector data sets (over 1000 data sets), with notable contributors being Commonwealth Government Departments, all State and Territory Governments, Australian biological collections (museums and herbaria), NGOs, NRM and CMA groups and Citizen Science initiatives.</w:t>
      </w:r>
    </w:p>
    <w:p w14:paraId="48B55E15" w14:textId="77777777" w:rsidR="00173544" w:rsidRPr="00F678A2" w:rsidRDefault="00173544" w:rsidP="00173544">
      <w:pPr>
        <w:pStyle w:val="BodyText"/>
        <w:spacing w:before="120" w:after="0" w:line="260" w:lineRule="atLeast"/>
      </w:pPr>
      <w:r w:rsidRPr="00F678A2">
        <w:t>The Atlas of Living Australia has achieved a great deal in establishing the benefits of sharing public data sets.  These include:</w:t>
      </w:r>
    </w:p>
    <w:p w14:paraId="48B55E16" w14:textId="77777777" w:rsidR="00173544" w:rsidRPr="00F678A2" w:rsidRDefault="00173544" w:rsidP="00173544">
      <w:pPr>
        <w:pStyle w:val="ListParagraph"/>
        <w:numPr>
          <w:ilvl w:val="0"/>
          <w:numId w:val="4"/>
        </w:numPr>
        <w:spacing w:after="0" w:line="240" w:lineRule="auto"/>
      </w:pPr>
      <w:r w:rsidRPr="00F678A2">
        <w:t>The ALA currently holds over 60 million records, and to date over 7.5 billion records have been downloaded by a wide user community to support research, education, conservation management, biosecurity, environmental assessment, collection management and citizen science.</w:t>
      </w:r>
    </w:p>
    <w:p w14:paraId="48B55E17" w14:textId="77777777" w:rsidR="00173544" w:rsidRPr="00F678A2" w:rsidRDefault="00173544" w:rsidP="00173544">
      <w:pPr>
        <w:pStyle w:val="ListParagraph"/>
        <w:numPr>
          <w:ilvl w:val="0"/>
          <w:numId w:val="4"/>
        </w:numPr>
        <w:spacing w:after="0" w:line="240" w:lineRule="auto"/>
        <w:rPr>
          <w:lang w:eastAsia="en-US"/>
        </w:rPr>
      </w:pPr>
      <w:r w:rsidRPr="00F678A2">
        <w:rPr>
          <w:lang w:eastAsia="en-US"/>
        </w:rPr>
        <w:t>Over 800 academic articles have referenced the ALA since 2007 (Source: Google Scholar)</w:t>
      </w:r>
    </w:p>
    <w:p w14:paraId="48B55E18" w14:textId="77777777" w:rsidR="00173544" w:rsidRPr="00F678A2" w:rsidRDefault="00173544" w:rsidP="00173544">
      <w:pPr>
        <w:pStyle w:val="ListParagraph"/>
        <w:numPr>
          <w:ilvl w:val="0"/>
          <w:numId w:val="4"/>
        </w:numPr>
        <w:spacing w:after="0" w:line="240" w:lineRule="auto"/>
      </w:pPr>
      <w:r w:rsidRPr="00F678A2">
        <w:t xml:space="preserve">ALA represents the largest partnership for biodiversity in Australia                            </w:t>
      </w:r>
    </w:p>
    <w:p w14:paraId="48B55E19" w14:textId="77777777" w:rsidR="00173544" w:rsidRPr="00F678A2" w:rsidRDefault="00173544" w:rsidP="00173544">
      <w:pPr>
        <w:pStyle w:val="ListParagraph"/>
        <w:numPr>
          <w:ilvl w:val="0"/>
          <w:numId w:val="4"/>
        </w:numPr>
        <w:spacing w:after="0" w:line="240" w:lineRule="auto"/>
      </w:pPr>
      <w:proofErr w:type="spellStart"/>
      <w:r w:rsidRPr="00F678A2">
        <w:t>Digivol</w:t>
      </w:r>
      <w:proofErr w:type="spellEnd"/>
      <w:r w:rsidRPr="00F678A2">
        <w:t xml:space="preserve"> – an online platform enabling volunteers to digitise museum collection specimens – has reached over 350,000 digitisation events</w:t>
      </w:r>
    </w:p>
    <w:p w14:paraId="48B55E1A" w14:textId="77777777" w:rsidR="00173544" w:rsidRPr="00F678A2" w:rsidRDefault="00173544" w:rsidP="00173544">
      <w:pPr>
        <w:pStyle w:val="ListParagraph"/>
        <w:numPr>
          <w:ilvl w:val="0"/>
          <w:numId w:val="5"/>
        </w:numPr>
        <w:spacing w:after="0" w:line="240" w:lineRule="auto"/>
        <w:rPr>
          <w:lang w:eastAsia="en-US"/>
        </w:rPr>
      </w:pPr>
      <w:r w:rsidRPr="00F678A2">
        <w:rPr>
          <w:lang w:eastAsia="en-US"/>
        </w:rPr>
        <w:t>There are over 1 million images and 4500 sound files on the Atlas</w:t>
      </w:r>
    </w:p>
    <w:p w14:paraId="48B55E1B" w14:textId="77777777" w:rsidR="00173544" w:rsidRPr="00F678A2" w:rsidRDefault="00173544" w:rsidP="00173544">
      <w:pPr>
        <w:pStyle w:val="ListParagraph"/>
        <w:numPr>
          <w:ilvl w:val="0"/>
          <w:numId w:val="5"/>
        </w:numPr>
        <w:spacing w:after="0" w:line="240" w:lineRule="auto"/>
        <w:rPr>
          <w:lang w:eastAsia="en-US"/>
        </w:rPr>
      </w:pPr>
      <w:r w:rsidRPr="00F678A2">
        <w:rPr>
          <w:lang w:eastAsia="en-US"/>
        </w:rPr>
        <w:t>In 2015 the Atlas of Living Australia had over 625,000 users, over 5 million page views, and an average 3500 users per day (Source: Google Analytics)</w:t>
      </w:r>
    </w:p>
    <w:p w14:paraId="48B55E1C" w14:textId="77777777" w:rsidR="00173544" w:rsidRPr="00F678A2" w:rsidRDefault="00173544" w:rsidP="00173544">
      <w:pPr>
        <w:pStyle w:val="ListParagraph"/>
        <w:spacing w:after="0" w:line="240" w:lineRule="auto"/>
        <w:rPr>
          <w:lang w:eastAsia="en-US"/>
        </w:rPr>
      </w:pPr>
    </w:p>
    <w:p w14:paraId="48B55E1D" w14:textId="77777777" w:rsidR="00173544" w:rsidRPr="00F678A2" w:rsidRDefault="00173544" w:rsidP="00173544">
      <w:pPr>
        <w:pStyle w:val="BodyText"/>
        <w:numPr>
          <w:ilvl w:val="1"/>
          <w:numId w:val="3"/>
        </w:numPr>
        <w:spacing w:before="120" w:line="260" w:lineRule="atLeast"/>
        <w:ind w:left="1134"/>
        <w:rPr>
          <w:b/>
        </w:rPr>
      </w:pPr>
      <w:r w:rsidRPr="00F678A2">
        <w:rPr>
          <w:b/>
        </w:rPr>
        <w:t>examine legislation or other impediments that may unnecessarily restrict the availability and linking of data, including where the costs are substantial, and consider options to reduce or remove those impediments.</w:t>
      </w:r>
    </w:p>
    <w:p w14:paraId="48B55E1E" w14:textId="77777777" w:rsidR="00173544" w:rsidRPr="00F678A2" w:rsidRDefault="00173544" w:rsidP="00173544">
      <w:pPr>
        <w:pStyle w:val="BodyText"/>
        <w:spacing w:before="120" w:line="260" w:lineRule="atLeast"/>
      </w:pPr>
      <w:r w:rsidRPr="00F678A2">
        <w:t>Nil response</w:t>
      </w:r>
    </w:p>
    <w:p w14:paraId="48B55E1F" w14:textId="77777777" w:rsidR="00173544" w:rsidRPr="00F678A2" w:rsidRDefault="00173544" w:rsidP="00173544">
      <w:pPr>
        <w:pStyle w:val="BodyText"/>
        <w:spacing w:before="120" w:line="260" w:lineRule="atLeast"/>
      </w:pPr>
    </w:p>
    <w:p w14:paraId="48B55E20" w14:textId="77777777" w:rsidR="00173544" w:rsidRPr="00F678A2" w:rsidRDefault="00173544" w:rsidP="00173544">
      <w:pPr>
        <w:pStyle w:val="BodyText"/>
        <w:numPr>
          <w:ilvl w:val="0"/>
          <w:numId w:val="3"/>
        </w:numPr>
        <w:spacing w:line="260" w:lineRule="atLeast"/>
        <w:ind w:left="426"/>
        <w:rPr>
          <w:b/>
        </w:rPr>
      </w:pPr>
      <w:r w:rsidRPr="00F678A2">
        <w:rPr>
          <w:b/>
        </w:rPr>
        <w:lastRenderedPageBreak/>
        <w:t>Benefits and costs of options for increasing availability of private sector data for other private sector firms, the public sector, the research sector, academics and the community. Where there are clear benefits, consider ways to increase and improve availability.</w:t>
      </w:r>
    </w:p>
    <w:p w14:paraId="48B55E21" w14:textId="77777777" w:rsidR="00173544" w:rsidRPr="00F678A2" w:rsidRDefault="00173544" w:rsidP="00173544">
      <w:pPr>
        <w:pStyle w:val="BodyText"/>
        <w:numPr>
          <w:ilvl w:val="1"/>
          <w:numId w:val="3"/>
        </w:numPr>
        <w:spacing w:before="120" w:line="260" w:lineRule="atLeast"/>
        <w:ind w:left="1134"/>
        <w:rPr>
          <w:b/>
        </w:rPr>
      </w:pPr>
      <w:r w:rsidRPr="00F678A2">
        <w:rPr>
          <w:b/>
        </w:rPr>
        <w:t>identify the characteristics and provide examples of private sector datasets that would provide high value to the private sector, public sector, the research sector, academics and the community in developing or providing products and services, undertaking research and developing policy;</w:t>
      </w:r>
    </w:p>
    <w:p w14:paraId="48B55E22" w14:textId="77777777" w:rsidR="00173544" w:rsidRPr="00F678A2" w:rsidRDefault="00173544" w:rsidP="00173544">
      <w:pPr>
        <w:pStyle w:val="BodyText"/>
        <w:spacing w:before="120" w:line="260" w:lineRule="atLeast"/>
      </w:pPr>
      <w:r w:rsidRPr="00F678A2">
        <w:t>While mainly working with public sector data, our largest single data contributor is BirdLife Australia (12.5 million records).  Whether an NGO is public or private sector is perhaps debatable, but this is an example of a non-publicly funded organisation that saw the value of contributing its data to the ALA.</w:t>
      </w:r>
    </w:p>
    <w:p w14:paraId="48B55E23" w14:textId="77777777" w:rsidR="00173544" w:rsidRPr="00F678A2" w:rsidRDefault="00173544" w:rsidP="00173544">
      <w:pPr>
        <w:pStyle w:val="BodyText"/>
        <w:numPr>
          <w:ilvl w:val="1"/>
          <w:numId w:val="3"/>
        </w:numPr>
        <w:spacing w:before="120" w:line="260" w:lineRule="atLeast"/>
        <w:ind w:left="1134"/>
        <w:rPr>
          <w:b/>
        </w:rPr>
      </w:pPr>
      <w:r w:rsidRPr="00F678A2">
        <w:rPr>
          <w:b/>
        </w:rPr>
        <w:t>identify the concerns of private sector data owners and provide recommendations on principles or protocols to manage these concerns;</w:t>
      </w:r>
    </w:p>
    <w:p w14:paraId="48B55E24" w14:textId="77777777" w:rsidR="00173544" w:rsidRPr="00F678A2" w:rsidRDefault="00173544" w:rsidP="00173544">
      <w:pPr>
        <w:pStyle w:val="BodyText"/>
        <w:spacing w:before="120" w:line="260" w:lineRule="atLeast"/>
      </w:pPr>
      <w:r w:rsidRPr="00F678A2">
        <w:t>Nil response</w:t>
      </w:r>
    </w:p>
    <w:p w14:paraId="48B55E25" w14:textId="77777777" w:rsidR="00173544" w:rsidRPr="00F678A2" w:rsidRDefault="00173544" w:rsidP="00173544">
      <w:pPr>
        <w:pStyle w:val="BodyText"/>
        <w:numPr>
          <w:ilvl w:val="1"/>
          <w:numId w:val="3"/>
        </w:numPr>
        <w:spacing w:before="120" w:line="260" w:lineRule="atLeast"/>
        <w:ind w:left="1134"/>
        <w:rPr>
          <w:b/>
        </w:rPr>
      </w:pPr>
      <w:r w:rsidRPr="00F678A2">
        <w:rPr>
          <w:b/>
        </w:rPr>
        <w:t>examine legislation or other impediments that unnecessarily restrict the availability of data, including where the costs are substantial, and consider options to reduce or remove those impediments; and</w:t>
      </w:r>
    </w:p>
    <w:p w14:paraId="48B55E26" w14:textId="77777777" w:rsidR="00173544" w:rsidRPr="00F678A2" w:rsidRDefault="00173544" w:rsidP="00173544">
      <w:pPr>
        <w:pStyle w:val="BodyText"/>
        <w:spacing w:before="120" w:line="260" w:lineRule="atLeast"/>
      </w:pPr>
      <w:r w:rsidRPr="00F678A2">
        <w:t>Nil response</w:t>
      </w:r>
    </w:p>
    <w:p w14:paraId="48B55E27" w14:textId="77777777" w:rsidR="00173544" w:rsidRPr="00F678A2" w:rsidRDefault="00173544" w:rsidP="00173544">
      <w:pPr>
        <w:pStyle w:val="BodyText"/>
        <w:numPr>
          <w:ilvl w:val="1"/>
          <w:numId w:val="3"/>
        </w:numPr>
        <w:spacing w:before="120" w:line="260" w:lineRule="atLeast"/>
        <w:ind w:left="1134"/>
        <w:rPr>
          <w:b/>
        </w:rPr>
      </w:pPr>
      <w:r w:rsidRPr="00F678A2">
        <w:rPr>
          <w:b/>
        </w:rPr>
        <w:t>provide an update on existing data sharing initiatives in Australia, including the uptake of the credit reporting framework. Consider recommendations for improving participation in such initiatives.</w:t>
      </w:r>
    </w:p>
    <w:p w14:paraId="48B55E28" w14:textId="77777777" w:rsidR="00173544" w:rsidRPr="00F678A2" w:rsidRDefault="00173544" w:rsidP="00173544">
      <w:pPr>
        <w:pStyle w:val="BodyText"/>
        <w:spacing w:before="120" w:line="260" w:lineRule="atLeast"/>
      </w:pPr>
      <w:r w:rsidRPr="00F678A2">
        <w:t>Nil response</w:t>
      </w:r>
    </w:p>
    <w:p w14:paraId="48B55E29" w14:textId="77777777" w:rsidR="00173544" w:rsidRPr="00F678A2" w:rsidRDefault="00173544" w:rsidP="00173544">
      <w:pPr>
        <w:pStyle w:val="BodyText"/>
        <w:spacing w:before="120" w:line="260" w:lineRule="atLeast"/>
        <w:ind w:left="426"/>
      </w:pPr>
    </w:p>
    <w:p w14:paraId="48B55E2A" w14:textId="77777777" w:rsidR="00173544" w:rsidRPr="00F678A2" w:rsidRDefault="00173544" w:rsidP="00173544">
      <w:pPr>
        <w:pStyle w:val="BodyText"/>
        <w:numPr>
          <w:ilvl w:val="0"/>
          <w:numId w:val="3"/>
        </w:numPr>
        <w:spacing w:line="260" w:lineRule="atLeast"/>
        <w:ind w:left="426"/>
        <w:rPr>
          <w:b/>
        </w:rPr>
      </w:pPr>
      <w:r w:rsidRPr="00F678A2">
        <w:rPr>
          <w:b/>
        </w:rPr>
        <w:t xml:space="preserve">Identify options to improve individuals’ access to public and private sector data about themselves and examine the benefits and costs of those options. </w:t>
      </w:r>
    </w:p>
    <w:p w14:paraId="48B55E2B" w14:textId="77777777" w:rsidR="00173544" w:rsidRPr="00F678A2" w:rsidRDefault="00173544" w:rsidP="00173544">
      <w:pPr>
        <w:pStyle w:val="BodyText"/>
        <w:spacing w:line="260" w:lineRule="atLeast"/>
        <w:ind w:left="66"/>
      </w:pPr>
      <w:r w:rsidRPr="00F678A2">
        <w:t>The ALA does not hold these types of data.</w:t>
      </w:r>
    </w:p>
    <w:p w14:paraId="48B55E2C" w14:textId="77777777" w:rsidR="00173544" w:rsidRPr="00F678A2" w:rsidRDefault="00173544" w:rsidP="00173544">
      <w:pPr>
        <w:pStyle w:val="BodyText"/>
        <w:spacing w:before="120" w:line="260" w:lineRule="atLeast"/>
        <w:ind w:left="426"/>
      </w:pPr>
    </w:p>
    <w:p w14:paraId="48B55E2D" w14:textId="77777777" w:rsidR="00173544" w:rsidRPr="00F678A2" w:rsidRDefault="00173544" w:rsidP="00173544">
      <w:pPr>
        <w:pStyle w:val="BodyText"/>
        <w:numPr>
          <w:ilvl w:val="0"/>
          <w:numId w:val="3"/>
        </w:numPr>
        <w:spacing w:line="260" w:lineRule="atLeast"/>
        <w:ind w:left="426"/>
        <w:rPr>
          <w:b/>
        </w:rPr>
      </w:pPr>
      <w:r w:rsidRPr="00F678A2">
        <w:rPr>
          <w:b/>
        </w:rPr>
        <w:t>Options for, and benefits and costs of, standardising the collection, sharing and release of public and private sector data.</w:t>
      </w:r>
    </w:p>
    <w:p w14:paraId="48B55E2E" w14:textId="77777777" w:rsidR="00173544" w:rsidRPr="00F678A2" w:rsidRDefault="00173544" w:rsidP="00173544">
      <w:pPr>
        <w:pStyle w:val="BodyText"/>
        <w:spacing w:line="260" w:lineRule="atLeast"/>
        <w:ind w:left="66"/>
      </w:pPr>
      <w:r w:rsidRPr="00F678A2">
        <w:t xml:space="preserve">For environmental and biodiversity data, we have several options for data sharing already in place and working.  These could be further developed by expanding the existing collaboration between the NCRIS funded environmental facilities (e.g. ALA, IMOS, TERN).  Data standards are already in place (and widely used) for much of this information.  </w:t>
      </w:r>
    </w:p>
    <w:p w14:paraId="48B55E2F" w14:textId="77777777" w:rsidR="00173544" w:rsidRPr="00F678A2" w:rsidRDefault="00173544" w:rsidP="00173544">
      <w:pPr>
        <w:pStyle w:val="BodyText"/>
        <w:spacing w:line="260" w:lineRule="atLeast"/>
        <w:ind w:left="66"/>
      </w:pPr>
      <w:r w:rsidRPr="00F678A2">
        <w:t xml:space="preserve">Some government departments still maintain some of their data separately from the NCRIS environmental initiatives.  While holding and managing the data separately may be sensible, the sharing of the data would be of mutual benefit.  </w:t>
      </w:r>
    </w:p>
    <w:p w14:paraId="48B55E30" w14:textId="77777777" w:rsidR="00173544" w:rsidRPr="00F678A2" w:rsidRDefault="00173544" w:rsidP="00173544">
      <w:pPr>
        <w:pStyle w:val="BodyText"/>
        <w:spacing w:line="260" w:lineRule="atLeast"/>
        <w:ind w:left="66"/>
      </w:pPr>
      <w:r w:rsidRPr="00F678A2">
        <w:lastRenderedPageBreak/>
        <w:t>While not specifically called for, the ALA would add the following comments to this section:</w:t>
      </w:r>
    </w:p>
    <w:p w14:paraId="48B55E31" w14:textId="77777777" w:rsidR="00173544" w:rsidRPr="00F678A2" w:rsidRDefault="00173544" w:rsidP="00173544">
      <w:pPr>
        <w:pStyle w:val="ListParagraph"/>
        <w:numPr>
          <w:ilvl w:val="0"/>
          <w:numId w:val="2"/>
        </w:numPr>
        <w:spacing w:after="0" w:line="240" w:lineRule="auto"/>
        <w:rPr>
          <w:rFonts w:asciiTheme="minorHAnsi" w:hAnsiTheme="minorHAnsi"/>
        </w:rPr>
      </w:pPr>
      <w:r w:rsidRPr="00F678A2">
        <w:rPr>
          <w:rFonts w:asciiTheme="minorHAnsi" w:hAnsiTheme="minorHAnsi"/>
        </w:rPr>
        <w:t>Open Data is only one component of the culture shift that needs to be achieved as we embrace the Digital Transformation.  We need to promote open code, open infrastructure, open services and a culture that embraces collaboration rather than the creation of data/infrastructure silos.</w:t>
      </w:r>
    </w:p>
    <w:p w14:paraId="48B55E32" w14:textId="77777777" w:rsidR="00173544" w:rsidRPr="00F678A2" w:rsidRDefault="00173544" w:rsidP="00173544">
      <w:pPr>
        <w:pStyle w:val="ListParagraph"/>
        <w:numPr>
          <w:ilvl w:val="0"/>
          <w:numId w:val="2"/>
        </w:numPr>
        <w:spacing w:after="0" w:line="240" w:lineRule="auto"/>
        <w:rPr>
          <w:rFonts w:asciiTheme="minorHAnsi" w:hAnsiTheme="minorHAnsi"/>
        </w:rPr>
      </w:pPr>
      <w:r w:rsidRPr="00F678A2">
        <w:rPr>
          <w:rFonts w:asciiTheme="minorHAnsi" w:hAnsiTheme="minorHAnsi"/>
        </w:rPr>
        <w:t>Examples of benefits here include:</w:t>
      </w:r>
    </w:p>
    <w:p w14:paraId="48B55E33" w14:textId="77777777" w:rsidR="00173544" w:rsidRPr="00F678A2" w:rsidRDefault="00173544" w:rsidP="00173544">
      <w:pPr>
        <w:pStyle w:val="ListParagraph"/>
        <w:numPr>
          <w:ilvl w:val="1"/>
          <w:numId w:val="2"/>
        </w:numPr>
        <w:spacing w:after="0" w:line="240" w:lineRule="auto"/>
        <w:rPr>
          <w:rFonts w:asciiTheme="minorHAnsi" w:hAnsiTheme="minorHAnsi"/>
        </w:rPr>
      </w:pPr>
      <w:r w:rsidRPr="00F678A2">
        <w:rPr>
          <w:rFonts w:asciiTheme="minorHAnsi" w:hAnsiTheme="minorHAnsi"/>
        </w:rPr>
        <w:t>The core ALA infrastructure now supports over 70 different hubs and portals delivering to a wide variety of outcome areas (biodiversity, biosecurity, citizen science).  This is a key example of the benefit of open infrastructure – which is as important (if not more important) a story than open data.</w:t>
      </w:r>
    </w:p>
    <w:p w14:paraId="48B55E34" w14:textId="77777777" w:rsidR="00173544" w:rsidRPr="00F678A2" w:rsidRDefault="00173544" w:rsidP="00173544">
      <w:pPr>
        <w:pStyle w:val="ListParagraph"/>
        <w:numPr>
          <w:ilvl w:val="1"/>
          <w:numId w:val="2"/>
        </w:numPr>
        <w:spacing w:after="0" w:line="240" w:lineRule="auto"/>
        <w:rPr>
          <w:rFonts w:asciiTheme="minorHAnsi" w:hAnsiTheme="minorHAnsi"/>
        </w:rPr>
      </w:pPr>
      <w:r w:rsidRPr="00F678A2">
        <w:rPr>
          <w:rFonts w:asciiTheme="minorHAnsi" w:hAnsiTheme="minorHAnsi"/>
        </w:rPr>
        <w:t>ALA infrastructure is now being used by 7 different countries around the world to support their own national biodiversity portals – with several more actively implementing the ALA tools.</w:t>
      </w:r>
    </w:p>
    <w:p w14:paraId="48B55E35" w14:textId="77777777" w:rsidR="00173544" w:rsidRPr="00F678A2" w:rsidRDefault="00173544" w:rsidP="00173544">
      <w:pPr>
        <w:pStyle w:val="ListParagraph"/>
        <w:numPr>
          <w:ilvl w:val="1"/>
          <w:numId w:val="2"/>
        </w:numPr>
        <w:spacing w:after="0" w:line="240" w:lineRule="auto"/>
        <w:rPr>
          <w:rFonts w:asciiTheme="minorHAnsi" w:hAnsiTheme="minorHAnsi"/>
        </w:rPr>
      </w:pPr>
      <w:r w:rsidRPr="00F678A2">
        <w:rPr>
          <w:rFonts w:asciiTheme="minorHAnsi" w:hAnsiTheme="minorHAnsi"/>
        </w:rPr>
        <w:t xml:space="preserve">ALA web services (all completely open) are being used by various groups to support their own initiatives (e.g. NECTAR labs such as the Biodiversity and Climate Change Virtual Laboratory; </w:t>
      </w:r>
      <w:proofErr w:type="spellStart"/>
      <w:r w:rsidRPr="00F678A2">
        <w:rPr>
          <w:rFonts w:asciiTheme="minorHAnsi" w:hAnsiTheme="minorHAnsi"/>
        </w:rPr>
        <w:t>QuestaGame</w:t>
      </w:r>
      <w:proofErr w:type="spellEnd"/>
      <w:r w:rsidRPr="00F678A2">
        <w:rPr>
          <w:rFonts w:asciiTheme="minorHAnsi" w:hAnsiTheme="minorHAnsi"/>
        </w:rPr>
        <w:t xml:space="preserve"> – a game app to support biodiversity learning).</w:t>
      </w:r>
    </w:p>
    <w:p w14:paraId="48B55E36" w14:textId="77777777" w:rsidR="00173544" w:rsidRPr="00F678A2" w:rsidRDefault="00173544" w:rsidP="00173544">
      <w:pPr>
        <w:pStyle w:val="ListParagraph"/>
        <w:numPr>
          <w:ilvl w:val="0"/>
          <w:numId w:val="2"/>
        </w:numPr>
        <w:spacing w:after="0" w:line="240" w:lineRule="auto"/>
        <w:rPr>
          <w:rFonts w:asciiTheme="minorHAnsi" w:hAnsiTheme="minorHAnsi"/>
        </w:rPr>
      </w:pPr>
      <w:r w:rsidRPr="00F678A2">
        <w:rPr>
          <w:rFonts w:asciiTheme="minorHAnsi" w:hAnsiTheme="minorHAnsi"/>
        </w:rPr>
        <w:t xml:space="preserve">While we support the issues paper call for standardising, sharing and release of data (where for the most part there are existing protocols already in place), we would like to see additional emphasis on the creation of data.  This should include new methods of data capture, “cradle to grave” data management policies, and rapid digitisation programs to bring physical information into the digital world.  </w:t>
      </w:r>
    </w:p>
    <w:p w14:paraId="48B55E37" w14:textId="77777777" w:rsidR="00173544" w:rsidRPr="00F678A2" w:rsidRDefault="00173544" w:rsidP="00173544">
      <w:pPr>
        <w:pStyle w:val="ListParagraph"/>
        <w:spacing w:after="0" w:line="240" w:lineRule="auto"/>
        <w:rPr>
          <w:rFonts w:asciiTheme="minorHAnsi" w:hAnsiTheme="minorHAnsi"/>
        </w:rPr>
      </w:pPr>
      <w:r w:rsidRPr="00F678A2">
        <w:rPr>
          <w:rFonts w:asciiTheme="minorHAnsi" w:hAnsiTheme="minorHAnsi"/>
        </w:rPr>
        <w:t>e-Infrastructure such as the ALA is only as good as its content – so initiatives that increase the flow and quality of data are always welcomed.</w:t>
      </w:r>
    </w:p>
    <w:p w14:paraId="48B55E38" w14:textId="77777777" w:rsidR="00173544" w:rsidRPr="00F678A2" w:rsidRDefault="00173544" w:rsidP="00173544">
      <w:pPr>
        <w:pStyle w:val="BodyText"/>
        <w:spacing w:line="260" w:lineRule="atLeast"/>
        <w:ind w:left="66"/>
      </w:pPr>
    </w:p>
    <w:p w14:paraId="48B55E39" w14:textId="77777777" w:rsidR="00173544" w:rsidRPr="00F678A2" w:rsidRDefault="00173544" w:rsidP="00173544">
      <w:pPr>
        <w:pStyle w:val="BodyText"/>
        <w:numPr>
          <w:ilvl w:val="0"/>
          <w:numId w:val="3"/>
        </w:numPr>
        <w:spacing w:line="260" w:lineRule="atLeast"/>
        <w:ind w:left="426"/>
      </w:pPr>
      <w:r w:rsidRPr="00F678A2">
        <w:rPr>
          <w:b/>
        </w:rPr>
        <w:t>Ways to enhance and maintain individuals’ and businesses’ confidence and trust in the way data are used. Having regard to current legislation and practice, advise on the need for further protocols to facilitate disclosure and use of data about individuals and businesses while protecting privacy and commercial interests and, if recommended, advise on what these should be.</w:t>
      </w:r>
      <w:r w:rsidRPr="00F678A2">
        <w:t xml:space="preserve"> </w:t>
      </w:r>
    </w:p>
    <w:p w14:paraId="48B55E3A" w14:textId="77777777" w:rsidR="00173544" w:rsidRPr="00F678A2" w:rsidRDefault="00173544" w:rsidP="00173544">
      <w:pPr>
        <w:pStyle w:val="BodyText"/>
        <w:spacing w:line="260" w:lineRule="atLeast"/>
        <w:ind w:left="66"/>
      </w:pPr>
      <w:r w:rsidRPr="00F678A2">
        <w:t>The ALA does not work in this area.</w:t>
      </w:r>
    </w:p>
    <w:p w14:paraId="48B55E3B" w14:textId="77777777" w:rsidR="00173544" w:rsidRPr="00F678A2" w:rsidRDefault="00173544" w:rsidP="00173544">
      <w:pPr>
        <w:ind w:left="426"/>
      </w:pPr>
    </w:p>
    <w:p w14:paraId="48B55E3C" w14:textId="77777777" w:rsidR="00173544" w:rsidRDefault="00173544" w:rsidP="00173544">
      <w:pPr>
        <w:ind w:left="426"/>
      </w:pPr>
    </w:p>
    <w:p w14:paraId="48B55E3D" w14:textId="77777777" w:rsidR="00173544" w:rsidRDefault="00173544" w:rsidP="00173544"/>
    <w:p w14:paraId="48B55E3E" w14:textId="77777777" w:rsidR="00173544" w:rsidRDefault="00173544" w:rsidP="00173544"/>
    <w:p w14:paraId="48B55E3F" w14:textId="77777777" w:rsidR="00387256" w:rsidRPr="00387256" w:rsidRDefault="00387256" w:rsidP="00D32F60">
      <w:pPr>
        <w:jc w:val="left"/>
      </w:pPr>
    </w:p>
    <w:sectPr w:rsidR="00387256" w:rsidRPr="00387256" w:rsidSect="002A563A">
      <w:headerReference w:type="default" r:id="rId14"/>
      <w:footerReference w:type="default" r:id="rId15"/>
      <w:headerReference w:type="first" r:id="rId16"/>
      <w:footerReference w:type="first" r:id="rId17"/>
      <w:pgSz w:w="11906" w:h="16838"/>
      <w:pgMar w:top="1440" w:right="1440" w:bottom="1440" w:left="1418"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5E50" w14:textId="77777777" w:rsidR="003F5C2D" w:rsidRDefault="003F5C2D" w:rsidP="00E71E9F">
      <w:r>
        <w:separator/>
      </w:r>
    </w:p>
    <w:p w14:paraId="48B55E51" w14:textId="77777777" w:rsidR="003F5C2D" w:rsidRDefault="003F5C2D"/>
    <w:p w14:paraId="48B55E52" w14:textId="77777777" w:rsidR="003F5C2D" w:rsidRDefault="003F5C2D" w:rsidP="00173544"/>
    <w:p w14:paraId="48B55E53" w14:textId="77777777" w:rsidR="003F5C2D" w:rsidRDefault="003F5C2D" w:rsidP="006C7EFA"/>
    <w:p w14:paraId="48B55E54" w14:textId="77777777" w:rsidR="003F5C2D" w:rsidRDefault="003F5C2D" w:rsidP="006C7EFA"/>
    <w:p w14:paraId="48B55E55" w14:textId="77777777" w:rsidR="003F5C2D" w:rsidRDefault="003F5C2D" w:rsidP="006C7EFA"/>
    <w:p w14:paraId="48B55E56" w14:textId="77777777" w:rsidR="003F5C2D" w:rsidRDefault="003F5C2D" w:rsidP="006C7EFA"/>
  </w:endnote>
  <w:endnote w:type="continuationSeparator" w:id="0">
    <w:p w14:paraId="48B55E57" w14:textId="77777777" w:rsidR="003F5C2D" w:rsidRDefault="003F5C2D" w:rsidP="00E71E9F">
      <w:r>
        <w:continuationSeparator/>
      </w:r>
    </w:p>
    <w:p w14:paraId="48B55E58" w14:textId="77777777" w:rsidR="003F5C2D" w:rsidRDefault="003F5C2D"/>
    <w:p w14:paraId="48B55E59" w14:textId="77777777" w:rsidR="003F5C2D" w:rsidRDefault="003F5C2D" w:rsidP="00173544"/>
    <w:p w14:paraId="48B55E5A" w14:textId="77777777" w:rsidR="003F5C2D" w:rsidRDefault="003F5C2D" w:rsidP="006C7EFA"/>
    <w:p w14:paraId="48B55E5B" w14:textId="77777777" w:rsidR="003F5C2D" w:rsidRDefault="003F5C2D" w:rsidP="006C7EFA"/>
    <w:p w14:paraId="48B55E5C" w14:textId="77777777" w:rsidR="003F5C2D" w:rsidRDefault="003F5C2D" w:rsidP="006C7EFA"/>
    <w:p w14:paraId="48B55E5D" w14:textId="77777777" w:rsidR="003F5C2D" w:rsidRDefault="003F5C2D" w:rsidP="006C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77480"/>
      <w:docPartObj>
        <w:docPartGallery w:val="Page Numbers (Bottom of Page)"/>
        <w:docPartUnique/>
      </w:docPartObj>
    </w:sdtPr>
    <w:sdtEndPr>
      <w:rPr>
        <w:color w:val="7F7F7F" w:themeColor="background1" w:themeShade="7F"/>
        <w:spacing w:val="60"/>
      </w:rPr>
    </w:sdtEndPr>
    <w:sdtContent>
      <w:p w14:paraId="48B55E62" w14:textId="77777777" w:rsidR="006C7EFA" w:rsidRDefault="006C7EFA">
        <w:pPr>
          <w:pStyle w:val="Footer"/>
          <w:pBdr>
            <w:top w:val="single" w:sz="4" w:space="1" w:color="D9D9D9" w:themeColor="background1" w:themeShade="D9"/>
          </w:pBdr>
        </w:pPr>
        <w:r w:rsidRPr="004D26E5">
          <w:rPr>
            <w:sz w:val="18"/>
            <w:szCs w:val="18"/>
          </w:rPr>
          <w:fldChar w:fldCharType="begin"/>
        </w:r>
        <w:r w:rsidRPr="004D26E5">
          <w:rPr>
            <w:sz w:val="18"/>
            <w:szCs w:val="18"/>
          </w:rPr>
          <w:instrText xml:space="preserve"> PAGE   \* MERGEFORMAT </w:instrText>
        </w:r>
        <w:r w:rsidRPr="004D26E5">
          <w:rPr>
            <w:sz w:val="18"/>
            <w:szCs w:val="18"/>
          </w:rPr>
          <w:fldChar w:fldCharType="separate"/>
        </w:r>
        <w:r w:rsidR="007A2A3B">
          <w:rPr>
            <w:noProof/>
            <w:sz w:val="18"/>
            <w:szCs w:val="18"/>
          </w:rPr>
          <w:t>2</w:t>
        </w:r>
        <w:r w:rsidRPr="004D26E5">
          <w:rPr>
            <w:noProof/>
            <w:sz w:val="18"/>
            <w:szCs w:val="18"/>
          </w:rPr>
          <w:fldChar w:fldCharType="end"/>
        </w:r>
        <w:r w:rsidRPr="004D26E5">
          <w:rPr>
            <w:sz w:val="18"/>
            <w:szCs w:val="18"/>
          </w:rPr>
          <w:t xml:space="preserve"> | </w:t>
        </w:r>
        <w:r w:rsidRPr="004D26E5">
          <w:rPr>
            <w:color w:val="7F7F7F" w:themeColor="background1" w:themeShade="7F"/>
            <w:spacing w:val="60"/>
            <w:sz w:val="18"/>
            <w:szCs w:val="18"/>
          </w:rPr>
          <w:t>Page</w:t>
        </w:r>
      </w:p>
    </w:sdtContent>
  </w:sdt>
  <w:p w14:paraId="48B55E63" w14:textId="77777777" w:rsidR="003A222A" w:rsidRDefault="003A222A" w:rsidP="006C7EFA">
    <w:pPr>
      <w:ind w:left="0"/>
      <w:jc w:val="both"/>
    </w:pPr>
  </w:p>
  <w:p w14:paraId="48B55E64" w14:textId="77777777" w:rsidR="003A222A" w:rsidRDefault="003A222A" w:rsidP="006C7E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5E6D" w14:textId="77777777" w:rsidR="004D26E5" w:rsidRDefault="004D26E5" w:rsidP="004D26E5">
    <w:pPr>
      <w:pStyle w:val="Footer"/>
      <w:jc w:val="both"/>
      <w:rPr>
        <w:sz w:val="18"/>
        <w:szCs w:val="18"/>
      </w:rPr>
    </w:pPr>
    <w:r w:rsidRPr="004D26E5">
      <w:rPr>
        <w:noProof/>
        <w:sz w:val="18"/>
        <w:szCs w:val="18"/>
        <w:lang w:eastAsia="en-AU"/>
      </w:rPr>
      <w:drawing>
        <wp:anchor distT="0" distB="0" distL="114300" distR="114300" simplePos="0" relativeHeight="251670528" behindDoc="0" locked="0" layoutInCell="1" allowOverlap="1" wp14:anchorId="48B55E7B" wp14:editId="48B55E7C">
          <wp:simplePos x="0" y="0"/>
          <wp:positionH relativeFrom="column">
            <wp:posOffset>-227965</wp:posOffset>
          </wp:positionH>
          <wp:positionV relativeFrom="paragraph">
            <wp:posOffset>63288</wp:posOffset>
          </wp:positionV>
          <wp:extent cx="1322705" cy="635635"/>
          <wp:effectExtent l="0" t="0" r="0" b="0"/>
          <wp:wrapSquare wrapText="bothSides"/>
          <wp:docPr id="1" name="Picture 0" descr="NCRIS_PROVID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IS_PROVIDER_mono.jpg"/>
                  <pic:cNvPicPr/>
                </pic:nvPicPr>
                <pic:blipFill>
                  <a:blip r:embed="rId1"/>
                  <a:stretch>
                    <a:fillRect/>
                  </a:stretch>
                </pic:blipFill>
                <pic:spPr>
                  <a:xfrm>
                    <a:off x="0" y="0"/>
                    <a:ext cx="1322705" cy="635635"/>
                  </a:xfrm>
                  <a:prstGeom prst="rect">
                    <a:avLst/>
                  </a:prstGeom>
                </pic:spPr>
              </pic:pic>
            </a:graphicData>
          </a:graphic>
        </wp:anchor>
      </w:drawing>
    </w:r>
    <w:r w:rsidRPr="004D26E5">
      <w:rPr>
        <w:noProof/>
        <w:sz w:val="18"/>
        <w:szCs w:val="18"/>
        <w:lang w:eastAsia="en-AU"/>
      </w:rPr>
      <w:drawing>
        <wp:anchor distT="0" distB="0" distL="114300" distR="114300" simplePos="0" relativeHeight="251671552" behindDoc="0" locked="0" layoutInCell="1" allowOverlap="1" wp14:anchorId="48B55E7D" wp14:editId="48B55E7E">
          <wp:simplePos x="0" y="0"/>
          <wp:positionH relativeFrom="column">
            <wp:posOffset>1257300</wp:posOffset>
          </wp:positionH>
          <wp:positionV relativeFrom="paragraph">
            <wp:posOffset>6138</wp:posOffset>
          </wp:positionV>
          <wp:extent cx="716280" cy="680085"/>
          <wp:effectExtent l="0" t="0" r="7620" b="5715"/>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6280" cy="680085"/>
                  </a:xfrm>
                  <a:prstGeom prst="rect">
                    <a:avLst/>
                  </a:prstGeom>
                </pic:spPr>
              </pic:pic>
            </a:graphicData>
          </a:graphic>
          <wp14:sizeRelH relativeFrom="page">
            <wp14:pctWidth>0</wp14:pctWidth>
          </wp14:sizeRelH>
          <wp14:sizeRelV relativeFrom="page">
            <wp14:pctHeight>0</wp14:pctHeight>
          </wp14:sizeRelV>
        </wp:anchor>
      </w:drawing>
    </w:r>
  </w:p>
  <w:p w14:paraId="48B55E6E" w14:textId="77777777" w:rsidR="00387256" w:rsidRPr="004D26E5" w:rsidRDefault="004D26E5" w:rsidP="004D26E5">
    <w:pPr>
      <w:pStyle w:val="Footer"/>
      <w:ind w:left="0"/>
      <w:jc w:val="both"/>
      <w:rPr>
        <w:sz w:val="18"/>
        <w:szCs w:val="18"/>
      </w:rPr>
    </w:pPr>
    <w:r>
      <w:rPr>
        <w:sz w:val="18"/>
        <w:szCs w:val="18"/>
      </w:rPr>
      <w:t>The Atlas of Living Australia</w:t>
    </w:r>
    <w:r w:rsidR="00692B55">
      <w:rPr>
        <w:sz w:val="18"/>
        <w:szCs w:val="18"/>
      </w:rPr>
      <w:t xml:space="preserve"> is</w:t>
    </w:r>
    <w:r w:rsidRPr="004D26E5">
      <w:rPr>
        <w:sz w:val="18"/>
        <w:szCs w:val="18"/>
      </w:rPr>
      <w:t xml:space="preserve"> national collaborative research infrastructure supported by the Australian Government.  It is led by CSIRO in partnership with the Australian biological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55E42" w14:textId="77777777" w:rsidR="003F5C2D" w:rsidRDefault="003F5C2D" w:rsidP="00E71E9F">
      <w:r>
        <w:separator/>
      </w:r>
    </w:p>
    <w:p w14:paraId="48B55E43" w14:textId="77777777" w:rsidR="003F5C2D" w:rsidRDefault="003F5C2D"/>
    <w:p w14:paraId="48B55E44" w14:textId="77777777" w:rsidR="003F5C2D" w:rsidRDefault="003F5C2D" w:rsidP="00173544"/>
    <w:p w14:paraId="48B55E45" w14:textId="77777777" w:rsidR="003F5C2D" w:rsidRDefault="003F5C2D" w:rsidP="006C7EFA"/>
    <w:p w14:paraId="48B55E46" w14:textId="77777777" w:rsidR="003F5C2D" w:rsidRDefault="003F5C2D" w:rsidP="006C7EFA"/>
    <w:p w14:paraId="48B55E47" w14:textId="77777777" w:rsidR="003F5C2D" w:rsidRDefault="003F5C2D" w:rsidP="006C7EFA"/>
    <w:p w14:paraId="48B55E48" w14:textId="77777777" w:rsidR="003F5C2D" w:rsidRDefault="003F5C2D" w:rsidP="006C7EFA"/>
  </w:footnote>
  <w:footnote w:type="continuationSeparator" w:id="0">
    <w:p w14:paraId="48B55E49" w14:textId="77777777" w:rsidR="003F5C2D" w:rsidRDefault="003F5C2D" w:rsidP="00E71E9F">
      <w:r>
        <w:continuationSeparator/>
      </w:r>
    </w:p>
    <w:p w14:paraId="48B55E4A" w14:textId="77777777" w:rsidR="003F5C2D" w:rsidRDefault="003F5C2D"/>
    <w:p w14:paraId="48B55E4B" w14:textId="77777777" w:rsidR="003F5C2D" w:rsidRDefault="003F5C2D" w:rsidP="00173544"/>
    <w:p w14:paraId="48B55E4C" w14:textId="77777777" w:rsidR="003F5C2D" w:rsidRDefault="003F5C2D" w:rsidP="006C7EFA"/>
    <w:p w14:paraId="48B55E4D" w14:textId="77777777" w:rsidR="003F5C2D" w:rsidRDefault="003F5C2D" w:rsidP="006C7EFA"/>
    <w:p w14:paraId="48B55E4E" w14:textId="77777777" w:rsidR="003F5C2D" w:rsidRDefault="003F5C2D" w:rsidP="006C7EFA"/>
    <w:p w14:paraId="48B55E4F" w14:textId="77777777" w:rsidR="003F5C2D" w:rsidRDefault="003F5C2D" w:rsidP="006C7E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5E5E" w14:textId="77777777" w:rsidR="006C7EFA" w:rsidRDefault="006C7EFA" w:rsidP="006C7EFA">
    <w:pPr>
      <w:pStyle w:val="Header"/>
    </w:pPr>
  </w:p>
  <w:p w14:paraId="48B55E5F" w14:textId="77777777" w:rsidR="006C7EFA" w:rsidRDefault="006C7EFA" w:rsidP="006C7EFA">
    <w:pPr>
      <w:pStyle w:val="Header"/>
    </w:pPr>
    <w:r w:rsidRPr="00052280">
      <w:rPr>
        <w:noProof/>
        <w:lang w:eastAsia="en-AU"/>
      </w:rPr>
      <mc:AlternateContent>
        <mc:Choice Requires="wps">
          <w:drawing>
            <wp:anchor distT="0" distB="0" distL="114300" distR="114300" simplePos="0" relativeHeight="251667456" behindDoc="0" locked="0" layoutInCell="1" allowOverlap="1" wp14:anchorId="48B55E6F" wp14:editId="48B55E70">
              <wp:simplePos x="0" y="0"/>
              <wp:positionH relativeFrom="page">
                <wp:posOffset>13335</wp:posOffset>
              </wp:positionH>
              <wp:positionV relativeFrom="paragraph">
                <wp:posOffset>32385</wp:posOffset>
              </wp:positionV>
              <wp:extent cx="7627620" cy="162560"/>
              <wp:effectExtent l="0" t="0" r="11430" b="27940"/>
              <wp:wrapNone/>
              <wp:docPr id="133670" name="Rectangle 133670"/>
              <wp:cNvGraphicFramePr/>
              <a:graphic xmlns:a="http://schemas.openxmlformats.org/drawingml/2006/main">
                <a:graphicData uri="http://schemas.microsoft.com/office/word/2010/wordprocessingShape">
                  <wps:wsp>
                    <wps:cNvSpPr/>
                    <wps:spPr>
                      <a:xfrm>
                        <a:off x="0" y="0"/>
                        <a:ext cx="7627620" cy="16256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9E1925" id="Rectangle 133670" o:spid="_x0000_s1026" style="position:absolute;margin-left:1.05pt;margin-top:2.55pt;width:600.6pt;height:1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CqoAIAAAYGAAAOAAAAZHJzL2Uyb0RvYy54bWy0VFFv2yAQfp+0/4B4X22nbbJFcaqoVadJ&#10;XRu1nfpMMMSWgGNA4mS/fgd23KyL9jBtkoWBu/vu7uPuZlc7rchWON+AKWlxllMiDIeqMeuSfnu+&#10;/fCREh+YqZgCI0q6F55ezd+/m7V2KkZQg6qEIwhi/LS1Ja1DsNMs87wWmvkzsMKgUILTLODRrbPK&#10;sRbRtcpGeT7OWnCVdcCF93h70wnpPOFLKXh4kNKLQFRJMbaQVpfWVVyz+YxN147ZuuF9GOwvotCs&#10;Meh0gLphgZGNa36D0g134EGGMw46AykbLlIOmE2Rv8nmqWZWpFyQHG8Hmvy/g+X326UjTYVvd34+&#10;niBFhml8p0dkjpm1EqS/R6Ja66eo/2SXrj953Masd9Lp+Md8yC6Rux/IFbtAOF5OxiP80AFHWTEe&#10;XY4T+9mrtXU+fBagSdyU1GEIiVO2vfMBPaLqQSU686Ca6rZRKh1iwYhr5ciW4VMzzoUJ42SuNvor&#10;VN395DLPD25TjUWThPwLmjL/1QEmEj1kkdCOwrQLeyWiX2UehcQ3QdJGKYMh0uPkik5Us0p01zG1&#10;07klwIgska0Buwc4RVwR+wKj7PWjqUjNNBjnfwqsMx4skmcwYTDWjQF3CkCFwXOnfyCpoyaytIJq&#10;jxXroGtlb/ltg+Vyx3xYMoe9ixWG8yg84CIVtCWFfkdJDe7Hqfuojy2FUkpanAUl9d83zAlK1BeD&#10;zfapuLiIwyMdLi4nsYrdsWR1LDEbfQ1YgwVOPsvTNuoHddhKB/oFx9YiekURMxx9l5QHdzhch25G&#10;4eDjYrFIajgwLAt35snyCB5Zje3wvHthzvY9E7Db7uEwN9j0Tet0utHSwGITQDapr1557fnGYZPe&#10;vx+McZodn5PW6/ie/wQAAP//AwBQSwMEFAAGAAgAAAAhAOoXghDeAAAABwEAAA8AAABkcnMvZG93&#10;bnJldi54bWxMjs1OwzAQhO9IvIO1SNyo8wMUQjYVVOKCBIIGJI5uvCQR9jqK3TTl6XFPcBqNZjTz&#10;lavZGjHR6HvHCOkiAUHcON1zi/BeP17cgPBBsVbGMSEcyMOqOj0pVaHdnt9o2oRWxBH2hULoQhgK&#10;KX3TkVV+4QbimH250aoQ7dhKPap9HLdGZklyLa3qOT50aqB1R833ZmcRlh/Plw+mTqeX4fB0+/pp&#10;f/L1VCOen833dyACzeGvDEf8iA5VZNq6HWsvDEKWxiLCVZRjmiV5DmKLkCdLkFUp//NXvwAAAP//&#10;AwBQSwECLQAUAAYACAAAACEAtoM4kv4AAADhAQAAEwAAAAAAAAAAAAAAAAAAAAAAW0NvbnRlbnRf&#10;VHlwZXNdLnhtbFBLAQItABQABgAIAAAAIQA4/SH/1gAAAJQBAAALAAAAAAAAAAAAAAAAAC8BAABf&#10;cmVscy8ucmVsc1BLAQItABQABgAIAAAAIQBl9nCqoAIAAAYGAAAOAAAAAAAAAAAAAAAAAC4CAABk&#10;cnMvZTJvRG9jLnhtbFBLAQItABQABgAIAAAAIQDqF4IQ3gAAAAcBAAAPAAAAAAAAAAAAAAAAAPoE&#10;AABkcnMvZG93bnJldi54bWxQSwUGAAAAAAQABADzAAAABQYAAAAA&#10;" fillcolor="#e36c0a [2409]" strokecolor="#e36c0a [2409]" strokeweight="2pt">
              <w10:wrap anchorx="page"/>
            </v:rect>
          </w:pict>
        </mc:Fallback>
      </mc:AlternateContent>
    </w:r>
    <w:r w:rsidRPr="00052280">
      <w:rPr>
        <w:noProof/>
        <w:lang w:eastAsia="en-AU"/>
      </w:rPr>
      <mc:AlternateContent>
        <mc:Choice Requires="wps">
          <w:drawing>
            <wp:anchor distT="0" distB="0" distL="114300" distR="114300" simplePos="0" relativeHeight="251668480" behindDoc="0" locked="0" layoutInCell="1" allowOverlap="1" wp14:anchorId="48B55E71" wp14:editId="48B55E72">
              <wp:simplePos x="0" y="0"/>
              <wp:positionH relativeFrom="margin">
                <wp:posOffset>3723640</wp:posOffset>
              </wp:positionH>
              <wp:positionV relativeFrom="paragraph">
                <wp:posOffset>-635</wp:posOffset>
              </wp:positionV>
              <wp:extent cx="2499360" cy="193040"/>
              <wp:effectExtent l="0" t="0" r="0" b="0"/>
              <wp:wrapNone/>
              <wp:docPr id="133671" name="Text Box 133671"/>
              <wp:cNvGraphicFramePr/>
              <a:graphic xmlns:a="http://schemas.openxmlformats.org/drawingml/2006/main">
                <a:graphicData uri="http://schemas.microsoft.com/office/word/2010/wordprocessingShape">
                  <wps:wsp>
                    <wps:cNvSpPr txBox="1"/>
                    <wps:spPr>
                      <a:xfrm>
                        <a:off x="0" y="0"/>
                        <a:ext cx="2499360"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55E7F" w14:textId="77777777" w:rsidR="006C7EFA" w:rsidRPr="009B4BC9" w:rsidRDefault="006C7EFA" w:rsidP="006C7EFA">
                          <w:pPr>
                            <w:rPr>
                              <w:color w:val="FFFFFF" w:themeColor="background1"/>
                              <w:sz w:val="16"/>
                              <w:szCs w:val="16"/>
                              <w:lang w:val="en-US"/>
                            </w:rPr>
                          </w:pPr>
                          <w:r w:rsidRPr="009B4BC9">
                            <w:rPr>
                              <w:color w:val="FFFFFF" w:themeColor="background1"/>
                              <w:sz w:val="16"/>
                              <w:szCs w:val="16"/>
                              <w:lang w:val="en-US"/>
                            </w:rPr>
                            <w:t>www.ala.org.au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85A02E" id="_x0000_t202" coordsize="21600,21600" o:spt="202" path="m,l,21600r21600,l21600,xe">
              <v:stroke joinstyle="miter"/>
              <v:path gradientshapeok="t" o:connecttype="rect"/>
            </v:shapetype>
            <v:shape id="Text Box 133671" o:spid="_x0000_s1026" type="#_x0000_t202" style="position:absolute;left:0;text-align:left;margin-left:293.2pt;margin-top:-.05pt;width:196.8pt;height:1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NKggIAAGwFAAAOAAAAZHJzL2Uyb0RvYy54bWysVE1v2zAMvQ/YfxB0X52vZktQp8hadBhQ&#10;tMXaoWdFlhpjsqhJSuLs1+9JcT7Q7dJhF5siHynykdTFZdsYtlY+1GRL3j/rcaaspKq2LyX//nTz&#10;4RNnIQpbCUNWlXyrAr+cvX93sXFTNaAlmUp5hiA2TDeu5MsY3bQoglyqRoQzcsrCqMk3IuLoX4rK&#10;iw2iN6YY9HrjYkO+cp6kCgHa652Rz3J8rZWM91oHFZkpOXKL+evzd5G+xexCTF+8cMtadmmIf8ii&#10;EbXFpYdQ1yIKtvL1H6GaWnoKpOOZpKYgrWupcg2opt97Vc3jUjiVawE5wR1oCv8vrLxbP3hWV+jd&#10;cDj+2OfMigZ9elJtZJ+pZZ0aPG1cmAL+6OAQW9jgk/hL+gBlKr/Vvkl/FMZgB+PbA8spooRyMJpM&#10;hmOYJGz9ybA3ym0ojt7Oh/hFUcOSUHKPLmZyxfo2RNwI6B6SLrN0UxuTO2ks25R8PDzvZYeDBR7G&#10;JqzKM9GFOWaepbg1KmGM/aY0OMkFJEWeRnVlPFsLzJGQUtmYa89xgU4ojSTe4tjhj1m9xXlXx/5m&#10;svHg3NSWfK7+VdrVj33KeocHkSd1JzG2i7br6IKqLRrtabcywcmbGt24FSE+CI8dQQOx9/EeH20I&#10;rFMncbYk/+tv+oTH6MLK2QY7V/LwcyW84sx8tRjqSX+EWWAxH0bnHwc4+FPL4tRiV80VoR2YWWSX&#10;xYSPZi9qT80znod5uhUmYSXuLnnci1dx9xLgeZFqPs8grKUT8dY+OplCp+6kWXtqn4V33UBGjPId&#10;7bdTTF/N5Q6bPC3NV5F0nYc2EbxjtSMeK51nuXt+0ptxes6o4yM5+w0AAP//AwBQSwMEFAAGAAgA&#10;AAAhALMFOJTgAAAACAEAAA8AAABkcnMvZG93bnJldi54bWxMj0FPwkAUhO8m/ofNM/EGu4CQWrsl&#10;pAkxMXoAuXh77T7axu7b2l2g+utdT3iczGTmm2w92k6cafCtYw2zqQJBXDnTcq3h8L6dJCB8QDbY&#10;OSYN3+Rhnd/eZJgad+EdnfehFrGEfYoamhD6VEpfNWTRT11PHL2jGyyGKIdamgEvsdx2cq7USlps&#10;OS402FPRUPW5P1kNL8X2DXfl3CY/XfH8etz0X4ePpdb3d+PmCUSgMVzD8Icf0SGPTKU7sfGi07BM&#10;Vg8xqmEyAxH9x0TFb6WGhVqAzDP5/0D+CwAA//8DAFBLAQItABQABgAIAAAAIQC2gziS/gAAAOEB&#10;AAATAAAAAAAAAAAAAAAAAAAAAABbQ29udGVudF9UeXBlc10ueG1sUEsBAi0AFAAGAAgAAAAhADj9&#10;If/WAAAAlAEAAAsAAAAAAAAAAAAAAAAALwEAAF9yZWxzLy5yZWxzUEsBAi0AFAAGAAgAAAAhAFa+&#10;E0qCAgAAbAUAAA4AAAAAAAAAAAAAAAAALgIAAGRycy9lMm9Eb2MueG1sUEsBAi0AFAAGAAgAAAAh&#10;ALMFOJTgAAAACAEAAA8AAAAAAAAAAAAAAAAA3AQAAGRycy9kb3ducmV2LnhtbFBLBQYAAAAABAAE&#10;APMAAADpBQAAAAA=&#10;" filled="f" stroked="f" strokeweight=".5pt">
              <v:textbox>
                <w:txbxContent>
                  <w:p w:rsidR="006C7EFA" w:rsidRPr="009B4BC9" w:rsidRDefault="006C7EFA" w:rsidP="006C7EFA">
                    <w:pPr>
                      <w:rPr>
                        <w:color w:val="FFFFFF" w:themeColor="background1"/>
                        <w:sz w:val="16"/>
                        <w:szCs w:val="16"/>
                        <w:lang w:val="en-US"/>
                      </w:rPr>
                    </w:pPr>
                    <w:r w:rsidRPr="009B4BC9">
                      <w:rPr>
                        <w:color w:val="FFFFFF" w:themeColor="background1"/>
                        <w:sz w:val="16"/>
                        <w:szCs w:val="16"/>
                        <w:lang w:val="en-US"/>
                      </w:rPr>
                      <w:t>www.ala.org.au</w:t>
                    </w:r>
                  </w:p>
                </w:txbxContent>
              </v:textbox>
              <w10:wrap anchorx="margin"/>
            </v:shape>
          </w:pict>
        </mc:Fallback>
      </mc:AlternateContent>
    </w:r>
    <w:r>
      <w:rPr>
        <w:noProof/>
        <w:color w:val="0000FF" w:themeColor="hyperlink"/>
        <w:u w:val="single"/>
        <w:lang w:eastAsia="en-AU"/>
      </w:rPr>
      <mc:AlternateContent>
        <mc:Choice Requires="wps">
          <w:drawing>
            <wp:anchor distT="0" distB="0" distL="114300" distR="114300" simplePos="0" relativeHeight="251666432" behindDoc="0" locked="0" layoutInCell="1" allowOverlap="1" wp14:anchorId="48B55E73" wp14:editId="48B55E74">
              <wp:simplePos x="0" y="0"/>
              <wp:positionH relativeFrom="margin">
                <wp:posOffset>3710305</wp:posOffset>
              </wp:positionH>
              <wp:positionV relativeFrom="paragraph">
                <wp:posOffset>1094105</wp:posOffset>
              </wp:positionV>
              <wp:extent cx="2499360" cy="193040"/>
              <wp:effectExtent l="0" t="0" r="0" b="0"/>
              <wp:wrapNone/>
              <wp:docPr id="133356" name="Text Box 133356"/>
              <wp:cNvGraphicFramePr/>
              <a:graphic xmlns:a="http://schemas.openxmlformats.org/drawingml/2006/main">
                <a:graphicData uri="http://schemas.microsoft.com/office/word/2010/wordprocessingShape">
                  <wps:wsp>
                    <wps:cNvSpPr txBox="1"/>
                    <wps:spPr>
                      <a:xfrm>
                        <a:off x="0" y="0"/>
                        <a:ext cx="2499360"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55E80" w14:textId="77777777" w:rsidR="006C7EFA" w:rsidRPr="009B4BC9" w:rsidRDefault="006C7EFA" w:rsidP="006C7EFA">
                          <w:pPr>
                            <w:rPr>
                              <w:color w:val="FFFFFF" w:themeColor="background1"/>
                              <w:sz w:val="16"/>
                              <w:szCs w:val="16"/>
                              <w:lang w:val="en-US"/>
                            </w:rPr>
                          </w:pPr>
                          <w:r>
                            <w:rPr>
                              <w:color w:val="FFFFFF" w:themeColor="background1"/>
                              <w:sz w:val="16"/>
                              <w:szCs w:val="16"/>
                              <w:lang w:val="en-US"/>
                            </w:rPr>
                            <w:t>www.al</w:t>
                          </w:r>
                          <w:r w:rsidRPr="009B4BC9">
                            <w:rPr>
                              <w:color w:val="FFFFFF" w:themeColor="background1"/>
                              <w:sz w:val="16"/>
                              <w:szCs w:val="16"/>
                              <w:lang w:val="en-US"/>
                            </w:rPr>
                            <w:t>.org.au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32FA5F" id="Text Box 133356" o:spid="_x0000_s1027" type="#_x0000_t202" style="position:absolute;left:0;text-align:left;margin-left:292.15pt;margin-top:86.15pt;width:196.8pt;height:15.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H2gwIAAHMFAAAOAAAAZHJzL2Uyb0RvYy54bWysVEtv2zAMvg/YfxB0X51XsyWIU2QtOgwo&#10;2mLt0LMiS40xWdQkJnb260fJdhJku3TYxabIj+/H4qqpDNspH0qwOR9eDDhTVkJR2tecf3++/fCJ&#10;s4DCFsKAVTnfq8Cvlu/fLWo3VyPYgCmUZ2TEhnntcr5BdPMsC3KjKhEuwClLQg2+EkhP/5oVXtRk&#10;vTLZaDCYZjX4wnmQKgTi3rRCvkz2tVYSH7QOCpnJOcWG6evTdx2/2XIh5q9euE0puzDEP0RRidKS&#10;04OpG4GCbX35h6mqlB4CaLyQUGWgdSlVyoGyGQ7OsnnaCKdSLlSc4A5lCv/PrLzfPXpWFtS78Xh8&#10;OeXMior69KwaZJ+hYR2b6lS7MCf4kyMFbEhGOrF+kR+IGdNvtK/inxJjJKeK7w9VjhYlMUeT2Ww8&#10;JZEk2XA2HkxSG7KjtvMBvyioWCRy7qmLqbhidxeQPBK0h0RnFm5LY1InjWV1zqfjy0FSOEhIw9iI&#10;VWkmOjPHyBOFe6MixthvSlNNUgKRkaZRXRvPdoLmSEipLKbck11CR5SmIN6i2OGPUb1Fuc2j9wwW&#10;D8pVacGn7M/CLn70IesWT4U8yTuS2Kybdhj6xq6h2FO/PbSbE5y8LakpdyLgo/C0KtRHWn98oI82&#10;QMWHjuJsA/7X3/gRTxNMUs5qWr2ch59b4RVn5qul2Z4NJzQSDNNjcvlxRA9/KlmfSuy2ugbqypAO&#10;jZOJjHg0Pak9VC90JVbRK4mEleQ759iT19geBLoyUq1WCUTb6QTe2Scno+nYpDhyz82L8K6bS6SJ&#10;vod+ScX8bDxbbNS0sNoi6DLNbqxzW9Wu/rTZaaS7KxRPx+k7oY63cvkbAAD//wMAUEsDBBQABgAI&#10;AAAAIQAvgofv4gAAAAsBAAAPAAAAZHJzL2Rvd25yZXYueG1sTI/LTsMwEEX3SPyDNUjsqIOhJA1x&#10;qipShVTBoqUbdk48TSL8CLHbhn49wwp2M7pHd84Uy8kadsIx9N5JuJ8lwNA1XveulbB/X99lwEJU&#10;TivjHUr4xgDL8vqqULn2Z7fF0y62jEpcyJWELsYh5zw0HVoVZn5AR9nBj1ZFWseW61GdqdwaLpLk&#10;iVvVO7rQqQGrDpvP3dFK2FTrN7Wthc0upnp5PayGr/3HXMrbm2n1DCziFP9g+NUndSjJqfZHpwMz&#10;EubZ4wOhFKSCBiIWaboAVksQiUiBlwX//0P5AwAA//8DAFBLAQItABQABgAIAAAAIQC2gziS/gAA&#10;AOEBAAATAAAAAAAAAAAAAAAAAAAAAABbQ29udGVudF9UeXBlc10ueG1sUEsBAi0AFAAGAAgAAAAh&#10;ADj9If/WAAAAlAEAAAsAAAAAAAAAAAAAAAAALwEAAF9yZWxzLy5yZWxzUEsBAi0AFAAGAAgAAAAh&#10;AAxRMfaDAgAAcwUAAA4AAAAAAAAAAAAAAAAALgIAAGRycy9lMm9Eb2MueG1sUEsBAi0AFAAGAAgA&#10;AAAhAC+Ch+/iAAAACwEAAA8AAAAAAAAAAAAAAAAA3QQAAGRycy9kb3ducmV2LnhtbFBLBQYAAAAA&#10;BAAEAPMAAADsBQAAAAA=&#10;" filled="f" stroked="f" strokeweight=".5pt">
              <v:textbox>
                <w:txbxContent>
                  <w:p w:rsidR="006C7EFA" w:rsidRPr="009B4BC9" w:rsidRDefault="006C7EFA" w:rsidP="006C7EFA">
                    <w:pPr>
                      <w:rPr>
                        <w:color w:val="FFFFFF" w:themeColor="background1"/>
                        <w:sz w:val="16"/>
                        <w:szCs w:val="16"/>
                        <w:lang w:val="en-US"/>
                      </w:rPr>
                    </w:pPr>
                    <w:r>
                      <w:rPr>
                        <w:color w:val="FFFFFF" w:themeColor="background1"/>
                        <w:sz w:val="16"/>
                        <w:szCs w:val="16"/>
                        <w:lang w:val="en-US"/>
                      </w:rPr>
                      <w:t>www.al</w:t>
                    </w:r>
                    <w:r w:rsidRPr="009B4BC9">
                      <w:rPr>
                        <w:color w:val="FFFFFF" w:themeColor="background1"/>
                        <w:sz w:val="16"/>
                        <w:szCs w:val="16"/>
                        <w:lang w:val="en-US"/>
                      </w:rPr>
                      <w:t>.org.au</w:t>
                    </w:r>
                  </w:p>
                </w:txbxContent>
              </v:textbox>
              <w10:wrap anchorx="margin"/>
            </v:shape>
          </w:pict>
        </mc:Fallback>
      </mc:AlternateContent>
    </w:r>
  </w:p>
  <w:p w14:paraId="48B55E60" w14:textId="77777777" w:rsidR="006C7EFA" w:rsidRDefault="006C7EFA">
    <w:pPr>
      <w:pStyle w:val="Header"/>
    </w:pPr>
  </w:p>
  <w:p w14:paraId="48B55E61" w14:textId="77777777" w:rsidR="003A222A" w:rsidRDefault="003A22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5E65" w14:textId="77777777" w:rsidR="00387256" w:rsidRPr="00A917F4" w:rsidRDefault="00A917F4" w:rsidP="00A917F4">
    <w:pPr>
      <w:pStyle w:val="Header"/>
      <w:tabs>
        <w:tab w:val="right" w:pos="7371"/>
      </w:tabs>
      <w:ind w:right="1535"/>
      <w:rPr>
        <w:sz w:val="18"/>
      </w:rPr>
    </w:pPr>
    <w:r>
      <w:rPr>
        <w:noProof/>
        <w:lang w:eastAsia="en-AU"/>
      </w:rPr>
      <w:drawing>
        <wp:anchor distT="0" distB="0" distL="114300" distR="114300" simplePos="0" relativeHeight="251659264" behindDoc="1" locked="0" layoutInCell="1" allowOverlap="1" wp14:anchorId="48B55E75" wp14:editId="48B55E76">
          <wp:simplePos x="0" y="0"/>
          <wp:positionH relativeFrom="column">
            <wp:posOffset>5022850</wp:posOffset>
          </wp:positionH>
          <wp:positionV relativeFrom="paragraph">
            <wp:posOffset>-52070</wp:posOffset>
          </wp:positionV>
          <wp:extent cx="1231900" cy="1015365"/>
          <wp:effectExtent l="19050" t="0" r="6350" b="0"/>
          <wp:wrapTight wrapText="bothSides">
            <wp:wrapPolygon edited="0">
              <wp:start x="8351" y="405"/>
              <wp:lineTo x="8351" y="13373"/>
              <wp:lineTo x="0" y="14184"/>
              <wp:lineTo x="-334" y="19452"/>
              <wp:lineTo x="1670" y="20668"/>
              <wp:lineTo x="3340" y="21073"/>
              <wp:lineTo x="5344" y="21073"/>
              <wp:lineTo x="19039" y="21073"/>
              <wp:lineTo x="19373" y="21073"/>
              <wp:lineTo x="19707" y="20263"/>
              <wp:lineTo x="19707" y="19857"/>
              <wp:lineTo x="21711" y="13373"/>
              <wp:lineTo x="21711" y="405"/>
              <wp:lineTo x="8351" y="40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231900" cy="1015365"/>
                  </a:xfrm>
                  <a:prstGeom prst="rect">
                    <a:avLst/>
                  </a:prstGeom>
                  <a:noFill/>
                  <a:ln w="9525">
                    <a:noFill/>
                    <a:miter lim="800000"/>
                    <a:headEnd/>
                    <a:tailEnd/>
                  </a:ln>
                </pic:spPr>
              </pic:pic>
            </a:graphicData>
          </a:graphic>
        </wp:anchor>
      </w:drawing>
    </w:r>
    <w:r w:rsidR="00387256" w:rsidRPr="00A917F4">
      <w:rPr>
        <w:sz w:val="18"/>
      </w:rPr>
      <w:t>Atlas of Living Australia</w:t>
    </w:r>
  </w:p>
  <w:p w14:paraId="48B55E66" w14:textId="77777777" w:rsidR="0045404B" w:rsidRPr="00A917F4" w:rsidRDefault="0045404B" w:rsidP="00A917F4">
    <w:pPr>
      <w:pStyle w:val="Header"/>
      <w:tabs>
        <w:tab w:val="right" w:pos="7371"/>
      </w:tabs>
      <w:ind w:right="1535"/>
      <w:rPr>
        <w:sz w:val="18"/>
      </w:rPr>
    </w:pPr>
    <w:r w:rsidRPr="00A917F4">
      <w:rPr>
        <w:sz w:val="18"/>
      </w:rPr>
      <w:t xml:space="preserve">CSIRO </w:t>
    </w:r>
    <w:r w:rsidR="00067F4D" w:rsidRPr="00A917F4">
      <w:rPr>
        <w:sz w:val="18"/>
      </w:rPr>
      <w:t xml:space="preserve">National </w:t>
    </w:r>
    <w:r w:rsidR="006B5B29">
      <w:rPr>
        <w:sz w:val="18"/>
      </w:rPr>
      <w:t>Research</w:t>
    </w:r>
    <w:r w:rsidR="00067F4D" w:rsidRPr="00A917F4">
      <w:rPr>
        <w:sz w:val="18"/>
      </w:rPr>
      <w:t xml:space="preserve"> Collections</w:t>
    </w:r>
    <w:r w:rsidR="006B5B29">
      <w:rPr>
        <w:sz w:val="18"/>
      </w:rPr>
      <w:t xml:space="preserve"> Australia</w:t>
    </w:r>
  </w:p>
  <w:p w14:paraId="48B55E67" w14:textId="77777777" w:rsidR="0045404B" w:rsidRPr="00A917F4" w:rsidRDefault="0045404B" w:rsidP="00A917F4">
    <w:pPr>
      <w:pStyle w:val="Header"/>
      <w:tabs>
        <w:tab w:val="right" w:pos="7371"/>
      </w:tabs>
      <w:ind w:right="1535"/>
      <w:rPr>
        <w:sz w:val="18"/>
      </w:rPr>
    </w:pPr>
    <w:r w:rsidRPr="00A917F4">
      <w:rPr>
        <w:sz w:val="18"/>
      </w:rPr>
      <w:t>GPO Box 1700</w:t>
    </w:r>
  </w:p>
  <w:p w14:paraId="48B55E68" w14:textId="77777777" w:rsidR="0045404B" w:rsidRPr="00A917F4" w:rsidRDefault="0045404B" w:rsidP="00A917F4">
    <w:pPr>
      <w:pStyle w:val="Header"/>
      <w:tabs>
        <w:tab w:val="right" w:pos="7371"/>
      </w:tabs>
      <w:ind w:right="1535"/>
      <w:rPr>
        <w:sz w:val="18"/>
      </w:rPr>
    </w:pPr>
    <w:r w:rsidRPr="00A917F4">
      <w:rPr>
        <w:sz w:val="18"/>
      </w:rPr>
      <w:t>Canberra ACT 2601, Australia</w:t>
    </w:r>
  </w:p>
  <w:p w14:paraId="48B55E69" w14:textId="77777777" w:rsidR="0045404B" w:rsidRPr="00A917F4" w:rsidRDefault="007A2A3B" w:rsidP="00A917F4">
    <w:pPr>
      <w:pStyle w:val="Header"/>
      <w:tabs>
        <w:tab w:val="right" w:pos="7371"/>
      </w:tabs>
      <w:ind w:right="1535"/>
      <w:rPr>
        <w:rFonts w:cstheme="minorHAnsi"/>
        <w:color w:val="FF3300"/>
        <w:sz w:val="20"/>
      </w:rPr>
    </w:pPr>
    <w:hyperlink r:id="rId2" w:history="1">
      <w:r w:rsidR="00EB4EB2" w:rsidRPr="00A917F4">
        <w:rPr>
          <w:rStyle w:val="Hyperlink"/>
          <w:rFonts w:cstheme="minorHAnsi"/>
          <w:color w:val="FF3300"/>
          <w:sz w:val="20"/>
          <w:u w:val="none"/>
        </w:rPr>
        <w:t>www.ala.org.au</w:t>
      </w:r>
    </w:hyperlink>
  </w:p>
  <w:p w14:paraId="48B55E6A" w14:textId="77777777" w:rsidR="00387256" w:rsidRDefault="00387256" w:rsidP="00E71E9F">
    <w:pPr>
      <w:pStyle w:val="Header"/>
    </w:pPr>
  </w:p>
  <w:p w14:paraId="48B55E6B" w14:textId="77777777" w:rsidR="00EB4EB2" w:rsidRDefault="00A917F4" w:rsidP="00E71E9F">
    <w:pPr>
      <w:pStyle w:val="Header"/>
    </w:pPr>
    <w:r>
      <w:rPr>
        <w:noProof/>
        <w:lang w:eastAsia="en-AU"/>
      </w:rPr>
      <w:drawing>
        <wp:anchor distT="0" distB="0" distL="114300" distR="114300" simplePos="0" relativeHeight="251661312" behindDoc="0" locked="0" layoutInCell="1" allowOverlap="1" wp14:anchorId="48B55E77" wp14:editId="48B55E78">
          <wp:simplePos x="0" y="0"/>
          <wp:positionH relativeFrom="column">
            <wp:posOffset>-314850</wp:posOffset>
          </wp:positionH>
          <wp:positionV relativeFrom="paragraph">
            <wp:posOffset>157452</wp:posOffset>
          </wp:positionV>
          <wp:extent cx="6481142" cy="79513"/>
          <wp:effectExtent l="1905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6481142" cy="79513"/>
                  </a:xfrm>
                  <a:prstGeom prst="rect">
                    <a:avLst/>
                  </a:prstGeom>
                  <a:noFill/>
                  <a:ln w="9525">
                    <a:noFill/>
                    <a:miter lim="800000"/>
                    <a:headEnd/>
                    <a:tailEnd/>
                  </a:ln>
                </pic:spPr>
              </pic:pic>
            </a:graphicData>
          </a:graphic>
        </wp:anchor>
      </w:drawing>
    </w:r>
  </w:p>
  <w:p w14:paraId="48B55E6C" w14:textId="77777777" w:rsidR="00387256" w:rsidRDefault="00A917F4" w:rsidP="00E71E9F">
    <w:pPr>
      <w:pStyle w:val="Header"/>
    </w:pPr>
    <w:r>
      <w:rPr>
        <w:noProof/>
        <w:lang w:eastAsia="en-AU"/>
      </w:rPr>
      <w:drawing>
        <wp:anchor distT="0" distB="0" distL="114300" distR="114300" simplePos="0" relativeHeight="251663360" behindDoc="1" locked="0" layoutInCell="1" allowOverlap="1" wp14:anchorId="48B55E79" wp14:editId="48B55E7A">
          <wp:simplePos x="0" y="0"/>
          <wp:positionH relativeFrom="column">
            <wp:posOffset>4177637</wp:posOffset>
          </wp:positionH>
          <wp:positionV relativeFrom="paragraph">
            <wp:posOffset>7151</wp:posOffset>
          </wp:positionV>
          <wp:extent cx="1968776" cy="8468139"/>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lum bright="6000"/>
                  </a:blip>
                  <a:srcRect t="3470"/>
                  <a:stretch>
                    <a:fillRect/>
                  </a:stretch>
                </pic:blipFill>
                <pic:spPr bwMode="auto">
                  <a:xfrm>
                    <a:off x="0" y="0"/>
                    <a:ext cx="1968776" cy="846813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5616"/>
    <w:multiLevelType w:val="hybridMultilevel"/>
    <w:tmpl w:val="B5761D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D4E3C61"/>
    <w:multiLevelType w:val="hybridMultilevel"/>
    <w:tmpl w:val="40BE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66464FF"/>
    <w:multiLevelType w:val="hybridMultilevel"/>
    <w:tmpl w:val="CC381D3E"/>
    <w:lvl w:ilvl="0" w:tplc="0C09000F">
      <w:start w:val="1"/>
      <w:numFmt w:val="decimal"/>
      <w:lvlText w:val="%1."/>
      <w:lvlJc w:val="left"/>
      <w:pPr>
        <w:ind w:left="360" w:hanging="360"/>
      </w:pPr>
    </w:lvl>
    <w:lvl w:ilvl="1" w:tplc="17684AC4">
      <w:start w:val="1"/>
      <w:numFmt w:val="lowerLetter"/>
      <w:lvlText w:val="%2)"/>
      <w:lvlJc w:val="left"/>
      <w:pPr>
        <w:ind w:left="1140" w:hanging="4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94422D9"/>
    <w:multiLevelType w:val="hybridMultilevel"/>
    <w:tmpl w:val="BAD62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055597"/>
    <w:multiLevelType w:val="hybridMultilevel"/>
    <w:tmpl w:val="4D1ED9B8"/>
    <w:lvl w:ilvl="0" w:tplc="9C168DDA">
      <w:numFmt w:val="bullet"/>
      <w:lvlText w:val="-"/>
      <w:lvlJc w:val="left"/>
      <w:pPr>
        <w:ind w:left="9315" w:hanging="360"/>
      </w:pPr>
      <w:rPr>
        <w:rFonts w:ascii="Calibri" w:eastAsiaTheme="minorHAnsi" w:hAnsi="Calibri" w:cs="Calibri" w:hint="default"/>
      </w:rPr>
    </w:lvl>
    <w:lvl w:ilvl="1" w:tplc="0C090003" w:tentative="1">
      <w:start w:val="1"/>
      <w:numFmt w:val="bullet"/>
      <w:lvlText w:val="o"/>
      <w:lvlJc w:val="left"/>
      <w:pPr>
        <w:ind w:left="10035" w:hanging="360"/>
      </w:pPr>
      <w:rPr>
        <w:rFonts w:ascii="Courier New" w:hAnsi="Courier New" w:cs="Courier New" w:hint="default"/>
      </w:rPr>
    </w:lvl>
    <w:lvl w:ilvl="2" w:tplc="0C090005" w:tentative="1">
      <w:start w:val="1"/>
      <w:numFmt w:val="bullet"/>
      <w:lvlText w:val=""/>
      <w:lvlJc w:val="left"/>
      <w:pPr>
        <w:ind w:left="10755" w:hanging="360"/>
      </w:pPr>
      <w:rPr>
        <w:rFonts w:ascii="Wingdings" w:hAnsi="Wingdings" w:hint="default"/>
      </w:rPr>
    </w:lvl>
    <w:lvl w:ilvl="3" w:tplc="0C090001" w:tentative="1">
      <w:start w:val="1"/>
      <w:numFmt w:val="bullet"/>
      <w:lvlText w:val=""/>
      <w:lvlJc w:val="left"/>
      <w:pPr>
        <w:ind w:left="11475" w:hanging="360"/>
      </w:pPr>
      <w:rPr>
        <w:rFonts w:ascii="Symbol" w:hAnsi="Symbol" w:hint="default"/>
      </w:rPr>
    </w:lvl>
    <w:lvl w:ilvl="4" w:tplc="0C090003" w:tentative="1">
      <w:start w:val="1"/>
      <w:numFmt w:val="bullet"/>
      <w:lvlText w:val="o"/>
      <w:lvlJc w:val="left"/>
      <w:pPr>
        <w:ind w:left="12195" w:hanging="360"/>
      </w:pPr>
      <w:rPr>
        <w:rFonts w:ascii="Courier New" w:hAnsi="Courier New" w:cs="Courier New" w:hint="default"/>
      </w:rPr>
    </w:lvl>
    <w:lvl w:ilvl="5" w:tplc="0C090005" w:tentative="1">
      <w:start w:val="1"/>
      <w:numFmt w:val="bullet"/>
      <w:lvlText w:val=""/>
      <w:lvlJc w:val="left"/>
      <w:pPr>
        <w:ind w:left="12915" w:hanging="360"/>
      </w:pPr>
      <w:rPr>
        <w:rFonts w:ascii="Wingdings" w:hAnsi="Wingdings" w:hint="default"/>
      </w:rPr>
    </w:lvl>
    <w:lvl w:ilvl="6" w:tplc="0C090001" w:tentative="1">
      <w:start w:val="1"/>
      <w:numFmt w:val="bullet"/>
      <w:lvlText w:val=""/>
      <w:lvlJc w:val="left"/>
      <w:pPr>
        <w:ind w:left="13635" w:hanging="360"/>
      </w:pPr>
      <w:rPr>
        <w:rFonts w:ascii="Symbol" w:hAnsi="Symbol" w:hint="default"/>
      </w:rPr>
    </w:lvl>
    <w:lvl w:ilvl="7" w:tplc="0C090003" w:tentative="1">
      <w:start w:val="1"/>
      <w:numFmt w:val="bullet"/>
      <w:lvlText w:val="o"/>
      <w:lvlJc w:val="left"/>
      <w:pPr>
        <w:ind w:left="14355" w:hanging="360"/>
      </w:pPr>
      <w:rPr>
        <w:rFonts w:ascii="Courier New" w:hAnsi="Courier New" w:cs="Courier New" w:hint="default"/>
      </w:rPr>
    </w:lvl>
    <w:lvl w:ilvl="8" w:tplc="0C090005" w:tentative="1">
      <w:start w:val="1"/>
      <w:numFmt w:val="bullet"/>
      <w:lvlText w:val=""/>
      <w:lvlJc w:val="left"/>
      <w:pPr>
        <w:ind w:left="1507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56"/>
    <w:rsid w:val="00067F4D"/>
    <w:rsid w:val="001648D0"/>
    <w:rsid w:val="00173544"/>
    <w:rsid w:val="00195E59"/>
    <w:rsid w:val="00207567"/>
    <w:rsid w:val="00286363"/>
    <w:rsid w:val="002A563A"/>
    <w:rsid w:val="002D0BA7"/>
    <w:rsid w:val="00367774"/>
    <w:rsid w:val="00387256"/>
    <w:rsid w:val="003A222A"/>
    <w:rsid w:val="003F5C2D"/>
    <w:rsid w:val="004070C4"/>
    <w:rsid w:val="00410179"/>
    <w:rsid w:val="0045404B"/>
    <w:rsid w:val="00493FE1"/>
    <w:rsid w:val="004D26E5"/>
    <w:rsid w:val="005055EF"/>
    <w:rsid w:val="00653790"/>
    <w:rsid w:val="00692B55"/>
    <w:rsid w:val="006B5B29"/>
    <w:rsid w:val="006C7EFA"/>
    <w:rsid w:val="007A2A3B"/>
    <w:rsid w:val="007F6D01"/>
    <w:rsid w:val="00A917F4"/>
    <w:rsid w:val="00A92EF9"/>
    <w:rsid w:val="00B84233"/>
    <w:rsid w:val="00BC0414"/>
    <w:rsid w:val="00D00C51"/>
    <w:rsid w:val="00D32F60"/>
    <w:rsid w:val="00E07DD3"/>
    <w:rsid w:val="00E71E9F"/>
    <w:rsid w:val="00EB4EB2"/>
    <w:rsid w:val="00F10DF2"/>
    <w:rsid w:val="00F22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71E9F"/>
    <w:pPr>
      <w:tabs>
        <w:tab w:val="left" w:pos="567"/>
        <w:tab w:val="left" w:pos="4680"/>
        <w:tab w:val="left" w:pos="5400"/>
      </w:tabs>
      <w:spacing w:after="0" w:line="240" w:lineRule="auto"/>
      <w:ind w:left="-284" w:right="-330"/>
      <w:jc w:val="right"/>
    </w:pPr>
    <w:rPr>
      <w:rFonts w:eastAsia="MS Mincho" w:cs="Times New Roman"/>
      <w:szCs w:val="24"/>
      <w:lang w:eastAsia="ja-JP"/>
    </w:rPr>
  </w:style>
  <w:style w:type="paragraph" w:styleId="Heading1">
    <w:name w:val="heading 1"/>
    <w:basedOn w:val="Normal"/>
    <w:next w:val="Normal"/>
    <w:link w:val="Heading1Char"/>
    <w:uiPriority w:val="9"/>
    <w:qFormat/>
    <w:rsid w:val="00173544"/>
    <w:pPr>
      <w:tabs>
        <w:tab w:val="clear" w:pos="567"/>
        <w:tab w:val="clear" w:pos="4680"/>
        <w:tab w:val="clear" w:pos="5400"/>
      </w:tabs>
      <w:spacing w:line="276" w:lineRule="auto"/>
      <w:ind w:left="0" w:right="0"/>
      <w:jc w:val="left"/>
      <w:outlineLvl w:val="0"/>
    </w:pPr>
    <w:rPr>
      <w:rFonts w:eastAsiaTheme="minorHAnsi" w:cstheme="minorBidi"/>
      <w:b/>
      <w:noProof/>
      <w:color w:val="E36C0A" w:themeColor="accent6" w:themeShade="BF"/>
      <w:sz w:val="52"/>
      <w:szCs w:val="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56"/>
    <w:pPr>
      <w:tabs>
        <w:tab w:val="clear" w:pos="567"/>
        <w:tab w:val="clear" w:pos="4680"/>
        <w:tab w:val="clear" w:pos="5400"/>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387256"/>
  </w:style>
  <w:style w:type="paragraph" w:styleId="Footer">
    <w:name w:val="footer"/>
    <w:basedOn w:val="Normal"/>
    <w:link w:val="FooterChar"/>
    <w:uiPriority w:val="99"/>
    <w:unhideWhenUsed/>
    <w:rsid w:val="00387256"/>
    <w:pPr>
      <w:tabs>
        <w:tab w:val="clear" w:pos="567"/>
        <w:tab w:val="clear" w:pos="4680"/>
        <w:tab w:val="clear" w:pos="5400"/>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387256"/>
  </w:style>
  <w:style w:type="paragraph" w:styleId="BalloonText">
    <w:name w:val="Balloon Text"/>
    <w:basedOn w:val="Normal"/>
    <w:link w:val="BalloonTextChar"/>
    <w:uiPriority w:val="99"/>
    <w:semiHidden/>
    <w:unhideWhenUsed/>
    <w:rsid w:val="00387256"/>
    <w:pPr>
      <w:tabs>
        <w:tab w:val="clear" w:pos="567"/>
        <w:tab w:val="clear" w:pos="4680"/>
        <w:tab w:val="clear" w:pos="5400"/>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87256"/>
    <w:rPr>
      <w:rFonts w:ascii="Tahoma" w:hAnsi="Tahoma" w:cs="Tahoma"/>
      <w:sz w:val="16"/>
      <w:szCs w:val="16"/>
    </w:rPr>
  </w:style>
  <w:style w:type="paragraph" w:styleId="PlainText">
    <w:name w:val="Plain Text"/>
    <w:basedOn w:val="Normal"/>
    <w:link w:val="PlainTextChar"/>
    <w:uiPriority w:val="99"/>
    <w:unhideWhenUsed/>
    <w:rsid w:val="00387256"/>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87256"/>
    <w:rPr>
      <w:rFonts w:ascii="Consolas" w:eastAsia="Calibri" w:hAnsi="Consolas" w:cs="Times New Roman"/>
      <w:sz w:val="21"/>
      <w:szCs w:val="21"/>
    </w:rPr>
  </w:style>
  <w:style w:type="character" w:styleId="Hyperlink">
    <w:name w:val="Hyperlink"/>
    <w:basedOn w:val="DefaultParagraphFont"/>
    <w:uiPriority w:val="99"/>
    <w:unhideWhenUsed/>
    <w:rsid w:val="0045404B"/>
    <w:rPr>
      <w:color w:val="0000FF" w:themeColor="hyperlink"/>
      <w:u w:val="single"/>
    </w:rPr>
  </w:style>
  <w:style w:type="paragraph" w:customStyle="1" w:styleId="Default">
    <w:name w:val="Default"/>
    <w:rsid w:val="00A92EF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73544"/>
    <w:rPr>
      <w:b/>
      <w:noProof/>
      <w:color w:val="E36C0A" w:themeColor="accent6" w:themeShade="BF"/>
      <w:sz w:val="52"/>
      <w:szCs w:val="40"/>
      <w:lang w:eastAsia="en-AU"/>
    </w:rPr>
  </w:style>
  <w:style w:type="paragraph" w:styleId="ListParagraph">
    <w:name w:val="List Paragraph"/>
    <w:basedOn w:val="Normal"/>
    <w:uiPriority w:val="34"/>
    <w:qFormat/>
    <w:rsid w:val="00173544"/>
    <w:pPr>
      <w:tabs>
        <w:tab w:val="clear" w:pos="567"/>
        <w:tab w:val="clear" w:pos="4680"/>
        <w:tab w:val="clear" w:pos="5400"/>
      </w:tabs>
      <w:spacing w:after="200" w:line="276" w:lineRule="auto"/>
      <w:ind w:left="720" w:right="0"/>
      <w:jc w:val="left"/>
    </w:pPr>
    <w:rPr>
      <w:rFonts w:ascii="Calibri" w:eastAsiaTheme="minorHAnsi" w:hAnsi="Calibri"/>
      <w:szCs w:val="22"/>
      <w:lang w:eastAsia="en-AU"/>
    </w:rPr>
  </w:style>
  <w:style w:type="paragraph" w:styleId="BodyText">
    <w:name w:val="Body Text"/>
    <w:basedOn w:val="Normal"/>
    <w:link w:val="BodyTextChar"/>
    <w:rsid w:val="00173544"/>
    <w:pPr>
      <w:tabs>
        <w:tab w:val="clear" w:pos="567"/>
        <w:tab w:val="clear" w:pos="4680"/>
        <w:tab w:val="clear" w:pos="5400"/>
      </w:tabs>
      <w:spacing w:after="240"/>
      <w:ind w:left="0" w:right="0"/>
      <w:jc w:val="both"/>
    </w:pPr>
    <w:rPr>
      <w:rFonts w:ascii="Calibri" w:hAnsi="Calibri"/>
      <w:szCs w:val="20"/>
      <w:lang w:eastAsia="en-US"/>
    </w:rPr>
  </w:style>
  <w:style w:type="character" w:customStyle="1" w:styleId="BodyTextChar">
    <w:name w:val="Body Text Char"/>
    <w:basedOn w:val="DefaultParagraphFont"/>
    <w:link w:val="BodyText"/>
    <w:rsid w:val="00173544"/>
    <w:rPr>
      <w:rFonts w:ascii="Calibri" w:eastAsia="MS Mincho"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71E9F"/>
    <w:pPr>
      <w:tabs>
        <w:tab w:val="left" w:pos="567"/>
        <w:tab w:val="left" w:pos="4680"/>
        <w:tab w:val="left" w:pos="5400"/>
      </w:tabs>
      <w:spacing w:after="0" w:line="240" w:lineRule="auto"/>
      <w:ind w:left="-284" w:right="-330"/>
      <w:jc w:val="right"/>
    </w:pPr>
    <w:rPr>
      <w:rFonts w:eastAsia="MS Mincho" w:cs="Times New Roman"/>
      <w:szCs w:val="24"/>
      <w:lang w:eastAsia="ja-JP"/>
    </w:rPr>
  </w:style>
  <w:style w:type="paragraph" w:styleId="Heading1">
    <w:name w:val="heading 1"/>
    <w:basedOn w:val="Normal"/>
    <w:next w:val="Normal"/>
    <w:link w:val="Heading1Char"/>
    <w:uiPriority w:val="9"/>
    <w:qFormat/>
    <w:rsid w:val="00173544"/>
    <w:pPr>
      <w:tabs>
        <w:tab w:val="clear" w:pos="567"/>
        <w:tab w:val="clear" w:pos="4680"/>
        <w:tab w:val="clear" w:pos="5400"/>
      </w:tabs>
      <w:spacing w:line="276" w:lineRule="auto"/>
      <w:ind w:left="0" w:right="0"/>
      <w:jc w:val="left"/>
      <w:outlineLvl w:val="0"/>
    </w:pPr>
    <w:rPr>
      <w:rFonts w:eastAsiaTheme="minorHAnsi" w:cstheme="minorBidi"/>
      <w:b/>
      <w:noProof/>
      <w:color w:val="E36C0A" w:themeColor="accent6" w:themeShade="BF"/>
      <w:sz w:val="52"/>
      <w:szCs w:val="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56"/>
    <w:pPr>
      <w:tabs>
        <w:tab w:val="clear" w:pos="567"/>
        <w:tab w:val="clear" w:pos="4680"/>
        <w:tab w:val="clear" w:pos="5400"/>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387256"/>
  </w:style>
  <w:style w:type="paragraph" w:styleId="Footer">
    <w:name w:val="footer"/>
    <w:basedOn w:val="Normal"/>
    <w:link w:val="FooterChar"/>
    <w:uiPriority w:val="99"/>
    <w:unhideWhenUsed/>
    <w:rsid w:val="00387256"/>
    <w:pPr>
      <w:tabs>
        <w:tab w:val="clear" w:pos="567"/>
        <w:tab w:val="clear" w:pos="4680"/>
        <w:tab w:val="clear" w:pos="5400"/>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387256"/>
  </w:style>
  <w:style w:type="paragraph" w:styleId="BalloonText">
    <w:name w:val="Balloon Text"/>
    <w:basedOn w:val="Normal"/>
    <w:link w:val="BalloonTextChar"/>
    <w:uiPriority w:val="99"/>
    <w:semiHidden/>
    <w:unhideWhenUsed/>
    <w:rsid w:val="00387256"/>
    <w:pPr>
      <w:tabs>
        <w:tab w:val="clear" w:pos="567"/>
        <w:tab w:val="clear" w:pos="4680"/>
        <w:tab w:val="clear" w:pos="5400"/>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87256"/>
    <w:rPr>
      <w:rFonts w:ascii="Tahoma" w:hAnsi="Tahoma" w:cs="Tahoma"/>
      <w:sz w:val="16"/>
      <w:szCs w:val="16"/>
    </w:rPr>
  </w:style>
  <w:style w:type="paragraph" w:styleId="PlainText">
    <w:name w:val="Plain Text"/>
    <w:basedOn w:val="Normal"/>
    <w:link w:val="PlainTextChar"/>
    <w:uiPriority w:val="99"/>
    <w:unhideWhenUsed/>
    <w:rsid w:val="00387256"/>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87256"/>
    <w:rPr>
      <w:rFonts w:ascii="Consolas" w:eastAsia="Calibri" w:hAnsi="Consolas" w:cs="Times New Roman"/>
      <w:sz w:val="21"/>
      <w:szCs w:val="21"/>
    </w:rPr>
  </w:style>
  <w:style w:type="character" w:styleId="Hyperlink">
    <w:name w:val="Hyperlink"/>
    <w:basedOn w:val="DefaultParagraphFont"/>
    <w:uiPriority w:val="99"/>
    <w:unhideWhenUsed/>
    <w:rsid w:val="0045404B"/>
    <w:rPr>
      <w:color w:val="0000FF" w:themeColor="hyperlink"/>
      <w:u w:val="single"/>
    </w:rPr>
  </w:style>
  <w:style w:type="paragraph" w:customStyle="1" w:styleId="Default">
    <w:name w:val="Default"/>
    <w:rsid w:val="00A92EF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73544"/>
    <w:rPr>
      <w:b/>
      <w:noProof/>
      <w:color w:val="E36C0A" w:themeColor="accent6" w:themeShade="BF"/>
      <w:sz w:val="52"/>
      <w:szCs w:val="40"/>
      <w:lang w:eastAsia="en-AU"/>
    </w:rPr>
  </w:style>
  <w:style w:type="paragraph" w:styleId="ListParagraph">
    <w:name w:val="List Paragraph"/>
    <w:basedOn w:val="Normal"/>
    <w:uiPriority w:val="34"/>
    <w:qFormat/>
    <w:rsid w:val="00173544"/>
    <w:pPr>
      <w:tabs>
        <w:tab w:val="clear" w:pos="567"/>
        <w:tab w:val="clear" w:pos="4680"/>
        <w:tab w:val="clear" w:pos="5400"/>
      </w:tabs>
      <w:spacing w:after="200" w:line="276" w:lineRule="auto"/>
      <w:ind w:left="720" w:right="0"/>
      <w:jc w:val="left"/>
    </w:pPr>
    <w:rPr>
      <w:rFonts w:ascii="Calibri" w:eastAsiaTheme="minorHAnsi" w:hAnsi="Calibri"/>
      <w:szCs w:val="22"/>
      <w:lang w:eastAsia="en-AU"/>
    </w:rPr>
  </w:style>
  <w:style w:type="paragraph" w:styleId="BodyText">
    <w:name w:val="Body Text"/>
    <w:basedOn w:val="Normal"/>
    <w:link w:val="BodyTextChar"/>
    <w:rsid w:val="00173544"/>
    <w:pPr>
      <w:tabs>
        <w:tab w:val="clear" w:pos="567"/>
        <w:tab w:val="clear" w:pos="4680"/>
        <w:tab w:val="clear" w:pos="5400"/>
      </w:tabs>
      <w:spacing w:after="240"/>
      <w:ind w:left="0" w:right="0"/>
      <w:jc w:val="both"/>
    </w:pPr>
    <w:rPr>
      <w:rFonts w:ascii="Calibri" w:hAnsi="Calibri"/>
      <w:szCs w:val="20"/>
      <w:lang w:eastAsia="en-US"/>
    </w:rPr>
  </w:style>
  <w:style w:type="character" w:customStyle="1" w:styleId="BodyTextChar">
    <w:name w:val="Body Text Char"/>
    <w:basedOn w:val="DefaultParagraphFont"/>
    <w:link w:val="BodyText"/>
    <w:rsid w:val="00173544"/>
    <w:rPr>
      <w:rFonts w:ascii="Calibri" w:eastAsia="MS Mincho"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a.org.au" TargetMode="External"/><Relationship Id="rId1" Type="http://schemas.openxmlformats.org/officeDocument/2006/relationships/image" Target="media/image1.emf"/><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ED049D9F-24A1-471D-A600-71D6D3E6F73B}">
  <ds:schemaRefs>
    <ds:schemaRef ds:uri="http://schemas.microsoft.com/office/2006/metadata/customXsn"/>
  </ds:schemaRefs>
</ds:datastoreItem>
</file>

<file path=customXml/itemProps2.xml><?xml version="1.0" encoding="utf-8"?>
<ds:datastoreItem xmlns:ds="http://schemas.openxmlformats.org/officeDocument/2006/customXml" ds:itemID="{C03DD2A7-EE7C-405B-9B0B-F6B12702F7A9}">
  <ds:schemaRefs>
    <ds:schemaRef ds:uri="http://schemas.microsoft.com/sharepoint/events"/>
  </ds:schemaRefs>
</ds:datastoreItem>
</file>

<file path=customXml/itemProps3.xml><?xml version="1.0" encoding="utf-8"?>
<ds:datastoreItem xmlns:ds="http://schemas.openxmlformats.org/officeDocument/2006/customXml" ds:itemID="{42A5FF3D-9C37-42CE-91E7-879B02501AA1}">
  <ds:schemaRefs>
    <ds:schemaRef ds:uri="http://schemas.microsoft.com/sharepoint/v3/contenttype/forms"/>
  </ds:schemaRefs>
</ds:datastoreItem>
</file>

<file path=customXml/itemProps4.xml><?xml version="1.0" encoding="utf-8"?>
<ds:datastoreItem xmlns:ds="http://schemas.openxmlformats.org/officeDocument/2006/customXml" ds:itemID="{DD875D69-62C9-47DF-A257-FDB12FAB8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6C29B0-9248-4D4D-8DE1-42F20B1B0DA3}">
  <ds:schemaRefs>
    <ds:schemaRef ds:uri="http://schemas.microsoft.com/office/infopath/2007/PartnerControls"/>
    <ds:schemaRef ds:uri="http://purl.org/dc/elements/1.1/"/>
    <ds:schemaRef ds:uri="http://purl.org/dc/dcmitype/"/>
    <ds:schemaRef ds:uri="8044c801-d84b-4ee1-a77e-678f8dcdee17"/>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3f4bcce7-ac1a-4c9d-aa3e-7e77695652db"/>
  </ds:schemaRefs>
</ds:datastoreItem>
</file>

<file path=customXml/itemProps6.xml><?xml version="1.0" encoding="utf-8"?>
<ds:datastoreItem xmlns:ds="http://schemas.openxmlformats.org/officeDocument/2006/customXml" ds:itemID="{37CF45A4-ABDC-4B23-8510-DA81EA6D3DF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72 - Altas of Living Australia - Data Availability and Use - Public inquiry</vt:lpstr>
    </vt:vector>
  </TitlesOfParts>
  <Company>Altas of Living Australia</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72 - Altas of Living Australia - Data Availability and Use - Public inquiry</dc:title>
  <dc:creator>Altas of Living Australia</dc:creator>
  <cp:keywords/>
  <cp:lastModifiedBy>Productivity Commission</cp:lastModifiedBy>
  <cp:revision>7</cp:revision>
  <cp:lastPrinted>2015-03-12T05:33:00Z</cp:lastPrinted>
  <dcterms:created xsi:type="dcterms:W3CDTF">2016-07-26T02:56:00Z</dcterms:created>
  <dcterms:modified xsi:type="dcterms:W3CDTF">2016-08-02T03:46:00Z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9800</vt:r8>
  </property>
  <property fmtid="{D5CDD505-2E9C-101B-9397-08002B2CF9AE}" pid="4" name="TaxKeyword">
    <vt:lpwstr/>
  </property>
  <property fmtid="{D5CDD505-2E9C-101B-9397-08002B2CF9AE}" pid="5" name="Record Tag">
    <vt:lpwstr>139;#Submissions|c6e0dbf8-5444-433c-844d-d567dd519a05</vt:lpwstr>
  </property>
</Properties>
</file>