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0EAE" w14:textId="77777777" w:rsidR="00234CA3" w:rsidRPr="00234CA3" w:rsidRDefault="004917A3" w:rsidP="00B61E0C">
      <w:pPr>
        <w:pStyle w:val="Header"/>
        <w:jc w:val="both"/>
      </w:pPr>
      <w:r>
        <w:t>Human Resources</w:t>
      </w:r>
    </w:p>
    <w:p w14:paraId="2E681DBA" w14:textId="77777777" w:rsidR="002B634B" w:rsidRDefault="002B634B" w:rsidP="00B61E0C">
      <w:pPr>
        <w:pStyle w:val="Subtitle"/>
        <w:tabs>
          <w:tab w:val="left" w:pos="5355"/>
        </w:tabs>
        <w:jc w:val="both"/>
        <w:rPr>
          <w:rFonts w:eastAsiaTheme="majorEastAsia" w:cstheme="majorBidi"/>
          <w:spacing w:val="-10"/>
          <w:kern w:val="28"/>
          <w:sz w:val="48"/>
          <w:szCs w:val="56"/>
        </w:rPr>
      </w:pPr>
      <w:r>
        <w:rPr>
          <w:rFonts w:eastAsiaTheme="majorEastAsia" w:cstheme="majorBidi"/>
          <w:spacing w:val="-10"/>
          <w:kern w:val="28"/>
          <w:sz w:val="48"/>
          <w:szCs w:val="56"/>
        </w:rPr>
        <w:tab/>
      </w:r>
      <w:bookmarkStart w:id="0" w:name="_GoBack"/>
      <w:bookmarkEnd w:id="0"/>
    </w:p>
    <w:p w14:paraId="6B492D6D" w14:textId="6DFF5D16" w:rsidR="00F05D72" w:rsidRPr="00F05D72" w:rsidRDefault="002B634B" w:rsidP="00B61E0C">
      <w:pPr>
        <w:pStyle w:val="Subtitle"/>
        <w:jc w:val="both"/>
      </w:pPr>
      <w:r w:rsidRPr="002B634B">
        <w:rPr>
          <w:rFonts w:eastAsiaTheme="majorEastAsia" w:cstheme="majorBidi"/>
          <w:spacing w:val="-10"/>
          <w:kern w:val="28"/>
          <w:sz w:val="48"/>
          <w:szCs w:val="56"/>
        </w:rPr>
        <w:t xml:space="preserve">Workplace Diversity and Inclusion Strategy </w:t>
      </w:r>
      <w:r>
        <w:t xml:space="preserve">2019 – 2022 </w:t>
      </w:r>
    </w:p>
    <w:p w14:paraId="7160AC06" w14:textId="09BA0DD8" w:rsidR="00234CA3" w:rsidRPr="004C58CE" w:rsidRDefault="009B11BD" w:rsidP="00B61E0C">
      <w:pPr>
        <w:jc w:val="both"/>
      </w:pPr>
      <w:r w:rsidRPr="00634F72">
        <w:rPr>
          <w:b/>
        </w:rPr>
        <w:t>Date authorised</w:t>
      </w:r>
      <w:r w:rsidR="00F05D72" w:rsidRPr="00634F72">
        <w:rPr>
          <w:b/>
        </w:rPr>
        <w:t>:</w:t>
      </w:r>
      <w:r w:rsidR="00F05D72" w:rsidRPr="00634F72">
        <w:t xml:space="preserve"> </w:t>
      </w:r>
      <w:r w:rsidR="00634F72" w:rsidRPr="00634F72">
        <w:t>11</w:t>
      </w:r>
      <w:r w:rsidR="00504FD1" w:rsidRPr="00634F72">
        <w:t>/09</w:t>
      </w:r>
      <w:r w:rsidR="00955743" w:rsidRPr="00634F72">
        <w:t>/20</w:t>
      </w:r>
      <w:r w:rsidR="002B634B" w:rsidRPr="00634F72">
        <w:t>19</w:t>
      </w:r>
    </w:p>
    <w:p w14:paraId="24B46515" w14:textId="77777777" w:rsidR="00F05D72" w:rsidRPr="004C58CE" w:rsidRDefault="00F05D72" w:rsidP="00B61E0C">
      <w:pPr>
        <w:jc w:val="both"/>
      </w:pPr>
      <w:r w:rsidRPr="004C58CE">
        <w:rPr>
          <w:b/>
        </w:rPr>
        <w:t>Review date:</w:t>
      </w:r>
      <w:r w:rsidRPr="004C58CE">
        <w:t xml:space="preserve"> </w:t>
      </w:r>
      <w:r w:rsidR="002B634B">
        <w:t>31</w:t>
      </w:r>
      <w:r w:rsidR="00955743">
        <w:t>/</w:t>
      </w:r>
      <w:r w:rsidR="002B634B">
        <w:t>12</w:t>
      </w:r>
      <w:r w:rsidR="00955743">
        <w:t>/20</w:t>
      </w:r>
      <w:r w:rsidR="002B634B">
        <w:t>22</w:t>
      </w:r>
      <w:r w:rsidRPr="004C58CE">
        <w:t xml:space="preserve"> </w:t>
      </w:r>
      <w:r w:rsidR="002B634B">
        <w:t xml:space="preserve"> </w:t>
      </w:r>
    </w:p>
    <w:p w14:paraId="379696B2" w14:textId="77777777" w:rsidR="00F05D72" w:rsidRDefault="00F05D72" w:rsidP="00B61E0C">
      <w:pPr>
        <w:jc w:val="both"/>
      </w:pPr>
    </w:p>
    <w:p w14:paraId="271FE9C1" w14:textId="77777777" w:rsidR="00D20D1B" w:rsidRDefault="00D20D1B" w:rsidP="00B61E0C">
      <w:pPr>
        <w:jc w:val="both"/>
        <w:sectPr w:rsidR="00D20D1B" w:rsidSect="00F71B25">
          <w:headerReference w:type="default" r:id="rId8"/>
          <w:footerReference w:type="default" r:id="rId9"/>
          <w:pgSz w:w="11906" w:h="16838"/>
          <w:pgMar w:top="1440" w:right="1440" w:bottom="1440" w:left="1440" w:header="708" w:footer="3345" w:gutter="0"/>
          <w:cols w:space="708"/>
          <w:docGrid w:linePitch="360"/>
        </w:sectPr>
      </w:pPr>
    </w:p>
    <w:sdt>
      <w:sdtPr>
        <w:rPr>
          <w:rFonts w:eastAsiaTheme="minorHAnsi" w:cstheme="minorBidi"/>
          <w:color w:val="000000"/>
          <w:sz w:val="22"/>
          <w:szCs w:val="22"/>
          <w:lang w:val="en-AU"/>
          <w14:textFill>
            <w14:solidFill>
              <w14:srgbClr w14:val="000000">
                <w14:lumMod w14:val="75000"/>
              </w14:srgbClr>
            </w14:solidFill>
          </w14:textFill>
        </w:rPr>
        <w:id w:val="185341437"/>
        <w:docPartObj>
          <w:docPartGallery w:val="Table of Contents"/>
          <w:docPartUnique/>
        </w:docPartObj>
      </w:sdtPr>
      <w:sdtEndPr>
        <w:rPr>
          <w:rFonts w:cs="Arial"/>
          <w:b/>
          <w:bCs/>
          <w:noProof/>
        </w:rPr>
      </w:sdtEndPr>
      <w:sdtContent>
        <w:p w14:paraId="0E5768B5" w14:textId="77777777" w:rsidR="00F05826" w:rsidRPr="00E512D9" w:rsidRDefault="00F05826" w:rsidP="00B61E0C">
          <w:pPr>
            <w:pStyle w:val="TOCHeading"/>
            <w:jc w:val="both"/>
          </w:pPr>
          <w:r w:rsidRPr="00E512D9">
            <w:t>Contents</w:t>
          </w:r>
        </w:p>
        <w:p w14:paraId="31960A29" w14:textId="77777777" w:rsidR="00320BAB" w:rsidRDefault="00F05826" w:rsidP="00B61E0C">
          <w:pPr>
            <w:pStyle w:val="TOC2"/>
            <w:tabs>
              <w:tab w:val="right" w:leader="dot" w:pos="9016"/>
            </w:tabs>
            <w:jc w:val="both"/>
            <w:rPr>
              <w:rFonts w:asciiTheme="minorHAnsi" w:eastAsiaTheme="minorEastAsia" w:hAnsiTheme="minorHAnsi" w:cstheme="minorBidi"/>
              <w:noProof/>
              <w:lang w:eastAsia="en-AU"/>
            </w:rPr>
          </w:pPr>
          <w:r>
            <w:rPr>
              <w:b/>
              <w:noProof/>
            </w:rPr>
            <w:fldChar w:fldCharType="begin"/>
          </w:r>
          <w:r w:rsidRPr="00F05826">
            <w:instrText xml:space="preserve"> TOC \o "1-2" \h \z \u </w:instrText>
          </w:r>
          <w:r>
            <w:rPr>
              <w:b/>
              <w:noProof/>
            </w:rPr>
            <w:fldChar w:fldCharType="separate"/>
          </w:r>
          <w:hyperlink w:anchor="_Toc18393461" w:history="1">
            <w:r w:rsidR="00320BAB" w:rsidRPr="00AF6DBF">
              <w:rPr>
                <w:rStyle w:val="Hyperlink"/>
                <w:noProof/>
              </w:rPr>
              <w:t>Statement of Commitment</w:t>
            </w:r>
            <w:r w:rsidR="00320BAB">
              <w:rPr>
                <w:noProof/>
                <w:webHidden/>
              </w:rPr>
              <w:tab/>
            </w:r>
            <w:r w:rsidR="00320BAB">
              <w:rPr>
                <w:noProof/>
                <w:webHidden/>
              </w:rPr>
              <w:fldChar w:fldCharType="begin"/>
            </w:r>
            <w:r w:rsidR="00320BAB">
              <w:rPr>
                <w:noProof/>
                <w:webHidden/>
              </w:rPr>
              <w:instrText xml:space="preserve"> PAGEREF _Toc18393461 \h </w:instrText>
            </w:r>
            <w:r w:rsidR="00320BAB">
              <w:rPr>
                <w:noProof/>
                <w:webHidden/>
              </w:rPr>
            </w:r>
            <w:r w:rsidR="00320BAB">
              <w:rPr>
                <w:noProof/>
                <w:webHidden/>
              </w:rPr>
              <w:fldChar w:fldCharType="separate"/>
            </w:r>
            <w:r w:rsidR="00A51380">
              <w:rPr>
                <w:noProof/>
                <w:webHidden/>
              </w:rPr>
              <w:t>2</w:t>
            </w:r>
            <w:r w:rsidR="00320BAB">
              <w:rPr>
                <w:noProof/>
                <w:webHidden/>
              </w:rPr>
              <w:fldChar w:fldCharType="end"/>
            </w:r>
          </w:hyperlink>
        </w:p>
        <w:p w14:paraId="64109BB6"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2" w:history="1">
            <w:r w:rsidR="00320BAB" w:rsidRPr="00AF6DBF">
              <w:rPr>
                <w:rStyle w:val="Hyperlink"/>
                <w:noProof/>
              </w:rPr>
              <w:t>Elements of the Strategy</w:t>
            </w:r>
            <w:r w:rsidR="00320BAB">
              <w:rPr>
                <w:noProof/>
                <w:webHidden/>
              </w:rPr>
              <w:tab/>
            </w:r>
            <w:r w:rsidR="00320BAB">
              <w:rPr>
                <w:noProof/>
                <w:webHidden/>
              </w:rPr>
              <w:fldChar w:fldCharType="begin"/>
            </w:r>
            <w:r w:rsidR="00320BAB">
              <w:rPr>
                <w:noProof/>
                <w:webHidden/>
              </w:rPr>
              <w:instrText xml:space="preserve"> PAGEREF _Toc18393462 \h </w:instrText>
            </w:r>
            <w:r w:rsidR="00320BAB">
              <w:rPr>
                <w:noProof/>
                <w:webHidden/>
              </w:rPr>
            </w:r>
            <w:r w:rsidR="00320BAB">
              <w:rPr>
                <w:noProof/>
                <w:webHidden/>
              </w:rPr>
              <w:fldChar w:fldCharType="separate"/>
            </w:r>
            <w:r w:rsidR="00A51380">
              <w:rPr>
                <w:noProof/>
                <w:webHidden/>
              </w:rPr>
              <w:t>2</w:t>
            </w:r>
            <w:r w:rsidR="00320BAB">
              <w:rPr>
                <w:noProof/>
                <w:webHidden/>
              </w:rPr>
              <w:fldChar w:fldCharType="end"/>
            </w:r>
          </w:hyperlink>
        </w:p>
        <w:p w14:paraId="6C3286A2"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3" w:history="1">
            <w:r w:rsidR="00320BAB" w:rsidRPr="00AF6DBF">
              <w:rPr>
                <w:rStyle w:val="Hyperlink"/>
                <w:noProof/>
              </w:rPr>
              <w:t>Responsibilities</w:t>
            </w:r>
            <w:r w:rsidR="00320BAB">
              <w:rPr>
                <w:noProof/>
                <w:webHidden/>
              </w:rPr>
              <w:tab/>
            </w:r>
            <w:r w:rsidR="00320BAB">
              <w:rPr>
                <w:noProof/>
                <w:webHidden/>
              </w:rPr>
              <w:fldChar w:fldCharType="begin"/>
            </w:r>
            <w:r w:rsidR="00320BAB">
              <w:rPr>
                <w:noProof/>
                <w:webHidden/>
              </w:rPr>
              <w:instrText xml:space="preserve"> PAGEREF _Toc18393463 \h </w:instrText>
            </w:r>
            <w:r w:rsidR="00320BAB">
              <w:rPr>
                <w:noProof/>
                <w:webHidden/>
              </w:rPr>
            </w:r>
            <w:r w:rsidR="00320BAB">
              <w:rPr>
                <w:noProof/>
                <w:webHidden/>
              </w:rPr>
              <w:fldChar w:fldCharType="separate"/>
            </w:r>
            <w:r w:rsidR="00A51380">
              <w:rPr>
                <w:noProof/>
                <w:webHidden/>
              </w:rPr>
              <w:t>3</w:t>
            </w:r>
            <w:r w:rsidR="00320BAB">
              <w:rPr>
                <w:noProof/>
                <w:webHidden/>
              </w:rPr>
              <w:fldChar w:fldCharType="end"/>
            </w:r>
          </w:hyperlink>
        </w:p>
        <w:p w14:paraId="6963D5CE"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4" w:history="1">
            <w:r w:rsidR="00320BAB" w:rsidRPr="00AF6DBF">
              <w:rPr>
                <w:rStyle w:val="Hyperlink"/>
                <w:noProof/>
              </w:rPr>
              <w:t>Disability Employment</w:t>
            </w:r>
            <w:r w:rsidR="00320BAB">
              <w:rPr>
                <w:noProof/>
                <w:webHidden/>
              </w:rPr>
              <w:tab/>
            </w:r>
            <w:r w:rsidR="00320BAB">
              <w:rPr>
                <w:noProof/>
                <w:webHidden/>
              </w:rPr>
              <w:fldChar w:fldCharType="begin"/>
            </w:r>
            <w:r w:rsidR="00320BAB">
              <w:rPr>
                <w:noProof/>
                <w:webHidden/>
              </w:rPr>
              <w:instrText xml:space="preserve"> PAGEREF _Toc18393464 \h </w:instrText>
            </w:r>
            <w:r w:rsidR="00320BAB">
              <w:rPr>
                <w:noProof/>
                <w:webHidden/>
              </w:rPr>
            </w:r>
            <w:r w:rsidR="00320BAB">
              <w:rPr>
                <w:noProof/>
                <w:webHidden/>
              </w:rPr>
              <w:fldChar w:fldCharType="separate"/>
            </w:r>
            <w:r w:rsidR="00A51380">
              <w:rPr>
                <w:noProof/>
                <w:webHidden/>
              </w:rPr>
              <w:t>3</w:t>
            </w:r>
            <w:r w:rsidR="00320BAB">
              <w:rPr>
                <w:noProof/>
                <w:webHidden/>
              </w:rPr>
              <w:fldChar w:fldCharType="end"/>
            </w:r>
          </w:hyperlink>
        </w:p>
        <w:p w14:paraId="360E41B0"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5" w:history="1">
            <w:r w:rsidR="00320BAB" w:rsidRPr="00AF6DBF">
              <w:rPr>
                <w:rStyle w:val="Hyperlink"/>
                <w:noProof/>
              </w:rPr>
              <w:t>Indigenous Employment and</w:t>
            </w:r>
            <w:r w:rsidR="00320BAB" w:rsidRPr="00AF6DBF">
              <w:rPr>
                <w:rStyle w:val="Hyperlink"/>
                <w:rFonts w:eastAsia="Calibri"/>
                <w:noProof/>
              </w:rPr>
              <w:t xml:space="preserve"> awareness of Indigenous cultures</w:t>
            </w:r>
            <w:r w:rsidR="00320BAB">
              <w:rPr>
                <w:noProof/>
                <w:webHidden/>
              </w:rPr>
              <w:tab/>
            </w:r>
            <w:r w:rsidR="00320BAB">
              <w:rPr>
                <w:noProof/>
                <w:webHidden/>
              </w:rPr>
              <w:fldChar w:fldCharType="begin"/>
            </w:r>
            <w:r w:rsidR="00320BAB">
              <w:rPr>
                <w:noProof/>
                <w:webHidden/>
              </w:rPr>
              <w:instrText xml:space="preserve"> PAGEREF _Toc18393465 \h </w:instrText>
            </w:r>
            <w:r w:rsidR="00320BAB">
              <w:rPr>
                <w:noProof/>
                <w:webHidden/>
              </w:rPr>
            </w:r>
            <w:r w:rsidR="00320BAB">
              <w:rPr>
                <w:noProof/>
                <w:webHidden/>
              </w:rPr>
              <w:fldChar w:fldCharType="separate"/>
            </w:r>
            <w:r w:rsidR="00A51380">
              <w:rPr>
                <w:noProof/>
                <w:webHidden/>
              </w:rPr>
              <w:t>3</w:t>
            </w:r>
            <w:r w:rsidR="00320BAB">
              <w:rPr>
                <w:noProof/>
                <w:webHidden/>
              </w:rPr>
              <w:fldChar w:fldCharType="end"/>
            </w:r>
          </w:hyperlink>
        </w:p>
        <w:p w14:paraId="5BFACE75"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6" w:history="1">
            <w:r w:rsidR="00320BAB" w:rsidRPr="00AF6DBF">
              <w:rPr>
                <w:rStyle w:val="Hyperlink"/>
                <w:noProof/>
              </w:rPr>
              <w:t>Culturally and Linguistically Diverse Employment (Multicultural)</w:t>
            </w:r>
            <w:r w:rsidR="00320BAB">
              <w:rPr>
                <w:noProof/>
                <w:webHidden/>
              </w:rPr>
              <w:tab/>
            </w:r>
            <w:r w:rsidR="00320BAB">
              <w:rPr>
                <w:noProof/>
                <w:webHidden/>
              </w:rPr>
              <w:fldChar w:fldCharType="begin"/>
            </w:r>
            <w:r w:rsidR="00320BAB">
              <w:rPr>
                <w:noProof/>
                <w:webHidden/>
              </w:rPr>
              <w:instrText xml:space="preserve"> PAGEREF _Toc18393466 \h </w:instrText>
            </w:r>
            <w:r w:rsidR="00320BAB">
              <w:rPr>
                <w:noProof/>
                <w:webHidden/>
              </w:rPr>
            </w:r>
            <w:r w:rsidR="00320BAB">
              <w:rPr>
                <w:noProof/>
                <w:webHidden/>
              </w:rPr>
              <w:fldChar w:fldCharType="separate"/>
            </w:r>
            <w:r w:rsidR="00A51380">
              <w:rPr>
                <w:noProof/>
                <w:webHidden/>
              </w:rPr>
              <w:t>3</w:t>
            </w:r>
            <w:r w:rsidR="00320BAB">
              <w:rPr>
                <w:noProof/>
                <w:webHidden/>
              </w:rPr>
              <w:fldChar w:fldCharType="end"/>
            </w:r>
          </w:hyperlink>
        </w:p>
        <w:p w14:paraId="3FCF5052"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7" w:history="1">
            <w:r w:rsidR="00320BAB" w:rsidRPr="00AF6DBF">
              <w:rPr>
                <w:rStyle w:val="Hyperlink"/>
                <w:noProof/>
              </w:rPr>
              <w:t>Planned Activities and Actions</w:t>
            </w:r>
            <w:r w:rsidR="00320BAB">
              <w:rPr>
                <w:noProof/>
                <w:webHidden/>
              </w:rPr>
              <w:tab/>
            </w:r>
            <w:r w:rsidR="00320BAB">
              <w:rPr>
                <w:noProof/>
                <w:webHidden/>
              </w:rPr>
              <w:fldChar w:fldCharType="begin"/>
            </w:r>
            <w:r w:rsidR="00320BAB">
              <w:rPr>
                <w:noProof/>
                <w:webHidden/>
              </w:rPr>
              <w:instrText xml:space="preserve"> PAGEREF _Toc18393467 \h </w:instrText>
            </w:r>
            <w:r w:rsidR="00320BAB">
              <w:rPr>
                <w:noProof/>
                <w:webHidden/>
              </w:rPr>
            </w:r>
            <w:r w:rsidR="00320BAB">
              <w:rPr>
                <w:noProof/>
                <w:webHidden/>
              </w:rPr>
              <w:fldChar w:fldCharType="separate"/>
            </w:r>
            <w:r w:rsidR="00A51380">
              <w:rPr>
                <w:noProof/>
                <w:webHidden/>
              </w:rPr>
              <w:t>4</w:t>
            </w:r>
            <w:r w:rsidR="00320BAB">
              <w:rPr>
                <w:noProof/>
                <w:webHidden/>
              </w:rPr>
              <w:fldChar w:fldCharType="end"/>
            </w:r>
          </w:hyperlink>
        </w:p>
        <w:p w14:paraId="0F493042"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8" w:history="1">
            <w:r w:rsidR="00320BAB" w:rsidRPr="00AF6DBF">
              <w:rPr>
                <w:rStyle w:val="Hyperlink"/>
                <w:noProof/>
              </w:rPr>
              <w:t>Monitoring and Reporting</w:t>
            </w:r>
            <w:r w:rsidR="00320BAB">
              <w:rPr>
                <w:noProof/>
                <w:webHidden/>
              </w:rPr>
              <w:tab/>
            </w:r>
            <w:r w:rsidR="00320BAB">
              <w:rPr>
                <w:noProof/>
                <w:webHidden/>
              </w:rPr>
              <w:fldChar w:fldCharType="begin"/>
            </w:r>
            <w:r w:rsidR="00320BAB">
              <w:rPr>
                <w:noProof/>
                <w:webHidden/>
              </w:rPr>
              <w:instrText xml:space="preserve"> PAGEREF _Toc18393468 \h </w:instrText>
            </w:r>
            <w:r w:rsidR="00320BAB">
              <w:rPr>
                <w:noProof/>
                <w:webHidden/>
              </w:rPr>
            </w:r>
            <w:r w:rsidR="00320BAB">
              <w:rPr>
                <w:noProof/>
                <w:webHidden/>
              </w:rPr>
              <w:fldChar w:fldCharType="separate"/>
            </w:r>
            <w:r w:rsidR="00A51380">
              <w:rPr>
                <w:noProof/>
                <w:webHidden/>
              </w:rPr>
              <w:t>4</w:t>
            </w:r>
            <w:r w:rsidR="00320BAB">
              <w:rPr>
                <w:noProof/>
                <w:webHidden/>
              </w:rPr>
              <w:fldChar w:fldCharType="end"/>
            </w:r>
          </w:hyperlink>
        </w:p>
        <w:p w14:paraId="05CD1EFC" w14:textId="77777777" w:rsidR="00320BAB" w:rsidRDefault="00777E4B" w:rsidP="00B61E0C">
          <w:pPr>
            <w:pStyle w:val="TOC2"/>
            <w:tabs>
              <w:tab w:val="right" w:leader="dot" w:pos="9016"/>
            </w:tabs>
            <w:jc w:val="both"/>
            <w:rPr>
              <w:rFonts w:asciiTheme="minorHAnsi" w:eastAsiaTheme="minorEastAsia" w:hAnsiTheme="minorHAnsi" w:cstheme="minorBidi"/>
              <w:noProof/>
              <w:lang w:eastAsia="en-AU"/>
            </w:rPr>
          </w:pPr>
          <w:hyperlink w:anchor="_Toc18393469" w:history="1">
            <w:r w:rsidR="00320BAB" w:rsidRPr="00AF6DBF">
              <w:rPr>
                <w:rStyle w:val="Hyperlink"/>
                <w:noProof/>
              </w:rPr>
              <w:t>DRAFT – Planned Actions and Activities to Support Workplace Diversity and Inclusion</w:t>
            </w:r>
            <w:r w:rsidR="00320BAB">
              <w:rPr>
                <w:noProof/>
                <w:webHidden/>
              </w:rPr>
              <w:tab/>
            </w:r>
            <w:r w:rsidR="00320BAB">
              <w:rPr>
                <w:noProof/>
                <w:webHidden/>
              </w:rPr>
              <w:fldChar w:fldCharType="begin"/>
            </w:r>
            <w:r w:rsidR="00320BAB">
              <w:rPr>
                <w:noProof/>
                <w:webHidden/>
              </w:rPr>
              <w:instrText xml:space="preserve"> PAGEREF _Toc18393469 \h </w:instrText>
            </w:r>
            <w:r w:rsidR="00320BAB">
              <w:rPr>
                <w:noProof/>
                <w:webHidden/>
              </w:rPr>
            </w:r>
            <w:r w:rsidR="00320BAB">
              <w:rPr>
                <w:noProof/>
                <w:webHidden/>
              </w:rPr>
              <w:fldChar w:fldCharType="separate"/>
            </w:r>
            <w:r w:rsidR="00A51380">
              <w:rPr>
                <w:noProof/>
                <w:webHidden/>
              </w:rPr>
              <w:t>5</w:t>
            </w:r>
            <w:r w:rsidR="00320BAB">
              <w:rPr>
                <w:noProof/>
                <w:webHidden/>
              </w:rPr>
              <w:fldChar w:fldCharType="end"/>
            </w:r>
          </w:hyperlink>
        </w:p>
        <w:p w14:paraId="3D74692B" w14:textId="4811EF23" w:rsidR="00F05826" w:rsidRDefault="00F05826" w:rsidP="00B61E0C">
          <w:pPr>
            <w:jc w:val="both"/>
          </w:pPr>
          <w:r>
            <w:fldChar w:fldCharType="end"/>
          </w:r>
        </w:p>
      </w:sdtContent>
    </w:sdt>
    <w:p w14:paraId="35F37302" w14:textId="046FECCC" w:rsidR="00CA1D98" w:rsidRDefault="00F05826" w:rsidP="00B61E0C">
      <w:pPr>
        <w:pStyle w:val="Heading1"/>
        <w:jc w:val="both"/>
      </w:pPr>
      <w:r>
        <w:br w:type="page"/>
      </w:r>
    </w:p>
    <w:p w14:paraId="578FEC24" w14:textId="77777777" w:rsidR="00DE4DD8" w:rsidRPr="00DE4DD8" w:rsidRDefault="007E30F3" w:rsidP="00B61E0C">
      <w:pPr>
        <w:pStyle w:val="Heading2"/>
        <w:jc w:val="both"/>
      </w:pPr>
      <w:bookmarkStart w:id="1" w:name="_Toc18393461"/>
      <w:r>
        <w:lastRenderedPageBreak/>
        <w:t>Statement of Commitment</w:t>
      </w:r>
      <w:bookmarkEnd w:id="1"/>
      <w:r>
        <w:t xml:space="preserve"> </w:t>
      </w:r>
    </w:p>
    <w:p w14:paraId="476307CE" w14:textId="715B87F4" w:rsidR="00DE4DD8" w:rsidRPr="00FE3A5E" w:rsidRDefault="00893758" w:rsidP="00B61E0C">
      <w:pPr>
        <w:jc w:val="both"/>
      </w:pPr>
      <w:r>
        <w:t>T</w:t>
      </w:r>
      <w:r w:rsidR="00DE4DD8" w:rsidRPr="00FE3A5E">
        <w:t xml:space="preserve">he Productivity Commission (the Commission) </w:t>
      </w:r>
      <w:r w:rsidR="008B72B8">
        <w:t>has an</w:t>
      </w:r>
      <w:r>
        <w:t xml:space="preserve"> inclusive </w:t>
      </w:r>
      <w:r w:rsidR="00DE4DD8" w:rsidRPr="00FE3A5E">
        <w:t>workplace culture that values people with different backgrounds, experiences and perspectives.</w:t>
      </w:r>
    </w:p>
    <w:p w14:paraId="3D2F44CD" w14:textId="5568C524" w:rsidR="00DE4DD8" w:rsidRPr="00FE3A5E" w:rsidRDefault="00B510FB" w:rsidP="00B61E0C">
      <w:pPr>
        <w:jc w:val="both"/>
      </w:pPr>
      <w:r>
        <w:t>As an Australian Public Service (APS) agency, w</w:t>
      </w:r>
      <w:r w:rsidR="00DE4DD8" w:rsidRPr="00FE3A5E">
        <w:t>e are committed to employing, supporting and developing people from all walks of life</w:t>
      </w:r>
      <w:r>
        <w:t xml:space="preserve"> –</w:t>
      </w:r>
      <w:r w:rsidR="00DE4DD8" w:rsidRPr="00FE3A5E">
        <w:t xml:space="preserve"> regardless of disability, ethnicity, religious beliefs, </w:t>
      </w:r>
      <w:r w:rsidR="006A0707" w:rsidRPr="00FE3A5E">
        <w:t>age</w:t>
      </w:r>
      <w:r w:rsidR="006A0707">
        <w:t>,</w:t>
      </w:r>
      <w:r w:rsidR="006A0707" w:rsidRPr="00FE3A5E">
        <w:t xml:space="preserve"> </w:t>
      </w:r>
      <w:r w:rsidR="006A0707">
        <w:t>gender</w:t>
      </w:r>
      <w:r w:rsidR="00DE4DD8" w:rsidRPr="00FE3A5E">
        <w:t xml:space="preserve"> or sexual orientation</w:t>
      </w:r>
      <w:r>
        <w:t xml:space="preserve"> –</w:t>
      </w:r>
      <w:r w:rsidR="00DE4DD8" w:rsidRPr="00FE3A5E">
        <w:t xml:space="preserve"> and to creating </w:t>
      </w:r>
      <w:r w:rsidR="00893758">
        <w:t>a</w:t>
      </w:r>
      <w:r w:rsidR="00DE4DD8" w:rsidRPr="00FE3A5E">
        <w:t xml:space="preserve"> work environment that </w:t>
      </w:r>
      <w:r>
        <w:t xml:space="preserve">respects, and </w:t>
      </w:r>
      <w:r w:rsidR="00DE4DD8" w:rsidRPr="00FE3A5E">
        <w:t>reflect</w:t>
      </w:r>
      <w:r w:rsidR="003A67F6">
        <w:t>s</w:t>
      </w:r>
      <w:r>
        <w:t>,</w:t>
      </w:r>
      <w:r w:rsidR="00DE4DD8" w:rsidRPr="00FE3A5E">
        <w:t xml:space="preserve"> the diversity of the Australian community. </w:t>
      </w:r>
      <w:r w:rsidR="003A67F6">
        <w:t xml:space="preserve"> </w:t>
      </w:r>
    </w:p>
    <w:p w14:paraId="596F3394" w14:textId="41EA44D2" w:rsidR="00DE4DD8" w:rsidRPr="00FE3A5E" w:rsidRDefault="00DE4DD8" w:rsidP="00B61E0C">
      <w:pPr>
        <w:spacing w:after="120"/>
        <w:jc w:val="both"/>
      </w:pPr>
      <w:r w:rsidRPr="00FE3A5E">
        <w:t xml:space="preserve">Our Workforce Diversity and Inclusion Strategy is consistent with the Commission’s </w:t>
      </w:r>
      <w:hyperlink r:id="rId10" w:history="1">
        <w:r w:rsidR="00B66848" w:rsidRPr="00634F72">
          <w:rPr>
            <w:color w:val="003399"/>
            <w:u w:val="single"/>
          </w:rPr>
          <w:t>Corporate Plan</w:t>
        </w:r>
      </w:hyperlink>
      <w:r w:rsidRPr="00FE3A5E">
        <w:t xml:space="preserve"> in seeking to attract and retain high calibre staff</w:t>
      </w:r>
      <w:r w:rsidR="00621C61">
        <w:t xml:space="preserve"> </w:t>
      </w:r>
      <w:r w:rsidR="006A0707">
        <w:t>–</w:t>
      </w:r>
      <w:r w:rsidR="00621C61">
        <w:t xml:space="preserve"> we seek to </w:t>
      </w:r>
      <w:r w:rsidR="00621C61" w:rsidRPr="00FE3A5E">
        <w:t>attract and retain a diverse workforce</w:t>
      </w:r>
      <w:r w:rsidR="000B6A5F">
        <w:t>. Our</w:t>
      </w:r>
      <w:r w:rsidRPr="00FE3A5E">
        <w:t xml:space="preserve"> workplace </w:t>
      </w:r>
      <w:r w:rsidR="000B6A5F">
        <w:t>will</w:t>
      </w:r>
      <w:r w:rsidRPr="00FE3A5E">
        <w:t>:</w:t>
      </w:r>
    </w:p>
    <w:p w14:paraId="1A1A9D12" w14:textId="25B20893" w:rsidR="00DE4DD8" w:rsidRPr="00FE3A5E" w:rsidRDefault="00DE4DD8" w:rsidP="00B61E0C">
      <w:pPr>
        <w:pStyle w:val="ListBullet"/>
        <w:tabs>
          <w:tab w:val="clear" w:pos="360"/>
          <w:tab w:val="num" w:pos="720"/>
        </w:tabs>
        <w:jc w:val="both"/>
      </w:pPr>
      <w:r w:rsidRPr="00FE3A5E">
        <w:t>value Australians from culturally and linguistically diverse backgrounds</w:t>
      </w:r>
    </w:p>
    <w:p w14:paraId="652084DC" w14:textId="1F2A4BE8" w:rsidR="008A5B4D" w:rsidRPr="00FE3A5E" w:rsidRDefault="008A5B4D" w:rsidP="00B61E0C">
      <w:pPr>
        <w:pStyle w:val="ListBullet"/>
        <w:tabs>
          <w:tab w:val="clear" w:pos="360"/>
          <w:tab w:val="num" w:pos="720"/>
        </w:tabs>
        <w:jc w:val="both"/>
      </w:pPr>
      <w:r w:rsidRPr="00FE3A5E">
        <w:t xml:space="preserve">promote flexibility for </w:t>
      </w:r>
      <w:r w:rsidR="0060308A">
        <w:t xml:space="preserve">all </w:t>
      </w:r>
      <w:r w:rsidRPr="00FE3A5E">
        <w:t>staff</w:t>
      </w:r>
      <w:r w:rsidR="0060308A">
        <w:t>, including those</w:t>
      </w:r>
      <w:r w:rsidRPr="00FE3A5E">
        <w:t xml:space="preserve"> with caring responsibilities </w:t>
      </w:r>
      <w:r w:rsidR="0060308A">
        <w:t xml:space="preserve">and disability  </w:t>
      </w:r>
    </w:p>
    <w:p w14:paraId="0A086906" w14:textId="55139C96" w:rsidR="00DE4DD8" w:rsidRPr="00FE3A5E" w:rsidRDefault="00DE4DD8" w:rsidP="00B61E0C">
      <w:pPr>
        <w:pStyle w:val="ListBullet"/>
        <w:tabs>
          <w:tab w:val="clear" w:pos="360"/>
          <w:tab w:val="num" w:pos="720"/>
        </w:tabs>
        <w:jc w:val="both"/>
      </w:pPr>
      <w:r w:rsidRPr="00FE3A5E">
        <w:t xml:space="preserve">allow employees to be themselves </w:t>
      </w:r>
      <w:r w:rsidR="00621C61" w:rsidRPr="00FE3A5E">
        <w:t xml:space="preserve">freely </w:t>
      </w:r>
      <w:r w:rsidRPr="00FE3A5E">
        <w:t>without fear of discrimination</w:t>
      </w:r>
    </w:p>
    <w:p w14:paraId="666FDD98" w14:textId="4D4AE07C" w:rsidR="0069647B" w:rsidRDefault="000B6A5F" w:rsidP="00B61E0C">
      <w:pPr>
        <w:pStyle w:val="ListBullet"/>
        <w:tabs>
          <w:tab w:val="clear" w:pos="360"/>
          <w:tab w:val="num" w:pos="720"/>
        </w:tabs>
        <w:jc w:val="both"/>
      </w:pPr>
      <w:proofErr w:type="gramStart"/>
      <w:r>
        <w:t>ensure</w:t>
      </w:r>
      <w:proofErr w:type="gramEnd"/>
      <w:r w:rsidR="00DE4DD8" w:rsidRPr="00FE3A5E">
        <w:t xml:space="preserve"> a safe</w:t>
      </w:r>
      <w:r>
        <w:t>,</w:t>
      </w:r>
      <w:r w:rsidR="00DE4DD8" w:rsidRPr="00FE3A5E">
        <w:t xml:space="preserve"> supportive work environment </w:t>
      </w:r>
      <w:r w:rsidR="008A5B4D">
        <w:t>to</w:t>
      </w:r>
      <w:r w:rsidR="005327E2">
        <w:t xml:space="preserve"> meet the diverse</w:t>
      </w:r>
      <w:r w:rsidR="00DE4DD8" w:rsidRPr="00FE3A5E">
        <w:t xml:space="preserve"> needs</w:t>
      </w:r>
      <w:r>
        <w:t xml:space="preserve"> of </w:t>
      </w:r>
      <w:r w:rsidR="005327E2">
        <w:t>staff</w:t>
      </w:r>
      <w:r w:rsidR="00DE4DD8" w:rsidRPr="00FE3A5E">
        <w:t>.</w:t>
      </w:r>
    </w:p>
    <w:p w14:paraId="0628508A" w14:textId="535F04DA" w:rsidR="005327E2" w:rsidRDefault="006A0707" w:rsidP="00B61E0C">
      <w:pPr>
        <w:jc w:val="both"/>
      </w:pPr>
      <w:r>
        <w:t xml:space="preserve">As a small agency, this means focusing our </w:t>
      </w:r>
      <w:r w:rsidRPr="00FE3A5E">
        <w:t>diversity and inclusion</w:t>
      </w:r>
      <w:r>
        <w:t xml:space="preserve"> efforts on certain priority elements, as well as supporting staff-led initiatives, and encouraging staff participation in diversity initiatives more broadly, to build and maintain external networks</w:t>
      </w:r>
      <w:r w:rsidR="005327E2">
        <w:t xml:space="preserve">. </w:t>
      </w:r>
    </w:p>
    <w:p w14:paraId="2A3B8C19" w14:textId="46818278" w:rsidR="006A0707" w:rsidRDefault="005327E2" w:rsidP="00B61E0C">
      <w:pPr>
        <w:jc w:val="both"/>
      </w:pPr>
      <w:r>
        <w:t xml:space="preserve">In doing so, we demonstrate our commitment </w:t>
      </w:r>
      <w:r w:rsidR="006A0707" w:rsidRPr="00FE3A5E">
        <w:t>to workplace diversity and inclusion through fostering a supportive, respectful and engaging environment</w:t>
      </w:r>
      <w:r w:rsidR="006A0707">
        <w:t xml:space="preserve"> for all staff</w:t>
      </w:r>
      <w:r w:rsidR="006A0707" w:rsidRPr="00FE3A5E">
        <w:t xml:space="preserve">. </w:t>
      </w:r>
      <w:r>
        <w:t xml:space="preserve">I welcome and encourage ideas and input from staff, to promote and support our workplace diversity. </w:t>
      </w:r>
    </w:p>
    <w:p w14:paraId="6C62C17A" w14:textId="497A706D" w:rsidR="00B87638" w:rsidRDefault="00B87638" w:rsidP="00B61E0C">
      <w:pPr>
        <w:spacing w:after="0"/>
        <w:jc w:val="both"/>
      </w:pPr>
      <w:r>
        <w:t xml:space="preserve">Michael Brennan </w:t>
      </w:r>
    </w:p>
    <w:p w14:paraId="5D7AC42C" w14:textId="17C9E4F3" w:rsidR="00B87638" w:rsidRDefault="00B87638" w:rsidP="00B61E0C">
      <w:pPr>
        <w:spacing w:after="0"/>
        <w:jc w:val="both"/>
      </w:pPr>
      <w:r>
        <w:t>Chair</w:t>
      </w:r>
    </w:p>
    <w:p w14:paraId="7B1CA586" w14:textId="77777777" w:rsidR="00B87638" w:rsidRDefault="00B87638" w:rsidP="00B61E0C">
      <w:pPr>
        <w:spacing w:after="0"/>
        <w:jc w:val="both"/>
      </w:pPr>
    </w:p>
    <w:p w14:paraId="390779E8" w14:textId="77777777" w:rsidR="00634F72" w:rsidRDefault="00634F72" w:rsidP="00B61E0C">
      <w:pPr>
        <w:spacing w:after="0"/>
        <w:jc w:val="both"/>
      </w:pPr>
    </w:p>
    <w:p w14:paraId="66211F50" w14:textId="77777777" w:rsidR="00DE4DD8" w:rsidRPr="00DE4DD8" w:rsidRDefault="00DE4DD8" w:rsidP="00B61E0C">
      <w:pPr>
        <w:pStyle w:val="Heading2"/>
        <w:jc w:val="both"/>
      </w:pPr>
      <w:bookmarkStart w:id="2" w:name="_Toc18393462"/>
      <w:r w:rsidRPr="00DE4DD8">
        <w:t>Elements</w:t>
      </w:r>
      <w:r w:rsidR="007E30F3">
        <w:t xml:space="preserve"> of the Strategy</w:t>
      </w:r>
      <w:bookmarkEnd w:id="2"/>
      <w:r w:rsidR="007E30F3">
        <w:t xml:space="preserve"> </w:t>
      </w:r>
    </w:p>
    <w:p w14:paraId="1FBB2D16" w14:textId="51B9F821" w:rsidR="00DE4DD8" w:rsidRPr="00FE3A5E" w:rsidRDefault="008946D8" w:rsidP="00B61E0C">
      <w:pPr>
        <w:jc w:val="both"/>
      </w:pPr>
      <w:r>
        <w:t>Our</w:t>
      </w:r>
      <w:r w:rsidR="00B87638">
        <w:t xml:space="preserve"> </w:t>
      </w:r>
      <w:r w:rsidR="00DE4DD8" w:rsidRPr="00FE3A5E">
        <w:t>Workplace Diversity and Inclusion Strategy</w:t>
      </w:r>
      <w:r>
        <w:t xml:space="preserve"> will focus on the following </w:t>
      </w:r>
      <w:r w:rsidR="00B87638">
        <w:t xml:space="preserve">key </w:t>
      </w:r>
      <w:r>
        <w:t>elements</w:t>
      </w:r>
      <w:r w:rsidR="00DE4DD8" w:rsidRPr="00FE3A5E">
        <w:t>:</w:t>
      </w:r>
    </w:p>
    <w:p w14:paraId="6ABD637B" w14:textId="5839EC9E" w:rsidR="00DE4DD8" w:rsidRPr="00FE3A5E" w:rsidRDefault="00DE4DD8" w:rsidP="00B61E0C">
      <w:pPr>
        <w:pStyle w:val="ListBullet"/>
        <w:tabs>
          <w:tab w:val="clear" w:pos="360"/>
          <w:tab w:val="num" w:pos="720"/>
        </w:tabs>
        <w:jc w:val="both"/>
      </w:pPr>
      <w:r w:rsidRPr="00FE3A5E">
        <w:t xml:space="preserve">Disability </w:t>
      </w:r>
      <w:r w:rsidR="00320BAB">
        <w:t>e</w:t>
      </w:r>
      <w:r w:rsidRPr="00FE3A5E">
        <w:t xml:space="preserve">mployment </w:t>
      </w:r>
    </w:p>
    <w:p w14:paraId="7E9E5240" w14:textId="047F3A45" w:rsidR="00DE4DD8" w:rsidRPr="00FE3A5E" w:rsidRDefault="00DE4DD8" w:rsidP="00B61E0C">
      <w:pPr>
        <w:pStyle w:val="ListBullet"/>
        <w:tabs>
          <w:tab w:val="clear" w:pos="360"/>
          <w:tab w:val="num" w:pos="720"/>
        </w:tabs>
        <w:jc w:val="both"/>
      </w:pPr>
      <w:r w:rsidRPr="00FE3A5E">
        <w:t xml:space="preserve">Indigenous </w:t>
      </w:r>
      <w:r w:rsidR="00320BAB">
        <w:t>e</w:t>
      </w:r>
      <w:r w:rsidRPr="00FE3A5E">
        <w:t xml:space="preserve">mployment </w:t>
      </w:r>
      <w:r w:rsidR="00FF524E">
        <w:t>and</w:t>
      </w:r>
      <w:r w:rsidR="00FF524E" w:rsidRPr="003014F4">
        <w:rPr>
          <w:rFonts w:eastAsia="Calibri"/>
        </w:rPr>
        <w:t xml:space="preserve"> awareness of Indigenous culture</w:t>
      </w:r>
      <w:r w:rsidR="00B66848">
        <w:rPr>
          <w:rFonts w:eastAsia="Calibri"/>
        </w:rPr>
        <w:t>s</w:t>
      </w:r>
    </w:p>
    <w:p w14:paraId="48B7C3C0" w14:textId="2B866D37" w:rsidR="00DE4DD8" w:rsidRPr="00FE3A5E" w:rsidRDefault="00DE4DD8" w:rsidP="00B61E0C">
      <w:pPr>
        <w:pStyle w:val="ListBullet"/>
        <w:tabs>
          <w:tab w:val="clear" w:pos="360"/>
          <w:tab w:val="num" w:pos="720"/>
        </w:tabs>
        <w:jc w:val="both"/>
      </w:pPr>
      <w:r w:rsidRPr="00FE3A5E">
        <w:t xml:space="preserve">Culturally and Linguistically Diverse </w:t>
      </w:r>
      <w:r w:rsidR="00320BAB">
        <w:t>(CALD)</w:t>
      </w:r>
      <w:r w:rsidR="005E5971">
        <w:t xml:space="preserve"> / multicultural</w:t>
      </w:r>
      <w:r w:rsidR="00320BAB">
        <w:t xml:space="preserve"> e</w:t>
      </w:r>
      <w:r w:rsidRPr="00FE3A5E">
        <w:t xml:space="preserve">mployment </w:t>
      </w:r>
      <w:r w:rsidR="005E5971">
        <w:t xml:space="preserve"> </w:t>
      </w:r>
    </w:p>
    <w:p w14:paraId="7867013E" w14:textId="07225FB3" w:rsidR="00F7587F" w:rsidRPr="006C116B" w:rsidRDefault="00621C61" w:rsidP="00B61E0C">
      <w:pPr>
        <w:jc w:val="both"/>
      </w:pPr>
      <w:r>
        <w:t xml:space="preserve">More broadly, the Commission is committed to </w:t>
      </w:r>
      <w:r w:rsidR="001D6A23" w:rsidRPr="006C116B">
        <w:rPr>
          <w:b/>
        </w:rPr>
        <w:t>workplace flexibility</w:t>
      </w:r>
      <w:r>
        <w:rPr>
          <w:b/>
        </w:rPr>
        <w:t xml:space="preserve"> </w:t>
      </w:r>
      <w:r w:rsidR="00ED72E8">
        <w:t>for all staff</w:t>
      </w:r>
      <w:r w:rsidR="005C6ED9" w:rsidRPr="001050D6">
        <w:t xml:space="preserve">. </w:t>
      </w:r>
      <w:r w:rsidR="004D0B83" w:rsidRPr="001050D6">
        <w:t>The</w:t>
      </w:r>
      <w:r w:rsidR="004D0B83">
        <w:t xml:space="preserve"> Commission </w:t>
      </w:r>
      <w:r w:rsidR="004D0B83" w:rsidRPr="006C116B">
        <w:t>offers staff a wide range of flexible work and leave arrangements to assist in work/life balance, while meeting our operational needs.</w:t>
      </w:r>
      <w:r w:rsidR="00F7587F" w:rsidRPr="006C116B">
        <w:t xml:space="preserve"> Our workplace flexibility arrangements include options in relation to working hours, patterns of work and location of work.  </w:t>
      </w:r>
    </w:p>
    <w:p w14:paraId="08CED6C2" w14:textId="4CBDFB0B" w:rsidR="004E0F6C" w:rsidRDefault="005C6ED9" w:rsidP="00B61E0C">
      <w:pPr>
        <w:jc w:val="both"/>
      </w:pPr>
      <w:r w:rsidRPr="00FE3A5E">
        <w:t>We adopt a ‘f</w:t>
      </w:r>
      <w:r w:rsidR="006C116B">
        <w:t>lexible by default’ approach. A</w:t>
      </w:r>
      <w:r w:rsidR="004D0B83">
        <w:t xml:space="preserve">ll </w:t>
      </w:r>
      <w:r w:rsidR="004D0B83" w:rsidRPr="006C116B">
        <w:t>employees</w:t>
      </w:r>
      <w:r w:rsidR="004D0B83" w:rsidRPr="00224030">
        <w:t xml:space="preserve"> </w:t>
      </w:r>
      <w:r w:rsidR="004D0B83">
        <w:t>may</w:t>
      </w:r>
      <w:r w:rsidR="004D0B83" w:rsidRPr="00224030">
        <w:t xml:space="preserve"> work flexible hours</w:t>
      </w:r>
      <w:r w:rsidR="00621C61">
        <w:t xml:space="preserve">, with </w:t>
      </w:r>
      <w:r w:rsidR="001050D6">
        <w:t>e</w:t>
      </w:r>
      <w:r w:rsidR="001050D6" w:rsidRPr="00316A8B">
        <w:t>mployees</w:t>
      </w:r>
      <w:r w:rsidR="001050D6" w:rsidRPr="00224030">
        <w:t xml:space="preserve"> and their manager</w:t>
      </w:r>
      <w:r w:rsidR="00621C61">
        <w:t>s</w:t>
      </w:r>
      <w:r w:rsidR="001050D6" w:rsidRPr="00224030">
        <w:t xml:space="preserve"> work</w:t>
      </w:r>
      <w:r w:rsidR="00621C61">
        <w:t>ing</w:t>
      </w:r>
      <w:r w:rsidR="001050D6" w:rsidRPr="00224030">
        <w:t xml:space="preserve"> together to mana</w:t>
      </w:r>
      <w:r w:rsidR="001050D6">
        <w:t xml:space="preserve">ge workloads and working hours. </w:t>
      </w:r>
      <w:r w:rsidR="004E0F6C" w:rsidRPr="004E0F6C">
        <w:t>Managers will take into account employee preferences regarding hours of attendance, subject to operational needs.</w:t>
      </w:r>
      <w:r w:rsidR="004E0F6C">
        <w:t xml:space="preserve"> </w:t>
      </w:r>
    </w:p>
    <w:p w14:paraId="7BD1817A" w14:textId="49100787" w:rsidR="00836E5F" w:rsidRDefault="004E0F6C" w:rsidP="00B61E0C">
      <w:pPr>
        <w:jc w:val="both"/>
      </w:pPr>
      <w:r>
        <w:t xml:space="preserve">The Commission will make all reasonable attempts to accommodate requests to work flexibly, although arrangements must suit the type of work performed and operational requirements. </w:t>
      </w:r>
      <w:r w:rsidR="001050D6" w:rsidRPr="004235E3">
        <w:t xml:space="preserve">Our </w:t>
      </w:r>
      <w:r w:rsidR="004235E3" w:rsidRPr="00A8576D">
        <w:rPr>
          <w:i/>
          <w:color w:val="000000" w:themeColor="text1"/>
        </w:rPr>
        <w:t>Flexible Working Arrangements Guidelines</w:t>
      </w:r>
      <w:r w:rsidR="004235E3" w:rsidRPr="00A8576D">
        <w:rPr>
          <w:color w:val="000000" w:themeColor="text1"/>
        </w:rPr>
        <w:t xml:space="preserve"> </w:t>
      </w:r>
      <w:r w:rsidR="001050D6" w:rsidRPr="004235E3">
        <w:t>outline</w:t>
      </w:r>
      <w:r w:rsidR="001050D6">
        <w:t xml:space="preserve"> the range of </w:t>
      </w:r>
      <w:r>
        <w:t xml:space="preserve">flexible work </w:t>
      </w:r>
      <w:r w:rsidR="001050D6">
        <w:t xml:space="preserve">options </w:t>
      </w:r>
      <w:r>
        <w:t>available</w:t>
      </w:r>
      <w:r w:rsidR="006C116B">
        <w:t>, and how staff may access them</w:t>
      </w:r>
      <w:r>
        <w:t xml:space="preserve">. </w:t>
      </w:r>
      <w:r w:rsidR="001050D6">
        <w:t xml:space="preserve">  </w:t>
      </w:r>
    </w:p>
    <w:p w14:paraId="21FA4EF4" w14:textId="38681402" w:rsidR="00836E5F" w:rsidRDefault="00836E5F" w:rsidP="00B61E0C">
      <w:pPr>
        <w:jc w:val="both"/>
      </w:pPr>
      <w:r>
        <w:t xml:space="preserve">As a small agency, we also encourage staff to collaborate with other agencies and organisations on diversity-related matters, such as via participation in APS-wide networks and working groups, and attendance at relevant external events. </w:t>
      </w:r>
    </w:p>
    <w:p w14:paraId="18D49C2D" w14:textId="77777777" w:rsidR="00DE4DD8" w:rsidRPr="00FE3A5E" w:rsidRDefault="00DE4DD8" w:rsidP="00B61E0C">
      <w:pPr>
        <w:pStyle w:val="Heading2"/>
        <w:jc w:val="both"/>
      </w:pPr>
      <w:bookmarkStart w:id="3" w:name="_Toc18393463"/>
      <w:r w:rsidRPr="00FE3A5E">
        <w:lastRenderedPageBreak/>
        <w:t>Responsibilities</w:t>
      </w:r>
      <w:bookmarkEnd w:id="3"/>
    </w:p>
    <w:p w14:paraId="2F783128" w14:textId="77777777" w:rsidR="00DE4DD8" w:rsidRDefault="00DE4DD8" w:rsidP="00B61E0C">
      <w:pPr>
        <w:jc w:val="both"/>
      </w:pPr>
      <w:r w:rsidRPr="00FE3A5E">
        <w:t>Everyone at the Commission has a responsibility for creating and contributing to an environment that embraces and celebrates the differences and similarities that people bring to the workplace.</w:t>
      </w:r>
    </w:p>
    <w:p w14:paraId="5FD27039" w14:textId="7082C470" w:rsidR="009E33F6" w:rsidRDefault="00535950" w:rsidP="00B61E0C">
      <w:pPr>
        <w:jc w:val="both"/>
      </w:pPr>
      <w:r>
        <w:t xml:space="preserve">Commission </w:t>
      </w:r>
      <w:r w:rsidR="007E30F3">
        <w:t xml:space="preserve">management, including Human Resources (HR), </w:t>
      </w:r>
      <w:r>
        <w:t xml:space="preserve">have additional </w:t>
      </w:r>
      <w:r w:rsidR="007E30F3">
        <w:t xml:space="preserve">responsibilities to ensure that our practices contribute to </w:t>
      </w:r>
      <w:r w:rsidR="00D36B81">
        <w:t>a safe workplace which values diversity</w:t>
      </w:r>
      <w:r w:rsidR="009E33F6">
        <w:t>, and does not discriminate (</w:t>
      </w:r>
      <w:r w:rsidR="009E33F6" w:rsidRPr="00FE3A5E">
        <w:t>either directly or indirectly</w:t>
      </w:r>
      <w:r w:rsidR="009E33F6">
        <w:t xml:space="preserve">) </w:t>
      </w:r>
      <w:r w:rsidR="009E33F6" w:rsidRPr="00FE3A5E">
        <w:t xml:space="preserve">against a person on the </w:t>
      </w:r>
      <w:r w:rsidR="00200884">
        <w:t xml:space="preserve">basis of their personal attributes (including </w:t>
      </w:r>
      <w:r w:rsidR="009E33F6" w:rsidRPr="00FE3A5E">
        <w:t xml:space="preserve">their gender identity, race, colour, religion, age, ethnicity, mental or physical disability, </w:t>
      </w:r>
      <w:r w:rsidR="009017DF">
        <w:t xml:space="preserve">sexuality, </w:t>
      </w:r>
      <w:r w:rsidR="009E33F6" w:rsidRPr="00FE3A5E">
        <w:t>marital status, family or carer responsibilities, pregnancy, political opinion, natio</w:t>
      </w:r>
      <w:r w:rsidR="009E33F6">
        <w:t>nal extraction or social origin</w:t>
      </w:r>
      <w:r w:rsidR="00200884">
        <w:t>)</w:t>
      </w:r>
      <w:r w:rsidR="009E33F6" w:rsidRPr="00FE3A5E">
        <w:t>.</w:t>
      </w:r>
    </w:p>
    <w:p w14:paraId="7277D0DB" w14:textId="2F54A47F" w:rsidR="009E33F6" w:rsidRDefault="009E33F6" w:rsidP="00B61E0C">
      <w:pPr>
        <w:jc w:val="both"/>
      </w:pPr>
      <w:r>
        <w:t xml:space="preserve">Our people management practices (such as </w:t>
      </w:r>
      <w:r w:rsidRPr="00FF08EE">
        <w:t xml:space="preserve">workforce planning, recruitment and selection, </w:t>
      </w:r>
      <w:r w:rsidR="00023C39">
        <w:t xml:space="preserve">case management </w:t>
      </w:r>
      <w:r w:rsidRPr="00FF08EE">
        <w:t>and performance management processes</w:t>
      </w:r>
      <w:r>
        <w:t xml:space="preserve">) </w:t>
      </w:r>
      <w:r w:rsidRPr="00FF08EE">
        <w:t xml:space="preserve">will </w:t>
      </w:r>
      <w:r>
        <w:t>also be</w:t>
      </w:r>
      <w:r w:rsidRPr="00FF08EE">
        <w:t xml:space="preserve"> sensitive</w:t>
      </w:r>
      <w:r>
        <w:t xml:space="preserve"> to the needs of staff from diverse backgrounds. </w:t>
      </w:r>
    </w:p>
    <w:p w14:paraId="197AB64D" w14:textId="77777777" w:rsidR="00200884" w:rsidRDefault="00200884" w:rsidP="00B61E0C">
      <w:pPr>
        <w:spacing w:after="0"/>
        <w:jc w:val="both"/>
      </w:pPr>
    </w:p>
    <w:p w14:paraId="54EFF335" w14:textId="4B064F5E" w:rsidR="00DE4DD8" w:rsidRPr="00FE3A5E" w:rsidRDefault="00DE4DD8" w:rsidP="00B61E0C">
      <w:pPr>
        <w:pStyle w:val="Heading2"/>
        <w:jc w:val="both"/>
      </w:pPr>
      <w:bookmarkStart w:id="4" w:name="_Toc18393464"/>
      <w:r w:rsidRPr="00FE3A5E">
        <w:t>Disability Employment</w:t>
      </w:r>
      <w:bookmarkEnd w:id="4"/>
      <w:r w:rsidRPr="00FE3A5E">
        <w:t xml:space="preserve"> </w:t>
      </w:r>
    </w:p>
    <w:p w14:paraId="145209B4" w14:textId="46B85C17" w:rsidR="00DE4DD8" w:rsidRPr="00FE3A5E" w:rsidRDefault="00DE4DD8" w:rsidP="00B61E0C">
      <w:pPr>
        <w:jc w:val="both"/>
      </w:pPr>
      <w:r w:rsidRPr="00FE3A5E">
        <w:t xml:space="preserve">The aim of </w:t>
      </w:r>
      <w:r w:rsidR="000C3AAA">
        <w:t xml:space="preserve">the </w:t>
      </w:r>
      <w:r w:rsidRPr="00FE3A5E">
        <w:t xml:space="preserve">Disability Employment </w:t>
      </w:r>
      <w:r w:rsidR="000C3AAA">
        <w:t>element of the s</w:t>
      </w:r>
      <w:r w:rsidRPr="00FE3A5E">
        <w:t xml:space="preserve">trategy is to remove barriers to, and encourage the participation of, people </w:t>
      </w:r>
      <w:r w:rsidR="00865169">
        <w:t>who have identified as having a</w:t>
      </w:r>
      <w:r w:rsidRPr="00FE3A5E">
        <w:t xml:space="preserve"> disability, to enable us to respond more capably to the needs of the community, and to provide a fair and equitable workplace for all staff.</w:t>
      </w:r>
    </w:p>
    <w:p w14:paraId="1ABA25F7" w14:textId="1291172C" w:rsidR="00DE4DD8" w:rsidRPr="00FE3A5E" w:rsidRDefault="00DE4DD8" w:rsidP="00B61E0C">
      <w:pPr>
        <w:jc w:val="both"/>
      </w:pPr>
      <w:r w:rsidRPr="00FE3A5E">
        <w:t xml:space="preserve">Consistent with the </w:t>
      </w:r>
      <w:hyperlink r:id="rId11" w:history="1">
        <w:r w:rsidRPr="00634F72">
          <w:rPr>
            <w:color w:val="003399"/>
            <w:u w:val="single"/>
          </w:rPr>
          <w:t>APS Disability Employment Strategy 2016-19, As One</w:t>
        </w:r>
        <w:r w:rsidR="008A74E2" w:rsidRPr="00634F72">
          <w:rPr>
            <w:color w:val="003399"/>
            <w:u w:val="single"/>
          </w:rPr>
          <w:t>:</w:t>
        </w:r>
        <w:r w:rsidRPr="00634F72">
          <w:rPr>
            <w:color w:val="003399"/>
            <w:u w:val="single"/>
          </w:rPr>
          <w:t xml:space="preserve"> Making it Happen</w:t>
        </w:r>
      </w:hyperlink>
      <w:r w:rsidRPr="00634F72">
        <w:rPr>
          <w:color w:val="003399"/>
          <w:u w:val="single"/>
        </w:rPr>
        <w:t>,</w:t>
      </w:r>
      <w:r w:rsidRPr="0057031D">
        <w:t xml:space="preserve"> we are committed to expanding the range of</w:t>
      </w:r>
      <w:r w:rsidRPr="00FE3A5E">
        <w:t xml:space="preserve"> employment opportunities for people with disability, investing in developing the capability of employees with disability, increasing representation of employees with disability in senior roles and to fostering inclusive cultures in the workplace.</w:t>
      </w:r>
      <w:r w:rsidR="00865169">
        <w:t xml:space="preserve"> </w:t>
      </w:r>
    </w:p>
    <w:p w14:paraId="724F3F5B" w14:textId="77777777" w:rsidR="00DE4DD8" w:rsidRPr="00FE3A5E" w:rsidRDefault="00DE4DD8" w:rsidP="00B61E0C">
      <w:pPr>
        <w:spacing w:after="0"/>
        <w:jc w:val="both"/>
      </w:pPr>
    </w:p>
    <w:p w14:paraId="653E82F6" w14:textId="62E2E232" w:rsidR="00DE4DD8" w:rsidRPr="00084FFC" w:rsidRDefault="00DE4DD8" w:rsidP="00B61E0C">
      <w:pPr>
        <w:pStyle w:val="Heading2"/>
        <w:jc w:val="both"/>
        <w:rPr>
          <w:b/>
        </w:rPr>
      </w:pPr>
      <w:bookmarkStart w:id="5" w:name="_Toc18393465"/>
      <w:r w:rsidRPr="00FE3A5E">
        <w:t>Indigenous Employment</w:t>
      </w:r>
      <w:r w:rsidR="00204506">
        <w:t xml:space="preserve"> and</w:t>
      </w:r>
      <w:r w:rsidR="00204506" w:rsidRPr="003014F4">
        <w:rPr>
          <w:rFonts w:eastAsia="Calibri"/>
        </w:rPr>
        <w:t xml:space="preserve"> </w:t>
      </w:r>
      <w:r w:rsidR="00B07A21">
        <w:rPr>
          <w:rFonts w:eastAsia="Calibri"/>
        </w:rPr>
        <w:t>A</w:t>
      </w:r>
      <w:r w:rsidR="00204506" w:rsidRPr="003014F4">
        <w:rPr>
          <w:rFonts w:eastAsia="Calibri"/>
        </w:rPr>
        <w:t xml:space="preserve">wareness of Indigenous </w:t>
      </w:r>
      <w:r w:rsidR="00B07A21">
        <w:rPr>
          <w:rFonts w:eastAsia="Calibri"/>
        </w:rPr>
        <w:t>C</w:t>
      </w:r>
      <w:r w:rsidR="00204506" w:rsidRPr="003014F4">
        <w:rPr>
          <w:rFonts w:eastAsia="Calibri"/>
        </w:rPr>
        <w:t>ulture</w:t>
      </w:r>
      <w:r w:rsidR="00B66848">
        <w:rPr>
          <w:rFonts w:eastAsia="Calibri"/>
        </w:rPr>
        <w:t>s</w:t>
      </w:r>
      <w:bookmarkEnd w:id="5"/>
    </w:p>
    <w:p w14:paraId="03F11B2A" w14:textId="67346D88" w:rsidR="00DE4DD8" w:rsidRPr="00FE3A5E" w:rsidRDefault="00DE4DD8" w:rsidP="00B61E0C">
      <w:pPr>
        <w:jc w:val="both"/>
      </w:pPr>
      <w:r w:rsidRPr="00FE3A5E">
        <w:t xml:space="preserve">The aim of </w:t>
      </w:r>
      <w:r w:rsidR="000C3AAA">
        <w:t>the</w:t>
      </w:r>
      <w:r w:rsidR="000C3AAA" w:rsidRPr="00FE3A5E">
        <w:t xml:space="preserve"> </w:t>
      </w:r>
      <w:r w:rsidRPr="00FE3A5E">
        <w:t xml:space="preserve">Indigenous Employment </w:t>
      </w:r>
      <w:r w:rsidR="000C3AAA">
        <w:t>element of the s</w:t>
      </w:r>
      <w:r w:rsidRPr="00FE3A5E">
        <w:t>trategy is to prioritise and increase representation of Indigenous employees within the Commission by offering entry pathways and career development opportunities.</w:t>
      </w:r>
      <w:r w:rsidR="00916979">
        <w:t xml:space="preserve"> We also seek to raise </w:t>
      </w:r>
      <w:r w:rsidR="00300F59">
        <w:t xml:space="preserve">the </w:t>
      </w:r>
      <w:r w:rsidR="00916979" w:rsidRPr="00FE3A5E">
        <w:t xml:space="preserve">awareness of </w:t>
      </w:r>
      <w:r w:rsidR="00300F59">
        <w:t xml:space="preserve">staff and Commissioners of </w:t>
      </w:r>
      <w:r w:rsidR="00916979" w:rsidRPr="00FE3A5E">
        <w:t>Indigenous culture</w:t>
      </w:r>
      <w:r w:rsidR="00B66848">
        <w:t>s</w:t>
      </w:r>
      <w:r w:rsidR="00916979" w:rsidRPr="00FE3A5E">
        <w:t>.</w:t>
      </w:r>
    </w:p>
    <w:p w14:paraId="01EC2C5E" w14:textId="1D3E78CB" w:rsidR="00DE4DD8" w:rsidRPr="00FE3A5E" w:rsidRDefault="00DE4DD8" w:rsidP="00B61E0C">
      <w:pPr>
        <w:jc w:val="both"/>
      </w:pPr>
      <w:r w:rsidRPr="00FE3A5E">
        <w:t xml:space="preserve">Consistent with the </w:t>
      </w:r>
      <w:hyperlink r:id="rId12" w:history="1">
        <w:r w:rsidRPr="00634F72">
          <w:rPr>
            <w:color w:val="003399"/>
            <w:u w:val="single"/>
          </w:rPr>
          <w:t>Commonwealth Aboriginal and Torres Strait Islander Employment Strategy</w:t>
        </w:r>
      </w:hyperlink>
      <w:r w:rsidRPr="00FE3A5E">
        <w:t xml:space="preserve">, we seek to increase Indigenous representation and </w:t>
      </w:r>
      <w:r w:rsidR="00DC6784">
        <w:t>are</w:t>
      </w:r>
      <w:r w:rsidRPr="00FE3A5E">
        <w:t xml:space="preserve"> committed to expanding the range of Indigenous employment opportunities, investing in developing the capability of Indigenous employees,</w:t>
      </w:r>
      <w:r w:rsidR="00916979">
        <w:t xml:space="preserve"> and</w:t>
      </w:r>
      <w:r w:rsidRPr="00FE3A5E">
        <w:t xml:space="preserve"> increasing the representation of Indigenous employees in senior roles</w:t>
      </w:r>
      <w:r w:rsidR="00916979">
        <w:t>.</w:t>
      </w:r>
    </w:p>
    <w:p w14:paraId="5C6ECC84" w14:textId="77777777" w:rsidR="00DE4DD8" w:rsidRPr="00FE3A5E" w:rsidRDefault="00DE4DD8" w:rsidP="00B61E0C">
      <w:pPr>
        <w:spacing w:after="0"/>
        <w:jc w:val="both"/>
      </w:pPr>
    </w:p>
    <w:p w14:paraId="5A4724BB" w14:textId="36FAFC60" w:rsidR="00DE4DD8" w:rsidRPr="00FE3A5E" w:rsidRDefault="00DE4DD8" w:rsidP="00B61E0C">
      <w:pPr>
        <w:pStyle w:val="Heading2"/>
        <w:jc w:val="both"/>
      </w:pPr>
      <w:bookmarkStart w:id="6" w:name="_Toc18393466"/>
      <w:r w:rsidRPr="00FE3A5E">
        <w:t>Culturally and Linguisti</w:t>
      </w:r>
      <w:r w:rsidR="005E5971">
        <w:t xml:space="preserve">cally Diverse / Multicultural </w:t>
      </w:r>
      <w:r w:rsidRPr="00FE3A5E">
        <w:t xml:space="preserve">Employment </w:t>
      </w:r>
      <w:bookmarkEnd w:id="6"/>
    </w:p>
    <w:p w14:paraId="711A8292" w14:textId="3427972F" w:rsidR="00B34754" w:rsidRDefault="00DE4DD8" w:rsidP="00B61E0C">
      <w:pPr>
        <w:jc w:val="both"/>
      </w:pPr>
      <w:r w:rsidRPr="00FE3A5E">
        <w:t>We aim to increase the representation of people from culturally and linguistically diverse (CALD) backgrounds, to value and embrace their skills, perspectives and experiences to build a more energetic and engaged workforce</w:t>
      </w:r>
      <w:r w:rsidR="00B34754" w:rsidRPr="00B34754">
        <w:t xml:space="preserve"> </w:t>
      </w:r>
      <w:r w:rsidR="00B34754" w:rsidRPr="00FE3A5E">
        <w:t>that reflects the diversity of Australian communities</w:t>
      </w:r>
      <w:r w:rsidRPr="00FE3A5E">
        <w:t xml:space="preserve">. </w:t>
      </w:r>
    </w:p>
    <w:p w14:paraId="7084CA08" w14:textId="0BD4719D" w:rsidR="00DE4DD8" w:rsidRPr="00FE3A5E" w:rsidRDefault="00DE4DD8" w:rsidP="00B61E0C">
      <w:pPr>
        <w:jc w:val="both"/>
      </w:pPr>
      <w:r w:rsidRPr="00FE3A5E">
        <w:t>We will celebrate the cultural and linguistic diversity of our people</w:t>
      </w:r>
      <w:r w:rsidR="00B34754">
        <w:t xml:space="preserve"> and</w:t>
      </w:r>
      <w:r w:rsidRPr="00FE3A5E">
        <w:t xml:space="preserve"> provide a culturally safe and inclusive work environment</w:t>
      </w:r>
      <w:r w:rsidR="00B34754">
        <w:t>,</w:t>
      </w:r>
      <w:r w:rsidRPr="00FE3A5E">
        <w:t xml:space="preserve"> in line with the </w:t>
      </w:r>
      <w:hyperlink r:id="rId13" w:history="1">
        <w:r w:rsidRPr="00634F72">
          <w:rPr>
            <w:color w:val="003399"/>
            <w:u w:val="single"/>
          </w:rPr>
          <w:t>Government’s Multicultural Access and Equity Policy</w:t>
        </w:r>
      </w:hyperlink>
      <w:r w:rsidRPr="00FE3A5E">
        <w:t>.</w:t>
      </w:r>
    </w:p>
    <w:p w14:paraId="39FC5E84" w14:textId="77777777" w:rsidR="008B72B8" w:rsidRPr="00FF08EE" w:rsidRDefault="008B72B8" w:rsidP="00B61E0C">
      <w:pPr>
        <w:spacing w:after="0"/>
        <w:jc w:val="both"/>
      </w:pPr>
    </w:p>
    <w:p w14:paraId="480B8418" w14:textId="31997F2C" w:rsidR="000C3AAA" w:rsidRDefault="00354F6A" w:rsidP="00B61E0C">
      <w:pPr>
        <w:pStyle w:val="Heading2"/>
        <w:jc w:val="both"/>
      </w:pPr>
      <w:bookmarkStart w:id="7" w:name="_Toc18393467"/>
      <w:r>
        <w:lastRenderedPageBreak/>
        <w:t>Planned Activities and Actions</w:t>
      </w:r>
      <w:bookmarkEnd w:id="7"/>
    </w:p>
    <w:p w14:paraId="7C8D3B4A" w14:textId="70174230" w:rsidR="000C3AAA" w:rsidRDefault="00B73D8D" w:rsidP="00B61E0C">
      <w:pPr>
        <w:jc w:val="both"/>
      </w:pPr>
      <w:r>
        <w:t>Some planned i</w:t>
      </w:r>
      <w:r w:rsidR="000C3AAA">
        <w:t xml:space="preserve">nitiatives to support this strategy are set out </w:t>
      </w:r>
      <w:r w:rsidR="00354F6A">
        <w:t xml:space="preserve">at Attachment </w:t>
      </w:r>
      <w:r w:rsidR="00B65D9B">
        <w:t>1</w:t>
      </w:r>
      <w:r w:rsidR="000C3AAA">
        <w:t xml:space="preserve">.  </w:t>
      </w:r>
    </w:p>
    <w:p w14:paraId="1E269C92" w14:textId="77777777" w:rsidR="00386E02" w:rsidRDefault="00B73D8D" w:rsidP="00B61E0C">
      <w:pPr>
        <w:jc w:val="both"/>
      </w:pPr>
      <w:r>
        <w:t>This not an exhaustive list –</w:t>
      </w:r>
      <w:r w:rsidR="003B224F">
        <w:t xml:space="preserve"> </w:t>
      </w:r>
      <w:r>
        <w:t xml:space="preserve">further actions and activities will be identified and implemented as opportunities arise, </w:t>
      </w:r>
      <w:r w:rsidR="003B224F">
        <w:t xml:space="preserve">including based on ideas from staff, </w:t>
      </w:r>
      <w:r>
        <w:t>subject to management endorsement and with consideration to resourcing and operational requirements.</w:t>
      </w:r>
      <w:r w:rsidR="003B224F">
        <w:t xml:space="preserve"> </w:t>
      </w:r>
    </w:p>
    <w:p w14:paraId="4243F1B5" w14:textId="4A51617C" w:rsidR="00B73D8D" w:rsidRDefault="003B224F" w:rsidP="00B61E0C">
      <w:pPr>
        <w:jc w:val="both"/>
      </w:pPr>
      <w:r>
        <w:t>Commission management is committed to considering and supporting staff-led events, initiatives and networks.</w:t>
      </w:r>
    </w:p>
    <w:p w14:paraId="0A0A2A00" w14:textId="5A8CAA45" w:rsidR="00DC0BEB" w:rsidRPr="000C3AAA" w:rsidRDefault="00DC0BEB" w:rsidP="00B61E0C">
      <w:pPr>
        <w:jc w:val="both"/>
      </w:pPr>
    </w:p>
    <w:p w14:paraId="2A2A7B42" w14:textId="77777777" w:rsidR="00DE4DD8" w:rsidRPr="00FE3A5E" w:rsidRDefault="00DE4DD8" w:rsidP="00B61E0C">
      <w:pPr>
        <w:pStyle w:val="Heading2"/>
        <w:jc w:val="both"/>
      </w:pPr>
      <w:bookmarkStart w:id="8" w:name="_Toc18393468"/>
      <w:r w:rsidRPr="00FE3A5E">
        <w:t>Monitoring and Reporting</w:t>
      </w:r>
      <w:bookmarkEnd w:id="8"/>
    </w:p>
    <w:p w14:paraId="3AC75570" w14:textId="77777777" w:rsidR="00DE4DD8" w:rsidRPr="00FF08EE" w:rsidRDefault="00DE4DD8" w:rsidP="00B61E0C">
      <w:pPr>
        <w:jc w:val="both"/>
      </w:pPr>
      <w:r w:rsidRPr="00FF08EE">
        <w:t>We will monitor our progress and provide progress reports to the Management Committee at the end of each financial year.</w:t>
      </w:r>
    </w:p>
    <w:p w14:paraId="16DD3C16" w14:textId="77777777" w:rsidR="00DE4DD8" w:rsidRPr="00FF08EE" w:rsidRDefault="00DE4DD8" w:rsidP="00B61E0C">
      <w:pPr>
        <w:jc w:val="both"/>
      </w:pPr>
      <w:r w:rsidRPr="00FF08EE">
        <w:t>The Assistant Commissioner, Corporate Services will provide:</w:t>
      </w:r>
    </w:p>
    <w:p w14:paraId="4056E46B" w14:textId="13E7A8E8" w:rsidR="00DE4DD8" w:rsidRPr="00FF08EE" w:rsidRDefault="00DE4DD8" w:rsidP="00B61E0C">
      <w:pPr>
        <w:pStyle w:val="ListBullet"/>
        <w:tabs>
          <w:tab w:val="clear" w:pos="360"/>
          <w:tab w:val="num" w:pos="720"/>
        </w:tabs>
        <w:jc w:val="both"/>
      </w:pPr>
      <w:r w:rsidRPr="00FF08EE">
        <w:t>annual reports on progress to the Management Committee</w:t>
      </w:r>
    </w:p>
    <w:p w14:paraId="6085C133" w14:textId="77777777" w:rsidR="00DE4DD8" w:rsidRPr="00FF08EE" w:rsidRDefault="00DE4DD8" w:rsidP="00B61E0C">
      <w:pPr>
        <w:pStyle w:val="ListBullet"/>
        <w:tabs>
          <w:tab w:val="clear" w:pos="360"/>
          <w:tab w:val="num" w:pos="720"/>
        </w:tabs>
        <w:jc w:val="both"/>
      </w:pPr>
      <w:r w:rsidRPr="00FF08EE">
        <w:t>input i</w:t>
      </w:r>
      <w:smartTag w:uri="urn:schemas-microsoft-com:office:smarttags" w:element="PersonName">
        <w:r w:rsidRPr="00FF08EE">
          <w:t>nt</w:t>
        </w:r>
      </w:smartTag>
      <w:r w:rsidRPr="00FF08EE">
        <w:t xml:space="preserve">o the </w:t>
      </w:r>
      <w:smartTag w:uri="urn:schemas-microsoft-com:office:smarttags" w:element="PersonName">
        <w:r w:rsidRPr="00FF08EE">
          <w:t>Australian</w:t>
        </w:r>
      </w:smartTag>
      <w:r w:rsidRPr="00FF08EE">
        <w:t xml:space="preserve"> Public Service Commissioner’s State of the Service Report</w:t>
      </w:r>
    </w:p>
    <w:p w14:paraId="0651A3B0" w14:textId="77777777" w:rsidR="00DE4DD8" w:rsidRPr="00FF08EE" w:rsidRDefault="00DE4DD8" w:rsidP="00B61E0C">
      <w:pPr>
        <w:pStyle w:val="ListBullet"/>
        <w:tabs>
          <w:tab w:val="clear" w:pos="360"/>
          <w:tab w:val="num" w:pos="720"/>
        </w:tabs>
        <w:jc w:val="both"/>
      </w:pPr>
      <w:r w:rsidRPr="00FF08EE">
        <w:t>relevant material for inclusion in the Productivity Commission’s Annual Repo</w:t>
      </w:r>
      <w:r w:rsidR="00D77582">
        <w:t>rt</w:t>
      </w:r>
    </w:p>
    <w:p w14:paraId="05014878" w14:textId="77777777" w:rsidR="00DE4DD8" w:rsidRPr="00FF08EE" w:rsidRDefault="00DE4DD8" w:rsidP="00B61E0C">
      <w:pPr>
        <w:pStyle w:val="ListBullet"/>
        <w:tabs>
          <w:tab w:val="clear" w:pos="360"/>
          <w:tab w:val="num" w:pos="720"/>
        </w:tabs>
        <w:jc w:val="both"/>
      </w:pPr>
      <w:r w:rsidRPr="00FF08EE">
        <w:t>all other reporting as required by the Government.</w:t>
      </w:r>
    </w:p>
    <w:p w14:paraId="1BB77AF2" w14:textId="39477711" w:rsidR="00DE4DD8" w:rsidRDefault="00DE4DD8" w:rsidP="00B61E0C">
      <w:pPr>
        <w:jc w:val="both"/>
      </w:pPr>
      <w:r w:rsidRPr="00FF08EE">
        <w:t xml:space="preserve">The effectiveness of this </w:t>
      </w:r>
      <w:r w:rsidR="00423457">
        <w:t xml:space="preserve">strategy and supporting </w:t>
      </w:r>
      <w:r w:rsidR="00354F6A">
        <w:t>activities</w:t>
      </w:r>
      <w:r w:rsidR="00423457" w:rsidRPr="00FF08EE">
        <w:t xml:space="preserve"> </w:t>
      </w:r>
      <w:r w:rsidRPr="00FF08EE">
        <w:t xml:space="preserve">will be reviewed by </w:t>
      </w:r>
      <w:r w:rsidR="00423457">
        <w:br/>
      </w:r>
      <w:r w:rsidRPr="00FF08EE">
        <w:t>31 December 202</w:t>
      </w:r>
      <w:r w:rsidR="00D77582">
        <w:t>2</w:t>
      </w:r>
      <w:r w:rsidRPr="00FF08EE">
        <w:t>, and an updated version put in place.</w:t>
      </w:r>
    </w:p>
    <w:p w14:paraId="680B69CF" w14:textId="18E71B32" w:rsidR="00B65D9B" w:rsidRDefault="00B65D9B" w:rsidP="00B61E0C">
      <w:pPr>
        <w:spacing w:line="259" w:lineRule="auto"/>
        <w:jc w:val="both"/>
      </w:pPr>
      <w:r>
        <w:br w:type="page"/>
      </w:r>
    </w:p>
    <w:p w14:paraId="750AFD57" w14:textId="1532EE9A" w:rsidR="00B65D9B" w:rsidRDefault="00B65D9B" w:rsidP="00386E02">
      <w:pPr>
        <w:pStyle w:val="Heading3"/>
        <w:jc w:val="right"/>
      </w:pPr>
      <w:r>
        <w:lastRenderedPageBreak/>
        <w:t>Attachment 1</w:t>
      </w:r>
    </w:p>
    <w:p w14:paraId="7A1D16DE" w14:textId="77777777" w:rsidR="004A3EAC" w:rsidRPr="00084FFC" w:rsidRDefault="004A3EAC" w:rsidP="00B61E0C">
      <w:pPr>
        <w:jc w:val="both"/>
      </w:pPr>
    </w:p>
    <w:p w14:paraId="41A5EAF1" w14:textId="47532772" w:rsidR="00B65D9B" w:rsidRDefault="00FF524E" w:rsidP="00B61E0C">
      <w:pPr>
        <w:pStyle w:val="Heading2"/>
        <w:jc w:val="both"/>
      </w:pPr>
      <w:bookmarkStart w:id="9" w:name="_Toc18393469"/>
      <w:r>
        <w:t xml:space="preserve">DRAFT – Planned </w:t>
      </w:r>
      <w:r w:rsidR="00B65D9B">
        <w:t>Actions and Activities to Support Workplace Diversity and Inclusion</w:t>
      </w:r>
      <w:bookmarkEnd w:id="9"/>
    </w:p>
    <w:p w14:paraId="21152CB9" w14:textId="6E77C584" w:rsidR="00B73D8D" w:rsidRDefault="00B73D8D" w:rsidP="00B61E0C">
      <w:pPr>
        <w:jc w:val="both"/>
      </w:pPr>
      <w:r>
        <w:t>Some planned a</w:t>
      </w:r>
      <w:r w:rsidR="006373AD">
        <w:t>ctions and activities to support workplace diversity and inclusion are listed below for each of the elements of our strategy.</w:t>
      </w:r>
      <w:r w:rsidRPr="00B73D8D">
        <w:t xml:space="preserve"> </w:t>
      </w:r>
    </w:p>
    <w:p w14:paraId="094866B9" w14:textId="6B93B73B" w:rsidR="006373AD" w:rsidRDefault="006373AD" w:rsidP="00B61E0C">
      <w:pPr>
        <w:jc w:val="both"/>
      </w:pPr>
      <w:r>
        <w:t>There are also some actions that apply across elements, including:</w:t>
      </w:r>
    </w:p>
    <w:p w14:paraId="3E88D0FB" w14:textId="66419565" w:rsidR="006373AD" w:rsidRPr="000658C8" w:rsidRDefault="006373AD" w:rsidP="00B61E0C">
      <w:pPr>
        <w:pStyle w:val="ListBullet"/>
        <w:tabs>
          <w:tab w:val="clear" w:pos="360"/>
          <w:tab w:val="num" w:pos="720"/>
        </w:tabs>
        <w:jc w:val="both"/>
      </w:pPr>
      <w:r w:rsidRPr="000658C8">
        <w:t>Reviewing recruitment practice, including actively promoting inclusivity in external recruitment and advertising</w:t>
      </w:r>
      <w:r w:rsidR="00766EB4">
        <w:t>, and addressing unconscious bias in recruitment</w:t>
      </w:r>
      <w:r w:rsidRPr="000658C8">
        <w:t xml:space="preserve">. </w:t>
      </w:r>
    </w:p>
    <w:p w14:paraId="531DB98D" w14:textId="03E14A79" w:rsidR="006373AD" w:rsidRDefault="006373AD" w:rsidP="00B61E0C">
      <w:pPr>
        <w:pStyle w:val="ListBullet"/>
        <w:tabs>
          <w:tab w:val="clear" w:pos="360"/>
          <w:tab w:val="num" w:pos="720"/>
        </w:tabs>
        <w:jc w:val="both"/>
      </w:pPr>
      <w:r w:rsidRPr="000658C8">
        <w:t>Providing training and/or developing resources</w:t>
      </w:r>
      <w:r w:rsidR="00836E5F">
        <w:t xml:space="preserve"> to support diversity</w:t>
      </w:r>
      <w:r w:rsidRPr="000658C8">
        <w:t>.</w:t>
      </w:r>
    </w:p>
    <w:p w14:paraId="7EFA022C" w14:textId="77F7EB43" w:rsidR="006B20B3" w:rsidRDefault="006B20B3" w:rsidP="00B61E0C">
      <w:pPr>
        <w:pStyle w:val="ListBullet"/>
        <w:tabs>
          <w:tab w:val="clear" w:pos="360"/>
          <w:tab w:val="num" w:pos="720"/>
        </w:tabs>
        <w:jc w:val="both"/>
      </w:pPr>
      <w:r>
        <w:t>Participating in APS-</w:t>
      </w:r>
      <w:r w:rsidR="00A418E1">
        <w:t xml:space="preserve">specific </w:t>
      </w:r>
      <w:r>
        <w:t xml:space="preserve">or community-wide </w:t>
      </w:r>
      <w:r w:rsidR="00A418E1">
        <w:t xml:space="preserve">diversity </w:t>
      </w:r>
      <w:r w:rsidR="0024024C">
        <w:t xml:space="preserve">networks </w:t>
      </w:r>
      <w:r w:rsidR="00A418E1">
        <w:t xml:space="preserve">and </w:t>
      </w:r>
      <w:r w:rsidR="0024024C">
        <w:t>events</w:t>
      </w:r>
      <w:r w:rsidR="00A418E1">
        <w:t>.</w:t>
      </w:r>
    </w:p>
    <w:p w14:paraId="6A6B4D4C" w14:textId="5ADA2D8E" w:rsidR="00836E5F" w:rsidRDefault="00836E5F" w:rsidP="00B61E0C">
      <w:pPr>
        <w:pStyle w:val="ListBullet"/>
        <w:tabs>
          <w:tab w:val="clear" w:pos="360"/>
          <w:tab w:val="num" w:pos="720"/>
        </w:tabs>
        <w:jc w:val="both"/>
      </w:pPr>
      <w:r w:rsidRPr="000658C8">
        <w:t>Supporting staff-led</w:t>
      </w:r>
      <w:r>
        <w:t xml:space="preserve"> diversity initiatives.</w:t>
      </w:r>
    </w:p>
    <w:p w14:paraId="331729D0" w14:textId="77777777" w:rsidR="003B0142" w:rsidRDefault="003B0142" w:rsidP="00B61E0C">
      <w:pPr>
        <w:pStyle w:val="ListBullet"/>
        <w:numPr>
          <w:ilvl w:val="0"/>
          <w:numId w:val="0"/>
        </w:numPr>
        <w:ind w:left="360"/>
        <w:jc w:val="both"/>
      </w:pPr>
    </w:p>
    <w:p w14:paraId="4997CADA" w14:textId="6CBB6CC1" w:rsidR="00B65D9B" w:rsidRDefault="00B65D9B" w:rsidP="00B61E0C">
      <w:pPr>
        <w:pStyle w:val="Heading3"/>
        <w:jc w:val="both"/>
      </w:pPr>
      <w:r>
        <w:t xml:space="preserve">Disability </w:t>
      </w:r>
      <w:r w:rsidR="00B07A21">
        <w:t>E</w:t>
      </w:r>
      <w:r>
        <w:t>mployment</w:t>
      </w:r>
    </w:p>
    <w:p w14:paraId="7AFCCFC1" w14:textId="75146DE9" w:rsidR="00B65D9B" w:rsidRPr="00B65D9B" w:rsidRDefault="00B65D9B" w:rsidP="00B61E0C">
      <w:pPr>
        <w:pStyle w:val="ListBullet"/>
        <w:tabs>
          <w:tab w:val="clear" w:pos="360"/>
          <w:tab w:val="num" w:pos="720"/>
        </w:tabs>
        <w:jc w:val="both"/>
      </w:pPr>
      <w:r w:rsidRPr="00B65D9B">
        <w:t>Ensuring recruitment and selection teams are disability aware and confident, and address unconscious bias</w:t>
      </w:r>
      <w:r w:rsidR="006373AD">
        <w:t>.</w:t>
      </w:r>
    </w:p>
    <w:p w14:paraId="1B933DA1" w14:textId="2BC97E74" w:rsidR="00B65D9B" w:rsidRPr="00B65D9B" w:rsidRDefault="00B65D9B" w:rsidP="00B61E0C">
      <w:pPr>
        <w:pStyle w:val="ListBullet"/>
        <w:tabs>
          <w:tab w:val="clear" w:pos="360"/>
          <w:tab w:val="num" w:pos="720"/>
        </w:tabs>
        <w:jc w:val="both"/>
      </w:pPr>
      <w:r w:rsidRPr="00B65D9B">
        <w:t>Including disability awareness principles in induction materials and management development</w:t>
      </w:r>
      <w:r w:rsidR="006373AD">
        <w:t>.</w:t>
      </w:r>
    </w:p>
    <w:p w14:paraId="55ECA476" w14:textId="313BFA8E" w:rsidR="00B65D9B" w:rsidRPr="00B65D9B" w:rsidRDefault="00B65D9B" w:rsidP="00B61E0C">
      <w:pPr>
        <w:pStyle w:val="ListBullet"/>
        <w:tabs>
          <w:tab w:val="clear" w:pos="360"/>
          <w:tab w:val="num" w:pos="720"/>
        </w:tabs>
        <w:jc w:val="both"/>
      </w:pPr>
      <w:r w:rsidRPr="00B65D9B">
        <w:t>Ensuring workplaces</w:t>
      </w:r>
      <w:r>
        <w:t xml:space="preserve"> are accessible</w:t>
      </w:r>
      <w:r w:rsidR="006373AD">
        <w:t>.</w:t>
      </w:r>
    </w:p>
    <w:p w14:paraId="179CE085" w14:textId="26845E84" w:rsidR="00B65D9B" w:rsidRDefault="00B65D9B" w:rsidP="00B61E0C">
      <w:pPr>
        <w:pStyle w:val="ListBullet"/>
        <w:tabs>
          <w:tab w:val="clear" w:pos="360"/>
          <w:tab w:val="num" w:pos="720"/>
        </w:tabs>
        <w:jc w:val="both"/>
      </w:pPr>
      <w:r w:rsidRPr="00B65D9B">
        <w:t>Providing support for managers and colle</w:t>
      </w:r>
      <w:r>
        <w:t xml:space="preserve">agues of </w:t>
      </w:r>
      <w:r w:rsidR="00B54947">
        <w:t>staff</w:t>
      </w:r>
      <w:r>
        <w:t xml:space="preserve"> with disability</w:t>
      </w:r>
      <w:r w:rsidR="006373AD">
        <w:t>.</w:t>
      </w:r>
    </w:p>
    <w:p w14:paraId="5C7B570F" w14:textId="77777777" w:rsidR="004C53B4" w:rsidRDefault="00023C39" w:rsidP="00B61E0C">
      <w:pPr>
        <w:pStyle w:val="ListBullet"/>
        <w:tabs>
          <w:tab w:val="clear" w:pos="360"/>
          <w:tab w:val="num" w:pos="720"/>
        </w:tabs>
        <w:jc w:val="both"/>
      </w:pPr>
      <w:r>
        <w:t xml:space="preserve">Making reasonable adjustments in a timely manner, </w:t>
      </w:r>
      <w:r w:rsidR="004C53B4">
        <w:t>and as</w:t>
      </w:r>
      <w:r>
        <w:t xml:space="preserve"> guided by medical advice</w:t>
      </w:r>
      <w:r w:rsidR="004C53B4">
        <w:t>.</w:t>
      </w:r>
    </w:p>
    <w:p w14:paraId="15A0DF09" w14:textId="0D7148EF" w:rsidR="007D40B2" w:rsidRDefault="004C53B4" w:rsidP="00B61E0C">
      <w:pPr>
        <w:pStyle w:val="ListBullet"/>
        <w:tabs>
          <w:tab w:val="clear" w:pos="360"/>
          <w:tab w:val="num" w:pos="720"/>
        </w:tabs>
        <w:jc w:val="both"/>
      </w:pPr>
      <w:r w:rsidRPr="003B0142">
        <w:t>Developing and implementing a workplace adjustment policy and procedure.</w:t>
      </w:r>
    </w:p>
    <w:p w14:paraId="6126EA2C" w14:textId="2B3095D6" w:rsidR="00B66848" w:rsidRDefault="00B66848" w:rsidP="00B61E0C">
      <w:pPr>
        <w:pStyle w:val="ListBullet"/>
        <w:tabs>
          <w:tab w:val="clear" w:pos="360"/>
          <w:tab w:val="num" w:pos="720"/>
        </w:tabs>
        <w:jc w:val="both"/>
      </w:pPr>
      <w:r>
        <w:t xml:space="preserve">Exploring opportunities to participate in </w:t>
      </w:r>
      <w:r w:rsidR="00300F59">
        <w:t xml:space="preserve">APS-wide and broader </w:t>
      </w:r>
      <w:r>
        <w:t>disability employment initiatives.</w:t>
      </w:r>
    </w:p>
    <w:p w14:paraId="1310C3AE" w14:textId="77777777" w:rsidR="00B54947" w:rsidRPr="00B54947" w:rsidRDefault="00B54947" w:rsidP="00B61E0C">
      <w:pPr>
        <w:pStyle w:val="ListBullet"/>
        <w:numPr>
          <w:ilvl w:val="0"/>
          <w:numId w:val="0"/>
        </w:numPr>
        <w:ind w:left="360"/>
        <w:jc w:val="both"/>
      </w:pPr>
    </w:p>
    <w:p w14:paraId="695EF82D" w14:textId="1F1532E9" w:rsidR="00B65D9B" w:rsidRDefault="00B65D9B" w:rsidP="00B61E0C">
      <w:pPr>
        <w:pStyle w:val="Heading3"/>
        <w:jc w:val="both"/>
      </w:pPr>
      <w:r>
        <w:t xml:space="preserve">Indigenous </w:t>
      </w:r>
      <w:r w:rsidR="00B07A21">
        <w:t>E</w:t>
      </w:r>
      <w:r>
        <w:t>mployment</w:t>
      </w:r>
      <w:r w:rsidR="00B73D8D">
        <w:t xml:space="preserve"> and</w:t>
      </w:r>
      <w:r w:rsidR="000658C8" w:rsidRPr="003014F4">
        <w:rPr>
          <w:rFonts w:eastAsia="Calibri"/>
        </w:rPr>
        <w:t xml:space="preserve"> </w:t>
      </w:r>
      <w:r w:rsidR="00B07A21">
        <w:rPr>
          <w:rFonts w:eastAsia="Calibri"/>
        </w:rPr>
        <w:t>Awareness of Indigenous C</w:t>
      </w:r>
      <w:r w:rsidR="000658C8" w:rsidRPr="003014F4">
        <w:rPr>
          <w:rFonts w:eastAsia="Calibri"/>
        </w:rPr>
        <w:t>ulture</w:t>
      </w:r>
      <w:r w:rsidR="00B66848">
        <w:rPr>
          <w:rFonts w:eastAsia="Calibri"/>
        </w:rPr>
        <w:t>s</w:t>
      </w:r>
    </w:p>
    <w:p w14:paraId="5BA63C61" w14:textId="3CDACD1F" w:rsidR="00B65D9B" w:rsidRPr="00B65D9B" w:rsidRDefault="00B65D9B" w:rsidP="00B61E0C">
      <w:pPr>
        <w:pStyle w:val="ListBullet"/>
        <w:tabs>
          <w:tab w:val="clear" w:pos="360"/>
          <w:tab w:val="num" w:pos="720"/>
        </w:tabs>
        <w:jc w:val="both"/>
      </w:pPr>
      <w:r w:rsidRPr="00B65D9B">
        <w:t xml:space="preserve">Offering Cultural </w:t>
      </w:r>
      <w:r>
        <w:t>Capability training to all staff</w:t>
      </w:r>
      <w:r w:rsidR="000658C8">
        <w:t>.</w:t>
      </w:r>
    </w:p>
    <w:p w14:paraId="7325BD55" w14:textId="4DC8AAD9" w:rsidR="00B65D9B" w:rsidRPr="00B65D9B" w:rsidRDefault="00B65D9B" w:rsidP="00B61E0C">
      <w:pPr>
        <w:pStyle w:val="ListBullet"/>
        <w:tabs>
          <w:tab w:val="clear" w:pos="360"/>
          <w:tab w:val="num" w:pos="720"/>
        </w:tabs>
        <w:jc w:val="both"/>
      </w:pPr>
      <w:r w:rsidRPr="00B65D9B">
        <w:t>Including cultural awareness pr</w:t>
      </w:r>
      <w:r w:rsidR="000658C8">
        <w:t>inciples in induction materials.</w:t>
      </w:r>
    </w:p>
    <w:p w14:paraId="74F492AA" w14:textId="264F31AF" w:rsidR="00B65D9B" w:rsidRPr="00B65D9B" w:rsidRDefault="00B65D9B" w:rsidP="00B61E0C">
      <w:pPr>
        <w:pStyle w:val="ListBullet"/>
        <w:tabs>
          <w:tab w:val="clear" w:pos="360"/>
          <w:tab w:val="num" w:pos="720"/>
        </w:tabs>
        <w:jc w:val="both"/>
      </w:pPr>
      <w:r w:rsidRPr="00B65D9B">
        <w:t xml:space="preserve">Pursuing opportunities for engagement and conversations with Aboriginal and Torres Strait Islander people, including around occasions such as </w:t>
      </w:r>
      <w:r w:rsidR="000658C8">
        <w:t>Reconciliation Week and NAIDOC W</w:t>
      </w:r>
      <w:r w:rsidRPr="00B65D9B">
        <w:t>eek, and participation in relevant conferences / events, with attendees sharing their experience with colleagues</w:t>
      </w:r>
      <w:r w:rsidR="000658C8">
        <w:t>.</w:t>
      </w:r>
    </w:p>
    <w:p w14:paraId="0BA76973" w14:textId="4731BACD" w:rsidR="00B65D9B" w:rsidRPr="00B65D9B" w:rsidRDefault="00B65D9B" w:rsidP="00B61E0C">
      <w:pPr>
        <w:pStyle w:val="ListBullet"/>
        <w:tabs>
          <w:tab w:val="clear" w:pos="360"/>
          <w:tab w:val="num" w:pos="720"/>
        </w:tabs>
        <w:jc w:val="both"/>
      </w:pPr>
      <w:r w:rsidRPr="00B65D9B">
        <w:t xml:space="preserve">Including an Acknowledgement of Country (as per our </w:t>
      </w:r>
      <w:hyperlink r:id="rId14" w:history="1">
        <w:r w:rsidRPr="00B65D9B">
          <w:t>guidelines</w:t>
        </w:r>
      </w:hyperlink>
      <w:r w:rsidRPr="00B65D9B">
        <w:t>) when hosting Commission events and meet</w:t>
      </w:r>
      <w:r>
        <w:t>ings with external participants</w:t>
      </w:r>
      <w:r w:rsidR="000658C8">
        <w:t>.</w:t>
      </w:r>
    </w:p>
    <w:p w14:paraId="0811597B" w14:textId="0FEF0F34" w:rsidR="00B65D9B" w:rsidRDefault="00B65D9B" w:rsidP="00B61E0C">
      <w:pPr>
        <w:pStyle w:val="ListBullet"/>
        <w:tabs>
          <w:tab w:val="clear" w:pos="360"/>
          <w:tab w:val="num" w:pos="720"/>
        </w:tabs>
        <w:jc w:val="both"/>
      </w:pPr>
      <w:r w:rsidRPr="00B65D9B">
        <w:t>Supporting employee participation in programs such as the Jawun APS Secondment Program, and the APSC’s Indigenous Employment Programs</w:t>
      </w:r>
      <w:r w:rsidR="000658C8">
        <w:t>.</w:t>
      </w:r>
    </w:p>
    <w:p w14:paraId="3949234E" w14:textId="77777777" w:rsidR="00B65D9B" w:rsidRPr="00B65D9B" w:rsidRDefault="00B65D9B" w:rsidP="00B61E0C">
      <w:pPr>
        <w:pStyle w:val="ListBullet"/>
        <w:tabs>
          <w:tab w:val="clear" w:pos="360"/>
          <w:tab w:val="num" w:pos="720"/>
        </w:tabs>
        <w:jc w:val="both"/>
      </w:pPr>
      <w:r w:rsidRPr="00B65D9B">
        <w:t>Expanding the number of pathways into the Commission, including by:</w:t>
      </w:r>
    </w:p>
    <w:p w14:paraId="45DC375C" w14:textId="7CD1059C" w:rsidR="00B65D9B" w:rsidRPr="00B65D9B" w:rsidRDefault="00B65D9B" w:rsidP="00B61E0C">
      <w:pPr>
        <w:pStyle w:val="ListBullet"/>
        <w:tabs>
          <w:tab w:val="clear" w:pos="360"/>
          <w:tab w:val="num" w:pos="1080"/>
        </w:tabs>
        <w:ind w:left="720"/>
        <w:jc w:val="both"/>
      </w:pPr>
      <w:r w:rsidRPr="00B65D9B">
        <w:t>secondments and transfers</w:t>
      </w:r>
      <w:r w:rsidR="00766EB4">
        <w:t>, including p</w:t>
      </w:r>
      <w:r w:rsidR="00766EB4" w:rsidRPr="00B65D9B">
        <w:t xml:space="preserve">articipating in structured mobility </w:t>
      </w:r>
      <w:r w:rsidR="00766EB4">
        <w:t>initiatives</w:t>
      </w:r>
      <w:r w:rsidR="00766EB4" w:rsidRPr="00766EB4">
        <w:t xml:space="preserve"> </w:t>
      </w:r>
      <w:r w:rsidR="00766EB4">
        <w:t xml:space="preserve">for </w:t>
      </w:r>
      <w:r w:rsidR="00766EB4" w:rsidRPr="00B65D9B">
        <w:t>Indigenous APS employees</w:t>
      </w:r>
    </w:p>
    <w:p w14:paraId="2C449DF6" w14:textId="77777777" w:rsidR="00B65D9B" w:rsidRPr="00B65D9B" w:rsidRDefault="00B65D9B" w:rsidP="00B61E0C">
      <w:pPr>
        <w:pStyle w:val="ListBullet"/>
        <w:tabs>
          <w:tab w:val="clear" w:pos="360"/>
          <w:tab w:val="num" w:pos="1080"/>
        </w:tabs>
        <w:ind w:left="720"/>
        <w:jc w:val="both"/>
      </w:pPr>
      <w:r w:rsidRPr="00B65D9B">
        <w:t xml:space="preserve">working with Indigenous employment service providers to reach Indigenous job seekers </w:t>
      </w:r>
    </w:p>
    <w:p w14:paraId="5F6CC287" w14:textId="77777777" w:rsidR="00B65D9B" w:rsidRPr="00B65D9B" w:rsidRDefault="00B65D9B" w:rsidP="00B61E0C">
      <w:pPr>
        <w:pStyle w:val="ListBullet"/>
        <w:tabs>
          <w:tab w:val="clear" w:pos="360"/>
          <w:tab w:val="num" w:pos="1080"/>
        </w:tabs>
        <w:ind w:left="720"/>
        <w:jc w:val="both"/>
      </w:pPr>
      <w:r w:rsidRPr="00B65D9B">
        <w:t>potential use of internships and/or cadetships for Economics students</w:t>
      </w:r>
    </w:p>
    <w:p w14:paraId="127B9092" w14:textId="6A6F9EEA" w:rsidR="00B65D9B" w:rsidRDefault="00B65D9B" w:rsidP="00B61E0C">
      <w:pPr>
        <w:pStyle w:val="ListBullet"/>
        <w:tabs>
          <w:tab w:val="clear" w:pos="360"/>
          <w:tab w:val="num" w:pos="1080"/>
        </w:tabs>
        <w:ind w:left="720"/>
        <w:jc w:val="both"/>
      </w:pPr>
      <w:r w:rsidRPr="00B65D9B">
        <w:t>participating in whole-of-Government Indigenous recruitment programmes to give Indigenous applicants the opportunity to be considered across a range of Commission positions (such as Corporate).</w:t>
      </w:r>
    </w:p>
    <w:p w14:paraId="158FE1C4" w14:textId="3724FD7A" w:rsidR="00B65D9B" w:rsidRDefault="00766EB4" w:rsidP="00B61E0C">
      <w:pPr>
        <w:pStyle w:val="ListBullet"/>
        <w:tabs>
          <w:tab w:val="clear" w:pos="360"/>
          <w:tab w:val="num" w:pos="720"/>
        </w:tabs>
        <w:jc w:val="both"/>
      </w:pPr>
      <w:r>
        <w:t>S</w:t>
      </w:r>
      <w:r w:rsidR="00B65D9B" w:rsidRPr="00B65D9B">
        <w:t>upporting development of networks of Indigenous staff</w:t>
      </w:r>
      <w:r w:rsidR="000658C8">
        <w:t>.</w:t>
      </w:r>
      <w:r w:rsidR="00B65D9B" w:rsidRPr="00B65D9B">
        <w:t xml:space="preserve">  </w:t>
      </w:r>
    </w:p>
    <w:p w14:paraId="4DAE8139" w14:textId="77777777" w:rsidR="003B0142" w:rsidRDefault="003B0142" w:rsidP="00B61E0C">
      <w:pPr>
        <w:pStyle w:val="ListBullet"/>
        <w:numPr>
          <w:ilvl w:val="0"/>
          <w:numId w:val="0"/>
        </w:numPr>
        <w:ind w:left="360" w:hanging="360"/>
        <w:jc w:val="both"/>
      </w:pPr>
    </w:p>
    <w:p w14:paraId="465B9513" w14:textId="167201A5" w:rsidR="00944DDD" w:rsidRPr="00944DDD" w:rsidRDefault="00944DDD" w:rsidP="00B61E0C">
      <w:pPr>
        <w:pStyle w:val="Heading3"/>
        <w:jc w:val="both"/>
        <w:rPr>
          <w:rFonts w:eastAsia="Calibri"/>
        </w:rPr>
      </w:pPr>
      <w:r w:rsidRPr="00944DDD">
        <w:rPr>
          <w:rFonts w:eastAsia="Calibri"/>
        </w:rPr>
        <w:lastRenderedPageBreak/>
        <w:t>Culturally and Linguistically Diverse</w:t>
      </w:r>
      <w:r w:rsidR="005E5971">
        <w:rPr>
          <w:rFonts w:eastAsia="Calibri"/>
        </w:rPr>
        <w:t xml:space="preserve"> / </w:t>
      </w:r>
      <w:r w:rsidR="00B07A21">
        <w:rPr>
          <w:rFonts w:eastAsia="Calibri"/>
        </w:rPr>
        <w:t>M</w:t>
      </w:r>
      <w:r w:rsidR="005E5971">
        <w:rPr>
          <w:rFonts w:eastAsia="Calibri"/>
        </w:rPr>
        <w:t>ulticultural</w:t>
      </w:r>
      <w:r w:rsidRPr="00944DDD">
        <w:rPr>
          <w:rFonts w:eastAsia="Calibri"/>
        </w:rPr>
        <w:t xml:space="preserve"> </w:t>
      </w:r>
      <w:r w:rsidR="00B07A21">
        <w:rPr>
          <w:rFonts w:eastAsia="Calibri"/>
        </w:rPr>
        <w:t>E</w:t>
      </w:r>
      <w:r w:rsidRPr="00944DDD">
        <w:rPr>
          <w:rFonts w:eastAsia="Calibri"/>
        </w:rPr>
        <w:t xml:space="preserve">mployment </w:t>
      </w:r>
      <w:r w:rsidR="005E5971">
        <w:rPr>
          <w:rFonts w:eastAsia="Calibri"/>
        </w:rPr>
        <w:t xml:space="preserve"> </w:t>
      </w:r>
    </w:p>
    <w:p w14:paraId="18898339" w14:textId="3DFA49B7" w:rsidR="000658C8" w:rsidRPr="000658C8" w:rsidRDefault="000658C8" w:rsidP="00B61E0C">
      <w:pPr>
        <w:pStyle w:val="ListBullet"/>
        <w:tabs>
          <w:tab w:val="clear" w:pos="360"/>
          <w:tab w:val="num" w:pos="720"/>
        </w:tabs>
        <w:jc w:val="both"/>
      </w:pPr>
      <w:r w:rsidRPr="000658C8">
        <w:t>Celebrating significant cultural days.</w:t>
      </w:r>
    </w:p>
    <w:p w14:paraId="34B9262D" w14:textId="138B34B5" w:rsidR="000658C8" w:rsidRDefault="000658C8" w:rsidP="00B61E0C">
      <w:pPr>
        <w:pStyle w:val="ListBullet"/>
        <w:tabs>
          <w:tab w:val="clear" w:pos="360"/>
          <w:tab w:val="num" w:pos="720"/>
        </w:tabs>
        <w:jc w:val="both"/>
      </w:pPr>
      <w:r w:rsidRPr="000658C8">
        <w:t>Providing access to tools and resources to support multicultural capability, awareness and understanding.</w:t>
      </w:r>
    </w:p>
    <w:p w14:paraId="3AA04239" w14:textId="09980A2B" w:rsidR="003B0142" w:rsidRPr="000658C8" w:rsidRDefault="00FF524E" w:rsidP="00B61E0C">
      <w:pPr>
        <w:pStyle w:val="ListBullet"/>
        <w:jc w:val="both"/>
      </w:pPr>
      <w:r>
        <w:t>Continuing to m</w:t>
      </w:r>
      <w:r w:rsidR="003B0142">
        <w:t xml:space="preserve">aintain our </w:t>
      </w:r>
      <w:r w:rsidR="00E3110D">
        <w:t xml:space="preserve">register of staff who speak a language other than English – noting that this is not designed to replace </w:t>
      </w:r>
      <w:r w:rsidR="00DC0BEB">
        <w:t xml:space="preserve">the need for </w:t>
      </w:r>
      <w:r w:rsidR="00E3110D">
        <w:t xml:space="preserve">accredited interpreters, but </w:t>
      </w:r>
      <w:r w:rsidR="00DC0BEB">
        <w:t xml:space="preserve">will </w:t>
      </w:r>
      <w:r w:rsidR="00E3110D">
        <w:t>enables staff to assist with some translation tasks</w:t>
      </w:r>
      <w:r w:rsidR="00DC0BEB">
        <w:t>.</w:t>
      </w:r>
      <w:r w:rsidR="003B0142">
        <w:t xml:space="preserve"> </w:t>
      </w:r>
    </w:p>
    <w:p w14:paraId="5E71B894" w14:textId="1EC67FF0" w:rsidR="000658C8" w:rsidRPr="000658C8" w:rsidRDefault="000658C8" w:rsidP="00B61E0C">
      <w:pPr>
        <w:pStyle w:val="ListBullet"/>
        <w:tabs>
          <w:tab w:val="clear" w:pos="360"/>
          <w:tab w:val="num" w:pos="720"/>
        </w:tabs>
        <w:jc w:val="both"/>
      </w:pPr>
      <w:r w:rsidRPr="000658C8">
        <w:t>Ensuring our EAP provider is culturally competent (e</w:t>
      </w:r>
      <w:r w:rsidR="00BB3C77">
        <w:t>.</w:t>
      </w:r>
      <w:r w:rsidRPr="000658C8">
        <w:t>g</w:t>
      </w:r>
      <w:r w:rsidR="00BB3C77">
        <w:t>.</w:t>
      </w:r>
      <w:r w:rsidRPr="000658C8">
        <w:t xml:space="preserve"> access to counselling in languages other than English).</w:t>
      </w:r>
    </w:p>
    <w:p w14:paraId="1F660A41" w14:textId="0E2F22DF" w:rsidR="000658C8" w:rsidRPr="000658C8" w:rsidRDefault="000658C8" w:rsidP="00B61E0C">
      <w:pPr>
        <w:pStyle w:val="ListBullet"/>
        <w:tabs>
          <w:tab w:val="clear" w:pos="360"/>
          <w:tab w:val="num" w:pos="720"/>
        </w:tabs>
        <w:jc w:val="both"/>
      </w:pPr>
      <w:r w:rsidRPr="000658C8">
        <w:t>Maintaining reflection rooms for staff to use for personal reflection, prayer or meditation.</w:t>
      </w:r>
    </w:p>
    <w:p w14:paraId="19334F96" w14:textId="77777777" w:rsidR="000658C8" w:rsidRDefault="000658C8" w:rsidP="00B61E0C">
      <w:pPr>
        <w:pStyle w:val="ListBullet"/>
        <w:numPr>
          <w:ilvl w:val="0"/>
          <w:numId w:val="0"/>
        </w:numPr>
        <w:tabs>
          <w:tab w:val="num" w:pos="720"/>
        </w:tabs>
        <w:jc w:val="both"/>
      </w:pPr>
    </w:p>
    <w:sectPr w:rsidR="000658C8" w:rsidSect="00D31CCE">
      <w:headerReference w:type="default" r:id="rId15"/>
      <w:footerReference w:type="default" r:id="rId16"/>
      <w:pgSz w:w="11906" w:h="16838"/>
      <w:pgMar w:top="1440" w:right="1440" w:bottom="1418" w:left="1440" w:header="709" w:footer="2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5038" w14:textId="77777777" w:rsidR="00B07A21" w:rsidRDefault="00B07A21" w:rsidP="003432B8">
      <w:r>
        <w:separator/>
      </w:r>
    </w:p>
  </w:endnote>
  <w:endnote w:type="continuationSeparator" w:id="0">
    <w:p w14:paraId="226BDBAC" w14:textId="77777777" w:rsidR="00B07A21" w:rsidRDefault="00B07A21" w:rsidP="003432B8">
      <w:r>
        <w:continuationSeparator/>
      </w:r>
    </w:p>
  </w:endnote>
  <w:endnote w:type="continuationNotice" w:id="1">
    <w:p w14:paraId="454D5E42" w14:textId="77777777" w:rsidR="00B07A21" w:rsidRDefault="00B07A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52D9" w14:textId="28CAB6EA" w:rsidR="00B07A21" w:rsidRPr="00234CA3" w:rsidRDefault="00B07A21" w:rsidP="003432B8">
    <w:pPr>
      <w:pStyle w:val="Footer"/>
    </w:pPr>
    <w:r w:rsidRPr="00234CA3">
      <w:t xml:space="preserve">Last modified - </w:t>
    </w:r>
    <w:r>
      <w:fldChar w:fldCharType="begin"/>
    </w:r>
    <w:r>
      <w:instrText xml:space="preserve"> DATE \@ "d MMMM yyyy" </w:instrText>
    </w:r>
    <w:r>
      <w:fldChar w:fldCharType="separate"/>
    </w:r>
    <w:r w:rsidR="00A51380">
      <w:rPr>
        <w:noProof/>
      </w:rPr>
      <w:t>10 February 2020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526E" w14:textId="77777777" w:rsidR="00B07A21" w:rsidRDefault="00B07A21" w:rsidP="00A420CE">
    <w:pPr>
      <w:pStyle w:val="Footer"/>
      <w:pBdr>
        <w:bottom w:val="single" w:sz="18" w:space="1" w:color="78A22F" w:themeColor="accent1"/>
      </w:pBdr>
      <w:tabs>
        <w:tab w:val="clear" w:pos="9026"/>
      </w:tabs>
      <w:ind w:left="-1418" w:right="-1440"/>
    </w:pPr>
  </w:p>
  <w:p w14:paraId="23D42439" w14:textId="77777777" w:rsidR="00B07A21" w:rsidRPr="00A034AB" w:rsidRDefault="00B07A21" w:rsidP="00A420CE">
    <w:pPr>
      <w:pStyle w:val="Footer"/>
      <w:tabs>
        <w:tab w:val="clear" w:pos="9026"/>
      </w:tabs>
      <w:ind w:left="-1418" w:right="-1440"/>
    </w:pP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7"/>
      <w:gridCol w:w="369"/>
    </w:tblGrid>
    <w:tr w:rsidR="00B07A21" w14:paraId="587F62D5" w14:textId="77777777" w:rsidTr="00DE4DD8">
      <w:trPr>
        <w:jc w:val="right"/>
      </w:trPr>
      <w:tc>
        <w:tcPr>
          <w:tcW w:w="8647" w:type="dxa"/>
        </w:tcPr>
        <w:p w14:paraId="38094561" w14:textId="2706556A" w:rsidR="00B07A21" w:rsidRDefault="00B07A21" w:rsidP="00A420CE">
          <w:pPr>
            <w:pStyle w:val="Footer"/>
          </w:pPr>
        </w:p>
      </w:tc>
      <w:tc>
        <w:tcPr>
          <w:tcW w:w="369" w:type="dxa"/>
          <w:vAlign w:val="center"/>
        </w:tcPr>
        <w:p w14:paraId="56B77E91" w14:textId="77777777" w:rsidR="00B07A21" w:rsidRDefault="00B07A21" w:rsidP="00A420CE">
          <w:r w:rsidRPr="00F05826">
            <w:fldChar w:fldCharType="begin"/>
          </w:r>
          <w:r w:rsidRPr="00F05826">
            <w:instrText xml:space="preserve"> PAGE   \* MERGEFORMAT </w:instrText>
          </w:r>
          <w:r w:rsidRPr="00F05826">
            <w:fldChar w:fldCharType="separate"/>
          </w:r>
          <w:r w:rsidR="00777E4B">
            <w:rPr>
              <w:noProof/>
            </w:rPr>
            <w:t>6</w:t>
          </w:r>
          <w:r w:rsidRPr="00F05826">
            <w:rPr>
              <w:noProof/>
            </w:rPr>
            <w:fldChar w:fldCharType="end"/>
          </w:r>
        </w:p>
      </w:tc>
    </w:tr>
  </w:tbl>
  <w:p w14:paraId="29FF5D45" w14:textId="77777777" w:rsidR="00B07A21" w:rsidRPr="00666754" w:rsidRDefault="00B07A21" w:rsidP="00A42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ED25" w14:textId="77777777" w:rsidR="00B07A21" w:rsidRDefault="00B07A21" w:rsidP="003432B8">
      <w:r>
        <w:separator/>
      </w:r>
    </w:p>
  </w:footnote>
  <w:footnote w:type="continuationSeparator" w:id="0">
    <w:p w14:paraId="7E761871" w14:textId="77777777" w:rsidR="00B07A21" w:rsidRDefault="00B07A21" w:rsidP="003432B8">
      <w:r>
        <w:continuationSeparator/>
      </w:r>
    </w:p>
  </w:footnote>
  <w:footnote w:type="continuationNotice" w:id="1">
    <w:p w14:paraId="2FD65DDB" w14:textId="77777777" w:rsidR="00B07A21" w:rsidRDefault="00B07A2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8658" w14:textId="370E8084" w:rsidR="00B07A21" w:rsidRDefault="00EE171A" w:rsidP="003432B8">
    <w:r>
      <w:rPr>
        <w:noProof/>
        <w:lang w:eastAsia="en-AU"/>
      </w:rPr>
      <w:drawing>
        <wp:inline distT="0" distB="0" distL="0" distR="0" wp14:anchorId="426508EB" wp14:editId="71DAD6CA">
          <wp:extent cx="2644614" cy="64003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ivity Com Logo 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9095" cy="655640"/>
                  </a:xfrm>
                  <a:prstGeom prst="rect">
                    <a:avLst/>
                  </a:prstGeom>
                </pic:spPr>
              </pic:pic>
            </a:graphicData>
          </a:graphic>
        </wp:inline>
      </w:drawing>
    </w:r>
    <w:r w:rsidR="00B07A21">
      <w:rPr>
        <w:noProof/>
        <w:lang w:eastAsia="en-AU"/>
      </w:rPr>
      <w:drawing>
        <wp:anchor distT="0" distB="0" distL="114300" distR="114300" simplePos="0" relativeHeight="251657728" behindDoc="1" locked="0" layoutInCell="1" allowOverlap="1" wp14:anchorId="6FF5B26B" wp14:editId="4E1EB8AD">
          <wp:simplePos x="0" y="0"/>
          <wp:positionH relativeFrom="column">
            <wp:posOffset>-914400</wp:posOffset>
          </wp:positionH>
          <wp:positionV relativeFrom="paragraph">
            <wp:posOffset>-474345</wp:posOffset>
          </wp:positionV>
          <wp:extent cx="7573010" cy="10687685"/>
          <wp:effectExtent l="0" t="0" r="8890" b="0"/>
          <wp:wrapNone/>
          <wp:docPr id="1" name="Picture 1" descr="PC template_long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template_long word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A716" w14:textId="77777777" w:rsidR="00B07A21" w:rsidRPr="009C74D5" w:rsidRDefault="00B07A21" w:rsidP="003432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AE74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CA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FE7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742C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FEA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A66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F0E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CC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2C0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7CEE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4119EF"/>
    <w:multiLevelType w:val="hybridMultilevel"/>
    <w:tmpl w:val="0AA4AA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1A167A9A"/>
    <w:multiLevelType w:val="multilevel"/>
    <w:tmpl w:val="505C3626"/>
    <w:lvl w:ilvl="0">
      <w:start w:val="1"/>
      <w:numFmt w:val="decimal"/>
      <w:lvlText w:val="%1."/>
      <w:lvlJc w:val="left"/>
      <w:pPr>
        <w:ind w:left="360" w:hanging="360"/>
      </w:pPr>
    </w:lvl>
    <w:lvl w:ilvl="1">
      <w:start w:val="1"/>
      <w:numFmt w:val="decimal"/>
      <w:lvlText w:val="%1.%2."/>
      <w:lvlJc w:val="left"/>
      <w:pPr>
        <w:ind w:left="2985" w:hanging="432"/>
      </w:pPr>
    </w:lvl>
    <w:lvl w:ilvl="2">
      <w:start w:val="1"/>
      <w:numFmt w:val="decimal"/>
      <w:lvlText w:val="%1.%2.%3."/>
      <w:lvlJc w:val="left"/>
      <w:pPr>
        <w:ind w:left="447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E65EF5"/>
    <w:multiLevelType w:val="hybridMultilevel"/>
    <w:tmpl w:val="73341400"/>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14" w15:restartNumberingAfterBreak="0">
    <w:nsid w:val="2CA02914"/>
    <w:multiLevelType w:val="hybridMultilevel"/>
    <w:tmpl w:val="2CA6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D5DC8"/>
    <w:multiLevelType w:val="hybridMultilevel"/>
    <w:tmpl w:val="2D0C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26657C"/>
    <w:multiLevelType w:val="hybridMultilevel"/>
    <w:tmpl w:val="139A7DEE"/>
    <w:lvl w:ilvl="0" w:tplc="0C090001">
      <w:start w:val="1"/>
      <w:numFmt w:val="bullet"/>
      <w:lvlText w:val=""/>
      <w:lvlJc w:val="left"/>
      <w:pPr>
        <w:ind w:left="2709" w:hanging="360"/>
      </w:pPr>
      <w:rPr>
        <w:rFonts w:ascii="Symbol" w:hAnsi="Symbol" w:hint="default"/>
      </w:rPr>
    </w:lvl>
    <w:lvl w:ilvl="1" w:tplc="0C090003">
      <w:start w:val="1"/>
      <w:numFmt w:val="bullet"/>
      <w:lvlText w:val="o"/>
      <w:lvlJc w:val="left"/>
      <w:pPr>
        <w:ind w:left="3429" w:hanging="360"/>
      </w:pPr>
      <w:rPr>
        <w:rFonts w:ascii="Courier New" w:hAnsi="Courier New" w:cs="Courier New" w:hint="default"/>
      </w:rPr>
    </w:lvl>
    <w:lvl w:ilvl="2" w:tplc="0C090005" w:tentative="1">
      <w:start w:val="1"/>
      <w:numFmt w:val="bullet"/>
      <w:lvlText w:val=""/>
      <w:lvlJc w:val="left"/>
      <w:pPr>
        <w:ind w:left="4149" w:hanging="360"/>
      </w:pPr>
      <w:rPr>
        <w:rFonts w:ascii="Wingdings" w:hAnsi="Wingdings" w:hint="default"/>
      </w:rPr>
    </w:lvl>
    <w:lvl w:ilvl="3" w:tplc="0C090001" w:tentative="1">
      <w:start w:val="1"/>
      <w:numFmt w:val="bullet"/>
      <w:lvlText w:val=""/>
      <w:lvlJc w:val="left"/>
      <w:pPr>
        <w:ind w:left="4869" w:hanging="360"/>
      </w:pPr>
      <w:rPr>
        <w:rFonts w:ascii="Symbol" w:hAnsi="Symbol" w:hint="default"/>
      </w:rPr>
    </w:lvl>
    <w:lvl w:ilvl="4" w:tplc="0C090003" w:tentative="1">
      <w:start w:val="1"/>
      <w:numFmt w:val="bullet"/>
      <w:lvlText w:val="o"/>
      <w:lvlJc w:val="left"/>
      <w:pPr>
        <w:ind w:left="5589" w:hanging="360"/>
      </w:pPr>
      <w:rPr>
        <w:rFonts w:ascii="Courier New" w:hAnsi="Courier New" w:cs="Courier New" w:hint="default"/>
      </w:rPr>
    </w:lvl>
    <w:lvl w:ilvl="5" w:tplc="0C090005" w:tentative="1">
      <w:start w:val="1"/>
      <w:numFmt w:val="bullet"/>
      <w:lvlText w:val=""/>
      <w:lvlJc w:val="left"/>
      <w:pPr>
        <w:ind w:left="6309" w:hanging="360"/>
      </w:pPr>
      <w:rPr>
        <w:rFonts w:ascii="Wingdings" w:hAnsi="Wingdings" w:hint="default"/>
      </w:rPr>
    </w:lvl>
    <w:lvl w:ilvl="6" w:tplc="0C090001" w:tentative="1">
      <w:start w:val="1"/>
      <w:numFmt w:val="bullet"/>
      <w:lvlText w:val=""/>
      <w:lvlJc w:val="left"/>
      <w:pPr>
        <w:ind w:left="7029" w:hanging="360"/>
      </w:pPr>
      <w:rPr>
        <w:rFonts w:ascii="Symbol" w:hAnsi="Symbol" w:hint="default"/>
      </w:rPr>
    </w:lvl>
    <w:lvl w:ilvl="7" w:tplc="0C090003" w:tentative="1">
      <w:start w:val="1"/>
      <w:numFmt w:val="bullet"/>
      <w:lvlText w:val="o"/>
      <w:lvlJc w:val="left"/>
      <w:pPr>
        <w:ind w:left="7749" w:hanging="360"/>
      </w:pPr>
      <w:rPr>
        <w:rFonts w:ascii="Courier New" w:hAnsi="Courier New" w:cs="Courier New" w:hint="default"/>
      </w:rPr>
    </w:lvl>
    <w:lvl w:ilvl="8" w:tplc="0C090005" w:tentative="1">
      <w:start w:val="1"/>
      <w:numFmt w:val="bullet"/>
      <w:lvlText w:val=""/>
      <w:lvlJc w:val="left"/>
      <w:pPr>
        <w:ind w:left="8469" w:hanging="360"/>
      </w:pPr>
      <w:rPr>
        <w:rFonts w:ascii="Wingdings" w:hAnsi="Wingdings" w:hint="default"/>
      </w:rPr>
    </w:lvl>
  </w:abstractNum>
  <w:abstractNum w:abstractNumId="17" w15:restartNumberingAfterBreak="0">
    <w:nsid w:val="498F2C24"/>
    <w:multiLevelType w:val="hybridMultilevel"/>
    <w:tmpl w:val="3678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8545D"/>
    <w:multiLevelType w:val="hybridMultilevel"/>
    <w:tmpl w:val="82F67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ED0974"/>
    <w:multiLevelType w:val="hybridMultilevel"/>
    <w:tmpl w:val="A4303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6"/>
  </w:num>
  <w:num w:numId="16">
    <w:abstractNumId w:val="17"/>
  </w:num>
  <w:num w:numId="17">
    <w:abstractNumId w:val="15"/>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9"/>
  </w:num>
  <w:num w:numId="25">
    <w:abstractNumId w:val="18"/>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7F"/>
    <w:rsid w:val="00023C39"/>
    <w:rsid w:val="00056EB2"/>
    <w:rsid w:val="000658C8"/>
    <w:rsid w:val="00084FFC"/>
    <w:rsid w:val="00095C1A"/>
    <w:rsid w:val="000B17AF"/>
    <w:rsid w:val="000B6A5F"/>
    <w:rsid w:val="000C3AAA"/>
    <w:rsid w:val="000C53B5"/>
    <w:rsid w:val="001050D6"/>
    <w:rsid w:val="001162BE"/>
    <w:rsid w:val="001171E7"/>
    <w:rsid w:val="00130C43"/>
    <w:rsid w:val="0016230F"/>
    <w:rsid w:val="001A5699"/>
    <w:rsid w:val="001A5911"/>
    <w:rsid w:val="001C45B1"/>
    <w:rsid w:val="001D6A23"/>
    <w:rsid w:val="001E5D99"/>
    <w:rsid w:val="002000D7"/>
    <w:rsid w:val="00200884"/>
    <w:rsid w:val="00204506"/>
    <w:rsid w:val="00207654"/>
    <w:rsid w:val="00217D3D"/>
    <w:rsid w:val="0022300E"/>
    <w:rsid w:val="00223DD9"/>
    <w:rsid w:val="00224BB7"/>
    <w:rsid w:val="00234CA3"/>
    <w:rsid w:val="0024024C"/>
    <w:rsid w:val="0028142E"/>
    <w:rsid w:val="002B43DC"/>
    <w:rsid w:val="002B634B"/>
    <w:rsid w:val="00300F59"/>
    <w:rsid w:val="00320BAB"/>
    <w:rsid w:val="003432B8"/>
    <w:rsid w:val="00354F6A"/>
    <w:rsid w:val="003827C0"/>
    <w:rsid w:val="00386E02"/>
    <w:rsid w:val="003A67F6"/>
    <w:rsid w:val="003B0142"/>
    <w:rsid w:val="003B224F"/>
    <w:rsid w:val="003E6ECF"/>
    <w:rsid w:val="00423457"/>
    <w:rsid w:val="004235E3"/>
    <w:rsid w:val="004917A3"/>
    <w:rsid w:val="004A3EAC"/>
    <w:rsid w:val="004C53B4"/>
    <w:rsid w:val="004C58CE"/>
    <w:rsid w:val="004D0B83"/>
    <w:rsid w:val="004E0F6C"/>
    <w:rsid w:val="0050477F"/>
    <w:rsid w:val="00504FD1"/>
    <w:rsid w:val="00515ECA"/>
    <w:rsid w:val="005327E2"/>
    <w:rsid w:val="00535950"/>
    <w:rsid w:val="0057031D"/>
    <w:rsid w:val="00586284"/>
    <w:rsid w:val="005B382F"/>
    <w:rsid w:val="005C6ED9"/>
    <w:rsid w:val="005E5971"/>
    <w:rsid w:val="0060308A"/>
    <w:rsid w:val="00621C61"/>
    <w:rsid w:val="00634F72"/>
    <w:rsid w:val="006373AD"/>
    <w:rsid w:val="00642989"/>
    <w:rsid w:val="006849F7"/>
    <w:rsid w:val="00691409"/>
    <w:rsid w:val="0069647B"/>
    <w:rsid w:val="006A0707"/>
    <w:rsid w:val="006A18B2"/>
    <w:rsid w:val="006B20B3"/>
    <w:rsid w:val="006B6259"/>
    <w:rsid w:val="006C116B"/>
    <w:rsid w:val="006D22C9"/>
    <w:rsid w:val="00720841"/>
    <w:rsid w:val="00766EB4"/>
    <w:rsid w:val="00777E4B"/>
    <w:rsid w:val="007D05B1"/>
    <w:rsid w:val="007D40B2"/>
    <w:rsid w:val="007E30F3"/>
    <w:rsid w:val="007F4641"/>
    <w:rsid w:val="0083250C"/>
    <w:rsid w:val="00836E5F"/>
    <w:rsid w:val="00853981"/>
    <w:rsid w:val="00865169"/>
    <w:rsid w:val="00893758"/>
    <w:rsid w:val="008946D8"/>
    <w:rsid w:val="008A5B4D"/>
    <w:rsid w:val="008A74E2"/>
    <w:rsid w:val="008B72B8"/>
    <w:rsid w:val="008C6615"/>
    <w:rsid w:val="008D0CE8"/>
    <w:rsid w:val="009017DF"/>
    <w:rsid w:val="00916979"/>
    <w:rsid w:val="009420D0"/>
    <w:rsid w:val="00944DDD"/>
    <w:rsid w:val="00955743"/>
    <w:rsid w:val="00991A93"/>
    <w:rsid w:val="009B11BD"/>
    <w:rsid w:val="009C74D5"/>
    <w:rsid w:val="009E06FA"/>
    <w:rsid w:val="009E33F6"/>
    <w:rsid w:val="00A1725D"/>
    <w:rsid w:val="00A418E1"/>
    <w:rsid w:val="00A420CE"/>
    <w:rsid w:val="00A51380"/>
    <w:rsid w:val="00A54F47"/>
    <w:rsid w:val="00A71020"/>
    <w:rsid w:val="00A8576D"/>
    <w:rsid w:val="00B07A21"/>
    <w:rsid w:val="00B34754"/>
    <w:rsid w:val="00B36BC5"/>
    <w:rsid w:val="00B46DA4"/>
    <w:rsid w:val="00B510FB"/>
    <w:rsid w:val="00B54947"/>
    <w:rsid w:val="00B61E0C"/>
    <w:rsid w:val="00B65D9B"/>
    <w:rsid w:val="00B66848"/>
    <w:rsid w:val="00B73D8D"/>
    <w:rsid w:val="00B87638"/>
    <w:rsid w:val="00B87F50"/>
    <w:rsid w:val="00BA3480"/>
    <w:rsid w:val="00BB3C77"/>
    <w:rsid w:val="00BF1659"/>
    <w:rsid w:val="00BF5771"/>
    <w:rsid w:val="00CA1D98"/>
    <w:rsid w:val="00CD7AF5"/>
    <w:rsid w:val="00CF0A8B"/>
    <w:rsid w:val="00D12822"/>
    <w:rsid w:val="00D20D1B"/>
    <w:rsid w:val="00D31CCE"/>
    <w:rsid w:val="00D36B81"/>
    <w:rsid w:val="00D657E9"/>
    <w:rsid w:val="00D77582"/>
    <w:rsid w:val="00DA2BED"/>
    <w:rsid w:val="00DA3418"/>
    <w:rsid w:val="00DC0BEB"/>
    <w:rsid w:val="00DC6784"/>
    <w:rsid w:val="00DE4DD8"/>
    <w:rsid w:val="00DE7249"/>
    <w:rsid w:val="00E3110D"/>
    <w:rsid w:val="00E512D9"/>
    <w:rsid w:val="00E528BC"/>
    <w:rsid w:val="00E73D91"/>
    <w:rsid w:val="00E86638"/>
    <w:rsid w:val="00EB02D2"/>
    <w:rsid w:val="00ED72E8"/>
    <w:rsid w:val="00ED7C09"/>
    <w:rsid w:val="00EE171A"/>
    <w:rsid w:val="00F05826"/>
    <w:rsid w:val="00F05D72"/>
    <w:rsid w:val="00F25916"/>
    <w:rsid w:val="00F3517F"/>
    <w:rsid w:val="00F551D0"/>
    <w:rsid w:val="00F67BC2"/>
    <w:rsid w:val="00F71B25"/>
    <w:rsid w:val="00F7587F"/>
    <w:rsid w:val="00F826D2"/>
    <w:rsid w:val="00FA52E9"/>
    <w:rsid w:val="00FD1CB8"/>
    <w:rsid w:val="00FE3A5E"/>
    <w:rsid w:val="00FF08EE"/>
    <w:rsid w:val="00FF5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2C0F262E"/>
  <w15:docId w15:val="{1EAEEB7D-74DD-4707-BFFB-058E032C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DD"/>
    <w:pPr>
      <w:spacing w:line="240" w:lineRule="auto"/>
    </w:pPr>
    <w:rPr>
      <w:rFonts w:ascii="Arial" w:hAnsi="Arial" w:cs="Arial"/>
    </w:rPr>
  </w:style>
  <w:style w:type="paragraph" w:styleId="Heading1">
    <w:name w:val="heading 1"/>
    <w:basedOn w:val="Normal"/>
    <w:next w:val="Normal"/>
    <w:link w:val="Heading1Char"/>
    <w:uiPriority w:val="9"/>
    <w:qFormat/>
    <w:rsid w:val="003E6ECF"/>
    <w:pPr>
      <w:keepNext/>
      <w:keepLines/>
      <w:spacing w:after="240"/>
      <w:outlineLvl w:val="0"/>
    </w:pPr>
    <w:rPr>
      <w:rFonts w:eastAsiaTheme="majorEastAsia"/>
      <w:color w:val="288BAE"/>
      <w:sz w:val="34"/>
      <w:szCs w:val="34"/>
    </w:rPr>
  </w:style>
  <w:style w:type="paragraph" w:styleId="Heading2">
    <w:name w:val="heading 2"/>
    <w:basedOn w:val="Normal"/>
    <w:next w:val="Normal"/>
    <w:link w:val="Heading2Char"/>
    <w:uiPriority w:val="9"/>
    <w:unhideWhenUsed/>
    <w:qFormat/>
    <w:rsid w:val="003E6ECF"/>
    <w:pPr>
      <w:keepNext/>
      <w:keepLines/>
      <w:spacing w:after="120"/>
      <w:outlineLvl w:val="1"/>
    </w:pPr>
    <w:rPr>
      <w:rFonts w:eastAsiaTheme="majorEastAsia"/>
      <w:color w:val="288BAE"/>
      <w:sz w:val="28"/>
      <w:szCs w:val="28"/>
    </w:rPr>
  </w:style>
  <w:style w:type="paragraph" w:styleId="Heading3">
    <w:name w:val="heading 3"/>
    <w:basedOn w:val="Normal"/>
    <w:next w:val="Normal"/>
    <w:link w:val="Heading3Char"/>
    <w:uiPriority w:val="9"/>
    <w:unhideWhenUsed/>
    <w:qFormat/>
    <w:rsid w:val="00E512D9"/>
    <w:pPr>
      <w:keepNext/>
      <w:keepLines/>
      <w:spacing w:after="120"/>
      <w:outlineLvl w:val="2"/>
    </w:pPr>
    <w:rPr>
      <w:rFonts w:eastAsiaTheme="majorEastAsia"/>
      <w:color w:val="288BAE"/>
      <w:sz w:val="24"/>
      <w:szCs w:val="24"/>
    </w:rPr>
  </w:style>
  <w:style w:type="paragraph" w:styleId="Heading4">
    <w:name w:val="heading 4"/>
    <w:basedOn w:val="Normal"/>
    <w:next w:val="Normal"/>
    <w:link w:val="Heading4Char"/>
    <w:uiPriority w:val="9"/>
    <w:unhideWhenUsed/>
    <w:qFormat/>
    <w:rsid w:val="00BA3480"/>
    <w:pPr>
      <w:keepNext/>
      <w:keepLines/>
      <w:spacing w:after="120"/>
      <w:outlineLvl w:val="3"/>
    </w:pPr>
    <w:rPr>
      <w:rFonts w:eastAsiaTheme="majorEastAsia"/>
      <w:b/>
      <w:iCs/>
    </w:rPr>
  </w:style>
  <w:style w:type="paragraph" w:styleId="Heading5">
    <w:name w:val="heading 5"/>
    <w:basedOn w:val="Normal"/>
    <w:next w:val="Normal"/>
    <w:link w:val="Heading5Char"/>
    <w:uiPriority w:val="9"/>
    <w:unhideWhenUsed/>
    <w:qFormat/>
    <w:rsid w:val="00BA3480"/>
    <w:pPr>
      <w:keepNext/>
      <w:keepLines/>
      <w:spacing w:after="60"/>
      <w:outlineLvl w:val="4"/>
    </w:pPr>
    <w:rPr>
      <w:rFonts w:eastAsiaTheme="majorEastAsia"/>
      <w:u w:val="single"/>
    </w:rPr>
  </w:style>
  <w:style w:type="paragraph" w:styleId="Heading6">
    <w:name w:val="heading 6"/>
    <w:basedOn w:val="Normal"/>
    <w:next w:val="Normal"/>
    <w:link w:val="Heading6Char"/>
    <w:uiPriority w:val="9"/>
    <w:unhideWhenUsed/>
    <w:rsid w:val="00BA3480"/>
    <w:pPr>
      <w:keepNext/>
      <w:keepLines/>
      <w:spacing w:after="60"/>
      <w:outlineLvl w:val="5"/>
    </w:pPr>
    <w:rPr>
      <w:rFonts w:eastAsiaTheme="majorEastAs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34CA3"/>
    <w:pPr>
      <w:tabs>
        <w:tab w:val="center" w:pos="4513"/>
        <w:tab w:val="right" w:pos="9026"/>
      </w:tabs>
      <w:spacing w:before="1860" w:after="0" w:line="240" w:lineRule="auto"/>
      <w:ind w:left="1843"/>
    </w:pPr>
    <w:rPr>
      <w:rFonts w:ascii="Arial" w:hAnsi="Arial"/>
      <w:color w:val="FFFFFF" w:themeColor="background1"/>
      <w:sz w:val="24"/>
      <w:szCs w:val="24"/>
    </w:rPr>
  </w:style>
  <w:style w:type="character" w:customStyle="1" w:styleId="HeaderChar">
    <w:name w:val="Header Char"/>
    <w:basedOn w:val="DefaultParagraphFont"/>
    <w:link w:val="Header"/>
    <w:uiPriority w:val="99"/>
    <w:rsid w:val="00234CA3"/>
    <w:rPr>
      <w:rFonts w:ascii="Arial" w:hAnsi="Arial"/>
      <w:color w:val="FFFFFF" w:themeColor="background1"/>
      <w:sz w:val="24"/>
      <w:szCs w:val="24"/>
    </w:rPr>
  </w:style>
  <w:style w:type="paragraph" w:styleId="Footer">
    <w:name w:val="footer"/>
    <w:basedOn w:val="Normal"/>
    <w:link w:val="FooterChar"/>
    <w:uiPriority w:val="99"/>
    <w:unhideWhenUsed/>
    <w:rsid w:val="00130C43"/>
    <w:pPr>
      <w:tabs>
        <w:tab w:val="center" w:pos="4513"/>
        <w:tab w:val="right" w:pos="9026"/>
      </w:tabs>
      <w:spacing w:after="0"/>
      <w:jc w:val="right"/>
    </w:pPr>
    <w:rPr>
      <w:color w:val="595959" w:themeColor="text1" w:themeTint="A6"/>
      <w:sz w:val="18"/>
      <w:szCs w:val="18"/>
    </w:rPr>
  </w:style>
  <w:style w:type="character" w:customStyle="1" w:styleId="FooterChar">
    <w:name w:val="Footer Char"/>
    <w:basedOn w:val="DefaultParagraphFont"/>
    <w:link w:val="Footer"/>
    <w:uiPriority w:val="99"/>
    <w:rsid w:val="00130C43"/>
    <w:rPr>
      <w:rFonts w:ascii="Arial" w:hAnsi="Arial"/>
      <w:color w:val="595959" w:themeColor="text1" w:themeTint="A6"/>
      <w:sz w:val="18"/>
      <w:szCs w:val="18"/>
    </w:rPr>
  </w:style>
  <w:style w:type="paragraph" w:styleId="ListParagraph">
    <w:name w:val="List Paragraph"/>
    <w:basedOn w:val="Normal"/>
    <w:uiPriority w:val="34"/>
    <w:qFormat/>
    <w:rsid w:val="005B382F"/>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34CA3"/>
    <w:pPr>
      <w:spacing w:before="192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F05D72"/>
    <w:pPr>
      <w:numPr>
        <w:ilvl w:val="1"/>
      </w:numPr>
      <w:spacing w:before="480" w:after="2160"/>
    </w:pPr>
    <w:rPr>
      <w:rFonts w:eastAsiaTheme="minorEastAsia"/>
      <w:sz w:val="34"/>
      <w:szCs w:val="34"/>
    </w:rPr>
  </w:style>
  <w:style w:type="character" w:customStyle="1" w:styleId="SubtitleChar">
    <w:name w:val="Subtitle Char"/>
    <w:basedOn w:val="DefaultParagraphFont"/>
    <w:link w:val="Subtitle"/>
    <w:uiPriority w:val="11"/>
    <w:rsid w:val="00F05D72"/>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9"/>
    <w:rsid w:val="003E6ECF"/>
    <w:rPr>
      <w:rFonts w:ascii="Arial" w:eastAsiaTheme="majorEastAsia" w:hAnsi="Arial" w:cs="Arial"/>
      <w:color w:val="288BAE"/>
      <w:sz w:val="34"/>
      <w:szCs w:val="34"/>
    </w:rPr>
  </w:style>
  <w:style w:type="character" w:customStyle="1" w:styleId="Heading2Char">
    <w:name w:val="Heading 2 Char"/>
    <w:basedOn w:val="DefaultParagraphFont"/>
    <w:link w:val="Heading2"/>
    <w:uiPriority w:val="9"/>
    <w:rsid w:val="003E6ECF"/>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9"/>
    <w:rsid w:val="00E512D9"/>
    <w:rPr>
      <w:rFonts w:ascii="Arial" w:eastAsiaTheme="majorEastAsia" w:hAnsi="Arial" w:cs="Arial"/>
      <w:color w:val="288BAE"/>
      <w:sz w:val="24"/>
      <w:szCs w:val="24"/>
    </w:rPr>
  </w:style>
  <w:style w:type="character" w:customStyle="1" w:styleId="Heading4Char">
    <w:name w:val="Heading 4 Char"/>
    <w:basedOn w:val="DefaultParagraphFont"/>
    <w:link w:val="Heading4"/>
    <w:uiPriority w:val="9"/>
    <w:rsid w:val="00BA3480"/>
    <w:rPr>
      <w:rFonts w:ascii="Arial" w:eastAsiaTheme="majorEastAsia" w:hAnsi="Arial" w:cs="Arial"/>
      <w:b/>
      <w:iCs/>
    </w:rPr>
  </w:style>
  <w:style w:type="character" w:customStyle="1" w:styleId="Heading5Char">
    <w:name w:val="Heading 5 Char"/>
    <w:basedOn w:val="DefaultParagraphFont"/>
    <w:link w:val="Heading5"/>
    <w:uiPriority w:val="9"/>
    <w:rsid w:val="00BA3480"/>
    <w:rPr>
      <w:rFonts w:ascii="Arial" w:eastAsiaTheme="majorEastAsia" w:hAnsi="Arial" w:cs="Arial"/>
      <w:u w:val="single"/>
    </w:rPr>
  </w:style>
  <w:style w:type="character" w:customStyle="1" w:styleId="Heading6Char">
    <w:name w:val="Heading 6 Char"/>
    <w:basedOn w:val="DefaultParagraphFont"/>
    <w:link w:val="Heading6"/>
    <w:uiPriority w:val="9"/>
    <w:rsid w:val="00BA3480"/>
    <w:rPr>
      <w:rFonts w:ascii="Arial" w:eastAsiaTheme="majorEastAsia" w:hAnsi="Arial" w:cs="Arial"/>
      <w:i/>
    </w:rPr>
  </w:style>
  <w:style w:type="paragraph" w:styleId="Quote">
    <w:name w:val="Quote"/>
    <w:basedOn w:val="Normal"/>
    <w:next w:val="Normal"/>
    <w:link w:val="QuoteChar"/>
    <w:uiPriority w:val="29"/>
    <w:qFormat/>
    <w:rsid w:val="003E6ECF"/>
    <w:pPr>
      <w:spacing w:before="160"/>
      <w:ind w:left="426" w:right="662"/>
    </w:pPr>
    <w:rPr>
      <w:i/>
      <w:iCs/>
      <w:color w:val="288BAE"/>
    </w:rPr>
  </w:style>
  <w:style w:type="character" w:customStyle="1" w:styleId="QuoteChar">
    <w:name w:val="Quote Char"/>
    <w:basedOn w:val="DefaultParagraphFont"/>
    <w:link w:val="Quote"/>
    <w:uiPriority w:val="29"/>
    <w:rsid w:val="003E6ECF"/>
    <w:rPr>
      <w:rFonts w:ascii="Arial" w:hAnsi="Arial" w:cs="Arial"/>
      <w:i/>
      <w:iCs/>
      <w:color w:val="288BAE"/>
    </w:rPr>
  </w:style>
  <w:style w:type="character" w:styleId="Emphasis">
    <w:name w:val="Emphasis"/>
    <w:uiPriority w:val="20"/>
    <w:qFormat/>
    <w:rsid w:val="00F551D0"/>
    <w:rPr>
      <w:rFonts w:cs="Arial"/>
      <w:i/>
    </w:rPr>
  </w:style>
  <w:style w:type="paragraph" w:styleId="TOCHeading">
    <w:name w:val="TOC Heading"/>
    <w:basedOn w:val="Heading1"/>
    <w:next w:val="Normal"/>
    <w:uiPriority w:val="39"/>
    <w:unhideWhenUsed/>
    <w:rsid w:val="00E512D9"/>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after="100"/>
    </w:pPr>
    <w:rPr>
      <w:b/>
      <w:noProof/>
    </w:rPr>
  </w:style>
  <w:style w:type="paragraph" w:styleId="TOC2">
    <w:name w:val="toc 2"/>
    <w:basedOn w:val="Normal"/>
    <w:next w:val="Normal"/>
    <w:autoRedefine/>
    <w:uiPriority w:val="39"/>
    <w:unhideWhenUsed/>
    <w:rsid w:val="00F05826"/>
    <w:pPr>
      <w:spacing w:after="100"/>
      <w:ind w:left="220"/>
    </w:pPr>
  </w:style>
  <w:style w:type="paragraph" w:styleId="TOC3">
    <w:name w:val="toc 3"/>
    <w:basedOn w:val="Normal"/>
    <w:next w:val="Normal"/>
    <w:autoRedefine/>
    <w:uiPriority w:val="39"/>
    <w:unhideWhenUsed/>
    <w:rsid w:val="00F05826"/>
    <w:pPr>
      <w:spacing w:after="100"/>
      <w:ind w:left="440"/>
    </w:pPr>
  </w:style>
  <w:style w:type="character" w:styleId="Hyperlink">
    <w:name w:val="Hyperlink"/>
    <w:basedOn w:val="DefaultParagraphFont"/>
    <w:uiPriority w:val="99"/>
    <w:unhideWhenUsed/>
    <w:rsid w:val="00F05826"/>
    <w:rPr>
      <w:color w:val="000000" w:themeColor="hyperlink"/>
      <w:u w:val="single"/>
    </w:rPr>
  </w:style>
  <w:style w:type="paragraph" w:styleId="ListBullet">
    <w:name w:val="List Bullet"/>
    <w:basedOn w:val="Normal"/>
    <w:uiPriority w:val="99"/>
    <w:unhideWhenUsed/>
    <w:rsid w:val="005B382F"/>
    <w:pPr>
      <w:numPr>
        <w:numId w:val="3"/>
      </w:numPr>
      <w:contextualSpacing/>
    </w:pPr>
  </w:style>
  <w:style w:type="paragraph" w:styleId="BalloonText">
    <w:name w:val="Balloon Text"/>
    <w:basedOn w:val="Normal"/>
    <w:link w:val="BalloonTextChar"/>
    <w:uiPriority w:val="99"/>
    <w:semiHidden/>
    <w:unhideWhenUsed/>
    <w:rsid w:val="00FD1C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B8"/>
    <w:rPr>
      <w:rFonts w:ascii="Tahoma" w:hAnsi="Tahoma" w:cs="Tahoma"/>
      <w:sz w:val="16"/>
      <w:szCs w:val="16"/>
    </w:rPr>
  </w:style>
  <w:style w:type="character" w:styleId="CommentReference">
    <w:name w:val="annotation reference"/>
    <w:basedOn w:val="DefaultParagraphFont"/>
    <w:rsid w:val="00DE4DD8"/>
    <w:rPr>
      <w:sz w:val="16"/>
      <w:szCs w:val="16"/>
    </w:rPr>
  </w:style>
  <w:style w:type="paragraph" w:styleId="CommentText">
    <w:name w:val="annotation text"/>
    <w:basedOn w:val="Normal"/>
    <w:link w:val="CommentTextChar"/>
    <w:rsid w:val="00DE4DD8"/>
    <w:pPr>
      <w:spacing w:after="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DE4DD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C6ED9"/>
    <w:pPr>
      <w:spacing w:after="160"/>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5C6ED9"/>
    <w:rPr>
      <w:rFonts w:ascii="Arial" w:eastAsia="Times New Roman" w:hAnsi="Arial" w:cs="Arial"/>
      <w:b/>
      <w:bCs/>
      <w:sz w:val="20"/>
      <w:szCs w:val="20"/>
      <w:lang w:eastAsia="en-AU"/>
    </w:rPr>
  </w:style>
  <w:style w:type="character" w:styleId="FollowedHyperlink">
    <w:name w:val="FollowedHyperlink"/>
    <w:basedOn w:val="DefaultParagraphFont"/>
    <w:uiPriority w:val="99"/>
    <w:semiHidden/>
    <w:unhideWhenUsed/>
    <w:rsid w:val="00621C61"/>
    <w:rPr>
      <w:color w:val="BFBFBF" w:themeColor="followedHyperlink"/>
      <w:u w:val="single"/>
    </w:rPr>
  </w:style>
  <w:style w:type="paragraph" w:styleId="Revision">
    <w:name w:val="Revision"/>
    <w:hidden/>
    <w:uiPriority w:val="99"/>
    <w:semiHidden/>
    <w:rsid w:val="00217D3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1399">
      <w:bodyDiv w:val="1"/>
      <w:marLeft w:val="0"/>
      <w:marRight w:val="0"/>
      <w:marTop w:val="0"/>
      <w:marBottom w:val="0"/>
      <w:divBdr>
        <w:top w:val="none" w:sz="0" w:space="0" w:color="auto"/>
        <w:left w:val="none" w:sz="0" w:space="0" w:color="auto"/>
        <w:bottom w:val="none" w:sz="0" w:space="0" w:color="auto"/>
        <w:right w:val="none" w:sz="0" w:space="0" w:color="auto"/>
      </w:divBdr>
      <w:divsChild>
        <w:div w:id="347097181">
          <w:marLeft w:val="0"/>
          <w:marRight w:val="0"/>
          <w:marTop w:val="0"/>
          <w:marBottom w:val="0"/>
          <w:divBdr>
            <w:top w:val="none" w:sz="0" w:space="0" w:color="auto"/>
            <w:left w:val="none" w:sz="0" w:space="0" w:color="auto"/>
            <w:bottom w:val="none" w:sz="0" w:space="0" w:color="auto"/>
            <w:right w:val="none" w:sz="0" w:space="0" w:color="auto"/>
          </w:divBdr>
          <w:divsChild>
            <w:div w:id="243417033">
              <w:marLeft w:val="0"/>
              <w:marRight w:val="0"/>
              <w:marTop w:val="0"/>
              <w:marBottom w:val="0"/>
              <w:divBdr>
                <w:top w:val="none" w:sz="0" w:space="0" w:color="auto"/>
                <w:left w:val="none" w:sz="0" w:space="0" w:color="auto"/>
                <w:bottom w:val="none" w:sz="0" w:space="0" w:color="auto"/>
                <w:right w:val="none" w:sz="0" w:space="0" w:color="auto"/>
              </w:divBdr>
              <w:divsChild>
                <w:div w:id="1425298752">
                  <w:marLeft w:val="0"/>
                  <w:marRight w:val="0"/>
                  <w:marTop w:val="0"/>
                  <w:marBottom w:val="0"/>
                  <w:divBdr>
                    <w:top w:val="none" w:sz="0" w:space="0" w:color="auto"/>
                    <w:left w:val="none" w:sz="0" w:space="0" w:color="auto"/>
                    <w:bottom w:val="none" w:sz="0" w:space="0" w:color="auto"/>
                    <w:right w:val="none" w:sz="0" w:space="0" w:color="auto"/>
                  </w:divBdr>
                  <w:divsChild>
                    <w:div w:id="2057779186">
                      <w:marLeft w:val="0"/>
                      <w:marRight w:val="0"/>
                      <w:marTop w:val="0"/>
                      <w:marBottom w:val="0"/>
                      <w:divBdr>
                        <w:top w:val="none" w:sz="0" w:space="0" w:color="auto"/>
                        <w:left w:val="none" w:sz="0" w:space="0" w:color="auto"/>
                        <w:bottom w:val="none" w:sz="0" w:space="0" w:color="auto"/>
                        <w:right w:val="none" w:sz="0" w:space="0" w:color="auto"/>
                      </w:divBdr>
                      <w:divsChild>
                        <w:div w:id="1003705216">
                          <w:marLeft w:val="0"/>
                          <w:marRight w:val="0"/>
                          <w:marTop w:val="0"/>
                          <w:marBottom w:val="0"/>
                          <w:divBdr>
                            <w:top w:val="none" w:sz="0" w:space="0" w:color="auto"/>
                            <w:left w:val="none" w:sz="0" w:space="0" w:color="auto"/>
                            <w:bottom w:val="none" w:sz="0" w:space="0" w:color="auto"/>
                            <w:right w:val="none" w:sz="0" w:space="0" w:color="auto"/>
                          </w:divBdr>
                          <w:divsChild>
                            <w:div w:id="436145464">
                              <w:marLeft w:val="0"/>
                              <w:marRight w:val="0"/>
                              <w:marTop w:val="0"/>
                              <w:marBottom w:val="0"/>
                              <w:divBdr>
                                <w:top w:val="none" w:sz="0" w:space="0" w:color="auto"/>
                                <w:left w:val="none" w:sz="0" w:space="0" w:color="auto"/>
                                <w:bottom w:val="none" w:sz="0" w:space="0" w:color="auto"/>
                                <w:right w:val="none" w:sz="0" w:space="0" w:color="auto"/>
                              </w:divBdr>
                              <w:divsChild>
                                <w:div w:id="480580189">
                                  <w:marLeft w:val="0"/>
                                  <w:marRight w:val="0"/>
                                  <w:marTop w:val="0"/>
                                  <w:marBottom w:val="0"/>
                                  <w:divBdr>
                                    <w:top w:val="none" w:sz="0" w:space="0" w:color="auto"/>
                                    <w:left w:val="none" w:sz="0" w:space="0" w:color="auto"/>
                                    <w:bottom w:val="none" w:sz="0" w:space="0" w:color="auto"/>
                                    <w:right w:val="none" w:sz="0" w:space="0" w:color="auto"/>
                                  </w:divBdr>
                                  <w:divsChild>
                                    <w:div w:id="2032878554">
                                      <w:marLeft w:val="3300"/>
                                      <w:marRight w:val="0"/>
                                      <w:marTop w:val="0"/>
                                      <w:marBottom w:val="0"/>
                                      <w:divBdr>
                                        <w:top w:val="none" w:sz="0" w:space="0" w:color="auto"/>
                                        <w:left w:val="none" w:sz="0" w:space="0" w:color="auto"/>
                                        <w:bottom w:val="none" w:sz="0" w:space="0" w:color="auto"/>
                                        <w:right w:val="none" w:sz="0" w:space="0" w:color="auto"/>
                                      </w:divBdr>
                                      <w:divsChild>
                                        <w:div w:id="1866672351">
                                          <w:marLeft w:val="0"/>
                                          <w:marRight w:val="0"/>
                                          <w:marTop w:val="0"/>
                                          <w:marBottom w:val="0"/>
                                          <w:divBdr>
                                            <w:top w:val="none" w:sz="0" w:space="0" w:color="auto"/>
                                            <w:left w:val="none" w:sz="0" w:space="0" w:color="auto"/>
                                            <w:bottom w:val="none" w:sz="0" w:space="0" w:color="auto"/>
                                            <w:right w:val="none" w:sz="0" w:space="0" w:color="auto"/>
                                          </w:divBdr>
                                          <w:divsChild>
                                            <w:div w:id="1657958086">
                                              <w:marLeft w:val="0"/>
                                              <w:marRight w:val="0"/>
                                              <w:marTop w:val="0"/>
                                              <w:marBottom w:val="0"/>
                                              <w:divBdr>
                                                <w:top w:val="none" w:sz="0" w:space="0" w:color="auto"/>
                                                <w:left w:val="none" w:sz="0" w:space="0" w:color="auto"/>
                                                <w:bottom w:val="none" w:sz="0" w:space="0" w:color="auto"/>
                                                <w:right w:val="none" w:sz="0" w:space="0" w:color="auto"/>
                                              </w:divBdr>
                                              <w:divsChild>
                                                <w:div w:id="660425516">
                                                  <w:marLeft w:val="0"/>
                                                  <w:marRight w:val="0"/>
                                                  <w:marTop w:val="0"/>
                                                  <w:marBottom w:val="0"/>
                                                  <w:divBdr>
                                                    <w:top w:val="none" w:sz="0" w:space="0" w:color="auto"/>
                                                    <w:left w:val="none" w:sz="0" w:space="0" w:color="auto"/>
                                                    <w:bottom w:val="none" w:sz="0" w:space="0" w:color="auto"/>
                                                    <w:right w:val="none" w:sz="0" w:space="0" w:color="auto"/>
                                                  </w:divBdr>
                                                  <w:divsChild>
                                                    <w:div w:id="1321271420">
                                                      <w:marLeft w:val="0"/>
                                                      <w:marRight w:val="0"/>
                                                      <w:marTop w:val="0"/>
                                                      <w:marBottom w:val="0"/>
                                                      <w:divBdr>
                                                        <w:top w:val="none" w:sz="0" w:space="0" w:color="auto"/>
                                                        <w:left w:val="none" w:sz="0" w:space="0" w:color="auto"/>
                                                        <w:bottom w:val="none" w:sz="0" w:space="0" w:color="auto"/>
                                                        <w:right w:val="none" w:sz="0" w:space="0" w:color="auto"/>
                                                      </w:divBdr>
                                                      <w:divsChild>
                                                        <w:div w:id="160199743">
                                                          <w:marLeft w:val="0"/>
                                                          <w:marRight w:val="0"/>
                                                          <w:marTop w:val="0"/>
                                                          <w:marBottom w:val="0"/>
                                                          <w:divBdr>
                                                            <w:top w:val="none" w:sz="0" w:space="0" w:color="auto"/>
                                                            <w:left w:val="none" w:sz="0" w:space="0" w:color="auto"/>
                                                            <w:bottom w:val="none" w:sz="0" w:space="0" w:color="auto"/>
                                                            <w:right w:val="none" w:sz="0" w:space="0" w:color="auto"/>
                                                          </w:divBdr>
                                                          <w:divsChild>
                                                            <w:div w:id="55082316">
                                                              <w:marLeft w:val="0"/>
                                                              <w:marRight w:val="0"/>
                                                              <w:marTop w:val="0"/>
                                                              <w:marBottom w:val="0"/>
                                                              <w:divBdr>
                                                                <w:top w:val="none" w:sz="0" w:space="0" w:color="auto"/>
                                                                <w:left w:val="none" w:sz="0" w:space="0" w:color="auto"/>
                                                                <w:bottom w:val="none" w:sz="0" w:space="0" w:color="auto"/>
                                                                <w:right w:val="none" w:sz="0" w:space="0" w:color="auto"/>
                                                              </w:divBdr>
                                                              <w:divsChild>
                                                                <w:div w:id="2126270403">
                                                                  <w:marLeft w:val="0"/>
                                                                  <w:marRight w:val="0"/>
                                                                  <w:marTop w:val="0"/>
                                                                  <w:marBottom w:val="0"/>
                                                                  <w:divBdr>
                                                                    <w:top w:val="none" w:sz="0" w:space="0" w:color="auto"/>
                                                                    <w:left w:val="none" w:sz="0" w:space="0" w:color="auto"/>
                                                                    <w:bottom w:val="none" w:sz="0" w:space="0" w:color="auto"/>
                                                                    <w:right w:val="none" w:sz="0" w:space="0" w:color="auto"/>
                                                                  </w:divBdr>
                                                                  <w:divsChild>
                                                                    <w:div w:id="503862978">
                                                                      <w:marLeft w:val="0"/>
                                                                      <w:marRight w:val="150"/>
                                                                      <w:marTop w:val="0"/>
                                                                      <w:marBottom w:val="0"/>
                                                                      <w:divBdr>
                                                                        <w:top w:val="none" w:sz="0" w:space="0" w:color="CCCCCC"/>
                                                                        <w:left w:val="none" w:sz="0" w:space="4" w:color="CCCCCC"/>
                                                                        <w:bottom w:val="none" w:sz="0" w:space="0" w:color="CCCCCC"/>
                                                                        <w:right w:val="none" w:sz="0" w:space="0" w:color="CCCCCC"/>
                                                                      </w:divBdr>
                                                                      <w:divsChild>
                                                                        <w:div w:id="41366826">
                                                                          <w:marLeft w:val="0"/>
                                                                          <w:marRight w:val="0"/>
                                                                          <w:marTop w:val="0"/>
                                                                          <w:marBottom w:val="0"/>
                                                                          <w:divBdr>
                                                                            <w:top w:val="none" w:sz="0" w:space="0" w:color="auto"/>
                                                                            <w:left w:val="none" w:sz="0" w:space="0" w:color="auto"/>
                                                                            <w:bottom w:val="none" w:sz="0" w:space="0" w:color="auto"/>
                                                                            <w:right w:val="none" w:sz="0" w:space="0" w:color="auto"/>
                                                                          </w:divBdr>
                                                                          <w:divsChild>
                                                                            <w:div w:id="663704201">
                                                                              <w:marLeft w:val="0"/>
                                                                              <w:marRight w:val="0"/>
                                                                              <w:marTop w:val="0"/>
                                                                              <w:marBottom w:val="0"/>
                                                                              <w:divBdr>
                                                                                <w:top w:val="none" w:sz="0" w:space="0" w:color="auto"/>
                                                                                <w:left w:val="none" w:sz="0" w:space="0" w:color="auto"/>
                                                                                <w:bottom w:val="none" w:sz="0" w:space="0" w:color="auto"/>
                                                                                <w:right w:val="none" w:sz="0" w:space="0" w:color="auto"/>
                                                                              </w:divBdr>
                                                                              <w:divsChild>
                                                                                <w:div w:id="1776441488">
                                                                                  <w:marLeft w:val="0"/>
                                                                                  <w:marRight w:val="0"/>
                                                                                  <w:marTop w:val="0"/>
                                                                                  <w:marBottom w:val="0"/>
                                                                                  <w:divBdr>
                                                                                    <w:top w:val="none" w:sz="0" w:space="0" w:color="auto"/>
                                                                                    <w:left w:val="none" w:sz="0" w:space="0" w:color="auto"/>
                                                                                    <w:bottom w:val="none" w:sz="0" w:space="0" w:color="auto"/>
                                                                                    <w:right w:val="none" w:sz="0" w:space="0" w:color="auto"/>
                                                                                  </w:divBdr>
                                                                                  <w:divsChild>
                                                                                    <w:div w:id="9906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omeaffairs.gov.au/mca/PDFs/multicultural-access-equity-policy-guid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c.gov.au/commonwealth-aboriginal-and-torres-strait-islander-employment-strate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c.gov.au/aps-disability-employment-strategy-2016-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c.gov.au/about/governance/corporate-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et.pc.gov.au/kb/Documents/acknowledgeofcountr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1E9E-1391-4536-9DF5-BC7415C2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E8C2C105.dotm</Template>
  <TotalTime>35</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Workplace Diversity and Inclusion Strategy 2019 – 2022</vt:lpstr>
    </vt:vector>
  </TitlesOfParts>
  <Company>Productivity Commission</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Diversity and Inclusion Strategy 2019 – 2022</dc:title>
  <dc:creator>Productivity Commission</dc:creator>
  <cp:lastModifiedBy>Productivity Commission</cp:lastModifiedBy>
  <cp:revision>11</cp:revision>
  <cp:lastPrinted>2020-02-10T03:28:00Z</cp:lastPrinted>
  <dcterms:created xsi:type="dcterms:W3CDTF">2019-10-02T02:22:00Z</dcterms:created>
  <dcterms:modified xsi:type="dcterms:W3CDTF">2020-02-10T03:50:00Z</dcterms:modified>
</cp:coreProperties>
</file>