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CFB" w:rsidRDefault="007B2CFB" w:rsidP="007B2CFB">
      <w:pPr>
        <w:pStyle w:val="Footer"/>
        <w:tabs>
          <w:tab w:val="clear" w:pos="4680"/>
          <w:tab w:val="clear" w:pos="9360"/>
          <w:tab w:val="center" w:pos="5130"/>
          <w:tab w:val="left" w:pos="9781"/>
          <w:tab w:val="right" w:pos="10260"/>
        </w:tabs>
        <w:spacing w:after="0"/>
        <w:ind w:right="928"/>
        <w:jc w:val="right"/>
        <w:rPr>
          <w:rFonts w:ascii="Arial" w:hAnsi="Arial" w:cs="Arial"/>
          <w:szCs w:val="16"/>
        </w:rPr>
      </w:pPr>
    </w:p>
    <w:p w:rsidR="009772AC" w:rsidRPr="007B2CFB" w:rsidRDefault="007B2CFB" w:rsidP="007B2CFB">
      <w:pPr>
        <w:pStyle w:val="Footer"/>
        <w:tabs>
          <w:tab w:val="clear" w:pos="4680"/>
          <w:tab w:val="clear" w:pos="9360"/>
          <w:tab w:val="center" w:pos="5130"/>
          <w:tab w:val="left" w:pos="9781"/>
          <w:tab w:val="right" w:pos="10260"/>
        </w:tabs>
        <w:spacing w:after="0"/>
        <w:ind w:right="928"/>
        <w:jc w:val="right"/>
        <w:rPr>
          <w:rFonts w:ascii="Arial" w:hAnsi="Arial" w:cs="Arial"/>
          <w:szCs w:val="16"/>
        </w:rPr>
      </w:pPr>
      <w:r w:rsidRPr="007B2CFB">
        <w:rPr>
          <w:rFonts w:ascii="Arial" w:hAnsi="Arial" w:cs="Arial"/>
          <w:szCs w:val="16"/>
        </w:rPr>
        <w:t>Canberra November 4, 2013</w:t>
      </w:r>
    </w:p>
    <w:p w:rsidR="007B2CFB" w:rsidRPr="007B2CFB" w:rsidRDefault="007B2CFB" w:rsidP="007B2CFB">
      <w:pPr>
        <w:pStyle w:val="Standard"/>
        <w:tabs>
          <w:tab w:val="left" w:pos="9781"/>
        </w:tabs>
        <w:ind w:right="928"/>
        <w:rPr>
          <w:rFonts w:ascii="Arial" w:hAnsi="Arial" w:cs="Arial"/>
          <w:sz w:val="22"/>
          <w:szCs w:val="22"/>
        </w:rPr>
      </w:pPr>
      <w:r w:rsidRPr="007B2CFB">
        <w:rPr>
          <w:rFonts w:ascii="Arial" w:hAnsi="Arial" w:cs="Arial"/>
          <w:sz w:val="22"/>
          <w:szCs w:val="22"/>
        </w:rPr>
        <w:t>Dear Commissioners,</w:t>
      </w:r>
    </w:p>
    <w:p w:rsidR="007B2CFB" w:rsidRPr="007B2CFB" w:rsidRDefault="007B2CFB" w:rsidP="007B2CFB">
      <w:pPr>
        <w:pStyle w:val="Standard"/>
        <w:tabs>
          <w:tab w:val="left" w:pos="9781"/>
        </w:tabs>
        <w:ind w:right="928"/>
        <w:rPr>
          <w:rFonts w:ascii="Arial" w:hAnsi="Arial" w:cs="Arial"/>
          <w:sz w:val="22"/>
          <w:szCs w:val="22"/>
        </w:rPr>
      </w:pPr>
    </w:p>
    <w:p w:rsidR="007B2CFB" w:rsidRPr="007B2CFB" w:rsidRDefault="007B2CFB" w:rsidP="007B2CFB">
      <w:pPr>
        <w:pStyle w:val="Standard"/>
        <w:tabs>
          <w:tab w:val="left" w:pos="9781"/>
        </w:tabs>
        <w:ind w:right="928"/>
        <w:rPr>
          <w:rFonts w:ascii="Arial" w:hAnsi="Arial" w:cs="Arial"/>
          <w:b/>
          <w:bCs/>
          <w:sz w:val="22"/>
          <w:szCs w:val="22"/>
        </w:rPr>
      </w:pPr>
      <w:r w:rsidRPr="007B2CFB">
        <w:rPr>
          <w:rFonts w:ascii="Arial" w:hAnsi="Arial" w:cs="Arial"/>
          <w:b/>
          <w:bCs/>
          <w:sz w:val="22"/>
          <w:szCs w:val="22"/>
        </w:rPr>
        <w:t>Re: Access to civil justice for Australians with disabilities</w:t>
      </w:r>
    </w:p>
    <w:p w:rsidR="007B2CFB" w:rsidRPr="007B2CFB" w:rsidRDefault="007B2CFB" w:rsidP="007B2CFB">
      <w:pPr>
        <w:pStyle w:val="Standard"/>
        <w:tabs>
          <w:tab w:val="left" w:pos="9781"/>
        </w:tabs>
        <w:ind w:right="928"/>
        <w:rPr>
          <w:rFonts w:ascii="Arial" w:hAnsi="Arial" w:cs="Arial"/>
          <w:sz w:val="22"/>
          <w:szCs w:val="22"/>
        </w:rPr>
      </w:pPr>
    </w:p>
    <w:p w:rsidR="007B2CFB" w:rsidRPr="007B2CFB" w:rsidRDefault="007B2CFB" w:rsidP="007B2CFB">
      <w:pPr>
        <w:pStyle w:val="Standard"/>
        <w:tabs>
          <w:tab w:val="left" w:pos="9781"/>
        </w:tabs>
        <w:ind w:right="928"/>
        <w:rPr>
          <w:rFonts w:ascii="Arial" w:hAnsi="Arial" w:cs="Arial"/>
          <w:sz w:val="22"/>
          <w:szCs w:val="22"/>
        </w:rPr>
      </w:pPr>
      <w:r w:rsidRPr="007B2CFB">
        <w:rPr>
          <w:rFonts w:ascii="Arial" w:hAnsi="Arial" w:cs="Arial"/>
          <w:sz w:val="22"/>
          <w:szCs w:val="22"/>
        </w:rPr>
        <w:t>Disability Advocacy Network Australia (DANA) is a national representative body for over 70 disability advocacy organisations, and aims to support and strengthen independent disability advocacy agencies in their work advoc</w:t>
      </w:r>
      <w:bookmarkStart w:id="0" w:name="_GoBack"/>
      <w:bookmarkEnd w:id="0"/>
      <w:r w:rsidRPr="007B2CFB">
        <w:rPr>
          <w:rFonts w:ascii="Arial" w:hAnsi="Arial" w:cs="Arial"/>
          <w:sz w:val="22"/>
          <w:szCs w:val="22"/>
        </w:rPr>
        <w:t>ating for and with people with disabilities, ensuring their fundamental needs are met and protecting and advancing their human rights.</w:t>
      </w:r>
    </w:p>
    <w:p w:rsidR="007B2CFB" w:rsidRPr="007B2CFB" w:rsidRDefault="007B2CFB" w:rsidP="007B2CFB">
      <w:pPr>
        <w:pStyle w:val="Standard"/>
        <w:tabs>
          <w:tab w:val="left" w:pos="9781"/>
        </w:tabs>
        <w:ind w:right="928"/>
        <w:rPr>
          <w:rFonts w:ascii="Arial" w:hAnsi="Arial" w:cs="Arial"/>
          <w:sz w:val="22"/>
          <w:szCs w:val="22"/>
        </w:rPr>
      </w:pPr>
    </w:p>
    <w:p w:rsidR="007B2CFB" w:rsidRPr="007B2CFB" w:rsidRDefault="007B2CFB" w:rsidP="007B2CFB">
      <w:pPr>
        <w:pStyle w:val="Standard"/>
        <w:tabs>
          <w:tab w:val="left" w:pos="9781"/>
        </w:tabs>
        <w:ind w:right="928"/>
        <w:rPr>
          <w:rFonts w:ascii="Arial" w:hAnsi="Arial" w:cs="Arial"/>
          <w:sz w:val="22"/>
          <w:szCs w:val="22"/>
        </w:rPr>
      </w:pPr>
      <w:r w:rsidRPr="007B2CFB">
        <w:rPr>
          <w:rFonts w:ascii="Arial" w:hAnsi="Arial" w:cs="Arial"/>
          <w:sz w:val="22"/>
          <w:szCs w:val="22"/>
        </w:rPr>
        <w:t>DANA is greatly interested in the Productivity Commission's inquiry into access to civil justice in Australia. In relation to people with disabilities, we are strongly of the conviction that access to advocacy (which includes legal advice, support and/or representation) is an important part of the picture for identifying and addressing current systemic problems.</w:t>
      </w:r>
    </w:p>
    <w:p w:rsidR="007B2CFB" w:rsidRPr="007B2CFB" w:rsidRDefault="007B2CFB" w:rsidP="007B2CFB">
      <w:pPr>
        <w:pStyle w:val="Standard"/>
        <w:tabs>
          <w:tab w:val="left" w:pos="9781"/>
        </w:tabs>
        <w:ind w:right="928"/>
        <w:rPr>
          <w:rFonts w:ascii="Arial" w:hAnsi="Arial" w:cs="Arial"/>
          <w:sz w:val="22"/>
          <w:szCs w:val="22"/>
        </w:rPr>
      </w:pPr>
    </w:p>
    <w:p w:rsidR="007B2CFB" w:rsidRPr="007B2CFB" w:rsidRDefault="007B2CFB" w:rsidP="007B2CFB">
      <w:pPr>
        <w:pStyle w:val="Standard"/>
        <w:tabs>
          <w:tab w:val="left" w:pos="9781"/>
        </w:tabs>
        <w:ind w:right="928"/>
        <w:rPr>
          <w:rFonts w:ascii="Arial" w:hAnsi="Arial" w:cs="Arial"/>
          <w:sz w:val="22"/>
          <w:szCs w:val="22"/>
        </w:rPr>
      </w:pPr>
      <w:r w:rsidRPr="007B2CFB">
        <w:rPr>
          <w:rFonts w:ascii="Arial" w:hAnsi="Arial" w:cs="Arial"/>
          <w:sz w:val="22"/>
          <w:szCs w:val="22"/>
        </w:rPr>
        <w:t>The evidence suggests that a substantial proportion of persons with disabilities cannot afford to secure legal services and that legal assistance services are not meeting their needs. The high costs of accessing justice services impacts disproportionately on the lives of people with disabilities, as they often experience multiple forms of disadvantage, disempowerment and human rights abuse. This lack of access has high economic and social impact.</w:t>
      </w:r>
    </w:p>
    <w:p w:rsidR="007B2CFB" w:rsidRPr="007B2CFB" w:rsidRDefault="007B2CFB" w:rsidP="007B2CFB">
      <w:pPr>
        <w:pStyle w:val="Standard"/>
        <w:tabs>
          <w:tab w:val="left" w:pos="9781"/>
        </w:tabs>
        <w:ind w:right="928"/>
        <w:rPr>
          <w:rFonts w:ascii="Arial" w:hAnsi="Arial" w:cs="Arial"/>
          <w:sz w:val="22"/>
          <w:szCs w:val="22"/>
        </w:rPr>
      </w:pPr>
    </w:p>
    <w:p w:rsidR="007B2CFB" w:rsidRPr="007B2CFB" w:rsidRDefault="007B2CFB" w:rsidP="007B2CFB">
      <w:pPr>
        <w:pStyle w:val="Standard"/>
        <w:tabs>
          <w:tab w:val="left" w:pos="9781"/>
        </w:tabs>
        <w:ind w:right="928"/>
        <w:rPr>
          <w:rFonts w:ascii="Arial" w:hAnsi="Arial" w:cs="Arial"/>
          <w:sz w:val="22"/>
          <w:szCs w:val="22"/>
        </w:rPr>
      </w:pPr>
      <w:r w:rsidRPr="007B2CFB">
        <w:rPr>
          <w:rFonts w:ascii="Arial" w:hAnsi="Arial" w:cs="Arial"/>
          <w:sz w:val="22"/>
          <w:szCs w:val="22"/>
        </w:rPr>
        <w:t>In the recent NSW Law and Justice Foundation survey of over 20,000 Australians, people with disability stood out as the disadvantaged group that most reliably had high prevalence of legal problems. The survey also showed that people with disability had significantly higher odds of taking action and seeking advice, but significantly lower odds of finalising their legal problems.</w:t>
      </w:r>
      <w:r w:rsidRPr="007B2CFB">
        <w:rPr>
          <w:rFonts w:ascii="Arial" w:hAnsi="Arial" w:cs="Arial"/>
          <w:sz w:val="22"/>
          <w:szCs w:val="22"/>
          <w:vertAlign w:val="superscript"/>
        </w:rPr>
        <w:footnoteReference w:id="1"/>
      </w:r>
      <w:r w:rsidRPr="007B2CFB">
        <w:rPr>
          <w:rFonts w:ascii="Arial" w:hAnsi="Arial" w:cs="Arial"/>
          <w:sz w:val="22"/>
          <w:szCs w:val="22"/>
        </w:rPr>
        <w:t xml:space="preserve"> The Victorian Parliament’s recent </w:t>
      </w:r>
      <w:r w:rsidRPr="007B2CFB">
        <w:rPr>
          <w:rFonts w:ascii="Arial" w:hAnsi="Arial" w:cs="Arial"/>
          <w:i/>
          <w:sz w:val="22"/>
          <w:szCs w:val="22"/>
        </w:rPr>
        <w:t>Inquiry into Access to and Interaction with the Justice System by People with an Intellectual Disability and their Families and Carers</w:t>
      </w:r>
      <w:r w:rsidRPr="007B2CFB">
        <w:rPr>
          <w:rFonts w:ascii="Arial" w:hAnsi="Arial" w:cs="Arial"/>
          <w:sz w:val="22"/>
          <w:szCs w:val="22"/>
          <w:vertAlign w:val="superscript"/>
        </w:rPr>
        <w:footnoteReference w:id="2"/>
      </w:r>
      <w:r w:rsidRPr="007B2CFB">
        <w:rPr>
          <w:rFonts w:ascii="Arial" w:hAnsi="Arial" w:cs="Arial"/>
          <w:i/>
          <w:sz w:val="22"/>
          <w:szCs w:val="22"/>
        </w:rPr>
        <w:t xml:space="preserve"> </w:t>
      </w:r>
      <w:r w:rsidRPr="007B2CFB">
        <w:rPr>
          <w:rFonts w:ascii="Arial" w:hAnsi="Arial" w:cs="Arial"/>
          <w:sz w:val="22"/>
          <w:szCs w:val="22"/>
        </w:rPr>
        <w:t xml:space="preserve">identified that people with an intellectual disability faced similar barriers to other people with disability, but also additional unique barriers. Other work by the NSW Law and Justice Foundation has also pointed to the significant barriers to accessing legal support and justice faced by people with mental illness, which again are in some aspects similar and in others unique to those faced by people with other disabilities.  </w:t>
      </w:r>
    </w:p>
    <w:p w:rsidR="007B2CFB" w:rsidRPr="007B2CFB" w:rsidRDefault="007B2CFB" w:rsidP="007B2CFB">
      <w:pPr>
        <w:pStyle w:val="Standard"/>
        <w:tabs>
          <w:tab w:val="left" w:pos="9781"/>
        </w:tabs>
        <w:ind w:right="928"/>
        <w:rPr>
          <w:rFonts w:ascii="Arial" w:hAnsi="Arial" w:cs="Arial"/>
          <w:sz w:val="22"/>
          <w:szCs w:val="22"/>
        </w:rPr>
      </w:pPr>
    </w:p>
    <w:p w:rsidR="007B2CFB" w:rsidRPr="007B2CFB" w:rsidRDefault="007B2CFB" w:rsidP="007B2CFB">
      <w:pPr>
        <w:pStyle w:val="Standard"/>
        <w:tabs>
          <w:tab w:val="left" w:pos="9781"/>
        </w:tabs>
        <w:ind w:right="928"/>
        <w:rPr>
          <w:rFonts w:ascii="Arial" w:hAnsi="Arial" w:cs="Arial"/>
          <w:sz w:val="22"/>
          <w:szCs w:val="22"/>
        </w:rPr>
      </w:pPr>
      <w:r w:rsidRPr="007B2CFB">
        <w:rPr>
          <w:rFonts w:ascii="Arial" w:hAnsi="Arial" w:cs="Arial"/>
          <w:sz w:val="22"/>
          <w:szCs w:val="22"/>
        </w:rPr>
        <w:t xml:space="preserve">The often severely compromised or limited access to justice experienced by people with disabilities in contemporary Australia is well-established. A complex myriad of factors create barriers and challenges for people with disabilities in accessing civil justice, pursuing legal remedies and defending their legal rights. Discrimination, a lack of financial resources or of adequate services or support may be the major compounding factors in a given context, as Australians with disabilities are often among the most marginalised, economically disadvantaged and socially excluded members of our community. Beyond these factors, the research quoted above shows that poor accommodation of the differences and needs of people with disabilities, in a wide range of legal processes, exacerbates the difficulties faced. These factors include cultural and attitudinal issues among legal </w:t>
      </w:r>
      <w:r w:rsidRPr="007B2CFB">
        <w:rPr>
          <w:rFonts w:ascii="Arial" w:hAnsi="Arial" w:cs="Arial"/>
          <w:sz w:val="22"/>
          <w:szCs w:val="22"/>
        </w:rPr>
        <w:lastRenderedPageBreak/>
        <w:t>professionals and in the broader community, as well as the nature of the legal system, which further disadvantages those with a real or perceived lesser capacity to participate in the highly formalised and ritualised structures of the justice system.</w:t>
      </w:r>
    </w:p>
    <w:p w:rsidR="007B2CFB" w:rsidRPr="007B2CFB" w:rsidRDefault="007B2CFB" w:rsidP="007B2CFB">
      <w:pPr>
        <w:pStyle w:val="Standard"/>
        <w:tabs>
          <w:tab w:val="left" w:pos="9781"/>
        </w:tabs>
        <w:ind w:right="928"/>
        <w:rPr>
          <w:rFonts w:ascii="Arial" w:hAnsi="Arial" w:cs="Arial"/>
          <w:sz w:val="22"/>
          <w:szCs w:val="22"/>
        </w:rPr>
      </w:pPr>
    </w:p>
    <w:p w:rsidR="007B2CFB" w:rsidRPr="007B2CFB" w:rsidRDefault="007B2CFB" w:rsidP="007B2CFB">
      <w:pPr>
        <w:pStyle w:val="Standard"/>
        <w:tabs>
          <w:tab w:val="left" w:pos="9781"/>
        </w:tabs>
        <w:ind w:right="928"/>
        <w:rPr>
          <w:rFonts w:ascii="Arial" w:hAnsi="Arial" w:cs="Arial"/>
          <w:sz w:val="22"/>
          <w:szCs w:val="22"/>
        </w:rPr>
      </w:pPr>
      <w:r w:rsidRPr="007B2CFB">
        <w:rPr>
          <w:rFonts w:ascii="Arial" w:hAnsi="Arial" w:cs="Arial"/>
          <w:sz w:val="22"/>
          <w:szCs w:val="22"/>
        </w:rPr>
        <w:t>DANA would like to acknowledge the excellent work done by many Community Legal Centres, including specific disability legal services, who adapt their practice to be able to advise and support people with disability and in some cases have made it their mission to support and represent people with disability. We also recognise the importance of Legal Aid services around Australia in making legal support more accessible. Without these thousands of people with disability would have been unable to access justice, exercise their rights or pursue crucial precedence setting cases. The sad truth remains however that the capacity of these services is highly constrained and thousands of other people with disability remain unable to challenge the sometimes horrific rights abuses of which they have been victims.</w:t>
      </w:r>
    </w:p>
    <w:p w:rsidR="007B2CFB" w:rsidRPr="007B2CFB" w:rsidRDefault="007B2CFB" w:rsidP="007B2CFB">
      <w:pPr>
        <w:pStyle w:val="Standard"/>
        <w:tabs>
          <w:tab w:val="left" w:pos="9781"/>
        </w:tabs>
        <w:ind w:right="928"/>
        <w:rPr>
          <w:rFonts w:ascii="Arial" w:hAnsi="Arial" w:cs="Arial"/>
          <w:sz w:val="22"/>
          <w:szCs w:val="22"/>
        </w:rPr>
      </w:pPr>
    </w:p>
    <w:p w:rsidR="007B2CFB" w:rsidRPr="007B2CFB" w:rsidRDefault="007B2CFB" w:rsidP="007B2CFB">
      <w:pPr>
        <w:pStyle w:val="Standard"/>
        <w:tabs>
          <w:tab w:val="left" w:pos="9781"/>
        </w:tabs>
        <w:ind w:right="928"/>
        <w:rPr>
          <w:rFonts w:ascii="Arial" w:hAnsi="Arial" w:cs="Arial"/>
          <w:sz w:val="22"/>
          <w:szCs w:val="22"/>
        </w:rPr>
      </w:pPr>
      <w:r w:rsidRPr="007B2CFB">
        <w:rPr>
          <w:rFonts w:ascii="Arial" w:hAnsi="Arial" w:cs="Arial"/>
          <w:sz w:val="22"/>
          <w:szCs w:val="22"/>
        </w:rPr>
        <w:t>DANA believes that improved access to disability advocacy, including non-legal advocacy, presents a cost-effective component of a solution that would contribute to improved equity and access to justice, to the achievement of earlier and lower cost civil dispute resolution and not least to crucial support for people with disabilities that would contribute to the avoidance of legal disputes before they arise.</w:t>
      </w:r>
    </w:p>
    <w:p w:rsidR="007B2CFB" w:rsidRPr="007B2CFB" w:rsidRDefault="007B2CFB" w:rsidP="007B2CFB">
      <w:pPr>
        <w:pStyle w:val="Standard"/>
        <w:tabs>
          <w:tab w:val="left" w:pos="9781"/>
        </w:tabs>
        <w:ind w:right="928"/>
        <w:rPr>
          <w:rFonts w:ascii="Arial" w:hAnsi="Arial" w:cs="Arial"/>
          <w:sz w:val="22"/>
          <w:szCs w:val="22"/>
        </w:rPr>
      </w:pPr>
    </w:p>
    <w:p w:rsidR="007B2CFB" w:rsidRPr="007B2CFB" w:rsidRDefault="007B2CFB" w:rsidP="007B2CFB">
      <w:pPr>
        <w:pStyle w:val="Standard"/>
        <w:tabs>
          <w:tab w:val="left" w:pos="9781"/>
        </w:tabs>
        <w:ind w:right="928"/>
        <w:rPr>
          <w:rFonts w:ascii="Arial" w:hAnsi="Arial" w:cs="Arial"/>
          <w:sz w:val="22"/>
          <w:szCs w:val="22"/>
        </w:rPr>
      </w:pPr>
      <w:r w:rsidRPr="007B2CFB">
        <w:rPr>
          <w:rFonts w:ascii="Arial" w:hAnsi="Arial" w:cs="Arial"/>
          <w:sz w:val="22"/>
          <w:szCs w:val="22"/>
        </w:rPr>
        <w:t>We believe that further investigation, including consultation with our members and other disability advocacy organisations, would strongly corroborate the economic value of the outcomes of advocacy, by providing examples of how effective advocacy delivered early can enable people with disabilities to claim and defend their legal entitlements, and help to avert legal problems before they arise, thus avoiding the need for expensive intervention and legal fees or costs later.</w:t>
      </w:r>
    </w:p>
    <w:p w:rsidR="007B2CFB" w:rsidRPr="007B2CFB" w:rsidRDefault="007B2CFB" w:rsidP="007B2CFB">
      <w:pPr>
        <w:pStyle w:val="Standard"/>
        <w:tabs>
          <w:tab w:val="left" w:pos="9781"/>
        </w:tabs>
        <w:ind w:right="928"/>
        <w:rPr>
          <w:rFonts w:ascii="Arial" w:hAnsi="Arial" w:cs="Arial"/>
          <w:sz w:val="22"/>
          <w:szCs w:val="22"/>
        </w:rPr>
      </w:pPr>
    </w:p>
    <w:p w:rsidR="007B2CFB" w:rsidRPr="007B2CFB" w:rsidRDefault="007B2CFB" w:rsidP="007B2CFB">
      <w:pPr>
        <w:pStyle w:val="Standard"/>
        <w:tabs>
          <w:tab w:val="left" w:pos="9781"/>
        </w:tabs>
        <w:ind w:right="928"/>
        <w:rPr>
          <w:rFonts w:ascii="Arial" w:hAnsi="Arial" w:cs="Arial"/>
          <w:sz w:val="22"/>
          <w:szCs w:val="22"/>
        </w:rPr>
      </w:pPr>
      <w:r w:rsidRPr="007B2CFB">
        <w:rPr>
          <w:rFonts w:ascii="Arial" w:hAnsi="Arial" w:cs="Arial"/>
          <w:sz w:val="22"/>
          <w:szCs w:val="22"/>
        </w:rPr>
        <w:t>Unfortunately, the closing date for submissions has fallen very close to the dates of DANA's National Disability Advocacy Conference. This timing has prevented the preparation of a more extensive submission. The chronic under-resourcing of disability advocacy in Australia means other disability advocacy organisations are similarly limited in their capacity to produce submissions. We hope that both the existing and potential contributions of the disability advocacy sector to justice, fairness, and economic efficiency in Australia are not overlooked as the public inquiry progresses</w:t>
      </w:r>
    </w:p>
    <w:p w:rsidR="007B2CFB" w:rsidRPr="007B2CFB" w:rsidRDefault="007B2CFB" w:rsidP="007B2CFB">
      <w:pPr>
        <w:pStyle w:val="Standard"/>
        <w:tabs>
          <w:tab w:val="left" w:pos="9781"/>
        </w:tabs>
        <w:ind w:right="928"/>
        <w:rPr>
          <w:rFonts w:ascii="Arial" w:hAnsi="Arial" w:cs="Arial"/>
          <w:sz w:val="22"/>
          <w:szCs w:val="22"/>
        </w:rPr>
      </w:pPr>
    </w:p>
    <w:p w:rsidR="007B2CFB" w:rsidRPr="007B2CFB" w:rsidRDefault="007B2CFB" w:rsidP="007B2CFB">
      <w:pPr>
        <w:pStyle w:val="Standard"/>
        <w:tabs>
          <w:tab w:val="left" w:pos="9781"/>
        </w:tabs>
        <w:ind w:right="928"/>
        <w:rPr>
          <w:rFonts w:ascii="Arial" w:hAnsi="Arial" w:cs="Arial"/>
          <w:sz w:val="22"/>
          <w:szCs w:val="22"/>
        </w:rPr>
      </w:pPr>
      <w:r w:rsidRPr="007B2CFB">
        <w:rPr>
          <w:rFonts w:ascii="Arial" w:hAnsi="Arial" w:cs="Arial"/>
          <w:sz w:val="22"/>
          <w:szCs w:val="22"/>
        </w:rPr>
        <w:t xml:space="preserve">For questions or more information please do not hesitate to contact </w:t>
      </w:r>
      <w:r>
        <w:rPr>
          <w:rFonts w:ascii="Arial" w:hAnsi="Arial" w:cs="Arial"/>
          <w:sz w:val="22"/>
          <w:szCs w:val="22"/>
        </w:rPr>
        <w:t>me on (02) 6175 1300 or ceo@dana.org.au</w:t>
      </w:r>
    </w:p>
    <w:p w:rsidR="007B2CFB" w:rsidRPr="007B2CFB" w:rsidRDefault="007B2CFB" w:rsidP="007B2CFB">
      <w:pPr>
        <w:pStyle w:val="Standard"/>
        <w:tabs>
          <w:tab w:val="left" w:pos="9781"/>
        </w:tabs>
        <w:ind w:right="928"/>
        <w:rPr>
          <w:rFonts w:ascii="Arial" w:hAnsi="Arial" w:cs="Arial"/>
          <w:sz w:val="22"/>
          <w:szCs w:val="22"/>
        </w:rPr>
      </w:pPr>
    </w:p>
    <w:p w:rsidR="007B2CFB" w:rsidRPr="007B2CFB" w:rsidRDefault="007B2CFB" w:rsidP="007B2CFB">
      <w:pPr>
        <w:pStyle w:val="Standard"/>
        <w:tabs>
          <w:tab w:val="left" w:pos="9781"/>
        </w:tabs>
        <w:ind w:right="928"/>
        <w:rPr>
          <w:rFonts w:ascii="Arial" w:hAnsi="Arial" w:cs="Arial"/>
          <w:sz w:val="22"/>
          <w:szCs w:val="22"/>
        </w:rPr>
      </w:pPr>
      <w:r w:rsidRPr="007B2CFB">
        <w:rPr>
          <w:rFonts w:ascii="Arial" w:hAnsi="Arial" w:cs="Arial"/>
          <w:sz w:val="22"/>
          <w:szCs w:val="22"/>
        </w:rPr>
        <w:t>Sincerely,</w:t>
      </w:r>
    </w:p>
    <w:p w:rsidR="007B2CFB" w:rsidRPr="007B2CFB" w:rsidRDefault="007B2CFB" w:rsidP="007B2CFB">
      <w:pPr>
        <w:pStyle w:val="Standard"/>
        <w:tabs>
          <w:tab w:val="left" w:pos="9781"/>
        </w:tabs>
        <w:ind w:right="928"/>
        <w:rPr>
          <w:rFonts w:ascii="Arial" w:hAnsi="Arial" w:cs="Arial"/>
          <w:sz w:val="22"/>
          <w:szCs w:val="22"/>
        </w:rPr>
      </w:pPr>
    </w:p>
    <w:p w:rsidR="007B2CFB" w:rsidRPr="007B2CFB" w:rsidRDefault="007B2CFB" w:rsidP="007B2CFB">
      <w:pPr>
        <w:pStyle w:val="Standard"/>
        <w:tabs>
          <w:tab w:val="left" w:pos="9781"/>
        </w:tabs>
        <w:ind w:right="928"/>
        <w:rPr>
          <w:rFonts w:ascii="Arial" w:hAnsi="Arial" w:cs="Arial"/>
          <w:b/>
          <w:sz w:val="22"/>
          <w:szCs w:val="22"/>
        </w:rPr>
      </w:pPr>
      <w:r w:rsidRPr="007B2CFB">
        <w:rPr>
          <w:rFonts w:ascii="Arial" w:hAnsi="Arial" w:cs="Arial"/>
          <w:b/>
          <w:sz w:val="22"/>
          <w:szCs w:val="22"/>
        </w:rPr>
        <w:t>Simon Viereck</w:t>
      </w:r>
    </w:p>
    <w:p w:rsidR="007B2CFB" w:rsidRPr="007B2CFB" w:rsidRDefault="007B2CFB" w:rsidP="007B2CFB">
      <w:pPr>
        <w:pStyle w:val="Standard"/>
        <w:tabs>
          <w:tab w:val="left" w:pos="9781"/>
        </w:tabs>
        <w:ind w:right="928"/>
        <w:rPr>
          <w:rFonts w:ascii="Arial" w:hAnsi="Arial" w:cs="Arial"/>
          <w:sz w:val="22"/>
          <w:szCs w:val="22"/>
        </w:rPr>
      </w:pPr>
      <w:r w:rsidRPr="007B2CFB">
        <w:rPr>
          <w:rFonts w:ascii="Arial" w:hAnsi="Arial" w:cs="Arial"/>
          <w:sz w:val="22"/>
          <w:szCs w:val="22"/>
        </w:rPr>
        <w:t>A/g Chief Executive Officer</w:t>
      </w:r>
    </w:p>
    <w:p w:rsidR="007B2CFB" w:rsidRPr="007B2CFB" w:rsidRDefault="007B2CFB" w:rsidP="007B2CFB">
      <w:pPr>
        <w:pStyle w:val="Standard"/>
        <w:tabs>
          <w:tab w:val="left" w:pos="9781"/>
        </w:tabs>
        <w:ind w:right="928"/>
        <w:rPr>
          <w:rFonts w:ascii="Arial" w:hAnsi="Arial" w:cs="Arial"/>
          <w:sz w:val="22"/>
          <w:szCs w:val="22"/>
        </w:rPr>
      </w:pPr>
      <w:r w:rsidRPr="007B2CFB">
        <w:rPr>
          <w:rFonts w:ascii="Arial" w:hAnsi="Arial" w:cs="Arial"/>
          <w:sz w:val="22"/>
          <w:szCs w:val="22"/>
        </w:rPr>
        <w:t>Disability Advocacy Network Australia (DANA) Ltd.</w:t>
      </w:r>
    </w:p>
    <w:p w:rsidR="009772AC" w:rsidRPr="007B2CFB" w:rsidRDefault="009772AC" w:rsidP="008E17CD">
      <w:pPr>
        <w:pStyle w:val="Footer"/>
        <w:tabs>
          <w:tab w:val="clear" w:pos="4680"/>
          <w:tab w:val="clear" w:pos="9360"/>
          <w:tab w:val="left" w:pos="2130"/>
          <w:tab w:val="center" w:pos="5130"/>
          <w:tab w:val="right" w:pos="10260"/>
        </w:tabs>
        <w:spacing w:after="0"/>
        <w:rPr>
          <w:rFonts w:ascii="Arial" w:hAnsi="Arial" w:cs="Arial"/>
        </w:rPr>
      </w:pPr>
    </w:p>
    <w:sectPr w:rsidR="009772AC" w:rsidRPr="007B2CFB" w:rsidSect="00B74C24">
      <w:headerReference w:type="first" r:id="rId8"/>
      <w:footerReference w:type="first" r:id="rId9"/>
      <w:pgSz w:w="12240" w:h="15840"/>
      <w:pgMar w:top="2085" w:right="255" w:bottom="255" w:left="1276"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CFB" w:rsidRDefault="007B2CFB" w:rsidP="002C56FB">
      <w:pPr>
        <w:spacing w:after="0" w:line="240" w:lineRule="auto"/>
      </w:pPr>
      <w:r>
        <w:separator/>
      </w:r>
    </w:p>
  </w:endnote>
  <w:endnote w:type="continuationSeparator" w:id="0">
    <w:p w:rsidR="007B2CFB" w:rsidRDefault="007B2CFB" w:rsidP="002C5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C24" w:rsidRDefault="00383A61" w:rsidP="00B74C24">
    <w:pPr>
      <w:pStyle w:val="Footer"/>
      <w:shd w:val="clear" w:color="auto" w:fill="FFFFFF" w:themeFill="background1"/>
      <w:tabs>
        <w:tab w:val="center" w:pos="5130"/>
        <w:tab w:val="left" w:pos="8265"/>
      </w:tabs>
      <w:spacing w:after="0" w:line="240" w:lineRule="auto"/>
      <w:ind w:left="-567"/>
      <w:contextualSpacing/>
      <w:rPr>
        <w:color w:val="244061" w:themeColor="accent1" w:themeShade="80"/>
        <w:sz w:val="20"/>
        <w:szCs w:val="20"/>
      </w:rPr>
    </w:pPr>
    <w:r w:rsidRPr="004F6C88">
      <w:rPr>
        <w:color w:val="244061" w:themeColor="accent1" w:themeShade="80"/>
        <w:sz w:val="20"/>
        <w:szCs w:val="20"/>
      </w:rPr>
      <w:t>Disability Advocacy Net</w:t>
    </w:r>
    <w:r>
      <w:rPr>
        <w:color w:val="244061" w:themeColor="accent1" w:themeShade="80"/>
        <w:sz w:val="20"/>
        <w:szCs w:val="20"/>
      </w:rPr>
      <w:t xml:space="preserve">work Australia (DANA) Limited                                                                       </w:t>
    </w:r>
  </w:p>
  <w:p w:rsidR="00B74C24" w:rsidRDefault="00383A61" w:rsidP="00B74C24">
    <w:pPr>
      <w:pStyle w:val="Footer"/>
      <w:shd w:val="clear" w:color="auto" w:fill="FFFFFF" w:themeFill="background1"/>
      <w:tabs>
        <w:tab w:val="center" w:pos="5130"/>
        <w:tab w:val="left" w:pos="8265"/>
      </w:tabs>
      <w:spacing w:after="0" w:line="240" w:lineRule="auto"/>
      <w:ind w:left="-567"/>
      <w:contextualSpacing/>
      <w:rPr>
        <w:color w:val="244061" w:themeColor="accent1" w:themeShade="80"/>
        <w:sz w:val="20"/>
        <w:szCs w:val="20"/>
      </w:rPr>
    </w:pPr>
    <w:r w:rsidRPr="004F6C88">
      <w:rPr>
        <w:color w:val="244061" w:themeColor="accent1" w:themeShade="80"/>
        <w:sz w:val="20"/>
        <w:szCs w:val="20"/>
      </w:rPr>
      <w:t xml:space="preserve">Unit 2/15 Hall St, </w:t>
    </w:r>
    <w:r>
      <w:rPr>
        <w:color w:val="244061" w:themeColor="accent1" w:themeShade="80"/>
        <w:sz w:val="20"/>
        <w:szCs w:val="20"/>
      </w:rPr>
      <w:t xml:space="preserve"> </w:t>
    </w:r>
    <w:r w:rsidRPr="004F6C88">
      <w:rPr>
        <w:color w:val="244061" w:themeColor="accent1" w:themeShade="80"/>
        <w:sz w:val="20"/>
        <w:szCs w:val="20"/>
      </w:rPr>
      <w:t xml:space="preserve"> </w:t>
    </w:r>
    <w:r>
      <w:rPr>
        <w:color w:val="244061" w:themeColor="accent1" w:themeShade="80"/>
        <w:sz w:val="20"/>
        <w:szCs w:val="20"/>
      </w:rPr>
      <w:t xml:space="preserve"> </w:t>
    </w:r>
    <w:r w:rsidRPr="004F6C88">
      <w:rPr>
        <w:color w:val="244061" w:themeColor="accent1" w:themeShade="80"/>
        <w:sz w:val="20"/>
        <w:szCs w:val="20"/>
      </w:rPr>
      <w:t xml:space="preserve">Lyneham  </w:t>
    </w:r>
    <w:r>
      <w:rPr>
        <w:color w:val="244061" w:themeColor="accent1" w:themeShade="80"/>
        <w:sz w:val="20"/>
        <w:szCs w:val="20"/>
      </w:rPr>
      <w:t xml:space="preserve"> ACT 2602</w:t>
    </w:r>
    <w:r w:rsidRPr="003C56C8">
      <w:rPr>
        <w:color w:val="244061" w:themeColor="accent1" w:themeShade="80"/>
        <w:sz w:val="24"/>
        <w:szCs w:val="24"/>
      </w:rPr>
      <w:t xml:space="preserve"> </w:t>
    </w:r>
    <w:r>
      <w:rPr>
        <w:color w:val="244061" w:themeColor="accent1" w:themeShade="80"/>
        <w:sz w:val="24"/>
        <w:szCs w:val="24"/>
      </w:rPr>
      <w:t xml:space="preserve">                                                 </w:t>
    </w:r>
    <w:r w:rsidR="00B74C24">
      <w:rPr>
        <w:color w:val="244061" w:themeColor="accent1" w:themeShade="80"/>
        <w:sz w:val="24"/>
        <w:szCs w:val="24"/>
      </w:rPr>
      <w:t xml:space="preserve">                        </w:t>
    </w:r>
    <w:r w:rsidRPr="003C56C8">
      <w:rPr>
        <w:color w:val="244061" w:themeColor="accent1" w:themeShade="80"/>
        <w:sz w:val="20"/>
        <w:szCs w:val="20"/>
      </w:rPr>
      <w:t>PATRON</w:t>
    </w:r>
  </w:p>
  <w:p w:rsidR="00B74C24" w:rsidRDefault="00383A61" w:rsidP="00B74C24">
    <w:pPr>
      <w:pStyle w:val="Footer"/>
      <w:shd w:val="clear" w:color="auto" w:fill="FFFFFF" w:themeFill="background1"/>
      <w:tabs>
        <w:tab w:val="center" w:pos="5130"/>
        <w:tab w:val="left" w:pos="8265"/>
      </w:tabs>
      <w:spacing w:after="0" w:line="240" w:lineRule="auto"/>
      <w:ind w:left="-567"/>
      <w:contextualSpacing/>
      <w:rPr>
        <w:color w:val="244061" w:themeColor="accent1" w:themeShade="80"/>
        <w:sz w:val="20"/>
        <w:szCs w:val="20"/>
      </w:rPr>
    </w:pPr>
    <w:r w:rsidRPr="004F6C88">
      <w:rPr>
        <w:color w:val="244061" w:themeColor="accent1" w:themeShade="80"/>
        <w:sz w:val="20"/>
        <w:szCs w:val="20"/>
      </w:rPr>
      <w:t xml:space="preserve">Postal address:  </w:t>
    </w:r>
    <w:r>
      <w:rPr>
        <w:color w:val="244061" w:themeColor="accent1" w:themeShade="80"/>
        <w:sz w:val="20"/>
        <w:szCs w:val="20"/>
      </w:rPr>
      <w:t xml:space="preserve">   </w:t>
    </w:r>
    <w:r w:rsidRPr="004F6C88">
      <w:rPr>
        <w:color w:val="244061" w:themeColor="accent1" w:themeShade="80"/>
        <w:sz w:val="20"/>
        <w:szCs w:val="20"/>
      </w:rPr>
      <w:t xml:space="preserve"> </w:t>
    </w:r>
    <w:r>
      <w:rPr>
        <w:color w:val="244061" w:themeColor="accent1" w:themeShade="80"/>
        <w:sz w:val="20"/>
        <w:szCs w:val="20"/>
      </w:rPr>
      <w:t xml:space="preserve"> </w:t>
    </w:r>
    <w:r w:rsidRPr="004F6C88">
      <w:rPr>
        <w:color w:val="244061" w:themeColor="accent1" w:themeShade="80"/>
        <w:sz w:val="20"/>
        <w:szCs w:val="20"/>
      </w:rPr>
      <w:t>PO Box 96, Dickson ACT 2602</w:t>
    </w:r>
    <w:r w:rsidRPr="004F6C88">
      <w:rPr>
        <w:color w:val="244061" w:themeColor="accent1" w:themeShade="80"/>
        <w:sz w:val="20"/>
        <w:szCs w:val="20"/>
      </w:rPr>
      <w:tab/>
    </w:r>
    <w:r w:rsidRPr="004F6C88">
      <w:rPr>
        <w:color w:val="244061" w:themeColor="accent1" w:themeShade="80"/>
        <w:sz w:val="20"/>
        <w:szCs w:val="20"/>
      </w:rPr>
      <w:tab/>
    </w:r>
    <w:r w:rsidRPr="001F6F0C">
      <w:rPr>
        <w:color w:val="244061" w:themeColor="accent1" w:themeShade="80"/>
        <w:sz w:val="20"/>
        <w:szCs w:val="20"/>
      </w:rPr>
      <w:t xml:space="preserve">                       </w:t>
    </w:r>
    <w:r>
      <w:rPr>
        <w:color w:val="244061" w:themeColor="accent1" w:themeShade="80"/>
        <w:sz w:val="20"/>
        <w:szCs w:val="20"/>
      </w:rPr>
      <w:t xml:space="preserve">                    </w:t>
    </w:r>
    <w:r w:rsidR="00B74C24">
      <w:rPr>
        <w:color w:val="244061" w:themeColor="accent1" w:themeShade="80"/>
        <w:sz w:val="20"/>
        <w:szCs w:val="20"/>
      </w:rPr>
      <w:t xml:space="preserve"> </w:t>
    </w:r>
    <w:r w:rsidRPr="00806DCC">
      <w:rPr>
        <w:color w:val="244061" w:themeColor="accent1" w:themeShade="80"/>
        <w:sz w:val="20"/>
        <w:szCs w:val="20"/>
      </w:rPr>
      <w:t xml:space="preserve">Her Excellency Ms Quentin Bryce AC CVO                                                                                   </w:t>
    </w:r>
    <w:r w:rsidRPr="001F6F0C">
      <w:rPr>
        <w:color w:val="244061" w:themeColor="accent1" w:themeShade="80"/>
        <w:sz w:val="20"/>
        <w:szCs w:val="20"/>
      </w:rPr>
      <w:t xml:space="preserve">Phone:                     </w:t>
    </w:r>
    <w:r>
      <w:rPr>
        <w:color w:val="244061" w:themeColor="accent1" w:themeShade="80"/>
        <w:sz w:val="20"/>
        <w:szCs w:val="20"/>
      </w:rPr>
      <w:t xml:space="preserve"> </w:t>
    </w:r>
    <w:r w:rsidRPr="001F6F0C">
      <w:rPr>
        <w:color w:val="244061" w:themeColor="accent1" w:themeShade="80"/>
        <w:sz w:val="20"/>
        <w:szCs w:val="20"/>
      </w:rPr>
      <w:t>02 61751300</w:t>
    </w:r>
    <w:r w:rsidRPr="001F6F0C">
      <w:rPr>
        <w:color w:val="244061" w:themeColor="accent1" w:themeShade="80"/>
        <w:sz w:val="20"/>
        <w:szCs w:val="20"/>
      </w:rPr>
      <w:tab/>
    </w:r>
    <w:r w:rsidRPr="001F6F0C">
      <w:rPr>
        <w:color w:val="244061" w:themeColor="accent1" w:themeShade="80"/>
        <w:sz w:val="20"/>
        <w:szCs w:val="20"/>
      </w:rPr>
      <w:tab/>
    </w:r>
    <w:r w:rsidRPr="00806DCC">
      <w:rPr>
        <w:color w:val="244061" w:themeColor="accent1" w:themeShade="80"/>
        <w:sz w:val="20"/>
        <w:szCs w:val="20"/>
      </w:rPr>
      <w:t xml:space="preserve">                                      </w:t>
    </w:r>
    <w:r>
      <w:rPr>
        <w:color w:val="244061" w:themeColor="accent1" w:themeShade="80"/>
        <w:sz w:val="20"/>
        <w:szCs w:val="20"/>
      </w:rPr>
      <w:t xml:space="preserve">   </w:t>
    </w:r>
    <w:r w:rsidR="00B74C24">
      <w:rPr>
        <w:color w:val="244061" w:themeColor="accent1" w:themeShade="80"/>
        <w:sz w:val="20"/>
        <w:szCs w:val="20"/>
      </w:rPr>
      <w:t xml:space="preserve">   </w:t>
    </w:r>
    <w:r w:rsidRPr="00806DCC">
      <w:rPr>
        <w:color w:val="244061" w:themeColor="accent1" w:themeShade="80"/>
        <w:sz w:val="20"/>
        <w:szCs w:val="20"/>
      </w:rPr>
      <w:t xml:space="preserve">Governor-General </w:t>
    </w:r>
  </w:p>
  <w:p w:rsidR="00B74C24" w:rsidRDefault="00B1717D" w:rsidP="00B74C24">
    <w:pPr>
      <w:pStyle w:val="Footer"/>
      <w:shd w:val="clear" w:color="auto" w:fill="FFFFFF" w:themeFill="background1"/>
      <w:tabs>
        <w:tab w:val="center" w:pos="5130"/>
        <w:tab w:val="left" w:pos="8265"/>
      </w:tabs>
      <w:spacing w:after="0" w:line="240" w:lineRule="auto"/>
      <w:ind w:left="-567"/>
      <w:contextualSpacing/>
      <w:rPr>
        <w:color w:val="244061" w:themeColor="accent1" w:themeShade="80"/>
        <w:sz w:val="20"/>
        <w:szCs w:val="20"/>
      </w:rPr>
    </w:pPr>
    <w:hyperlink r:id="rId1" w:history="1">
      <w:r w:rsidR="00383A61" w:rsidRPr="001F6F0C">
        <w:rPr>
          <w:rStyle w:val="Hyperlink"/>
          <w:sz w:val="20"/>
          <w:szCs w:val="20"/>
        </w:rPr>
        <w:t>www.dana.org.au</w:t>
      </w:r>
    </w:hyperlink>
    <w:r w:rsidR="00383A61" w:rsidRPr="001F6F0C">
      <w:rPr>
        <w:color w:val="244061" w:themeColor="accent1" w:themeShade="80"/>
        <w:sz w:val="20"/>
        <w:szCs w:val="20"/>
      </w:rPr>
      <w:t xml:space="preserve">  </w:t>
    </w:r>
    <w:hyperlink r:id="rId2" w:history="1">
      <w:r w:rsidR="00383A61" w:rsidRPr="001F6F0C">
        <w:rPr>
          <w:rStyle w:val="Hyperlink"/>
          <w:color w:val="244061" w:themeColor="accent1" w:themeShade="80"/>
          <w:sz w:val="20"/>
          <w:szCs w:val="20"/>
        </w:rPr>
        <w:t>info@dana.org.au</w:t>
      </w:r>
    </w:hyperlink>
    <w:r w:rsidR="00383A61" w:rsidRPr="001F6F0C">
      <w:rPr>
        <w:color w:val="244061" w:themeColor="accent1" w:themeShade="80"/>
        <w:sz w:val="20"/>
        <w:szCs w:val="20"/>
      </w:rPr>
      <w:tab/>
    </w:r>
    <w:r w:rsidR="00383A61" w:rsidRPr="001F6F0C">
      <w:rPr>
        <w:color w:val="244061" w:themeColor="accent1" w:themeShade="80"/>
        <w:sz w:val="20"/>
        <w:szCs w:val="20"/>
      </w:rPr>
      <w:tab/>
    </w:r>
    <w:r w:rsidR="00383A61" w:rsidRPr="00806DCC">
      <w:rPr>
        <w:color w:val="244061" w:themeColor="accent1" w:themeShade="80"/>
        <w:sz w:val="20"/>
        <w:szCs w:val="20"/>
      </w:rPr>
      <w:t xml:space="preserve">                                    </w:t>
    </w:r>
    <w:r w:rsidR="00383A61">
      <w:rPr>
        <w:color w:val="244061" w:themeColor="accent1" w:themeShade="80"/>
        <w:sz w:val="20"/>
        <w:szCs w:val="20"/>
      </w:rPr>
      <w:t xml:space="preserve">    </w:t>
    </w:r>
    <w:r w:rsidR="00B74C24">
      <w:rPr>
        <w:color w:val="244061" w:themeColor="accent1" w:themeShade="80"/>
        <w:sz w:val="20"/>
        <w:szCs w:val="20"/>
      </w:rPr>
      <w:t xml:space="preserve">   </w:t>
    </w:r>
    <w:r w:rsidR="00383A61" w:rsidRPr="00806DCC">
      <w:rPr>
        <w:color w:val="244061" w:themeColor="accent1" w:themeShade="80"/>
        <w:sz w:val="20"/>
        <w:szCs w:val="20"/>
      </w:rPr>
      <w:t xml:space="preserve"> </w:t>
    </w:r>
    <w:r w:rsidR="00B74C24">
      <w:rPr>
        <w:color w:val="244061" w:themeColor="accent1" w:themeShade="80"/>
        <w:sz w:val="20"/>
        <w:szCs w:val="20"/>
      </w:rPr>
      <w:t>of the Commonwealth of Australia</w:t>
    </w:r>
  </w:p>
  <w:p w:rsidR="00383A61" w:rsidRDefault="00383A61" w:rsidP="00B74C24">
    <w:pPr>
      <w:pStyle w:val="Footer"/>
      <w:shd w:val="clear" w:color="auto" w:fill="FFFFFF" w:themeFill="background1"/>
      <w:tabs>
        <w:tab w:val="center" w:pos="5130"/>
        <w:tab w:val="left" w:pos="8265"/>
      </w:tabs>
      <w:spacing w:after="0" w:line="240" w:lineRule="auto"/>
      <w:ind w:left="-567"/>
      <w:contextualSpacing/>
      <w:rPr>
        <w:color w:val="244061" w:themeColor="accent1" w:themeShade="80"/>
        <w:sz w:val="20"/>
        <w:szCs w:val="20"/>
      </w:rPr>
    </w:pPr>
    <w:r w:rsidRPr="004F6C88">
      <w:rPr>
        <w:color w:val="244061" w:themeColor="accent1" w:themeShade="80"/>
        <w:sz w:val="20"/>
        <w:szCs w:val="20"/>
      </w:rPr>
      <w:t>ABN 53 136 792 884</w:t>
    </w:r>
    <w:r>
      <w:rPr>
        <w:color w:val="244061" w:themeColor="accent1" w:themeShade="80"/>
        <w:sz w:val="20"/>
        <w:szCs w:val="20"/>
      </w:rPr>
      <w:t xml:space="preserve"> </w:t>
    </w:r>
  </w:p>
  <w:p w:rsidR="00383A61" w:rsidRPr="001A6E03" w:rsidRDefault="00383A61" w:rsidP="001A6E03">
    <w:pPr>
      <w:pStyle w:val="Footer"/>
      <w:shd w:val="clear" w:color="auto" w:fill="FFFFFF" w:themeFill="background1"/>
      <w:tabs>
        <w:tab w:val="center" w:pos="5130"/>
        <w:tab w:val="right" w:pos="10260"/>
      </w:tabs>
      <w:spacing w:after="0" w:line="240" w:lineRule="auto"/>
      <w:contextualSpacing/>
      <w:rPr>
        <w:color w:val="244061" w:themeColor="accent1" w:themeShade="8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CFB" w:rsidRDefault="007B2CFB" w:rsidP="002C56FB">
      <w:pPr>
        <w:spacing w:after="0" w:line="240" w:lineRule="auto"/>
      </w:pPr>
      <w:r>
        <w:separator/>
      </w:r>
    </w:p>
  </w:footnote>
  <w:footnote w:type="continuationSeparator" w:id="0">
    <w:p w:rsidR="007B2CFB" w:rsidRDefault="007B2CFB" w:rsidP="002C56FB">
      <w:pPr>
        <w:spacing w:after="0" w:line="240" w:lineRule="auto"/>
      </w:pPr>
      <w:r>
        <w:continuationSeparator/>
      </w:r>
    </w:p>
  </w:footnote>
  <w:footnote w:id="1">
    <w:p w:rsidR="007B2CFB" w:rsidRPr="00050A71" w:rsidRDefault="007B2CFB" w:rsidP="007B2CFB">
      <w:pPr>
        <w:pStyle w:val="FootnoteText"/>
        <w:spacing w:after="80"/>
        <w:ind w:left="153" w:right="928" w:hanging="153"/>
        <w:rPr>
          <w:rFonts w:ascii="Arial Narrow" w:hAnsi="Arial Narrow"/>
          <w:sz w:val="16"/>
          <w:szCs w:val="16"/>
        </w:rPr>
      </w:pPr>
      <w:r w:rsidRPr="00050A71">
        <w:rPr>
          <w:rStyle w:val="FootnoteReference"/>
          <w:rFonts w:ascii="Arial Narrow" w:hAnsi="Arial Narrow"/>
          <w:sz w:val="16"/>
          <w:szCs w:val="16"/>
        </w:rPr>
        <w:footnoteRef/>
      </w:r>
      <w:r w:rsidRPr="00050A71">
        <w:rPr>
          <w:rFonts w:ascii="Arial Narrow" w:hAnsi="Arial Narrow"/>
          <w:sz w:val="16"/>
          <w:szCs w:val="16"/>
        </w:rPr>
        <w:t xml:space="preserve"> Law and Justice Foundation of NSW, </w:t>
      </w:r>
      <w:r w:rsidRPr="00050A71">
        <w:rPr>
          <w:rFonts w:ascii="Arial Narrow" w:hAnsi="Arial Narrow"/>
          <w:i/>
          <w:sz w:val="16"/>
          <w:szCs w:val="16"/>
        </w:rPr>
        <w:t xml:space="preserve">Legal Needs of people with a disability in Australia </w:t>
      </w:r>
      <w:r w:rsidRPr="00050A71">
        <w:rPr>
          <w:rFonts w:ascii="Arial Narrow" w:hAnsi="Arial Narrow"/>
          <w:sz w:val="16"/>
          <w:szCs w:val="16"/>
        </w:rPr>
        <w:t xml:space="preserve">(November 2012, </w:t>
      </w:r>
      <w:r w:rsidRPr="00050A71">
        <w:rPr>
          <w:rFonts w:ascii="Arial Narrow" w:eastAsia="Times New Roman" w:hAnsi="Arial Narrow" w:cs="Times New Roman"/>
          <w:sz w:val="16"/>
          <w:szCs w:val="16"/>
          <w:lang w:eastAsia="en-AU"/>
        </w:rPr>
        <w:t xml:space="preserve">Law and Justice Foundation of NSW, Sydney) </w:t>
      </w:r>
      <w:hyperlink r:id="rId1" w:history="1">
        <w:r w:rsidRPr="00050A71">
          <w:rPr>
            <w:rStyle w:val="Hyperlink"/>
            <w:rFonts w:ascii="Arial Narrow" w:eastAsia="Times New Roman" w:hAnsi="Arial Narrow" w:cs="Times New Roman"/>
            <w:sz w:val="16"/>
            <w:szCs w:val="16"/>
            <w:lang w:eastAsia="en-AU"/>
          </w:rPr>
          <w:t>http://www.lawfoundation.net.au/ljf/site/templates/UpdatingJustice/$file/UJ_16_Disability_AUS_FINAL.pdf</w:t>
        </w:r>
      </w:hyperlink>
      <w:r w:rsidRPr="00050A71">
        <w:rPr>
          <w:rFonts w:ascii="Arial Narrow" w:eastAsia="Times New Roman" w:hAnsi="Arial Narrow" w:cs="Times New Roman"/>
          <w:sz w:val="16"/>
          <w:szCs w:val="16"/>
          <w:lang w:eastAsia="en-AU"/>
        </w:rPr>
        <w:t xml:space="preserve">. </w:t>
      </w:r>
    </w:p>
  </w:footnote>
  <w:footnote w:id="2">
    <w:p w:rsidR="007B2CFB" w:rsidRPr="00050A71" w:rsidRDefault="007B2CFB" w:rsidP="007B2CFB">
      <w:pPr>
        <w:pStyle w:val="FootnoteText"/>
        <w:spacing w:after="80"/>
        <w:ind w:left="153" w:right="928" w:hanging="153"/>
        <w:rPr>
          <w:rFonts w:ascii="Arial Narrow" w:hAnsi="Arial Narrow"/>
          <w:sz w:val="16"/>
          <w:szCs w:val="16"/>
        </w:rPr>
      </w:pPr>
      <w:r w:rsidRPr="00050A71">
        <w:rPr>
          <w:rStyle w:val="FootnoteReference"/>
          <w:rFonts w:ascii="Arial Narrow" w:hAnsi="Arial Narrow"/>
          <w:sz w:val="16"/>
          <w:szCs w:val="16"/>
        </w:rPr>
        <w:footnoteRef/>
      </w:r>
      <w:r w:rsidRPr="00050A71">
        <w:rPr>
          <w:rFonts w:ascii="Arial Narrow" w:hAnsi="Arial Narrow"/>
          <w:sz w:val="16"/>
          <w:szCs w:val="16"/>
        </w:rPr>
        <w:t xml:space="preserve"> Law Reform Committee, Parliament of Victoria, </w:t>
      </w:r>
      <w:r w:rsidRPr="00050A71">
        <w:rPr>
          <w:rFonts w:ascii="Arial Narrow" w:hAnsi="Arial Narrow"/>
          <w:i/>
          <w:sz w:val="16"/>
          <w:szCs w:val="16"/>
        </w:rPr>
        <w:t>Inquiry into Access to and Interaction with the Justice System by People with an Intellectual Disability and their Families and Carers</w:t>
      </w:r>
      <w:r w:rsidRPr="00050A71">
        <w:rPr>
          <w:rFonts w:ascii="Arial Narrow" w:hAnsi="Arial Narrow"/>
          <w:sz w:val="16"/>
          <w:szCs w:val="16"/>
        </w:rPr>
        <w:t xml:space="preserve"> (Melbourne, March 2013) 4-7.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A61" w:rsidRDefault="00383A61" w:rsidP="00B74C24">
    <w:pPr>
      <w:pStyle w:val="Header"/>
    </w:pPr>
    <w:r>
      <w:rPr>
        <w:noProof/>
        <w:lang w:val="en-AU" w:eastAsia="en-AU"/>
      </w:rPr>
      <w:drawing>
        <wp:anchor distT="0" distB="0" distL="114300" distR="114300" simplePos="0" relativeHeight="251658240" behindDoc="0" locked="0" layoutInCell="1" allowOverlap="1">
          <wp:simplePos x="0" y="0"/>
          <wp:positionH relativeFrom="column">
            <wp:posOffset>713740</wp:posOffset>
          </wp:positionH>
          <wp:positionV relativeFrom="paragraph">
            <wp:posOffset>168275</wp:posOffset>
          </wp:positionV>
          <wp:extent cx="4476750" cy="895350"/>
          <wp:effectExtent l="19050" t="0" r="0" b="0"/>
          <wp:wrapNone/>
          <wp:docPr id="4" name="Picture 4" descr="DANA Inline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A Inline COL.JPG"/>
                  <pic:cNvPicPr>
                    <a:picLocks noChangeAspect="1" noChangeArrowheads="1"/>
                  </pic:cNvPicPr>
                </pic:nvPicPr>
                <pic:blipFill>
                  <a:blip r:embed="rId1"/>
                  <a:srcRect/>
                  <a:stretch>
                    <a:fillRect/>
                  </a:stretch>
                </pic:blipFill>
                <pic:spPr bwMode="auto">
                  <a:xfrm>
                    <a:off x="0" y="0"/>
                    <a:ext cx="4476750" cy="8953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6176C"/>
    <w:multiLevelType w:val="hybridMultilevel"/>
    <w:tmpl w:val="96D02F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13B672C4"/>
    <w:multiLevelType w:val="hybridMultilevel"/>
    <w:tmpl w:val="163AF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8C5967"/>
    <w:multiLevelType w:val="hybridMultilevel"/>
    <w:tmpl w:val="3B8CE8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388B5E0E"/>
    <w:multiLevelType w:val="hybridMultilevel"/>
    <w:tmpl w:val="FC8401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F433B24"/>
    <w:multiLevelType w:val="hybridMultilevel"/>
    <w:tmpl w:val="D71494B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486E6C06"/>
    <w:multiLevelType w:val="hybridMultilevel"/>
    <w:tmpl w:val="1CEA9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2548A6"/>
    <w:multiLevelType w:val="hybridMultilevel"/>
    <w:tmpl w:val="8E32AC8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6AED563B"/>
    <w:multiLevelType w:val="hybridMultilevel"/>
    <w:tmpl w:val="5070299E"/>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8">
    <w:nsid w:val="72A86EA6"/>
    <w:multiLevelType w:val="hybridMultilevel"/>
    <w:tmpl w:val="9CE48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DA37FE"/>
    <w:multiLevelType w:val="hybridMultilevel"/>
    <w:tmpl w:val="ADB8E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1954D1"/>
    <w:multiLevelType w:val="hybridMultilevel"/>
    <w:tmpl w:val="2D5A4A0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nsid w:val="7EB414E0"/>
    <w:multiLevelType w:val="hybridMultilevel"/>
    <w:tmpl w:val="9A3EAFB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8"/>
  </w:num>
  <w:num w:numId="2">
    <w:abstractNumId w:val="1"/>
  </w:num>
  <w:num w:numId="3">
    <w:abstractNumId w:val="11"/>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5"/>
  </w:num>
  <w:num w:numId="7">
    <w:abstractNumId w:val="10"/>
  </w:num>
  <w:num w:numId="8">
    <w:abstractNumId w:val="3"/>
  </w:num>
  <w:num w:numId="9">
    <w:abstractNumId w:val="4"/>
  </w:num>
  <w:num w:numId="10">
    <w:abstractNumId w:val="0"/>
  </w:num>
  <w:num w:numId="11">
    <w:abstractNumId w:val="2"/>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readOnly" w:formatting="1" w:enforcement="1" w:cryptProviderType="rsaAES" w:cryptAlgorithmClass="hash" w:cryptAlgorithmType="typeAny" w:cryptAlgorithmSid="14" w:cryptSpinCount="100000" w:hash="5gW6KLthV6dmItRiUlAlPFgRon8kyFQsByqxfMN0X+4we94DHESWDOxRl835wJnmF0jdxW8LkHqM0WHKx7O9yg==" w:salt="wZR9W2fKMS0JXW8gG+NmTQ=="/>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CFB"/>
    <w:rsid w:val="00001148"/>
    <w:rsid w:val="00080C25"/>
    <w:rsid w:val="00084B78"/>
    <w:rsid w:val="00086B37"/>
    <w:rsid w:val="000C762A"/>
    <w:rsid w:val="00126C44"/>
    <w:rsid w:val="00141011"/>
    <w:rsid w:val="00154F28"/>
    <w:rsid w:val="0018571E"/>
    <w:rsid w:val="001A314A"/>
    <w:rsid w:val="001A34F2"/>
    <w:rsid w:val="001A473B"/>
    <w:rsid w:val="001A6880"/>
    <w:rsid w:val="001A6E03"/>
    <w:rsid w:val="001B29E3"/>
    <w:rsid w:val="001D68B4"/>
    <w:rsid w:val="001E3594"/>
    <w:rsid w:val="001F6462"/>
    <w:rsid w:val="00214E01"/>
    <w:rsid w:val="002304F4"/>
    <w:rsid w:val="002573C5"/>
    <w:rsid w:val="002B7965"/>
    <w:rsid w:val="002C56FB"/>
    <w:rsid w:val="002C574E"/>
    <w:rsid w:val="002F1DAB"/>
    <w:rsid w:val="0033562C"/>
    <w:rsid w:val="00337D81"/>
    <w:rsid w:val="003563C6"/>
    <w:rsid w:val="00383A61"/>
    <w:rsid w:val="003C56C8"/>
    <w:rsid w:val="003F4068"/>
    <w:rsid w:val="00430A7B"/>
    <w:rsid w:val="0046471B"/>
    <w:rsid w:val="00467649"/>
    <w:rsid w:val="004703CC"/>
    <w:rsid w:val="00472036"/>
    <w:rsid w:val="00492127"/>
    <w:rsid w:val="004C242D"/>
    <w:rsid w:val="004D1675"/>
    <w:rsid w:val="005171D5"/>
    <w:rsid w:val="00521D2D"/>
    <w:rsid w:val="00531DC8"/>
    <w:rsid w:val="0053545B"/>
    <w:rsid w:val="005356A6"/>
    <w:rsid w:val="00540C9C"/>
    <w:rsid w:val="00592579"/>
    <w:rsid w:val="005D0BA3"/>
    <w:rsid w:val="005F712D"/>
    <w:rsid w:val="0061293D"/>
    <w:rsid w:val="00661679"/>
    <w:rsid w:val="00661F3D"/>
    <w:rsid w:val="00681C71"/>
    <w:rsid w:val="006A5FE0"/>
    <w:rsid w:val="006F2F60"/>
    <w:rsid w:val="00711AAC"/>
    <w:rsid w:val="007571B3"/>
    <w:rsid w:val="007604CD"/>
    <w:rsid w:val="00775245"/>
    <w:rsid w:val="00781C69"/>
    <w:rsid w:val="00791A85"/>
    <w:rsid w:val="007B2CFB"/>
    <w:rsid w:val="007C5DC3"/>
    <w:rsid w:val="007D5976"/>
    <w:rsid w:val="00806DCC"/>
    <w:rsid w:val="00813F54"/>
    <w:rsid w:val="00842ED9"/>
    <w:rsid w:val="008558FA"/>
    <w:rsid w:val="00881D4A"/>
    <w:rsid w:val="00893652"/>
    <w:rsid w:val="008D1C98"/>
    <w:rsid w:val="008E17CD"/>
    <w:rsid w:val="00925EB5"/>
    <w:rsid w:val="00952204"/>
    <w:rsid w:val="00956027"/>
    <w:rsid w:val="00965594"/>
    <w:rsid w:val="0097022F"/>
    <w:rsid w:val="00971769"/>
    <w:rsid w:val="00976C01"/>
    <w:rsid w:val="009772AC"/>
    <w:rsid w:val="00977591"/>
    <w:rsid w:val="00983B86"/>
    <w:rsid w:val="00996FF0"/>
    <w:rsid w:val="009A43EF"/>
    <w:rsid w:val="009C050D"/>
    <w:rsid w:val="009C1CAB"/>
    <w:rsid w:val="009D6CDE"/>
    <w:rsid w:val="00A20085"/>
    <w:rsid w:val="00A2320F"/>
    <w:rsid w:val="00A567FB"/>
    <w:rsid w:val="00A625FE"/>
    <w:rsid w:val="00A71BA4"/>
    <w:rsid w:val="00A742D6"/>
    <w:rsid w:val="00A829A6"/>
    <w:rsid w:val="00AB3DFA"/>
    <w:rsid w:val="00AC6211"/>
    <w:rsid w:val="00AC7FB4"/>
    <w:rsid w:val="00AE2FC9"/>
    <w:rsid w:val="00AE4256"/>
    <w:rsid w:val="00AE73B9"/>
    <w:rsid w:val="00B1717D"/>
    <w:rsid w:val="00B47E34"/>
    <w:rsid w:val="00B53FE4"/>
    <w:rsid w:val="00B74C24"/>
    <w:rsid w:val="00B81DB4"/>
    <w:rsid w:val="00BB097B"/>
    <w:rsid w:val="00BB4EC6"/>
    <w:rsid w:val="00BB6982"/>
    <w:rsid w:val="00C155F8"/>
    <w:rsid w:val="00C24AC4"/>
    <w:rsid w:val="00C323BB"/>
    <w:rsid w:val="00C47227"/>
    <w:rsid w:val="00D163C0"/>
    <w:rsid w:val="00D760F1"/>
    <w:rsid w:val="00DA1B9B"/>
    <w:rsid w:val="00DB5F05"/>
    <w:rsid w:val="00DC3420"/>
    <w:rsid w:val="00DD778D"/>
    <w:rsid w:val="00DE74DF"/>
    <w:rsid w:val="00E063FD"/>
    <w:rsid w:val="00E119B9"/>
    <w:rsid w:val="00E270C3"/>
    <w:rsid w:val="00E31382"/>
    <w:rsid w:val="00E36EF1"/>
    <w:rsid w:val="00E614B8"/>
    <w:rsid w:val="00E716DE"/>
    <w:rsid w:val="00E97698"/>
    <w:rsid w:val="00EC124F"/>
    <w:rsid w:val="00ED48A0"/>
    <w:rsid w:val="00EE53AE"/>
    <w:rsid w:val="00F03A97"/>
    <w:rsid w:val="00F05380"/>
    <w:rsid w:val="00F96FD4"/>
    <w:rsid w:val="00FA1CE6"/>
    <w:rsid w:val="00FB02D0"/>
    <w:rsid w:val="00FD42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011"/>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227"/>
    <w:pPr>
      <w:ind w:left="720"/>
      <w:contextualSpacing/>
    </w:pPr>
  </w:style>
  <w:style w:type="character" w:styleId="Hyperlink">
    <w:name w:val="Hyperlink"/>
    <w:basedOn w:val="DefaultParagraphFont"/>
    <w:unhideWhenUsed/>
    <w:rsid w:val="008558FA"/>
    <w:rPr>
      <w:color w:val="0000FF"/>
      <w:u w:val="single"/>
    </w:rPr>
  </w:style>
  <w:style w:type="paragraph" w:styleId="Header">
    <w:name w:val="header"/>
    <w:basedOn w:val="Normal"/>
    <w:link w:val="HeaderChar"/>
    <w:uiPriority w:val="99"/>
    <w:unhideWhenUsed/>
    <w:rsid w:val="002C56FB"/>
    <w:pPr>
      <w:tabs>
        <w:tab w:val="center" w:pos="4680"/>
        <w:tab w:val="right" w:pos="9360"/>
      </w:tabs>
    </w:pPr>
  </w:style>
  <w:style w:type="character" w:customStyle="1" w:styleId="HeaderChar">
    <w:name w:val="Header Char"/>
    <w:basedOn w:val="DefaultParagraphFont"/>
    <w:link w:val="Header"/>
    <w:uiPriority w:val="99"/>
    <w:rsid w:val="002C56FB"/>
    <w:rPr>
      <w:sz w:val="22"/>
      <w:szCs w:val="22"/>
    </w:rPr>
  </w:style>
  <w:style w:type="paragraph" w:styleId="Footer">
    <w:name w:val="footer"/>
    <w:basedOn w:val="Normal"/>
    <w:link w:val="FooterChar"/>
    <w:uiPriority w:val="99"/>
    <w:unhideWhenUsed/>
    <w:rsid w:val="002C56FB"/>
    <w:pPr>
      <w:tabs>
        <w:tab w:val="center" w:pos="4680"/>
        <w:tab w:val="right" w:pos="9360"/>
      </w:tabs>
    </w:pPr>
  </w:style>
  <w:style w:type="character" w:customStyle="1" w:styleId="FooterChar">
    <w:name w:val="Footer Char"/>
    <w:basedOn w:val="DefaultParagraphFont"/>
    <w:link w:val="Footer"/>
    <w:uiPriority w:val="99"/>
    <w:rsid w:val="002C56FB"/>
    <w:rPr>
      <w:sz w:val="22"/>
      <w:szCs w:val="22"/>
    </w:rPr>
  </w:style>
  <w:style w:type="paragraph" w:styleId="BalloonText">
    <w:name w:val="Balloon Text"/>
    <w:basedOn w:val="Normal"/>
    <w:link w:val="BalloonTextChar"/>
    <w:uiPriority w:val="99"/>
    <w:semiHidden/>
    <w:unhideWhenUsed/>
    <w:rsid w:val="00AC7F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FB4"/>
    <w:rPr>
      <w:rFonts w:ascii="Tahoma" w:hAnsi="Tahoma" w:cs="Tahoma"/>
      <w:sz w:val="16"/>
      <w:szCs w:val="16"/>
    </w:rPr>
  </w:style>
  <w:style w:type="paragraph" w:styleId="NoSpacing">
    <w:name w:val="No Spacing"/>
    <w:uiPriority w:val="1"/>
    <w:qFormat/>
    <w:rsid w:val="00FB02D0"/>
    <w:rPr>
      <w:sz w:val="22"/>
      <w:szCs w:val="22"/>
      <w:lang w:val="en-US" w:eastAsia="en-US"/>
    </w:rPr>
  </w:style>
  <w:style w:type="table" w:styleId="TableGrid">
    <w:name w:val="Table Grid"/>
    <w:basedOn w:val="TableNormal"/>
    <w:uiPriority w:val="59"/>
    <w:rsid w:val="009A43E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rsid w:val="007B2CFB"/>
    <w:pPr>
      <w:widowControl w:val="0"/>
      <w:suppressAutoHyphens/>
      <w:autoSpaceDN w:val="0"/>
      <w:textAlignment w:val="baseline"/>
    </w:pPr>
    <w:rPr>
      <w:rFonts w:ascii="Times New Roman" w:eastAsia="Arial Unicode MS" w:hAnsi="Times New Roman" w:cs="Arial Unicode MS"/>
      <w:kern w:val="3"/>
      <w:sz w:val="24"/>
      <w:szCs w:val="24"/>
      <w:lang w:eastAsia="zh-CN" w:bidi="hi-IN"/>
    </w:rPr>
  </w:style>
  <w:style w:type="paragraph" w:styleId="FootnoteText">
    <w:name w:val="footnote text"/>
    <w:basedOn w:val="Normal"/>
    <w:link w:val="FootnoteTextChar"/>
    <w:uiPriority w:val="99"/>
    <w:unhideWhenUsed/>
    <w:rsid w:val="007B2CFB"/>
    <w:pPr>
      <w:spacing w:after="0" w:line="240" w:lineRule="auto"/>
    </w:pPr>
    <w:rPr>
      <w:rFonts w:asciiTheme="minorHAnsi" w:eastAsiaTheme="minorHAnsi" w:hAnsiTheme="minorHAnsi" w:cstheme="minorBidi"/>
      <w:sz w:val="20"/>
      <w:szCs w:val="20"/>
      <w:lang w:val="en-AU"/>
    </w:rPr>
  </w:style>
  <w:style w:type="character" w:customStyle="1" w:styleId="FootnoteTextChar">
    <w:name w:val="Footnote Text Char"/>
    <w:basedOn w:val="DefaultParagraphFont"/>
    <w:link w:val="FootnoteText"/>
    <w:uiPriority w:val="99"/>
    <w:rsid w:val="007B2CFB"/>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7B2CF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011"/>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227"/>
    <w:pPr>
      <w:ind w:left="720"/>
      <w:contextualSpacing/>
    </w:pPr>
  </w:style>
  <w:style w:type="character" w:styleId="Hyperlink">
    <w:name w:val="Hyperlink"/>
    <w:basedOn w:val="DefaultParagraphFont"/>
    <w:unhideWhenUsed/>
    <w:rsid w:val="008558FA"/>
    <w:rPr>
      <w:color w:val="0000FF"/>
      <w:u w:val="single"/>
    </w:rPr>
  </w:style>
  <w:style w:type="paragraph" w:styleId="Header">
    <w:name w:val="header"/>
    <w:basedOn w:val="Normal"/>
    <w:link w:val="HeaderChar"/>
    <w:uiPriority w:val="99"/>
    <w:unhideWhenUsed/>
    <w:rsid w:val="002C56FB"/>
    <w:pPr>
      <w:tabs>
        <w:tab w:val="center" w:pos="4680"/>
        <w:tab w:val="right" w:pos="9360"/>
      </w:tabs>
    </w:pPr>
  </w:style>
  <w:style w:type="character" w:customStyle="1" w:styleId="HeaderChar">
    <w:name w:val="Header Char"/>
    <w:basedOn w:val="DefaultParagraphFont"/>
    <w:link w:val="Header"/>
    <w:uiPriority w:val="99"/>
    <w:rsid w:val="002C56FB"/>
    <w:rPr>
      <w:sz w:val="22"/>
      <w:szCs w:val="22"/>
    </w:rPr>
  </w:style>
  <w:style w:type="paragraph" w:styleId="Footer">
    <w:name w:val="footer"/>
    <w:basedOn w:val="Normal"/>
    <w:link w:val="FooterChar"/>
    <w:uiPriority w:val="99"/>
    <w:unhideWhenUsed/>
    <w:rsid w:val="002C56FB"/>
    <w:pPr>
      <w:tabs>
        <w:tab w:val="center" w:pos="4680"/>
        <w:tab w:val="right" w:pos="9360"/>
      </w:tabs>
    </w:pPr>
  </w:style>
  <w:style w:type="character" w:customStyle="1" w:styleId="FooterChar">
    <w:name w:val="Footer Char"/>
    <w:basedOn w:val="DefaultParagraphFont"/>
    <w:link w:val="Footer"/>
    <w:uiPriority w:val="99"/>
    <w:rsid w:val="002C56FB"/>
    <w:rPr>
      <w:sz w:val="22"/>
      <w:szCs w:val="22"/>
    </w:rPr>
  </w:style>
  <w:style w:type="paragraph" w:styleId="BalloonText">
    <w:name w:val="Balloon Text"/>
    <w:basedOn w:val="Normal"/>
    <w:link w:val="BalloonTextChar"/>
    <w:uiPriority w:val="99"/>
    <w:semiHidden/>
    <w:unhideWhenUsed/>
    <w:rsid w:val="00AC7F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FB4"/>
    <w:rPr>
      <w:rFonts w:ascii="Tahoma" w:hAnsi="Tahoma" w:cs="Tahoma"/>
      <w:sz w:val="16"/>
      <w:szCs w:val="16"/>
    </w:rPr>
  </w:style>
  <w:style w:type="paragraph" w:styleId="NoSpacing">
    <w:name w:val="No Spacing"/>
    <w:uiPriority w:val="1"/>
    <w:qFormat/>
    <w:rsid w:val="00FB02D0"/>
    <w:rPr>
      <w:sz w:val="22"/>
      <w:szCs w:val="22"/>
      <w:lang w:val="en-US" w:eastAsia="en-US"/>
    </w:rPr>
  </w:style>
  <w:style w:type="table" w:styleId="TableGrid">
    <w:name w:val="Table Grid"/>
    <w:basedOn w:val="TableNormal"/>
    <w:uiPriority w:val="59"/>
    <w:rsid w:val="009A43E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rsid w:val="007B2CFB"/>
    <w:pPr>
      <w:widowControl w:val="0"/>
      <w:suppressAutoHyphens/>
      <w:autoSpaceDN w:val="0"/>
      <w:textAlignment w:val="baseline"/>
    </w:pPr>
    <w:rPr>
      <w:rFonts w:ascii="Times New Roman" w:eastAsia="Arial Unicode MS" w:hAnsi="Times New Roman" w:cs="Arial Unicode MS"/>
      <w:kern w:val="3"/>
      <w:sz w:val="24"/>
      <w:szCs w:val="24"/>
      <w:lang w:eastAsia="zh-CN" w:bidi="hi-IN"/>
    </w:rPr>
  </w:style>
  <w:style w:type="paragraph" w:styleId="FootnoteText">
    <w:name w:val="footnote text"/>
    <w:basedOn w:val="Normal"/>
    <w:link w:val="FootnoteTextChar"/>
    <w:uiPriority w:val="99"/>
    <w:unhideWhenUsed/>
    <w:rsid w:val="007B2CFB"/>
    <w:pPr>
      <w:spacing w:after="0" w:line="240" w:lineRule="auto"/>
    </w:pPr>
    <w:rPr>
      <w:rFonts w:asciiTheme="minorHAnsi" w:eastAsiaTheme="minorHAnsi" w:hAnsiTheme="minorHAnsi" w:cstheme="minorBidi"/>
      <w:sz w:val="20"/>
      <w:szCs w:val="20"/>
      <w:lang w:val="en-AU"/>
    </w:rPr>
  </w:style>
  <w:style w:type="character" w:customStyle="1" w:styleId="FootnoteTextChar">
    <w:name w:val="Footnote Text Char"/>
    <w:basedOn w:val="DefaultParagraphFont"/>
    <w:link w:val="FootnoteText"/>
    <w:uiPriority w:val="99"/>
    <w:rsid w:val="007B2CFB"/>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7B2C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985140">
      <w:bodyDiv w:val="1"/>
      <w:marLeft w:val="0"/>
      <w:marRight w:val="0"/>
      <w:marTop w:val="0"/>
      <w:marBottom w:val="0"/>
      <w:divBdr>
        <w:top w:val="none" w:sz="0" w:space="0" w:color="auto"/>
        <w:left w:val="none" w:sz="0" w:space="0" w:color="auto"/>
        <w:bottom w:val="none" w:sz="0" w:space="0" w:color="auto"/>
        <w:right w:val="none" w:sz="0" w:space="0" w:color="auto"/>
      </w:divBdr>
    </w:div>
    <w:div w:id="963538879">
      <w:bodyDiv w:val="1"/>
      <w:marLeft w:val="0"/>
      <w:marRight w:val="0"/>
      <w:marTop w:val="0"/>
      <w:marBottom w:val="0"/>
      <w:divBdr>
        <w:top w:val="none" w:sz="0" w:space="0" w:color="auto"/>
        <w:left w:val="none" w:sz="0" w:space="0" w:color="auto"/>
        <w:bottom w:val="none" w:sz="0" w:space="0" w:color="auto"/>
        <w:right w:val="none" w:sz="0" w:space="0" w:color="auto"/>
      </w:divBdr>
    </w:div>
    <w:div w:id="161116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dana.org.au" TargetMode="External"/><Relationship Id="rId1" Type="http://schemas.openxmlformats.org/officeDocument/2006/relationships/hyperlink" Target="http://www.dana.org.a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lawfoundation.net.au/ljf/site/templates/UpdatingJustice/$file/UJ_16_Disability_AUS_FI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881</Words>
  <Characters>5026</Characters>
  <Application>Microsoft Office Word</Application>
  <DocSecurity>12</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ADACAS</Company>
  <LinksUpToDate>false</LinksUpToDate>
  <CharactersWithSpaces>5896</CharactersWithSpaces>
  <SharedDoc>false</SharedDoc>
  <HLinks>
    <vt:vector size="18" baseType="variant">
      <vt:variant>
        <vt:i4>4456499</vt:i4>
      </vt:variant>
      <vt:variant>
        <vt:i4>3</vt:i4>
      </vt:variant>
      <vt:variant>
        <vt:i4>0</vt:i4>
      </vt:variant>
      <vt:variant>
        <vt:i4>5</vt:i4>
      </vt:variant>
      <vt:variant>
        <vt:lpwstr>mailto:info@dana.org.au</vt:lpwstr>
      </vt:variant>
      <vt:variant>
        <vt:lpwstr/>
      </vt:variant>
      <vt:variant>
        <vt:i4>4456499</vt:i4>
      </vt:variant>
      <vt:variant>
        <vt:i4>0</vt:i4>
      </vt:variant>
      <vt:variant>
        <vt:i4>0</vt:i4>
      </vt:variant>
      <vt:variant>
        <vt:i4>5</vt:i4>
      </vt:variant>
      <vt:variant>
        <vt:lpwstr>mailto:info@dana.org.au</vt:lpwstr>
      </vt:variant>
      <vt:variant>
        <vt:lpwstr/>
      </vt:variant>
      <vt:variant>
        <vt:i4>2490425</vt:i4>
      </vt:variant>
      <vt:variant>
        <vt:i4>0</vt:i4>
      </vt:variant>
      <vt:variant>
        <vt:i4>0</vt:i4>
      </vt:variant>
      <vt:variant>
        <vt:i4>5</vt:i4>
      </vt:variant>
      <vt:variant>
        <vt:lpwstr>http://www.dana.org.au/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35 - Disability Advocacy Network Australia (DANA) - Access to Justice Arrangements - Public inquiry</dc:title>
  <dc:creator>Disability Advocacy Network Australia (DANA)</dc:creator>
  <cp:lastModifiedBy>Productivity Commission</cp:lastModifiedBy>
  <cp:revision>2</cp:revision>
  <cp:lastPrinted>2013-11-07T03:05:00Z</cp:lastPrinted>
  <dcterms:created xsi:type="dcterms:W3CDTF">2013-11-08T00:48:00Z</dcterms:created>
  <dcterms:modified xsi:type="dcterms:W3CDTF">2013-11-08T00:48:00Z</dcterms:modified>
</cp:coreProperties>
</file>