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4CF3D1EA" w14:textId="77777777" w:rsidR="0049695F" w:rsidRPr="003967D2" w:rsidRDefault="0049695F" w:rsidP="008109C2">
          <w:pPr>
            <w:pStyle w:val="BodyText"/>
            <w:tabs>
              <w:tab w:val="left" w:pos="3544"/>
            </w:tabs>
            <w:spacing w:after="0"/>
            <w:rPr>
              <w:color w:val="FFFFFF" w:themeColor="background1"/>
            </w:rPr>
          </w:pPr>
        </w:p>
        <w:p w14:paraId="40C8CDA8" w14:textId="454653D6" w:rsidR="0049695F" w:rsidRPr="00DC5DFF" w:rsidRDefault="00387187" w:rsidP="0049695F">
          <w:pPr>
            <w:pStyle w:val="Coverdate"/>
            <w:framePr w:wrap="around"/>
          </w:pPr>
          <w:r>
            <w:t>October 2022</w:t>
          </w:r>
        </w:p>
        <w:p w14:paraId="72868317" w14:textId="77777777" w:rsidR="0049695F" w:rsidRDefault="0049695F" w:rsidP="0049695F">
          <w:pPr>
            <w:pStyle w:val="CoverImage"/>
            <w:framePr w:h="10036" w:hRule="exact" w:wrap="around" w:y="6805" w:anchorLock="0"/>
          </w:pPr>
          <w:r>
            <w:rPr>
              <w:noProof/>
            </w:rPr>
            <w:drawing>
              <wp:inline distT="0" distB="0" distL="0" distR="0" wp14:anchorId="1D961792" wp14:editId="2A112055">
                <wp:extent cx="7704000" cy="6504909"/>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504909"/>
                        </a:xfrm>
                        <a:prstGeom prst="rect">
                          <a:avLst/>
                        </a:prstGeom>
                      </pic:spPr>
                    </pic:pic>
                  </a:graphicData>
                </a:graphic>
              </wp:inline>
            </w:drawing>
          </w:r>
        </w:p>
        <w:p w14:paraId="2D5FFA20" w14:textId="7FA0C4FB" w:rsidR="0049695F" w:rsidRPr="00C26A02" w:rsidRDefault="00A44A88" w:rsidP="0049695F">
          <w:pPr>
            <w:pStyle w:val="Title"/>
            <w:spacing w:before="120"/>
          </w:pPr>
          <w:r>
            <w:rPr>
              <w:rStyle w:val="TitleChar"/>
              <w:color w:val="auto"/>
            </w:rPr>
            <w:t>A</w:t>
          </w:r>
          <w:r w:rsidR="00C4454B">
            <w:rPr>
              <w:rStyle w:val="TitleChar"/>
              <w:color w:val="auto"/>
            </w:rPr>
            <w:t>ged care</w:t>
          </w:r>
          <w:r>
            <w:rPr>
              <w:rStyle w:val="TitleChar"/>
              <w:color w:val="auto"/>
            </w:rPr>
            <w:t xml:space="preserve"> employment</w:t>
          </w:r>
        </w:p>
        <w:p w14:paraId="560B5F56" w14:textId="2F6FC123" w:rsidR="0049695F" w:rsidRPr="0049695F" w:rsidRDefault="00670F22" w:rsidP="0049695F">
          <w:pPr>
            <w:pStyle w:val="Subtitle"/>
            <w:rPr>
              <w:color w:val="auto"/>
            </w:rPr>
          </w:pPr>
          <w:r>
            <w:rPr>
              <w:color w:val="auto"/>
            </w:rPr>
            <w:t>Study</w:t>
          </w:r>
          <w:r w:rsidR="00B342E3">
            <w:rPr>
              <w:color w:val="auto"/>
            </w:rPr>
            <w:t xml:space="preserve"> </w:t>
          </w:r>
          <w:r>
            <w:rPr>
              <w:color w:val="auto"/>
            </w:rPr>
            <w:t>r</w:t>
          </w:r>
          <w:r w:rsidR="00B342E3">
            <w:rPr>
              <w:color w:val="auto"/>
            </w:rPr>
            <w:t>epor</w:t>
          </w:r>
          <w:r>
            <w:rPr>
              <w:color w:val="auto"/>
            </w:rPr>
            <w:t>t</w:t>
          </w:r>
          <w:r w:rsidR="00C2771B">
            <w:rPr>
              <w:color w:val="auto"/>
            </w:rPr>
            <w:br/>
          </w:r>
          <w:r w:rsidR="00C2771B" w:rsidRPr="00C2771B">
            <w:rPr>
              <w:color w:val="auto"/>
              <w:sz w:val="28"/>
              <w:szCs w:val="28"/>
            </w:rPr>
            <w:t>Overview</w:t>
          </w:r>
        </w:p>
        <w:p w14:paraId="0D554B8C" w14:textId="77777777" w:rsidR="0049695F" w:rsidRDefault="0049695F" w:rsidP="0049695F">
          <w:pPr>
            <w:spacing w:after="160" w:line="259" w:lineRule="auto"/>
          </w:pPr>
        </w:p>
        <w:p w14:paraId="1C400384" w14:textId="77777777" w:rsidR="00B302FA" w:rsidRDefault="00B302FA" w:rsidP="0049695F">
          <w:pPr>
            <w:pStyle w:val="CoverImage"/>
            <w:framePr w:wrap="around"/>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5903081A" w14:textId="77777777" w:rsidTr="00C14016">
            <w:trPr>
              <w:trHeight w:hRule="exact" w:val="12643"/>
            </w:trPr>
            <w:tc>
              <w:tcPr>
                <w:tcW w:w="9638" w:type="dxa"/>
                <w:tcMar>
                  <w:top w:w="113" w:type="dxa"/>
                </w:tcMar>
              </w:tcPr>
              <w:p w14:paraId="5ED3A7A2" w14:textId="77777777" w:rsidR="00C31E23" w:rsidRPr="000F4488" w:rsidRDefault="00B302FA" w:rsidP="008E3B89">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78D2D308" w14:textId="77777777" w:rsidR="00C31E23" w:rsidRPr="00F37CB6" w:rsidRDefault="00C31E23" w:rsidP="008E3B89">
                <w:pPr>
                  <w:pStyle w:val="Copyrightpage-Keylinenotext"/>
                  <w:ind w:right="-284"/>
                </w:pPr>
              </w:p>
              <w:p w14:paraId="4AF6CA4C" w14:textId="77777777" w:rsidR="00C31E23" w:rsidRPr="00D96F65" w:rsidRDefault="00C31E23" w:rsidP="008E3B89">
                <w:pPr>
                  <w:pStyle w:val="Copyrightpage-Heading"/>
                  <w:ind w:right="-284"/>
                </w:pPr>
                <w:r w:rsidRPr="00D96F65">
                  <w:t>The Productivity Commission</w:t>
                </w:r>
              </w:p>
              <w:p w14:paraId="78BBB121" w14:textId="77777777" w:rsidR="00C31E23" w:rsidRPr="0049695F" w:rsidRDefault="00C31E23" w:rsidP="008E3B89">
                <w:pPr>
                  <w:pStyle w:val="Copyrightpage-BodyBold"/>
                  <w:rPr>
                    <w:spacing w:val="-4"/>
                  </w:rPr>
                </w:pPr>
                <w:r w:rsidRPr="0049695F">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49695F">
                  <w:rPr>
                    <w:spacing w:val="-4"/>
                  </w:rPr>
                  <w:t>long term</w:t>
                </w:r>
                <w:proofErr w:type="gramEnd"/>
                <w:r w:rsidRPr="0049695F">
                  <w:rPr>
                    <w:spacing w:val="-4"/>
                  </w:rPr>
                  <w:t xml:space="preserve"> interest of the Australian community.</w:t>
                </w:r>
              </w:p>
              <w:p w14:paraId="538731ED" w14:textId="77777777" w:rsidR="00C31E23" w:rsidRPr="000F4488" w:rsidRDefault="00C31E23" w:rsidP="008E3B89">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4934384" w14:textId="77777777" w:rsidR="00C31E23" w:rsidRPr="000F4488" w:rsidRDefault="00C31E23" w:rsidP="008E3B89">
                <w:pPr>
                  <w:pStyle w:val="Copyrightpage-BodyBold"/>
                </w:pPr>
                <w:r w:rsidRPr="000561CF">
                  <w:t>Further information on the Productivity Commission can be obtained from the Commission’s website (www.pc.gov.au).</w:t>
                </w:r>
              </w:p>
              <w:p w14:paraId="2091E071" w14:textId="77777777" w:rsidR="00C31E23" w:rsidRPr="000F4488" w:rsidRDefault="00C31E23" w:rsidP="008E3B89">
                <w:pPr>
                  <w:pStyle w:val="Copyrightpage-Keylinenotext"/>
                  <w:ind w:right="-284"/>
                  <w:rPr>
                    <w:b/>
                    <w:bCs/>
                  </w:rPr>
                </w:pPr>
              </w:p>
              <w:p w14:paraId="175C1F74" w14:textId="77777777" w:rsidR="00C31E23" w:rsidRPr="000561CF" w:rsidRDefault="00C31E23" w:rsidP="008E3B89">
                <w:pPr>
                  <w:pStyle w:val="Copyrightpage-BodyBold"/>
                </w:pPr>
                <w:r w:rsidRPr="00E72EE0">
                  <w:t>©</w:t>
                </w:r>
                <w:r w:rsidRPr="00137FAB">
                  <w:t xml:space="preserve"> Commonwealth of Australia 202</w:t>
                </w:r>
                <w:r w:rsidR="00794A86">
                  <w:t>2</w:t>
                </w:r>
              </w:p>
              <w:p w14:paraId="442F54CC" w14:textId="77777777" w:rsidR="00C31E23" w:rsidRPr="00E72EE0" w:rsidRDefault="00C31E23" w:rsidP="008E3B89">
                <w:pPr>
                  <w:pStyle w:val="Copyrightpage-Heading2"/>
                  <w:spacing w:before="0"/>
                  <w:ind w:right="-284"/>
                  <w:rPr>
                    <w:bCs/>
                  </w:rPr>
                </w:pPr>
                <w:r w:rsidRPr="00E72EE0">
                  <w:rPr>
                    <w:bCs/>
                    <w:noProof/>
                  </w:rPr>
                  <w:drawing>
                    <wp:inline distT="0" distB="0" distL="0" distR="0" wp14:anchorId="4B7B6CA0" wp14:editId="40702ACE">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66D4DDAA" w14:textId="77777777" w:rsidR="00C31E23" w:rsidRPr="000F4488" w:rsidRDefault="00C31E23" w:rsidP="008E3B89">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F48AE82" w14:textId="77777777" w:rsidR="00C31E23" w:rsidRPr="000F4488" w:rsidRDefault="00C31E23" w:rsidP="008E3B89">
                <w:pPr>
                  <w:pStyle w:val="Copyrightpage-BodyBold"/>
                </w:pPr>
                <w:r w:rsidRPr="000561CF">
                  <w:t>The terms under which the Coat of Arms can be used are detailed at: www.pmc.gov.au/government/commonwealth-coat-arms.</w:t>
                </w:r>
              </w:p>
              <w:p w14:paraId="725B6C58" w14:textId="77777777" w:rsidR="00C31E23" w:rsidRPr="000561CF" w:rsidRDefault="00C31E23" w:rsidP="008E3B89">
                <w:pPr>
                  <w:pStyle w:val="Copyrightpage-BodyBold"/>
                </w:pPr>
                <w:r w:rsidRPr="000561CF">
                  <w:t>Wherever a third party holds copyright in this material the copyright remains with that party. Their permission may be required to use the material, please contact them directly.</w:t>
                </w:r>
              </w:p>
              <w:p w14:paraId="385851DF" w14:textId="757BC99E" w:rsidR="004F7CD4" w:rsidRPr="00AC587D" w:rsidRDefault="004F7CD4" w:rsidP="004F7CD4">
                <w:pPr>
                  <w:pStyle w:val="Copyrightpage-BodyBold"/>
                </w:pPr>
                <w:r w:rsidRPr="00E72EE0">
                  <w:t xml:space="preserve">ISBN </w:t>
                </w:r>
                <w:r w:rsidR="00DB3485">
                  <w:rPr>
                    <w:rFonts w:ascii="Arial" w:hAnsi="Arial" w:cs="Arial"/>
                    <w:szCs w:val="16"/>
                    <w:lang w:eastAsia="en-GB"/>
                  </w:rPr>
                  <w:t>978-1-74037-751-5</w:t>
                </w:r>
                <w:r w:rsidR="00DB3485" w:rsidRPr="00E72EE0">
                  <w:t xml:space="preserve"> </w:t>
                </w:r>
                <w:r w:rsidRPr="00E72EE0">
                  <w:t>(online)</w:t>
                </w:r>
                <w:r>
                  <w:br/>
                </w:r>
                <w:r w:rsidRPr="00137FAB">
                  <w:t xml:space="preserve">ISBN </w:t>
                </w:r>
                <w:r w:rsidR="00DB3485">
                  <w:rPr>
                    <w:rFonts w:ascii="Arial" w:hAnsi="Arial" w:cs="Arial"/>
                    <w:szCs w:val="16"/>
                    <w:lang w:eastAsia="en-GB"/>
                  </w:rPr>
                  <w:t>978-1-74037-750-8</w:t>
                </w:r>
                <w:r w:rsidR="00DB3485" w:rsidRPr="00137FAB">
                  <w:t xml:space="preserve"> </w:t>
                </w:r>
                <w:r w:rsidRPr="00137FAB">
                  <w:t>(print)</w:t>
                </w:r>
              </w:p>
              <w:p w14:paraId="2F49B30D" w14:textId="1FE7651D" w:rsidR="004F7CD4" w:rsidRPr="00137FAB" w:rsidRDefault="004F7CD4" w:rsidP="004F7CD4">
                <w:pPr>
                  <w:pStyle w:val="Copyrightpage-BodyBold"/>
                </w:pPr>
                <w:r w:rsidRPr="000F4488">
                  <w:t>An appropriate reference for this publication is:</w:t>
                </w:r>
                <w:r>
                  <w:br/>
                  <w:t>Productivity Commission,</w:t>
                </w:r>
                <w:r w:rsidRPr="00212DCF">
                  <w:rPr>
                    <w:i/>
                    <w:iCs/>
                  </w:rPr>
                  <w:t xml:space="preserve"> </w:t>
                </w:r>
                <w:r w:rsidR="00947566" w:rsidRPr="00212DCF">
                  <w:rPr>
                    <w:i/>
                    <w:iCs/>
                  </w:rPr>
                  <w:t>A</w:t>
                </w:r>
                <w:r w:rsidR="00E85CE7" w:rsidRPr="00212DCF">
                  <w:rPr>
                    <w:i/>
                    <w:iCs/>
                  </w:rPr>
                  <w:t>ged</w:t>
                </w:r>
                <w:r w:rsidR="00E85CE7">
                  <w:rPr>
                    <w:i/>
                    <w:iCs/>
                  </w:rPr>
                  <w:t xml:space="preserve"> care</w:t>
                </w:r>
                <w:r w:rsidR="00947566">
                  <w:rPr>
                    <w:i/>
                    <w:iCs/>
                  </w:rPr>
                  <w:t xml:space="preserve"> employment</w:t>
                </w:r>
                <w:r w:rsidRPr="00E72EE0">
                  <w:t xml:space="preserve">, </w:t>
                </w:r>
                <w:r w:rsidR="00670F22">
                  <w:t xml:space="preserve">Study </w:t>
                </w:r>
                <w:r>
                  <w:t>Report, Canberra</w:t>
                </w:r>
              </w:p>
              <w:p w14:paraId="3966C7CC" w14:textId="77777777" w:rsidR="00C31E23" w:rsidRDefault="00C31E23" w:rsidP="008E3B89">
                <w:pPr>
                  <w:pStyle w:val="Copyrightpage-BodyBold"/>
                  <w:ind w:right="-284"/>
                </w:pPr>
              </w:p>
              <w:p w14:paraId="370BC14A" w14:textId="77777777" w:rsidR="00C31E23" w:rsidRDefault="00C31E23" w:rsidP="008E3B89">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45AAD94" w14:textId="77777777" w:rsidR="00295330" w:rsidRPr="004A40A7" w:rsidRDefault="00000000" w:rsidP="00E83C1B">
          <w:pPr>
            <w:pStyle w:val="NoSpacing"/>
          </w:pPr>
        </w:p>
      </w:sdtContent>
    </w:sdt>
    <w:p w14:paraId="05C1E255" w14:textId="77777777" w:rsidR="00E41066" w:rsidRDefault="00E41066" w:rsidP="00181B5D">
      <w:pPr>
        <w:pStyle w:val="BodyText"/>
        <w:sectPr w:rsidR="00E41066" w:rsidSect="00181B5D">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7A148901" w14:textId="77777777" w:rsidR="005A451A" w:rsidRDefault="005A451A" w:rsidP="00072247">
      <w:pPr>
        <w:pStyle w:val="Heading1-nobackground"/>
      </w:pPr>
      <w:bookmarkStart w:id="0" w:name="_Toc115782034"/>
      <w:bookmarkStart w:id="1" w:name="_Toc116989040"/>
      <w:r>
        <w:lastRenderedPageBreak/>
        <w:t>Foreword</w:t>
      </w:r>
      <w:bookmarkEnd w:id="0"/>
      <w:bookmarkEnd w:id="1"/>
    </w:p>
    <w:p w14:paraId="00D8D910" w14:textId="7BAD46A8" w:rsidR="005A451A" w:rsidRDefault="00625171" w:rsidP="005A451A">
      <w:pPr>
        <w:pStyle w:val="BodyText"/>
      </w:pPr>
      <w:r>
        <w:t xml:space="preserve">The aged care sector is at a critical juncture. The </w:t>
      </w:r>
      <w:r w:rsidR="00746988">
        <w:t xml:space="preserve">broad suite of reforms </w:t>
      </w:r>
      <w:r w:rsidR="00C816DB">
        <w:t>in train</w:t>
      </w:r>
      <w:r w:rsidR="00746988">
        <w:t xml:space="preserve"> for the sector </w:t>
      </w:r>
      <w:r w:rsidR="002D7310">
        <w:t xml:space="preserve">have the potential to make </w:t>
      </w:r>
      <w:r w:rsidR="00DB0178">
        <w:t>a meaningful difference to the</w:t>
      </w:r>
      <w:r w:rsidR="00CE690A">
        <w:t xml:space="preserve"> quality of life </w:t>
      </w:r>
      <w:r w:rsidR="00460C09">
        <w:t>of</w:t>
      </w:r>
      <w:r w:rsidR="00CE690A">
        <w:t xml:space="preserve"> </w:t>
      </w:r>
      <w:r w:rsidR="009045F7">
        <w:t>older Australians.</w:t>
      </w:r>
      <w:r w:rsidR="00BE71E6">
        <w:t xml:space="preserve"> Reforms that are </w:t>
      </w:r>
      <w:r w:rsidR="004D08B3">
        <w:t xml:space="preserve">related to addressing workforce challenges are an integral part of </w:t>
      </w:r>
      <w:r w:rsidR="00BE548F">
        <w:t>being able to deliver on this goal.</w:t>
      </w:r>
    </w:p>
    <w:p w14:paraId="29792292" w14:textId="38CF53C5" w:rsidR="00957C91" w:rsidRPr="00B40667" w:rsidRDefault="00957C91" w:rsidP="005A451A">
      <w:pPr>
        <w:pStyle w:val="BodyText"/>
        <w:rPr>
          <w:spacing w:val="4"/>
        </w:rPr>
      </w:pPr>
      <w:r w:rsidRPr="00B40667">
        <w:rPr>
          <w:spacing w:val="4"/>
        </w:rPr>
        <w:t>It is within this context that the Productivity Commission was asked to examine</w:t>
      </w:r>
      <w:r w:rsidR="00F05459" w:rsidRPr="00B40667">
        <w:rPr>
          <w:spacing w:val="4"/>
        </w:rPr>
        <w:t xml:space="preserve"> the relative merits of a policy that would require aged care providers to preference </w:t>
      </w:r>
      <w:r w:rsidR="000B474E" w:rsidRPr="00B40667">
        <w:rPr>
          <w:spacing w:val="4"/>
        </w:rPr>
        <w:t xml:space="preserve">the </w:t>
      </w:r>
      <w:r w:rsidR="00F05459" w:rsidRPr="00B40667">
        <w:rPr>
          <w:spacing w:val="4"/>
        </w:rPr>
        <w:t>‘direct’ emplo</w:t>
      </w:r>
      <w:r w:rsidR="00C74CA3" w:rsidRPr="00B40667">
        <w:rPr>
          <w:spacing w:val="4"/>
        </w:rPr>
        <w:t>yment</w:t>
      </w:r>
      <w:r w:rsidR="000B474E" w:rsidRPr="00B40667">
        <w:rPr>
          <w:spacing w:val="4"/>
        </w:rPr>
        <w:t xml:space="preserve"> of aged care workers.</w:t>
      </w:r>
      <w:r w:rsidR="00521D53" w:rsidRPr="00B40667">
        <w:rPr>
          <w:spacing w:val="4"/>
        </w:rPr>
        <w:t xml:space="preserve"> This study </w:t>
      </w:r>
      <w:r w:rsidR="002B3898" w:rsidRPr="00B40667">
        <w:rPr>
          <w:spacing w:val="4"/>
        </w:rPr>
        <w:t>examin</w:t>
      </w:r>
      <w:r w:rsidR="00206AD3" w:rsidRPr="00B40667">
        <w:rPr>
          <w:spacing w:val="4"/>
        </w:rPr>
        <w:t>es</w:t>
      </w:r>
      <w:r w:rsidR="002B3898" w:rsidRPr="00B40667">
        <w:rPr>
          <w:spacing w:val="4"/>
        </w:rPr>
        <w:t xml:space="preserve"> the implications </w:t>
      </w:r>
      <w:r w:rsidR="00A20384" w:rsidRPr="00B40667">
        <w:rPr>
          <w:spacing w:val="4"/>
        </w:rPr>
        <w:t>of</w:t>
      </w:r>
      <w:r w:rsidR="002B3898" w:rsidRPr="00B40667">
        <w:rPr>
          <w:spacing w:val="4"/>
        </w:rPr>
        <w:t xml:space="preserve"> such a policy </w:t>
      </w:r>
      <w:r w:rsidR="00293DA6" w:rsidRPr="00B40667">
        <w:rPr>
          <w:spacing w:val="4"/>
        </w:rPr>
        <w:t>for</w:t>
      </w:r>
      <w:r w:rsidR="002B3898" w:rsidRPr="00B40667">
        <w:rPr>
          <w:spacing w:val="4"/>
        </w:rPr>
        <w:t xml:space="preserve"> aged care consumers, workers and providers </w:t>
      </w:r>
      <w:r w:rsidR="00293DA6" w:rsidRPr="00B40667">
        <w:rPr>
          <w:spacing w:val="4"/>
        </w:rPr>
        <w:t xml:space="preserve">respectively. </w:t>
      </w:r>
    </w:p>
    <w:p w14:paraId="199C8E0D" w14:textId="77777777" w:rsidR="00137FC1" w:rsidRDefault="00E23E91" w:rsidP="00137FC1">
      <w:pPr>
        <w:pStyle w:val="BodyText"/>
      </w:pPr>
      <w:r>
        <w:t xml:space="preserve">In undertaking this study, </w:t>
      </w:r>
      <w:r w:rsidR="00967F3A">
        <w:rPr>
          <w:spacing w:val="-2"/>
        </w:rPr>
        <w:t>t</w:t>
      </w:r>
      <w:r w:rsidR="00967F3A" w:rsidRPr="00081FB4">
        <w:rPr>
          <w:spacing w:val="-2"/>
        </w:rPr>
        <w:t xml:space="preserve">he Commission has benefited from </w:t>
      </w:r>
      <w:r w:rsidR="00587AE8">
        <w:rPr>
          <w:spacing w:val="-2"/>
        </w:rPr>
        <w:t xml:space="preserve">strong engagement from a wide range of stakeholders </w:t>
      </w:r>
      <w:r w:rsidR="008E7DBA">
        <w:rPr>
          <w:spacing w:val="-2"/>
        </w:rPr>
        <w:t>including consumer groups, aged care workers and their representatives, and aged care provide</w:t>
      </w:r>
      <w:r w:rsidR="00312ED7">
        <w:rPr>
          <w:spacing w:val="-2"/>
        </w:rPr>
        <w:t xml:space="preserve">rs and </w:t>
      </w:r>
      <w:r w:rsidR="00F35955">
        <w:rPr>
          <w:spacing w:val="-2"/>
        </w:rPr>
        <w:t xml:space="preserve">other </w:t>
      </w:r>
      <w:r w:rsidR="00312ED7">
        <w:rPr>
          <w:spacing w:val="-2"/>
        </w:rPr>
        <w:t>businesses involved in the sector</w:t>
      </w:r>
      <w:r w:rsidR="00967F3A" w:rsidRPr="00081FB4">
        <w:rPr>
          <w:spacing w:val="-2"/>
        </w:rPr>
        <w:t xml:space="preserve">. We particularly thank those who </w:t>
      </w:r>
      <w:r w:rsidR="00D111BF">
        <w:rPr>
          <w:spacing w:val="-2"/>
        </w:rPr>
        <w:t>took the time to meet with us</w:t>
      </w:r>
      <w:r w:rsidR="0019048F">
        <w:rPr>
          <w:spacing w:val="-2"/>
        </w:rPr>
        <w:t xml:space="preserve">, </w:t>
      </w:r>
      <w:r w:rsidR="00967F3A" w:rsidRPr="00081FB4">
        <w:rPr>
          <w:spacing w:val="-2"/>
        </w:rPr>
        <w:t>provided written submissions</w:t>
      </w:r>
      <w:r w:rsidR="0019048F">
        <w:rPr>
          <w:spacing w:val="-2"/>
        </w:rPr>
        <w:t xml:space="preserve"> and gave us access to unpublished data.</w:t>
      </w:r>
      <w:r w:rsidR="00137FC1" w:rsidRPr="00137FC1">
        <w:t xml:space="preserve"> </w:t>
      </w:r>
    </w:p>
    <w:p w14:paraId="293FC5E6" w14:textId="1ACCBAF2" w:rsidR="006C5779" w:rsidRDefault="00137FC1" w:rsidP="00137FC1">
      <w:pPr>
        <w:pStyle w:val="BodyText"/>
      </w:pPr>
      <w:r w:rsidRPr="00B03516">
        <w:t>This study would not have been possible without the assistance of</w:t>
      </w:r>
      <w:r>
        <w:t xml:space="preserve"> the Department of Health and Aged Care</w:t>
      </w:r>
      <w:r w:rsidR="00B35C4A">
        <w:t xml:space="preserve"> and the A</w:t>
      </w:r>
      <w:r w:rsidR="00E95070">
        <w:t>ged Care Qual</w:t>
      </w:r>
      <w:r w:rsidR="0044495D">
        <w:t>ity and Safety C</w:t>
      </w:r>
      <w:r w:rsidR="006C5779">
        <w:t>ommission.</w:t>
      </w:r>
    </w:p>
    <w:p w14:paraId="59F1682F" w14:textId="70DE3A2F" w:rsidR="005C6360" w:rsidRDefault="00C13DE8" w:rsidP="005C6360">
      <w:pPr>
        <w:pStyle w:val="BodyText"/>
      </w:pPr>
      <w:r>
        <w:t xml:space="preserve">We would also like to express our appreciation </w:t>
      </w:r>
      <w:r w:rsidR="00AE4ED6">
        <w:t>to</w:t>
      </w:r>
      <w:r>
        <w:t xml:space="preserve"> Jane Melanie, who led the study, and the team: Meredith</w:t>
      </w:r>
      <w:r w:rsidR="00AE4ED6">
        <w:t> </w:t>
      </w:r>
      <w:r>
        <w:t xml:space="preserve">Baker, Peter Bon, Rachel Burgess, Angela Le, Shaun McMahon, </w:t>
      </w:r>
      <w:proofErr w:type="spellStart"/>
      <w:r>
        <w:t>Vivikth</w:t>
      </w:r>
      <w:proofErr w:type="spellEnd"/>
      <w:r>
        <w:t xml:space="preserve"> Narayanan, Anthony</w:t>
      </w:r>
      <w:r w:rsidR="00224C41">
        <w:t> </w:t>
      </w:r>
      <w:proofErr w:type="spellStart"/>
      <w:r>
        <w:t>Shomos</w:t>
      </w:r>
      <w:proofErr w:type="spellEnd"/>
      <w:r>
        <w:t>, George Steel and</w:t>
      </w:r>
      <w:r w:rsidRPr="00F07E5A">
        <w:t xml:space="preserve"> </w:t>
      </w:r>
      <w:r>
        <w:t>Danielle Venn</w:t>
      </w:r>
      <w:r w:rsidR="00841C34">
        <w:t>;</w:t>
      </w:r>
      <w:r w:rsidR="005C6360">
        <w:t xml:space="preserve"> and to </w:t>
      </w:r>
      <w:r w:rsidR="00343346">
        <w:t xml:space="preserve">Jenny Price, </w:t>
      </w:r>
      <w:r w:rsidR="005C6360">
        <w:t>Sarah Crawford and Karen Godfrey for administrative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978"/>
        <w:gridCol w:w="3542"/>
      </w:tblGrid>
      <w:tr w:rsidR="006C2F63" w14:paraId="34AB4671" w14:textId="7D61E601" w:rsidTr="00217B0F">
        <w:tc>
          <w:tcPr>
            <w:tcW w:w="3118" w:type="dxa"/>
          </w:tcPr>
          <w:p w14:paraId="4F10E9F3" w14:textId="4DB12C9B" w:rsidR="006C2F63" w:rsidRDefault="006C2F63" w:rsidP="008E3B89">
            <w:pPr>
              <w:pStyle w:val="BodyText"/>
              <w:tabs>
                <w:tab w:val="left" w:pos="4536"/>
              </w:tabs>
              <w:spacing w:before="600"/>
              <w:ind w:left="-113"/>
            </w:pPr>
            <w:r>
              <w:t xml:space="preserve">Catherine de Fontenay </w:t>
            </w:r>
            <w:r>
              <w:br/>
              <w:t>Commissioner</w:t>
            </w:r>
          </w:p>
        </w:tc>
        <w:tc>
          <w:tcPr>
            <w:tcW w:w="2978" w:type="dxa"/>
          </w:tcPr>
          <w:p w14:paraId="56EBF1E2" w14:textId="474A4BE9" w:rsidR="006C2F63" w:rsidRDefault="006C2F63" w:rsidP="00C03886">
            <w:pPr>
              <w:pStyle w:val="BodyText"/>
              <w:tabs>
                <w:tab w:val="left" w:pos="4536"/>
              </w:tabs>
              <w:spacing w:before="600"/>
              <w:ind w:left="-113"/>
            </w:pPr>
            <w:r>
              <w:t xml:space="preserve">Martin Stokie </w:t>
            </w:r>
            <w:r>
              <w:br/>
              <w:t>Commissioner</w:t>
            </w:r>
          </w:p>
        </w:tc>
        <w:tc>
          <w:tcPr>
            <w:tcW w:w="3542" w:type="dxa"/>
          </w:tcPr>
          <w:p w14:paraId="2FC1C19B" w14:textId="6409B8A8" w:rsidR="00217B0F" w:rsidRDefault="00217B0F" w:rsidP="00217B0F">
            <w:pPr>
              <w:pStyle w:val="BodyText"/>
              <w:tabs>
                <w:tab w:val="left" w:pos="4536"/>
              </w:tabs>
              <w:spacing w:before="600"/>
              <w:ind w:left="-113"/>
            </w:pPr>
            <w:r>
              <w:t>Paul Lindwall</w:t>
            </w:r>
            <w:r w:rsidR="00CA4DE9">
              <w:br/>
              <w:t>Commissioner</w:t>
            </w:r>
          </w:p>
        </w:tc>
      </w:tr>
    </w:tbl>
    <w:p w14:paraId="29BA20A3" w14:textId="656F935A" w:rsidR="00B40624" w:rsidRDefault="002A1759" w:rsidP="00B40624">
      <w:pPr>
        <w:pStyle w:val="BodyText"/>
      </w:pPr>
      <w:r>
        <w:t>O</w:t>
      </w:r>
      <w:r w:rsidR="00343D90">
        <w:t>ctober</w:t>
      </w:r>
      <w:r w:rsidR="00B40624">
        <w:t xml:space="preserve"> 202</w:t>
      </w:r>
      <w:r w:rsidR="00343D90">
        <w:t>2</w:t>
      </w:r>
    </w:p>
    <w:p w14:paraId="0CE0B070" w14:textId="77777777" w:rsidR="00F24A6B" w:rsidRDefault="00F24A6B" w:rsidP="005A451A">
      <w:pPr>
        <w:pStyle w:val="BodyText"/>
      </w:pPr>
    </w:p>
    <w:p w14:paraId="3FF28742" w14:textId="77777777" w:rsidR="00F24A6B" w:rsidRDefault="00F24A6B" w:rsidP="005A451A">
      <w:pPr>
        <w:pStyle w:val="BodyText"/>
      </w:pPr>
    </w:p>
    <w:p w14:paraId="564E63BA" w14:textId="4C756B87" w:rsidR="005A451A" w:rsidRDefault="00A92664" w:rsidP="005A451A">
      <w:pPr>
        <w:pStyle w:val="BodyText"/>
        <w:sectPr w:rsidR="005A451A" w:rsidSect="00E41066">
          <w:headerReference w:type="default" r:id="rId24"/>
          <w:pgSz w:w="11906" w:h="16838" w:code="9"/>
          <w:pgMar w:top="1134" w:right="1134" w:bottom="1134" w:left="1134" w:header="794" w:footer="510" w:gutter="0"/>
          <w:pgNumType w:fmt="lowerRoman"/>
          <w:cols w:space="708"/>
          <w:docGrid w:linePitch="360"/>
        </w:sectPr>
      </w:pPr>
      <w:r>
        <w:t>.</w:t>
      </w:r>
    </w:p>
    <w:p w14:paraId="78110F4B" w14:textId="77777777" w:rsidR="002E3F19" w:rsidRDefault="00840CAD" w:rsidP="00072247">
      <w:pPr>
        <w:pStyle w:val="Heading1-nobackground"/>
      </w:pPr>
      <w:bookmarkStart w:id="2" w:name="_Toc87865131"/>
      <w:bookmarkStart w:id="3" w:name="_Toc115777094"/>
      <w:bookmarkStart w:id="4" w:name="_Toc115782039"/>
      <w:bookmarkStart w:id="5" w:name="_Toc116989041"/>
      <w:r w:rsidRPr="00AC587D">
        <w:lastRenderedPageBreak/>
        <w:t>Contents</w:t>
      </w:r>
      <w:bookmarkEnd w:id="2"/>
      <w:bookmarkEnd w:id="3"/>
      <w:bookmarkEnd w:id="4"/>
      <w:bookmarkEnd w:id="5"/>
    </w:p>
    <w:p w14:paraId="31A4B225" w14:textId="78BC8BED" w:rsidR="000528E1" w:rsidRDefault="00F054F5">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0528E1">
        <w:rPr>
          <w:noProof/>
        </w:rPr>
        <w:t>Foreword</w:t>
      </w:r>
      <w:r w:rsidR="000528E1">
        <w:rPr>
          <w:noProof/>
          <w:webHidden/>
        </w:rPr>
        <w:tab/>
      </w:r>
      <w:r w:rsidR="000528E1">
        <w:rPr>
          <w:noProof/>
          <w:webHidden/>
        </w:rPr>
        <w:fldChar w:fldCharType="begin"/>
      </w:r>
      <w:r w:rsidR="000528E1">
        <w:rPr>
          <w:noProof/>
          <w:webHidden/>
        </w:rPr>
        <w:instrText xml:space="preserve"> PAGEREF _Toc116989040 \h </w:instrText>
      </w:r>
      <w:r w:rsidR="000528E1">
        <w:rPr>
          <w:noProof/>
          <w:webHidden/>
        </w:rPr>
      </w:r>
      <w:r w:rsidR="000528E1">
        <w:rPr>
          <w:noProof/>
          <w:webHidden/>
        </w:rPr>
        <w:fldChar w:fldCharType="separate"/>
      </w:r>
      <w:r w:rsidR="006A0711">
        <w:rPr>
          <w:noProof/>
          <w:webHidden/>
        </w:rPr>
        <w:t>iii</w:t>
      </w:r>
      <w:r w:rsidR="000528E1">
        <w:rPr>
          <w:noProof/>
          <w:webHidden/>
        </w:rPr>
        <w:fldChar w:fldCharType="end"/>
      </w:r>
    </w:p>
    <w:p w14:paraId="165313EE" w14:textId="61F89E4D" w:rsidR="000528E1" w:rsidRDefault="000528E1">
      <w:pPr>
        <w:pStyle w:val="TOC1"/>
        <w:rPr>
          <w:rFonts w:asciiTheme="minorHAnsi" w:eastAsiaTheme="minorEastAsia" w:hAnsiTheme="minorHAnsi"/>
          <w:noProof/>
          <w:color w:val="auto"/>
          <w:sz w:val="22"/>
          <w:szCs w:val="22"/>
          <w:lang w:eastAsia="en-AU"/>
        </w:rPr>
      </w:pPr>
      <w:r>
        <w:rPr>
          <w:noProof/>
        </w:rPr>
        <w:t>Contents</w:t>
      </w:r>
      <w:r>
        <w:rPr>
          <w:noProof/>
          <w:webHidden/>
        </w:rPr>
        <w:tab/>
      </w:r>
      <w:r>
        <w:rPr>
          <w:noProof/>
          <w:webHidden/>
        </w:rPr>
        <w:fldChar w:fldCharType="begin"/>
      </w:r>
      <w:r>
        <w:rPr>
          <w:noProof/>
          <w:webHidden/>
        </w:rPr>
        <w:instrText xml:space="preserve"> PAGEREF _Toc116989041 \h </w:instrText>
      </w:r>
      <w:r>
        <w:rPr>
          <w:noProof/>
          <w:webHidden/>
        </w:rPr>
      </w:r>
      <w:r>
        <w:rPr>
          <w:noProof/>
          <w:webHidden/>
        </w:rPr>
        <w:fldChar w:fldCharType="separate"/>
      </w:r>
      <w:r w:rsidR="006A0711">
        <w:rPr>
          <w:noProof/>
          <w:webHidden/>
        </w:rPr>
        <w:t>v</w:t>
      </w:r>
      <w:r>
        <w:rPr>
          <w:noProof/>
          <w:webHidden/>
        </w:rPr>
        <w:fldChar w:fldCharType="end"/>
      </w:r>
    </w:p>
    <w:p w14:paraId="0C3046D0" w14:textId="71D545B5" w:rsidR="000528E1" w:rsidRDefault="000528E1">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_Toc116989042 \h </w:instrText>
      </w:r>
      <w:r>
        <w:rPr>
          <w:noProof/>
          <w:webHidden/>
        </w:rPr>
      </w:r>
      <w:r>
        <w:rPr>
          <w:noProof/>
          <w:webHidden/>
        </w:rPr>
        <w:fldChar w:fldCharType="separate"/>
      </w:r>
      <w:r w:rsidR="006A0711">
        <w:rPr>
          <w:noProof/>
          <w:webHidden/>
        </w:rPr>
        <w:t>1</w:t>
      </w:r>
      <w:r>
        <w:rPr>
          <w:noProof/>
          <w:webHidden/>
        </w:rPr>
        <w:fldChar w:fldCharType="end"/>
      </w:r>
    </w:p>
    <w:p w14:paraId="331959A1" w14:textId="3B1F4BA2" w:rsidR="000528E1" w:rsidRDefault="000528E1">
      <w:pPr>
        <w:pStyle w:val="TOC2"/>
        <w:rPr>
          <w:rFonts w:eastAsiaTheme="minorEastAsia"/>
          <w:sz w:val="22"/>
          <w:szCs w:val="22"/>
          <w:lang w:eastAsia="en-AU"/>
        </w:rPr>
      </w:pPr>
      <w:r>
        <w:t>1.</w:t>
      </w:r>
      <w:r>
        <w:rPr>
          <w:rFonts w:eastAsiaTheme="minorEastAsia"/>
          <w:sz w:val="22"/>
          <w:szCs w:val="22"/>
          <w:lang w:eastAsia="en-AU"/>
        </w:rPr>
        <w:tab/>
      </w:r>
      <w:r>
        <w:t>About this study</w:t>
      </w:r>
      <w:r>
        <w:rPr>
          <w:webHidden/>
        </w:rPr>
        <w:tab/>
      </w:r>
      <w:r>
        <w:rPr>
          <w:webHidden/>
        </w:rPr>
        <w:fldChar w:fldCharType="begin"/>
      </w:r>
      <w:r>
        <w:rPr>
          <w:webHidden/>
        </w:rPr>
        <w:instrText xml:space="preserve"> PAGEREF _Toc116989043 \h </w:instrText>
      </w:r>
      <w:r>
        <w:rPr>
          <w:webHidden/>
        </w:rPr>
      </w:r>
      <w:r>
        <w:rPr>
          <w:webHidden/>
        </w:rPr>
        <w:fldChar w:fldCharType="separate"/>
      </w:r>
      <w:r w:rsidR="006A0711">
        <w:rPr>
          <w:webHidden/>
        </w:rPr>
        <w:t>3</w:t>
      </w:r>
      <w:r>
        <w:rPr>
          <w:webHidden/>
        </w:rPr>
        <w:fldChar w:fldCharType="end"/>
      </w:r>
    </w:p>
    <w:p w14:paraId="6E903493" w14:textId="747D44AB" w:rsidR="000528E1" w:rsidRDefault="000528E1">
      <w:pPr>
        <w:pStyle w:val="TOC2"/>
        <w:rPr>
          <w:rFonts w:eastAsiaTheme="minorEastAsia"/>
          <w:sz w:val="22"/>
          <w:szCs w:val="22"/>
          <w:lang w:eastAsia="en-AU"/>
        </w:rPr>
      </w:pPr>
      <w:r>
        <w:t>2.</w:t>
      </w:r>
      <w:r>
        <w:rPr>
          <w:rFonts w:eastAsiaTheme="minorEastAsia"/>
          <w:sz w:val="22"/>
          <w:szCs w:val="22"/>
          <w:lang w:eastAsia="en-AU"/>
        </w:rPr>
        <w:tab/>
      </w:r>
      <w:r>
        <w:t>Indirect employment in aged care</w:t>
      </w:r>
      <w:r>
        <w:rPr>
          <w:webHidden/>
        </w:rPr>
        <w:tab/>
      </w:r>
      <w:r>
        <w:rPr>
          <w:webHidden/>
        </w:rPr>
        <w:fldChar w:fldCharType="begin"/>
      </w:r>
      <w:r>
        <w:rPr>
          <w:webHidden/>
        </w:rPr>
        <w:instrText xml:space="preserve"> PAGEREF _Toc116989044 \h </w:instrText>
      </w:r>
      <w:r>
        <w:rPr>
          <w:webHidden/>
        </w:rPr>
      </w:r>
      <w:r>
        <w:rPr>
          <w:webHidden/>
        </w:rPr>
        <w:fldChar w:fldCharType="separate"/>
      </w:r>
      <w:r w:rsidR="006A0711">
        <w:rPr>
          <w:webHidden/>
        </w:rPr>
        <w:t>4</w:t>
      </w:r>
      <w:r>
        <w:rPr>
          <w:webHidden/>
        </w:rPr>
        <w:fldChar w:fldCharType="end"/>
      </w:r>
    </w:p>
    <w:p w14:paraId="2D3DE95C" w14:textId="61B1E2FF" w:rsidR="000528E1" w:rsidRDefault="000528E1">
      <w:pPr>
        <w:pStyle w:val="TOC2"/>
        <w:rPr>
          <w:rFonts w:eastAsiaTheme="minorEastAsia"/>
          <w:sz w:val="22"/>
          <w:szCs w:val="22"/>
          <w:lang w:eastAsia="en-AU"/>
        </w:rPr>
      </w:pPr>
      <w:r>
        <w:t>3.</w:t>
      </w:r>
      <w:r>
        <w:rPr>
          <w:rFonts w:eastAsiaTheme="minorEastAsia"/>
          <w:sz w:val="22"/>
          <w:szCs w:val="22"/>
          <w:lang w:eastAsia="en-AU"/>
        </w:rPr>
        <w:tab/>
      </w:r>
      <w:r>
        <w:t>Consumer perspectives</w:t>
      </w:r>
      <w:r>
        <w:rPr>
          <w:webHidden/>
        </w:rPr>
        <w:tab/>
      </w:r>
      <w:r>
        <w:rPr>
          <w:webHidden/>
        </w:rPr>
        <w:fldChar w:fldCharType="begin"/>
      </w:r>
      <w:r>
        <w:rPr>
          <w:webHidden/>
        </w:rPr>
        <w:instrText xml:space="preserve"> PAGEREF _Toc116989045 \h </w:instrText>
      </w:r>
      <w:r>
        <w:rPr>
          <w:webHidden/>
        </w:rPr>
      </w:r>
      <w:r>
        <w:rPr>
          <w:webHidden/>
        </w:rPr>
        <w:fldChar w:fldCharType="separate"/>
      </w:r>
      <w:r w:rsidR="006A0711">
        <w:rPr>
          <w:webHidden/>
        </w:rPr>
        <w:t>6</w:t>
      </w:r>
      <w:r>
        <w:rPr>
          <w:webHidden/>
        </w:rPr>
        <w:fldChar w:fldCharType="end"/>
      </w:r>
    </w:p>
    <w:p w14:paraId="3B2E2EF0" w14:textId="3CA0C1AB" w:rsidR="000528E1" w:rsidRDefault="000528E1">
      <w:pPr>
        <w:pStyle w:val="TOC2"/>
        <w:rPr>
          <w:rFonts w:eastAsiaTheme="minorEastAsia"/>
          <w:sz w:val="22"/>
          <w:szCs w:val="22"/>
          <w:lang w:eastAsia="en-AU"/>
        </w:rPr>
      </w:pPr>
      <w:r>
        <w:t>4.</w:t>
      </w:r>
      <w:r>
        <w:rPr>
          <w:rFonts w:eastAsiaTheme="minorEastAsia"/>
          <w:sz w:val="22"/>
          <w:szCs w:val="22"/>
          <w:lang w:eastAsia="en-AU"/>
        </w:rPr>
        <w:tab/>
      </w:r>
      <w:r>
        <w:t>Worker perspectives</w:t>
      </w:r>
      <w:r>
        <w:rPr>
          <w:webHidden/>
        </w:rPr>
        <w:tab/>
      </w:r>
      <w:r>
        <w:rPr>
          <w:webHidden/>
        </w:rPr>
        <w:fldChar w:fldCharType="begin"/>
      </w:r>
      <w:r>
        <w:rPr>
          <w:webHidden/>
        </w:rPr>
        <w:instrText xml:space="preserve"> PAGEREF _Toc116989046 \h </w:instrText>
      </w:r>
      <w:r>
        <w:rPr>
          <w:webHidden/>
        </w:rPr>
      </w:r>
      <w:r>
        <w:rPr>
          <w:webHidden/>
        </w:rPr>
        <w:fldChar w:fldCharType="separate"/>
      </w:r>
      <w:r w:rsidR="006A0711">
        <w:rPr>
          <w:webHidden/>
        </w:rPr>
        <w:t>7</w:t>
      </w:r>
      <w:r>
        <w:rPr>
          <w:webHidden/>
        </w:rPr>
        <w:fldChar w:fldCharType="end"/>
      </w:r>
    </w:p>
    <w:p w14:paraId="75CB6FB9" w14:textId="7332B9D0" w:rsidR="000528E1" w:rsidRDefault="000528E1">
      <w:pPr>
        <w:pStyle w:val="TOC2"/>
        <w:rPr>
          <w:rFonts w:eastAsiaTheme="minorEastAsia"/>
          <w:sz w:val="22"/>
          <w:szCs w:val="22"/>
          <w:lang w:eastAsia="en-AU"/>
        </w:rPr>
      </w:pPr>
      <w:r>
        <w:t>5.</w:t>
      </w:r>
      <w:r>
        <w:rPr>
          <w:rFonts w:eastAsiaTheme="minorEastAsia"/>
          <w:sz w:val="22"/>
          <w:szCs w:val="22"/>
          <w:lang w:eastAsia="en-AU"/>
        </w:rPr>
        <w:tab/>
      </w:r>
      <w:r>
        <w:t>Business perspectives</w:t>
      </w:r>
      <w:r>
        <w:rPr>
          <w:webHidden/>
        </w:rPr>
        <w:tab/>
      </w:r>
      <w:r>
        <w:rPr>
          <w:webHidden/>
        </w:rPr>
        <w:fldChar w:fldCharType="begin"/>
      </w:r>
      <w:r>
        <w:rPr>
          <w:webHidden/>
        </w:rPr>
        <w:instrText xml:space="preserve"> PAGEREF _Toc116989047 \h </w:instrText>
      </w:r>
      <w:r>
        <w:rPr>
          <w:webHidden/>
        </w:rPr>
      </w:r>
      <w:r>
        <w:rPr>
          <w:webHidden/>
        </w:rPr>
        <w:fldChar w:fldCharType="separate"/>
      </w:r>
      <w:r w:rsidR="006A0711">
        <w:rPr>
          <w:webHidden/>
        </w:rPr>
        <w:t>9</w:t>
      </w:r>
      <w:r>
        <w:rPr>
          <w:webHidden/>
        </w:rPr>
        <w:fldChar w:fldCharType="end"/>
      </w:r>
    </w:p>
    <w:p w14:paraId="1889F170" w14:textId="75A109B4" w:rsidR="000528E1" w:rsidRDefault="000528E1">
      <w:pPr>
        <w:pStyle w:val="TOC2"/>
        <w:rPr>
          <w:rFonts w:eastAsiaTheme="minorEastAsia"/>
          <w:sz w:val="22"/>
          <w:szCs w:val="22"/>
          <w:lang w:eastAsia="en-AU"/>
        </w:rPr>
      </w:pPr>
      <w:r>
        <w:t>6.</w:t>
      </w:r>
      <w:r>
        <w:rPr>
          <w:rFonts w:eastAsiaTheme="minorEastAsia"/>
          <w:sz w:val="22"/>
          <w:szCs w:val="22"/>
          <w:lang w:eastAsia="en-AU"/>
        </w:rPr>
        <w:tab/>
      </w:r>
      <w:r>
        <w:t>The way forward</w:t>
      </w:r>
      <w:r>
        <w:rPr>
          <w:webHidden/>
        </w:rPr>
        <w:tab/>
      </w:r>
      <w:r>
        <w:rPr>
          <w:webHidden/>
        </w:rPr>
        <w:fldChar w:fldCharType="begin"/>
      </w:r>
      <w:r>
        <w:rPr>
          <w:webHidden/>
        </w:rPr>
        <w:instrText xml:space="preserve"> PAGEREF _Toc116989048 \h </w:instrText>
      </w:r>
      <w:r>
        <w:rPr>
          <w:webHidden/>
        </w:rPr>
      </w:r>
      <w:r>
        <w:rPr>
          <w:webHidden/>
        </w:rPr>
        <w:fldChar w:fldCharType="separate"/>
      </w:r>
      <w:r w:rsidR="006A0711">
        <w:rPr>
          <w:webHidden/>
        </w:rPr>
        <w:t>10</w:t>
      </w:r>
      <w:r>
        <w:rPr>
          <w:webHidden/>
        </w:rPr>
        <w:fldChar w:fldCharType="end"/>
      </w:r>
    </w:p>
    <w:p w14:paraId="7F001872" w14:textId="5E9A149E" w:rsidR="000528E1" w:rsidRDefault="000528E1">
      <w:pPr>
        <w:pStyle w:val="TOC1"/>
        <w:rPr>
          <w:rFonts w:asciiTheme="minorHAnsi" w:eastAsiaTheme="minorEastAsia" w:hAnsiTheme="minorHAnsi"/>
          <w:noProof/>
          <w:color w:val="auto"/>
          <w:sz w:val="22"/>
          <w:szCs w:val="22"/>
          <w:lang w:eastAsia="en-AU"/>
        </w:rPr>
      </w:pPr>
      <w:r>
        <w:rPr>
          <w:noProof/>
        </w:rPr>
        <w:t>Findings and recommendation</w:t>
      </w:r>
      <w:r>
        <w:rPr>
          <w:noProof/>
          <w:webHidden/>
        </w:rPr>
        <w:tab/>
      </w:r>
      <w:r>
        <w:rPr>
          <w:noProof/>
          <w:webHidden/>
        </w:rPr>
        <w:fldChar w:fldCharType="begin"/>
      </w:r>
      <w:r>
        <w:rPr>
          <w:noProof/>
          <w:webHidden/>
        </w:rPr>
        <w:instrText xml:space="preserve"> PAGEREF _Toc116989049 \h </w:instrText>
      </w:r>
      <w:r>
        <w:rPr>
          <w:noProof/>
          <w:webHidden/>
        </w:rPr>
      </w:r>
      <w:r>
        <w:rPr>
          <w:noProof/>
          <w:webHidden/>
        </w:rPr>
        <w:fldChar w:fldCharType="separate"/>
      </w:r>
      <w:r w:rsidR="006A0711">
        <w:rPr>
          <w:noProof/>
          <w:webHidden/>
        </w:rPr>
        <w:t>11</w:t>
      </w:r>
      <w:r>
        <w:rPr>
          <w:noProof/>
          <w:webHidden/>
        </w:rPr>
        <w:fldChar w:fldCharType="end"/>
      </w:r>
    </w:p>
    <w:p w14:paraId="075D11DA" w14:textId="41B6C78C" w:rsidR="00D05879" w:rsidRDefault="00F054F5" w:rsidP="006C2E46">
      <w:pPr>
        <w:pStyle w:val="BodyText"/>
      </w:pPr>
      <w:r>
        <w:rPr>
          <w:sz w:val="18"/>
        </w:rPr>
        <w:fldChar w:fldCharType="end"/>
      </w:r>
    </w:p>
    <w:p w14:paraId="5478E8C4" w14:textId="18C98E19" w:rsidR="00D05879" w:rsidRDefault="00D05879" w:rsidP="006C2E46">
      <w:pPr>
        <w:pStyle w:val="BodyText"/>
        <w:sectPr w:rsidR="00D05879" w:rsidSect="008A52FD">
          <w:footerReference w:type="even" r:id="rId25"/>
          <w:footerReference w:type="default" r:id="rId26"/>
          <w:type w:val="oddPage"/>
          <w:pgSz w:w="11906" w:h="16838" w:code="9"/>
          <w:pgMar w:top="1134" w:right="1134" w:bottom="1134" w:left="1134" w:header="794" w:footer="510" w:gutter="0"/>
          <w:pgNumType w:fmt="lowerRoman"/>
          <w:cols w:space="708"/>
          <w:docGrid w:linePitch="360"/>
        </w:sectPr>
      </w:pPr>
    </w:p>
    <w:p w14:paraId="76AE4A2E" w14:textId="07FD7C2D" w:rsidR="006F23EA" w:rsidRPr="00B472C9" w:rsidRDefault="00B472C9" w:rsidP="00B472C9">
      <w:pPr>
        <w:pStyle w:val="Heading1-Section-fullpage"/>
        <w:framePr w:wrap="around"/>
      </w:pPr>
      <w:bookmarkStart w:id="6" w:name="_Toc116989042"/>
      <w:r>
        <w:lastRenderedPageBreak/>
        <w:t>Overview</w:t>
      </w:r>
      <w:bookmarkEnd w:id="6"/>
    </w:p>
    <w:tbl>
      <w:tblPr>
        <w:tblStyle w:val="Texttable-Paleblue"/>
        <w:tblW w:w="9694" w:type="dxa"/>
        <w:tblLook w:val="04A0" w:firstRow="1" w:lastRow="0" w:firstColumn="1" w:lastColumn="0" w:noHBand="0" w:noVBand="1"/>
      </w:tblPr>
      <w:tblGrid>
        <w:gridCol w:w="9694"/>
      </w:tblGrid>
      <w:tr w:rsidR="00111A3E" w:rsidRPr="002F759A" w14:paraId="4E7D270F" w14:textId="77777777" w:rsidTr="008D0EEB">
        <w:trPr>
          <w:trHeight w:val="725"/>
        </w:trPr>
        <w:tc>
          <w:tcPr>
            <w:tcW w:w="9694" w:type="dxa"/>
            <w:tcMar>
              <w:left w:w="170" w:type="dxa"/>
            </w:tcMar>
          </w:tcPr>
          <w:p w14:paraId="1760C99D" w14:textId="77777777" w:rsidR="006F23EA" w:rsidRDefault="006F23EA">
            <w:pPr>
              <w:pStyle w:val="Keypoints-heading"/>
            </w:pPr>
            <w:r w:rsidRPr="002F759A">
              <w:lastRenderedPageBreak/>
              <w:t>Key points</w:t>
            </w:r>
          </w:p>
          <w:tbl>
            <w:tblPr>
              <w:tblStyle w:val="Texttable-Paleblue"/>
              <w:tblW w:w="5000" w:type="pct"/>
              <w:tblLook w:val="04A0" w:firstRow="1" w:lastRow="0" w:firstColumn="1" w:lastColumn="0" w:noHBand="0" w:noVBand="1"/>
            </w:tblPr>
            <w:tblGrid>
              <w:gridCol w:w="616"/>
              <w:gridCol w:w="8795"/>
            </w:tblGrid>
            <w:tr w:rsidR="008D0EEB" w14:paraId="36579F83" w14:textId="77777777" w:rsidTr="008E3B89">
              <w:tc>
                <w:tcPr>
                  <w:tcW w:w="634" w:type="dxa"/>
                  <w:tcMar>
                    <w:top w:w="0" w:type="dxa"/>
                    <w:bottom w:w="0" w:type="dxa"/>
                    <w:right w:w="113" w:type="dxa"/>
                  </w:tcMar>
                </w:tcPr>
                <w:p w14:paraId="77234C19" w14:textId="77777777" w:rsidR="006F23EA" w:rsidRPr="00A51374" w:rsidRDefault="006F23EA" w:rsidP="009A5031">
                  <w:pPr>
                    <w:pStyle w:val="KeyPointsicon"/>
                    <w:spacing w:after="40"/>
                  </w:pPr>
                  <w:r w:rsidRPr="00F31E73">
                    <w:rPr>
                      <w:noProof/>
                    </w:rPr>
                    <w:drawing>
                      <wp:inline distT="0" distB="0" distL="0" distR="0" wp14:anchorId="272165CD" wp14:editId="474B323A">
                        <wp:extent cx="180000" cy="180000"/>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202B408A" w14:textId="77777777" w:rsidR="006F23EA" w:rsidRPr="00610627" w:rsidRDefault="006F23EA" w:rsidP="009A5031">
                  <w:pPr>
                    <w:pStyle w:val="KeyPoints-Bold"/>
                    <w:spacing w:after="40"/>
                  </w:pPr>
                  <w:r>
                    <w:t>It is widely recognised that there are major problems in the quality of aged care, especially in residential aged care. There are many reasons for this, but there is little persuasive evidence that a policy to preference direct employment would improve outcomes. It could indeed worsen outcomes.</w:t>
                  </w:r>
                </w:p>
              </w:tc>
            </w:tr>
            <w:tr w:rsidR="008D0EEB" w14:paraId="1003D10D" w14:textId="77777777" w:rsidTr="008E3B89">
              <w:tc>
                <w:tcPr>
                  <w:tcW w:w="634" w:type="dxa"/>
                  <w:tcMar>
                    <w:top w:w="0" w:type="dxa"/>
                    <w:bottom w:w="0" w:type="dxa"/>
                    <w:right w:w="113" w:type="dxa"/>
                  </w:tcMar>
                </w:tcPr>
                <w:p w14:paraId="5A8F32F7" w14:textId="77777777" w:rsidR="006F23EA" w:rsidRPr="00A51374" w:rsidRDefault="006F23EA" w:rsidP="000C6B77">
                  <w:pPr>
                    <w:pStyle w:val="KeyPointsicon"/>
                  </w:pPr>
                  <w:r w:rsidRPr="00F31E73">
                    <w:rPr>
                      <w:noProof/>
                    </w:rPr>
                    <w:drawing>
                      <wp:inline distT="0" distB="0" distL="0" distR="0" wp14:anchorId="2AD2C339" wp14:editId="7298279D">
                        <wp:extent cx="180000" cy="1800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42A3076B" w14:textId="77777777" w:rsidR="006F23EA" w:rsidRDefault="006F23EA" w:rsidP="009A5031">
                  <w:pPr>
                    <w:pStyle w:val="KeyPoints-Bold"/>
                    <w:spacing w:after="40"/>
                  </w:pPr>
                  <w:r>
                    <w:t>D</w:t>
                  </w:r>
                  <w:r w:rsidRPr="0081634D">
                    <w:t xml:space="preserve">irect employment is already </w:t>
                  </w:r>
                  <w:r>
                    <w:t xml:space="preserve">by far </w:t>
                  </w:r>
                  <w:r w:rsidRPr="0081634D">
                    <w:t xml:space="preserve">the </w:t>
                  </w:r>
                  <w:r>
                    <w:t>most common</w:t>
                  </w:r>
                  <w:r w:rsidRPr="0081634D">
                    <w:t xml:space="preserve"> </w:t>
                  </w:r>
                  <w:r>
                    <w:t xml:space="preserve">mode of </w:t>
                  </w:r>
                  <w:r w:rsidRPr="0081634D">
                    <w:t>employment in the aged care sector</w:t>
                  </w:r>
                  <w:r>
                    <w:t>.</w:t>
                  </w:r>
                </w:p>
                <w:p w14:paraId="03607DF9" w14:textId="77777777" w:rsidR="006F23EA" w:rsidRDefault="006F23EA" w:rsidP="00CF77CB">
                  <w:pPr>
                    <w:pStyle w:val="KeyPoints-Bullet"/>
                    <w:spacing w:after="40"/>
                  </w:pPr>
                  <w:r w:rsidRPr="0081634D">
                    <w:t xml:space="preserve">Agency workers and independent contractors account for </w:t>
                  </w:r>
                  <w:r>
                    <w:t>less than 4 </w:t>
                  </w:r>
                  <w:r w:rsidRPr="0081634D">
                    <w:t>per</w:t>
                  </w:r>
                  <w:r>
                    <w:t> </w:t>
                  </w:r>
                  <w:r w:rsidRPr="0081634D">
                    <w:t xml:space="preserve">cent of </w:t>
                  </w:r>
                  <w:r>
                    <w:t xml:space="preserve">the care workforce (personal care workers, nurses and allied health workers). </w:t>
                  </w:r>
                </w:p>
                <w:p w14:paraId="27CD74BA" w14:textId="77777777" w:rsidR="006F23EA" w:rsidRPr="00610627" w:rsidRDefault="006F23EA" w:rsidP="00CF77CB">
                  <w:pPr>
                    <w:pStyle w:val="KeyPoints-Bullet"/>
                    <w:spacing w:after="40"/>
                  </w:pPr>
                  <w:r>
                    <w:t>The scope for any gains from a policy to preference direct employment therefore needs to be kept in perspective.</w:t>
                  </w:r>
                </w:p>
              </w:tc>
            </w:tr>
            <w:tr w:rsidR="008D0EEB" w14:paraId="0400CB99" w14:textId="77777777" w:rsidTr="008E3B89">
              <w:tc>
                <w:tcPr>
                  <w:tcW w:w="634" w:type="dxa"/>
                  <w:tcMar>
                    <w:top w:w="0" w:type="dxa"/>
                    <w:bottom w:w="0" w:type="dxa"/>
                    <w:right w:w="113" w:type="dxa"/>
                  </w:tcMar>
                </w:tcPr>
                <w:p w14:paraId="7D778C27" w14:textId="77777777" w:rsidR="006F23EA" w:rsidRPr="00A51374" w:rsidRDefault="006F23EA" w:rsidP="000C6B77">
                  <w:pPr>
                    <w:pStyle w:val="KeyPointsicon"/>
                  </w:pPr>
                  <w:r w:rsidRPr="00F31E73">
                    <w:rPr>
                      <w:noProof/>
                    </w:rPr>
                    <w:drawing>
                      <wp:inline distT="0" distB="0" distL="0" distR="0" wp14:anchorId="52349DEE" wp14:editId="479BA2E1">
                        <wp:extent cx="180000" cy="1800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6E48A95A" w14:textId="77777777" w:rsidR="006F23EA" w:rsidRDefault="006F23EA" w:rsidP="009A5031">
                  <w:pPr>
                    <w:pStyle w:val="KeyPoints-Bold"/>
                    <w:spacing w:after="40"/>
                  </w:pPr>
                  <w:r>
                    <w:t>In the context of the chronic staff shortages facing the sector, a policy to restrict agency work is not a realistic option.</w:t>
                  </w:r>
                </w:p>
                <w:p w14:paraId="7495E531" w14:textId="77777777" w:rsidR="006F23EA" w:rsidRDefault="006F23EA" w:rsidP="00CF77CB">
                  <w:pPr>
                    <w:pStyle w:val="KeyPoints-Bullet"/>
                    <w:spacing w:after="40"/>
                  </w:pPr>
                  <w:r>
                    <w:t>Where agency workers are used by approved providers of residential and home care, it is typically as a last resort for filling short</w:t>
                  </w:r>
                  <w:r>
                    <w:noBreakHyphen/>
                    <w:t>term staffing gaps or vacancies that cannot be filled otherwise, particularly in remote areas where workforce pressures are most acute.</w:t>
                  </w:r>
                </w:p>
                <w:p w14:paraId="3586809D" w14:textId="77777777" w:rsidR="006F23EA" w:rsidRPr="00610627" w:rsidRDefault="006F23EA" w:rsidP="00CF77CB">
                  <w:pPr>
                    <w:pStyle w:val="KeyPoints-Bullet"/>
                    <w:spacing w:after="40"/>
                  </w:pPr>
                  <w:r>
                    <w:t>Independent contractors in residential care are used mainly for accessing specialist skills.</w:t>
                  </w:r>
                </w:p>
              </w:tc>
            </w:tr>
            <w:tr w:rsidR="008D0EEB" w14:paraId="711718C6" w14:textId="77777777" w:rsidTr="008E3B89">
              <w:tc>
                <w:tcPr>
                  <w:tcW w:w="634" w:type="dxa"/>
                  <w:tcMar>
                    <w:top w:w="0" w:type="dxa"/>
                    <w:bottom w:w="0" w:type="dxa"/>
                    <w:right w:w="113" w:type="dxa"/>
                  </w:tcMar>
                </w:tcPr>
                <w:p w14:paraId="2D8F67C7" w14:textId="77777777" w:rsidR="006F23EA" w:rsidRPr="00A51374" w:rsidRDefault="006F23EA" w:rsidP="009A5031">
                  <w:pPr>
                    <w:pStyle w:val="KeyPointsicon"/>
                    <w:spacing w:after="40"/>
                  </w:pPr>
                  <w:r w:rsidRPr="00F31E73">
                    <w:rPr>
                      <w:noProof/>
                    </w:rPr>
                    <w:drawing>
                      <wp:inline distT="0" distB="0" distL="0" distR="0" wp14:anchorId="38C46F66" wp14:editId="62F277D7">
                        <wp:extent cx="180000" cy="180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718D03CC" w14:textId="77777777" w:rsidR="006F23EA" w:rsidRDefault="006F23EA" w:rsidP="009A5031">
                  <w:pPr>
                    <w:pStyle w:val="KeyPoints-Bold"/>
                    <w:spacing w:after="40"/>
                  </w:pPr>
                  <w:r>
                    <w:t>The use of independent contractors in home care — often through digital care platforms that connect workers directly with consumers — is growing from a very small base as more</w:t>
                  </w:r>
                  <w:r w:rsidRPr="009D19B4">
                    <w:t xml:space="preserve"> </w:t>
                  </w:r>
                  <w:r>
                    <w:t>older Australians express a preference to self</w:t>
                  </w:r>
                  <w:r>
                    <w:noBreakHyphen/>
                    <w:t>manage their government</w:t>
                  </w:r>
                  <w:r>
                    <w:noBreakHyphen/>
                    <w:t>funded care package.</w:t>
                  </w:r>
                </w:p>
                <w:p w14:paraId="49D7A664" w14:textId="77777777" w:rsidR="006F23EA" w:rsidRPr="00610627" w:rsidRDefault="006F23EA" w:rsidP="00CF77CB">
                  <w:pPr>
                    <w:pStyle w:val="KeyPoints-Bullet"/>
                    <w:spacing w:after="40"/>
                  </w:pPr>
                  <w:r>
                    <w:t>This attests to the benefits derived by individual consumers (and their families) and individual workers who are choosing this form of work over more traditional employment.</w:t>
                  </w:r>
                </w:p>
              </w:tc>
            </w:tr>
            <w:tr w:rsidR="008D0EEB" w14:paraId="53B3167F" w14:textId="77777777" w:rsidTr="008E3B89">
              <w:tc>
                <w:tcPr>
                  <w:tcW w:w="634" w:type="dxa"/>
                  <w:tcMar>
                    <w:top w:w="0" w:type="dxa"/>
                    <w:bottom w:w="0" w:type="dxa"/>
                    <w:right w:w="113" w:type="dxa"/>
                  </w:tcMar>
                </w:tcPr>
                <w:p w14:paraId="1E1E6AF4" w14:textId="77777777" w:rsidR="006F23EA" w:rsidRPr="00A51374" w:rsidRDefault="006F23EA" w:rsidP="000C6B77">
                  <w:pPr>
                    <w:pStyle w:val="KeyPointsicon"/>
                  </w:pPr>
                  <w:r w:rsidRPr="00F31E73">
                    <w:rPr>
                      <w:noProof/>
                    </w:rPr>
                    <w:drawing>
                      <wp:inline distT="0" distB="0" distL="0" distR="0" wp14:anchorId="0AEC6081" wp14:editId="293EEFD5">
                        <wp:extent cx="180000" cy="180000"/>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0FF9D268" w14:textId="77777777" w:rsidR="006F23EA" w:rsidRDefault="006F23EA" w:rsidP="009A5031">
                  <w:pPr>
                    <w:pStyle w:val="KeyPoints-Bold"/>
                    <w:spacing w:after="40"/>
                  </w:pPr>
                  <w:r>
                    <w:t>Many older Australians highly value the choice and agency that this model provides, as well as the bespoke nature of the service offerings from platforms that cater for diverse needs.</w:t>
                  </w:r>
                </w:p>
                <w:p w14:paraId="7E09A95B" w14:textId="77777777" w:rsidR="006F23EA" w:rsidRPr="00610627" w:rsidRDefault="006F23EA" w:rsidP="00CF77CB">
                  <w:pPr>
                    <w:pStyle w:val="KeyPoints-Bullet"/>
                    <w:spacing w:after="40"/>
                  </w:pPr>
                  <w:r>
                    <w:t>In many cases this is allowing them to fulfil an aspiration to stay in their own home for as long as possible.</w:t>
                  </w:r>
                </w:p>
              </w:tc>
            </w:tr>
            <w:tr w:rsidR="008D0EEB" w14:paraId="2B43AD54" w14:textId="77777777" w:rsidTr="008E3B89">
              <w:tc>
                <w:tcPr>
                  <w:tcW w:w="634" w:type="dxa"/>
                  <w:tcMar>
                    <w:top w:w="0" w:type="dxa"/>
                    <w:bottom w:w="0" w:type="dxa"/>
                    <w:right w:w="113" w:type="dxa"/>
                  </w:tcMar>
                </w:tcPr>
                <w:p w14:paraId="1872EB84" w14:textId="77777777" w:rsidR="006F23EA" w:rsidRPr="00A51374" w:rsidRDefault="006F23EA" w:rsidP="009A5031">
                  <w:pPr>
                    <w:pStyle w:val="KeyPointsicon"/>
                    <w:spacing w:after="40"/>
                  </w:pPr>
                  <w:r w:rsidRPr="00F31E73">
                    <w:rPr>
                      <w:noProof/>
                    </w:rPr>
                    <w:drawing>
                      <wp:inline distT="0" distB="0" distL="0" distR="0" wp14:anchorId="6E839658" wp14:editId="492B9140">
                        <wp:extent cx="180000" cy="180000"/>
                        <wp:effectExtent l="0" t="0" r="0" b="0"/>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0BC1F794" w14:textId="77777777" w:rsidR="006F23EA" w:rsidRPr="00610627" w:rsidRDefault="006F23EA" w:rsidP="009A5031">
                  <w:pPr>
                    <w:pStyle w:val="KeyPoints-Bold"/>
                    <w:spacing w:after="40"/>
                  </w:pPr>
                  <w:r>
                    <w:t>Equally, many platform workers highly value the flexibility, autonomy and the potential for higher pay associated with independent contracting — all of which add to their job satisfaction and help keep them in the sector.</w:t>
                  </w:r>
                </w:p>
              </w:tc>
            </w:tr>
            <w:tr w:rsidR="008D0EEB" w14:paraId="04639F73" w14:textId="77777777" w:rsidTr="008E3B89">
              <w:tc>
                <w:tcPr>
                  <w:tcW w:w="634" w:type="dxa"/>
                  <w:tcMar>
                    <w:top w:w="0" w:type="dxa"/>
                    <w:bottom w:w="0" w:type="dxa"/>
                    <w:right w:w="113" w:type="dxa"/>
                  </w:tcMar>
                </w:tcPr>
                <w:p w14:paraId="5E5D2AB5" w14:textId="77777777" w:rsidR="006F23EA" w:rsidRPr="00A51374" w:rsidRDefault="006F23EA" w:rsidP="000C6B77">
                  <w:pPr>
                    <w:pStyle w:val="KeyPointsicon"/>
                  </w:pPr>
                  <w:r w:rsidRPr="00F31E73">
                    <w:rPr>
                      <w:noProof/>
                    </w:rPr>
                    <w:drawing>
                      <wp:inline distT="0" distB="0" distL="0" distR="0" wp14:anchorId="277011A7" wp14:editId="1161FF80">
                        <wp:extent cx="180000" cy="180000"/>
                        <wp:effectExtent l="0" t="0" r="0" b="0"/>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373C4EA0" w14:textId="77777777" w:rsidR="006F23EA" w:rsidRDefault="006F23EA" w:rsidP="009A5031">
                  <w:pPr>
                    <w:pStyle w:val="KeyPoints-Bold"/>
                    <w:spacing w:after="40"/>
                  </w:pPr>
                  <w:r>
                    <w:t xml:space="preserve">Given these benefits, there is a role for </w:t>
                  </w:r>
                  <w:r w:rsidRPr="008B7A3A">
                    <w:t>platforms as part of the solution for the future of work in aged care</w:t>
                  </w:r>
                  <w:r>
                    <w:t>.</w:t>
                  </w:r>
                </w:p>
                <w:p w14:paraId="1FA1270B" w14:textId="77777777" w:rsidR="006F23EA" w:rsidRPr="00610627" w:rsidRDefault="006F23EA" w:rsidP="00CF77CB">
                  <w:pPr>
                    <w:pStyle w:val="KeyPoints-Bullet"/>
                    <w:spacing w:after="40"/>
                  </w:pPr>
                  <w:r>
                    <w:t>This model works particularly well for the delivery of lower</w:t>
                  </w:r>
                  <w:r>
                    <w:noBreakHyphen/>
                    <w:t>risk care services to older Australians who have the requisite abilities and support to exercise choice and control over their care.</w:t>
                  </w:r>
                </w:p>
              </w:tc>
            </w:tr>
            <w:tr w:rsidR="008D0EEB" w14:paraId="35B1E131" w14:textId="77777777" w:rsidTr="008E3B89">
              <w:tc>
                <w:tcPr>
                  <w:tcW w:w="634" w:type="dxa"/>
                  <w:tcMar>
                    <w:top w:w="0" w:type="dxa"/>
                    <w:bottom w:w="0" w:type="dxa"/>
                    <w:right w:w="113" w:type="dxa"/>
                  </w:tcMar>
                </w:tcPr>
                <w:p w14:paraId="7CE8B911" w14:textId="77777777" w:rsidR="006F23EA" w:rsidRPr="00A51374" w:rsidRDefault="006F23EA" w:rsidP="000C6B77">
                  <w:pPr>
                    <w:pStyle w:val="KeyPointsicon"/>
                  </w:pPr>
                  <w:r w:rsidRPr="00F31E73">
                    <w:rPr>
                      <w:noProof/>
                    </w:rPr>
                    <w:drawing>
                      <wp:inline distT="0" distB="0" distL="0" distR="0" wp14:anchorId="77937E14" wp14:editId="7058C863">
                        <wp:extent cx="180000" cy="1800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0710CD85" w14:textId="77777777" w:rsidR="006F23EA" w:rsidRDefault="006F23EA" w:rsidP="009A5031">
                  <w:pPr>
                    <w:pStyle w:val="KeyPoints-Bold"/>
                    <w:spacing w:after="40"/>
                  </w:pPr>
                  <w:r>
                    <w:t>Instead of focusing on employment models per se, the Government should expedite the suite of reforms to increase safety and quality that are currently planned or underway.</w:t>
                  </w:r>
                </w:p>
                <w:p w14:paraId="2AA92309" w14:textId="77777777" w:rsidR="006F23EA" w:rsidRPr="00610627" w:rsidRDefault="006F23EA" w:rsidP="00CF77CB">
                  <w:pPr>
                    <w:pStyle w:val="KeyPoints-Bullet"/>
                    <w:spacing w:after="40"/>
                  </w:pPr>
                  <w:r>
                    <w:t>These are likely to be more effective at managing the risks inherent in the delivery of aged care services, irrespective of employment models.</w:t>
                  </w:r>
                </w:p>
              </w:tc>
            </w:tr>
            <w:tr w:rsidR="008D0EEB" w14:paraId="1E276605" w14:textId="77777777" w:rsidTr="008E3B89">
              <w:tc>
                <w:tcPr>
                  <w:tcW w:w="634" w:type="dxa"/>
                  <w:tcMar>
                    <w:top w:w="0" w:type="dxa"/>
                    <w:bottom w:w="0" w:type="dxa"/>
                    <w:right w:w="113" w:type="dxa"/>
                  </w:tcMar>
                </w:tcPr>
                <w:p w14:paraId="0418F53D" w14:textId="77777777" w:rsidR="006F23EA" w:rsidRPr="00A51374" w:rsidRDefault="006F23EA" w:rsidP="009A5031">
                  <w:pPr>
                    <w:pStyle w:val="KeyPointsicon"/>
                    <w:spacing w:after="40"/>
                  </w:pPr>
                  <w:r w:rsidRPr="00F31E73">
                    <w:rPr>
                      <w:noProof/>
                    </w:rPr>
                    <w:drawing>
                      <wp:inline distT="0" distB="0" distL="0" distR="0" wp14:anchorId="190C7960" wp14:editId="0E9911A6">
                        <wp:extent cx="180000" cy="1800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4C84CFDE" w14:textId="77777777" w:rsidR="006F23EA" w:rsidRPr="00610627" w:rsidRDefault="006F23EA" w:rsidP="009A5031">
                  <w:pPr>
                    <w:pStyle w:val="KeyPoints-Bold"/>
                    <w:spacing w:after="40"/>
                  </w:pPr>
                  <w:r>
                    <w:t>Issues that go beyond aged care, such as the protection of workers in the gig economy, are best addressed through an economy</w:t>
                  </w:r>
                  <w:r>
                    <w:noBreakHyphen/>
                    <w:t>wide lens.</w:t>
                  </w:r>
                </w:p>
              </w:tc>
            </w:tr>
          </w:tbl>
          <w:p w14:paraId="688196A5" w14:textId="77777777" w:rsidR="006F23EA" w:rsidRPr="002F759A" w:rsidRDefault="006F23EA">
            <w:pPr>
              <w:pStyle w:val="Keypoints-heading"/>
            </w:pPr>
          </w:p>
        </w:tc>
      </w:tr>
    </w:tbl>
    <w:p w14:paraId="4E7DA3DA" w14:textId="77777777" w:rsidR="006F23EA" w:rsidRDefault="006F23EA" w:rsidP="00CF77CB">
      <w:pPr>
        <w:pStyle w:val="Heading2"/>
        <w:numPr>
          <w:ilvl w:val="0"/>
          <w:numId w:val="2"/>
        </w:numPr>
        <w:ind w:left="709" w:hanging="709"/>
      </w:pPr>
      <w:bookmarkStart w:id="7" w:name="_Toc115782043"/>
      <w:bookmarkStart w:id="8" w:name="_Toc116577839"/>
      <w:bookmarkStart w:id="9" w:name="_Toc116989043"/>
      <w:r>
        <w:lastRenderedPageBreak/>
        <w:t>About this study</w:t>
      </w:r>
      <w:bookmarkEnd w:id="7"/>
      <w:bookmarkEnd w:id="8"/>
      <w:bookmarkEnd w:id="9"/>
    </w:p>
    <w:p w14:paraId="4503CE18" w14:textId="77777777" w:rsidR="006F23EA" w:rsidRPr="001821F9" w:rsidRDefault="006F23EA" w:rsidP="008E3B89">
      <w:pPr>
        <w:pStyle w:val="BodyText"/>
        <w:rPr>
          <w:spacing w:val="-2"/>
        </w:rPr>
      </w:pPr>
      <w:r w:rsidRPr="001821F9">
        <w:rPr>
          <w:spacing w:val="-4"/>
        </w:rPr>
        <w:t xml:space="preserve">Quality aged care is critical to the wellbeing of older Australians, their families, and their communities. It is widely </w:t>
      </w:r>
      <w:r w:rsidRPr="001821F9">
        <w:rPr>
          <w:spacing w:val="-2"/>
        </w:rPr>
        <w:t>acknowledged that a quality aged care experience cannot be separated from the people who deliver that care.</w:t>
      </w:r>
    </w:p>
    <w:p w14:paraId="3E0637C6" w14:textId="77777777" w:rsidR="006F23EA" w:rsidRDefault="006F23EA" w:rsidP="008E3B89">
      <w:pPr>
        <w:pStyle w:val="BodyText"/>
      </w:pPr>
      <w:r>
        <w:t>The aged care workforce comprises close to 435 000 workers — mostly personal care workers and nurses. This workforce is already under significant pressure, with the COVID</w:t>
      </w:r>
      <w:r>
        <w:noBreakHyphen/>
        <w:t xml:space="preserve">19 pandemic imposing unprecedented costs and absences on the sector. </w:t>
      </w:r>
    </w:p>
    <w:p w14:paraId="0F968498" w14:textId="77777777" w:rsidR="006F23EA" w:rsidRDefault="006F23EA" w:rsidP="008E3B89">
      <w:pPr>
        <w:pStyle w:val="BodyText"/>
      </w:pPr>
      <w:r>
        <w:t>Many recent reviews have diagnosed a plethora of issues</w:t>
      </w:r>
      <w:r w:rsidDel="009E19FB">
        <w:t xml:space="preserve"> </w:t>
      </w:r>
      <w:r>
        <w:t xml:space="preserve">that have made the sector a comparatively unattractive and difficult place to work. The sector has struggled to attract and retain enough staff to keep pace with the demand for care and support services as the number of Australians aged over 65 years has continued to grow. The past few years have seen the expansion of home care in particular, as more older Australians choose to live at home for as long as feasible. </w:t>
      </w:r>
    </w:p>
    <w:p w14:paraId="1C6970A5" w14:textId="77777777" w:rsidR="006F23EA" w:rsidRDefault="006F23EA" w:rsidP="008E3B89">
      <w:pPr>
        <w:pStyle w:val="BodyText"/>
      </w:pPr>
      <w:r>
        <w:t xml:space="preserve">Based on the current trajectory, various projections point to an increase in this shortfall of care workers over the coming decades. This </w:t>
      </w:r>
      <w:proofErr w:type="gramStart"/>
      <w:r>
        <w:t>is a reflection of</w:t>
      </w:r>
      <w:proofErr w:type="gramEnd"/>
      <w:r>
        <w:t xml:space="preserve"> Australia’s ageing population as well as reinforcing factors including changes in policy settings (such as increases in staffing ratios), increasing competition for workers in other care sectors (such as disability and mental health), and the declining propensity to provide informal care.</w:t>
      </w:r>
      <w:r w:rsidRPr="00253553">
        <w:rPr>
          <w:rStyle w:val="FootnoteReference"/>
        </w:rPr>
        <w:footnoteReference w:id="2"/>
      </w:r>
      <w:r>
        <w:t xml:space="preserve"> </w:t>
      </w:r>
      <w:r w:rsidRPr="002F775C">
        <w:t xml:space="preserve">These forces may be compounded by </w:t>
      </w:r>
      <w:r>
        <w:t>constraints on funding by governments</w:t>
      </w:r>
      <w:r w:rsidRPr="002F775C">
        <w:t>.</w:t>
      </w:r>
    </w:p>
    <w:p w14:paraId="141330FA" w14:textId="77777777" w:rsidR="006F23EA" w:rsidRDefault="006F23EA" w:rsidP="008E3B89">
      <w:pPr>
        <w:pStyle w:val="BodyText"/>
      </w:pPr>
      <w:r>
        <w:t>This study’s main task is to</w:t>
      </w:r>
      <w:r w:rsidRPr="2AB99184">
        <w:rPr>
          <w:rFonts w:ascii="Arial" w:eastAsia="Arial" w:hAnsi="Arial" w:cs="Arial"/>
        </w:rPr>
        <w:t xml:space="preserve"> </w:t>
      </w:r>
      <w:r w:rsidRPr="005A56F5">
        <w:rPr>
          <w:rFonts w:ascii="Arial" w:eastAsia="Arial" w:hAnsi="Arial" w:cs="Arial"/>
          <w:i/>
          <w:iCs/>
        </w:rPr>
        <w:t xml:space="preserve">examine </w:t>
      </w:r>
      <w:r w:rsidRPr="005A56F5">
        <w:rPr>
          <w:i/>
          <w:iCs/>
        </w:rPr>
        <w:t>employment models in aged care, and the effects that policies and procedures to preference the direct employment of aged care workers would have on the sector</w:t>
      </w:r>
      <w:r w:rsidRPr="003A1136">
        <w:t>.</w:t>
      </w:r>
      <w:r>
        <w:t xml:space="preserve"> The study stems from recommendation 87 of the Royal Commission into Aged Care Quality and Safety (the Royal Commission) that approved providers be required to preference direct employment of workers engaged to provide </w:t>
      </w:r>
      <w:r w:rsidRPr="00EE631E">
        <w:rPr>
          <w:i/>
          <w:iCs/>
        </w:rPr>
        <w:t>personal care</w:t>
      </w:r>
      <w:r>
        <w:t xml:space="preserve"> and </w:t>
      </w:r>
      <w:r w:rsidRPr="00EE631E">
        <w:rPr>
          <w:i/>
          <w:iCs/>
        </w:rPr>
        <w:t>nursing services</w:t>
      </w:r>
      <w:r>
        <w:t>. The recommendation appears intended to assuage concerns that indirect employment could erode the quality of care, accountability for the care provided, and pay and conditions for workers.</w:t>
      </w:r>
    </w:p>
    <w:p w14:paraId="3F4AA1CA" w14:textId="77777777" w:rsidR="006F23EA" w:rsidRDefault="006F23EA" w:rsidP="008E3B89">
      <w:pPr>
        <w:pStyle w:val="BodyText"/>
      </w:pPr>
      <w:r>
        <w:t xml:space="preserve">In responding to the Royal Commission’s final report in 2021, the previous </w:t>
      </w:r>
      <w:r w:rsidRPr="00501A42">
        <w:t xml:space="preserve">Government </w:t>
      </w:r>
      <w:r>
        <w:t xml:space="preserve">determined that this recommendation required further examination. </w:t>
      </w:r>
    </w:p>
    <w:p w14:paraId="2D2D9A5A" w14:textId="77777777" w:rsidR="006F23EA" w:rsidRDefault="006F23EA" w:rsidP="008E3B89">
      <w:pPr>
        <w:pStyle w:val="BodyText"/>
      </w:pPr>
      <w:r>
        <w:t xml:space="preserve">While recommendation 87 referred explicitly to ‘direct employment’, this term (or ‘indirect employment’) is not used or defined in the </w:t>
      </w:r>
      <w:r w:rsidRPr="0076638E">
        <w:rPr>
          <w:i/>
          <w:iCs/>
        </w:rPr>
        <w:t>Fair Work Act</w:t>
      </w:r>
      <w:r>
        <w:t xml:space="preserve"> </w:t>
      </w:r>
      <w:r w:rsidRPr="00005441">
        <w:rPr>
          <w:i/>
        </w:rPr>
        <w:t>2009</w:t>
      </w:r>
      <w:r>
        <w:t xml:space="preserve"> </w:t>
      </w:r>
      <w:r w:rsidRPr="00005441">
        <w:rPr>
          <w:i/>
        </w:rPr>
        <w:t>(</w:t>
      </w:r>
      <w:proofErr w:type="spellStart"/>
      <w:r w:rsidRPr="00005441">
        <w:rPr>
          <w:i/>
        </w:rPr>
        <w:t>Cth</w:t>
      </w:r>
      <w:proofErr w:type="spellEnd"/>
      <w:r w:rsidRPr="00005441">
        <w:rPr>
          <w:i/>
        </w:rPr>
        <w:t>)</w:t>
      </w:r>
      <w:r>
        <w:t xml:space="preserve">. For the purposes of this study, the Productivity Commission has interpreted the term ‘direct employment’ to apply only to employees directly employed by aged care providers on a permanent, fixed term or casual basis. Under this definition, labour hire, independent contracting and platform work are all categorised as ‘indirect employment’. </w:t>
      </w:r>
    </w:p>
    <w:p w14:paraId="49872B9D" w14:textId="77777777" w:rsidR="006F23EA" w:rsidRDefault="006F23EA" w:rsidP="008E3B89">
      <w:pPr>
        <w:pStyle w:val="BodyText"/>
      </w:pPr>
      <w:r>
        <w:t xml:space="preserve">Likewise, what it means to have a policy ‘to preference’ direct employment is not specified. In practical terms, it could entail a mandated upper limit on the share of indirect employment for approved providers and other businesses operating in the sector. </w:t>
      </w:r>
    </w:p>
    <w:p w14:paraId="61A0F35C" w14:textId="77777777" w:rsidR="006F23EA" w:rsidRPr="004E306B" w:rsidRDefault="006F23EA" w:rsidP="008E3B89">
      <w:pPr>
        <w:pStyle w:val="BodyText"/>
      </w:pPr>
      <w:r>
        <w:t xml:space="preserve">In undertaking this study, the Commission has </w:t>
      </w:r>
      <w:proofErr w:type="gramStart"/>
      <w:r>
        <w:t>taken into account</w:t>
      </w:r>
      <w:proofErr w:type="gramEnd"/>
      <w:r>
        <w:t xml:space="preserve"> the broad suite of reforms to Australia’s aged care system that are currently planned or underway. Of note is the</w:t>
      </w:r>
      <w:r w:rsidRPr="005060DD">
        <w:t xml:space="preserve"> </w:t>
      </w:r>
      <w:r>
        <w:t xml:space="preserve">planned </w:t>
      </w:r>
      <w:r w:rsidRPr="005060DD">
        <w:t>Aged Care Act</w:t>
      </w:r>
      <w:r>
        <w:t>,</w:t>
      </w:r>
      <w:r w:rsidRPr="005060DD">
        <w:t xml:space="preserve"> </w:t>
      </w:r>
      <w:r>
        <w:t>which will</w:t>
      </w:r>
      <w:r w:rsidRPr="005060DD">
        <w:t xml:space="preserve"> establish the purpose of </w:t>
      </w:r>
      <w:r>
        <w:t>government</w:t>
      </w:r>
      <w:r>
        <w:noBreakHyphen/>
        <w:t>funded</w:t>
      </w:r>
      <w:r w:rsidRPr="005060DD">
        <w:t xml:space="preserve"> aged care </w:t>
      </w:r>
      <w:r>
        <w:t xml:space="preserve">as: </w:t>
      </w:r>
      <w:r w:rsidRPr="005060DD">
        <w:t>ensur</w:t>
      </w:r>
      <w:r>
        <w:t>ing</w:t>
      </w:r>
      <w:r w:rsidRPr="005060DD">
        <w:t xml:space="preserve"> that older Australians </w:t>
      </w:r>
      <w:r>
        <w:t>have a</w:t>
      </w:r>
      <w:r w:rsidRPr="005060DD">
        <w:t xml:space="preserve"> universal </w:t>
      </w:r>
      <w:r>
        <w:t>right</w:t>
      </w:r>
      <w:r w:rsidRPr="005060DD">
        <w:t xml:space="preserve"> </w:t>
      </w:r>
      <w:r>
        <w:t xml:space="preserve">to </w:t>
      </w:r>
      <w:r w:rsidRPr="005060DD">
        <w:t>high</w:t>
      </w:r>
      <w:r>
        <w:noBreakHyphen/>
      </w:r>
      <w:r w:rsidRPr="005060DD">
        <w:t>quality, safe and timely care and support.</w:t>
      </w:r>
    </w:p>
    <w:p w14:paraId="76A4FBA4" w14:textId="77777777" w:rsidR="006F23EA" w:rsidRDefault="006F23EA" w:rsidP="008E3B89">
      <w:pPr>
        <w:pStyle w:val="BodyText"/>
      </w:pPr>
      <w:r>
        <w:lastRenderedPageBreak/>
        <w:t xml:space="preserve">Within this broader context, the study has sought to identify the main pros and cons of indirect employment, importantly from the perspectives of older Australians, but also from the perspectives of aged care workers and businesses (figure 1 summarises the key issues considered in the report). </w:t>
      </w:r>
    </w:p>
    <w:p w14:paraId="3256C002" w14:textId="77777777" w:rsidR="006F23EA" w:rsidRDefault="006F23EA" w:rsidP="008E3B89">
      <w:pPr>
        <w:pStyle w:val="BodyText"/>
      </w:pPr>
      <w:r>
        <w:t xml:space="preserve">In doing so, the Commission has strived to go beyond anecdotal evidence. However, data limitations have made it difficult to </w:t>
      </w:r>
      <w:r w:rsidRPr="0052193A">
        <w:t>undertake a systematic examination of the relationship between employment models and outcomes in aged care.</w:t>
      </w:r>
      <w:r>
        <w:t xml:space="preserve"> This has led the Commission to consult widely and place a large onus on stakeholders to demonstrate the feasibility and relative merits of a policy to preference direct employment. </w:t>
      </w:r>
    </w:p>
    <w:p w14:paraId="4510E943" w14:textId="77777777" w:rsidR="006F23EA" w:rsidRPr="00F10351" w:rsidRDefault="006F23EA" w:rsidP="008E3B89">
      <w:pPr>
        <w:pStyle w:val="FigureTableHeading"/>
        <w:rPr>
          <w:color w:val="auto"/>
        </w:rPr>
      </w:pPr>
      <w:r w:rsidRPr="00F10351">
        <w:rPr>
          <w:color w:val="auto"/>
        </w:rPr>
        <w:t>Figure</w:t>
      </w:r>
      <w:r>
        <w:rPr>
          <w:color w:val="auto"/>
        </w:rPr>
        <w:t> </w:t>
      </w:r>
      <w:r w:rsidRPr="00F10351">
        <w:rPr>
          <w:color w:val="auto"/>
        </w:rPr>
        <w:t>1 – Preferencing direct employment: key considerations</w:t>
      </w:r>
    </w:p>
    <w:tbl>
      <w:tblPr>
        <w:tblW w:w="0" w:type="auto"/>
        <w:tblBorders>
          <w:insideV w:val="single" w:sz="36" w:space="0" w:color="FFFFFF" w:themeColor="background1"/>
        </w:tblBorders>
        <w:tblLayout w:type="fixed"/>
        <w:tblCellMar>
          <w:top w:w="57" w:type="dxa"/>
          <w:left w:w="57" w:type="dxa"/>
          <w:bottom w:w="28" w:type="dxa"/>
          <w:right w:w="28"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212"/>
        <w:gridCol w:w="3213"/>
        <w:gridCol w:w="3213"/>
      </w:tblGrid>
      <w:tr w:rsidR="006F23EA" w:rsidRPr="00BC2A24" w14:paraId="71232B5C" w14:textId="77777777" w:rsidTr="006703BE">
        <w:trPr>
          <w:trHeight w:val="397"/>
          <w:tblHeader/>
        </w:trPr>
        <w:tc>
          <w:tcPr>
            <w:tcW w:w="3212" w:type="dxa"/>
            <w:shd w:val="clear" w:color="auto" w:fill="265A9A" w:themeFill="background2"/>
            <w:vAlign w:val="bottom"/>
          </w:tcPr>
          <w:p w14:paraId="34D195B1" w14:textId="77777777" w:rsidR="006F23EA" w:rsidRPr="004A594B" w:rsidRDefault="006F23EA" w:rsidP="008E3B89">
            <w:pPr>
              <w:pStyle w:val="FigureTableSubheading"/>
              <w:keepLines/>
              <w:spacing w:before="45" w:after="45"/>
              <w:ind w:left="57" w:right="108"/>
              <w:jc w:val="center"/>
              <w:rPr>
                <w:rFonts w:ascii="Arial (Body)" w:hAnsi="Arial (Body)"/>
                <w:b/>
                <w:color w:val="FFFFFF" w:themeColor="background1"/>
                <w:sz w:val="22"/>
                <w:szCs w:val="22"/>
              </w:rPr>
            </w:pPr>
            <w:r w:rsidRPr="004A594B">
              <w:rPr>
                <w:rFonts w:ascii="Arial (Body)" w:hAnsi="Arial (Body)"/>
                <w:b/>
                <w:color w:val="FFFFFF" w:themeColor="background1"/>
                <w:sz w:val="22"/>
                <w:szCs w:val="22"/>
              </w:rPr>
              <w:t>Consumers</w:t>
            </w:r>
          </w:p>
        </w:tc>
        <w:tc>
          <w:tcPr>
            <w:tcW w:w="3213" w:type="dxa"/>
            <w:shd w:val="clear" w:color="auto" w:fill="2D9AC2" w:themeFill="text2" w:themeFillShade="BF"/>
            <w:vAlign w:val="bottom"/>
          </w:tcPr>
          <w:p w14:paraId="676885C9" w14:textId="77777777" w:rsidR="006F23EA" w:rsidRPr="004A594B" w:rsidRDefault="006F23EA" w:rsidP="008E3B89">
            <w:pPr>
              <w:pStyle w:val="FigureTableSubheading"/>
              <w:keepLines/>
              <w:spacing w:before="45" w:after="45"/>
              <w:ind w:left="57" w:right="108"/>
              <w:jc w:val="center"/>
              <w:rPr>
                <w:rFonts w:ascii="Arial (Body)" w:hAnsi="Arial (Body)"/>
                <w:b/>
                <w:color w:val="FFFFFF" w:themeColor="background1"/>
                <w:sz w:val="22"/>
                <w:szCs w:val="22"/>
              </w:rPr>
            </w:pPr>
            <w:r w:rsidRPr="004A594B">
              <w:rPr>
                <w:rFonts w:ascii="Arial (Body)" w:hAnsi="Arial (Body)"/>
                <w:b/>
                <w:color w:val="FFFFFF" w:themeColor="background1"/>
                <w:sz w:val="22"/>
                <w:szCs w:val="22"/>
              </w:rPr>
              <w:t>Workers</w:t>
            </w:r>
          </w:p>
        </w:tc>
        <w:tc>
          <w:tcPr>
            <w:tcW w:w="3213" w:type="dxa"/>
            <w:shd w:val="clear" w:color="auto" w:fill="78A22F" w:themeFill="accent1"/>
            <w:vAlign w:val="bottom"/>
          </w:tcPr>
          <w:p w14:paraId="2FE14BBC" w14:textId="77777777" w:rsidR="006F23EA" w:rsidRPr="004A594B" w:rsidRDefault="006F23EA" w:rsidP="008E3B89">
            <w:pPr>
              <w:pStyle w:val="FigureTableSubheading"/>
              <w:keepLines/>
              <w:spacing w:before="45" w:after="45"/>
              <w:ind w:left="57" w:right="108"/>
              <w:jc w:val="center"/>
              <w:rPr>
                <w:rFonts w:ascii="Arial (Body)" w:hAnsi="Arial (Body)"/>
                <w:b/>
                <w:color w:val="FFFFFF" w:themeColor="background1"/>
                <w:sz w:val="22"/>
                <w:szCs w:val="22"/>
              </w:rPr>
            </w:pPr>
            <w:r w:rsidRPr="004A594B">
              <w:rPr>
                <w:rFonts w:ascii="Arial (Body)" w:hAnsi="Arial (Body)"/>
                <w:b/>
                <w:color w:val="FFFFFF" w:themeColor="background1"/>
                <w:sz w:val="22"/>
                <w:szCs w:val="22"/>
              </w:rPr>
              <w:t>Businesses</w:t>
            </w:r>
          </w:p>
        </w:tc>
      </w:tr>
      <w:tr w:rsidR="006F23EA" w:rsidRPr="00BC2A24" w14:paraId="6B07A5E9" w14:textId="77777777" w:rsidTr="006703BE">
        <w:trPr>
          <w:trHeight w:val="1083"/>
        </w:trPr>
        <w:tc>
          <w:tcPr>
            <w:tcW w:w="3212" w:type="dxa"/>
            <w:shd w:val="clear" w:color="auto" w:fill="CBDDF2" w:themeFill="background2" w:themeFillTint="33"/>
          </w:tcPr>
          <w:p w14:paraId="6D434DDF" w14:textId="77777777" w:rsidR="006F23EA" w:rsidRPr="00FB6169" w:rsidRDefault="006F23EA" w:rsidP="008E3B89">
            <w:pPr>
              <w:pStyle w:val="FigureTableSubheading"/>
              <w:keepLines/>
              <w:spacing w:before="45" w:after="45"/>
              <w:ind w:left="57" w:right="108"/>
              <w:jc w:val="center"/>
              <w:rPr>
                <w:rFonts w:ascii="Arial (Body)" w:hAnsi="Arial (Body)"/>
                <w:iCs w:val="0"/>
                <w:color w:val="000000"/>
                <w:sz w:val="18"/>
              </w:rPr>
            </w:pPr>
            <w:r w:rsidRPr="00DF50EF">
              <w:rPr>
                <w:rFonts w:ascii="Arial (Body)" w:hAnsi="Arial (Body)"/>
                <w:b/>
                <w:iCs w:val="0"/>
                <w:noProof/>
                <w:color w:val="265A9A"/>
                <w:sz w:val="18"/>
              </w:rPr>
              <w:drawing>
                <wp:inline distT="0" distB="0" distL="0" distR="0" wp14:anchorId="2146C282" wp14:editId="0B99A452">
                  <wp:extent cx="482494" cy="4644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2494" cy="464400"/>
                          </a:xfrm>
                          <a:prstGeom prst="rect">
                            <a:avLst/>
                          </a:prstGeom>
                          <a:noFill/>
                          <a:ln>
                            <a:noFill/>
                          </a:ln>
                        </pic:spPr>
                      </pic:pic>
                    </a:graphicData>
                  </a:graphic>
                </wp:inline>
              </w:drawing>
            </w:r>
          </w:p>
          <w:p w14:paraId="4A0F621E" w14:textId="1A2956C8" w:rsidR="006F23EA" w:rsidRPr="004F33D0" w:rsidRDefault="006F23EA" w:rsidP="006746AE">
            <w:pPr>
              <w:pStyle w:val="FigureTableSubheading"/>
              <w:keepLines/>
              <w:spacing w:before="120" w:after="45" w:line="260" w:lineRule="atLeast"/>
              <w:ind w:left="57" w:right="108"/>
              <w:jc w:val="center"/>
              <w:rPr>
                <w:rFonts w:ascii="Arial (Body)" w:hAnsi="Arial (Body)"/>
                <w:bCs/>
                <w:i/>
                <w:color w:val="000000" w:themeColor="text1"/>
                <w:sz w:val="18"/>
              </w:rPr>
            </w:pPr>
            <w:r w:rsidRPr="004F33D0">
              <w:rPr>
                <w:rFonts w:ascii="Arial (Body)" w:hAnsi="Arial (Body)"/>
                <w:bCs/>
                <w:i/>
                <w:color w:val="000000" w:themeColor="text1"/>
                <w:sz w:val="18"/>
              </w:rPr>
              <w:t xml:space="preserve">Recipients of </w:t>
            </w:r>
            <w:r w:rsidR="00CD4E91">
              <w:rPr>
                <w:rFonts w:ascii="Arial (Body)" w:hAnsi="Arial (Body)"/>
                <w:bCs/>
                <w:i/>
                <w:color w:val="000000" w:themeColor="text1"/>
                <w:sz w:val="18"/>
              </w:rPr>
              <w:br/>
            </w:r>
            <w:r w:rsidRPr="004F33D0">
              <w:rPr>
                <w:rFonts w:ascii="Arial (Body)" w:hAnsi="Arial (Body)"/>
                <w:bCs/>
                <w:i/>
                <w:color w:val="000000" w:themeColor="text1"/>
                <w:sz w:val="18"/>
              </w:rPr>
              <w:t xml:space="preserve">government-subsidised </w:t>
            </w:r>
            <w:r w:rsidR="00E90B7F">
              <w:rPr>
                <w:rFonts w:ascii="Arial (Body)" w:hAnsi="Arial (Body)"/>
                <w:bCs/>
                <w:i/>
                <w:color w:val="000000" w:themeColor="text1"/>
                <w:sz w:val="18"/>
              </w:rPr>
              <w:br/>
            </w:r>
            <w:r w:rsidRPr="004F33D0">
              <w:rPr>
                <w:rFonts w:ascii="Arial (Body)" w:hAnsi="Arial (Body)"/>
                <w:bCs/>
                <w:i/>
                <w:color w:val="000000" w:themeColor="text1"/>
                <w:sz w:val="18"/>
              </w:rPr>
              <w:t>residential or home care</w:t>
            </w:r>
          </w:p>
        </w:tc>
        <w:tc>
          <w:tcPr>
            <w:tcW w:w="3213" w:type="dxa"/>
            <w:shd w:val="clear" w:color="auto" w:fill="E0F1F7" w:themeFill="text2" w:themeFillTint="33"/>
          </w:tcPr>
          <w:p w14:paraId="4B33E759" w14:textId="77777777" w:rsidR="006F23EA" w:rsidRPr="00DF50EF" w:rsidRDefault="006F23EA" w:rsidP="008E3B89">
            <w:pPr>
              <w:pStyle w:val="FigureTableSubheading"/>
              <w:keepLines/>
              <w:spacing w:before="45" w:after="45"/>
              <w:ind w:left="57" w:right="108"/>
              <w:jc w:val="center"/>
              <w:rPr>
                <w:rFonts w:ascii="Arial (Body)" w:hAnsi="Arial (Body)"/>
                <w:iCs w:val="0"/>
                <w:color w:val="000000"/>
                <w:sz w:val="18"/>
              </w:rPr>
            </w:pPr>
            <w:r w:rsidRPr="00DF50EF">
              <w:rPr>
                <w:rFonts w:ascii="Arial (Body)" w:hAnsi="Arial (Body)"/>
                <w:iCs w:val="0"/>
                <w:noProof/>
                <w:color w:val="000000"/>
                <w:sz w:val="18"/>
              </w:rPr>
              <w:drawing>
                <wp:inline distT="0" distB="0" distL="0" distR="0" wp14:anchorId="58411564" wp14:editId="17CF5D23">
                  <wp:extent cx="445050" cy="4644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050" cy="464400"/>
                          </a:xfrm>
                          <a:prstGeom prst="rect">
                            <a:avLst/>
                          </a:prstGeom>
                          <a:noFill/>
                        </pic:spPr>
                      </pic:pic>
                    </a:graphicData>
                  </a:graphic>
                </wp:inline>
              </w:drawing>
            </w:r>
          </w:p>
          <w:p w14:paraId="213F21FE" w14:textId="77777777" w:rsidR="006F23EA" w:rsidRPr="00B744BA" w:rsidRDefault="006F23EA" w:rsidP="00CE61F0">
            <w:pPr>
              <w:pStyle w:val="FigureTableSubheading"/>
              <w:keepLines/>
              <w:spacing w:before="120" w:after="45" w:line="260" w:lineRule="atLeast"/>
              <w:ind w:left="57" w:right="108"/>
              <w:jc w:val="center"/>
              <w:rPr>
                <w:rFonts w:ascii="Arial (Body)" w:hAnsi="Arial (Body)"/>
                <w:bCs/>
                <w:i/>
                <w:color w:val="000000"/>
                <w:sz w:val="18"/>
              </w:rPr>
            </w:pPr>
            <w:r w:rsidRPr="00B744BA">
              <w:rPr>
                <w:rFonts w:ascii="Arial (Body)" w:hAnsi="Arial (Body)"/>
                <w:bCs/>
                <w:i/>
                <w:color w:val="000000" w:themeColor="text1"/>
                <w:sz w:val="18"/>
              </w:rPr>
              <w:t>Nurses and personal care workers, including employees and independent contractors</w:t>
            </w:r>
          </w:p>
        </w:tc>
        <w:tc>
          <w:tcPr>
            <w:tcW w:w="3213" w:type="dxa"/>
            <w:shd w:val="clear" w:color="auto" w:fill="E5F1D0" w:themeFill="accent1" w:themeFillTint="33"/>
          </w:tcPr>
          <w:p w14:paraId="0E07CCE4" w14:textId="77777777" w:rsidR="006F23EA" w:rsidRPr="00DF50EF" w:rsidRDefault="006F23EA" w:rsidP="00FB6169">
            <w:pPr>
              <w:pStyle w:val="FigureTableSubheading"/>
              <w:keepLines/>
              <w:spacing w:before="45" w:after="45"/>
              <w:ind w:left="57" w:right="108"/>
              <w:jc w:val="center"/>
              <w:rPr>
                <w:rFonts w:ascii="Arial (Body)" w:hAnsi="Arial (Body)"/>
                <w:iCs w:val="0"/>
                <w:color w:val="000000"/>
                <w:sz w:val="18"/>
              </w:rPr>
            </w:pPr>
            <w:r w:rsidRPr="00DF50EF">
              <w:rPr>
                <w:rFonts w:ascii="Arial (Body)" w:hAnsi="Arial (Body)"/>
                <w:iCs w:val="0"/>
                <w:noProof/>
                <w:color w:val="000000"/>
                <w:sz w:val="18"/>
              </w:rPr>
              <w:drawing>
                <wp:inline distT="0" distB="0" distL="0" distR="0" wp14:anchorId="181B8378" wp14:editId="08FE6120">
                  <wp:extent cx="464400" cy="4644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p w14:paraId="5C4C0278" w14:textId="3670C24B" w:rsidR="006F23EA" w:rsidRPr="00B744BA" w:rsidRDefault="006F23EA" w:rsidP="00CE61F0">
            <w:pPr>
              <w:pStyle w:val="FigureTableSubheading"/>
              <w:keepLines/>
              <w:spacing w:before="120" w:after="45" w:line="260" w:lineRule="atLeast"/>
              <w:ind w:left="57" w:right="108"/>
              <w:jc w:val="center"/>
              <w:rPr>
                <w:rFonts w:ascii="Arial (Body)" w:hAnsi="Arial (Body)"/>
                <w:bCs/>
                <w:i/>
                <w:color w:val="000000"/>
                <w:sz w:val="18"/>
              </w:rPr>
            </w:pPr>
            <w:r w:rsidRPr="00B744BA">
              <w:rPr>
                <w:rFonts w:ascii="Arial (Body)" w:hAnsi="Arial (Body)"/>
                <w:bCs/>
                <w:i/>
                <w:color w:val="000000" w:themeColor="text1"/>
                <w:sz w:val="18"/>
              </w:rPr>
              <w:t xml:space="preserve">Approved providers of residential and home care, labour hire </w:t>
            </w:r>
            <w:r w:rsidR="00B744BA">
              <w:rPr>
                <w:rFonts w:ascii="Arial (Body)" w:hAnsi="Arial (Body)"/>
                <w:bCs/>
                <w:i/>
                <w:color w:val="000000" w:themeColor="text1"/>
                <w:sz w:val="18"/>
              </w:rPr>
              <w:br/>
            </w:r>
            <w:r w:rsidRPr="00B744BA">
              <w:rPr>
                <w:rFonts w:ascii="Arial (Body)" w:hAnsi="Arial (Body)"/>
                <w:bCs/>
                <w:i/>
                <w:color w:val="000000" w:themeColor="text1"/>
                <w:sz w:val="18"/>
              </w:rPr>
              <w:t>agencies and platforms</w:t>
            </w:r>
          </w:p>
        </w:tc>
      </w:tr>
      <w:tr w:rsidR="006F23EA" w:rsidRPr="00BC2A24" w14:paraId="0E2035DF" w14:textId="77777777" w:rsidTr="006703BE">
        <w:tc>
          <w:tcPr>
            <w:tcW w:w="3212" w:type="dxa"/>
            <w:shd w:val="clear" w:color="auto" w:fill="CBDDF2" w:themeFill="background2" w:themeFillTint="33"/>
          </w:tcPr>
          <w:p w14:paraId="1F74C033" w14:textId="77777777" w:rsidR="006F23EA" w:rsidRPr="00E60489" w:rsidRDefault="006F23EA" w:rsidP="00484C73">
            <w:pPr>
              <w:pStyle w:val="FigureTableSubheading"/>
              <w:keepLines/>
              <w:spacing w:before="45" w:after="45" w:line="260" w:lineRule="atLeast"/>
              <w:ind w:left="113" w:right="108"/>
              <w:rPr>
                <w:rFonts w:ascii="Arial (Body)" w:hAnsi="Arial (Body)"/>
                <w:color w:val="000000"/>
                <w:sz w:val="18"/>
                <w:lang w:val="en-US"/>
              </w:rPr>
            </w:pPr>
            <w:r w:rsidRPr="00E60489">
              <w:rPr>
                <w:rFonts w:ascii="Arial (Body)" w:hAnsi="Arial (Body)"/>
                <w:color w:val="000000"/>
                <w:sz w:val="18"/>
                <w:lang w:val="en-US"/>
              </w:rPr>
              <w:t>Key dimensions of impact on consumers:</w:t>
            </w:r>
          </w:p>
          <w:p w14:paraId="5CFE3560" w14:textId="77777777" w:rsidR="006F23EA" w:rsidRPr="00DD4382" w:rsidRDefault="006F23EA" w:rsidP="00825C9E">
            <w:pPr>
              <w:pStyle w:val="ListBullet"/>
              <w:spacing w:before="0"/>
              <w:ind w:left="283" w:hanging="170"/>
              <w:rPr>
                <w:sz w:val="18"/>
                <w:szCs w:val="18"/>
                <w:lang w:val="en-US"/>
              </w:rPr>
            </w:pPr>
            <w:r w:rsidRPr="00DD4382">
              <w:rPr>
                <w:sz w:val="18"/>
                <w:szCs w:val="18"/>
                <w:lang w:val="en-US"/>
              </w:rPr>
              <w:t>quality and continuity of care</w:t>
            </w:r>
          </w:p>
          <w:p w14:paraId="1F527D57" w14:textId="77777777" w:rsidR="006F23EA" w:rsidRPr="00DD4382" w:rsidRDefault="006F23EA" w:rsidP="00DD4382">
            <w:pPr>
              <w:pStyle w:val="ListBullet"/>
              <w:ind w:left="283" w:hanging="170"/>
              <w:rPr>
                <w:sz w:val="18"/>
                <w:szCs w:val="18"/>
                <w:lang w:val="en-US"/>
              </w:rPr>
            </w:pPr>
            <w:r w:rsidRPr="00DD4382">
              <w:rPr>
                <w:sz w:val="18"/>
                <w:szCs w:val="18"/>
                <w:lang w:val="en-US"/>
              </w:rPr>
              <w:t>cost of care</w:t>
            </w:r>
          </w:p>
          <w:p w14:paraId="3A9F47CD" w14:textId="77777777" w:rsidR="006F23EA" w:rsidRPr="00DD4382" w:rsidRDefault="006F23EA" w:rsidP="00DD4382">
            <w:pPr>
              <w:pStyle w:val="ListBullet"/>
              <w:ind w:left="283" w:hanging="170"/>
              <w:rPr>
                <w:sz w:val="18"/>
                <w:szCs w:val="18"/>
                <w:lang w:val="en-US"/>
              </w:rPr>
            </w:pPr>
            <w:r w:rsidRPr="00DD4382">
              <w:rPr>
                <w:sz w:val="18"/>
                <w:szCs w:val="18"/>
                <w:lang w:val="en-US"/>
              </w:rPr>
              <w:t>choice of providers and services</w:t>
            </w:r>
          </w:p>
          <w:p w14:paraId="0B924B1C" w14:textId="77777777" w:rsidR="006F23EA" w:rsidRPr="00DD4382" w:rsidRDefault="006F23EA" w:rsidP="00DD4382">
            <w:pPr>
              <w:pStyle w:val="ListBullet"/>
              <w:ind w:left="283" w:hanging="170"/>
              <w:rPr>
                <w:sz w:val="18"/>
                <w:szCs w:val="18"/>
                <w:lang w:val="en-US"/>
              </w:rPr>
            </w:pPr>
            <w:r w:rsidRPr="00DD4382">
              <w:rPr>
                <w:sz w:val="18"/>
                <w:szCs w:val="18"/>
                <w:lang w:val="en-US"/>
              </w:rPr>
              <w:t>control over delivery of care</w:t>
            </w:r>
          </w:p>
          <w:p w14:paraId="7C7D5D40" w14:textId="2B705C1E" w:rsidR="006F23EA" w:rsidRPr="008912E0" w:rsidRDefault="006F23EA" w:rsidP="00DD4382">
            <w:pPr>
              <w:pStyle w:val="ListBullet"/>
              <w:ind w:left="283" w:hanging="170"/>
              <w:rPr>
                <w:rFonts w:ascii="Arial (Body)" w:hAnsi="Arial (Body)"/>
                <w:bCs/>
                <w:color w:val="000000" w:themeColor="text1"/>
                <w:sz w:val="18"/>
              </w:rPr>
            </w:pPr>
            <w:r w:rsidRPr="00DD4382">
              <w:rPr>
                <w:sz w:val="18"/>
                <w:szCs w:val="18"/>
                <w:lang w:val="en-US"/>
              </w:rPr>
              <w:t xml:space="preserve">accountability and oversight </w:t>
            </w:r>
            <w:r w:rsidRPr="00DD4382">
              <w:rPr>
                <w:sz w:val="18"/>
                <w:szCs w:val="18"/>
                <w:lang w:val="en-US"/>
              </w:rPr>
              <w:br/>
              <w:t>over care.</w:t>
            </w:r>
          </w:p>
        </w:tc>
        <w:tc>
          <w:tcPr>
            <w:tcW w:w="3213" w:type="dxa"/>
            <w:shd w:val="clear" w:color="auto" w:fill="E0F1F7" w:themeFill="text2" w:themeFillTint="33"/>
          </w:tcPr>
          <w:p w14:paraId="706F6CE3" w14:textId="77777777" w:rsidR="006F23EA" w:rsidRPr="00F60F59" w:rsidRDefault="006F23EA" w:rsidP="00484C73">
            <w:pPr>
              <w:pStyle w:val="FigureTableSubheading"/>
              <w:keepLines/>
              <w:spacing w:before="45" w:after="45" w:line="260" w:lineRule="atLeast"/>
              <w:ind w:left="113" w:right="108"/>
              <w:rPr>
                <w:rFonts w:ascii="Arial (Body)" w:hAnsi="Arial (Body)"/>
                <w:color w:val="000000"/>
                <w:sz w:val="18"/>
              </w:rPr>
            </w:pPr>
            <w:r w:rsidRPr="00F60F59">
              <w:rPr>
                <w:rFonts w:ascii="Arial (Body)" w:hAnsi="Arial (Body)"/>
                <w:color w:val="000000"/>
                <w:sz w:val="18"/>
                <w:lang w:val="en-US"/>
              </w:rPr>
              <w:t>Key dimensions of impact on workers:</w:t>
            </w:r>
          </w:p>
          <w:p w14:paraId="7DB13E6A" w14:textId="77777777" w:rsidR="006F23EA" w:rsidRPr="00971B37" w:rsidRDefault="006F23EA" w:rsidP="00825C9E">
            <w:pPr>
              <w:pStyle w:val="ListBullet"/>
              <w:spacing w:before="0"/>
              <w:ind w:left="283" w:hanging="170"/>
              <w:rPr>
                <w:sz w:val="18"/>
                <w:szCs w:val="18"/>
                <w:lang w:val="en-US"/>
              </w:rPr>
            </w:pPr>
            <w:r w:rsidRPr="00971B37">
              <w:rPr>
                <w:sz w:val="18"/>
                <w:szCs w:val="18"/>
                <w:lang w:val="en-US"/>
              </w:rPr>
              <w:t xml:space="preserve">job security, </w:t>
            </w:r>
            <w:proofErr w:type="gramStart"/>
            <w:r w:rsidRPr="00971B37">
              <w:rPr>
                <w:sz w:val="18"/>
                <w:szCs w:val="18"/>
                <w:lang w:val="en-US"/>
              </w:rPr>
              <w:t>flexibility</w:t>
            </w:r>
            <w:proofErr w:type="gramEnd"/>
            <w:r w:rsidRPr="00971B37">
              <w:rPr>
                <w:sz w:val="18"/>
                <w:szCs w:val="18"/>
                <w:lang w:val="en-US"/>
              </w:rPr>
              <w:t xml:space="preserve"> and autonomy</w:t>
            </w:r>
          </w:p>
          <w:p w14:paraId="13B475C0" w14:textId="77777777" w:rsidR="006F23EA" w:rsidRPr="00971B37" w:rsidRDefault="006F23EA" w:rsidP="00971B37">
            <w:pPr>
              <w:pStyle w:val="ListBullet"/>
              <w:ind w:left="283" w:hanging="170"/>
              <w:rPr>
                <w:sz w:val="18"/>
                <w:szCs w:val="18"/>
                <w:lang w:val="en-US"/>
              </w:rPr>
            </w:pPr>
            <w:r w:rsidRPr="00971B37">
              <w:rPr>
                <w:sz w:val="18"/>
                <w:szCs w:val="18"/>
                <w:lang w:val="en-US"/>
              </w:rPr>
              <w:t>wages and working conditions</w:t>
            </w:r>
          </w:p>
          <w:p w14:paraId="0D16095D" w14:textId="77777777" w:rsidR="006F23EA" w:rsidRPr="00971B37" w:rsidRDefault="006F23EA" w:rsidP="00971B37">
            <w:pPr>
              <w:pStyle w:val="ListBullet"/>
              <w:ind w:left="283" w:hanging="170"/>
              <w:rPr>
                <w:sz w:val="18"/>
                <w:szCs w:val="18"/>
                <w:lang w:val="en-US"/>
              </w:rPr>
            </w:pPr>
            <w:r w:rsidRPr="00971B37">
              <w:rPr>
                <w:sz w:val="18"/>
                <w:szCs w:val="18"/>
                <w:lang w:val="en-US"/>
              </w:rPr>
              <w:t xml:space="preserve">payment of superannuation, </w:t>
            </w:r>
            <w:proofErr w:type="gramStart"/>
            <w:r w:rsidRPr="00971B37">
              <w:rPr>
                <w:sz w:val="18"/>
                <w:szCs w:val="18"/>
                <w:lang w:val="en-US"/>
              </w:rPr>
              <w:t>tax</w:t>
            </w:r>
            <w:proofErr w:type="gramEnd"/>
            <w:r w:rsidRPr="00971B37">
              <w:rPr>
                <w:sz w:val="18"/>
                <w:szCs w:val="18"/>
                <w:lang w:val="en-US"/>
              </w:rPr>
              <w:t xml:space="preserve"> and workers compensation</w:t>
            </w:r>
          </w:p>
          <w:p w14:paraId="2171FA9F" w14:textId="77777777" w:rsidR="006F23EA" w:rsidRPr="00971B37" w:rsidRDefault="006F23EA" w:rsidP="00971B37">
            <w:pPr>
              <w:pStyle w:val="ListBullet"/>
              <w:ind w:left="283" w:hanging="170"/>
              <w:rPr>
                <w:sz w:val="18"/>
                <w:szCs w:val="18"/>
                <w:lang w:val="en-US"/>
              </w:rPr>
            </w:pPr>
            <w:r w:rsidRPr="00971B37">
              <w:rPr>
                <w:sz w:val="18"/>
                <w:szCs w:val="18"/>
                <w:lang w:val="en-US"/>
              </w:rPr>
              <w:t xml:space="preserve">training and skill development </w:t>
            </w:r>
          </w:p>
          <w:p w14:paraId="531DB7B1" w14:textId="04D9194E" w:rsidR="006F23EA" w:rsidRPr="008912E0" w:rsidRDefault="006F23EA" w:rsidP="00971B37">
            <w:pPr>
              <w:pStyle w:val="ListBullet"/>
              <w:ind w:left="283" w:hanging="170"/>
              <w:rPr>
                <w:rFonts w:ascii="Arial (Body)" w:hAnsi="Arial (Body)"/>
                <w:bCs/>
                <w:color w:val="000000" w:themeColor="text1"/>
                <w:sz w:val="18"/>
                <w:lang w:val="en-US"/>
              </w:rPr>
            </w:pPr>
            <w:r w:rsidRPr="00971B37">
              <w:rPr>
                <w:sz w:val="18"/>
                <w:szCs w:val="18"/>
                <w:lang w:val="en-US"/>
              </w:rPr>
              <w:t>workplace health and safety.</w:t>
            </w:r>
          </w:p>
        </w:tc>
        <w:tc>
          <w:tcPr>
            <w:tcW w:w="3213" w:type="dxa"/>
            <w:shd w:val="clear" w:color="auto" w:fill="E5F1D0" w:themeFill="accent1" w:themeFillTint="33"/>
          </w:tcPr>
          <w:p w14:paraId="361CDE96" w14:textId="77777777" w:rsidR="006F23EA" w:rsidRPr="00484C73" w:rsidRDefault="006F23EA" w:rsidP="00484C73">
            <w:pPr>
              <w:pStyle w:val="FigureTableSubheading"/>
              <w:keepLines/>
              <w:spacing w:before="45" w:after="45" w:line="260" w:lineRule="atLeast"/>
              <w:ind w:left="113" w:right="108"/>
              <w:rPr>
                <w:rFonts w:ascii="Arial (Body)" w:hAnsi="Arial (Body)"/>
                <w:color w:val="000000"/>
                <w:sz w:val="18"/>
                <w:lang w:val="en-US"/>
              </w:rPr>
            </w:pPr>
            <w:r w:rsidRPr="00F60F59">
              <w:rPr>
                <w:rFonts w:ascii="Arial (Body)" w:hAnsi="Arial (Body)"/>
                <w:color w:val="000000"/>
                <w:sz w:val="18"/>
                <w:lang w:val="en-US"/>
              </w:rPr>
              <w:t>Key dimensions of impact on businesses:</w:t>
            </w:r>
          </w:p>
          <w:p w14:paraId="0C93FFCE" w14:textId="77777777" w:rsidR="006F23EA" w:rsidRPr="00C76EAD" w:rsidRDefault="006F23EA" w:rsidP="00825C9E">
            <w:pPr>
              <w:pStyle w:val="ListBullet"/>
              <w:spacing w:before="0"/>
              <w:ind w:left="283" w:hanging="170"/>
              <w:rPr>
                <w:sz w:val="18"/>
                <w:szCs w:val="18"/>
                <w:lang w:val="en-US"/>
              </w:rPr>
            </w:pPr>
            <w:r w:rsidRPr="00C76EAD">
              <w:rPr>
                <w:sz w:val="18"/>
                <w:szCs w:val="18"/>
                <w:lang w:val="en-US"/>
              </w:rPr>
              <w:t>costs of engaging workers</w:t>
            </w:r>
          </w:p>
          <w:p w14:paraId="24C9371D" w14:textId="77777777" w:rsidR="006F23EA" w:rsidRPr="00C76EAD" w:rsidRDefault="006F23EA" w:rsidP="00C76EAD">
            <w:pPr>
              <w:pStyle w:val="ListBullet"/>
              <w:ind w:left="283" w:hanging="170"/>
              <w:rPr>
                <w:sz w:val="18"/>
                <w:szCs w:val="18"/>
                <w:lang w:val="en-US"/>
              </w:rPr>
            </w:pPr>
            <w:r w:rsidRPr="00C76EAD">
              <w:rPr>
                <w:sz w:val="18"/>
                <w:szCs w:val="18"/>
                <w:lang w:val="en-US"/>
              </w:rPr>
              <w:t>flexibility in sourcing workers</w:t>
            </w:r>
          </w:p>
          <w:p w14:paraId="56540CA1" w14:textId="77777777" w:rsidR="006F23EA" w:rsidRPr="00C76EAD" w:rsidRDefault="006F23EA" w:rsidP="00C76EAD">
            <w:pPr>
              <w:pStyle w:val="ListBullet"/>
              <w:ind w:left="283" w:hanging="170"/>
              <w:rPr>
                <w:sz w:val="18"/>
                <w:szCs w:val="18"/>
                <w:lang w:val="en-US"/>
              </w:rPr>
            </w:pPr>
            <w:r w:rsidRPr="00C76EAD">
              <w:rPr>
                <w:sz w:val="18"/>
                <w:szCs w:val="18"/>
                <w:lang w:val="en-US"/>
              </w:rPr>
              <w:t>ability to cover absences or short-term staffing needs</w:t>
            </w:r>
          </w:p>
          <w:p w14:paraId="7175660F" w14:textId="77777777" w:rsidR="006F23EA" w:rsidRPr="00C76EAD" w:rsidRDefault="006F23EA" w:rsidP="00C76EAD">
            <w:pPr>
              <w:pStyle w:val="ListBullet"/>
              <w:ind w:left="283" w:hanging="170"/>
              <w:rPr>
                <w:sz w:val="18"/>
                <w:szCs w:val="18"/>
                <w:lang w:val="en-US"/>
              </w:rPr>
            </w:pPr>
            <w:r w:rsidRPr="00C76EAD">
              <w:rPr>
                <w:sz w:val="18"/>
                <w:szCs w:val="18"/>
                <w:lang w:val="en-US"/>
              </w:rPr>
              <w:t>ability to meet consumer demand</w:t>
            </w:r>
          </w:p>
          <w:p w14:paraId="3FD94B08" w14:textId="77777777" w:rsidR="006F23EA" w:rsidRPr="000D5A74" w:rsidRDefault="006F23EA" w:rsidP="00C76EAD">
            <w:pPr>
              <w:pStyle w:val="ListBullet"/>
              <w:ind w:left="283" w:hanging="170"/>
              <w:rPr>
                <w:rFonts w:ascii="Arial (Body)" w:hAnsi="Arial (Body)"/>
                <w:color w:val="000000"/>
                <w:spacing w:val="-4"/>
                <w:sz w:val="18"/>
              </w:rPr>
            </w:pPr>
            <w:r w:rsidRPr="000D5A74">
              <w:rPr>
                <w:spacing w:val="-4"/>
                <w:sz w:val="18"/>
                <w:szCs w:val="18"/>
                <w:lang w:val="en-US"/>
              </w:rPr>
              <w:t>accountability and oversight for care, and workplace health and safety.</w:t>
            </w:r>
          </w:p>
        </w:tc>
      </w:tr>
    </w:tbl>
    <w:p w14:paraId="04BF55D3" w14:textId="77777777" w:rsidR="006F23EA" w:rsidRDefault="006F23EA" w:rsidP="00CF77CB">
      <w:pPr>
        <w:pStyle w:val="Heading2"/>
        <w:numPr>
          <w:ilvl w:val="0"/>
          <w:numId w:val="2"/>
        </w:numPr>
        <w:ind w:left="709" w:hanging="709"/>
      </w:pPr>
      <w:bookmarkStart w:id="10" w:name="_Toc115782044"/>
      <w:bookmarkStart w:id="11" w:name="_Toc116577840"/>
      <w:bookmarkStart w:id="12" w:name="_Toc116989044"/>
      <w:r>
        <w:t>Indirect employment in aged care</w:t>
      </w:r>
      <w:bookmarkEnd w:id="10"/>
      <w:bookmarkEnd w:id="11"/>
      <w:bookmarkEnd w:id="12"/>
    </w:p>
    <w:p w14:paraId="3B4C40C4" w14:textId="77777777" w:rsidR="006F23EA" w:rsidRDefault="006F23EA" w:rsidP="00B33E1F">
      <w:pPr>
        <w:pStyle w:val="BodyText"/>
        <w:spacing w:line="260" w:lineRule="atLeast"/>
      </w:pPr>
      <w:r>
        <w:t xml:space="preserve">The data available to the Commission suggest that, by and large, aged care providers and workers already </w:t>
      </w:r>
      <w:proofErr w:type="gramStart"/>
      <w:r>
        <w:t>have a preference for</w:t>
      </w:r>
      <w:proofErr w:type="gramEnd"/>
      <w:r>
        <w:t xml:space="preserve"> direct employment, with over 96 per cent of the </w:t>
      </w:r>
      <w:r w:rsidRPr="0019720B">
        <w:t>care workforce</w:t>
      </w:r>
      <w:r>
        <w:t xml:space="preserve"> (personal care workers, nurses and allied health workers) directly engaged as permanent employees (mostly part</w:t>
      </w:r>
      <w:r>
        <w:noBreakHyphen/>
        <w:t xml:space="preserve">time), casual employees or fixed term contractors (figure 2a). </w:t>
      </w:r>
      <w:r w:rsidRPr="00A73DA1">
        <w:t xml:space="preserve">It is therefore hard to see how further preferencing direct employment will improve care </w:t>
      </w:r>
      <w:r>
        <w:t xml:space="preserve">outcomes for older Australians </w:t>
      </w:r>
      <w:r w:rsidRPr="00A73DA1">
        <w:t xml:space="preserve">or </w:t>
      </w:r>
      <w:r>
        <w:t>the</w:t>
      </w:r>
      <w:r w:rsidRPr="00A73DA1">
        <w:t xml:space="preserve"> employment outcomes for this significant cohort of the care workforce.</w:t>
      </w:r>
      <w:r>
        <w:t xml:space="preserve"> It also implies that, for such a policy to be binding, it would essentially need to involve a prohibition on the use of indirect employment. </w:t>
      </w:r>
    </w:p>
    <w:p w14:paraId="775D731F" w14:textId="77777777" w:rsidR="006F23EA" w:rsidRDefault="006F23EA" w:rsidP="00B33E1F">
      <w:pPr>
        <w:pStyle w:val="BodyText"/>
        <w:spacing w:line="260" w:lineRule="atLeast"/>
      </w:pPr>
      <w:r>
        <w:t>A</w:t>
      </w:r>
      <w:r w:rsidRPr="0019720B">
        <w:t xml:space="preserve">gency workers and independent contractors </w:t>
      </w:r>
      <w:r>
        <w:t xml:space="preserve">— </w:t>
      </w:r>
      <w:r w:rsidRPr="0019720B">
        <w:t xml:space="preserve">about </w:t>
      </w:r>
      <w:r>
        <w:t>4 </w:t>
      </w:r>
      <w:r w:rsidRPr="0019720B">
        <w:t>per</w:t>
      </w:r>
      <w:r>
        <w:t> </w:t>
      </w:r>
      <w:r w:rsidRPr="0019720B">
        <w:t xml:space="preserve">cent of the </w:t>
      </w:r>
      <w:r>
        <w:t xml:space="preserve">care workforce — mainly work in residential care, and most are allied health workers with specialist skills (such as physiotherapists and dental hygienists) (figure 2b). </w:t>
      </w:r>
    </w:p>
    <w:p w14:paraId="571656E2" w14:textId="77777777" w:rsidR="006F23EA" w:rsidRDefault="006F23EA" w:rsidP="00B33E1F">
      <w:pPr>
        <w:pStyle w:val="BodyText"/>
        <w:spacing w:after="0" w:line="260" w:lineRule="atLeast"/>
      </w:pPr>
      <w:r>
        <w:t>Even though agency workers and independent contractors make up a small share of the workforce, they play a well</w:t>
      </w:r>
      <w:r>
        <w:noBreakHyphen/>
        <w:t>established and important role in the delivery of aged care services. Agency workers are often used to cover short</w:t>
      </w:r>
      <w:r>
        <w:noBreakHyphen/>
        <w:t xml:space="preserve">term staff absences and fill vacancies, particularly in residential care. The view that aged care facilities cannot operate without the flexibility afforded by agency work is widely held amongst stakeholders. </w:t>
      </w:r>
    </w:p>
    <w:p w14:paraId="0F10083A" w14:textId="77777777" w:rsidR="006F23EA" w:rsidRDefault="006F23EA" w:rsidP="008E3B89">
      <w:pPr>
        <w:pStyle w:val="FigureTableHeading"/>
      </w:pPr>
      <w:r>
        <w:lastRenderedPageBreak/>
        <w:t>Figure 2</w:t>
      </w:r>
      <w:r>
        <w:rPr>
          <w:noProof/>
        </w:rPr>
        <w:t xml:space="preserve"> </w:t>
      </w:r>
      <w:r>
        <w:t xml:space="preserve">– The share of indirect employment is </w:t>
      </w:r>
      <w:proofErr w:type="spellStart"/>
      <w:r>
        <w:t>small</w:t>
      </w:r>
      <w:r w:rsidRPr="00066CF5">
        <w:rPr>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9638"/>
      </w:tblGrid>
      <w:tr w:rsidR="006F23EA" w:rsidRPr="005550A0" w14:paraId="4000C2DC" w14:textId="77777777">
        <w:trPr>
          <w:tblHeader/>
        </w:trPr>
        <w:tc>
          <w:tcPr>
            <w:tcW w:w="9638" w:type="dxa"/>
            <w:shd w:val="clear" w:color="auto" w:fill="auto"/>
          </w:tcPr>
          <w:p w14:paraId="05974269" w14:textId="77777777" w:rsidR="00711164" w:rsidRDefault="006F23EA" w:rsidP="00CF77CB">
            <w:pPr>
              <w:pStyle w:val="TableBody"/>
              <w:numPr>
                <w:ilvl w:val="0"/>
                <w:numId w:val="5"/>
              </w:numPr>
              <w:spacing w:after="120"/>
              <w:ind w:left="360"/>
            </w:pPr>
            <w:r w:rsidRPr="00C239C6">
              <w:t>Number of workers in the aged care sector, by worker and employment type, 2020</w:t>
            </w:r>
          </w:p>
          <w:p w14:paraId="40DB816B" w14:textId="73394AAE" w:rsidR="006F23EA" w:rsidRPr="005550A0" w:rsidRDefault="00F1221C" w:rsidP="0076076F">
            <w:pPr>
              <w:pStyle w:val="TableBody"/>
              <w:spacing w:after="120"/>
              <w:ind w:left="-113"/>
            </w:pPr>
            <w:r w:rsidRPr="00F1221C">
              <w:rPr>
                <w:noProof/>
              </w:rPr>
              <w:drawing>
                <wp:inline distT="0" distB="0" distL="0" distR="0" wp14:anchorId="05B087E9" wp14:editId="06128FA2">
                  <wp:extent cx="6120130" cy="3522345"/>
                  <wp:effectExtent l="0" t="0" r="0" b="1905"/>
                  <wp:docPr id="8" name="Picture 8" descr="Tree diagram of the aged care workforce, by type of worker and employment type.&#10;The total aged care workforce comprises 434 000 workers.&#10;This is made of up 102 000 non-care workers (including management, ancillary workers and other workers) and 332 00 care workers (including personal care workers, nurses and allied health professionals). &#10;Of these care workers, 320 000 are directly employed and 12 000 are indirectly employed (as agency workers and independent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ee diagram of the aged care workforce, by type of worker and employment type.&#10;The total aged care workforce comprises 434 000 workers.&#10;This is made of up 102 000 non-care workers (including management, ancillary workers and other workers) and 332 00 care workers (including personal care workers, nurses and allied health professionals). &#10;Of these care workers, 320 000 are directly employed and 12 000 are indirectly employed (as agency workers and independent contracto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3522345"/>
                          </a:xfrm>
                          <a:prstGeom prst="rect">
                            <a:avLst/>
                          </a:prstGeom>
                          <a:noFill/>
                          <a:ln>
                            <a:noFill/>
                          </a:ln>
                        </pic:spPr>
                      </pic:pic>
                    </a:graphicData>
                  </a:graphic>
                </wp:inline>
              </w:drawing>
            </w:r>
          </w:p>
        </w:tc>
      </w:tr>
      <w:tr w:rsidR="00C76EAD" w:rsidRPr="00C76EAD" w14:paraId="263941A7" w14:textId="77777777" w:rsidTr="008E3B89">
        <w:tblPrEx>
          <w:tblCellMar>
            <w:left w:w="0" w:type="dxa"/>
            <w:right w:w="0" w:type="dxa"/>
          </w:tblCellMar>
        </w:tblPrEx>
        <w:trPr>
          <w:tblHeader/>
        </w:trPr>
        <w:tc>
          <w:tcPr>
            <w:tcW w:w="9638" w:type="dxa"/>
            <w:shd w:val="clear" w:color="auto" w:fill="auto"/>
          </w:tcPr>
          <w:p w14:paraId="7840355B" w14:textId="77777777" w:rsidR="006F23EA" w:rsidRPr="00C76EAD" w:rsidRDefault="006F23EA" w:rsidP="00CF77CB">
            <w:pPr>
              <w:pStyle w:val="TableBody"/>
              <w:numPr>
                <w:ilvl w:val="0"/>
                <w:numId w:val="5"/>
              </w:numPr>
              <w:rPr>
                <w:noProof/>
              </w:rPr>
            </w:pPr>
            <w:r w:rsidRPr="00C76EAD">
              <w:rPr>
                <w:noProof/>
              </w:rPr>
              <w:t>Composition of indirectly employed care workers by occupation and program, 2020</w:t>
            </w:r>
          </w:p>
          <w:p w14:paraId="417E52BF" w14:textId="2397BBE3" w:rsidR="006F23EA" w:rsidRPr="00C76EAD" w:rsidRDefault="006F23EA">
            <w:pPr>
              <w:pStyle w:val="TableBody"/>
              <w:jc w:val="center"/>
              <w:rPr>
                <w:noProof/>
              </w:rPr>
            </w:pPr>
            <w:r w:rsidRPr="00C76EAD">
              <w:rPr>
                <w:noProof/>
              </w:rPr>
              <w:t xml:space="preserve"> </w:t>
            </w:r>
            <w:r w:rsidRPr="00C76EAD">
              <w:rPr>
                <w:noProof/>
              </w:rPr>
              <w:drawing>
                <wp:inline distT="0" distB="0" distL="0" distR="0" wp14:anchorId="7C1367A1" wp14:editId="0F7B7524">
                  <wp:extent cx="6120130" cy="2877820"/>
                  <wp:effectExtent l="0" t="0" r="0" b="0"/>
                  <wp:docPr id="1" name="Picture 1" descr="Mekko chart of the indirectly employed workforce, showing the share of indirectly employed care workers in each program and the share of indirectly employed care workers by occupation. Most indirectly employed care workers are in residential care, and are allied health workers. Indirectly employed care workers make up a very small share of each program’s overall ca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kko chart of the indirectly employed workforce, showing the share of indirectly employed care workers in each program and the share of indirectly employed care workers by occupation. Most indirectly employed care workers are in residential care, and are allied health workers. Indirectly employed care workers make up a very small share of each program’s overall care workfor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877820"/>
                          </a:xfrm>
                          <a:prstGeom prst="rect">
                            <a:avLst/>
                          </a:prstGeom>
                          <a:noFill/>
                          <a:ln>
                            <a:noFill/>
                          </a:ln>
                        </pic:spPr>
                      </pic:pic>
                    </a:graphicData>
                  </a:graphic>
                </wp:inline>
              </w:drawing>
            </w:r>
          </w:p>
        </w:tc>
      </w:tr>
    </w:tbl>
    <w:p w14:paraId="7D987C74" w14:textId="77777777" w:rsidR="006F23EA" w:rsidRDefault="006F23EA" w:rsidP="00B33E1F">
      <w:pPr>
        <w:pStyle w:val="BodyText"/>
        <w:spacing w:after="240"/>
        <w:rPr>
          <w:sz w:val="18"/>
          <w:szCs w:val="18"/>
        </w:rPr>
      </w:pPr>
      <w:bookmarkStart w:id="13" w:name="_Toc30502221"/>
      <w:bookmarkEnd w:id="13"/>
      <w:r w:rsidRPr="4EDE9574">
        <w:rPr>
          <w:b/>
          <w:sz w:val="18"/>
          <w:szCs w:val="18"/>
        </w:rPr>
        <w:t>a.</w:t>
      </w:r>
      <w:r w:rsidRPr="4EDE9574">
        <w:rPr>
          <w:sz w:val="18"/>
          <w:szCs w:val="18"/>
        </w:rPr>
        <w:t xml:space="preserve"> CHSP is the Commonwealth Home Support Program and HCP is the Home Care Packages Program. PCW stands for personal care worker.</w:t>
      </w:r>
    </w:p>
    <w:p w14:paraId="5DEB77B5" w14:textId="77777777" w:rsidR="006F23EA" w:rsidRDefault="006F23EA" w:rsidP="008E3B89">
      <w:pPr>
        <w:pStyle w:val="BodyText"/>
      </w:pPr>
      <w:r>
        <w:t xml:space="preserve">Agency workers are also particularly beneficial in regional and remote areas where the demand for care services is dispersed and workers may be difficult to source locally. </w:t>
      </w:r>
    </w:p>
    <w:p w14:paraId="2D5C477A" w14:textId="77777777" w:rsidR="006F23EA" w:rsidRDefault="006F23EA" w:rsidP="008E3B89">
      <w:pPr>
        <w:pStyle w:val="BodyText"/>
      </w:pPr>
      <w:r>
        <w:lastRenderedPageBreak/>
        <w:t>Given that it is not feasible to proscribe the use of agency workers and independent contractors in residential care, this study has focused primarily on independent contractors in home care. Of the 1.4 million people receiving government</w:t>
      </w:r>
      <w:r>
        <w:noBreakHyphen/>
        <w:t>subsidised aged care, the majority (76 per cent) live at home and receive either entry</w:t>
      </w:r>
      <w:r>
        <w:noBreakHyphen/>
        <w:t xml:space="preserve">level care through the Commonwealth Home Support Program (CHSP) or structured home care through the Home Care Packages (HCP) Program. </w:t>
      </w:r>
    </w:p>
    <w:p w14:paraId="482EDC4D" w14:textId="77777777" w:rsidR="006F23EA" w:rsidRPr="00283DD7" w:rsidRDefault="006F23EA" w:rsidP="008E3B89">
      <w:pPr>
        <w:pStyle w:val="BodyText"/>
        <w:rPr>
          <w:color w:val="000000" w:themeColor="text1"/>
        </w:rPr>
      </w:pPr>
      <w:r w:rsidRPr="00283DD7">
        <w:rPr>
          <w:color w:val="000000" w:themeColor="text1"/>
        </w:rPr>
        <w:t>Various data sources suggest that the use of agency staff and independent contractors in home care is similarly small and relatively more common in the provision of non</w:t>
      </w:r>
      <w:r>
        <w:rPr>
          <w:color w:val="000000" w:themeColor="text1"/>
        </w:rPr>
        <w:noBreakHyphen/>
      </w:r>
      <w:r w:rsidRPr="00283DD7">
        <w:rPr>
          <w:color w:val="000000" w:themeColor="text1"/>
        </w:rPr>
        <w:t xml:space="preserve">care services, such as gardening, </w:t>
      </w:r>
      <w:r>
        <w:rPr>
          <w:color w:val="000000" w:themeColor="text1"/>
        </w:rPr>
        <w:t>home maintenance</w:t>
      </w:r>
      <w:r w:rsidRPr="00283DD7">
        <w:rPr>
          <w:color w:val="000000" w:themeColor="text1"/>
        </w:rPr>
        <w:t xml:space="preserve"> and cooking. </w:t>
      </w:r>
    </w:p>
    <w:p w14:paraId="48C64CAA" w14:textId="156FB9D1" w:rsidR="006F23EA" w:rsidRDefault="006F23EA" w:rsidP="008E3B89">
      <w:pPr>
        <w:pStyle w:val="BodyText"/>
      </w:pPr>
      <w:r w:rsidRPr="005C34E9">
        <w:rPr>
          <w:color w:val="000000" w:themeColor="text1"/>
        </w:rPr>
        <w:t>Building on the approach in the disability services sector, the advent of self</w:t>
      </w:r>
      <w:r>
        <w:rPr>
          <w:color w:val="000000" w:themeColor="text1"/>
        </w:rPr>
        <w:noBreakHyphen/>
      </w:r>
      <w:r w:rsidRPr="005C34E9">
        <w:rPr>
          <w:color w:val="000000" w:themeColor="text1"/>
        </w:rPr>
        <w:t xml:space="preserve">managed </w:t>
      </w:r>
      <w:r>
        <w:rPr>
          <w:color w:val="000000" w:themeColor="text1"/>
        </w:rPr>
        <w:t>home care</w:t>
      </w:r>
      <w:r w:rsidRPr="005C34E9">
        <w:rPr>
          <w:color w:val="000000" w:themeColor="text1"/>
        </w:rPr>
        <w:t xml:space="preserve"> has encouraged the entry of </w:t>
      </w:r>
      <w:r>
        <w:rPr>
          <w:color w:val="000000" w:themeColor="text1"/>
        </w:rPr>
        <w:t>digital</w:t>
      </w:r>
      <w:r w:rsidRPr="005C34E9">
        <w:rPr>
          <w:color w:val="000000" w:themeColor="text1"/>
        </w:rPr>
        <w:t xml:space="preserve"> care</w:t>
      </w:r>
      <w:r>
        <w:rPr>
          <w:color w:val="000000" w:themeColor="text1"/>
        </w:rPr>
        <w:t xml:space="preserve"> platforms</w:t>
      </w:r>
      <w:r w:rsidRPr="005C34E9">
        <w:rPr>
          <w:color w:val="000000" w:themeColor="text1"/>
        </w:rPr>
        <w:t xml:space="preserve">. </w:t>
      </w:r>
      <w:r>
        <w:rPr>
          <w:color w:val="000000" w:themeColor="text1"/>
        </w:rPr>
        <w:t>While the exact number of</w:t>
      </w:r>
      <w:r w:rsidRPr="005C34E9">
        <w:rPr>
          <w:color w:val="000000" w:themeColor="text1"/>
        </w:rPr>
        <w:t xml:space="preserve"> platforms </w:t>
      </w:r>
      <w:r>
        <w:rPr>
          <w:color w:val="000000" w:themeColor="text1"/>
        </w:rPr>
        <w:t xml:space="preserve">currently operating in </w:t>
      </w:r>
      <w:r w:rsidRPr="005C34E9">
        <w:rPr>
          <w:color w:val="000000" w:themeColor="text1"/>
        </w:rPr>
        <w:t xml:space="preserve">aged care </w:t>
      </w:r>
      <w:r>
        <w:rPr>
          <w:color w:val="000000" w:themeColor="text1"/>
        </w:rPr>
        <w:t>is not clear,</w:t>
      </w:r>
      <w:r w:rsidRPr="005C34E9">
        <w:rPr>
          <w:color w:val="000000" w:themeColor="text1"/>
        </w:rPr>
        <w:t xml:space="preserve"> these platforms </w:t>
      </w:r>
      <w:r>
        <w:rPr>
          <w:color w:val="000000" w:themeColor="text1"/>
        </w:rPr>
        <w:t xml:space="preserve">make their services available to the 6 per cent of </w:t>
      </w:r>
      <w:r w:rsidRPr="005C34E9">
        <w:rPr>
          <w:color w:val="000000" w:themeColor="text1"/>
        </w:rPr>
        <w:t>HCP consumers</w:t>
      </w:r>
      <w:r>
        <w:rPr>
          <w:color w:val="000000" w:themeColor="text1"/>
        </w:rPr>
        <w:t xml:space="preserve"> that self</w:t>
      </w:r>
      <w:r>
        <w:rPr>
          <w:color w:val="000000" w:themeColor="text1"/>
        </w:rPr>
        <w:noBreakHyphen/>
        <w:t>manage.</w:t>
      </w:r>
      <w:r w:rsidRPr="004E75C0">
        <w:rPr>
          <w:rStyle w:val="FootnoteReference"/>
        </w:rPr>
        <w:footnoteReference w:id="3"/>
      </w:r>
      <w:r>
        <w:rPr>
          <w:color w:val="000000" w:themeColor="text1"/>
        </w:rPr>
        <w:t xml:space="preserve"> </w:t>
      </w:r>
      <w:r w:rsidRPr="005C34E9">
        <w:rPr>
          <w:color w:val="000000" w:themeColor="text1"/>
        </w:rPr>
        <w:t xml:space="preserve">Platforms can also service aged care providers, </w:t>
      </w:r>
      <w:r>
        <w:rPr>
          <w:color w:val="000000" w:themeColor="text1"/>
        </w:rPr>
        <w:t>though</w:t>
      </w:r>
      <w:r w:rsidRPr="005C34E9">
        <w:rPr>
          <w:color w:val="000000" w:themeColor="text1"/>
        </w:rPr>
        <w:t xml:space="preserve"> this is </w:t>
      </w:r>
      <w:r>
        <w:rPr>
          <w:color w:val="000000" w:themeColor="text1"/>
        </w:rPr>
        <w:t xml:space="preserve">less </w:t>
      </w:r>
      <w:r w:rsidRPr="005C34E9">
        <w:rPr>
          <w:color w:val="000000" w:themeColor="text1"/>
        </w:rPr>
        <w:t>common.</w:t>
      </w:r>
    </w:p>
    <w:p w14:paraId="7A77F5AA" w14:textId="77777777" w:rsidR="006F23EA" w:rsidRPr="00B33E1F" w:rsidRDefault="006F23EA" w:rsidP="008E3B89">
      <w:pPr>
        <w:pStyle w:val="BodyText"/>
        <w:rPr>
          <w:spacing w:val="-4"/>
        </w:rPr>
      </w:pPr>
      <w:r w:rsidRPr="00B33E1F">
        <w:rPr>
          <w:spacing w:val="-4"/>
        </w:rPr>
        <w:t>There is partial evidence to suggest that platforms for care services are becoming more popular, attesting to their value to consumers. One high</w:t>
      </w:r>
      <w:r w:rsidRPr="00B33E1F">
        <w:rPr>
          <w:spacing w:val="-4"/>
        </w:rPr>
        <w:noBreakHyphen/>
        <w:t>profile platform in the disability and aged care sector has reported an increasing worker base. In aged care, these platforms are particularly appealing to older Australians living at home and choosing to self</w:t>
      </w:r>
      <w:r w:rsidRPr="00B33E1F">
        <w:rPr>
          <w:spacing w:val="-4"/>
        </w:rPr>
        <w:noBreakHyphen/>
        <w:t>manage their care needs. While platforms currently make up a small share of the market, their coverage is likely to grow with greater consumer awareness and a growing demand for home care.</w:t>
      </w:r>
    </w:p>
    <w:p w14:paraId="671867C7" w14:textId="77777777" w:rsidR="006F23EA" w:rsidRDefault="006F23EA" w:rsidP="00CF77CB">
      <w:pPr>
        <w:pStyle w:val="Heading2"/>
        <w:numPr>
          <w:ilvl w:val="0"/>
          <w:numId w:val="2"/>
        </w:numPr>
        <w:ind w:left="709" w:hanging="709"/>
      </w:pPr>
      <w:bookmarkStart w:id="14" w:name="_Toc115782045"/>
      <w:bookmarkStart w:id="15" w:name="_Toc116577841"/>
      <w:bookmarkStart w:id="16" w:name="_Toc116989045"/>
      <w:r>
        <w:t>Consumer perspectives</w:t>
      </w:r>
      <w:bookmarkEnd w:id="14"/>
      <w:bookmarkEnd w:id="15"/>
      <w:bookmarkEnd w:id="16"/>
    </w:p>
    <w:p w14:paraId="2E522239" w14:textId="77777777" w:rsidR="006F23EA" w:rsidRDefault="006F23EA" w:rsidP="008E3B89">
      <w:pPr>
        <w:pStyle w:val="BodyText"/>
      </w:pPr>
      <w:r>
        <w:t>A policy to preference direct employment would reduce the care options for older Australians who are seeking to self</w:t>
      </w:r>
      <w:r>
        <w:noBreakHyphen/>
        <w:t xml:space="preserve">manage their care needs at home. </w:t>
      </w:r>
      <w:r>
        <w:rPr>
          <w:bCs/>
        </w:rPr>
        <w:t>Independent contracting through platforms</w:t>
      </w:r>
      <w:r w:rsidRPr="006F10CA">
        <w:rPr>
          <w:bCs/>
        </w:rPr>
        <w:t xml:space="preserve"> work</w:t>
      </w:r>
      <w:r>
        <w:rPr>
          <w:bCs/>
        </w:rPr>
        <w:t>s</w:t>
      </w:r>
      <w:r w:rsidRPr="006F10CA">
        <w:rPr>
          <w:bCs/>
        </w:rPr>
        <w:t xml:space="preserve"> particularly well for older people with </w:t>
      </w:r>
      <w:r>
        <w:rPr>
          <w:bCs/>
        </w:rPr>
        <w:t xml:space="preserve">lower care needs and </w:t>
      </w:r>
      <w:r w:rsidRPr="006F10CA">
        <w:rPr>
          <w:bCs/>
        </w:rPr>
        <w:t>good cognitive abilities, some level of digital literacy</w:t>
      </w:r>
      <w:r>
        <w:rPr>
          <w:bCs/>
        </w:rPr>
        <w:t>,</w:t>
      </w:r>
      <w:r w:rsidRPr="006F10CA">
        <w:rPr>
          <w:bCs/>
        </w:rPr>
        <w:t xml:space="preserve"> and </w:t>
      </w:r>
      <w:r>
        <w:rPr>
          <w:bCs/>
        </w:rPr>
        <w:t xml:space="preserve">ideally some </w:t>
      </w:r>
      <w:r w:rsidRPr="006F10CA">
        <w:rPr>
          <w:bCs/>
        </w:rPr>
        <w:t>family</w:t>
      </w:r>
      <w:r>
        <w:rPr>
          <w:bCs/>
        </w:rPr>
        <w:t xml:space="preserve"> or </w:t>
      </w:r>
      <w:r w:rsidRPr="006F10CA">
        <w:rPr>
          <w:bCs/>
        </w:rPr>
        <w:t xml:space="preserve">community support. </w:t>
      </w:r>
    </w:p>
    <w:p w14:paraId="1FF7B1E3" w14:textId="77777777" w:rsidR="006F23EA" w:rsidRDefault="006F23EA" w:rsidP="008E3B89">
      <w:pPr>
        <w:pStyle w:val="BodyText"/>
      </w:pPr>
      <w:r w:rsidRPr="004A4DEE">
        <w:t>With growing demand for aged care</w:t>
      </w:r>
      <w:r>
        <w:t xml:space="preserve"> services</w:t>
      </w:r>
      <w:r w:rsidRPr="004A4DEE">
        <w:t xml:space="preserve">, greater diversity among care recipients, and a greater </w:t>
      </w:r>
      <w:r>
        <w:t xml:space="preserve">aspiration </w:t>
      </w:r>
      <w:r w:rsidRPr="004A4DEE">
        <w:t xml:space="preserve">for independent living and </w:t>
      </w:r>
      <w:r>
        <w:t>individualised care</w:t>
      </w:r>
      <w:r w:rsidRPr="004A4DEE">
        <w:t xml:space="preserve">, the delivery of </w:t>
      </w:r>
      <w:r>
        <w:t>home</w:t>
      </w:r>
      <w:r w:rsidRPr="004A4DEE">
        <w:t xml:space="preserve"> care is not </w:t>
      </w:r>
      <w:r>
        <w:t xml:space="preserve">and should not be </w:t>
      </w:r>
      <w:r w:rsidRPr="004A4DEE">
        <w:t>one</w:t>
      </w:r>
      <w:r>
        <w:noBreakHyphen/>
      </w:r>
      <w:r w:rsidRPr="004A4DEE">
        <w:t>size</w:t>
      </w:r>
      <w:r>
        <w:noBreakHyphen/>
      </w:r>
      <w:r w:rsidRPr="004A4DEE">
        <w:t>fits</w:t>
      </w:r>
      <w:r>
        <w:noBreakHyphen/>
      </w:r>
      <w:r w:rsidRPr="004A4DEE">
        <w:t>all.</w:t>
      </w:r>
      <w:r>
        <w:t xml:space="preserve"> Consumer groups expressed a strong preference for an aged care system that offers older Australians</w:t>
      </w:r>
      <w:r w:rsidRPr="00EA6075">
        <w:rPr>
          <w:color w:val="000000" w:themeColor="text1"/>
        </w:rPr>
        <w:t xml:space="preserve"> choice and control over </w:t>
      </w:r>
      <w:r>
        <w:rPr>
          <w:color w:val="000000" w:themeColor="text1"/>
        </w:rPr>
        <w:t>their care. They saw</w:t>
      </w:r>
      <w:r w:rsidRPr="00EA6075">
        <w:rPr>
          <w:color w:val="000000" w:themeColor="text1"/>
        </w:rPr>
        <w:t xml:space="preserve"> individual agency </w:t>
      </w:r>
      <w:r>
        <w:rPr>
          <w:color w:val="000000" w:themeColor="text1"/>
        </w:rPr>
        <w:t xml:space="preserve">as </w:t>
      </w:r>
      <w:r w:rsidRPr="00EA6075">
        <w:rPr>
          <w:color w:val="000000" w:themeColor="text1"/>
        </w:rPr>
        <w:t xml:space="preserve">a critical dimension of care </w:t>
      </w:r>
      <w:r>
        <w:rPr>
          <w:color w:val="000000" w:themeColor="text1"/>
        </w:rPr>
        <w:t>q</w:t>
      </w:r>
      <w:r w:rsidRPr="00EA6075">
        <w:rPr>
          <w:color w:val="000000" w:themeColor="text1"/>
        </w:rPr>
        <w:t>uality and wellbeing</w:t>
      </w:r>
      <w:r>
        <w:rPr>
          <w:color w:val="000000" w:themeColor="text1"/>
        </w:rPr>
        <w:t xml:space="preserve">, particularly when </w:t>
      </w:r>
      <w:r>
        <w:t xml:space="preserve">safeguarded by proportionate quality assurance. </w:t>
      </w:r>
    </w:p>
    <w:p w14:paraId="7C700862" w14:textId="77777777" w:rsidR="006F23EA" w:rsidRDefault="006F23EA" w:rsidP="008E3B89">
      <w:pPr>
        <w:pStyle w:val="BodyText"/>
      </w:pPr>
      <w:r>
        <w:t>While there is broad consensus that relationships and continuity of care matter in aged care, there is less agreement that these can only be achieved through direct employment, at least in home care. Indirect employment, such as work facilitated via platforms, has a lot to offer to consumers who choose to self</w:t>
      </w:r>
      <w:r>
        <w:noBreakHyphen/>
        <w:t xml:space="preserve">manage their home care. </w:t>
      </w:r>
    </w:p>
    <w:p w14:paraId="70FE9D45" w14:textId="77777777" w:rsidR="006F23EA" w:rsidRDefault="006F23EA" w:rsidP="008E3B89">
      <w:pPr>
        <w:pStyle w:val="BodyText"/>
      </w:pPr>
      <w:r>
        <w:t>Continuity of care can be achieved through long</w:t>
      </w:r>
      <w:r>
        <w:noBreakHyphen/>
        <w:t>lasting relationships built on rapport between the care recipient and the care worker, as well as through access to a more diverse workforce that is better able to meet the needs and preferences of people with different life experiences, personal characteristics and identities. Meeting these diverse needs is more challenging with prescriptive models of service provision.</w:t>
      </w:r>
    </w:p>
    <w:p w14:paraId="72E46210" w14:textId="77777777" w:rsidR="006F23EA" w:rsidRDefault="006F23EA" w:rsidP="008E3B89">
      <w:pPr>
        <w:pStyle w:val="BodyText"/>
      </w:pPr>
      <w:r>
        <w:t>It can also be achieved through community</w:t>
      </w:r>
      <w:r>
        <w:noBreakHyphen/>
        <w:t xml:space="preserve">led solutions that draw on local residents as independent contractors, particularly in regional and remote settings </w:t>
      </w:r>
      <w:r w:rsidDel="001D67A7">
        <w:t xml:space="preserve">where </w:t>
      </w:r>
      <w:r>
        <w:t xml:space="preserve">traditional home care providers may not have the scale to be viable. </w:t>
      </w:r>
    </w:p>
    <w:p w14:paraId="3E9305B6" w14:textId="77777777" w:rsidR="006F23EA" w:rsidRDefault="006F23EA" w:rsidP="008E3B89">
      <w:pPr>
        <w:pStyle w:val="BodyText"/>
      </w:pPr>
      <w:r>
        <w:rPr>
          <w:bCs/>
        </w:rPr>
        <w:lastRenderedPageBreak/>
        <w:t>Maintaining connections with the community</w:t>
      </w:r>
      <w:r w:rsidRPr="003F73AE">
        <w:rPr>
          <w:bCs/>
        </w:rPr>
        <w:t xml:space="preserve"> </w:t>
      </w:r>
      <w:r>
        <w:rPr>
          <w:bCs/>
        </w:rPr>
        <w:t>more generally</w:t>
      </w:r>
      <w:r w:rsidRPr="003F73AE">
        <w:rPr>
          <w:bCs/>
        </w:rPr>
        <w:t xml:space="preserve"> </w:t>
      </w:r>
      <w:r>
        <w:rPr>
          <w:bCs/>
        </w:rPr>
        <w:t>is</w:t>
      </w:r>
      <w:r>
        <w:t xml:space="preserve"> important to many older Australians who value a sense of belonging. </w:t>
      </w:r>
      <w:r w:rsidRPr="001F01D7">
        <w:t xml:space="preserve">These include Aboriginal and Torres Strait Islander people with strong ties to their community and for whom quality care is one that also needs to be culturally </w:t>
      </w:r>
      <w:r w:rsidRPr="007151DB">
        <w:t>appropriate</w:t>
      </w:r>
      <w:r w:rsidRPr="001F01D7">
        <w:t>.</w:t>
      </w:r>
      <w:r w:rsidRPr="006211F9">
        <w:t xml:space="preserve"> </w:t>
      </w:r>
      <w:r>
        <w:t>It is also relevant to other cohorts of older Australians with specific needs such as those</w:t>
      </w:r>
      <w:r w:rsidRPr="00E24C2D">
        <w:t xml:space="preserve"> who identify with a particular LGBTI status</w:t>
      </w:r>
      <w:r>
        <w:t xml:space="preserve"> or </w:t>
      </w:r>
      <w:r w:rsidRPr="00E24C2D">
        <w:t xml:space="preserve">have a </w:t>
      </w:r>
      <w:r>
        <w:t>culturally and linguistically diverse</w:t>
      </w:r>
      <w:r w:rsidRPr="00E24C2D">
        <w:t xml:space="preserve"> background</w:t>
      </w:r>
      <w:r>
        <w:t>.</w:t>
      </w:r>
      <w:r w:rsidRPr="006211F9">
        <w:t xml:space="preserve"> </w:t>
      </w:r>
    </w:p>
    <w:p w14:paraId="294EE15F" w14:textId="77777777" w:rsidR="006F23EA" w:rsidRDefault="006F23EA" w:rsidP="008E3B89">
      <w:pPr>
        <w:pStyle w:val="BodyText"/>
        <w:rPr>
          <w:bCs/>
        </w:rPr>
      </w:pPr>
      <w:r>
        <w:t>Another motivation leading consumers to self</w:t>
      </w:r>
      <w:r>
        <w:noBreakHyphen/>
        <w:t>manage their home care and engage workers directly through platforms is to get more care hours out of their care budget. Across all home care package levels, the median fortnightly price of care management is significantly higher in fully provider</w:t>
      </w:r>
      <w:r>
        <w:noBreakHyphen/>
        <w:t>managed packages relative to self</w:t>
      </w:r>
      <w:r>
        <w:noBreakHyphen/>
        <w:t xml:space="preserve">managed arrangements (figure 3). This </w:t>
      </w:r>
      <w:r w:rsidRPr="00E42522">
        <w:t xml:space="preserve">means that </w:t>
      </w:r>
      <w:r>
        <w:t>a fixed home care</w:t>
      </w:r>
      <w:r w:rsidRPr="00E42522">
        <w:t xml:space="preserve"> budget</w:t>
      </w:r>
      <w:r>
        <w:t xml:space="preserve"> </w:t>
      </w:r>
      <w:r w:rsidRPr="00E42522">
        <w:t xml:space="preserve">can go further in terms of </w:t>
      </w:r>
      <w:r>
        <w:t>obtaining</w:t>
      </w:r>
      <w:r w:rsidRPr="00E42522">
        <w:t xml:space="preserve"> more hours of care.</w:t>
      </w:r>
      <w:r>
        <w:t xml:space="preserve"> As such, any policy that makes self</w:t>
      </w:r>
      <w:r>
        <w:noBreakHyphen/>
        <w:t xml:space="preserve">management harder would come at a cost to those seeking to get the most out of their limited care budget while being able to make decisions about their own care. </w:t>
      </w:r>
    </w:p>
    <w:p w14:paraId="5228D393" w14:textId="77777777" w:rsidR="006F23EA" w:rsidRPr="00A1591F" w:rsidRDefault="006F23EA" w:rsidP="008E3B89">
      <w:pPr>
        <w:pStyle w:val="FigureTableHeading"/>
        <w:rPr>
          <w:vertAlign w:val="superscript"/>
        </w:rPr>
      </w:pPr>
      <w:r>
        <w:t>Figure </w:t>
      </w:r>
      <w:r>
        <w:rPr>
          <w:noProof/>
        </w:rPr>
        <w:t>3</w:t>
      </w:r>
      <w:r w:rsidRPr="6D761E2F">
        <w:rPr>
          <w:noProof/>
        </w:rPr>
        <w:t xml:space="preserve"> </w:t>
      </w:r>
      <w:r>
        <w:t>– Self</w:t>
      </w:r>
      <w:r>
        <w:noBreakHyphen/>
        <w:t xml:space="preserve">managing a Home Care Package costs </w:t>
      </w:r>
      <w:proofErr w:type="spellStart"/>
      <w:r>
        <w:t>less</w:t>
      </w:r>
      <w:r>
        <w:rPr>
          <w:vertAlign w:val="superscript"/>
        </w:rPr>
        <w:t>a</w:t>
      </w:r>
      <w:proofErr w:type="spellEnd"/>
    </w:p>
    <w:p w14:paraId="034994FC" w14:textId="77777777" w:rsidR="006F23EA" w:rsidRPr="00146382" w:rsidRDefault="006F23EA" w:rsidP="008E3B89">
      <w:pPr>
        <w:pStyle w:val="FigureTableSubheading"/>
      </w:pPr>
      <w:r>
        <w:t>Price per fortnight for care management at each HCP level, 30 June 2022</w:t>
      </w:r>
    </w:p>
    <w:p w14:paraId="38E52E36" w14:textId="77777777" w:rsidR="006F23EA" w:rsidRPr="00462AC0" w:rsidRDefault="006F23EA" w:rsidP="008E3B89">
      <w:pPr>
        <w:pStyle w:val="BodyText"/>
        <w:rPr>
          <w:noProof/>
          <w:color w:val="000000" w:themeColor="text1"/>
        </w:rPr>
      </w:pPr>
      <w:r w:rsidRPr="000E35ED">
        <w:rPr>
          <w:noProof/>
        </w:rPr>
        <w:drawing>
          <wp:inline distT="0" distB="0" distL="0" distR="0" wp14:anchorId="0E499E0E" wp14:editId="39412680">
            <wp:extent cx="6120000" cy="2753769"/>
            <wp:effectExtent l="0" t="0" r="0" b="0"/>
            <wp:docPr id="11" name="Picture 11" descr="This chart shows how care management fees, charged by providers to consumers, differ when a consumer chooses to self-manage their package, or have the provider manage their package. For all HCP levels, the price the consumer pays for care management is less if they self-manage their plan, compared to if their provider manages their plan, with the total difference in cost increasing for higher HCP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how care management fees, charged by providers to consumers, differ when a consumer chooses to self-manage their package, or have the provider manage their package. For all HCP levels, the price the consumer pays for care management is less if they self-manage their plan, compared to if their provider manages their plan, with the total difference in cost increasing for higher HCP level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000" cy="2753769"/>
                    </a:xfrm>
                    <a:prstGeom prst="rect">
                      <a:avLst/>
                    </a:prstGeom>
                    <a:noFill/>
                    <a:ln>
                      <a:noFill/>
                    </a:ln>
                  </pic:spPr>
                </pic:pic>
              </a:graphicData>
            </a:graphic>
          </wp:inline>
        </w:drawing>
      </w:r>
    </w:p>
    <w:p w14:paraId="4B2A9CF8" w14:textId="77777777" w:rsidR="006F23EA" w:rsidRDefault="006F23EA" w:rsidP="008E3B89">
      <w:pPr>
        <w:pStyle w:val="Source"/>
      </w:pPr>
      <w:r w:rsidRPr="00A1591F">
        <w:rPr>
          <w:b/>
          <w:bCs/>
        </w:rPr>
        <w:t>a.</w:t>
      </w:r>
      <w:r>
        <w:rPr>
          <w:b/>
          <w:bCs/>
        </w:rPr>
        <w:t xml:space="preserve"> </w:t>
      </w:r>
      <w:r w:rsidRPr="00176935">
        <w:t>Providers</w:t>
      </w:r>
      <w:r>
        <w:t xml:space="preserve"> are responsible for care coordination services, and typically charge care management fees for this service to consumers. Where a consumer chooses to self</w:t>
      </w:r>
      <w:r>
        <w:noBreakHyphen/>
        <w:t>manage, the provider is still responsible for the oversight of any services delivered and continues to undertake a range of activities to meet this responsibility. As such, care management fees are still charged to self</w:t>
      </w:r>
      <w:r>
        <w:noBreakHyphen/>
        <w:t>managing consumers, albeit at a lower level compared with provider</w:t>
      </w:r>
      <w:r>
        <w:noBreakHyphen/>
        <w:t>managed consumers.</w:t>
      </w:r>
    </w:p>
    <w:p w14:paraId="3CD4AE49" w14:textId="77777777" w:rsidR="006F23EA" w:rsidRDefault="006F23EA" w:rsidP="00CF77CB">
      <w:pPr>
        <w:pStyle w:val="Heading2"/>
        <w:numPr>
          <w:ilvl w:val="0"/>
          <w:numId w:val="2"/>
        </w:numPr>
        <w:ind w:left="709" w:hanging="709"/>
      </w:pPr>
      <w:bookmarkStart w:id="17" w:name="_Toc115782046"/>
      <w:bookmarkStart w:id="18" w:name="_Toc116577842"/>
      <w:bookmarkStart w:id="19" w:name="_Toc116989046"/>
      <w:r>
        <w:t>Worker perspectives</w:t>
      </w:r>
      <w:bookmarkEnd w:id="17"/>
      <w:bookmarkEnd w:id="18"/>
      <w:bookmarkEnd w:id="19"/>
    </w:p>
    <w:p w14:paraId="462EF857" w14:textId="77777777" w:rsidR="006F23EA" w:rsidRDefault="006F23EA" w:rsidP="008E3B89">
      <w:pPr>
        <w:pStyle w:val="BodyText"/>
      </w:pPr>
      <w:r>
        <w:t>Only a small fraction of workers in aged care choose to work as independent contractors. A policy to preference or effectively mandate direct employment would most likely have negative implications for these workers. It might reduce the income earned by these workers, and even cause some to leave the sector.</w:t>
      </w:r>
    </w:p>
    <w:p w14:paraId="12FA08EF" w14:textId="77777777" w:rsidR="006F23EA" w:rsidRDefault="006F23EA" w:rsidP="008E3B89">
      <w:pPr>
        <w:pStyle w:val="BodyText"/>
      </w:pPr>
      <w:r>
        <w:t xml:space="preserve">There are many conjectures about the relative pay rates of directly employed staff and independent contractors. Data made available to the Commission suggest that the average rates paid to workers are typically higher than award minimum rates, at least for weekday and Saturday work (figure 4). </w:t>
      </w:r>
    </w:p>
    <w:p w14:paraId="1D357ECF" w14:textId="77777777" w:rsidR="006F23EA" w:rsidRDefault="006F23EA" w:rsidP="008E3B89">
      <w:pPr>
        <w:pStyle w:val="BodyText"/>
      </w:pPr>
      <w:r>
        <w:t xml:space="preserve">This pattern is also evident in the distribution of wage rates across all workers. For example, data from Mable (a major platform servicing both the aged care and disability sectors) reveal that the bulk of independent </w:t>
      </w:r>
      <w:r>
        <w:lastRenderedPageBreak/>
        <w:t>contractors using its platform received levels of remuneration above the minimum SCHADS (Social, Community, Home Care and Disability Services) Industry Award rate for a casual employee ($28.68 per hour, or $31.69 inclusive of superannuation). In July 2022,</w:t>
      </w:r>
      <w:r w:rsidRPr="00CD3C5E">
        <w:t xml:space="preserve"> 9</w:t>
      </w:r>
      <w:r>
        <w:t>8 </w:t>
      </w:r>
      <w:r w:rsidRPr="00CD3C5E">
        <w:t>per</w:t>
      </w:r>
      <w:r>
        <w:t> </w:t>
      </w:r>
      <w:r w:rsidRPr="00CD3C5E">
        <w:t xml:space="preserve">cent of personal </w:t>
      </w:r>
      <w:r>
        <w:t>care</w:t>
      </w:r>
      <w:r w:rsidRPr="00CD3C5E">
        <w:t xml:space="preserve"> workers </w:t>
      </w:r>
      <w:r>
        <w:t xml:space="preserve">who operate via the </w:t>
      </w:r>
      <w:r w:rsidRPr="00CD3C5E">
        <w:t xml:space="preserve">Mable </w:t>
      </w:r>
      <w:r>
        <w:t>platform</w:t>
      </w:r>
      <w:r w:rsidRPr="00CD3C5E">
        <w:t xml:space="preserve"> received </w:t>
      </w:r>
      <w:r w:rsidRPr="007E4D41">
        <w:t>$30</w:t>
      </w:r>
      <w:r w:rsidRPr="00CD3C5E">
        <w:t xml:space="preserve"> </w:t>
      </w:r>
      <w:r>
        <w:t xml:space="preserve">or more </w:t>
      </w:r>
      <w:r w:rsidRPr="00CD3C5E">
        <w:t xml:space="preserve">per hour </w:t>
      </w:r>
      <w:r>
        <w:t>net of</w:t>
      </w:r>
      <w:r w:rsidRPr="00CD3C5E">
        <w:t xml:space="preserve"> platform fees</w:t>
      </w:r>
      <w:r>
        <w:t xml:space="preserve">, and 74 per cent received $40 or more per hour net of </w:t>
      </w:r>
      <w:r w:rsidRPr="00CD3C5E">
        <w:t xml:space="preserve">platform fees </w:t>
      </w:r>
      <w:r>
        <w:t xml:space="preserve">during the week. </w:t>
      </w:r>
    </w:p>
    <w:p w14:paraId="284E97B4" w14:textId="77777777" w:rsidR="006F23EA" w:rsidRPr="00582DED" w:rsidRDefault="006F23EA" w:rsidP="008E3B89">
      <w:pPr>
        <w:pStyle w:val="FigureTableHeading"/>
        <w:rPr>
          <w:spacing w:val="-4"/>
        </w:rPr>
      </w:pPr>
      <w:r w:rsidRPr="00582DED">
        <w:rPr>
          <w:spacing w:val="-4"/>
        </w:rPr>
        <w:t>Figure 4</w:t>
      </w:r>
      <w:r w:rsidRPr="00582DED">
        <w:rPr>
          <w:noProof/>
          <w:spacing w:val="-4"/>
        </w:rPr>
        <w:t xml:space="preserve"> </w:t>
      </w:r>
      <w:r w:rsidRPr="00582DED">
        <w:rPr>
          <w:spacing w:val="-4"/>
        </w:rPr>
        <w:t xml:space="preserve">– Most independent contractors are paid above the minimum award wage </w:t>
      </w:r>
      <w:proofErr w:type="spellStart"/>
      <w:r w:rsidRPr="00582DED">
        <w:rPr>
          <w:spacing w:val="-4"/>
        </w:rPr>
        <w:t>rate</w:t>
      </w:r>
      <w:r w:rsidRPr="00582DED">
        <w:rPr>
          <w:spacing w:val="-4"/>
          <w:vertAlign w:val="superscript"/>
        </w:rPr>
        <w:t>a,b</w:t>
      </w:r>
      <w:proofErr w:type="spellEnd"/>
    </w:p>
    <w:p w14:paraId="6A1E9953" w14:textId="77777777" w:rsidR="006F23EA" w:rsidRDefault="006F23EA" w:rsidP="008E3B89">
      <w:pPr>
        <w:pStyle w:val="FigureTableSubheading"/>
        <w:keepLines/>
      </w:pPr>
      <w:r>
        <w:t>Hourly pay rates for home care workers, July 2022</w:t>
      </w:r>
    </w:p>
    <w:p w14:paraId="32ECE330" w14:textId="77777777" w:rsidR="006F23EA" w:rsidRPr="00EA62D2" w:rsidRDefault="006F23EA" w:rsidP="008E3B89">
      <w:pPr>
        <w:pStyle w:val="BodyText"/>
      </w:pPr>
      <w:r>
        <w:rPr>
          <w:noProof/>
        </w:rPr>
        <w:drawing>
          <wp:inline distT="0" distB="0" distL="0" distR="0" wp14:anchorId="136EC4CF" wp14:editId="09B386F9">
            <wp:extent cx="6120130" cy="3348990"/>
            <wp:effectExtent l="0" t="0" r="0" b="3810"/>
            <wp:docPr id="14" name="Picture 14" descr="The figure shows platform wage rates (after fees) in July 2022, and compares them with what the employee entitlements are under the SCHADS Award. It shows that for the three platforms for which the Commission has obtained pricing information, average wages are at least the same or higher than the minimum award rate for weekday, Saturday and Sunda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figure shows platform wage rates (after fees) in July 2022, and compares them with what the employee entitlements are under the SCHADS Award. It shows that for the three platforms for which the Commission has obtained pricing information, average wages are at least the same or higher than the minimum award rate for weekday, Saturday and Sunday work."/>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3348990"/>
                    </a:xfrm>
                    <a:prstGeom prst="rect">
                      <a:avLst/>
                    </a:prstGeom>
                  </pic:spPr>
                </pic:pic>
              </a:graphicData>
            </a:graphic>
          </wp:inline>
        </w:drawing>
      </w:r>
    </w:p>
    <w:p w14:paraId="44D480B4" w14:textId="77777777" w:rsidR="006F23EA" w:rsidRPr="00DF088C" w:rsidRDefault="006F23EA" w:rsidP="008E3B89">
      <w:pPr>
        <w:pStyle w:val="Note"/>
        <w:keepLines/>
        <w:rPr>
          <w:spacing w:val="-4"/>
        </w:rPr>
      </w:pPr>
      <w:r w:rsidRPr="00DF088C">
        <w:rPr>
          <w:b/>
          <w:bCs/>
          <w:spacing w:val="-4"/>
        </w:rPr>
        <w:t>a.</w:t>
      </w:r>
      <w:r w:rsidRPr="00DF088C">
        <w:rPr>
          <w:spacing w:val="-4"/>
        </w:rPr>
        <w:t xml:space="preserve"> Rates of pay under the SCHADS Award for casual employees, adjusted for penalty rates for shift and weekend work. Caution should be used when comparing actual pay rates (platforms) versus the SCHADS Award, as some employees might get paid more than the Award rate. The SCHADS Award pay rates also do not include allowances, or the 10.5 per cent employer superannuation contribution, which all adult casual employees are entitled to. SCHADS range is for home care workers from level 1 (entry level) to level 5 (care manager). Level 3 (black lines) represents the rate for personal care workers with Certificate III. </w:t>
      </w:r>
      <w:r w:rsidRPr="00DF088C">
        <w:rPr>
          <w:b/>
          <w:bCs/>
          <w:spacing w:val="-4"/>
        </w:rPr>
        <w:t>b.</w:t>
      </w:r>
      <w:r w:rsidRPr="00DF088C">
        <w:rPr>
          <w:spacing w:val="-4"/>
        </w:rPr>
        <w:t xml:space="preserve"> All platform wage rates are net of fees. Platform rates are not comparable with each other. Mable rates are for ‘personal care workers’ in aged care and disability support who have at least a Certificate III or two years demonstrable work experience. </w:t>
      </w:r>
      <w:proofErr w:type="spellStart"/>
      <w:r w:rsidRPr="00DF088C">
        <w:rPr>
          <w:spacing w:val="-4"/>
        </w:rPr>
        <w:t>Careseekers</w:t>
      </w:r>
      <w:proofErr w:type="spellEnd"/>
      <w:r w:rsidRPr="00DF088C">
        <w:rPr>
          <w:spacing w:val="-4"/>
        </w:rPr>
        <w:t xml:space="preserve"> rate is for aged care workers only. The Five Good Friends rate is their </w:t>
      </w:r>
      <w:r w:rsidRPr="00DF088C">
        <w:rPr>
          <w:i/>
          <w:iCs/>
          <w:spacing w:val="-4"/>
        </w:rPr>
        <w:t>recommended</w:t>
      </w:r>
      <w:r w:rsidRPr="00DF088C">
        <w:rPr>
          <w:spacing w:val="-4"/>
        </w:rPr>
        <w:t xml:space="preserve"> default rate for aged and disability care workers. Default rates might be different to actual average pay rates.</w:t>
      </w:r>
    </w:p>
    <w:p w14:paraId="275A522F" w14:textId="77777777" w:rsidR="006F23EA" w:rsidRDefault="006F23EA" w:rsidP="008E3B89">
      <w:pPr>
        <w:pStyle w:val="BodyText"/>
      </w:pPr>
      <w:r>
        <w:t>Moreover, given the shortages of workers in aged care, any independent contractor could choose to work as a direct employee. The fact that they do not suggests that their wages or some non</w:t>
      </w:r>
      <w:r>
        <w:noBreakHyphen/>
        <w:t>pecuniary benefits are important factors in their employment choices. In relation to the latter, work flexibility to fit around family commitments and lifestyle, independence and task diversity have been found to be important determinants of job satisfaction among aged care workers generally, and crucial for attracting and retaining workers in the sector. For many independent contractors engaged on digital care platforms, the ability to choose the customers they work for also adds to a sense of purpose and job satisfaction.</w:t>
      </w:r>
    </w:p>
    <w:p w14:paraId="4F0F91EA" w14:textId="77777777" w:rsidR="006F23EA" w:rsidRDefault="006F23EA" w:rsidP="008E3B89">
      <w:pPr>
        <w:pStyle w:val="BodyText"/>
      </w:pPr>
      <w:r>
        <w:t>A policy to preference direct employment would make independent contractors who work in aged care worse off.</w:t>
      </w:r>
      <w:r w:rsidDel="005F6F21">
        <w:t xml:space="preserve"> </w:t>
      </w:r>
      <w:r>
        <w:t xml:space="preserve">It is therefore likely that such a policy would lead some workers to seek opportunities elsewhere, for instance in the disability support sector where there is no policy to preference direct employment. </w:t>
      </w:r>
    </w:p>
    <w:p w14:paraId="235DAABB" w14:textId="77777777" w:rsidR="006F23EA" w:rsidRDefault="006F23EA" w:rsidP="008E3B89">
      <w:pPr>
        <w:pStyle w:val="BodyText"/>
      </w:pPr>
      <w:r>
        <w:lastRenderedPageBreak/>
        <w:t>There is indeed some evidence that independent contracting appeals to a group of workers who might otherwise not work in the sector. A</w:t>
      </w:r>
      <w:r w:rsidDel="00F34D60">
        <w:t xml:space="preserve"> </w:t>
      </w:r>
      <w:r>
        <w:t xml:space="preserve">recent survey of workers operating through the Mable platform found that 50 per cent were new to the care sector while 21 per cent indicated that they would not continue providing care and support services if they had to do so as an employee of a care organisation. </w:t>
      </w:r>
    </w:p>
    <w:p w14:paraId="5B6B90EA" w14:textId="77777777" w:rsidR="006F23EA" w:rsidRDefault="006F23EA" w:rsidP="008E3B89">
      <w:pPr>
        <w:pStyle w:val="BodyText"/>
      </w:pPr>
      <w:r>
        <w:t>In a sector where worker attrition is already relatively high — with 75 per cent considering leaving the aged care sector within five years according to a recent survey — a policy to preference direct employment can be expected to exacerbate this situation. Such a policy would also not necessarily prove fruitful in improving conditions for aged care workers, whether directly employed or not, as it may simply lead to some workers leaving the sector, thus exacerbating staff shortages and the associated stress for all workers.</w:t>
      </w:r>
    </w:p>
    <w:p w14:paraId="48A337B3" w14:textId="77777777" w:rsidR="006F23EA" w:rsidRDefault="006F23EA" w:rsidP="00CF77CB">
      <w:pPr>
        <w:pStyle w:val="Heading2"/>
        <w:numPr>
          <w:ilvl w:val="0"/>
          <w:numId w:val="2"/>
        </w:numPr>
        <w:ind w:left="709" w:hanging="709"/>
      </w:pPr>
      <w:bookmarkStart w:id="20" w:name="_Toc115782047"/>
      <w:bookmarkStart w:id="21" w:name="_Toc116577843"/>
      <w:bookmarkStart w:id="22" w:name="_Toc116989047"/>
      <w:r>
        <w:t>Business perspectives</w:t>
      </w:r>
      <w:bookmarkEnd w:id="20"/>
      <w:bookmarkEnd w:id="21"/>
      <w:bookmarkEnd w:id="22"/>
    </w:p>
    <w:p w14:paraId="389CADF0" w14:textId="77777777" w:rsidR="006F23EA" w:rsidRPr="00582DED" w:rsidRDefault="006F23EA" w:rsidP="00AA12FB">
      <w:pPr>
        <w:pStyle w:val="BodyText"/>
        <w:spacing w:line="270" w:lineRule="atLeast"/>
        <w:rPr>
          <w:spacing w:val="-2"/>
        </w:rPr>
      </w:pPr>
      <w:r w:rsidRPr="00582DED">
        <w:rPr>
          <w:spacing w:val="-2"/>
        </w:rPr>
        <w:t>As highlighted earlier, aged care providers generally prefer to keep service delivery in</w:t>
      </w:r>
      <w:r w:rsidRPr="00582DED">
        <w:rPr>
          <w:spacing w:val="-2"/>
        </w:rPr>
        <w:noBreakHyphen/>
        <w:t>house by directly employing most of their personal care workers and nurses. Akin to other service delivery areas, residential care providers use labour hire agencies sparingly, essentially to backfill staffing gaps (although staffing gaps have grown during the COVID</w:t>
      </w:r>
      <w:r w:rsidRPr="00582DED">
        <w:rPr>
          <w:spacing w:val="-2"/>
        </w:rPr>
        <w:noBreakHyphen/>
        <w:t xml:space="preserve">19 pandemic). Home care providers also use personal care workers and nurses who operate as independent contractors to supplement their workforce. While </w:t>
      </w:r>
      <w:r w:rsidRPr="00582DED">
        <w:rPr>
          <w:bCs/>
          <w:spacing w:val="-2"/>
        </w:rPr>
        <w:t>it is generally more costly for providers to use independent contractors than their own staff, contractors may be more cost</w:t>
      </w:r>
      <w:r w:rsidRPr="00582DED">
        <w:rPr>
          <w:bCs/>
          <w:spacing w:val="-2"/>
        </w:rPr>
        <w:noBreakHyphen/>
        <w:t xml:space="preserve">effective for care </w:t>
      </w:r>
      <w:r w:rsidRPr="00582DED">
        <w:rPr>
          <w:spacing w:val="-2"/>
        </w:rPr>
        <w:t>involving non</w:t>
      </w:r>
      <w:r w:rsidRPr="00582DED">
        <w:rPr>
          <w:spacing w:val="-2"/>
        </w:rPr>
        <w:noBreakHyphen/>
        <w:t xml:space="preserve">standard hours, substantial travel time and home visits of a short duration. </w:t>
      </w:r>
    </w:p>
    <w:p w14:paraId="6DC996D8" w14:textId="77777777" w:rsidR="006F23EA" w:rsidRDefault="006F23EA" w:rsidP="00AA12FB">
      <w:pPr>
        <w:pStyle w:val="BodyText"/>
        <w:spacing w:line="270" w:lineRule="atLeast"/>
      </w:pPr>
      <w:r>
        <w:t>Digital care platforms provide one way for both providers and self</w:t>
      </w:r>
      <w:r>
        <w:noBreakHyphen/>
        <w:t xml:space="preserve">managed home care recipients to source independent contractors. Most </w:t>
      </w:r>
      <w:r w:rsidRPr="00C20E80">
        <w:t xml:space="preserve">platforms </w:t>
      </w:r>
      <w:r>
        <w:t>currently</w:t>
      </w:r>
      <w:r w:rsidRPr="00C20E80">
        <w:t xml:space="preserve"> servic</w:t>
      </w:r>
      <w:r>
        <w:t>ing</w:t>
      </w:r>
      <w:r w:rsidRPr="00C20E80">
        <w:t xml:space="preserve"> the aged care sector </w:t>
      </w:r>
      <w:r>
        <w:t xml:space="preserve">fall into the ‘indirect employment’ category. They operate </w:t>
      </w:r>
      <w:r w:rsidRPr="00C20E80">
        <w:t>as intermediaries that</w:t>
      </w:r>
      <w:r>
        <w:t xml:space="preserve"> solely</w:t>
      </w:r>
      <w:r w:rsidRPr="00C20E80">
        <w:t xml:space="preserve"> </w:t>
      </w:r>
      <w:r>
        <w:t xml:space="preserve">facilitate the </w:t>
      </w:r>
      <w:r w:rsidRPr="00C20E80">
        <w:t>match</w:t>
      </w:r>
      <w:r>
        <w:t>ing</w:t>
      </w:r>
      <w:r w:rsidRPr="00C20E80">
        <w:t xml:space="preserve"> </w:t>
      </w:r>
      <w:r>
        <w:t xml:space="preserve">of </w:t>
      </w:r>
      <w:r w:rsidRPr="00C20E80">
        <w:t xml:space="preserve">independent contractors with providers </w:t>
      </w:r>
      <w:r>
        <w:t>or</w:t>
      </w:r>
      <w:r w:rsidRPr="00C20E80">
        <w:t xml:space="preserve"> self</w:t>
      </w:r>
      <w:r>
        <w:noBreakHyphen/>
      </w:r>
      <w:r w:rsidRPr="00C20E80">
        <w:t>managed consumers</w:t>
      </w:r>
      <w:r>
        <w:t>.</w:t>
      </w:r>
    </w:p>
    <w:p w14:paraId="69ACC152" w14:textId="77777777" w:rsidR="006F23EA" w:rsidRDefault="006F23EA" w:rsidP="00AA12FB">
      <w:pPr>
        <w:pStyle w:val="BodyText"/>
        <w:spacing w:line="270" w:lineRule="atLeast"/>
      </w:pPr>
      <w:r>
        <w:t>A policy to preference direct employment would not only reduce the available labour pool</w:t>
      </w:r>
      <w:r w:rsidRPr="00D44E03">
        <w:rPr>
          <w:rFonts w:ascii="Arial" w:eastAsia="Times New Roman" w:hAnsi="Arial" w:cs="Arial"/>
        </w:rPr>
        <w:t xml:space="preserve"> in the sector, </w:t>
      </w:r>
      <w:proofErr w:type="gramStart"/>
      <w:r w:rsidRPr="00D44E03">
        <w:rPr>
          <w:rFonts w:ascii="Arial" w:eastAsia="Times New Roman" w:hAnsi="Arial" w:cs="Arial"/>
        </w:rPr>
        <w:t>it would</w:t>
      </w:r>
      <w:proofErr w:type="gramEnd"/>
      <w:r w:rsidRPr="00D44E03">
        <w:rPr>
          <w:rFonts w:ascii="Arial" w:eastAsia="Times New Roman" w:hAnsi="Arial" w:cs="Arial"/>
        </w:rPr>
        <w:t xml:space="preserve"> </w:t>
      </w:r>
      <w:r>
        <w:rPr>
          <w:rFonts w:ascii="Arial" w:eastAsia="Times New Roman" w:hAnsi="Arial" w:cs="Arial"/>
        </w:rPr>
        <w:t>reduce</w:t>
      </w:r>
      <w:r w:rsidRPr="00D44E03">
        <w:rPr>
          <w:rFonts w:ascii="Arial" w:eastAsia="Times New Roman" w:hAnsi="Arial" w:cs="Arial"/>
        </w:rPr>
        <w:t xml:space="preserve"> the flexibility that providers </w:t>
      </w:r>
      <w:r>
        <w:rPr>
          <w:rFonts w:ascii="Arial" w:eastAsia="Times New Roman" w:hAnsi="Arial" w:cs="Arial"/>
        </w:rPr>
        <w:t>have</w:t>
      </w:r>
      <w:r w:rsidRPr="00D44E03">
        <w:rPr>
          <w:rFonts w:ascii="Arial" w:eastAsia="Times New Roman" w:hAnsi="Arial" w:cs="Arial"/>
        </w:rPr>
        <w:t xml:space="preserve"> to manage intermittent and variable demand for care</w:t>
      </w:r>
      <w:r>
        <w:rPr>
          <w:rFonts w:ascii="Arial" w:eastAsia="Times New Roman" w:hAnsi="Arial" w:cs="Arial"/>
        </w:rPr>
        <w:t xml:space="preserve"> on a day</w:t>
      </w:r>
      <w:r>
        <w:rPr>
          <w:rFonts w:ascii="Arial" w:eastAsia="Times New Roman" w:hAnsi="Arial" w:cs="Arial"/>
        </w:rPr>
        <w:noBreakHyphen/>
        <w:t>to</w:t>
      </w:r>
      <w:r>
        <w:rPr>
          <w:rFonts w:ascii="Arial" w:eastAsia="Times New Roman" w:hAnsi="Arial" w:cs="Arial"/>
        </w:rPr>
        <w:noBreakHyphen/>
        <w:t>day basis</w:t>
      </w:r>
      <w:r w:rsidRPr="00D44E03">
        <w:rPr>
          <w:rFonts w:ascii="Arial" w:eastAsia="Times New Roman" w:hAnsi="Arial" w:cs="Arial"/>
        </w:rPr>
        <w:t>.</w:t>
      </w:r>
      <w:r w:rsidRPr="000A20B0">
        <w:t xml:space="preserve"> </w:t>
      </w:r>
    </w:p>
    <w:p w14:paraId="23815383" w14:textId="77777777" w:rsidR="006F23EA" w:rsidRDefault="006F23EA" w:rsidP="00AA12FB">
      <w:pPr>
        <w:pStyle w:val="BodyText"/>
        <w:spacing w:line="270" w:lineRule="atLeast"/>
      </w:pPr>
      <w:r>
        <w:t>Care needs can change quickly resulting in a sudden need for more intensive care or the transition of a client with very high care needs into residential care. In addition to using part</w:t>
      </w:r>
      <w:r>
        <w:noBreakHyphen/>
        <w:t>time and casual staff, independent contractors can give providers a flexible and cost</w:t>
      </w:r>
      <w:r>
        <w:noBreakHyphen/>
        <w:t>effective way to temporarily boost their capacity to address these fluctuations in service demand.</w:t>
      </w:r>
    </w:p>
    <w:p w14:paraId="336D9192" w14:textId="77777777" w:rsidR="006F23EA" w:rsidRDefault="006F23EA" w:rsidP="00AA12FB">
      <w:pPr>
        <w:pStyle w:val="BodyText"/>
        <w:spacing w:line="270" w:lineRule="atLeast"/>
      </w:pPr>
      <w:r>
        <w:t xml:space="preserve">Access to independent contractors allows providers to meet bespoke service needs. Older people have diverse and evolving care needs. In many cases it is not viable for providers to directly employ workers with the full range of skills and backgrounds that consumers may require at different points in time and in different locations. An important justification for using independent contractors is to be able to source workers with specialised skills that are only needed for a small number of service hours across a consumer base – a case in point is that 37 per cent of allied health workers in the aged care sector are agency workers/independent contractors. </w:t>
      </w:r>
      <w:r w:rsidRPr="00177A92">
        <w:t xml:space="preserve">This </w:t>
      </w:r>
      <w:r>
        <w:t>is applicable</w:t>
      </w:r>
      <w:r w:rsidRPr="00177A92">
        <w:t xml:space="preserve"> </w:t>
      </w:r>
      <w:r>
        <w:t xml:space="preserve">not only in </w:t>
      </w:r>
      <w:r w:rsidRPr="00177A92">
        <w:t xml:space="preserve">regional and remote </w:t>
      </w:r>
      <w:r>
        <w:t xml:space="preserve">areas with fewer </w:t>
      </w:r>
      <w:r w:rsidRPr="00177A92">
        <w:t xml:space="preserve">and/or </w:t>
      </w:r>
      <w:r>
        <w:t xml:space="preserve">more </w:t>
      </w:r>
      <w:r w:rsidRPr="00177A92">
        <w:t>wide</w:t>
      </w:r>
      <w:r>
        <w:t>ly</w:t>
      </w:r>
      <w:r w:rsidRPr="00177A92">
        <w:t xml:space="preserve"> </w:t>
      </w:r>
      <w:r>
        <w:t>dispersed consumers, but also in metropolitan areas where access to specialists is costly.</w:t>
      </w:r>
    </w:p>
    <w:p w14:paraId="0D7664BC" w14:textId="77777777" w:rsidR="006F23EA" w:rsidRPr="00DF088C" w:rsidRDefault="006F23EA" w:rsidP="00AA12FB">
      <w:pPr>
        <w:pStyle w:val="BodyText"/>
        <w:spacing w:line="270" w:lineRule="atLeast"/>
        <w:rPr>
          <w:spacing w:val="-4"/>
        </w:rPr>
      </w:pPr>
      <w:r w:rsidRPr="00DF088C">
        <w:rPr>
          <w:spacing w:val="-4"/>
        </w:rPr>
        <w:t>In a similar vein, independent contractors allow providers to service markets where they do not have an established presence. There is at least one example of a registered provider, Country Home Services, which relies exclusively on independent contractors to service its consumer bases in regional and remote South Australia. The case study of the town of Bell is another example. Residents of the small Queensland town had little access to home care services as significant travel time limited the ability of non</w:t>
      </w:r>
      <w:r w:rsidRPr="00DF088C">
        <w:rPr>
          <w:spacing w:val="-4"/>
        </w:rPr>
        <w:noBreakHyphen/>
        <w:t>local providers to service the town with their own staff. By partnering with the digital care platform Mable, Trilogy Care was able to engage local residents as independent contractors and support them in delivering home care services to the town.</w:t>
      </w:r>
    </w:p>
    <w:p w14:paraId="120339D8" w14:textId="77777777" w:rsidR="006F23EA" w:rsidRDefault="006F23EA" w:rsidP="008E3B89">
      <w:pPr>
        <w:pStyle w:val="BodyText"/>
      </w:pPr>
      <w:r>
        <w:lastRenderedPageBreak/>
        <w:t xml:space="preserve">In these </w:t>
      </w:r>
      <w:r w:rsidRPr="00EC74E4">
        <w:t xml:space="preserve">contexts, </w:t>
      </w:r>
      <w:r>
        <w:t xml:space="preserve">a policy to preference direct employment </w:t>
      </w:r>
      <w:r w:rsidRPr="00EC74E4">
        <w:t xml:space="preserve">could result in providers </w:t>
      </w:r>
      <w:r>
        <w:t>ceasing</w:t>
      </w:r>
      <w:r w:rsidRPr="00EC74E4">
        <w:t xml:space="preserve"> to service certain consumers and/or locations. </w:t>
      </w:r>
    </w:p>
    <w:p w14:paraId="20CEDA21" w14:textId="77777777" w:rsidR="006F23EA" w:rsidRDefault="006F23EA" w:rsidP="008E3B89">
      <w:pPr>
        <w:pStyle w:val="BodyText"/>
      </w:pPr>
      <w:r>
        <w:t>There is no doubt that t</w:t>
      </w:r>
      <w:r w:rsidRPr="00974892">
        <w:t>he presence of independent contractors creates greater contestability for service quality and value.</w:t>
      </w:r>
      <w:r>
        <w:t xml:space="preserve"> The platform model is challenging the status quo by giving older Australians more options in terms of care worker engagement, service offerings and pricing. In a sector that has traditionally underinvested in innovation and productivity</w:t>
      </w:r>
      <w:r>
        <w:noBreakHyphen/>
        <w:t xml:space="preserve">enhancing measures, the emergence of new business models has the potential to </w:t>
      </w:r>
      <w:r w:rsidRPr="00C8025C">
        <w:t xml:space="preserve">spur </w:t>
      </w:r>
      <w:r>
        <w:t xml:space="preserve">new approaches and incentivise </w:t>
      </w:r>
      <w:r w:rsidRPr="00C8025C">
        <w:t>improved service quality and value</w:t>
      </w:r>
      <w:r>
        <w:t xml:space="preserve">. </w:t>
      </w:r>
    </w:p>
    <w:p w14:paraId="3A92E27B" w14:textId="77777777" w:rsidR="006F23EA" w:rsidRDefault="006F23EA" w:rsidP="008E3B89">
      <w:pPr>
        <w:pStyle w:val="BodyText"/>
      </w:pPr>
      <w:r>
        <w:t xml:space="preserve">There is scope to do more in terms of enabling technology. The Commission heard from several providers about their investment in solutions to provide the service delivery flexibility that consumers increasingly expect (such as Montefiore’s recent implementation of a digital workforce management system to automate rostering), but the use of technology across the sector as a whole is inconsistent and fragmented. </w:t>
      </w:r>
    </w:p>
    <w:p w14:paraId="30074EE5" w14:textId="77777777" w:rsidR="006F23EA" w:rsidRDefault="006F23EA" w:rsidP="00CF77CB">
      <w:pPr>
        <w:pStyle w:val="Heading2"/>
        <w:numPr>
          <w:ilvl w:val="0"/>
          <w:numId w:val="2"/>
        </w:numPr>
        <w:ind w:left="709" w:hanging="709"/>
      </w:pPr>
      <w:bookmarkStart w:id="23" w:name="_Toc115782048"/>
      <w:bookmarkStart w:id="24" w:name="_Toc116577844"/>
      <w:bookmarkStart w:id="25" w:name="_Toc116989048"/>
      <w:r>
        <w:t>The way forward</w:t>
      </w:r>
      <w:bookmarkEnd w:id="23"/>
      <w:bookmarkEnd w:id="24"/>
      <w:bookmarkEnd w:id="25"/>
    </w:p>
    <w:p w14:paraId="236A623D" w14:textId="77777777" w:rsidR="006F23EA" w:rsidRPr="00582DED" w:rsidRDefault="006F23EA" w:rsidP="008E3B89">
      <w:pPr>
        <w:rPr>
          <w:rFonts w:ascii="Arial" w:hAnsi="Arial" w:cs="Arial"/>
          <w:spacing w:val="-2"/>
        </w:rPr>
      </w:pPr>
      <w:r w:rsidRPr="00582DED">
        <w:rPr>
          <w:rFonts w:ascii="Arial" w:hAnsi="Arial" w:cs="Arial"/>
          <w:spacing w:val="-2"/>
        </w:rPr>
        <w:t xml:space="preserve">Having taken into account stakeholder views and considered the available evidence, the Commission’s overall assessment is that adopting a policy to further preference direct employment would be </w:t>
      </w:r>
      <w:proofErr w:type="gramStart"/>
      <w:r w:rsidRPr="00582DED">
        <w:rPr>
          <w:rFonts w:ascii="Arial" w:hAnsi="Arial" w:cs="Arial"/>
          <w:spacing w:val="-2"/>
        </w:rPr>
        <w:t>adverse</w:t>
      </w:r>
      <w:proofErr w:type="gramEnd"/>
      <w:r w:rsidRPr="00582DED">
        <w:rPr>
          <w:rFonts w:ascii="Arial" w:hAnsi="Arial" w:cs="Arial"/>
          <w:spacing w:val="-2"/>
        </w:rPr>
        <w:t xml:space="preserve"> to the interests of older Australians, workers and providers, particularly under current tight labour market conditions.</w:t>
      </w:r>
    </w:p>
    <w:p w14:paraId="434776BB" w14:textId="77777777" w:rsidR="006F23EA" w:rsidRPr="00DE1DCF" w:rsidRDefault="006F23EA" w:rsidP="008E3B89">
      <w:pPr>
        <w:rPr>
          <w:rFonts w:ascii="Arial" w:hAnsi="Arial" w:cs="Arial"/>
        </w:rPr>
      </w:pPr>
      <w:r w:rsidRPr="00DE1DCF">
        <w:rPr>
          <w:rFonts w:ascii="Arial" w:hAnsi="Arial" w:cs="Arial"/>
        </w:rPr>
        <w:t>A focus o</w:t>
      </w:r>
      <w:r>
        <w:rPr>
          <w:rFonts w:ascii="Arial" w:hAnsi="Arial" w:cs="Arial"/>
        </w:rPr>
        <w:t>n</w:t>
      </w:r>
      <w:r w:rsidRPr="00DE1DCF">
        <w:rPr>
          <w:rFonts w:ascii="Arial" w:hAnsi="Arial" w:cs="Arial"/>
        </w:rPr>
        <w:t xml:space="preserve"> indirect employment also comes with a high risk of distracting from the more important challenges facing the sector.</w:t>
      </w:r>
    </w:p>
    <w:p w14:paraId="27A2C318" w14:textId="77777777" w:rsidR="006F23EA" w:rsidRPr="00DE1DCF" w:rsidRDefault="006F23EA" w:rsidP="008E3B89">
      <w:pPr>
        <w:rPr>
          <w:rFonts w:ascii="Arial" w:hAnsi="Arial" w:cs="Arial"/>
        </w:rPr>
      </w:pPr>
      <w:r w:rsidRPr="00DE1DCF">
        <w:rPr>
          <w:rFonts w:ascii="Arial" w:hAnsi="Arial" w:cs="Arial"/>
        </w:rPr>
        <w:t>Rather than mandating a preference for direct employment, the Government should expedite the broader aged care reform agenda, including those reforms that will</w:t>
      </w:r>
      <w:r>
        <w:rPr>
          <w:rFonts w:ascii="Arial" w:hAnsi="Arial" w:cs="Arial"/>
        </w:rPr>
        <w:t xml:space="preserve"> attract and retain workers to the sector,</w:t>
      </w:r>
      <w:r w:rsidRPr="00DE1DCF">
        <w:rPr>
          <w:rFonts w:ascii="Arial" w:hAnsi="Arial" w:cs="Arial"/>
        </w:rPr>
        <w:t xml:space="preserve"> </w:t>
      </w:r>
      <w:r>
        <w:rPr>
          <w:rFonts w:ascii="Arial" w:hAnsi="Arial" w:cs="Arial"/>
        </w:rPr>
        <w:t xml:space="preserve">better screen aged care workers, promote choice of </w:t>
      </w:r>
      <w:r w:rsidRPr="00DE1DCF">
        <w:rPr>
          <w:rFonts w:ascii="Arial" w:hAnsi="Arial" w:cs="Arial"/>
        </w:rPr>
        <w:t xml:space="preserve">home care options for older Australians, </w:t>
      </w:r>
      <w:r>
        <w:rPr>
          <w:rFonts w:ascii="Arial" w:hAnsi="Arial" w:cs="Arial"/>
        </w:rPr>
        <w:t xml:space="preserve">allow for improved </w:t>
      </w:r>
      <w:r w:rsidRPr="00DE1DCF">
        <w:rPr>
          <w:rFonts w:ascii="Arial" w:hAnsi="Arial" w:cs="Arial"/>
        </w:rPr>
        <w:t xml:space="preserve">oversight of home care services and workers, and </w:t>
      </w:r>
      <w:r>
        <w:rPr>
          <w:rFonts w:ascii="Arial" w:hAnsi="Arial" w:cs="Arial"/>
        </w:rPr>
        <w:t>ensure</w:t>
      </w:r>
      <w:r w:rsidRPr="00DE1DCF">
        <w:rPr>
          <w:rFonts w:ascii="Arial" w:hAnsi="Arial" w:cs="Arial"/>
        </w:rPr>
        <w:t xml:space="preserve"> better protections and support for all workers including independent contractors in aged care. </w:t>
      </w:r>
    </w:p>
    <w:p w14:paraId="2A233D6C" w14:textId="77777777" w:rsidR="006F23EA" w:rsidRDefault="006F23EA" w:rsidP="008E3B89">
      <w:pPr>
        <w:pStyle w:val="BodyText"/>
      </w:pPr>
      <w:r>
        <w:t>These reforms are better targeted at managing the risks inherent in the delivery of aged care services regardless of the employment model.</w:t>
      </w:r>
    </w:p>
    <w:p w14:paraId="24F81993" w14:textId="77777777" w:rsidR="006F23EA" w:rsidRDefault="006F23EA" w:rsidP="008E3B89">
      <w:pPr>
        <w:pStyle w:val="BodyText"/>
      </w:pPr>
      <w:r>
        <w:t>The reforms range from a new Aged Care Act to a fundamental re</w:t>
      </w:r>
      <w:r>
        <w:noBreakHyphen/>
        <w:t>think of the regulatory framework to better align regulation with the proportionality of risk and better</w:t>
      </w:r>
      <w:r>
        <w:noBreakHyphen/>
        <w:t xml:space="preserve">quality indicators to measure performance and help inform consumers. </w:t>
      </w:r>
    </w:p>
    <w:p w14:paraId="5CF9DEDD" w14:textId="77777777" w:rsidR="006F23EA" w:rsidRDefault="006F23EA" w:rsidP="008E3B89">
      <w:pPr>
        <w:pStyle w:val="BodyText"/>
      </w:pPr>
      <w:r>
        <w:t>Given that the quality and safety of care essentially comes down to the care provided by an individual personal care worker or nurse, a risk</w:t>
      </w:r>
      <w:r>
        <w:noBreakHyphen/>
        <w:t>based approach to regulation should encompass individual workers, as well as providers. The new code of conduct for aged care workers, which came into effect in August 2022, will extend regulatory oversight to the individual worker (including independent contractors), as well as to the aged care provider. Further, the planned worker registration system can also be expected to provide additional reinforcement to the protection of aged care consumers.</w:t>
      </w:r>
    </w:p>
    <w:p w14:paraId="78E7A28B" w14:textId="77777777" w:rsidR="006F23EA" w:rsidRDefault="006F23EA" w:rsidP="008E3B89">
      <w:pPr>
        <w:pStyle w:val="BodyText"/>
      </w:pPr>
      <w:r>
        <w:t>Ultimately, confidence in the effectiveness of regulation is contingent on the effectiveness of the regulator. A sufficiently empowered and resourced regulator should be the central party responsible for evaluating and managing risk. The reforms recommended, planned or underway to improve the Aged Care Quality and Safety Commission (ACQSC) are among the most important to safeguard aged care quality and safety. The Government has recently announced a capability review of the ACQSC, which will inform the design of a new ‘revitalised’ regulator.</w:t>
      </w:r>
    </w:p>
    <w:p w14:paraId="69539BAA" w14:textId="77777777" w:rsidR="006F23EA" w:rsidRDefault="006F23EA" w:rsidP="008E3B89">
      <w:pPr>
        <w:pStyle w:val="BodyText"/>
      </w:pPr>
      <w:r>
        <w:t>Done well, these reforms would provide the necessary safeguards without undermining the ability of older Australians to take reasonably controlled risks to maximise their quality of life.</w:t>
      </w:r>
    </w:p>
    <w:p w14:paraId="1D83EE7D" w14:textId="77777777" w:rsidR="008E0625" w:rsidRDefault="008E0625" w:rsidP="008E3B89">
      <w:pPr>
        <w:pStyle w:val="BodyText"/>
        <w:sectPr w:rsidR="008E0625" w:rsidSect="007C741E">
          <w:headerReference w:type="default" r:id="rId36"/>
          <w:type w:val="oddPage"/>
          <w:pgSz w:w="11906" w:h="16838" w:code="9"/>
          <w:pgMar w:top="1134" w:right="1134" w:bottom="1134" w:left="1134" w:header="794" w:footer="510" w:gutter="0"/>
          <w:pgNumType w:start="1"/>
          <w:cols w:space="708"/>
          <w:docGrid w:linePitch="360"/>
        </w:sectPr>
      </w:pPr>
    </w:p>
    <w:p w14:paraId="4F63537C" w14:textId="77777777" w:rsidR="006F23EA" w:rsidRDefault="006F23EA" w:rsidP="008E3B89">
      <w:pPr>
        <w:pStyle w:val="Heading1-nonumber"/>
      </w:pPr>
      <w:bookmarkStart w:id="26" w:name="_Toc108606598"/>
      <w:bookmarkStart w:id="27" w:name="_Toc115782049"/>
      <w:bookmarkStart w:id="28" w:name="_Toc116989049"/>
      <w:r>
        <w:lastRenderedPageBreak/>
        <w:t>Findings and recommendation</w:t>
      </w:r>
      <w:bookmarkEnd w:id="26"/>
      <w:bookmarkEnd w:id="27"/>
      <w:bookmarkEnd w:id="28"/>
    </w:p>
    <w:p w14:paraId="30869450" w14:textId="77777777" w:rsidR="006F23EA" w:rsidRPr="000709C2" w:rsidRDefault="006F23EA" w:rsidP="00F757A3">
      <w:pPr>
        <w:pStyle w:val="Heading2-noTOC"/>
      </w:pPr>
      <w:r w:rsidRPr="000709C2">
        <w:t>The use of indirect employment in aged care is already limited</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32EDEF1F" w14:textId="77777777">
        <w:trPr>
          <w:trHeight w:val="765"/>
          <w:tblHeader/>
        </w:trPr>
        <w:tc>
          <w:tcPr>
            <w:tcW w:w="366" w:type="pct"/>
            <w:tcBorders>
              <w:bottom w:val="nil"/>
            </w:tcBorders>
            <w:tcMar>
              <w:bottom w:w="0" w:type="dxa"/>
            </w:tcMar>
            <w:vAlign w:val="center"/>
          </w:tcPr>
          <w:p w14:paraId="03BF2368" w14:textId="77777777" w:rsidR="006F23EA" w:rsidRDefault="006F23EA">
            <w:pPr>
              <w:pStyle w:val="NoSpacing"/>
              <w:keepLines/>
              <w:jc w:val="right"/>
            </w:pPr>
            <w:r w:rsidRPr="00A51374">
              <w:rPr>
                <w:noProof/>
              </w:rPr>
              <w:drawing>
                <wp:inline distT="0" distB="0" distL="0" distR="0" wp14:anchorId="3DA547C5" wp14:editId="08BF13DB">
                  <wp:extent cx="288000" cy="288000"/>
                  <wp:effectExtent l="0" t="0" r="0" b="0"/>
                  <wp:docPr id="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6BDECC6" w14:textId="77777777" w:rsidR="006F23EA" w:rsidRPr="008025D7" w:rsidRDefault="006F23EA">
            <w:pPr>
              <w:pStyle w:val="TableHeading"/>
              <w:keepLines/>
              <w:rPr>
                <w:sz w:val="20"/>
              </w:rPr>
            </w:pPr>
            <w:r w:rsidRPr="008025D7">
              <w:rPr>
                <w:sz w:val="20"/>
              </w:rPr>
              <w:t>Finding 2.1</w:t>
            </w:r>
          </w:p>
          <w:p w14:paraId="4F315746" w14:textId="0D8E3193" w:rsidR="006F23EA" w:rsidRDefault="006F23EA">
            <w:pPr>
              <w:pStyle w:val="TableHeading"/>
              <w:keepLines/>
            </w:pPr>
            <w:r w:rsidRPr="008025D7">
              <w:rPr>
                <w:rFonts w:ascii="Arial" w:eastAsia="Arial" w:hAnsi="Arial" w:cs="Times New Roman"/>
                <w:color w:val="265A9A"/>
                <w:sz w:val="20"/>
              </w:rPr>
              <w:t xml:space="preserve">Most aged care consumers live at home and </w:t>
            </w:r>
            <w:r w:rsidR="001C56C6" w:rsidRPr="008025D7">
              <w:rPr>
                <w:rFonts w:ascii="Arial" w:eastAsia="Arial" w:hAnsi="Arial" w:cs="Times New Roman"/>
                <w:color w:val="265A9A"/>
                <w:sz w:val="20"/>
              </w:rPr>
              <w:t xml:space="preserve">mainly </w:t>
            </w:r>
            <w:r w:rsidRPr="008025D7">
              <w:rPr>
                <w:rFonts w:ascii="Arial" w:eastAsia="Arial" w:hAnsi="Arial" w:cs="Times New Roman"/>
                <w:color w:val="265A9A"/>
                <w:sz w:val="20"/>
              </w:rPr>
              <w:t>receive domestic assistance and social support</w:t>
            </w:r>
          </w:p>
        </w:tc>
      </w:tr>
      <w:tr w:rsidR="006F23EA" w14:paraId="017256A5" w14:textId="77777777">
        <w:tc>
          <w:tcPr>
            <w:tcW w:w="5000" w:type="pct"/>
            <w:gridSpan w:val="2"/>
            <w:tcBorders>
              <w:top w:val="nil"/>
              <w:bottom w:val="single" w:sz="4" w:space="0" w:color="66BCDB" w:themeColor="text2"/>
            </w:tcBorders>
          </w:tcPr>
          <w:p w14:paraId="6CFB582B" w14:textId="77777777" w:rsidR="006F23EA" w:rsidRDefault="006F23EA">
            <w:pPr>
              <w:pStyle w:val="BodyText"/>
              <w:keepLines/>
            </w:pPr>
            <w:r w:rsidRPr="00B5491C">
              <w:rPr>
                <w:rFonts w:ascii="Arial" w:eastAsia="Arial" w:hAnsi="Arial" w:cs="Times New Roman"/>
              </w:rPr>
              <w:t>Of the approximately 1.4</w:t>
            </w:r>
            <w:r>
              <w:rPr>
                <w:rFonts w:ascii="Arial" w:eastAsia="Arial" w:hAnsi="Arial" w:cs="Times New Roman"/>
              </w:rPr>
              <w:t> </w:t>
            </w:r>
            <w:r w:rsidRPr="00B5491C">
              <w:rPr>
                <w:rFonts w:ascii="Arial" w:eastAsia="Arial" w:hAnsi="Arial" w:cs="Times New Roman"/>
              </w:rPr>
              <w:t>million older Australians who receive some form of government</w:t>
            </w:r>
            <w:r>
              <w:rPr>
                <w:rFonts w:ascii="Arial" w:eastAsia="Arial" w:hAnsi="Arial" w:cs="Times New Roman"/>
              </w:rPr>
              <w:noBreakHyphen/>
            </w:r>
            <w:r w:rsidRPr="00B5491C">
              <w:rPr>
                <w:rFonts w:ascii="Arial" w:eastAsia="Arial" w:hAnsi="Arial" w:cs="Times New Roman"/>
              </w:rPr>
              <w:t xml:space="preserve">subsidised aged care, </w:t>
            </w:r>
            <w:r>
              <w:rPr>
                <w:rFonts w:ascii="Arial" w:eastAsia="Arial" w:hAnsi="Arial" w:cs="Times New Roman"/>
              </w:rPr>
              <w:t>more than 75 per cent</w:t>
            </w:r>
            <w:r w:rsidRPr="00B5491C">
              <w:rPr>
                <w:rFonts w:ascii="Arial" w:eastAsia="Arial" w:hAnsi="Arial" w:cs="Times New Roman"/>
              </w:rPr>
              <w:t xml:space="preserve"> live at home and receive either entry</w:t>
            </w:r>
            <w:r>
              <w:rPr>
                <w:rFonts w:ascii="Arial" w:eastAsia="Arial" w:hAnsi="Arial" w:cs="Times New Roman"/>
              </w:rPr>
              <w:noBreakHyphen/>
            </w:r>
            <w:r w:rsidRPr="00B5491C">
              <w:rPr>
                <w:rFonts w:ascii="Arial" w:eastAsia="Arial" w:hAnsi="Arial" w:cs="Times New Roman"/>
              </w:rPr>
              <w:t>level care through the Commonwealth Home Support Program</w:t>
            </w:r>
            <w:r>
              <w:rPr>
                <w:rFonts w:ascii="Arial" w:eastAsia="Arial" w:hAnsi="Arial" w:cs="Times New Roman"/>
              </w:rPr>
              <w:t xml:space="preserve"> (CHSP)</w:t>
            </w:r>
            <w:r w:rsidRPr="00B5491C">
              <w:rPr>
                <w:rFonts w:ascii="Arial" w:eastAsia="Arial" w:hAnsi="Arial" w:cs="Times New Roman"/>
              </w:rPr>
              <w:t xml:space="preserve"> or structured home</w:t>
            </w:r>
            <w:r>
              <w:rPr>
                <w:rFonts w:ascii="Arial" w:eastAsia="Arial" w:hAnsi="Arial" w:cs="Times New Roman"/>
              </w:rPr>
              <w:noBreakHyphen/>
            </w:r>
            <w:r w:rsidRPr="00B5491C">
              <w:rPr>
                <w:rFonts w:ascii="Arial" w:eastAsia="Arial" w:hAnsi="Arial" w:cs="Times New Roman"/>
              </w:rPr>
              <w:t xml:space="preserve">based care through the Home Care Packages </w:t>
            </w:r>
            <w:r>
              <w:rPr>
                <w:rFonts w:ascii="Arial" w:eastAsia="Arial" w:hAnsi="Arial" w:cs="Times New Roman"/>
              </w:rPr>
              <w:t xml:space="preserve">(HCP) </w:t>
            </w:r>
            <w:r w:rsidRPr="00B5491C">
              <w:rPr>
                <w:rFonts w:ascii="Arial" w:eastAsia="Arial" w:hAnsi="Arial" w:cs="Times New Roman"/>
              </w:rPr>
              <w:t xml:space="preserve">Program. The bulk of home care service hours provided to consumers are for domestic assistance and social support. Clinical </w:t>
            </w:r>
            <w:r>
              <w:rPr>
                <w:rFonts w:ascii="Arial" w:eastAsia="Arial" w:hAnsi="Arial" w:cs="Times New Roman"/>
              </w:rPr>
              <w:t xml:space="preserve">(allied health and nursing) </w:t>
            </w:r>
            <w:r w:rsidRPr="00B5491C">
              <w:rPr>
                <w:rFonts w:ascii="Arial" w:eastAsia="Arial" w:hAnsi="Arial" w:cs="Times New Roman"/>
              </w:rPr>
              <w:t xml:space="preserve">and personal care services account for a fifth of CHSP hours </w:t>
            </w:r>
            <w:r>
              <w:rPr>
                <w:rFonts w:ascii="Arial" w:eastAsia="Arial" w:hAnsi="Arial" w:cs="Times New Roman"/>
              </w:rPr>
              <w:t xml:space="preserve">and </w:t>
            </w:r>
            <w:r w:rsidRPr="00B5491C">
              <w:rPr>
                <w:rFonts w:ascii="Arial" w:eastAsia="Arial" w:hAnsi="Arial" w:cs="Times New Roman"/>
              </w:rPr>
              <w:t>less than a third of HCP hours</w:t>
            </w:r>
            <w:r>
              <w:rPr>
                <w:rFonts w:ascii="Arial" w:eastAsia="Arial" w:hAnsi="Arial" w:cs="Times New Roman"/>
              </w:rPr>
              <w:t>.</w:t>
            </w:r>
          </w:p>
        </w:tc>
      </w:tr>
      <w:tr w:rsidR="006F23EA" w14:paraId="3DD06668" w14:textId="77777777">
        <w:tc>
          <w:tcPr>
            <w:tcW w:w="5000" w:type="pct"/>
            <w:gridSpan w:val="2"/>
            <w:tcBorders>
              <w:top w:val="single" w:sz="4" w:space="0" w:color="66BCDB" w:themeColor="text2"/>
              <w:left w:val="nil"/>
              <w:bottom w:val="nil"/>
              <w:right w:val="nil"/>
            </w:tcBorders>
            <w:tcMar>
              <w:bottom w:w="0" w:type="dxa"/>
            </w:tcMar>
          </w:tcPr>
          <w:p w14:paraId="1A72B682" w14:textId="77777777" w:rsidR="006F23EA" w:rsidRDefault="006F23EA">
            <w:pPr>
              <w:pStyle w:val="NoSpacing"/>
              <w:spacing w:line="200" w:lineRule="atLeast"/>
            </w:pPr>
          </w:p>
        </w:tc>
      </w:tr>
    </w:tbl>
    <w:p w14:paraId="7EF56634" w14:textId="77777777" w:rsidR="006F23EA" w:rsidRDefault="006F23E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21FA17F3" w14:textId="77777777">
        <w:trPr>
          <w:trHeight w:val="765"/>
          <w:tblHeader/>
        </w:trPr>
        <w:tc>
          <w:tcPr>
            <w:tcW w:w="366" w:type="pct"/>
            <w:tcBorders>
              <w:bottom w:val="nil"/>
            </w:tcBorders>
            <w:tcMar>
              <w:bottom w:w="0" w:type="dxa"/>
            </w:tcMar>
            <w:vAlign w:val="center"/>
          </w:tcPr>
          <w:p w14:paraId="275EC6E3" w14:textId="77777777" w:rsidR="006F23EA" w:rsidRDefault="006F23EA">
            <w:pPr>
              <w:pStyle w:val="NoSpacing"/>
              <w:keepLines/>
              <w:jc w:val="right"/>
            </w:pPr>
            <w:r w:rsidRPr="00A51374">
              <w:rPr>
                <w:noProof/>
              </w:rPr>
              <w:drawing>
                <wp:inline distT="0" distB="0" distL="0" distR="0" wp14:anchorId="25697062" wp14:editId="59091F70">
                  <wp:extent cx="288000" cy="288000"/>
                  <wp:effectExtent l="0" t="0" r="0" b="0"/>
                  <wp:docPr id="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A00BED0" w14:textId="77777777" w:rsidR="006F23EA" w:rsidRPr="00777F6E" w:rsidRDefault="006F23EA">
            <w:pPr>
              <w:pStyle w:val="TableHeading"/>
              <w:keepLines/>
              <w:rPr>
                <w:sz w:val="20"/>
              </w:rPr>
            </w:pPr>
            <w:r w:rsidRPr="00777F6E">
              <w:rPr>
                <w:sz w:val="20"/>
              </w:rPr>
              <w:t xml:space="preserve">Finding 2.2 </w:t>
            </w:r>
          </w:p>
          <w:p w14:paraId="09A5354A" w14:textId="77777777" w:rsidR="006F23EA" w:rsidRDefault="006F23EA">
            <w:pPr>
              <w:pStyle w:val="TableHeading"/>
              <w:keepLines/>
            </w:pPr>
            <w:r w:rsidRPr="00777F6E">
              <w:rPr>
                <w:rFonts w:ascii="Arial" w:eastAsia="Arial" w:hAnsi="Arial" w:cs="Times New Roman"/>
                <w:color w:val="265A9A"/>
                <w:sz w:val="20"/>
              </w:rPr>
              <w:t>Part</w:t>
            </w:r>
            <w:r w:rsidRPr="00777F6E">
              <w:rPr>
                <w:rFonts w:ascii="Arial" w:eastAsia="Arial" w:hAnsi="Arial" w:cs="Times New Roman"/>
                <w:color w:val="265A9A"/>
                <w:sz w:val="20"/>
              </w:rPr>
              <w:noBreakHyphen/>
              <w:t>time employment is the norm for most care workers</w:t>
            </w:r>
          </w:p>
        </w:tc>
      </w:tr>
      <w:tr w:rsidR="006F23EA" w14:paraId="4163E1BD" w14:textId="77777777">
        <w:tc>
          <w:tcPr>
            <w:tcW w:w="5000" w:type="pct"/>
            <w:gridSpan w:val="2"/>
            <w:tcBorders>
              <w:top w:val="nil"/>
              <w:bottom w:val="single" w:sz="4" w:space="0" w:color="66BCDB" w:themeColor="text2"/>
            </w:tcBorders>
          </w:tcPr>
          <w:p w14:paraId="1275845F" w14:textId="77777777" w:rsidR="006F23EA" w:rsidRPr="00F10DED" w:rsidRDefault="006F23EA">
            <w:pPr>
              <w:pStyle w:val="BodyText"/>
              <w:keepLines/>
              <w:rPr>
                <w:rFonts w:ascii="Arial" w:hAnsi="Arial"/>
                <w:spacing w:val="-4"/>
              </w:rPr>
            </w:pPr>
            <w:r w:rsidRPr="00F10DED">
              <w:rPr>
                <w:rFonts w:ascii="Arial" w:eastAsia="Arial" w:hAnsi="Arial" w:cs="Times New Roman"/>
                <w:spacing w:val="-4"/>
              </w:rPr>
              <w:t>Although about three quarters of care workers are permanently employed, there are higher than average rates of part</w:t>
            </w:r>
            <w:r w:rsidRPr="00F10DED">
              <w:rPr>
                <w:rFonts w:ascii="Arial" w:eastAsia="Arial" w:hAnsi="Arial" w:cs="Times New Roman"/>
                <w:spacing w:val="-4"/>
              </w:rPr>
              <w:noBreakHyphen/>
              <w:t xml:space="preserve">time work (often with minimal guaranteed hours) in aged care compared with the overall health care and social assistance industry and the broader economy. The rate of casual employment is also </w:t>
            </w:r>
            <w:r w:rsidRPr="00F10DED">
              <w:rPr>
                <w:rFonts w:ascii="Arial" w:hAnsi="Arial"/>
                <w:spacing w:val="-4"/>
              </w:rPr>
              <w:t>higher than the average across the health care and social assistance industry and the broader economy.</w:t>
            </w:r>
          </w:p>
        </w:tc>
      </w:tr>
      <w:tr w:rsidR="006F23EA" w14:paraId="0B16EECD" w14:textId="77777777">
        <w:tc>
          <w:tcPr>
            <w:tcW w:w="5000" w:type="pct"/>
            <w:gridSpan w:val="2"/>
            <w:tcBorders>
              <w:top w:val="single" w:sz="4" w:space="0" w:color="66BCDB" w:themeColor="text2"/>
              <w:left w:val="nil"/>
              <w:bottom w:val="nil"/>
              <w:right w:val="nil"/>
            </w:tcBorders>
            <w:tcMar>
              <w:bottom w:w="0" w:type="dxa"/>
            </w:tcMar>
          </w:tcPr>
          <w:p w14:paraId="2FD7F677" w14:textId="77777777" w:rsidR="006F23EA" w:rsidRDefault="006F23EA">
            <w:pPr>
              <w:pStyle w:val="NoSpacing"/>
              <w:spacing w:line="200" w:lineRule="atLeast"/>
            </w:pPr>
          </w:p>
        </w:tc>
      </w:tr>
    </w:tbl>
    <w:p w14:paraId="09D3F176" w14:textId="77777777" w:rsidR="006F23EA" w:rsidRDefault="006F23E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4226B08B" w14:textId="77777777" w:rsidTr="00777F6E">
        <w:trPr>
          <w:trHeight w:val="964"/>
          <w:tblHeader/>
        </w:trPr>
        <w:tc>
          <w:tcPr>
            <w:tcW w:w="366" w:type="pct"/>
            <w:tcBorders>
              <w:bottom w:val="nil"/>
            </w:tcBorders>
            <w:tcMar>
              <w:bottom w:w="0" w:type="dxa"/>
            </w:tcMar>
            <w:vAlign w:val="center"/>
          </w:tcPr>
          <w:p w14:paraId="22E2FE2E" w14:textId="77777777" w:rsidR="006F23EA" w:rsidRDefault="006F23EA">
            <w:pPr>
              <w:pStyle w:val="NoSpacing"/>
              <w:keepLines/>
              <w:jc w:val="right"/>
            </w:pPr>
            <w:r w:rsidRPr="00A51374">
              <w:rPr>
                <w:noProof/>
              </w:rPr>
              <w:drawing>
                <wp:inline distT="0" distB="0" distL="0" distR="0" wp14:anchorId="4E080299" wp14:editId="24588B8A">
                  <wp:extent cx="288000" cy="288000"/>
                  <wp:effectExtent l="0" t="0" r="0" b="0"/>
                  <wp:docPr id="1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93DFB08" w14:textId="77777777" w:rsidR="006F23EA" w:rsidRPr="00777F6E" w:rsidRDefault="006F23EA">
            <w:pPr>
              <w:pStyle w:val="TableHeading"/>
              <w:keepLines/>
              <w:rPr>
                <w:sz w:val="20"/>
              </w:rPr>
            </w:pPr>
            <w:r w:rsidRPr="00777F6E">
              <w:rPr>
                <w:sz w:val="20"/>
              </w:rPr>
              <w:t xml:space="preserve">Finding 2.3 </w:t>
            </w:r>
          </w:p>
          <w:p w14:paraId="59D45751" w14:textId="77777777" w:rsidR="006F23EA" w:rsidRPr="00777F6E" w:rsidRDefault="006F23EA">
            <w:pPr>
              <w:pStyle w:val="TableHeading"/>
              <w:keepLines/>
              <w:rPr>
                <w:rFonts w:ascii="Arial Bold" w:hAnsi="Arial Bold"/>
                <w:spacing w:val="-4"/>
                <w:sz w:val="20"/>
              </w:rPr>
            </w:pPr>
            <w:r w:rsidRPr="00777F6E">
              <w:rPr>
                <w:rFonts w:ascii="Arial Bold" w:eastAsia="Arial" w:hAnsi="Arial Bold" w:cs="Times New Roman"/>
                <w:color w:val="265A9A"/>
                <w:spacing w:val="-4"/>
                <w:sz w:val="20"/>
              </w:rPr>
              <w:t>Notwithstanding data limitations, the share of indirect employment in aged care is estimated to be small</w:t>
            </w:r>
          </w:p>
        </w:tc>
      </w:tr>
      <w:tr w:rsidR="006F23EA" w14:paraId="2484D6A0" w14:textId="77777777">
        <w:tc>
          <w:tcPr>
            <w:tcW w:w="5000" w:type="pct"/>
            <w:gridSpan w:val="2"/>
            <w:tcBorders>
              <w:top w:val="nil"/>
              <w:bottom w:val="single" w:sz="4" w:space="0" w:color="66BCDB" w:themeColor="text2"/>
            </w:tcBorders>
          </w:tcPr>
          <w:p w14:paraId="446652D7" w14:textId="50FA88CD" w:rsidR="006F23EA" w:rsidRDefault="006F23EA" w:rsidP="00DE1BE5">
            <w:r w:rsidRPr="001473BF">
              <w:rPr>
                <w:rFonts w:ascii="Arial" w:eastAsia="Arial" w:hAnsi="Arial" w:cs="Times New Roman"/>
              </w:rPr>
              <w:t xml:space="preserve">Indirect employment through agency workers and independent contractors makes up a small share of the care workforce — </w:t>
            </w:r>
            <w:r>
              <w:rPr>
                <w:rFonts w:ascii="Arial" w:eastAsia="Arial" w:hAnsi="Arial" w:cs="Times New Roman"/>
              </w:rPr>
              <w:t>less than 4 </w:t>
            </w:r>
            <w:r w:rsidRPr="001473BF">
              <w:rPr>
                <w:rFonts w:ascii="Arial" w:eastAsia="Arial" w:hAnsi="Arial" w:cs="Times New Roman"/>
              </w:rPr>
              <w:t>per</w:t>
            </w:r>
            <w:r>
              <w:rPr>
                <w:rFonts w:ascii="Arial" w:eastAsia="Arial" w:hAnsi="Arial" w:cs="Times New Roman"/>
              </w:rPr>
              <w:t> </w:t>
            </w:r>
            <w:r w:rsidRPr="001473BF">
              <w:rPr>
                <w:rFonts w:ascii="Arial" w:eastAsia="Arial" w:hAnsi="Arial" w:cs="Times New Roman"/>
              </w:rPr>
              <w:t xml:space="preserve">cent. </w:t>
            </w:r>
            <w:r>
              <w:rPr>
                <w:rFonts w:ascii="Arial" w:eastAsia="Arial" w:hAnsi="Arial" w:cs="Times New Roman"/>
              </w:rPr>
              <w:t>This</w:t>
            </w:r>
            <w:r w:rsidRPr="001473BF">
              <w:rPr>
                <w:rFonts w:ascii="Arial" w:eastAsia="Arial" w:hAnsi="Arial" w:cs="Times New Roman"/>
              </w:rPr>
              <w:t xml:space="preserve"> share has remained </w:t>
            </w:r>
            <w:r w:rsidR="008B5060">
              <w:rPr>
                <w:rFonts w:ascii="Arial" w:eastAsia="Arial" w:hAnsi="Arial" w:cs="Times New Roman"/>
              </w:rPr>
              <w:t>relatively unchanged</w:t>
            </w:r>
            <w:r w:rsidRPr="001473BF">
              <w:rPr>
                <w:rFonts w:ascii="Arial" w:eastAsia="Arial" w:hAnsi="Arial" w:cs="Times New Roman"/>
              </w:rPr>
              <w:t xml:space="preserve"> over the past five years.</w:t>
            </w:r>
            <w:r w:rsidR="00DE1BE5">
              <w:rPr>
                <w:rFonts w:ascii="Arial" w:eastAsia="Arial" w:hAnsi="Arial" w:cs="Times New Roman"/>
              </w:rPr>
              <w:t xml:space="preserve"> </w:t>
            </w:r>
            <w:r w:rsidRPr="001473BF">
              <w:rPr>
                <w:rFonts w:ascii="Arial" w:eastAsia="Arial" w:hAnsi="Arial" w:cs="Times New Roman"/>
              </w:rPr>
              <w:t>Most agency workers and independent contractors work in residential care</w:t>
            </w:r>
            <w:r>
              <w:rPr>
                <w:rFonts w:ascii="Arial" w:eastAsia="Arial" w:hAnsi="Arial" w:cs="Times New Roman"/>
              </w:rPr>
              <w:t>,</w:t>
            </w:r>
            <w:r w:rsidRPr="001473BF">
              <w:rPr>
                <w:rFonts w:ascii="Arial" w:eastAsia="Arial" w:hAnsi="Arial" w:cs="Times New Roman"/>
              </w:rPr>
              <w:t xml:space="preserve"> </w:t>
            </w:r>
            <w:r>
              <w:rPr>
                <w:rFonts w:ascii="Arial" w:eastAsia="Arial" w:hAnsi="Arial" w:cs="Times New Roman"/>
              </w:rPr>
              <w:t>and most are allied health professionals.</w:t>
            </w:r>
          </w:p>
        </w:tc>
      </w:tr>
      <w:tr w:rsidR="006F23EA" w14:paraId="568D89A5" w14:textId="77777777">
        <w:tc>
          <w:tcPr>
            <w:tcW w:w="5000" w:type="pct"/>
            <w:gridSpan w:val="2"/>
            <w:tcBorders>
              <w:top w:val="single" w:sz="4" w:space="0" w:color="66BCDB" w:themeColor="text2"/>
              <w:left w:val="nil"/>
              <w:bottom w:val="nil"/>
              <w:right w:val="nil"/>
            </w:tcBorders>
            <w:tcMar>
              <w:bottom w:w="0" w:type="dxa"/>
            </w:tcMar>
          </w:tcPr>
          <w:p w14:paraId="172A8DC5" w14:textId="77777777" w:rsidR="006F23EA" w:rsidRDefault="006F23EA">
            <w:pPr>
              <w:pStyle w:val="NoSpacing"/>
              <w:spacing w:line="200" w:lineRule="atLeast"/>
            </w:pPr>
          </w:p>
        </w:tc>
      </w:tr>
    </w:tbl>
    <w:p w14:paraId="0EE658EF" w14:textId="77777777" w:rsidR="006F23EA" w:rsidRDefault="006F23E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425CF0B8" w14:textId="77777777">
        <w:trPr>
          <w:trHeight w:val="765"/>
          <w:tblHeader/>
        </w:trPr>
        <w:tc>
          <w:tcPr>
            <w:tcW w:w="366" w:type="pct"/>
            <w:tcBorders>
              <w:bottom w:val="nil"/>
            </w:tcBorders>
            <w:tcMar>
              <w:bottom w:w="0" w:type="dxa"/>
            </w:tcMar>
            <w:vAlign w:val="center"/>
          </w:tcPr>
          <w:p w14:paraId="35EE8212" w14:textId="77777777" w:rsidR="006F23EA" w:rsidRDefault="006F23EA">
            <w:pPr>
              <w:pStyle w:val="NoSpacing"/>
              <w:keepLines/>
              <w:jc w:val="right"/>
            </w:pPr>
            <w:r w:rsidRPr="00A51374">
              <w:rPr>
                <w:noProof/>
              </w:rPr>
              <w:lastRenderedPageBreak/>
              <w:drawing>
                <wp:inline distT="0" distB="0" distL="0" distR="0" wp14:anchorId="73EDEC72" wp14:editId="0994BDEA">
                  <wp:extent cx="288000" cy="288000"/>
                  <wp:effectExtent l="0" t="0" r="0" b="0"/>
                  <wp:docPr id="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A00BDB0" w14:textId="77777777" w:rsidR="006F23EA" w:rsidRPr="008025D7" w:rsidRDefault="006F23EA" w:rsidP="00D66778">
            <w:pPr>
              <w:pStyle w:val="TableHeading"/>
              <w:keepLines/>
              <w:spacing w:before="60"/>
              <w:rPr>
                <w:sz w:val="20"/>
              </w:rPr>
            </w:pPr>
            <w:r w:rsidRPr="008025D7">
              <w:rPr>
                <w:sz w:val="20"/>
              </w:rPr>
              <w:t xml:space="preserve">Finding 2.4 </w:t>
            </w:r>
          </w:p>
          <w:p w14:paraId="2979D7EA" w14:textId="77777777" w:rsidR="006F23EA" w:rsidRPr="008025D7" w:rsidRDefault="006F23EA">
            <w:pPr>
              <w:pStyle w:val="TableHeading"/>
              <w:keepLines/>
              <w:rPr>
                <w:sz w:val="20"/>
              </w:rPr>
            </w:pPr>
            <w:r w:rsidRPr="008025D7">
              <w:rPr>
                <w:rFonts w:ascii="Arial" w:eastAsia="Arial" w:hAnsi="Arial" w:cs="Times New Roman"/>
                <w:color w:val="265A9A"/>
                <w:sz w:val="20"/>
              </w:rPr>
              <w:t>Providers rely on the flexibility, specialised skills and additional capacity that agency workers and independent contractors provide</w:t>
            </w:r>
          </w:p>
        </w:tc>
      </w:tr>
      <w:tr w:rsidR="006F23EA" w14:paraId="3E85B416" w14:textId="77777777">
        <w:tc>
          <w:tcPr>
            <w:tcW w:w="5000" w:type="pct"/>
            <w:gridSpan w:val="2"/>
            <w:tcBorders>
              <w:top w:val="nil"/>
              <w:bottom w:val="single" w:sz="4" w:space="0" w:color="66BCDB" w:themeColor="text2"/>
            </w:tcBorders>
          </w:tcPr>
          <w:p w14:paraId="028B8BFA" w14:textId="77777777" w:rsidR="006F23EA" w:rsidRDefault="006F23EA">
            <w:pPr>
              <w:pStyle w:val="BodyText"/>
              <w:keepLines/>
            </w:pPr>
            <w:r w:rsidRPr="004E6172">
              <w:rPr>
                <w:rFonts w:ascii="Arial" w:eastAsia="Arial" w:hAnsi="Arial" w:cs="Times New Roman"/>
              </w:rPr>
              <w:t>The use of labour hire agencies is a well</w:t>
            </w:r>
            <w:r>
              <w:rPr>
                <w:rFonts w:ascii="Arial" w:eastAsia="Arial" w:hAnsi="Arial" w:cs="Times New Roman"/>
              </w:rPr>
              <w:noBreakHyphen/>
            </w:r>
            <w:r w:rsidRPr="004E6172">
              <w:rPr>
                <w:rFonts w:ascii="Arial" w:eastAsia="Arial" w:hAnsi="Arial" w:cs="Times New Roman"/>
              </w:rPr>
              <w:t>established practice in aged care. Agency workers are commonly used to address short</w:t>
            </w:r>
            <w:r>
              <w:rPr>
                <w:rFonts w:ascii="Arial" w:eastAsia="Arial" w:hAnsi="Arial" w:cs="Times New Roman"/>
              </w:rPr>
              <w:noBreakHyphen/>
            </w:r>
            <w:r w:rsidRPr="004E6172">
              <w:rPr>
                <w:rFonts w:ascii="Arial" w:eastAsia="Arial" w:hAnsi="Arial" w:cs="Times New Roman"/>
              </w:rPr>
              <w:t xml:space="preserve">term absences and labour shortages, particularly in residential care. Aged care providers use independent contractors most frequently to obtain specialist skills. </w:t>
            </w:r>
            <w:r>
              <w:rPr>
                <w:rFonts w:ascii="Arial" w:eastAsia="Arial" w:hAnsi="Arial" w:cs="Times New Roman"/>
              </w:rPr>
              <w:t>S</w:t>
            </w:r>
            <w:r w:rsidRPr="004E6172">
              <w:rPr>
                <w:rFonts w:ascii="Arial" w:eastAsia="Arial" w:hAnsi="Arial" w:cs="Times New Roman"/>
              </w:rPr>
              <w:t xml:space="preserve">ome aged care facilities could </w:t>
            </w:r>
            <w:r>
              <w:rPr>
                <w:rFonts w:ascii="Arial" w:eastAsia="Arial" w:hAnsi="Arial" w:cs="Times New Roman"/>
              </w:rPr>
              <w:t xml:space="preserve">not </w:t>
            </w:r>
            <w:r w:rsidRPr="004E6172">
              <w:rPr>
                <w:rFonts w:ascii="Arial" w:eastAsia="Arial" w:hAnsi="Arial" w:cs="Times New Roman"/>
              </w:rPr>
              <w:t>operate viably without the flexibility afforded by agency work and independent contractors.</w:t>
            </w:r>
          </w:p>
        </w:tc>
      </w:tr>
      <w:tr w:rsidR="006F23EA" w14:paraId="6E133CCD" w14:textId="77777777">
        <w:tc>
          <w:tcPr>
            <w:tcW w:w="5000" w:type="pct"/>
            <w:gridSpan w:val="2"/>
            <w:tcBorders>
              <w:top w:val="single" w:sz="4" w:space="0" w:color="66BCDB" w:themeColor="text2"/>
              <w:left w:val="nil"/>
              <w:bottom w:val="nil"/>
              <w:right w:val="nil"/>
            </w:tcBorders>
            <w:tcMar>
              <w:bottom w:w="0" w:type="dxa"/>
            </w:tcMar>
          </w:tcPr>
          <w:p w14:paraId="2A5A87AA" w14:textId="77777777" w:rsidR="006F23EA" w:rsidRDefault="006F23EA">
            <w:pPr>
              <w:pStyle w:val="NoSpacing"/>
              <w:spacing w:line="200" w:lineRule="atLeast"/>
            </w:pPr>
          </w:p>
        </w:tc>
      </w:tr>
    </w:tbl>
    <w:p w14:paraId="73107F94" w14:textId="77777777" w:rsidR="006F23EA" w:rsidRDefault="006F23E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092BC017" w14:textId="77777777">
        <w:trPr>
          <w:trHeight w:val="765"/>
          <w:tblHeader/>
        </w:trPr>
        <w:tc>
          <w:tcPr>
            <w:tcW w:w="366" w:type="pct"/>
            <w:tcBorders>
              <w:bottom w:val="nil"/>
            </w:tcBorders>
            <w:tcMar>
              <w:bottom w:w="0" w:type="dxa"/>
            </w:tcMar>
            <w:vAlign w:val="center"/>
          </w:tcPr>
          <w:p w14:paraId="5AFB3B63" w14:textId="77777777" w:rsidR="006F23EA" w:rsidRDefault="006F23EA">
            <w:pPr>
              <w:pStyle w:val="NoSpacing"/>
              <w:keepLines/>
              <w:jc w:val="right"/>
            </w:pPr>
            <w:r w:rsidRPr="00A51374">
              <w:rPr>
                <w:noProof/>
              </w:rPr>
              <w:drawing>
                <wp:inline distT="0" distB="0" distL="0" distR="0" wp14:anchorId="2A466E16" wp14:editId="6AF9FEAF">
                  <wp:extent cx="288000" cy="288000"/>
                  <wp:effectExtent l="0" t="0" r="0" b="0"/>
                  <wp:docPr id="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3223115" w14:textId="77777777" w:rsidR="006F23EA" w:rsidRPr="008025D7" w:rsidRDefault="006F23EA">
            <w:pPr>
              <w:pStyle w:val="TableHeading"/>
              <w:keepLines/>
              <w:rPr>
                <w:sz w:val="20"/>
              </w:rPr>
            </w:pPr>
            <w:r w:rsidRPr="008025D7">
              <w:rPr>
                <w:sz w:val="20"/>
              </w:rPr>
              <w:t>Finding 2.5</w:t>
            </w:r>
          </w:p>
          <w:p w14:paraId="01C1F6F5" w14:textId="77777777" w:rsidR="006F23EA" w:rsidRPr="008025D7" w:rsidRDefault="006F23EA">
            <w:pPr>
              <w:pStyle w:val="TableHeading"/>
              <w:keepLines/>
              <w:rPr>
                <w:sz w:val="20"/>
              </w:rPr>
            </w:pPr>
            <w:r w:rsidRPr="008025D7">
              <w:rPr>
                <w:rFonts w:ascii="Arial" w:eastAsia="Arial" w:hAnsi="Arial" w:cs="Times New Roman"/>
                <w:noProof/>
                <w:color w:val="265A9A"/>
                <w:sz w:val="20"/>
              </w:rPr>
              <w:t>Digital care platforms are likely to grow with the rise in home care</w:t>
            </w:r>
          </w:p>
        </w:tc>
      </w:tr>
      <w:tr w:rsidR="006F23EA" w14:paraId="182E87B1" w14:textId="77777777">
        <w:tc>
          <w:tcPr>
            <w:tcW w:w="5000" w:type="pct"/>
            <w:gridSpan w:val="2"/>
            <w:tcBorders>
              <w:top w:val="nil"/>
              <w:bottom w:val="single" w:sz="4" w:space="0" w:color="66BCDB" w:themeColor="text2"/>
            </w:tcBorders>
          </w:tcPr>
          <w:p w14:paraId="6E74F6D7" w14:textId="77777777" w:rsidR="006F23EA" w:rsidRDefault="006F23EA">
            <w:pPr>
              <w:pStyle w:val="BodyText"/>
              <w:keepLines/>
            </w:pPr>
            <w:r w:rsidRPr="004E6172">
              <w:rPr>
                <w:rFonts w:ascii="Arial" w:eastAsia="Arial" w:hAnsi="Arial" w:cs="Times New Roman"/>
              </w:rPr>
              <w:t>While digital care platforms in Australia are more established in the disability sector, these are also emerging in aged care primarily to service older Australians living at home and choosing to self</w:t>
            </w:r>
            <w:r>
              <w:rPr>
                <w:rFonts w:ascii="Arial" w:eastAsia="Arial" w:hAnsi="Arial" w:cs="Times New Roman"/>
              </w:rPr>
              <w:noBreakHyphen/>
            </w:r>
            <w:r w:rsidRPr="004E6172">
              <w:rPr>
                <w:rFonts w:ascii="Arial" w:eastAsia="Arial" w:hAnsi="Arial" w:cs="Times New Roman"/>
              </w:rPr>
              <w:t xml:space="preserve">manage their care needs. </w:t>
            </w:r>
            <w:r>
              <w:rPr>
                <w:rFonts w:ascii="Arial" w:eastAsia="Arial" w:hAnsi="Arial" w:cs="Times New Roman"/>
              </w:rPr>
              <w:t>Notwithstanding some variation across</w:t>
            </w:r>
            <w:r w:rsidRPr="004E6172">
              <w:rPr>
                <w:rFonts w:ascii="Arial" w:eastAsia="Arial" w:hAnsi="Arial" w:cs="Times New Roman"/>
              </w:rPr>
              <w:t xml:space="preserve"> business models, platforms essentially connect consumers in need of care directly with personal care workers and nurses. While platforms currently make up a small share of the market, their </w:t>
            </w:r>
            <w:r>
              <w:rPr>
                <w:rFonts w:ascii="Arial" w:eastAsia="Arial" w:hAnsi="Arial" w:cs="Times New Roman"/>
              </w:rPr>
              <w:t>coverage</w:t>
            </w:r>
            <w:r w:rsidRPr="004E6172">
              <w:rPr>
                <w:rFonts w:ascii="Arial" w:eastAsia="Arial" w:hAnsi="Arial" w:cs="Times New Roman"/>
              </w:rPr>
              <w:t xml:space="preserve"> is likely to grow.</w:t>
            </w:r>
          </w:p>
        </w:tc>
      </w:tr>
    </w:tbl>
    <w:p w14:paraId="1E3AA8A7" w14:textId="77777777" w:rsidR="006F23EA" w:rsidRPr="00F757A3" w:rsidRDefault="006F23EA" w:rsidP="00F757A3">
      <w:pPr>
        <w:pStyle w:val="Heading2-noTOC"/>
      </w:pPr>
      <w:r w:rsidRPr="00F757A3">
        <w:t>Restricting indirect employment would be a retrograde step for older Australians</w:t>
      </w:r>
    </w:p>
    <w:tbl>
      <w:tblPr>
        <w:tblStyle w:val="TableGrid6"/>
        <w:tblW w:w="0" w:type="auto"/>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3"/>
        <w:gridCol w:w="8647"/>
      </w:tblGrid>
      <w:tr w:rsidR="006F23EA" w:rsidRPr="007D3AE1" w14:paraId="70733C46" w14:textId="77777777">
        <w:trPr>
          <w:trHeight w:val="765"/>
        </w:trPr>
        <w:tc>
          <w:tcPr>
            <w:tcW w:w="703" w:type="dxa"/>
            <w:tcMar>
              <w:bottom w:w="0" w:type="dxa"/>
            </w:tcMar>
            <w:vAlign w:val="center"/>
          </w:tcPr>
          <w:p w14:paraId="73001C8B" w14:textId="77777777" w:rsidR="006F23EA" w:rsidRPr="007D3AE1" w:rsidRDefault="006F23EA">
            <w:pPr>
              <w:jc w:val="center"/>
              <w:rPr>
                <w:rFonts w:ascii="Arial" w:eastAsia="Arial" w:hAnsi="Arial" w:cs="Times New Roman"/>
              </w:rPr>
            </w:pPr>
            <w:r w:rsidRPr="007D3AE1">
              <w:rPr>
                <w:rFonts w:ascii="Arial" w:eastAsia="Arial" w:hAnsi="Arial" w:cs="Times New Roman"/>
                <w:noProof/>
              </w:rPr>
              <w:drawing>
                <wp:inline distT="0" distB="0" distL="0" distR="0" wp14:anchorId="13AC5E5D" wp14:editId="56ACC0B8">
                  <wp:extent cx="288000" cy="288000"/>
                  <wp:effectExtent l="0" t="0" r="0" b="0"/>
                  <wp:docPr id="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647" w:type="dxa"/>
            <w:tcMar>
              <w:bottom w:w="0" w:type="dxa"/>
            </w:tcMar>
            <w:vAlign w:val="center"/>
          </w:tcPr>
          <w:p w14:paraId="6653ED84" w14:textId="77777777" w:rsidR="006F23EA" w:rsidRPr="00777F6E" w:rsidRDefault="006F23EA" w:rsidP="000D5F55">
            <w:pPr>
              <w:pStyle w:val="TableHeading"/>
              <w:keepLines/>
              <w:rPr>
                <w:rFonts w:ascii="Arial" w:eastAsia="Arial" w:hAnsi="Arial" w:cs="Times New Roman"/>
                <w:b w:val="0"/>
                <w:color w:val="265A9A"/>
                <w:sz w:val="20"/>
              </w:rPr>
            </w:pPr>
            <w:r w:rsidRPr="00777F6E">
              <w:rPr>
                <w:rFonts w:ascii="Arial" w:eastAsia="Arial" w:hAnsi="Arial" w:cs="Times New Roman"/>
                <w:color w:val="265A9A"/>
                <w:sz w:val="20"/>
              </w:rPr>
              <w:t>Finding 3</w:t>
            </w:r>
          </w:p>
          <w:p w14:paraId="3CCBC5E2" w14:textId="77777777" w:rsidR="006F23EA" w:rsidRPr="00777F6E" w:rsidRDefault="006F23EA" w:rsidP="000D5F55">
            <w:pPr>
              <w:pStyle w:val="TableHeading"/>
              <w:keepLines/>
              <w:rPr>
                <w:rFonts w:ascii="Arial" w:eastAsia="Arial" w:hAnsi="Arial" w:cs="Times New Roman"/>
                <w:b w:val="0"/>
                <w:color w:val="265A9A"/>
                <w:sz w:val="20"/>
              </w:rPr>
            </w:pPr>
            <w:r w:rsidRPr="00777F6E">
              <w:rPr>
                <w:rFonts w:ascii="Arial" w:eastAsia="Arial" w:hAnsi="Arial" w:cs="Times New Roman"/>
                <w:color w:val="265A9A"/>
                <w:sz w:val="20"/>
              </w:rPr>
              <w:t>A policy that preferences direct employment would leave self</w:t>
            </w:r>
            <w:r w:rsidRPr="00777F6E">
              <w:rPr>
                <w:rFonts w:ascii="Arial" w:eastAsia="Arial" w:hAnsi="Arial" w:cs="Times New Roman"/>
                <w:color w:val="265A9A"/>
                <w:sz w:val="20"/>
              </w:rPr>
              <w:noBreakHyphen/>
              <w:t>managing consumers worse off</w:t>
            </w:r>
          </w:p>
        </w:tc>
      </w:tr>
      <w:tr w:rsidR="006F23EA" w:rsidRPr="007D3AE1" w14:paraId="28C8BB02" w14:textId="77777777">
        <w:tc>
          <w:tcPr>
            <w:tcW w:w="9350" w:type="dxa"/>
            <w:gridSpan w:val="2"/>
          </w:tcPr>
          <w:p w14:paraId="0FDC4D15" w14:textId="77777777" w:rsidR="006F23EA" w:rsidRDefault="006F23EA" w:rsidP="00B472C9">
            <w:pPr>
              <w:pStyle w:val="BodyText"/>
            </w:pPr>
            <w:r>
              <w:t xml:space="preserve">Indirect employment models (such as those used by digital care platforms) offer </w:t>
            </w:r>
            <w:r w:rsidRPr="00184352">
              <w:t xml:space="preserve">several </w:t>
            </w:r>
            <w:r>
              <w:t>benefits</w:t>
            </w:r>
            <w:r w:rsidRPr="00184352">
              <w:t xml:space="preserve"> to </w:t>
            </w:r>
            <w:r>
              <w:t>self</w:t>
            </w:r>
            <w:r>
              <w:noBreakHyphen/>
              <w:t xml:space="preserve">managing </w:t>
            </w:r>
            <w:r w:rsidRPr="00184352">
              <w:t xml:space="preserve">consumers, </w:t>
            </w:r>
            <w:r>
              <w:t xml:space="preserve">and these models work particularly well for older people with good cognitive abilities, lower support needs and some level of digital literacy and family/community support. </w:t>
            </w:r>
          </w:p>
          <w:p w14:paraId="1185D7A7" w14:textId="2A71B270" w:rsidR="006F23EA" w:rsidRPr="00152177" w:rsidRDefault="003F471A" w:rsidP="00B472C9">
            <w:pPr>
              <w:pStyle w:val="BodyText"/>
              <w:rPr>
                <w:spacing w:val="-4"/>
              </w:rPr>
            </w:pPr>
            <w:r w:rsidRPr="00152177">
              <w:rPr>
                <w:rFonts w:ascii="Arial" w:eastAsia="Arial" w:hAnsi="Arial" w:cs="Times New Roman"/>
                <w:spacing w:val="-4"/>
              </w:rPr>
              <w:t>T</w:t>
            </w:r>
            <w:r w:rsidR="006F23EA" w:rsidRPr="00152177">
              <w:rPr>
                <w:rFonts w:ascii="Arial" w:eastAsia="Arial" w:hAnsi="Arial" w:cs="Times New Roman"/>
                <w:spacing w:val="-4"/>
              </w:rPr>
              <w:t>here appears to be a perceived lack of understanding or awareness by consumers that engage independent contractors that the provider (rather than the platform) is accountable for the safety and quality of care</w:t>
            </w:r>
            <w:r w:rsidRPr="00152177">
              <w:rPr>
                <w:rFonts w:ascii="Arial" w:eastAsia="Arial" w:hAnsi="Arial" w:cs="Times New Roman"/>
                <w:spacing w:val="-4"/>
              </w:rPr>
              <w:t>. However,</w:t>
            </w:r>
            <w:r w:rsidR="006F23EA" w:rsidRPr="00152177">
              <w:rPr>
                <w:rFonts w:ascii="Arial" w:eastAsia="Arial" w:hAnsi="Arial" w:cs="Times New Roman"/>
                <w:spacing w:val="-4"/>
              </w:rPr>
              <w:t xml:space="preserve"> robust complaints management policies, combined with ratings and reviews systems, help mitigate risks to consumers and provide an incentive for platform workers to deliver quality care.</w:t>
            </w:r>
          </w:p>
          <w:p w14:paraId="56AEDDE9" w14:textId="77777777" w:rsidR="006F23EA" w:rsidRDefault="006F23EA" w:rsidP="00B472C9">
            <w:pPr>
              <w:pStyle w:val="BodyText"/>
            </w:pPr>
            <w:r>
              <w:t>A policy preferencing direct employment would lead to worse outcomes for those consumers who value choice and control over how their care is delivered. While the proportion of consumers engaging independent contractors is currently small, for them, such a restriction would:</w:t>
            </w:r>
          </w:p>
          <w:p w14:paraId="0D840EFC" w14:textId="77777777" w:rsidR="006F23EA" w:rsidRPr="00980B09" w:rsidRDefault="006F23EA" w:rsidP="00CF77CB">
            <w:pPr>
              <w:pStyle w:val="ListBullet"/>
            </w:pPr>
            <w:r w:rsidRPr="00980B09">
              <w:t>restrict consumer choice, autonomy, and control</w:t>
            </w:r>
          </w:p>
          <w:p w14:paraId="1E3F9D22" w14:textId="77777777" w:rsidR="006F23EA" w:rsidRPr="00980B09" w:rsidRDefault="006F23EA" w:rsidP="00CF77CB">
            <w:pPr>
              <w:pStyle w:val="ListBullet"/>
            </w:pPr>
            <w:r w:rsidRPr="00980B09">
              <w:t>reduce access to personal care workers and nurses, particularly in regional and remote areas, and during worker shortages</w:t>
            </w:r>
          </w:p>
          <w:p w14:paraId="097BF50D" w14:textId="77777777" w:rsidR="006F23EA" w:rsidRPr="00980B09" w:rsidRDefault="006F23EA" w:rsidP="00CF77CB">
            <w:pPr>
              <w:pStyle w:val="ListBullet"/>
            </w:pPr>
            <w:r w:rsidRPr="00980B09">
              <w:t>reduce access to a pool of workers who are better able to meet the diverse needs of consumers</w:t>
            </w:r>
          </w:p>
          <w:p w14:paraId="7374A313" w14:textId="77777777" w:rsidR="006F23EA" w:rsidRPr="00980B09" w:rsidRDefault="006F23EA" w:rsidP="00CF77CB">
            <w:pPr>
              <w:pStyle w:val="ListBullet"/>
            </w:pPr>
            <w:r w:rsidRPr="00980B09">
              <w:t>increase the cost of care and result in fewer hours of care for a given budget</w:t>
            </w:r>
          </w:p>
          <w:p w14:paraId="5CA10850" w14:textId="77777777" w:rsidR="006F23EA" w:rsidRPr="007D3AE1" w:rsidRDefault="006F23EA" w:rsidP="00CF77CB">
            <w:pPr>
              <w:pStyle w:val="ListBullet"/>
              <w:rPr>
                <w:rFonts w:ascii="Arial" w:eastAsia="Arial" w:hAnsi="Arial" w:cs="Times New Roman"/>
              </w:rPr>
            </w:pPr>
            <w:r w:rsidRPr="00980B09">
              <w:rPr>
                <w:rFonts w:ascii="Arial" w:eastAsia="Arial" w:hAnsi="Arial" w:cs="Times New Roman"/>
              </w:rPr>
              <w:t>dampen the development of innovative services tailored to diverse consumer needs.</w:t>
            </w:r>
          </w:p>
        </w:tc>
      </w:tr>
    </w:tbl>
    <w:p w14:paraId="37BAFC51" w14:textId="77777777" w:rsidR="006F23EA" w:rsidRDefault="006F23EA" w:rsidP="00F757A3">
      <w:pPr>
        <w:pStyle w:val="Heading2-noTOC"/>
        <w:rPr>
          <w:rFonts w:ascii="Arial" w:eastAsia="Arial" w:hAnsi="Arial" w:cs="Times New Roman"/>
          <w:b/>
          <w:color w:val="265A9A"/>
        </w:rPr>
      </w:pPr>
      <w:r w:rsidRPr="00D01712">
        <w:lastRenderedPageBreak/>
        <w:t>Aged care workers value the option to work as independent contractors</w:t>
      </w:r>
    </w:p>
    <w:tbl>
      <w:tblPr>
        <w:tblStyle w:val="TableGrid15"/>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rsidRPr="00F236BC" w14:paraId="3EA2BDCD" w14:textId="77777777">
        <w:trPr>
          <w:trHeight w:val="765"/>
          <w:tblHeader/>
        </w:trPr>
        <w:tc>
          <w:tcPr>
            <w:tcW w:w="366" w:type="pct"/>
            <w:tcBorders>
              <w:bottom w:val="nil"/>
            </w:tcBorders>
            <w:tcMar>
              <w:bottom w:w="0" w:type="dxa"/>
            </w:tcMar>
            <w:vAlign w:val="center"/>
          </w:tcPr>
          <w:p w14:paraId="1B6E78EF" w14:textId="77777777" w:rsidR="006F23EA" w:rsidRPr="00F236BC" w:rsidRDefault="006F23EA">
            <w:pPr>
              <w:keepLines/>
              <w:jc w:val="right"/>
              <w:rPr>
                <w:rFonts w:ascii="Arial" w:eastAsia="Arial" w:hAnsi="Arial" w:cs="Times New Roman"/>
              </w:rPr>
            </w:pPr>
            <w:r w:rsidRPr="00F236BC">
              <w:rPr>
                <w:rFonts w:ascii="Arial" w:eastAsia="Arial" w:hAnsi="Arial" w:cs="Times New Roman"/>
                <w:noProof/>
              </w:rPr>
              <w:drawing>
                <wp:inline distT="0" distB="0" distL="0" distR="0" wp14:anchorId="3C6A2FC1" wp14:editId="50B6E1F1">
                  <wp:extent cx="288000" cy="288000"/>
                  <wp:effectExtent l="0" t="0" r="0" b="0"/>
                  <wp:docPr id="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222391" w14:textId="77777777" w:rsidR="006F23EA" w:rsidRPr="002857E5" w:rsidRDefault="006F23EA" w:rsidP="00560641">
            <w:pPr>
              <w:pStyle w:val="TableHeading"/>
              <w:keepLines/>
              <w:spacing w:before="60"/>
              <w:rPr>
                <w:rFonts w:ascii="Arial" w:eastAsia="Arial" w:hAnsi="Arial" w:cs="Times New Roman"/>
                <w:b w:val="0"/>
                <w:noProof/>
                <w:color w:val="265A9A"/>
                <w:sz w:val="20"/>
              </w:rPr>
            </w:pPr>
            <w:r w:rsidRPr="002857E5">
              <w:rPr>
                <w:rFonts w:ascii="Arial" w:eastAsia="Arial" w:hAnsi="Arial" w:cs="Times New Roman"/>
                <w:noProof/>
                <w:color w:val="265A9A"/>
                <w:sz w:val="20"/>
              </w:rPr>
              <w:t>Finding 4</w:t>
            </w:r>
          </w:p>
          <w:p w14:paraId="50BB5B19" w14:textId="77777777" w:rsidR="006F23EA" w:rsidRPr="00F236BC" w:rsidRDefault="006F23EA" w:rsidP="000373D0">
            <w:pPr>
              <w:pStyle w:val="TableHeading"/>
              <w:keepLines/>
              <w:rPr>
                <w:rFonts w:ascii="Arial" w:eastAsia="Arial" w:hAnsi="Arial" w:cs="Times New Roman"/>
                <w:b w:val="0"/>
                <w:color w:val="265A9A"/>
              </w:rPr>
            </w:pPr>
            <w:r w:rsidRPr="002857E5">
              <w:rPr>
                <w:rFonts w:ascii="Arial" w:eastAsia="Arial" w:hAnsi="Arial" w:cs="Times New Roman"/>
                <w:color w:val="265A9A"/>
                <w:sz w:val="20"/>
              </w:rPr>
              <w:t>Independent contractors can earn more than the award wage and preferencing direct employment would reduce workers’ options</w:t>
            </w:r>
          </w:p>
        </w:tc>
      </w:tr>
      <w:tr w:rsidR="006F23EA" w:rsidRPr="00F236BC" w14:paraId="0EFB0564" w14:textId="77777777">
        <w:tc>
          <w:tcPr>
            <w:tcW w:w="5000" w:type="pct"/>
            <w:gridSpan w:val="2"/>
            <w:tcBorders>
              <w:top w:val="nil"/>
              <w:bottom w:val="single" w:sz="4" w:space="0" w:color="66BCDB"/>
            </w:tcBorders>
          </w:tcPr>
          <w:p w14:paraId="045834A6" w14:textId="77777777" w:rsidR="006F23EA" w:rsidRPr="00047A0C" w:rsidRDefault="006F23EA" w:rsidP="008E3B89">
            <w:pPr>
              <w:pStyle w:val="BodyText"/>
            </w:pPr>
            <w:r w:rsidRPr="00047A0C">
              <w:t>Independent contracting offers workers a degree of autonomy and control over when, where and how they work. There is no evidence that workers are being ‘forced’ to engage as independent contractors in nursing and personal care jobs.</w:t>
            </w:r>
          </w:p>
          <w:p w14:paraId="46E8693F" w14:textId="77777777" w:rsidR="006F23EA" w:rsidRPr="00047A0C" w:rsidRDefault="006F23EA" w:rsidP="008E3B89">
            <w:r w:rsidRPr="00047A0C">
              <w:t>Independent contractors trade off sick leave, superannuation, training and insurance. However, most contractors engaged by consumers via digital platforms have rates of remuneration that are higher than award rates of pay and</w:t>
            </w:r>
            <w:r>
              <w:t>,</w:t>
            </w:r>
            <w:r w:rsidRPr="00047A0C">
              <w:t xml:space="preserve"> in some cases, by a considerable margin. With widespread vacancies in the sector, independent contractors who are not satisfied with their earnings or conditions are likely to be able to find alternative work through more traditional employment arrangements.</w:t>
            </w:r>
          </w:p>
          <w:p w14:paraId="5D1A5E6A" w14:textId="77777777" w:rsidR="006F23EA" w:rsidRPr="00047A0C" w:rsidRDefault="006F23EA" w:rsidP="008E3B89">
            <w:r w:rsidRPr="00047A0C">
              <w:t>From a worker perspective, preferencing direct employment would:</w:t>
            </w:r>
          </w:p>
          <w:p w14:paraId="57A5021E" w14:textId="77777777" w:rsidR="006F23EA" w:rsidRDefault="006F23EA" w:rsidP="00CF77CB">
            <w:pPr>
              <w:pStyle w:val="ListBullet"/>
            </w:pPr>
            <w:r>
              <w:t>reduce options and opportunities for some workers to engage in work that suits them</w:t>
            </w:r>
          </w:p>
          <w:p w14:paraId="704F0B2B" w14:textId="77777777" w:rsidR="006F23EA" w:rsidRDefault="006F23EA" w:rsidP="00CF77CB">
            <w:pPr>
              <w:pStyle w:val="ListBullet"/>
            </w:pPr>
            <w:r>
              <w:t>limit opportunities for workers on low wages and/or hours to supplement their income.</w:t>
            </w:r>
          </w:p>
          <w:p w14:paraId="236C5B65" w14:textId="77777777" w:rsidR="006F23EA" w:rsidRPr="00F236BC" w:rsidRDefault="006F23EA" w:rsidP="008E3B89">
            <w:pPr>
              <w:rPr>
                <w:rFonts w:ascii="Arial" w:eastAsia="Arial" w:hAnsi="Arial" w:cs="Times New Roman"/>
              </w:rPr>
            </w:pPr>
            <w:r>
              <w:rPr>
                <w:rFonts w:ascii="Arial" w:eastAsia="Arial" w:hAnsi="Arial" w:cs="Times New Roman"/>
              </w:rPr>
              <w:t>In the current tight labour market, restricting indirect employment would also exacerbate labour shortages.</w:t>
            </w:r>
          </w:p>
        </w:tc>
      </w:tr>
    </w:tbl>
    <w:p w14:paraId="14BD04A2" w14:textId="77777777" w:rsidR="006F23EA" w:rsidRPr="008E0625" w:rsidRDefault="006F23EA" w:rsidP="008E0625">
      <w:pPr>
        <w:pStyle w:val="Heading2-noTOC"/>
      </w:pPr>
      <w:r w:rsidRPr="008E0625">
        <w:t>Providers need the flexibility that indirect employment provides</w:t>
      </w:r>
    </w:p>
    <w:tbl>
      <w:tblPr>
        <w:tblStyle w:val="TableGrid12"/>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rsidRPr="003B73E3" w14:paraId="0E11B3DF" w14:textId="77777777">
        <w:trPr>
          <w:trHeight w:val="765"/>
          <w:tblHeader/>
        </w:trPr>
        <w:tc>
          <w:tcPr>
            <w:tcW w:w="366" w:type="pct"/>
            <w:tcBorders>
              <w:bottom w:val="nil"/>
            </w:tcBorders>
            <w:tcMar>
              <w:bottom w:w="0" w:type="dxa"/>
            </w:tcMar>
            <w:vAlign w:val="center"/>
          </w:tcPr>
          <w:p w14:paraId="32677479" w14:textId="77777777" w:rsidR="006F23EA" w:rsidRPr="003B73E3" w:rsidRDefault="006F23EA">
            <w:pPr>
              <w:keepLines/>
              <w:jc w:val="right"/>
              <w:rPr>
                <w:rFonts w:ascii="Arial" w:eastAsia="Arial" w:hAnsi="Arial" w:cs="Times New Roman"/>
              </w:rPr>
            </w:pPr>
            <w:r w:rsidRPr="003B73E3">
              <w:rPr>
                <w:rFonts w:ascii="Arial" w:eastAsia="Arial" w:hAnsi="Arial" w:cs="Times New Roman"/>
                <w:noProof/>
              </w:rPr>
              <w:drawing>
                <wp:inline distT="0" distB="0" distL="0" distR="0" wp14:anchorId="1306CACC" wp14:editId="069EAB56">
                  <wp:extent cx="288000" cy="288000"/>
                  <wp:effectExtent l="0" t="0" r="0" b="0"/>
                  <wp:docPr id="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EC1395" w14:textId="77777777" w:rsidR="006F23EA" w:rsidRPr="002857E5" w:rsidRDefault="006F23EA" w:rsidP="009A66EE">
            <w:pPr>
              <w:pStyle w:val="TableHeading"/>
              <w:keepLines/>
              <w:spacing w:before="60"/>
              <w:rPr>
                <w:rFonts w:ascii="Arial" w:eastAsia="Arial" w:hAnsi="Arial" w:cs="Times New Roman"/>
                <w:noProof/>
                <w:color w:val="265A9A"/>
                <w:sz w:val="20"/>
              </w:rPr>
            </w:pPr>
            <w:r w:rsidRPr="002857E5">
              <w:rPr>
                <w:rFonts w:ascii="Arial" w:eastAsia="Arial" w:hAnsi="Arial" w:cs="Times New Roman"/>
                <w:noProof/>
                <w:color w:val="265A9A"/>
                <w:sz w:val="20"/>
              </w:rPr>
              <w:t>Finding 5</w:t>
            </w:r>
          </w:p>
          <w:p w14:paraId="0CB81BDD" w14:textId="77777777" w:rsidR="006F23EA" w:rsidRPr="002857E5" w:rsidRDefault="006F23EA" w:rsidP="009A66EE">
            <w:pPr>
              <w:pStyle w:val="TableHeading"/>
              <w:keepLines/>
              <w:rPr>
                <w:rFonts w:ascii="Arial" w:eastAsia="Arial" w:hAnsi="Arial" w:cs="Times New Roman"/>
                <w:noProof/>
                <w:color w:val="265A9A"/>
                <w:sz w:val="20"/>
              </w:rPr>
            </w:pPr>
            <w:r w:rsidRPr="002857E5">
              <w:rPr>
                <w:rFonts w:ascii="Arial" w:eastAsia="Arial" w:hAnsi="Arial" w:cs="Times New Roman"/>
                <w:noProof/>
                <w:color w:val="265A9A"/>
                <w:sz w:val="20"/>
              </w:rPr>
              <w:t xml:space="preserve">A policy to preference direct employment could undermine the provision of consumer directed care </w:t>
            </w:r>
          </w:p>
        </w:tc>
      </w:tr>
      <w:tr w:rsidR="006F23EA" w:rsidRPr="003B73E3" w14:paraId="4F6AFC91" w14:textId="77777777">
        <w:tc>
          <w:tcPr>
            <w:tcW w:w="5000" w:type="pct"/>
            <w:gridSpan w:val="2"/>
            <w:tcBorders>
              <w:top w:val="nil"/>
              <w:bottom w:val="single" w:sz="4" w:space="0" w:color="66BCDB"/>
            </w:tcBorders>
          </w:tcPr>
          <w:p w14:paraId="58458AE0" w14:textId="77777777" w:rsidR="00864FC8" w:rsidRPr="008D525C" w:rsidRDefault="00864FC8" w:rsidP="00864FC8">
            <w:pPr>
              <w:rPr>
                <w:rFonts w:eastAsia="Arial" w:cs="Times New Roman"/>
              </w:rPr>
            </w:pPr>
            <w:r w:rsidRPr="008D525C">
              <w:rPr>
                <w:rFonts w:eastAsia="Arial" w:cs="Times New Roman"/>
              </w:rPr>
              <w:t>Nurses and personal care workers who operate as independent contractors are a small but important part of the home care market. It is generally more cost effective for providers to employ their personal care and nursing staff. However, independent contractors may provide a lower cost labour source to deliver care that involves non-standard hours, substantial travel time and/or a short visit.</w:t>
            </w:r>
          </w:p>
          <w:p w14:paraId="7DFC3718" w14:textId="77777777" w:rsidR="006F23EA" w:rsidRPr="003B73E3" w:rsidRDefault="006F23EA">
            <w:pPr>
              <w:rPr>
                <w:rFonts w:ascii="Arial" w:eastAsia="Arial" w:hAnsi="Arial" w:cs="Times New Roman"/>
              </w:rPr>
            </w:pPr>
            <w:r>
              <w:rPr>
                <w:rFonts w:ascii="Arial" w:eastAsia="Arial" w:hAnsi="Arial" w:cs="Times New Roman"/>
              </w:rPr>
              <w:t>While providers are responsible for the quality and safety of care delivered on their behalf, there is concern that some have inadequate oversight of independent contractors, particularly where they are engaged by self</w:t>
            </w:r>
            <w:r>
              <w:rPr>
                <w:rFonts w:ascii="Arial" w:eastAsia="Arial" w:hAnsi="Arial" w:cs="Times New Roman"/>
              </w:rPr>
              <w:noBreakHyphen/>
              <w:t>managed consumers. However, it is not evident that p</w:t>
            </w:r>
            <w:r w:rsidRPr="003B73E3">
              <w:rPr>
                <w:rFonts w:ascii="Arial" w:eastAsia="Arial" w:hAnsi="Arial" w:cs="Times New Roman"/>
              </w:rPr>
              <w:t>referencing direct employment would improve th</w:t>
            </w:r>
            <w:r>
              <w:rPr>
                <w:rFonts w:ascii="Arial" w:eastAsia="Arial" w:hAnsi="Arial" w:cs="Times New Roman"/>
              </w:rPr>
              <w:t>is.</w:t>
            </w:r>
            <w:r w:rsidRPr="003B73E3">
              <w:rPr>
                <w:rFonts w:ascii="Arial" w:eastAsia="Arial" w:hAnsi="Arial" w:cs="Times New Roman"/>
              </w:rPr>
              <w:t xml:space="preserve"> </w:t>
            </w:r>
            <w:r>
              <w:rPr>
                <w:rFonts w:ascii="Arial" w:eastAsia="Arial" w:hAnsi="Arial" w:cs="Times New Roman"/>
              </w:rPr>
              <w:t>Overall</w:t>
            </w:r>
            <w:r w:rsidRPr="003B73E3">
              <w:rPr>
                <w:rFonts w:ascii="Arial" w:eastAsia="Arial" w:hAnsi="Arial" w:cs="Times New Roman"/>
              </w:rPr>
              <w:t xml:space="preserve">, restricting the use of independent contractors </w:t>
            </w:r>
            <w:r>
              <w:rPr>
                <w:rFonts w:ascii="Arial" w:eastAsia="Arial" w:hAnsi="Arial" w:cs="Times New Roman"/>
              </w:rPr>
              <w:t>would</w:t>
            </w:r>
            <w:r w:rsidRPr="003B73E3">
              <w:rPr>
                <w:rFonts w:ascii="Arial" w:eastAsia="Arial" w:hAnsi="Arial" w:cs="Times New Roman"/>
              </w:rPr>
              <w:t>:</w:t>
            </w:r>
          </w:p>
          <w:p w14:paraId="4FDA9B1D" w14:textId="77777777" w:rsidR="006F23EA" w:rsidRPr="005F3928" w:rsidRDefault="006F23EA" w:rsidP="00CF77CB">
            <w:pPr>
              <w:pStyle w:val="ListBullet"/>
            </w:pPr>
            <w:r w:rsidRPr="005F3928">
              <w:t>constrain providers</w:t>
            </w:r>
            <w:r>
              <w:t xml:space="preserve">’ flexibility </w:t>
            </w:r>
            <w:r w:rsidRPr="005F3928">
              <w:t xml:space="preserve">to manage </w:t>
            </w:r>
            <w:r>
              <w:t>day</w:t>
            </w:r>
            <w:r>
              <w:noBreakHyphen/>
              <w:t>to</w:t>
            </w:r>
            <w:r>
              <w:noBreakHyphen/>
              <w:t xml:space="preserve">day </w:t>
            </w:r>
            <w:r w:rsidRPr="005F3928">
              <w:t>fluctuati</w:t>
            </w:r>
            <w:r>
              <w:t xml:space="preserve">ons in demand </w:t>
            </w:r>
            <w:r w:rsidRPr="005F3928">
              <w:t>and service diverse consumer needs</w:t>
            </w:r>
          </w:p>
          <w:p w14:paraId="107D8A12" w14:textId="77777777" w:rsidR="006F23EA" w:rsidRPr="005F3928" w:rsidRDefault="006F23EA" w:rsidP="00CF77CB">
            <w:pPr>
              <w:pStyle w:val="ListBullet"/>
            </w:pPr>
            <w:r w:rsidRPr="005F3928">
              <w:t xml:space="preserve">reduce the size and </w:t>
            </w:r>
            <w:r>
              <w:t>capability</w:t>
            </w:r>
            <w:r w:rsidRPr="005F3928">
              <w:t xml:space="preserve"> of the workforce</w:t>
            </w:r>
          </w:p>
          <w:p w14:paraId="3B26828C" w14:textId="77777777" w:rsidR="006F23EA" w:rsidRPr="005F3928" w:rsidRDefault="006F23EA" w:rsidP="00CF77CB">
            <w:pPr>
              <w:pStyle w:val="ListBullet"/>
            </w:pPr>
            <w:r w:rsidRPr="005F3928">
              <w:t>weaken market incentives to improve service quality and value</w:t>
            </w:r>
            <w:r>
              <w:t>.</w:t>
            </w:r>
            <w:r w:rsidRPr="005F3928">
              <w:t xml:space="preserve"> </w:t>
            </w:r>
          </w:p>
        </w:tc>
      </w:tr>
    </w:tbl>
    <w:p w14:paraId="57CAE17B" w14:textId="77777777" w:rsidR="00F757A3" w:rsidRPr="00252BAA" w:rsidRDefault="00F757A3" w:rsidP="00B472C9">
      <w:pPr>
        <w:pStyle w:val="Heading2-noTOC"/>
        <w:pageBreakBefore/>
        <w:rPr>
          <w:rFonts w:ascii="Arial" w:eastAsia="Arial" w:hAnsi="Arial" w:cs="Times New Roman"/>
          <w:b/>
          <w:color w:val="265A9A"/>
          <w:spacing w:val="-4"/>
        </w:rPr>
      </w:pPr>
      <w:r w:rsidRPr="00252BAA">
        <w:rPr>
          <w:spacing w:val="-4"/>
        </w:rPr>
        <w:lastRenderedPageBreak/>
        <w:t xml:space="preserve">The focus should be on expediting the broad reform agenda </w:t>
      </w:r>
    </w:p>
    <w:tbl>
      <w:tblPr>
        <w:tblStyle w:val="TableGrid15"/>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rsidRPr="00F236BC" w14:paraId="037195AB" w14:textId="77777777">
        <w:trPr>
          <w:trHeight w:val="765"/>
          <w:tblHeader/>
        </w:trPr>
        <w:tc>
          <w:tcPr>
            <w:tcW w:w="366" w:type="pct"/>
            <w:tcBorders>
              <w:bottom w:val="nil"/>
            </w:tcBorders>
            <w:tcMar>
              <w:bottom w:w="0" w:type="dxa"/>
            </w:tcMar>
            <w:vAlign w:val="center"/>
          </w:tcPr>
          <w:p w14:paraId="0248851B" w14:textId="77777777" w:rsidR="006F23EA" w:rsidRPr="00F236BC" w:rsidRDefault="006F23EA">
            <w:pPr>
              <w:keepLines/>
              <w:jc w:val="right"/>
              <w:rPr>
                <w:rFonts w:ascii="Arial" w:eastAsia="Arial" w:hAnsi="Arial" w:cs="Times New Roman"/>
              </w:rPr>
            </w:pPr>
            <w:r w:rsidRPr="00F236BC">
              <w:rPr>
                <w:rFonts w:ascii="Arial" w:eastAsia="Arial" w:hAnsi="Arial" w:cs="Times New Roman"/>
                <w:noProof/>
              </w:rPr>
              <w:drawing>
                <wp:inline distT="0" distB="0" distL="0" distR="0" wp14:anchorId="101FB0B3" wp14:editId="2ACA8E2F">
                  <wp:extent cx="288000" cy="288000"/>
                  <wp:effectExtent l="0" t="0" r="0" b="0"/>
                  <wp:docPr id="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271621" w14:textId="77777777" w:rsidR="006F23EA" w:rsidRPr="002857E5" w:rsidRDefault="006F23EA">
            <w:pPr>
              <w:keepLines/>
              <w:spacing w:before="60"/>
              <w:ind w:left="57"/>
              <w:contextualSpacing/>
              <w:rPr>
                <w:rFonts w:ascii="Arial" w:eastAsia="Arial" w:hAnsi="Arial" w:cs="Times New Roman"/>
                <w:b/>
                <w:color w:val="265A9A"/>
              </w:rPr>
            </w:pPr>
            <w:r w:rsidRPr="002857E5">
              <w:rPr>
                <w:rFonts w:ascii="Arial" w:eastAsia="Arial" w:hAnsi="Arial" w:cs="Times New Roman"/>
                <w:b/>
                <w:color w:val="265A9A"/>
              </w:rPr>
              <w:t xml:space="preserve">Finding </w:t>
            </w:r>
            <w:r w:rsidRPr="002857E5">
              <w:rPr>
                <w:rFonts w:ascii="Arial" w:eastAsia="Arial" w:hAnsi="Arial" w:cs="Times New Roman"/>
                <w:b/>
                <w:noProof/>
                <w:color w:val="265A9A"/>
              </w:rPr>
              <w:t>6</w:t>
            </w:r>
          </w:p>
          <w:p w14:paraId="7D88C81A" w14:textId="77777777" w:rsidR="006F23EA" w:rsidRPr="00F236BC" w:rsidRDefault="006F23EA">
            <w:pPr>
              <w:keepLines/>
              <w:spacing w:before="60"/>
              <w:ind w:left="57"/>
              <w:contextualSpacing/>
              <w:rPr>
                <w:rFonts w:ascii="Arial" w:eastAsia="Arial" w:hAnsi="Arial" w:cs="Times New Roman"/>
                <w:b/>
                <w:color w:val="265A9A"/>
                <w:sz w:val="18"/>
              </w:rPr>
            </w:pPr>
            <w:r w:rsidRPr="002857E5">
              <w:rPr>
                <w:rFonts w:ascii="Arial" w:eastAsia="Arial" w:hAnsi="Arial" w:cs="Times New Roman"/>
                <w:b/>
                <w:color w:val="265A9A"/>
              </w:rPr>
              <w:t>A risk</w:t>
            </w:r>
            <w:r w:rsidRPr="002857E5">
              <w:rPr>
                <w:rFonts w:ascii="Arial" w:eastAsia="Arial" w:hAnsi="Arial" w:cs="Times New Roman"/>
                <w:b/>
                <w:color w:val="265A9A"/>
              </w:rPr>
              <w:noBreakHyphen/>
              <w:t>based approach to regulation</w:t>
            </w:r>
          </w:p>
        </w:tc>
      </w:tr>
      <w:tr w:rsidR="006F23EA" w:rsidRPr="00F236BC" w14:paraId="63DE5440" w14:textId="77777777">
        <w:tc>
          <w:tcPr>
            <w:tcW w:w="5000" w:type="pct"/>
            <w:gridSpan w:val="2"/>
            <w:tcBorders>
              <w:top w:val="nil"/>
              <w:bottom w:val="single" w:sz="4" w:space="0" w:color="66BCDB"/>
            </w:tcBorders>
          </w:tcPr>
          <w:p w14:paraId="37877D4A" w14:textId="77777777" w:rsidR="006F23EA" w:rsidRPr="00F236BC" w:rsidRDefault="006F23EA" w:rsidP="00B472C9">
            <w:pPr>
              <w:keepNext/>
              <w:keepLines/>
              <w:rPr>
                <w:rFonts w:ascii="Arial" w:eastAsia="Arial" w:hAnsi="Arial" w:cs="Times New Roman"/>
              </w:rPr>
            </w:pPr>
            <w:r w:rsidRPr="00F236BC">
              <w:rPr>
                <w:rFonts w:ascii="Arial" w:eastAsia="Arial" w:hAnsi="Arial" w:cs="Times New Roman"/>
              </w:rPr>
              <w:t xml:space="preserve">Older Australians highly value the ability to make decisions about how their care needs are met. The principles underpinning the proposed new regulatory framework for aged care (released by the Department of Health in February 2022) are promising because they focus attention on addressing risks, in a proportionate way, while not unduly restricting older Australians’ options for care. </w:t>
            </w:r>
          </w:p>
        </w:tc>
      </w:tr>
    </w:tbl>
    <w:p w14:paraId="4EA47245" w14:textId="77777777" w:rsidR="00B472C9" w:rsidRDefault="00B472C9" w:rsidP="00560641">
      <w:pPr>
        <w:pStyle w:val="NoSpacing"/>
      </w:pPr>
    </w:p>
    <w:tbl>
      <w:tblPr>
        <w:tblStyle w:val="Texttable-Paleblue"/>
        <w:tblW w:w="5000" w:type="pct"/>
        <w:tblLook w:val="04A0" w:firstRow="1" w:lastRow="0" w:firstColumn="1" w:lastColumn="0" w:noHBand="0" w:noVBand="1"/>
      </w:tblPr>
      <w:tblGrid>
        <w:gridCol w:w="713"/>
        <w:gridCol w:w="8925"/>
      </w:tblGrid>
      <w:tr w:rsidR="006F23EA" w:rsidRPr="00D31FA6" w14:paraId="05A2500A" w14:textId="77777777" w:rsidTr="00B472C9">
        <w:tc>
          <w:tcPr>
            <w:tcW w:w="713" w:type="dxa"/>
            <w:tcMar>
              <w:bottom w:w="0" w:type="dxa"/>
            </w:tcMar>
          </w:tcPr>
          <w:p w14:paraId="2E55A56A" w14:textId="77777777" w:rsidR="006F23EA" w:rsidRPr="00D31FA6" w:rsidRDefault="006F23EA">
            <w:pPr>
              <w:jc w:val="right"/>
              <w:rPr>
                <w:rFonts w:ascii="Arial" w:eastAsia="Arial" w:hAnsi="Arial" w:cs="Times New Roman"/>
              </w:rPr>
            </w:pPr>
            <w:r w:rsidRPr="00D31FA6">
              <w:rPr>
                <w:rFonts w:ascii="Arial" w:eastAsia="Arial" w:hAnsi="Arial" w:cs="Times New Roman"/>
                <w:noProof/>
              </w:rPr>
              <w:drawing>
                <wp:inline distT="0" distB="0" distL="0" distR="0" wp14:anchorId="37BD5BAB" wp14:editId="76728A9B">
                  <wp:extent cx="288000" cy="288000"/>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26B793CC" w14:textId="77777777" w:rsidR="006F23EA" w:rsidRPr="00F272B2" w:rsidRDefault="006F23EA" w:rsidP="008E3B89">
            <w:pPr>
              <w:keepLines/>
              <w:spacing w:before="60"/>
              <w:ind w:left="57"/>
              <w:contextualSpacing/>
              <w:rPr>
                <w:rFonts w:ascii="Arial" w:eastAsia="Arial" w:hAnsi="Arial" w:cs="Times New Roman"/>
                <w:b/>
                <w:color w:val="265A9A"/>
              </w:rPr>
            </w:pPr>
            <w:r w:rsidRPr="00F272B2">
              <w:rPr>
                <w:rFonts w:ascii="Arial" w:eastAsia="Arial" w:hAnsi="Arial" w:cs="Times New Roman"/>
                <w:b/>
                <w:color w:val="265A9A"/>
              </w:rPr>
              <w:t>Recommendation</w:t>
            </w:r>
          </w:p>
          <w:p w14:paraId="6BADCD1A" w14:textId="77777777" w:rsidR="006F23EA" w:rsidRPr="00D31FA6" w:rsidRDefault="006F23EA" w:rsidP="008E3B89">
            <w:pPr>
              <w:keepLines/>
              <w:spacing w:before="60"/>
              <w:ind w:left="57"/>
              <w:contextualSpacing/>
              <w:rPr>
                <w:rFonts w:ascii="Arial" w:eastAsia="Arial" w:hAnsi="Arial" w:cs="Times New Roman"/>
                <w:b/>
                <w:color w:val="265A9A"/>
                <w:sz w:val="18"/>
              </w:rPr>
            </w:pPr>
            <w:r w:rsidRPr="00F272B2">
              <w:rPr>
                <w:rFonts w:ascii="Arial" w:eastAsia="Arial" w:hAnsi="Arial" w:cs="Times New Roman"/>
                <w:b/>
                <w:color w:val="265A9A"/>
              </w:rPr>
              <w:t>A policy to preference direct employment would be detrimental</w:t>
            </w:r>
          </w:p>
        </w:tc>
      </w:tr>
      <w:tr w:rsidR="006F23EA" w:rsidRPr="00D31FA6" w14:paraId="13FBAD4E" w14:textId="77777777" w:rsidTr="00B472C9">
        <w:tc>
          <w:tcPr>
            <w:tcW w:w="9638" w:type="dxa"/>
            <w:gridSpan w:val="2"/>
            <w:tcMar>
              <w:top w:w="0" w:type="dxa"/>
            </w:tcMar>
          </w:tcPr>
          <w:p w14:paraId="3EE55132" w14:textId="77777777" w:rsidR="006F23EA" w:rsidRPr="00D31FA6" w:rsidRDefault="006F23EA" w:rsidP="008E3B89">
            <w:pPr>
              <w:pStyle w:val="BodyText"/>
            </w:pPr>
            <w:r w:rsidRPr="00D31FA6">
              <w:t>The Australian Government should not introduce a policy to preference direct employment in aged care as it would reduce choice and options for care for older Australians, and at the same time, limit the options for care workers who value self</w:t>
            </w:r>
            <w:r>
              <w:noBreakHyphen/>
            </w:r>
            <w:r w:rsidRPr="00D31FA6">
              <w:t>employment and flexible work arrangements. Worse, it could — given the current tight labour market — lead to a smaller</w:t>
            </w:r>
            <w:r>
              <w:t xml:space="preserve"> aged</w:t>
            </w:r>
            <w:r w:rsidRPr="00D31FA6">
              <w:t xml:space="preserve"> care workforce, to the detriment of care outcomes. </w:t>
            </w:r>
          </w:p>
          <w:p w14:paraId="7E68C287" w14:textId="77777777" w:rsidR="006F23EA" w:rsidRPr="00D31FA6" w:rsidRDefault="006F23EA" w:rsidP="008E3B89">
            <w:pPr>
              <w:pStyle w:val="BodyText"/>
              <w:rPr>
                <w:rFonts w:ascii="Arial" w:eastAsia="Arial" w:hAnsi="Arial" w:cs="Times New Roman"/>
              </w:rPr>
            </w:pPr>
            <w:r w:rsidRPr="00D31FA6">
              <w:rPr>
                <w:rFonts w:ascii="Arial" w:eastAsia="Arial" w:hAnsi="Arial" w:cs="Times New Roman"/>
              </w:rPr>
              <w:t xml:space="preserve">The Australian Government should instead </w:t>
            </w:r>
            <w:r>
              <w:rPr>
                <w:rFonts w:ascii="Arial" w:eastAsia="Arial" w:hAnsi="Arial" w:cs="Times New Roman"/>
              </w:rPr>
              <w:t>expedite</w:t>
            </w:r>
            <w:r w:rsidRPr="00D31FA6">
              <w:rPr>
                <w:rFonts w:ascii="Arial" w:eastAsia="Arial" w:hAnsi="Arial" w:cs="Times New Roman"/>
              </w:rPr>
              <w:t xml:space="preserve"> </w:t>
            </w:r>
            <w:r>
              <w:rPr>
                <w:rFonts w:ascii="Arial" w:eastAsia="Arial" w:hAnsi="Arial" w:cs="Times New Roman"/>
              </w:rPr>
              <w:t>the</w:t>
            </w:r>
            <w:r w:rsidRPr="00D31FA6">
              <w:rPr>
                <w:rFonts w:ascii="Arial" w:eastAsia="Arial" w:hAnsi="Arial" w:cs="Times New Roman"/>
              </w:rPr>
              <w:t xml:space="preserve"> broad reform agenda </w:t>
            </w:r>
            <w:r>
              <w:rPr>
                <w:rFonts w:ascii="Arial" w:eastAsia="Arial" w:hAnsi="Arial" w:cs="Times New Roman"/>
              </w:rPr>
              <w:t>for aged care</w:t>
            </w:r>
            <w:r w:rsidRPr="00D31FA6">
              <w:rPr>
                <w:rFonts w:ascii="Arial" w:eastAsia="Arial" w:hAnsi="Arial" w:cs="Times New Roman"/>
              </w:rPr>
              <w:t xml:space="preserve"> to enhance quality and manage </w:t>
            </w:r>
            <w:r>
              <w:rPr>
                <w:rFonts w:ascii="Arial" w:eastAsia="Arial" w:hAnsi="Arial" w:cs="Times New Roman"/>
              </w:rPr>
              <w:t>any</w:t>
            </w:r>
            <w:r w:rsidRPr="00D31FA6">
              <w:rPr>
                <w:rFonts w:ascii="Arial" w:eastAsia="Arial" w:hAnsi="Arial" w:cs="Times New Roman"/>
              </w:rPr>
              <w:t xml:space="preserve"> specific risks from indirect employment through a risk</w:t>
            </w:r>
            <w:r w:rsidRPr="00D31FA6">
              <w:rPr>
                <w:rFonts w:ascii="Arial" w:eastAsia="Arial" w:hAnsi="Arial" w:cs="Times New Roman"/>
              </w:rPr>
              <w:noBreakHyphen/>
              <w:t xml:space="preserve">proportionate regulatory framework. </w:t>
            </w:r>
            <w:proofErr w:type="gramStart"/>
            <w:r w:rsidRPr="00D31FA6">
              <w:rPr>
                <w:rFonts w:ascii="Arial" w:eastAsia="Arial" w:hAnsi="Arial" w:cs="Times New Roman"/>
              </w:rPr>
              <w:t>In doing so, it</w:t>
            </w:r>
            <w:proofErr w:type="gramEnd"/>
            <w:r w:rsidRPr="00D31FA6">
              <w:rPr>
                <w:rFonts w:ascii="Arial" w:eastAsia="Arial" w:hAnsi="Arial" w:cs="Times New Roman"/>
              </w:rPr>
              <w:t xml:space="preserve"> should ensure that the development of quality standards and indicators</w:t>
            </w:r>
            <w:r>
              <w:rPr>
                <w:rFonts w:ascii="Arial" w:eastAsia="Arial" w:hAnsi="Arial" w:cs="Times New Roman"/>
              </w:rPr>
              <w:t xml:space="preserve"> </w:t>
            </w:r>
            <w:r w:rsidRPr="00D31FA6">
              <w:rPr>
                <w:rFonts w:ascii="Arial" w:eastAsia="Arial" w:hAnsi="Arial" w:cs="Times New Roman"/>
              </w:rPr>
              <w:t>for home care</w:t>
            </w:r>
            <w:r>
              <w:rPr>
                <w:rFonts w:ascii="Arial" w:eastAsia="Arial" w:hAnsi="Arial" w:cs="Times New Roman"/>
              </w:rPr>
              <w:t xml:space="preserve"> </w:t>
            </w:r>
            <w:r w:rsidRPr="00D31FA6">
              <w:rPr>
                <w:rFonts w:ascii="Arial" w:eastAsia="Arial" w:hAnsi="Arial" w:cs="Times New Roman"/>
              </w:rPr>
              <w:t>are not unduly delayed.</w:t>
            </w:r>
          </w:p>
        </w:tc>
      </w:tr>
    </w:tbl>
    <w:p w14:paraId="6EF73AC2" w14:textId="1725B664" w:rsidR="00A86051" w:rsidRPr="008E7BD4" w:rsidRDefault="00A86051" w:rsidP="00005498">
      <w:pPr>
        <w:spacing w:before="0" w:after="160" w:line="259" w:lineRule="auto"/>
      </w:pPr>
    </w:p>
    <w:sectPr w:rsidR="00A86051" w:rsidRPr="008E7BD4" w:rsidSect="00005498">
      <w:headerReference w:type="default" r:id="rId40"/>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DD8F" w14:textId="77777777" w:rsidR="00FB530A" w:rsidRDefault="00FB530A" w:rsidP="008017BC">
      <w:r>
        <w:separator/>
      </w:r>
    </w:p>
    <w:p w14:paraId="6D0CA9BD" w14:textId="77777777" w:rsidR="00FB530A" w:rsidRDefault="00FB530A"/>
  </w:endnote>
  <w:endnote w:type="continuationSeparator" w:id="0">
    <w:p w14:paraId="25E51B25" w14:textId="77777777" w:rsidR="00FB530A" w:rsidRDefault="00FB530A" w:rsidP="008017BC">
      <w:r>
        <w:continuationSeparator/>
      </w:r>
    </w:p>
    <w:p w14:paraId="614F12F0" w14:textId="77777777" w:rsidR="00FB530A" w:rsidRDefault="00FB530A"/>
  </w:endnote>
  <w:endnote w:type="continuationNotice" w:id="1">
    <w:p w14:paraId="6FEFB00F" w14:textId="77777777" w:rsidR="00FB530A" w:rsidRDefault="00FB53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D7BA"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483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6A07"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4502"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54BB3563"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02A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824353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04068" w14:textId="77777777" w:rsidR="00FB530A" w:rsidRPr="00C238D1" w:rsidRDefault="00FB530A" w:rsidP="00273E86">
      <w:pPr>
        <w:spacing w:after="0" w:line="240" w:lineRule="auto"/>
        <w:rPr>
          <w:rStyle w:val="ColourDarkBlue"/>
        </w:rPr>
      </w:pPr>
      <w:r w:rsidRPr="00C238D1">
        <w:rPr>
          <w:rStyle w:val="ColourDarkBlue"/>
        </w:rPr>
        <w:continuationSeparator/>
      </w:r>
    </w:p>
  </w:footnote>
  <w:footnote w:type="continuationSeparator" w:id="0">
    <w:p w14:paraId="24514F41" w14:textId="77777777" w:rsidR="00FB530A" w:rsidRPr="001D7D9B" w:rsidRDefault="00FB530A" w:rsidP="001D7D9B">
      <w:pPr>
        <w:spacing w:after="0" w:line="240" w:lineRule="auto"/>
        <w:rPr>
          <w:color w:val="265A9A" w:themeColor="background2"/>
        </w:rPr>
      </w:pPr>
      <w:r w:rsidRPr="00C238D1">
        <w:rPr>
          <w:rStyle w:val="ColourDarkBlue"/>
        </w:rPr>
        <w:continuationSeparator/>
      </w:r>
    </w:p>
  </w:footnote>
  <w:footnote w:type="continuationNotice" w:id="1">
    <w:p w14:paraId="453B201A" w14:textId="77777777" w:rsidR="00FB530A" w:rsidRDefault="00FB530A"/>
  </w:footnote>
  <w:footnote w:id="2">
    <w:p w14:paraId="233C5432" w14:textId="77777777" w:rsidR="006F23EA" w:rsidRPr="007C1785" w:rsidRDefault="006F23EA" w:rsidP="008E3B89">
      <w:pPr>
        <w:pStyle w:val="FootnoteText"/>
      </w:pPr>
      <w:r w:rsidRPr="00253553">
        <w:rPr>
          <w:rStyle w:val="FootnoteReference"/>
        </w:rPr>
        <w:footnoteRef/>
      </w:r>
      <w:r w:rsidRPr="00084E09">
        <w:t xml:space="preserve"> </w:t>
      </w:r>
      <w:r>
        <w:t>In addition to this study, the Commission has been tasked with an inquiry to examine support for informal carers of older Australians.</w:t>
      </w:r>
    </w:p>
  </w:footnote>
  <w:footnote w:id="3">
    <w:p w14:paraId="5C76CD9E" w14:textId="77777777" w:rsidR="006F23EA" w:rsidRDefault="006F23EA" w:rsidP="008E3B89">
      <w:pPr>
        <w:pStyle w:val="FootnoteText"/>
      </w:pPr>
      <w:r w:rsidRPr="004E75C0">
        <w:rPr>
          <w:rStyle w:val="FootnoteReference"/>
        </w:rPr>
        <w:footnoteRef/>
      </w:r>
      <w:r>
        <w:t xml:space="preserve"> </w:t>
      </w:r>
      <w:r w:rsidRPr="00A80D80">
        <w:t xml:space="preserve">The Commission is aware of at least </w:t>
      </w:r>
      <w:r>
        <w:t>six</w:t>
      </w:r>
      <w:r w:rsidRPr="00A80D80">
        <w:t xml:space="preserve"> </w:t>
      </w:r>
      <w:r>
        <w:t>platforms</w:t>
      </w:r>
      <w:r w:rsidRPr="00A80D80">
        <w:t xml:space="preserve"> engaged in the subsidised home care market: Care.com, </w:t>
      </w:r>
      <w:proofErr w:type="spellStart"/>
      <w:r w:rsidRPr="00A80D80">
        <w:t>Careseekers</w:t>
      </w:r>
      <w:proofErr w:type="spellEnd"/>
      <w:r w:rsidRPr="00A80D80">
        <w:t xml:space="preserve">, </w:t>
      </w:r>
      <w:r>
        <w:t>Findacarer.com,</w:t>
      </w:r>
      <w:r w:rsidRPr="00A80D80">
        <w:t xml:space="preserve"> Five Good Friends, Like Family and Mable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24D93" w14:textId="77777777" w:rsidR="00F04EA7" w:rsidRPr="007215EF" w:rsidRDefault="00F04EA7" w:rsidP="007215EF">
    <w:r w:rsidRPr="007215EF">
      <w:rPr>
        <w:noProof/>
      </w:rPr>
      <w:drawing>
        <wp:anchor distT="0" distB="0" distL="114300" distR="114300" simplePos="0" relativeHeight="251658240" behindDoc="0" locked="1" layoutInCell="1" allowOverlap="1" wp14:anchorId="4387A00E" wp14:editId="45140690">
          <wp:simplePos x="0" y="0"/>
          <wp:positionH relativeFrom="margin">
            <wp:align>left</wp:align>
          </wp:positionH>
          <wp:positionV relativeFrom="page">
            <wp:align>top</wp:align>
          </wp:positionV>
          <wp:extent cx="2235600" cy="1058400"/>
          <wp:effectExtent l="0" t="0" r="0" b="8890"/>
          <wp:wrapNone/>
          <wp:docPr id="1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6E4E1" w14:textId="77777777" w:rsidR="00F04EA7" w:rsidRPr="005965BC" w:rsidRDefault="00F04EA7"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E3B7" w14:textId="3DECB9E6" w:rsidR="001D7D9B" w:rsidRDefault="004E1DA4" w:rsidP="001D7D9B">
    <w:pPr>
      <w:pStyle w:val="Header-Keyline"/>
    </w:pPr>
    <w:r>
      <w:rPr>
        <w:rStyle w:val="Strong"/>
      </w:rPr>
      <w:t>Aged care employment</w:t>
    </w:r>
    <w:r w:rsidR="001D7D9B">
      <w:t xml:space="preserve"> </w:t>
    </w:r>
    <w:r w:rsidR="00670F22">
      <w:t>Study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4E3C"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113F" w14:textId="75BEF0AA"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6A0711">
      <w:rPr>
        <w:rStyle w:val="Strong"/>
        <w:b w:val="0"/>
        <w:bCs w:val="0"/>
        <w:noProof/>
      </w:rPr>
      <w:t>Contents</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0B43" w14:textId="67BF0828" w:rsidR="00BC7F3C" w:rsidRPr="00F52DFC" w:rsidRDefault="00BC7F3C" w:rsidP="008E3B89">
    <w:pPr>
      <w:pStyle w:val="Header-KeylineRight"/>
    </w:pPr>
    <w:r w:rsidRPr="00F52DFC">
      <w:t>Overview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9329" w14:textId="24098701" w:rsidR="00743646" w:rsidRPr="00AE5C2C" w:rsidRDefault="00005498" w:rsidP="008E3B89">
    <w:pPr>
      <w:pStyle w:val="Header-KeylineRight"/>
    </w:pPr>
    <w:r>
      <w:t>Findings and Recommendations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7A2E5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37427176"/>
    <w:lvl w:ilvl="0">
      <w:start w:val="1"/>
      <w:numFmt w:val="decimal"/>
      <w:lvlText w:val="%1."/>
      <w:lvlJc w:val="left"/>
      <w:pPr>
        <w:tabs>
          <w:tab w:val="num" w:pos="360"/>
        </w:tabs>
        <w:ind w:left="360" w:hanging="360"/>
      </w:pPr>
    </w:lvl>
  </w:abstractNum>
  <w:abstractNum w:abstractNumId="2" w15:restartNumberingAfterBreak="0">
    <w:nsid w:val="03852FB0"/>
    <w:multiLevelType w:val="hybridMultilevel"/>
    <w:tmpl w:val="EB9C4678"/>
    <w:lvl w:ilvl="0" w:tplc="F2A2D58E">
      <w:start w:val="1"/>
      <w:numFmt w:val="lowerLetter"/>
      <w:lvlText w:val="%1)"/>
      <w:lvlJc w:val="left"/>
      <w:pPr>
        <w:ind w:left="417" w:hanging="360"/>
      </w:pPr>
      <w:rPr>
        <w:rFonts w:hint="default"/>
        <w:color w:val="auto"/>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 w15:restartNumberingAfterBreak="0">
    <w:nsid w:val="064109E8"/>
    <w:multiLevelType w:val="hybridMultilevel"/>
    <w:tmpl w:val="7826EE76"/>
    <w:lvl w:ilvl="0" w:tplc="FFFFFFFF">
      <w:start w:val="1"/>
      <w:numFmt w:val="lowerLetter"/>
      <w:lvlText w:val="%1)"/>
      <w:lvlJc w:val="left"/>
      <w:pPr>
        <w:ind w:left="417"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3232C3"/>
    <w:multiLevelType w:val="hybridMultilevel"/>
    <w:tmpl w:val="7826EE76"/>
    <w:lvl w:ilvl="0" w:tplc="FFFFFFFF">
      <w:start w:val="1"/>
      <w:numFmt w:val="lowerLetter"/>
      <w:lvlText w:val="%1)"/>
      <w:lvlJc w:val="left"/>
      <w:pPr>
        <w:ind w:left="417"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F52C23"/>
    <w:multiLevelType w:val="hybridMultilevel"/>
    <w:tmpl w:val="EBBE9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877F4"/>
    <w:multiLevelType w:val="hybridMultilevel"/>
    <w:tmpl w:val="4CC6CA0C"/>
    <w:lvl w:ilvl="0" w:tplc="28688D8A">
      <w:start w:val="1"/>
      <w:numFmt w:val="decimal"/>
      <w:lvlText w:val="%1."/>
      <w:lvlJc w:val="left"/>
      <w:pPr>
        <w:ind w:left="971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240012"/>
    <w:multiLevelType w:val="multilevel"/>
    <w:tmpl w:val="61960F06"/>
    <w:styleLink w:val="Style1"/>
    <w:lvl w:ilvl="0">
      <w:start w:val="1"/>
      <w:numFmt w:val="bullet"/>
      <w:lvlText w:val=""/>
      <w:lvlJc w:val="left"/>
      <w:pPr>
        <w:tabs>
          <w:tab w:val="num" w:pos="643"/>
        </w:tabs>
        <w:ind w:left="643"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7F3883"/>
    <w:multiLevelType w:val="multilevel"/>
    <w:tmpl w:val="FF8069A4"/>
    <w:numStyleLink w:val="Bullets"/>
  </w:abstractNum>
  <w:abstractNum w:abstractNumId="21" w15:restartNumberingAfterBreak="0">
    <w:nsid w:val="3A911EE6"/>
    <w:multiLevelType w:val="hybridMultilevel"/>
    <w:tmpl w:val="244844AC"/>
    <w:lvl w:ilvl="0" w:tplc="0C090005">
      <w:start w:val="1"/>
      <w:numFmt w:val="bullet"/>
      <w:lvlText w:val=""/>
      <w:lvlJc w:val="left"/>
      <w:pPr>
        <w:ind w:left="417" w:hanging="360"/>
      </w:pPr>
      <w:rPr>
        <w:rFonts w:ascii="Wingdings" w:hAnsi="Wingdings"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2" w15:restartNumberingAfterBreak="0">
    <w:nsid w:val="3F7F36C2"/>
    <w:multiLevelType w:val="multilevel"/>
    <w:tmpl w:val="CB4CDB8C"/>
    <w:lvl w:ilvl="0">
      <w:start w:val="4"/>
      <w:numFmt w:val="decimal"/>
      <w:isLgl/>
      <w:lvlText w:val="%1."/>
      <w:lvlJc w:val="left"/>
      <w:pPr>
        <w:ind w:left="1559" w:hanging="851"/>
      </w:pPr>
      <w:rPr>
        <w:rFonts w:hint="default"/>
      </w:rPr>
    </w:lvl>
    <w:lvl w:ilvl="1">
      <w:start w:val="1"/>
      <w:numFmt w:val="decimal"/>
      <w:suff w:val="space"/>
      <w:lvlText w:val="Box %1.%2"/>
      <w:lvlJc w:val="left"/>
      <w:pPr>
        <w:ind w:left="1275" w:hanging="1134"/>
      </w:pPr>
      <w:rPr>
        <w:rFonts w:hint="default"/>
      </w:rPr>
    </w:lvl>
    <w:lvl w:ilvl="2">
      <w:start w:val="1"/>
      <w:numFmt w:val="decimal"/>
      <w:lvlText w:val="%1.%3"/>
      <w:lvlJc w:val="left"/>
      <w:pPr>
        <w:ind w:left="992" w:hanging="851"/>
      </w:pPr>
      <w:rPr>
        <w:rFonts w:hint="default"/>
      </w:rPr>
    </w:lvl>
    <w:lvl w:ilvl="3">
      <w:start w:val="1"/>
      <w:numFmt w:val="decimal"/>
      <w:lvlText w:val="%1.%2.%3.%4."/>
      <w:lvlJc w:val="left"/>
      <w:pPr>
        <w:ind w:left="1502" w:hanging="1361"/>
      </w:pPr>
      <w:rPr>
        <w:rFonts w:hint="default"/>
      </w:rPr>
    </w:lvl>
    <w:lvl w:ilvl="4">
      <w:start w:val="1"/>
      <w:numFmt w:val="decimal"/>
      <w:lvlText w:val="%1.%2.%3.%4.%5"/>
      <w:lvlJc w:val="left"/>
      <w:pPr>
        <w:ind w:left="1842" w:hanging="1701"/>
      </w:pPr>
      <w:rPr>
        <w:rFonts w:hint="default"/>
      </w:rPr>
    </w:lvl>
    <w:lvl w:ilvl="5">
      <w:start w:val="1"/>
      <w:numFmt w:val="lowerRoman"/>
      <w:lvlText w:val="%6."/>
      <w:lvlJc w:val="right"/>
      <w:pPr>
        <w:ind w:left="4461" w:hanging="180"/>
      </w:pPr>
      <w:rPr>
        <w:rFonts w:hint="default"/>
      </w:rPr>
    </w:lvl>
    <w:lvl w:ilvl="6">
      <w:start w:val="1"/>
      <w:numFmt w:val="decimal"/>
      <w:lvlText w:val="%7."/>
      <w:lvlJc w:val="left"/>
      <w:pPr>
        <w:ind w:left="5181" w:hanging="360"/>
      </w:pPr>
      <w:rPr>
        <w:rFonts w:hint="default"/>
      </w:rPr>
    </w:lvl>
    <w:lvl w:ilvl="7">
      <w:start w:val="1"/>
      <w:numFmt w:val="lowerLetter"/>
      <w:lvlText w:val="%8."/>
      <w:lvlJc w:val="left"/>
      <w:pPr>
        <w:ind w:left="5901" w:hanging="360"/>
      </w:pPr>
      <w:rPr>
        <w:rFonts w:hint="default"/>
      </w:rPr>
    </w:lvl>
    <w:lvl w:ilvl="8">
      <w:start w:val="1"/>
      <w:numFmt w:val="lowerRoman"/>
      <w:lvlText w:val="%9."/>
      <w:lvlJc w:val="right"/>
      <w:pPr>
        <w:ind w:left="6621" w:hanging="180"/>
      </w:pPr>
      <w:rPr>
        <w:rFonts w:hint="default"/>
      </w:r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C037D38"/>
    <w:multiLevelType w:val="multilevel"/>
    <w:tmpl w:val="9710BEBA"/>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Letter"/>
      <w:lvlText w:val="%4)"/>
      <w:lvlJc w:val="left"/>
      <w:pPr>
        <w:ind w:left="814" w:hanging="360"/>
      </w:p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29" w15:restartNumberingAfterBreak="0">
    <w:nsid w:val="6C4C0144"/>
    <w:multiLevelType w:val="hybridMultilevel"/>
    <w:tmpl w:val="126AB9B8"/>
    <w:lvl w:ilvl="0" w:tplc="6D444494">
      <w:start w:val="1"/>
      <w:numFmt w:val="lowerLetter"/>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756B51"/>
    <w:multiLevelType w:val="hybridMultilevel"/>
    <w:tmpl w:val="D444CA8C"/>
    <w:lvl w:ilvl="0" w:tplc="94F60C78">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1" w15:restartNumberingAfterBreak="0">
    <w:nsid w:val="761B4A1B"/>
    <w:multiLevelType w:val="multilevel"/>
    <w:tmpl w:val="4F48000A"/>
    <w:numStyleLink w:val="Alphalist"/>
  </w:abstractNum>
  <w:abstractNum w:abstractNumId="32" w15:restartNumberingAfterBreak="0">
    <w:nsid w:val="7E1417D0"/>
    <w:multiLevelType w:val="multilevel"/>
    <w:tmpl w:val="4CBE87DA"/>
    <w:lvl w:ilvl="0">
      <w:start w:val="3"/>
      <w:numFmt w:val="decimal"/>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33" w15:restartNumberingAfterBreak="0">
    <w:nsid w:val="7F041033"/>
    <w:multiLevelType w:val="hybridMultilevel"/>
    <w:tmpl w:val="59FA2B5A"/>
    <w:lvl w:ilvl="0" w:tplc="A35EB5FE">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num w:numId="1" w16cid:durableId="1352487342">
    <w:abstractNumId w:val="8"/>
  </w:num>
  <w:num w:numId="2" w16cid:durableId="1653605781">
    <w:abstractNumId w:val="15"/>
  </w:num>
  <w:num w:numId="3" w16cid:durableId="424764331">
    <w:abstractNumId w:val="20"/>
  </w:num>
  <w:num w:numId="4" w16cid:durableId="651174535">
    <w:abstractNumId w:val="11"/>
  </w:num>
  <w:num w:numId="5" w16cid:durableId="1472136497">
    <w:abstractNumId w:val="33"/>
  </w:num>
  <w:num w:numId="6" w16cid:durableId="1578441908">
    <w:abstractNumId w:val="21"/>
  </w:num>
  <w:num w:numId="7" w16cid:durableId="2121605378">
    <w:abstractNumId w:val="28"/>
  </w:num>
  <w:num w:numId="8" w16cid:durableId="1932347608">
    <w:abstractNumId w:val="1"/>
  </w:num>
  <w:num w:numId="9" w16cid:durableId="921992213">
    <w:abstractNumId w:val="2"/>
  </w:num>
  <w:num w:numId="10" w16cid:durableId="1209417461">
    <w:abstractNumId w:val="12"/>
  </w:num>
  <w:num w:numId="11" w16cid:durableId="1931229472">
    <w:abstractNumId w:val="3"/>
  </w:num>
  <w:num w:numId="12" w16cid:durableId="1404524074">
    <w:abstractNumId w:val="29"/>
  </w:num>
  <w:num w:numId="13" w16cid:durableId="1358852081">
    <w:abstractNumId w:val="32"/>
  </w:num>
  <w:num w:numId="14" w16cid:durableId="632177287">
    <w:abstractNumId w:val="26"/>
  </w:num>
  <w:num w:numId="15" w16cid:durableId="13825127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020201">
    <w:abstractNumId w:val="16"/>
  </w:num>
  <w:num w:numId="17" w16cid:durableId="1820728235">
    <w:abstractNumId w:val="14"/>
  </w:num>
  <w:num w:numId="18" w16cid:durableId="17177729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139088">
    <w:abstractNumId w:val="24"/>
  </w:num>
  <w:num w:numId="20" w16cid:durableId="457535286">
    <w:abstractNumId w:val="22"/>
  </w:num>
  <w:num w:numId="21" w16cid:durableId="1970940468">
    <w:abstractNumId w:val="30"/>
  </w:num>
  <w:num w:numId="22" w16cid:durableId="1860578480">
    <w:abstractNumId w:val="9"/>
  </w:num>
  <w:num w:numId="23" w16cid:durableId="253829608">
    <w:abstractNumId w:val="5"/>
  </w:num>
  <w:num w:numId="24" w16cid:durableId="5256316">
    <w:abstractNumId w:val="13"/>
  </w:num>
  <w:num w:numId="25" w16cid:durableId="622615965">
    <w:abstractNumId w:val="25"/>
  </w:num>
  <w:num w:numId="26" w16cid:durableId="644773637">
    <w:abstractNumId w:val="27"/>
  </w:num>
  <w:num w:numId="27" w16cid:durableId="1159539675">
    <w:abstractNumId w:val="23"/>
  </w:num>
  <w:num w:numId="28" w16cid:durableId="1099371033">
    <w:abstractNumId w:val="18"/>
  </w:num>
  <w:num w:numId="29" w16cid:durableId="448014952">
    <w:abstractNumId w:val="10"/>
  </w:num>
  <w:num w:numId="30" w16cid:durableId="923999134">
    <w:abstractNumId w:val="17"/>
  </w:num>
  <w:num w:numId="31" w16cid:durableId="897127983">
    <w:abstractNumId w:val="31"/>
  </w:num>
  <w:num w:numId="32" w16cid:durableId="525144509">
    <w:abstractNumId w:val="0"/>
  </w:num>
  <w:num w:numId="33" w16cid:durableId="1643390733">
    <w:abstractNumId w:val="6"/>
  </w:num>
  <w:num w:numId="34" w16cid:durableId="614405699">
    <w:abstractNumId w:val="11"/>
  </w:num>
  <w:num w:numId="35" w16cid:durableId="955714051">
    <w:abstractNumId w:val="8"/>
  </w:num>
  <w:num w:numId="36" w16cid:durableId="1701198130">
    <w:abstractNumId w:val="7"/>
  </w:num>
  <w:num w:numId="37" w16cid:durableId="1968311422">
    <w:abstractNumId w:val="4"/>
  </w:num>
  <w:num w:numId="38" w16cid:durableId="1930844049">
    <w:abstractNumId w:val="19"/>
  </w:num>
  <w:num w:numId="39" w16cid:durableId="1616302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52458746">
    <w:abstractNumId w:val="7"/>
  </w:num>
  <w:num w:numId="41" w16cid:durableId="1647969768">
    <w:abstractNumId w:val="7"/>
  </w:num>
  <w:num w:numId="42" w16cid:durableId="1799835591">
    <w:abstractNumId w:val="7"/>
  </w:num>
  <w:num w:numId="43" w16cid:durableId="1902712549">
    <w:abstractNumId w:val="7"/>
  </w:num>
  <w:num w:numId="44" w16cid:durableId="819928866">
    <w:abstractNumId w:val="7"/>
  </w:num>
  <w:num w:numId="45" w16cid:durableId="2032216171">
    <w:abstractNumId w:val="7"/>
  </w:num>
  <w:num w:numId="46" w16cid:durableId="1914006822">
    <w:abstractNumId w:val="11"/>
  </w:num>
  <w:num w:numId="47" w16cid:durableId="655915400">
    <w:abstractNumId w:val="11"/>
  </w:num>
  <w:num w:numId="48" w16cid:durableId="627322917">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54B"/>
    <w:rsid w:val="00000075"/>
    <w:rsid w:val="00000F3C"/>
    <w:rsid w:val="00002AB8"/>
    <w:rsid w:val="00003590"/>
    <w:rsid w:val="00004489"/>
    <w:rsid w:val="00005498"/>
    <w:rsid w:val="00005C79"/>
    <w:rsid w:val="000115E4"/>
    <w:rsid w:val="00011756"/>
    <w:rsid w:val="000128A9"/>
    <w:rsid w:val="00023C8B"/>
    <w:rsid w:val="00024C20"/>
    <w:rsid w:val="000265AE"/>
    <w:rsid w:val="00026C04"/>
    <w:rsid w:val="000300AF"/>
    <w:rsid w:val="00031F3D"/>
    <w:rsid w:val="000331E4"/>
    <w:rsid w:val="0003338D"/>
    <w:rsid w:val="00033619"/>
    <w:rsid w:val="00035CD4"/>
    <w:rsid w:val="000365A6"/>
    <w:rsid w:val="000373D0"/>
    <w:rsid w:val="000404FA"/>
    <w:rsid w:val="00043AE1"/>
    <w:rsid w:val="00044FD0"/>
    <w:rsid w:val="0004671C"/>
    <w:rsid w:val="000472D2"/>
    <w:rsid w:val="00047894"/>
    <w:rsid w:val="0005151B"/>
    <w:rsid w:val="000528E1"/>
    <w:rsid w:val="00052DB7"/>
    <w:rsid w:val="00054C95"/>
    <w:rsid w:val="000561CF"/>
    <w:rsid w:val="0005774F"/>
    <w:rsid w:val="000601CC"/>
    <w:rsid w:val="00061AF8"/>
    <w:rsid w:val="00062A44"/>
    <w:rsid w:val="00062CA6"/>
    <w:rsid w:val="00065310"/>
    <w:rsid w:val="00072247"/>
    <w:rsid w:val="000724AE"/>
    <w:rsid w:val="00074478"/>
    <w:rsid w:val="0007776A"/>
    <w:rsid w:val="00077A76"/>
    <w:rsid w:val="000802AF"/>
    <w:rsid w:val="0008037D"/>
    <w:rsid w:val="00083186"/>
    <w:rsid w:val="00084660"/>
    <w:rsid w:val="00085FB9"/>
    <w:rsid w:val="00091286"/>
    <w:rsid w:val="000A0F08"/>
    <w:rsid w:val="000A1FB9"/>
    <w:rsid w:val="000A38AA"/>
    <w:rsid w:val="000A6BD6"/>
    <w:rsid w:val="000A7DB7"/>
    <w:rsid w:val="000B1173"/>
    <w:rsid w:val="000B185F"/>
    <w:rsid w:val="000B22DF"/>
    <w:rsid w:val="000B474E"/>
    <w:rsid w:val="000B497F"/>
    <w:rsid w:val="000B4A72"/>
    <w:rsid w:val="000B5105"/>
    <w:rsid w:val="000B685C"/>
    <w:rsid w:val="000B743C"/>
    <w:rsid w:val="000C1257"/>
    <w:rsid w:val="000C20A0"/>
    <w:rsid w:val="000C4854"/>
    <w:rsid w:val="000C566E"/>
    <w:rsid w:val="000C6B77"/>
    <w:rsid w:val="000D0BBA"/>
    <w:rsid w:val="000D0ECE"/>
    <w:rsid w:val="000D16F8"/>
    <w:rsid w:val="000D1E03"/>
    <w:rsid w:val="000D5314"/>
    <w:rsid w:val="000D5A74"/>
    <w:rsid w:val="000D5E11"/>
    <w:rsid w:val="000D5F55"/>
    <w:rsid w:val="000D63F3"/>
    <w:rsid w:val="000D6D3D"/>
    <w:rsid w:val="000E0088"/>
    <w:rsid w:val="000E21F3"/>
    <w:rsid w:val="000E297F"/>
    <w:rsid w:val="000E43B0"/>
    <w:rsid w:val="000E746D"/>
    <w:rsid w:val="000E7B97"/>
    <w:rsid w:val="000F1E02"/>
    <w:rsid w:val="000F4488"/>
    <w:rsid w:val="00100634"/>
    <w:rsid w:val="00100FAB"/>
    <w:rsid w:val="00102358"/>
    <w:rsid w:val="00103FA2"/>
    <w:rsid w:val="00105CD3"/>
    <w:rsid w:val="00106564"/>
    <w:rsid w:val="00111A3E"/>
    <w:rsid w:val="0011217E"/>
    <w:rsid w:val="00112E8F"/>
    <w:rsid w:val="00113205"/>
    <w:rsid w:val="001132FE"/>
    <w:rsid w:val="00120792"/>
    <w:rsid w:val="001215AF"/>
    <w:rsid w:val="001268BC"/>
    <w:rsid w:val="0013175B"/>
    <w:rsid w:val="00134859"/>
    <w:rsid w:val="00135985"/>
    <w:rsid w:val="00136917"/>
    <w:rsid w:val="0013722E"/>
    <w:rsid w:val="00137FAB"/>
    <w:rsid w:val="00137FC1"/>
    <w:rsid w:val="00140F74"/>
    <w:rsid w:val="001412CF"/>
    <w:rsid w:val="0014202A"/>
    <w:rsid w:val="00147C0F"/>
    <w:rsid w:val="00147DCE"/>
    <w:rsid w:val="00152177"/>
    <w:rsid w:val="00153EB5"/>
    <w:rsid w:val="00154E0D"/>
    <w:rsid w:val="0015523C"/>
    <w:rsid w:val="001600E9"/>
    <w:rsid w:val="00160FEC"/>
    <w:rsid w:val="001610E5"/>
    <w:rsid w:val="00161BC8"/>
    <w:rsid w:val="00161C9A"/>
    <w:rsid w:val="00164197"/>
    <w:rsid w:val="00166BD4"/>
    <w:rsid w:val="00167BE7"/>
    <w:rsid w:val="001714F3"/>
    <w:rsid w:val="00172126"/>
    <w:rsid w:val="0018002B"/>
    <w:rsid w:val="00181B5D"/>
    <w:rsid w:val="001821F9"/>
    <w:rsid w:val="0018435D"/>
    <w:rsid w:val="00187F05"/>
    <w:rsid w:val="0019048F"/>
    <w:rsid w:val="001938F6"/>
    <w:rsid w:val="001957BF"/>
    <w:rsid w:val="0019603A"/>
    <w:rsid w:val="001A0294"/>
    <w:rsid w:val="001A0D77"/>
    <w:rsid w:val="001A196A"/>
    <w:rsid w:val="001A1D95"/>
    <w:rsid w:val="001A2565"/>
    <w:rsid w:val="001A44A9"/>
    <w:rsid w:val="001A4AFB"/>
    <w:rsid w:val="001A7CE7"/>
    <w:rsid w:val="001B0EA4"/>
    <w:rsid w:val="001B1762"/>
    <w:rsid w:val="001B17AC"/>
    <w:rsid w:val="001B2740"/>
    <w:rsid w:val="001B588D"/>
    <w:rsid w:val="001B59B5"/>
    <w:rsid w:val="001B78C0"/>
    <w:rsid w:val="001C0BF6"/>
    <w:rsid w:val="001C4BCF"/>
    <w:rsid w:val="001C5461"/>
    <w:rsid w:val="001C56C6"/>
    <w:rsid w:val="001C572D"/>
    <w:rsid w:val="001C6630"/>
    <w:rsid w:val="001C7835"/>
    <w:rsid w:val="001D16BE"/>
    <w:rsid w:val="001D4050"/>
    <w:rsid w:val="001D6443"/>
    <w:rsid w:val="001D6A86"/>
    <w:rsid w:val="001D7D9B"/>
    <w:rsid w:val="001E19BD"/>
    <w:rsid w:val="001F075F"/>
    <w:rsid w:val="001F13C1"/>
    <w:rsid w:val="001F1E9A"/>
    <w:rsid w:val="001F3577"/>
    <w:rsid w:val="001F36DE"/>
    <w:rsid w:val="001F3B4C"/>
    <w:rsid w:val="001F446D"/>
    <w:rsid w:val="001F6B0A"/>
    <w:rsid w:val="00200F7A"/>
    <w:rsid w:val="00201320"/>
    <w:rsid w:val="0020204A"/>
    <w:rsid w:val="00202609"/>
    <w:rsid w:val="00206A79"/>
    <w:rsid w:val="00206AD3"/>
    <w:rsid w:val="00206B20"/>
    <w:rsid w:val="00210CED"/>
    <w:rsid w:val="002112EC"/>
    <w:rsid w:val="00211C0E"/>
    <w:rsid w:val="00212C91"/>
    <w:rsid w:val="00212DCF"/>
    <w:rsid w:val="00212FE6"/>
    <w:rsid w:val="00214FA3"/>
    <w:rsid w:val="00217B0F"/>
    <w:rsid w:val="00221800"/>
    <w:rsid w:val="00221AB7"/>
    <w:rsid w:val="0022474B"/>
    <w:rsid w:val="00224C41"/>
    <w:rsid w:val="002258CF"/>
    <w:rsid w:val="00227712"/>
    <w:rsid w:val="00236E6A"/>
    <w:rsid w:val="00237667"/>
    <w:rsid w:val="00242795"/>
    <w:rsid w:val="00245036"/>
    <w:rsid w:val="002457DE"/>
    <w:rsid w:val="00245DA5"/>
    <w:rsid w:val="00246435"/>
    <w:rsid w:val="0024685B"/>
    <w:rsid w:val="00246BCF"/>
    <w:rsid w:val="00247414"/>
    <w:rsid w:val="00251245"/>
    <w:rsid w:val="00251CA2"/>
    <w:rsid w:val="00252A3E"/>
    <w:rsid w:val="00252BAA"/>
    <w:rsid w:val="00253965"/>
    <w:rsid w:val="00255ED0"/>
    <w:rsid w:val="00256720"/>
    <w:rsid w:val="002601BB"/>
    <w:rsid w:val="00265918"/>
    <w:rsid w:val="00267943"/>
    <w:rsid w:val="00267E47"/>
    <w:rsid w:val="00270834"/>
    <w:rsid w:val="00272E87"/>
    <w:rsid w:val="00273E86"/>
    <w:rsid w:val="00280468"/>
    <w:rsid w:val="002814E6"/>
    <w:rsid w:val="00281A54"/>
    <w:rsid w:val="00282AE5"/>
    <w:rsid w:val="00282C7C"/>
    <w:rsid w:val="002857E5"/>
    <w:rsid w:val="00286AEE"/>
    <w:rsid w:val="00287114"/>
    <w:rsid w:val="002936B4"/>
    <w:rsid w:val="00293DA6"/>
    <w:rsid w:val="002951E6"/>
    <w:rsid w:val="00295330"/>
    <w:rsid w:val="00296EF2"/>
    <w:rsid w:val="002A131A"/>
    <w:rsid w:val="002A1620"/>
    <w:rsid w:val="002A1759"/>
    <w:rsid w:val="002A4CD9"/>
    <w:rsid w:val="002A73D1"/>
    <w:rsid w:val="002B0577"/>
    <w:rsid w:val="002B331B"/>
    <w:rsid w:val="002B3898"/>
    <w:rsid w:val="002B3F5F"/>
    <w:rsid w:val="002B512C"/>
    <w:rsid w:val="002C1F34"/>
    <w:rsid w:val="002C2067"/>
    <w:rsid w:val="002C5D8D"/>
    <w:rsid w:val="002C62A3"/>
    <w:rsid w:val="002C797E"/>
    <w:rsid w:val="002C7DD6"/>
    <w:rsid w:val="002D4973"/>
    <w:rsid w:val="002D50CB"/>
    <w:rsid w:val="002D7310"/>
    <w:rsid w:val="002E0871"/>
    <w:rsid w:val="002E3F19"/>
    <w:rsid w:val="002E51D2"/>
    <w:rsid w:val="002E52CB"/>
    <w:rsid w:val="002E5881"/>
    <w:rsid w:val="002E6226"/>
    <w:rsid w:val="002E6EDB"/>
    <w:rsid w:val="002E7A0E"/>
    <w:rsid w:val="002E7EFA"/>
    <w:rsid w:val="002F3564"/>
    <w:rsid w:val="002F393F"/>
    <w:rsid w:val="002F509E"/>
    <w:rsid w:val="002F57C0"/>
    <w:rsid w:val="002F6386"/>
    <w:rsid w:val="002F6A86"/>
    <w:rsid w:val="002F766C"/>
    <w:rsid w:val="00300AD7"/>
    <w:rsid w:val="00302365"/>
    <w:rsid w:val="00303704"/>
    <w:rsid w:val="00305171"/>
    <w:rsid w:val="00306DB0"/>
    <w:rsid w:val="00312ED7"/>
    <w:rsid w:val="00323400"/>
    <w:rsid w:val="00326077"/>
    <w:rsid w:val="003268B5"/>
    <w:rsid w:val="00326A36"/>
    <w:rsid w:val="00330951"/>
    <w:rsid w:val="00332E6E"/>
    <w:rsid w:val="00333C26"/>
    <w:rsid w:val="00336ECB"/>
    <w:rsid w:val="00343346"/>
    <w:rsid w:val="00343D90"/>
    <w:rsid w:val="0034680A"/>
    <w:rsid w:val="00346BB9"/>
    <w:rsid w:val="00353B09"/>
    <w:rsid w:val="00354696"/>
    <w:rsid w:val="00354CDC"/>
    <w:rsid w:val="0035519A"/>
    <w:rsid w:val="0036059A"/>
    <w:rsid w:val="00360C78"/>
    <w:rsid w:val="00361F6D"/>
    <w:rsid w:val="00363FF8"/>
    <w:rsid w:val="003640E1"/>
    <w:rsid w:val="00366109"/>
    <w:rsid w:val="003718AC"/>
    <w:rsid w:val="00371B49"/>
    <w:rsid w:val="003722A7"/>
    <w:rsid w:val="00376491"/>
    <w:rsid w:val="0037721D"/>
    <w:rsid w:val="0038102A"/>
    <w:rsid w:val="0038134C"/>
    <w:rsid w:val="003833B4"/>
    <w:rsid w:val="003854C1"/>
    <w:rsid w:val="00385F73"/>
    <w:rsid w:val="00387187"/>
    <w:rsid w:val="003913DB"/>
    <w:rsid w:val="00392E1E"/>
    <w:rsid w:val="0039320B"/>
    <w:rsid w:val="00393519"/>
    <w:rsid w:val="00393830"/>
    <w:rsid w:val="0039479B"/>
    <w:rsid w:val="0039640A"/>
    <w:rsid w:val="003967D2"/>
    <w:rsid w:val="003979E7"/>
    <w:rsid w:val="003A435B"/>
    <w:rsid w:val="003A46DF"/>
    <w:rsid w:val="003A60EE"/>
    <w:rsid w:val="003A631A"/>
    <w:rsid w:val="003A743E"/>
    <w:rsid w:val="003A7ADE"/>
    <w:rsid w:val="003B2A34"/>
    <w:rsid w:val="003B6B5E"/>
    <w:rsid w:val="003B6E2C"/>
    <w:rsid w:val="003B6ECB"/>
    <w:rsid w:val="003B6FCE"/>
    <w:rsid w:val="003B7DB1"/>
    <w:rsid w:val="003C01D4"/>
    <w:rsid w:val="003C2CC3"/>
    <w:rsid w:val="003C3680"/>
    <w:rsid w:val="003C3DBF"/>
    <w:rsid w:val="003C4CF1"/>
    <w:rsid w:val="003C580D"/>
    <w:rsid w:val="003C69BF"/>
    <w:rsid w:val="003C6BFC"/>
    <w:rsid w:val="003D09EE"/>
    <w:rsid w:val="003D19B2"/>
    <w:rsid w:val="003D23A3"/>
    <w:rsid w:val="003D5856"/>
    <w:rsid w:val="003D746E"/>
    <w:rsid w:val="003D7DE6"/>
    <w:rsid w:val="003E6055"/>
    <w:rsid w:val="003E792A"/>
    <w:rsid w:val="003F0708"/>
    <w:rsid w:val="003F27A6"/>
    <w:rsid w:val="003F400C"/>
    <w:rsid w:val="003F471A"/>
    <w:rsid w:val="003F6D7A"/>
    <w:rsid w:val="003F6F1A"/>
    <w:rsid w:val="003F7E90"/>
    <w:rsid w:val="0040060F"/>
    <w:rsid w:val="00400F6B"/>
    <w:rsid w:val="00401A35"/>
    <w:rsid w:val="00401A7B"/>
    <w:rsid w:val="00404174"/>
    <w:rsid w:val="00404E4F"/>
    <w:rsid w:val="004064EC"/>
    <w:rsid w:val="004064F7"/>
    <w:rsid w:val="004123FF"/>
    <w:rsid w:val="00415118"/>
    <w:rsid w:val="0041667E"/>
    <w:rsid w:val="00416A73"/>
    <w:rsid w:val="00420F0E"/>
    <w:rsid w:val="0042339A"/>
    <w:rsid w:val="00423413"/>
    <w:rsid w:val="00423B15"/>
    <w:rsid w:val="00424CB8"/>
    <w:rsid w:val="0042508F"/>
    <w:rsid w:val="004257B7"/>
    <w:rsid w:val="00425FB1"/>
    <w:rsid w:val="00430C80"/>
    <w:rsid w:val="0043326D"/>
    <w:rsid w:val="00434F85"/>
    <w:rsid w:val="004379C2"/>
    <w:rsid w:val="004400E8"/>
    <w:rsid w:val="00442A8C"/>
    <w:rsid w:val="00442F4B"/>
    <w:rsid w:val="0044495D"/>
    <w:rsid w:val="00445D32"/>
    <w:rsid w:val="0044668B"/>
    <w:rsid w:val="0044716D"/>
    <w:rsid w:val="00447E96"/>
    <w:rsid w:val="004508FB"/>
    <w:rsid w:val="00450C80"/>
    <w:rsid w:val="00451629"/>
    <w:rsid w:val="004517D4"/>
    <w:rsid w:val="004532C7"/>
    <w:rsid w:val="004544D6"/>
    <w:rsid w:val="00460C09"/>
    <w:rsid w:val="00461CE9"/>
    <w:rsid w:val="00462407"/>
    <w:rsid w:val="00462FF5"/>
    <w:rsid w:val="004631DD"/>
    <w:rsid w:val="004635FD"/>
    <w:rsid w:val="00465D6B"/>
    <w:rsid w:val="00466ECD"/>
    <w:rsid w:val="00470129"/>
    <w:rsid w:val="004728A0"/>
    <w:rsid w:val="004742DD"/>
    <w:rsid w:val="00475231"/>
    <w:rsid w:val="0047612F"/>
    <w:rsid w:val="00477F2E"/>
    <w:rsid w:val="00482279"/>
    <w:rsid w:val="00484C73"/>
    <w:rsid w:val="00484E96"/>
    <w:rsid w:val="00486102"/>
    <w:rsid w:val="00486C1B"/>
    <w:rsid w:val="004874C5"/>
    <w:rsid w:val="00490F71"/>
    <w:rsid w:val="00496700"/>
    <w:rsid w:val="0049695F"/>
    <w:rsid w:val="004A1722"/>
    <w:rsid w:val="004A1723"/>
    <w:rsid w:val="004A2FB8"/>
    <w:rsid w:val="004A33CF"/>
    <w:rsid w:val="004A40A7"/>
    <w:rsid w:val="004A5586"/>
    <w:rsid w:val="004A5BE3"/>
    <w:rsid w:val="004B0C87"/>
    <w:rsid w:val="004B1531"/>
    <w:rsid w:val="004B237F"/>
    <w:rsid w:val="004B3690"/>
    <w:rsid w:val="004B392A"/>
    <w:rsid w:val="004B3D1B"/>
    <w:rsid w:val="004B5356"/>
    <w:rsid w:val="004B609E"/>
    <w:rsid w:val="004C055B"/>
    <w:rsid w:val="004C0A9E"/>
    <w:rsid w:val="004C34D2"/>
    <w:rsid w:val="004C4065"/>
    <w:rsid w:val="004C4823"/>
    <w:rsid w:val="004C4E3E"/>
    <w:rsid w:val="004C6F6C"/>
    <w:rsid w:val="004D08B3"/>
    <w:rsid w:val="004D0B2A"/>
    <w:rsid w:val="004D0BF1"/>
    <w:rsid w:val="004D4226"/>
    <w:rsid w:val="004D465B"/>
    <w:rsid w:val="004D6E9D"/>
    <w:rsid w:val="004E1217"/>
    <w:rsid w:val="004E1233"/>
    <w:rsid w:val="004E1DA4"/>
    <w:rsid w:val="004E229D"/>
    <w:rsid w:val="004E28C6"/>
    <w:rsid w:val="004E6DE1"/>
    <w:rsid w:val="004F10E0"/>
    <w:rsid w:val="004F138F"/>
    <w:rsid w:val="004F1CEA"/>
    <w:rsid w:val="004F2D0A"/>
    <w:rsid w:val="004F33D0"/>
    <w:rsid w:val="004F420C"/>
    <w:rsid w:val="004F74E8"/>
    <w:rsid w:val="004F7CD4"/>
    <w:rsid w:val="00500123"/>
    <w:rsid w:val="0050133D"/>
    <w:rsid w:val="005013FF"/>
    <w:rsid w:val="0050233C"/>
    <w:rsid w:val="00503AF5"/>
    <w:rsid w:val="00504EAD"/>
    <w:rsid w:val="0050670B"/>
    <w:rsid w:val="0050726F"/>
    <w:rsid w:val="00507F52"/>
    <w:rsid w:val="00511B29"/>
    <w:rsid w:val="005124ED"/>
    <w:rsid w:val="005141E8"/>
    <w:rsid w:val="00516A89"/>
    <w:rsid w:val="00517257"/>
    <w:rsid w:val="00517667"/>
    <w:rsid w:val="00521244"/>
    <w:rsid w:val="00521D53"/>
    <w:rsid w:val="00527A18"/>
    <w:rsid w:val="00527EDE"/>
    <w:rsid w:val="00533104"/>
    <w:rsid w:val="005351E7"/>
    <w:rsid w:val="00535D93"/>
    <w:rsid w:val="00536D8B"/>
    <w:rsid w:val="00536DDF"/>
    <w:rsid w:val="005374BA"/>
    <w:rsid w:val="005406FE"/>
    <w:rsid w:val="00540B70"/>
    <w:rsid w:val="00543866"/>
    <w:rsid w:val="00543A11"/>
    <w:rsid w:val="005452E6"/>
    <w:rsid w:val="00550C02"/>
    <w:rsid w:val="00550C99"/>
    <w:rsid w:val="00553413"/>
    <w:rsid w:val="00555AB2"/>
    <w:rsid w:val="005574FE"/>
    <w:rsid w:val="00560641"/>
    <w:rsid w:val="00560B50"/>
    <w:rsid w:val="00561129"/>
    <w:rsid w:val="00561413"/>
    <w:rsid w:val="00562410"/>
    <w:rsid w:val="00562F80"/>
    <w:rsid w:val="00563C4E"/>
    <w:rsid w:val="005643F0"/>
    <w:rsid w:val="00571371"/>
    <w:rsid w:val="0057138A"/>
    <w:rsid w:val="00571C54"/>
    <w:rsid w:val="00573573"/>
    <w:rsid w:val="005754AB"/>
    <w:rsid w:val="00576977"/>
    <w:rsid w:val="005769A0"/>
    <w:rsid w:val="0057728F"/>
    <w:rsid w:val="0057744F"/>
    <w:rsid w:val="0058025E"/>
    <w:rsid w:val="005802C5"/>
    <w:rsid w:val="00581021"/>
    <w:rsid w:val="00581594"/>
    <w:rsid w:val="00581B5A"/>
    <w:rsid w:val="005826F4"/>
    <w:rsid w:val="00582DED"/>
    <w:rsid w:val="0058369E"/>
    <w:rsid w:val="00585395"/>
    <w:rsid w:val="00587AE8"/>
    <w:rsid w:val="00590D09"/>
    <w:rsid w:val="0059156A"/>
    <w:rsid w:val="00591772"/>
    <w:rsid w:val="00592D93"/>
    <w:rsid w:val="00593314"/>
    <w:rsid w:val="0059368E"/>
    <w:rsid w:val="00593BF5"/>
    <w:rsid w:val="00594496"/>
    <w:rsid w:val="0059526A"/>
    <w:rsid w:val="005956D3"/>
    <w:rsid w:val="00595EF3"/>
    <w:rsid w:val="00596365"/>
    <w:rsid w:val="005965BC"/>
    <w:rsid w:val="00596F28"/>
    <w:rsid w:val="00597274"/>
    <w:rsid w:val="005A3560"/>
    <w:rsid w:val="005A3AEC"/>
    <w:rsid w:val="005A451A"/>
    <w:rsid w:val="005A46D8"/>
    <w:rsid w:val="005A49F0"/>
    <w:rsid w:val="005A53B4"/>
    <w:rsid w:val="005A5B84"/>
    <w:rsid w:val="005A7E78"/>
    <w:rsid w:val="005B0124"/>
    <w:rsid w:val="005B03ED"/>
    <w:rsid w:val="005B1776"/>
    <w:rsid w:val="005B1BA3"/>
    <w:rsid w:val="005B1BEF"/>
    <w:rsid w:val="005B2F24"/>
    <w:rsid w:val="005B32FB"/>
    <w:rsid w:val="005B42F3"/>
    <w:rsid w:val="005B7FE4"/>
    <w:rsid w:val="005C05E0"/>
    <w:rsid w:val="005C239F"/>
    <w:rsid w:val="005C378D"/>
    <w:rsid w:val="005C37E0"/>
    <w:rsid w:val="005C4E38"/>
    <w:rsid w:val="005C54B9"/>
    <w:rsid w:val="005C5A1C"/>
    <w:rsid w:val="005C6360"/>
    <w:rsid w:val="005C6618"/>
    <w:rsid w:val="005C67BB"/>
    <w:rsid w:val="005D0189"/>
    <w:rsid w:val="005D4C4F"/>
    <w:rsid w:val="005D58C6"/>
    <w:rsid w:val="005E159B"/>
    <w:rsid w:val="005E1E3F"/>
    <w:rsid w:val="005E43E4"/>
    <w:rsid w:val="005E4470"/>
    <w:rsid w:val="005E5794"/>
    <w:rsid w:val="005E6B6D"/>
    <w:rsid w:val="005F0EBD"/>
    <w:rsid w:val="005F1D9C"/>
    <w:rsid w:val="005F2FC4"/>
    <w:rsid w:val="005F6824"/>
    <w:rsid w:val="00600B16"/>
    <w:rsid w:val="00602BFE"/>
    <w:rsid w:val="00603FD5"/>
    <w:rsid w:val="00607F03"/>
    <w:rsid w:val="00610627"/>
    <w:rsid w:val="0061090D"/>
    <w:rsid w:val="00610F6C"/>
    <w:rsid w:val="00611324"/>
    <w:rsid w:val="006125B1"/>
    <w:rsid w:val="00615C59"/>
    <w:rsid w:val="006160A4"/>
    <w:rsid w:val="00616DC8"/>
    <w:rsid w:val="00620548"/>
    <w:rsid w:val="00623D04"/>
    <w:rsid w:val="00624B90"/>
    <w:rsid w:val="00625171"/>
    <w:rsid w:val="0062599B"/>
    <w:rsid w:val="0062684C"/>
    <w:rsid w:val="00630E6C"/>
    <w:rsid w:val="00630F02"/>
    <w:rsid w:val="00633E90"/>
    <w:rsid w:val="0063439C"/>
    <w:rsid w:val="0063504D"/>
    <w:rsid w:val="0064180F"/>
    <w:rsid w:val="0064268F"/>
    <w:rsid w:val="00644AB3"/>
    <w:rsid w:val="00646901"/>
    <w:rsid w:val="006475BD"/>
    <w:rsid w:val="006527FF"/>
    <w:rsid w:val="0065333E"/>
    <w:rsid w:val="006550F5"/>
    <w:rsid w:val="00656A8A"/>
    <w:rsid w:val="0065707D"/>
    <w:rsid w:val="0066060C"/>
    <w:rsid w:val="00661393"/>
    <w:rsid w:val="00662209"/>
    <w:rsid w:val="00663974"/>
    <w:rsid w:val="00663EF1"/>
    <w:rsid w:val="0066483E"/>
    <w:rsid w:val="006703BE"/>
    <w:rsid w:val="00670D9F"/>
    <w:rsid w:val="00670F22"/>
    <w:rsid w:val="00671F4B"/>
    <w:rsid w:val="006746AE"/>
    <w:rsid w:val="006749ED"/>
    <w:rsid w:val="00681434"/>
    <w:rsid w:val="0068195E"/>
    <w:rsid w:val="0068339B"/>
    <w:rsid w:val="00683BC0"/>
    <w:rsid w:val="00684884"/>
    <w:rsid w:val="00686857"/>
    <w:rsid w:val="0068724F"/>
    <w:rsid w:val="00692CD1"/>
    <w:rsid w:val="00693E34"/>
    <w:rsid w:val="006A0711"/>
    <w:rsid w:val="006A17E4"/>
    <w:rsid w:val="006A1DEF"/>
    <w:rsid w:val="006A5004"/>
    <w:rsid w:val="006A7069"/>
    <w:rsid w:val="006B0CC0"/>
    <w:rsid w:val="006C1ED2"/>
    <w:rsid w:val="006C2E46"/>
    <w:rsid w:val="006C2F63"/>
    <w:rsid w:val="006C36D5"/>
    <w:rsid w:val="006C3DE5"/>
    <w:rsid w:val="006C4AF4"/>
    <w:rsid w:val="006C4C82"/>
    <w:rsid w:val="006C4E67"/>
    <w:rsid w:val="006C5779"/>
    <w:rsid w:val="006C692C"/>
    <w:rsid w:val="006D03B1"/>
    <w:rsid w:val="006D095B"/>
    <w:rsid w:val="006D37B7"/>
    <w:rsid w:val="006D3F2F"/>
    <w:rsid w:val="006D4F09"/>
    <w:rsid w:val="006D5571"/>
    <w:rsid w:val="006D5F4F"/>
    <w:rsid w:val="006D607B"/>
    <w:rsid w:val="006E3536"/>
    <w:rsid w:val="006E4092"/>
    <w:rsid w:val="006E4FA1"/>
    <w:rsid w:val="006E6C74"/>
    <w:rsid w:val="006F1A85"/>
    <w:rsid w:val="006F23EA"/>
    <w:rsid w:val="006F5B8C"/>
    <w:rsid w:val="00701100"/>
    <w:rsid w:val="00707610"/>
    <w:rsid w:val="00711164"/>
    <w:rsid w:val="00714488"/>
    <w:rsid w:val="007158C6"/>
    <w:rsid w:val="007174B1"/>
    <w:rsid w:val="00717BE7"/>
    <w:rsid w:val="00720507"/>
    <w:rsid w:val="007215EF"/>
    <w:rsid w:val="007301C9"/>
    <w:rsid w:val="007316F5"/>
    <w:rsid w:val="00731AB8"/>
    <w:rsid w:val="00734C21"/>
    <w:rsid w:val="00734C29"/>
    <w:rsid w:val="007351AD"/>
    <w:rsid w:val="007373F6"/>
    <w:rsid w:val="007401E5"/>
    <w:rsid w:val="00742F0D"/>
    <w:rsid w:val="00743548"/>
    <w:rsid w:val="00743646"/>
    <w:rsid w:val="00744120"/>
    <w:rsid w:val="00744A62"/>
    <w:rsid w:val="007463A4"/>
    <w:rsid w:val="00746988"/>
    <w:rsid w:val="00750F6C"/>
    <w:rsid w:val="0075386F"/>
    <w:rsid w:val="00754C18"/>
    <w:rsid w:val="00757738"/>
    <w:rsid w:val="00757FF0"/>
    <w:rsid w:val="00760304"/>
    <w:rsid w:val="0076076F"/>
    <w:rsid w:val="00760E1B"/>
    <w:rsid w:val="00761349"/>
    <w:rsid w:val="00762533"/>
    <w:rsid w:val="00762F69"/>
    <w:rsid w:val="007633E6"/>
    <w:rsid w:val="00764959"/>
    <w:rsid w:val="00764FE1"/>
    <w:rsid w:val="00765069"/>
    <w:rsid w:val="007659E2"/>
    <w:rsid w:val="007669DE"/>
    <w:rsid w:val="00767821"/>
    <w:rsid w:val="00767EAE"/>
    <w:rsid w:val="00770DB0"/>
    <w:rsid w:val="00771A97"/>
    <w:rsid w:val="00772069"/>
    <w:rsid w:val="0077357C"/>
    <w:rsid w:val="00775165"/>
    <w:rsid w:val="00777010"/>
    <w:rsid w:val="007772A1"/>
    <w:rsid w:val="00777C51"/>
    <w:rsid w:val="00777F6E"/>
    <w:rsid w:val="00781259"/>
    <w:rsid w:val="00784C2E"/>
    <w:rsid w:val="0078533C"/>
    <w:rsid w:val="00794A86"/>
    <w:rsid w:val="00795A5B"/>
    <w:rsid w:val="00796956"/>
    <w:rsid w:val="00797E48"/>
    <w:rsid w:val="007A0363"/>
    <w:rsid w:val="007B017C"/>
    <w:rsid w:val="007B0907"/>
    <w:rsid w:val="007B1608"/>
    <w:rsid w:val="007B1F71"/>
    <w:rsid w:val="007B4A89"/>
    <w:rsid w:val="007B5C0D"/>
    <w:rsid w:val="007C0C06"/>
    <w:rsid w:val="007C3475"/>
    <w:rsid w:val="007C3501"/>
    <w:rsid w:val="007C7265"/>
    <w:rsid w:val="007C741E"/>
    <w:rsid w:val="007D1569"/>
    <w:rsid w:val="007D25EB"/>
    <w:rsid w:val="007D4C17"/>
    <w:rsid w:val="007D5F72"/>
    <w:rsid w:val="007E1A38"/>
    <w:rsid w:val="007E2A59"/>
    <w:rsid w:val="007F031E"/>
    <w:rsid w:val="007F1982"/>
    <w:rsid w:val="007F24D3"/>
    <w:rsid w:val="007F2E64"/>
    <w:rsid w:val="007F387C"/>
    <w:rsid w:val="007F4480"/>
    <w:rsid w:val="007F4EE3"/>
    <w:rsid w:val="007F6C9C"/>
    <w:rsid w:val="008017BC"/>
    <w:rsid w:val="008025D7"/>
    <w:rsid w:val="0080322B"/>
    <w:rsid w:val="008035BF"/>
    <w:rsid w:val="008035C3"/>
    <w:rsid w:val="00803F26"/>
    <w:rsid w:val="0080409A"/>
    <w:rsid w:val="00804B8B"/>
    <w:rsid w:val="00806F63"/>
    <w:rsid w:val="00807F06"/>
    <w:rsid w:val="008109C2"/>
    <w:rsid w:val="00811164"/>
    <w:rsid w:val="00811196"/>
    <w:rsid w:val="00814359"/>
    <w:rsid w:val="0081533C"/>
    <w:rsid w:val="008161D7"/>
    <w:rsid w:val="00817DDA"/>
    <w:rsid w:val="00820661"/>
    <w:rsid w:val="00822E65"/>
    <w:rsid w:val="00823B3B"/>
    <w:rsid w:val="0082437F"/>
    <w:rsid w:val="008249C2"/>
    <w:rsid w:val="00825C9E"/>
    <w:rsid w:val="0082740E"/>
    <w:rsid w:val="00834975"/>
    <w:rsid w:val="00835158"/>
    <w:rsid w:val="00836262"/>
    <w:rsid w:val="00836E3A"/>
    <w:rsid w:val="00837210"/>
    <w:rsid w:val="00840748"/>
    <w:rsid w:val="00840950"/>
    <w:rsid w:val="00840CAD"/>
    <w:rsid w:val="0084147D"/>
    <w:rsid w:val="00841C34"/>
    <w:rsid w:val="0084238D"/>
    <w:rsid w:val="00843811"/>
    <w:rsid w:val="008461F8"/>
    <w:rsid w:val="008467B2"/>
    <w:rsid w:val="008472B8"/>
    <w:rsid w:val="00847532"/>
    <w:rsid w:val="008519CD"/>
    <w:rsid w:val="008529A2"/>
    <w:rsid w:val="0085439B"/>
    <w:rsid w:val="008579B4"/>
    <w:rsid w:val="00862704"/>
    <w:rsid w:val="00864FC8"/>
    <w:rsid w:val="00871A6C"/>
    <w:rsid w:val="00872576"/>
    <w:rsid w:val="0087276C"/>
    <w:rsid w:val="00872A6F"/>
    <w:rsid w:val="008750FE"/>
    <w:rsid w:val="00875BC2"/>
    <w:rsid w:val="00875CCB"/>
    <w:rsid w:val="00877B99"/>
    <w:rsid w:val="00883294"/>
    <w:rsid w:val="008833F3"/>
    <w:rsid w:val="008852A4"/>
    <w:rsid w:val="00885922"/>
    <w:rsid w:val="00887423"/>
    <w:rsid w:val="008912E0"/>
    <w:rsid w:val="00893DD1"/>
    <w:rsid w:val="00896649"/>
    <w:rsid w:val="00897793"/>
    <w:rsid w:val="008A1632"/>
    <w:rsid w:val="008A52FD"/>
    <w:rsid w:val="008A6F83"/>
    <w:rsid w:val="008B05C3"/>
    <w:rsid w:val="008B1134"/>
    <w:rsid w:val="008B1735"/>
    <w:rsid w:val="008B1FF3"/>
    <w:rsid w:val="008B2068"/>
    <w:rsid w:val="008B4765"/>
    <w:rsid w:val="008B4965"/>
    <w:rsid w:val="008B4D32"/>
    <w:rsid w:val="008B5060"/>
    <w:rsid w:val="008B62FC"/>
    <w:rsid w:val="008B78B1"/>
    <w:rsid w:val="008B7970"/>
    <w:rsid w:val="008C1CCF"/>
    <w:rsid w:val="008C412E"/>
    <w:rsid w:val="008C54AD"/>
    <w:rsid w:val="008C645E"/>
    <w:rsid w:val="008D0EEB"/>
    <w:rsid w:val="008D19FD"/>
    <w:rsid w:val="008D1ABD"/>
    <w:rsid w:val="008D2321"/>
    <w:rsid w:val="008D3A0D"/>
    <w:rsid w:val="008D600F"/>
    <w:rsid w:val="008D723A"/>
    <w:rsid w:val="008E0625"/>
    <w:rsid w:val="008E18C2"/>
    <w:rsid w:val="008E25D6"/>
    <w:rsid w:val="008E3B89"/>
    <w:rsid w:val="008E4100"/>
    <w:rsid w:val="008E7BD4"/>
    <w:rsid w:val="008E7DBA"/>
    <w:rsid w:val="008E7E9D"/>
    <w:rsid w:val="008F0A95"/>
    <w:rsid w:val="008F11DC"/>
    <w:rsid w:val="008F4C35"/>
    <w:rsid w:val="008F567D"/>
    <w:rsid w:val="008F6F1A"/>
    <w:rsid w:val="008F7897"/>
    <w:rsid w:val="0090137A"/>
    <w:rsid w:val="00903370"/>
    <w:rsid w:val="009045F7"/>
    <w:rsid w:val="0090554A"/>
    <w:rsid w:val="0091100C"/>
    <w:rsid w:val="0091349A"/>
    <w:rsid w:val="00913F4C"/>
    <w:rsid w:val="00914399"/>
    <w:rsid w:val="0091530C"/>
    <w:rsid w:val="009158BF"/>
    <w:rsid w:val="00922141"/>
    <w:rsid w:val="009254FF"/>
    <w:rsid w:val="00930A4A"/>
    <w:rsid w:val="00933E08"/>
    <w:rsid w:val="009342FC"/>
    <w:rsid w:val="009353A4"/>
    <w:rsid w:val="00936068"/>
    <w:rsid w:val="0094233B"/>
    <w:rsid w:val="00943806"/>
    <w:rsid w:val="00943B1C"/>
    <w:rsid w:val="0094416D"/>
    <w:rsid w:val="00946351"/>
    <w:rsid w:val="00947566"/>
    <w:rsid w:val="0095047B"/>
    <w:rsid w:val="009517CC"/>
    <w:rsid w:val="00951894"/>
    <w:rsid w:val="0095655D"/>
    <w:rsid w:val="00957475"/>
    <w:rsid w:val="00957C91"/>
    <w:rsid w:val="009615D4"/>
    <w:rsid w:val="00962905"/>
    <w:rsid w:val="0096707A"/>
    <w:rsid w:val="00967F3A"/>
    <w:rsid w:val="00970A20"/>
    <w:rsid w:val="0097163D"/>
    <w:rsid w:val="00971B37"/>
    <w:rsid w:val="009721F8"/>
    <w:rsid w:val="00974677"/>
    <w:rsid w:val="00974D74"/>
    <w:rsid w:val="009754B1"/>
    <w:rsid w:val="00975ED6"/>
    <w:rsid w:val="00976023"/>
    <w:rsid w:val="00977909"/>
    <w:rsid w:val="00980461"/>
    <w:rsid w:val="0098188E"/>
    <w:rsid w:val="00984335"/>
    <w:rsid w:val="00985CA0"/>
    <w:rsid w:val="009864AF"/>
    <w:rsid w:val="00986D07"/>
    <w:rsid w:val="009901F4"/>
    <w:rsid w:val="00991560"/>
    <w:rsid w:val="00992E8E"/>
    <w:rsid w:val="00995D90"/>
    <w:rsid w:val="009969C3"/>
    <w:rsid w:val="00997183"/>
    <w:rsid w:val="009A2F17"/>
    <w:rsid w:val="009A35DF"/>
    <w:rsid w:val="009A3C2B"/>
    <w:rsid w:val="009A5031"/>
    <w:rsid w:val="009A63CC"/>
    <w:rsid w:val="009A66EE"/>
    <w:rsid w:val="009B06F2"/>
    <w:rsid w:val="009B0F16"/>
    <w:rsid w:val="009B313A"/>
    <w:rsid w:val="009B3D6C"/>
    <w:rsid w:val="009B50EC"/>
    <w:rsid w:val="009C1B63"/>
    <w:rsid w:val="009C1E05"/>
    <w:rsid w:val="009C2E1F"/>
    <w:rsid w:val="009C6075"/>
    <w:rsid w:val="009C6EAF"/>
    <w:rsid w:val="009D24F5"/>
    <w:rsid w:val="009D32C7"/>
    <w:rsid w:val="009E19A3"/>
    <w:rsid w:val="009E2082"/>
    <w:rsid w:val="009E2BF5"/>
    <w:rsid w:val="009E4DC0"/>
    <w:rsid w:val="009E5E11"/>
    <w:rsid w:val="009E78C8"/>
    <w:rsid w:val="009F11E2"/>
    <w:rsid w:val="009F6B06"/>
    <w:rsid w:val="009F7AD0"/>
    <w:rsid w:val="00A01169"/>
    <w:rsid w:val="00A072C3"/>
    <w:rsid w:val="00A0757A"/>
    <w:rsid w:val="00A128B7"/>
    <w:rsid w:val="00A13664"/>
    <w:rsid w:val="00A14361"/>
    <w:rsid w:val="00A17114"/>
    <w:rsid w:val="00A17CB2"/>
    <w:rsid w:val="00A20384"/>
    <w:rsid w:val="00A21245"/>
    <w:rsid w:val="00A233A9"/>
    <w:rsid w:val="00A24758"/>
    <w:rsid w:val="00A25117"/>
    <w:rsid w:val="00A25E69"/>
    <w:rsid w:val="00A416AD"/>
    <w:rsid w:val="00A44A88"/>
    <w:rsid w:val="00A45BA2"/>
    <w:rsid w:val="00A471AE"/>
    <w:rsid w:val="00A50CD9"/>
    <w:rsid w:val="00A51374"/>
    <w:rsid w:val="00A5529A"/>
    <w:rsid w:val="00A55A85"/>
    <w:rsid w:val="00A56CEF"/>
    <w:rsid w:val="00A5703F"/>
    <w:rsid w:val="00A60479"/>
    <w:rsid w:val="00A60CF6"/>
    <w:rsid w:val="00A62E36"/>
    <w:rsid w:val="00A64DB0"/>
    <w:rsid w:val="00A65DCB"/>
    <w:rsid w:val="00A66D36"/>
    <w:rsid w:val="00A70982"/>
    <w:rsid w:val="00A75DCB"/>
    <w:rsid w:val="00A76B2B"/>
    <w:rsid w:val="00A771AF"/>
    <w:rsid w:val="00A8183A"/>
    <w:rsid w:val="00A836B5"/>
    <w:rsid w:val="00A84F48"/>
    <w:rsid w:val="00A85DEF"/>
    <w:rsid w:val="00A86051"/>
    <w:rsid w:val="00A8625F"/>
    <w:rsid w:val="00A87AB4"/>
    <w:rsid w:val="00A87B2E"/>
    <w:rsid w:val="00A87E7A"/>
    <w:rsid w:val="00A90151"/>
    <w:rsid w:val="00A90256"/>
    <w:rsid w:val="00A92664"/>
    <w:rsid w:val="00A92751"/>
    <w:rsid w:val="00A9359B"/>
    <w:rsid w:val="00A9545C"/>
    <w:rsid w:val="00A95885"/>
    <w:rsid w:val="00A970A6"/>
    <w:rsid w:val="00A97406"/>
    <w:rsid w:val="00AA12FB"/>
    <w:rsid w:val="00AA163B"/>
    <w:rsid w:val="00AA3569"/>
    <w:rsid w:val="00AA7CF1"/>
    <w:rsid w:val="00AB0C8C"/>
    <w:rsid w:val="00AB10F4"/>
    <w:rsid w:val="00AB2B1C"/>
    <w:rsid w:val="00AB2D17"/>
    <w:rsid w:val="00AB34AD"/>
    <w:rsid w:val="00AB46E2"/>
    <w:rsid w:val="00AB4853"/>
    <w:rsid w:val="00AB4883"/>
    <w:rsid w:val="00AB52FF"/>
    <w:rsid w:val="00AC02A7"/>
    <w:rsid w:val="00AC2D47"/>
    <w:rsid w:val="00AC4F7C"/>
    <w:rsid w:val="00AC587D"/>
    <w:rsid w:val="00AC66D1"/>
    <w:rsid w:val="00AC7869"/>
    <w:rsid w:val="00AD031F"/>
    <w:rsid w:val="00AD1AA2"/>
    <w:rsid w:val="00AD2DBD"/>
    <w:rsid w:val="00AD3EB8"/>
    <w:rsid w:val="00AD728F"/>
    <w:rsid w:val="00AD7A30"/>
    <w:rsid w:val="00AE2688"/>
    <w:rsid w:val="00AE4ED6"/>
    <w:rsid w:val="00AE5C2C"/>
    <w:rsid w:val="00AE5D0F"/>
    <w:rsid w:val="00AF28A2"/>
    <w:rsid w:val="00AF28E0"/>
    <w:rsid w:val="00AF3507"/>
    <w:rsid w:val="00AF3BD9"/>
    <w:rsid w:val="00AF479F"/>
    <w:rsid w:val="00AF4B91"/>
    <w:rsid w:val="00AF4D5B"/>
    <w:rsid w:val="00AF5986"/>
    <w:rsid w:val="00B00449"/>
    <w:rsid w:val="00B0352F"/>
    <w:rsid w:val="00B044BC"/>
    <w:rsid w:val="00B04BFF"/>
    <w:rsid w:val="00B10F22"/>
    <w:rsid w:val="00B11183"/>
    <w:rsid w:val="00B11F80"/>
    <w:rsid w:val="00B14814"/>
    <w:rsid w:val="00B179AE"/>
    <w:rsid w:val="00B229FB"/>
    <w:rsid w:val="00B22D2A"/>
    <w:rsid w:val="00B23258"/>
    <w:rsid w:val="00B23603"/>
    <w:rsid w:val="00B239C4"/>
    <w:rsid w:val="00B25332"/>
    <w:rsid w:val="00B254FD"/>
    <w:rsid w:val="00B278BE"/>
    <w:rsid w:val="00B302FA"/>
    <w:rsid w:val="00B32D6C"/>
    <w:rsid w:val="00B32E39"/>
    <w:rsid w:val="00B335FD"/>
    <w:rsid w:val="00B33E1F"/>
    <w:rsid w:val="00B34048"/>
    <w:rsid w:val="00B342E3"/>
    <w:rsid w:val="00B35C4A"/>
    <w:rsid w:val="00B35DBE"/>
    <w:rsid w:val="00B36953"/>
    <w:rsid w:val="00B3749D"/>
    <w:rsid w:val="00B37651"/>
    <w:rsid w:val="00B40624"/>
    <w:rsid w:val="00B40667"/>
    <w:rsid w:val="00B427AC"/>
    <w:rsid w:val="00B42DBC"/>
    <w:rsid w:val="00B43EA0"/>
    <w:rsid w:val="00B443CC"/>
    <w:rsid w:val="00B470DA"/>
    <w:rsid w:val="00B472C9"/>
    <w:rsid w:val="00B507B5"/>
    <w:rsid w:val="00B50818"/>
    <w:rsid w:val="00B51379"/>
    <w:rsid w:val="00B614E9"/>
    <w:rsid w:val="00B643CC"/>
    <w:rsid w:val="00B64669"/>
    <w:rsid w:val="00B64C0D"/>
    <w:rsid w:val="00B65DAA"/>
    <w:rsid w:val="00B66B2F"/>
    <w:rsid w:val="00B6763D"/>
    <w:rsid w:val="00B707FB"/>
    <w:rsid w:val="00B709B7"/>
    <w:rsid w:val="00B712E0"/>
    <w:rsid w:val="00B720EC"/>
    <w:rsid w:val="00B744BA"/>
    <w:rsid w:val="00B74F7F"/>
    <w:rsid w:val="00B75B08"/>
    <w:rsid w:val="00B75FF0"/>
    <w:rsid w:val="00B7663C"/>
    <w:rsid w:val="00B81900"/>
    <w:rsid w:val="00B84869"/>
    <w:rsid w:val="00B86607"/>
    <w:rsid w:val="00B87196"/>
    <w:rsid w:val="00B87859"/>
    <w:rsid w:val="00B91D47"/>
    <w:rsid w:val="00B930B0"/>
    <w:rsid w:val="00B953E2"/>
    <w:rsid w:val="00BA3CB8"/>
    <w:rsid w:val="00BA4DAE"/>
    <w:rsid w:val="00BA52D0"/>
    <w:rsid w:val="00BA6F33"/>
    <w:rsid w:val="00BA7623"/>
    <w:rsid w:val="00BB34DE"/>
    <w:rsid w:val="00BB7DE3"/>
    <w:rsid w:val="00BB7F2A"/>
    <w:rsid w:val="00BC0DCE"/>
    <w:rsid w:val="00BC127C"/>
    <w:rsid w:val="00BC6606"/>
    <w:rsid w:val="00BC7A86"/>
    <w:rsid w:val="00BC7C1B"/>
    <w:rsid w:val="00BC7F3C"/>
    <w:rsid w:val="00BD190D"/>
    <w:rsid w:val="00BD4B45"/>
    <w:rsid w:val="00BD5B85"/>
    <w:rsid w:val="00BD67CF"/>
    <w:rsid w:val="00BE34E5"/>
    <w:rsid w:val="00BE548F"/>
    <w:rsid w:val="00BE71E6"/>
    <w:rsid w:val="00BF0A44"/>
    <w:rsid w:val="00BF0EF2"/>
    <w:rsid w:val="00BF11A0"/>
    <w:rsid w:val="00BF3158"/>
    <w:rsid w:val="00BF5798"/>
    <w:rsid w:val="00BF68C8"/>
    <w:rsid w:val="00BF6E21"/>
    <w:rsid w:val="00C016A3"/>
    <w:rsid w:val="00C01E68"/>
    <w:rsid w:val="00C02747"/>
    <w:rsid w:val="00C03886"/>
    <w:rsid w:val="00C10273"/>
    <w:rsid w:val="00C11924"/>
    <w:rsid w:val="00C13DE8"/>
    <w:rsid w:val="00C14016"/>
    <w:rsid w:val="00C142BD"/>
    <w:rsid w:val="00C16B49"/>
    <w:rsid w:val="00C17B40"/>
    <w:rsid w:val="00C21E4A"/>
    <w:rsid w:val="00C221A0"/>
    <w:rsid w:val="00C238D1"/>
    <w:rsid w:val="00C25C46"/>
    <w:rsid w:val="00C2771B"/>
    <w:rsid w:val="00C3117F"/>
    <w:rsid w:val="00C31E23"/>
    <w:rsid w:val="00C326F9"/>
    <w:rsid w:val="00C32E2D"/>
    <w:rsid w:val="00C357DA"/>
    <w:rsid w:val="00C35C10"/>
    <w:rsid w:val="00C36FFC"/>
    <w:rsid w:val="00C37A29"/>
    <w:rsid w:val="00C37D26"/>
    <w:rsid w:val="00C407A9"/>
    <w:rsid w:val="00C40CE0"/>
    <w:rsid w:val="00C40CE4"/>
    <w:rsid w:val="00C41D72"/>
    <w:rsid w:val="00C4454B"/>
    <w:rsid w:val="00C45BF1"/>
    <w:rsid w:val="00C464C6"/>
    <w:rsid w:val="00C47EFC"/>
    <w:rsid w:val="00C51255"/>
    <w:rsid w:val="00C51C29"/>
    <w:rsid w:val="00C55719"/>
    <w:rsid w:val="00C57970"/>
    <w:rsid w:val="00C6293F"/>
    <w:rsid w:val="00C6740E"/>
    <w:rsid w:val="00C7081E"/>
    <w:rsid w:val="00C70D80"/>
    <w:rsid w:val="00C70EFC"/>
    <w:rsid w:val="00C71688"/>
    <w:rsid w:val="00C74CA3"/>
    <w:rsid w:val="00C74DE4"/>
    <w:rsid w:val="00C74F70"/>
    <w:rsid w:val="00C75C56"/>
    <w:rsid w:val="00C76EAD"/>
    <w:rsid w:val="00C81620"/>
    <w:rsid w:val="00C816DB"/>
    <w:rsid w:val="00C82DC8"/>
    <w:rsid w:val="00C91910"/>
    <w:rsid w:val="00C92BDF"/>
    <w:rsid w:val="00C932F3"/>
    <w:rsid w:val="00C977D7"/>
    <w:rsid w:val="00CA0B3F"/>
    <w:rsid w:val="00CA0F7B"/>
    <w:rsid w:val="00CA4DE9"/>
    <w:rsid w:val="00CA74BC"/>
    <w:rsid w:val="00CA78E5"/>
    <w:rsid w:val="00CB00E5"/>
    <w:rsid w:val="00CB194B"/>
    <w:rsid w:val="00CB5EDB"/>
    <w:rsid w:val="00CC0375"/>
    <w:rsid w:val="00CC157E"/>
    <w:rsid w:val="00CC37C1"/>
    <w:rsid w:val="00CC3C59"/>
    <w:rsid w:val="00CC3DE4"/>
    <w:rsid w:val="00CC459B"/>
    <w:rsid w:val="00CC50AD"/>
    <w:rsid w:val="00CC5B75"/>
    <w:rsid w:val="00CC5F5B"/>
    <w:rsid w:val="00CD0ECA"/>
    <w:rsid w:val="00CD25C1"/>
    <w:rsid w:val="00CD4E91"/>
    <w:rsid w:val="00CD61EB"/>
    <w:rsid w:val="00CD6D59"/>
    <w:rsid w:val="00CD73AA"/>
    <w:rsid w:val="00CD7F44"/>
    <w:rsid w:val="00CE1BD8"/>
    <w:rsid w:val="00CE273E"/>
    <w:rsid w:val="00CE43AF"/>
    <w:rsid w:val="00CE4D3A"/>
    <w:rsid w:val="00CE61F0"/>
    <w:rsid w:val="00CE64FD"/>
    <w:rsid w:val="00CE690A"/>
    <w:rsid w:val="00CE7236"/>
    <w:rsid w:val="00CF02F0"/>
    <w:rsid w:val="00CF0398"/>
    <w:rsid w:val="00CF1228"/>
    <w:rsid w:val="00CF2CC2"/>
    <w:rsid w:val="00CF4BC6"/>
    <w:rsid w:val="00CF5E47"/>
    <w:rsid w:val="00CF77CB"/>
    <w:rsid w:val="00CF7F06"/>
    <w:rsid w:val="00D002E1"/>
    <w:rsid w:val="00D01615"/>
    <w:rsid w:val="00D020EF"/>
    <w:rsid w:val="00D02433"/>
    <w:rsid w:val="00D02B3A"/>
    <w:rsid w:val="00D03156"/>
    <w:rsid w:val="00D0352E"/>
    <w:rsid w:val="00D05879"/>
    <w:rsid w:val="00D10F14"/>
    <w:rsid w:val="00D111BF"/>
    <w:rsid w:val="00D1341D"/>
    <w:rsid w:val="00D14060"/>
    <w:rsid w:val="00D146B0"/>
    <w:rsid w:val="00D15113"/>
    <w:rsid w:val="00D15B7C"/>
    <w:rsid w:val="00D15B7D"/>
    <w:rsid w:val="00D16F74"/>
    <w:rsid w:val="00D17C74"/>
    <w:rsid w:val="00D17ED7"/>
    <w:rsid w:val="00D26777"/>
    <w:rsid w:val="00D30791"/>
    <w:rsid w:val="00D31E3E"/>
    <w:rsid w:val="00D330CA"/>
    <w:rsid w:val="00D3316D"/>
    <w:rsid w:val="00D33B52"/>
    <w:rsid w:val="00D37882"/>
    <w:rsid w:val="00D41FAF"/>
    <w:rsid w:val="00D46FD9"/>
    <w:rsid w:val="00D50953"/>
    <w:rsid w:val="00D52C9C"/>
    <w:rsid w:val="00D53EA1"/>
    <w:rsid w:val="00D5418B"/>
    <w:rsid w:val="00D544AA"/>
    <w:rsid w:val="00D547CD"/>
    <w:rsid w:val="00D56A06"/>
    <w:rsid w:val="00D60649"/>
    <w:rsid w:val="00D61E88"/>
    <w:rsid w:val="00D63174"/>
    <w:rsid w:val="00D635DD"/>
    <w:rsid w:val="00D6449E"/>
    <w:rsid w:val="00D64B03"/>
    <w:rsid w:val="00D65DCE"/>
    <w:rsid w:val="00D664F8"/>
    <w:rsid w:val="00D66778"/>
    <w:rsid w:val="00D7037B"/>
    <w:rsid w:val="00D71692"/>
    <w:rsid w:val="00D7197A"/>
    <w:rsid w:val="00D744A9"/>
    <w:rsid w:val="00D77689"/>
    <w:rsid w:val="00D833D0"/>
    <w:rsid w:val="00D83923"/>
    <w:rsid w:val="00D86E97"/>
    <w:rsid w:val="00D90A7A"/>
    <w:rsid w:val="00D91CAD"/>
    <w:rsid w:val="00D930F4"/>
    <w:rsid w:val="00D9419D"/>
    <w:rsid w:val="00D94B3D"/>
    <w:rsid w:val="00D953FC"/>
    <w:rsid w:val="00D95990"/>
    <w:rsid w:val="00D96F65"/>
    <w:rsid w:val="00DA136C"/>
    <w:rsid w:val="00DA263F"/>
    <w:rsid w:val="00DA3017"/>
    <w:rsid w:val="00DA5484"/>
    <w:rsid w:val="00DA71F4"/>
    <w:rsid w:val="00DB0178"/>
    <w:rsid w:val="00DB0572"/>
    <w:rsid w:val="00DB090A"/>
    <w:rsid w:val="00DB1087"/>
    <w:rsid w:val="00DB1482"/>
    <w:rsid w:val="00DB1601"/>
    <w:rsid w:val="00DB2191"/>
    <w:rsid w:val="00DB3485"/>
    <w:rsid w:val="00DB7E8D"/>
    <w:rsid w:val="00DC1012"/>
    <w:rsid w:val="00DC18D8"/>
    <w:rsid w:val="00DC1B37"/>
    <w:rsid w:val="00DC1FFE"/>
    <w:rsid w:val="00DC5DFF"/>
    <w:rsid w:val="00DC74CB"/>
    <w:rsid w:val="00DD134A"/>
    <w:rsid w:val="00DD3721"/>
    <w:rsid w:val="00DD3962"/>
    <w:rsid w:val="00DD4382"/>
    <w:rsid w:val="00DD6473"/>
    <w:rsid w:val="00DD6B97"/>
    <w:rsid w:val="00DE1BE5"/>
    <w:rsid w:val="00DE3558"/>
    <w:rsid w:val="00DE4006"/>
    <w:rsid w:val="00DE4EEA"/>
    <w:rsid w:val="00DE547D"/>
    <w:rsid w:val="00DE7190"/>
    <w:rsid w:val="00DF088C"/>
    <w:rsid w:val="00DF22E2"/>
    <w:rsid w:val="00DF4E3E"/>
    <w:rsid w:val="00DF50EF"/>
    <w:rsid w:val="00DF57D9"/>
    <w:rsid w:val="00DF5EA1"/>
    <w:rsid w:val="00DF60B9"/>
    <w:rsid w:val="00DF63B7"/>
    <w:rsid w:val="00E00A19"/>
    <w:rsid w:val="00E010CD"/>
    <w:rsid w:val="00E01AE9"/>
    <w:rsid w:val="00E0353E"/>
    <w:rsid w:val="00E0453D"/>
    <w:rsid w:val="00E05FA6"/>
    <w:rsid w:val="00E10BEB"/>
    <w:rsid w:val="00E15A2F"/>
    <w:rsid w:val="00E17021"/>
    <w:rsid w:val="00E22738"/>
    <w:rsid w:val="00E233AF"/>
    <w:rsid w:val="00E237B9"/>
    <w:rsid w:val="00E23E91"/>
    <w:rsid w:val="00E24CDC"/>
    <w:rsid w:val="00E24F1F"/>
    <w:rsid w:val="00E25474"/>
    <w:rsid w:val="00E30F3C"/>
    <w:rsid w:val="00E32975"/>
    <w:rsid w:val="00E32EE5"/>
    <w:rsid w:val="00E32F93"/>
    <w:rsid w:val="00E342A5"/>
    <w:rsid w:val="00E3552A"/>
    <w:rsid w:val="00E379F7"/>
    <w:rsid w:val="00E41066"/>
    <w:rsid w:val="00E4270F"/>
    <w:rsid w:val="00E4273F"/>
    <w:rsid w:val="00E43311"/>
    <w:rsid w:val="00E464D0"/>
    <w:rsid w:val="00E47107"/>
    <w:rsid w:val="00E474B3"/>
    <w:rsid w:val="00E54ACD"/>
    <w:rsid w:val="00E54B2B"/>
    <w:rsid w:val="00E613F5"/>
    <w:rsid w:val="00E61632"/>
    <w:rsid w:val="00E665BC"/>
    <w:rsid w:val="00E70DD7"/>
    <w:rsid w:val="00E71C52"/>
    <w:rsid w:val="00E72C03"/>
    <w:rsid w:val="00E72C0B"/>
    <w:rsid w:val="00E72EE0"/>
    <w:rsid w:val="00E73CF7"/>
    <w:rsid w:val="00E741FB"/>
    <w:rsid w:val="00E77EBA"/>
    <w:rsid w:val="00E8228E"/>
    <w:rsid w:val="00E83408"/>
    <w:rsid w:val="00E83891"/>
    <w:rsid w:val="00E83C1B"/>
    <w:rsid w:val="00E85CE7"/>
    <w:rsid w:val="00E86A30"/>
    <w:rsid w:val="00E877AB"/>
    <w:rsid w:val="00E90B7F"/>
    <w:rsid w:val="00E91A7E"/>
    <w:rsid w:val="00E91FED"/>
    <w:rsid w:val="00E95070"/>
    <w:rsid w:val="00EA1943"/>
    <w:rsid w:val="00EA2F29"/>
    <w:rsid w:val="00EA507B"/>
    <w:rsid w:val="00EA59D6"/>
    <w:rsid w:val="00EA6632"/>
    <w:rsid w:val="00EB0477"/>
    <w:rsid w:val="00EB04C6"/>
    <w:rsid w:val="00EB3F9D"/>
    <w:rsid w:val="00EB40A4"/>
    <w:rsid w:val="00EB5DC6"/>
    <w:rsid w:val="00EC1D48"/>
    <w:rsid w:val="00EC2A6A"/>
    <w:rsid w:val="00EC30DF"/>
    <w:rsid w:val="00EC5F58"/>
    <w:rsid w:val="00EC6E1E"/>
    <w:rsid w:val="00ED4983"/>
    <w:rsid w:val="00ED5B72"/>
    <w:rsid w:val="00EE0544"/>
    <w:rsid w:val="00EE4F5A"/>
    <w:rsid w:val="00EE54FB"/>
    <w:rsid w:val="00EE64C9"/>
    <w:rsid w:val="00EE6F14"/>
    <w:rsid w:val="00EF3F23"/>
    <w:rsid w:val="00EF662E"/>
    <w:rsid w:val="00F03E1A"/>
    <w:rsid w:val="00F04EA7"/>
    <w:rsid w:val="00F05459"/>
    <w:rsid w:val="00F054F5"/>
    <w:rsid w:val="00F07C89"/>
    <w:rsid w:val="00F07E5A"/>
    <w:rsid w:val="00F10C0C"/>
    <w:rsid w:val="00F10DED"/>
    <w:rsid w:val="00F1221C"/>
    <w:rsid w:val="00F162D4"/>
    <w:rsid w:val="00F17C55"/>
    <w:rsid w:val="00F2058B"/>
    <w:rsid w:val="00F21D06"/>
    <w:rsid w:val="00F220B6"/>
    <w:rsid w:val="00F24A6B"/>
    <w:rsid w:val="00F2574F"/>
    <w:rsid w:val="00F25AE6"/>
    <w:rsid w:val="00F2730A"/>
    <w:rsid w:val="00F3209B"/>
    <w:rsid w:val="00F3214C"/>
    <w:rsid w:val="00F322B1"/>
    <w:rsid w:val="00F33F8D"/>
    <w:rsid w:val="00F35955"/>
    <w:rsid w:val="00F37082"/>
    <w:rsid w:val="00F37AB0"/>
    <w:rsid w:val="00F37CB6"/>
    <w:rsid w:val="00F37F65"/>
    <w:rsid w:val="00F4010B"/>
    <w:rsid w:val="00F41F88"/>
    <w:rsid w:val="00F4450D"/>
    <w:rsid w:val="00F44CAF"/>
    <w:rsid w:val="00F45067"/>
    <w:rsid w:val="00F466D6"/>
    <w:rsid w:val="00F46E42"/>
    <w:rsid w:val="00F4702C"/>
    <w:rsid w:val="00F505B8"/>
    <w:rsid w:val="00F52DFC"/>
    <w:rsid w:val="00F53EFE"/>
    <w:rsid w:val="00F6006B"/>
    <w:rsid w:val="00F60BA2"/>
    <w:rsid w:val="00F634F6"/>
    <w:rsid w:val="00F7037F"/>
    <w:rsid w:val="00F70E76"/>
    <w:rsid w:val="00F71309"/>
    <w:rsid w:val="00F757A3"/>
    <w:rsid w:val="00F77B4D"/>
    <w:rsid w:val="00F80854"/>
    <w:rsid w:val="00F811A1"/>
    <w:rsid w:val="00F8671E"/>
    <w:rsid w:val="00F87B07"/>
    <w:rsid w:val="00F94880"/>
    <w:rsid w:val="00F97E11"/>
    <w:rsid w:val="00FA33D2"/>
    <w:rsid w:val="00FA64DE"/>
    <w:rsid w:val="00FA75C9"/>
    <w:rsid w:val="00FB016C"/>
    <w:rsid w:val="00FB2361"/>
    <w:rsid w:val="00FB2DC1"/>
    <w:rsid w:val="00FB2E4C"/>
    <w:rsid w:val="00FB4E93"/>
    <w:rsid w:val="00FB530A"/>
    <w:rsid w:val="00FB53CA"/>
    <w:rsid w:val="00FB6169"/>
    <w:rsid w:val="00FC0FFE"/>
    <w:rsid w:val="00FC2D8B"/>
    <w:rsid w:val="00FC7E4A"/>
    <w:rsid w:val="00FD05A7"/>
    <w:rsid w:val="00FD0F02"/>
    <w:rsid w:val="00FD1B0E"/>
    <w:rsid w:val="00FD3306"/>
    <w:rsid w:val="00FD36B1"/>
    <w:rsid w:val="00FD3ACB"/>
    <w:rsid w:val="00FD464C"/>
    <w:rsid w:val="00FD68DE"/>
    <w:rsid w:val="00FE1170"/>
    <w:rsid w:val="00FE20EF"/>
    <w:rsid w:val="00FE4E71"/>
    <w:rsid w:val="00FE5372"/>
    <w:rsid w:val="00FE59FD"/>
    <w:rsid w:val="00FE7F98"/>
    <w:rsid w:val="00FF010B"/>
    <w:rsid w:val="00FF232D"/>
    <w:rsid w:val="00FF2AAF"/>
    <w:rsid w:val="00FF2E7F"/>
    <w:rsid w:val="00FF306D"/>
    <w:rsid w:val="00FF3939"/>
    <w:rsid w:val="00FF599A"/>
    <w:rsid w:val="00FF59E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12200"/>
  <w15:chartTrackingRefBased/>
  <w15:docId w15:val="{912148BE-DFDC-4DBD-B72A-40F6C2DD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0A7DB7"/>
    <w:pPr>
      <w:spacing w:before="120" w:after="120" w:line="280" w:lineRule="atLeast"/>
    </w:pPr>
    <w:rPr>
      <w:sz w:val="20"/>
      <w:szCs w:val="20"/>
    </w:rPr>
  </w:style>
  <w:style w:type="paragraph" w:styleId="Heading1">
    <w:name w:val="heading 1"/>
    <w:basedOn w:val="Normal"/>
    <w:next w:val="BodyText"/>
    <w:link w:val="Heading1Char"/>
    <w:uiPriority w:val="9"/>
    <w:qFormat/>
    <w:rsid w:val="000A7DB7"/>
    <w:pPr>
      <w:numPr>
        <w:numId w:val="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0A7DB7"/>
    <w:pPr>
      <w:keepNext/>
      <w:keepLines/>
      <w:numPr>
        <w:ilvl w:val="2"/>
        <w:numId w:val="3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0A7DB7"/>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0A7DB7"/>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0A7DB7"/>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0A7DB7"/>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0A7DB7"/>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0A7DB7"/>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0A7DB7"/>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7DB7"/>
    <w:rPr>
      <w:color w:val="808080"/>
    </w:rPr>
  </w:style>
  <w:style w:type="paragraph" w:styleId="Date">
    <w:name w:val="Date"/>
    <w:basedOn w:val="Normal"/>
    <w:next w:val="Normal"/>
    <w:link w:val="DateChar"/>
    <w:uiPriority w:val="99"/>
    <w:unhideWhenUsed/>
    <w:rsid w:val="000A7DB7"/>
    <w:pPr>
      <w:spacing w:after="360" w:line="293" w:lineRule="auto"/>
    </w:pPr>
  </w:style>
  <w:style w:type="character" w:customStyle="1" w:styleId="DateChar">
    <w:name w:val="Date Char"/>
    <w:basedOn w:val="DefaultParagraphFont"/>
    <w:link w:val="Date"/>
    <w:uiPriority w:val="99"/>
    <w:rsid w:val="000A7DB7"/>
    <w:rPr>
      <w:sz w:val="20"/>
      <w:szCs w:val="20"/>
    </w:rPr>
  </w:style>
  <w:style w:type="paragraph" w:styleId="NoSpacing">
    <w:name w:val="No Spacing"/>
    <w:basedOn w:val="Normal"/>
    <w:link w:val="NoSpacingChar"/>
    <w:uiPriority w:val="10"/>
    <w:qFormat/>
    <w:rsid w:val="000A7DB7"/>
    <w:pPr>
      <w:spacing w:before="0" w:after="0"/>
    </w:pPr>
  </w:style>
  <w:style w:type="paragraph" w:styleId="ListBullet">
    <w:name w:val="List Bullet"/>
    <w:basedOn w:val="Normal"/>
    <w:link w:val="ListBulletChar"/>
    <w:uiPriority w:val="1"/>
    <w:qFormat/>
    <w:rsid w:val="00D7197A"/>
    <w:pPr>
      <w:numPr>
        <w:numId w:val="48"/>
      </w:numPr>
      <w:contextualSpacing/>
    </w:pPr>
  </w:style>
  <w:style w:type="paragraph" w:styleId="ListBullet2">
    <w:name w:val="List Bullet 2"/>
    <w:basedOn w:val="Normal"/>
    <w:uiPriority w:val="1"/>
    <w:qFormat/>
    <w:rsid w:val="000A7DB7"/>
    <w:pPr>
      <w:numPr>
        <w:ilvl w:val="1"/>
        <w:numId w:val="48"/>
      </w:numPr>
      <w:contextualSpacing/>
    </w:pPr>
  </w:style>
  <w:style w:type="paragraph" w:styleId="ListNumber">
    <w:name w:val="List Number"/>
    <w:basedOn w:val="Normal"/>
    <w:uiPriority w:val="2"/>
    <w:qFormat/>
    <w:rsid w:val="000A7DB7"/>
    <w:pPr>
      <w:numPr>
        <w:numId w:val="1"/>
      </w:numPr>
      <w:spacing w:before="60"/>
      <w:contextualSpacing/>
    </w:pPr>
  </w:style>
  <w:style w:type="numbering" w:customStyle="1" w:styleId="Bullets">
    <w:name w:val="Bullets"/>
    <w:uiPriority w:val="99"/>
    <w:rsid w:val="000A7DB7"/>
    <w:pPr>
      <w:numPr>
        <w:numId w:val="26"/>
      </w:numPr>
    </w:pPr>
  </w:style>
  <w:style w:type="character" w:customStyle="1" w:styleId="Heading1Char">
    <w:name w:val="Heading 1 Char"/>
    <w:basedOn w:val="DefaultParagraphFont"/>
    <w:link w:val="Heading1"/>
    <w:uiPriority w:val="9"/>
    <w:rsid w:val="000A7DB7"/>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0A7DB7"/>
    <w:pPr>
      <w:numPr>
        <w:ilvl w:val="1"/>
        <w:numId w:val="35"/>
      </w:numPr>
      <w:spacing w:before="60"/>
      <w:contextualSpacing/>
    </w:pPr>
  </w:style>
  <w:style w:type="character" w:customStyle="1" w:styleId="Heading2Char">
    <w:name w:val="Heading 2 Char"/>
    <w:basedOn w:val="DefaultParagraphFont"/>
    <w:link w:val="Heading2"/>
    <w:uiPriority w:val="9"/>
    <w:rsid w:val="000A7DB7"/>
    <w:rPr>
      <w:rFonts w:asciiTheme="majorHAnsi" w:eastAsiaTheme="majorEastAsia" w:hAnsiTheme="majorHAnsi" w:cstheme="majorBidi"/>
      <w:sz w:val="30"/>
      <w:szCs w:val="60"/>
    </w:rPr>
  </w:style>
  <w:style w:type="paragraph" w:styleId="ListParagraph">
    <w:name w:val="List Paragraph"/>
    <w:basedOn w:val="Normal"/>
    <w:uiPriority w:val="34"/>
    <w:rsid w:val="000A7DB7"/>
    <w:pPr>
      <w:spacing w:line="293" w:lineRule="auto"/>
      <w:ind w:left="284"/>
      <w:contextualSpacing/>
    </w:pPr>
  </w:style>
  <w:style w:type="paragraph" w:styleId="Header">
    <w:name w:val="header"/>
    <w:basedOn w:val="Normal"/>
    <w:link w:val="HeaderChar"/>
    <w:uiPriority w:val="99"/>
    <w:unhideWhenUsed/>
    <w:rsid w:val="000A7DB7"/>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0A7DB7"/>
    <w:rPr>
      <w:sz w:val="16"/>
      <w:szCs w:val="20"/>
    </w:rPr>
  </w:style>
  <w:style w:type="paragraph" w:styleId="Footer">
    <w:name w:val="footer"/>
    <w:basedOn w:val="Normal"/>
    <w:link w:val="FooterChar"/>
    <w:uiPriority w:val="11"/>
    <w:rsid w:val="000A7DB7"/>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0A7DB7"/>
    <w:rPr>
      <w:rFonts w:asciiTheme="majorHAnsi" w:hAnsiTheme="majorHAnsi"/>
      <w:sz w:val="17"/>
    </w:rPr>
  </w:style>
  <w:style w:type="numbering" w:customStyle="1" w:styleId="Numbering">
    <w:name w:val="Numbering"/>
    <w:uiPriority w:val="99"/>
    <w:rsid w:val="000A7DB7"/>
    <w:pPr>
      <w:numPr>
        <w:numId w:val="1"/>
      </w:numPr>
    </w:pPr>
  </w:style>
  <w:style w:type="paragraph" w:styleId="ListBullet3">
    <w:name w:val="List Bullet 3"/>
    <w:basedOn w:val="Normal"/>
    <w:uiPriority w:val="1"/>
    <w:qFormat/>
    <w:rsid w:val="000A7DB7"/>
    <w:pPr>
      <w:numPr>
        <w:ilvl w:val="2"/>
        <w:numId w:val="48"/>
      </w:numPr>
      <w:contextualSpacing/>
    </w:pPr>
  </w:style>
  <w:style w:type="paragraph" w:styleId="ListContinue2">
    <w:name w:val="List Continue 2"/>
    <w:basedOn w:val="Normal"/>
    <w:uiPriority w:val="3"/>
    <w:unhideWhenUsed/>
    <w:qFormat/>
    <w:rsid w:val="000A7DB7"/>
    <w:pPr>
      <w:spacing w:before="60"/>
      <w:ind w:left="454"/>
    </w:pPr>
  </w:style>
  <w:style w:type="paragraph" w:styleId="ListNumber3">
    <w:name w:val="List Number 3"/>
    <w:basedOn w:val="Normal"/>
    <w:uiPriority w:val="13"/>
    <w:semiHidden/>
    <w:qFormat/>
    <w:rsid w:val="000A7DB7"/>
    <w:pPr>
      <w:numPr>
        <w:ilvl w:val="2"/>
        <w:numId w:val="35"/>
      </w:numPr>
      <w:spacing w:before="60"/>
      <w:contextualSpacing/>
    </w:pPr>
  </w:style>
  <w:style w:type="paragraph" w:styleId="ListNumber4">
    <w:name w:val="List Number 4"/>
    <w:basedOn w:val="Normal"/>
    <w:uiPriority w:val="13"/>
    <w:semiHidden/>
    <w:qFormat/>
    <w:rsid w:val="000A7DB7"/>
    <w:pPr>
      <w:numPr>
        <w:ilvl w:val="3"/>
        <w:numId w:val="35"/>
      </w:numPr>
      <w:spacing w:after="200" w:line="293" w:lineRule="auto"/>
      <w:contextualSpacing/>
    </w:pPr>
  </w:style>
  <w:style w:type="paragraph" w:styleId="ListNumber5">
    <w:name w:val="List Number 5"/>
    <w:basedOn w:val="Normal"/>
    <w:uiPriority w:val="13"/>
    <w:semiHidden/>
    <w:rsid w:val="000A7DB7"/>
    <w:pPr>
      <w:numPr>
        <w:ilvl w:val="4"/>
        <w:numId w:val="35"/>
      </w:numPr>
      <w:spacing w:after="200" w:line="293" w:lineRule="auto"/>
      <w:contextualSpacing/>
    </w:pPr>
  </w:style>
  <w:style w:type="paragraph" w:styleId="ListContinue">
    <w:name w:val="List Continue"/>
    <w:basedOn w:val="Normal"/>
    <w:uiPriority w:val="3"/>
    <w:unhideWhenUsed/>
    <w:qFormat/>
    <w:rsid w:val="000A7DB7"/>
    <w:pPr>
      <w:spacing w:before="60"/>
      <w:ind w:left="227"/>
    </w:pPr>
  </w:style>
  <w:style w:type="paragraph" w:styleId="ListContinue3">
    <w:name w:val="List Continue 3"/>
    <w:basedOn w:val="Normal"/>
    <w:uiPriority w:val="3"/>
    <w:unhideWhenUsed/>
    <w:qFormat/>
    <w:rsid w:val="000A7DB7"/>
    <w:pPr>
      <w:spacing w:before="60"/>
      <w:ind w:left="907"/>
    </w:pPr>
  </w:style>
  <w:style w:type="paragraph" w:styleId="ListContinue4">
    <w:name w:val="List Continue 4"/>
    <w:basedOn w:val="Normal"/>
    <w:uiPriority w:val="3"/>
    <w:unhideWhenUsed/>
    <w:qFormat/>
    <w:rsid w:val="000A7DB7"/>
    <w:pPr>
      <w:spacing w:line="293" w:lineRule="auto"/>
      <w:ind w:left="907"/>
      <w:contextualSpacing/>
    </w:pPr>
  </w:style>
  <w:style w:type="character" w:customStyle="1" w:styleId="Heading3Char">
    <w:name w:val="Heading 3 Char"/>
    <w:basedOn w:val="DefaultParagraphFont"/>
    <w:link w:val="Heading3"/>
    <w:uiPriority w:val="9"/>
    <w:rsid w:val="000A7DB7"/>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0A7DB7"/>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0A7DB7"/>
    <w:rPr>
      <w:rFonts w:eastAsiaTheme="majorEastAsia" w:cstheme="majorBidi"/>
      <w:b/>
      <w:color w:val="265A9A" w:themeColor="background2"/>
      <w:szCs w:val="29"/>
    </w:rPr>
  </w:style>
  <w:style w:type="numbering" w:customStyle="1" w:styleId="ListHeadings">
    <w:name w:val="List Headings"/>
    <w:uiPriority w:val="99"/>
    <w:rsid w:val="000A7DB7"/>
    <w:pPr>
      <w:numPr>
        <w:numId w:val="33"/>
      </w:numPr>
    </w:pPr>
  </w:style>
  <w:style w:type="paragraph" w:styleId="Title">
    <w:name w:val="Title"/>
    <w:basedOn w:val="Heading1"/>
    <w:next w:val="Normal"/>
    <w:link w:val="TitleChar"/>
    <w:uiPriority w:val="39"/>
    <w:rsid w:val="000A7DB7"/>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0A7DB7"/>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0A7DB7"/>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0A7DB7"/>
    <w:rPr>
      <w:b/>
    </w:rPr>
  </w:style>
  <w:style w:type="character" w:customStyle="1" w:styleId="Pull-outQuoteChar">
    <w:name w:val="Pull-out Quote Char"/>
    <w:basedOn w:val="DefaultParagraphFont"/>
    <w:link w:val="Pull-outQuote"/>
    <w:uiPriority w:val="99"/>
    <w:semiHidden/>
    <w:rsid w:val="000A7DB7"/>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0A7DB7"/>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A7DB7"/>
  </w:style>
  <w:style w:type="paragraph" w:customStyle="1" w:styleId="NumberedHeading2">
    <w:name w:val="Numbered Heading 2"/>
    <w:basedOn w:val="Heading2"/>
    <w:next w:val="Normal"/>
    <w:link w:val="NumberedHeading2Char"/>
    <w:uiPriority w:val="9"/>
    <w:semiHidden/>
    <w:rsid w:val="000A7DB7"/>
  </w:style>
  <w:style w:type="character" w:customStyle="1" w:styleId="NumberedHeading1Char">
    <w:name w:val="Numbered Heading 1 Char"/>
    <w:basedOn w:val="Heading1Char"/>
    <w:link w:val="NumberedHeading1"/>
    <w:uiPriority w:val="9"/>
    <w:semiHidden/>
    <w:rsid w:val="000A7DB7"/>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0A7DB7"/>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0A7DB7"/>
    <w:pPr>
      <w:ind w:left="1134"/>
      <w:contextualSpacing/>
    </w:pPr>
  </w:style>
  <w:style w:type="table" w:styleId="TableGrid">
    <w:name w:val="Table Grid"/>
    <w:basedOn w:val="TableNormal"/>
    <w:uiPriority w:val="39"/>
    <w:rsid w:val="000A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0A7DB7"/>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0A7DB7"/>
    <w:pPr>
      <w:numPr>
        <w:numId w:val="30"/>
      </w:numPr>
      <w:spacing w:before="60"/>
    </w:pPr>
  </w:style>
  <w:style w:type="paragraph" w:styleId="List2">
    <w:name w:val="List 2"/>
    <w:basedOn w:val="Normal"/>
    <w:uiPriority w:val="99"/>
    <w:semiHidden/>
    <w:qFormat/>
    <w:rsid w:val="000A7DB7"/>
    <w:pPr>
      <w:numPr>
        <w:ilvl w:val="1"/>
        <w:numId w:val="30"/>
      </w:numPr>
      <w:spacing w:before="60"/>
    </w:pPr>
  </w:style>
  <w:style w:type="numbering" w:customStyle="1" w:styleId="LetteredList">
    <w:name w:val="Lettered List"/>
    <w:uiPriority w:val="99"/>
    <w:rsid w:val="000A7DB7"/>
    <w:pPr>
      <w:numPr>
        <w:numId w:val="29"/>
      </w:numPr>
    </w:pPr>
  </w:style>
  <w:style w:type="paragraph" w:styleId="Subtitle">
    <w:name w:val="Subtitle"/>
    <w:basedOn w:val="Normal"/>
    <w:next w:val="Normal"/>
    <w:link w:val="SubtitleChar"/>
    <w:uiPriority w:val="39"/>
    <w:rsid w:val="000A7DB7"/>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0A7DB7"/>
    <w:rPr>
      <w:rFonts w:eastAsiaTheme="minorEastAsia"/>
      <w:color w:val="FFFFFF" w:themeColor="background1"/>
      <w:sz w:val="52"/>
      <w:szCs w:val="20"/>
    </w:rPr>
  </w:style>
  <w:style w:type="character" w:styleId="Strong">
    <w:name w:val="Strong"/>
    <w:basedOn w:val="DefaultParagraphFont"/>
    <w:uiPriority w:val="22"/>
    <w:qFormat/>
    <w:rsid w:val="000A7DB7"/>
    <w:rPr>
      <w:rFonts w:asciiTheme="minorHAnsi" w:hAnsiTheme="minorHAnsi"/>
      <w:b/>
      <w:bCs/>
    </w:rPr>
  </w:style>
  <w:style w:type="paragraph" w:customStyle="1" w:styleId="Header-Keyline">
    <w:name w:val="Header - Keyline"/>
    <w:basedOn w:val="Header"/>
    <w:link w:val="Header-KeylineChar"/>
    <w:uiPriority w:val="99"/>
    <w:rsid w:val="000A7DB7"/>
    <w:pPr>
      <w:pBdr>
        <w:bottom w:val="single" w:sz="4" w:space="31" w:color="66BCDB" w:themeColor="text2"/>
      </w:pBdr>
      <w:spacing w:after="600"/>
    </w:pPr>
  </w:style>
  <w:style w:type="character" w:customStyle="1" w:styleId="Heading6Char">
    <w:name w:val="Heading 6 Char"/>
    <w:basedOn w:val="DefaultParagraphFont"/>
    <w:link w:val="Heading6"/>
    <w:uiPriority w:val="9"/>
    <w:rsid w:val="000A7DB7"/>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0A7DB7"/>
    <w:rPr>
      <w:sz w:val="16"/>
      <w:szCs w:val="20"/>
    </w:rPr>
  </w:style>
  <w:style w:type="character" w:customStyle="1" w:styleId="Heading7Char">
    <w:name w:val="Heading 7 Char"/>
    <w:basedOn w:val="DefaultParagraphFont"/>
    <w:link w:val="Heading7"/>
    <w:uiPriority w:val="9"/>
    <w:semiHidden/>
    <w:rsid w:val="000A7DB7"/>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0A7DB7"/>
    <w:rPr>
      <w:rFonts w:eastAsiaTheme="majorEastAsia" w:cstheme="majorBidi"/>
      <w:b/>
      <w:sz w:val="18"/>
      <w:szCs w:val="21"/>
    </w:rPr>
  </w:style>
  <w:style w:type="table" w:customStyle="1" w:styleId="ProductivityCommissionTable1">
    <w:name w:val="Productivity Commission Table 1"/>
    <w:basedOn w:val="TableNormal"/>
    <w:uiPriority w:val="99"/>
    <w:rsid w:val="000A7DB7"/>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0A7DB7"/>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0A7DB7"/>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0A7DB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0A7DB7"/>
    <w:pPr>
      <w:spacing w:before="60" w:after="60" w:line="293" w:lineRule="auto"/>
      <w:contextualSpacing/>
    </w:pPr>
    <w:rPr>
      <w:sz w:val="18"/>
    </w:rPr>
  </w:style>
  <w:style w:type="paragraph" w:styleId="TOC1">
    <w:name w:val="toc 1"/>
    <w:basedOn w:val="Normal"/>
    <w:next w:val="BodyText"/>
    <w:autoRedefine/>
    <w:uiPriority w:val="39"/>
    <w:unhideWhenUsed/>
    <w:rsid w:val="000A7DB7"/>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0A7DB7"/>
    <w:rPr>
      <w:sz w:val="18"/>
      <w:szCs w:val="20"/>
    </w:rPr>
  </w:style>
  <w:style w:type="character" w:styleId="FootnoteReference">
    <w:name w:val="footnote reference"/>
    <w:basedOn w:val="DefaultParagraphFont"/>
    <w:uiPriority w:val="99"/>
    <w:semiHidden/>
    <w:unhideWhenUsed/>
    <w:rsid w:val="000A7DB7"/>
    <w:rPr>
      <w:vertAlign w:val="superscript"/>
    </w:rPr>
  </w:style>
  <w:style w:type="character" w:styleId="Hyperlink">
    <w:name w:val="Hyperlink"/>
    <w:basedOn w:val="DefaultParagraphFont"/>
    <w:uiPriority w:val="99"/>
    <w:unhideWhenUsed/>
    <w:rsid w:val="000A7DB7"/>
    <w:rPr>
      <w:color w:val="000000" w:themeColor="hyperlink"/>
      <w:u w:val="single"/>
    </w:rPr>
  </w:style>
  <w:style w:type="character" w:styleId="HTMLVariable">
    <w:name w:val="HTML Variable"/>
    <w:basedOn w:val="DefaultParagraphFont"/>
    <w:uiPriority w:val="99"/>
    <w:unhideWhenUsed/>
    <w:rsid w:val="000A7DB7"/>
    <w:rPr>
      <w:i/>
      <w:iCs/>
    </w:rPr>
  </w:style>
  <w:style w:type="paragraph" w:styleId="TOC2">
    <w:name w:val="toc 2"/>
    <w:basedOn w:val="Normal"/>
    <w:next w:val="Normal"/>
    <w:autoRedefine/>
    <w:uiPriority w:val="39"/>
    <w:unhideWhenUsed/>
    <w:rsid w:val="000A7DB7"/>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0A7DB7"/>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0A7DB7"/>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0A7DB7"/>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0A7DB7"/>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0A7DB7"/>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0A7DB7"/>
    <w:rPr>
      <w:sz w:val="20"/>
      <w:szCs w:val="20"/>
    </w:rPr>
  </w:style>
  <w:style w:type="character" w:customStyle="1" w:styleId="Copyrightpage-Heading2Char">
    <w:name w:val="Copyright page-Heading 2 Char"/>
    <w:basedOn w:val="NoSpacingChar"/>
    <w:link w:val="Copyrightpage-Heading2"/>
    <w:uiPriority w:val="19"/>
    <w:rsid w:val="000A7DB7"/>
    <w:rPr>
      <w:b/>
      <w:color w:val="FFFFFF" w:themeColor="background1"/>
      <w:sz w:val="16"/>
      <w:szCs w:val="16"/>
    </w:rPr>
  </w:style>
  <w:style w:type="paragraph" w:customStyle="1" w:styleId="Copyrightpage-Heading">
    <w:name w:val="Copyright page-Heading"/>
    <w:basedOn w:val="Subtitle2"/>
    <w:link w:val="Copyrightpage-HeadingChar"/>
    <w:uiPriority w:val="19"/>
    <w:rsid w:val="000A7DB7"/>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0A7DB7"/>
    <w:rPr>
      <w:color w:val="FFFFFF" w:themeColor="background1"/>
      <w:sz w:val="16"/>
      <w:szCs w:val="20"/>
    </w:rPr>
  </w:style>
  <w:style w:type="paragraph" w:customStyle="1" w:styleId="Subtitle4">
    <w:name w:val="Subtitle 4"/>
    <w:basedOn w:val="Copyrightpage-Heading"/>
    <w:link w:val="Subtitle4Char"/>
    <w:uiPriority w:val="39"/>
    <w:rsid w:val="000A7DB7"/>
    <w:pPr>
      <w:spacing w:after="40"/>
    </w:pPr>
    <w:rPr>
      <w:b/>
      <w:sz w:val="16"/>
    </w:rPr>
  </w:style>
  <w:style w:type="character" w:customStyle="1" w:styleId="Copyrightpage-HeadingChar">
    <w:name w:val="Copyright page-Heading Char"/>
    <w:basedOn w:val="Subtitle2Char"/>
    <w:link w:val="Copyrightpage-Heading"/>
    <w:uiPriority w:val="19"/>
    <w:rsid w:val="000A7DB7"/>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0A7DB7"/>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0A7DB7"/>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0A7DB7"/>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0A7DB7"/>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0A7DB7"/>
    <w:pPr>
      <w:spacing w:line="360" w:lineRule="auto"/>
      <w:jc w:val="right"/>
    </w:pPr>
    <w:rPr>
      <w:sz w:val="16"/>
    </w:rPr>
  </w:style>
  <w:style w:type="paragraph" w:customStyle="1" w:styleId="Letterlogo">
    <w:name w:val="Letter logo"/>
    <w:basedOn w:val="LetterRight"/>
    <w:uiPriority w:val="99"/>
    <w:rsid w:val="000A7DB7"/>
    <w:pPr>
      <w:spacing w:after="320"/>
    </w:pPr>
  </w:style>
  <w:style w:type="character" w:customStyle="1" w:styleId="LetterRightChar">
    <w:name w:val="Letter Right Char"/>
    <w:basedOn w:val="DefaultParagraphFont"/>
    <w:link w:val="LetterRight"/>
    <w:uiPriority w:val="99"/>
    <w:rsid w:val="000A7DB7"/>
    <w:rPr>
      <w:sz w:val="16"/>
      <w:szCs w:val="20"/>
    </w:rPr>
  </w:style>
  <w:style w:type="character" w:styleId="UnresolvedMention">
    <w:name w:val="Unresolved Mention"/>
    <w:basedOn w:val="DefaultParagraphFont"/>
    <w:uiPriority w:val="99"/>
    <w:unhideWhenUsed/>
    <w:rsid w:val="000A7DB7"/>
    <w:rPr>
      <w:color w:val="605E5C"/>
      <w:shd w:val="clear" w:color="auto" w:fill="E1DFDD"/>
    </w:rPr>
  </w:style>
  <w:style w:type="paragraph" w:customStyle="1" w:styleId="LetterRight-NoSpace">
    <w:name w:val="Letter Right-No Space"/>
    <w:basedOn w:val="LetterRight"/>
    <w:uiPriority w:val="99"/>
    <w:rsid w:val="000A7DB7"/>
    <w:pPr>
      <w:spacing w:after="0"/>
    </w:pPr>
  </w:style>
  <w:style w:type="table" w:customStyle="1" w:styleId="Blank">
    <w:name w:val="Blank"/>
    <w:basedOn w:val="TableNormal"/>
    <w:uiPriority w:val="99"/>
    <w:rsid w:val="000A7DB7"/>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0A7DB7"/>
    <w:pPr>
      <w:numPr>
        <w:numId w:val="32"/>
      </w:numPr>
      <w:contextualSpacing/>
    </w:pPr>
  </w:style>
  <w:style w:type="paragraph" w:customStyle="1" w:styleId="Coverdate">
    <w:name w:val="Cover date"/>
    <w:basedOn w:val="Normal"/>
    <w:uiPriority w:val="29"/>
    <w:rsid w:val="000A7DB7"/>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7DB7"/>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0A7DB7"/>
    <w:rPr>
      <w:color w:val="FFFFFF" w:themeColor="background1"/>
    </w:rPr>
  </w:style>
  <w:style w:type="paragraph" w:customStyle="1" w:styleId="Copyrightpage-Keylinenotext">
    <w:name w:val="Copyright page-Keyline (no text)"/>
    <w:basedOn w:val="Copyrightpage-Heading2"/>
    <w:uiPriority w:val="19"/>
    <w:rsid w:val="000A7DB7"/>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0A7DB7"/>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0A7DB7"/>
    <w:rPr>
      <w:b/>
    </w:rPr>
  </w:style>
  <w:style w:type="paragraph" w:customStyle="1" w:styleId="CoverImage">
    <w:name w:val="Cover Image"/>
    <w:basedOn w:val="Normal"/>
    <w:uiPriority w:val="29"/>
    <w:rsid w:val="000A7DB7"/>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0A7DB7"/>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0A7DB7"/>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0A7DB7"/>
    <w:pPr>
      <w:spacing w:before="60"/>
      <w:ind w:left="113" w:right="851"/>
    </w:pPr>
    <w:rPr>
      <w:color w:val="58585B"/>
    </w:rPr>
  </w:style>
  <w:style w:type="numbering" w:customStyle="1" w:styleId="TOCList">
    <w:name w:val="TOC List"/>
    <w:uiPriority w:val="99"/>
    <w:rsid w:val="000A7DB7"/>
    <w:pPr>
      <w:numPr>
        <w:numId w:val="38"/>
      </w:numPr>
    </w:pPr>
  </w:style>
  <w:style w:type="paragraph" w:customStyle="1" w:styleId="Heading1-Section-fullpage">
    <w:name w:val="Heading 1-Section-full page"/>
    <w:basedOn w:val="Heading1-nobackground"/>
    <w:uiPriority w:val="9"/>
    <w:qFormat/>
    <w:rsid w:val="000A7DB7"/>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0A7DB7"/>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0A7DB7"/>
    <w:pPr>
      <w:keepNext/>
      <w:spacing w:before="240"/>
    </w:pPr>
  </w:style>
  <w:style w:type="paragraph" w:customStyle="1" w:styleId="Source">
    <w:name w:val="Source"/>
    <w:basedOn w:val="Normal"/>
    <w:uiPriority w:val="9"/>
    <w:qFormat/>
    <w:rsid w:val="000A7DB7"/>
    <w:pPr>
      <w:spacing w:before="80" w:after="240" w:line="216" w:lineRule="atLeast"/>
    </w:pPr>
    <w:rPr>
      <w:sz w:val="18"/>
    </w:rPr>
  </w:style>
  <w:style w:type="paragraph" w:customStyle="1" w:styleId="Note">
    <w:name w:val="Note"/>
    <w:basedOn w:val="Source"/>
    <w:uiPriority w:val="9"/>
    <w:qFormat/>
    <w:rsid w:val="000A7DB7"/>
    <w:pPr>
      <w:spacing w:after="20"/>
    </w:pPr>
  </w:style>
  <w:style w:type="numbering" w:customStyle="1" w:styleId="Figure">
    <w:name w:val="Figure"/>
    <w:uiPriority w:val="99"/>
    <w:rsid w:val="000A7DB7"/>
    <w:pPr>
      <w:numPr>
        <w:numId w:val="27"/>
      </w:numPr>
    </w:pPr>
  </w:style>
  <w:style w:type="table" w:customStyle="1" w:styleId="Boxtable">
    <w:name w:val="Box table"/>
    <w:basedOn w:val="Texttable-Paleblue"/>
    <w:uiPriority w:val="99"/>
    <w:rsid w:val="000A7DB7"/>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0A7DB7"/>
    <w:pPr>
      <w:numPr>
        <w:numId w:val="25"/>
      </w:numPr>
    </w:pPr>
  </w:style>
  <w:style w:type="paragraph" w:customStyle="1" w:styleId="BoxHeading2">
    <w:name w:val="Box Heading 2"/>
    <w:basedOn w:val="Normal"/>
    <w:next w:val="BodyText"/>
    <w:uiPriority w:val="4"/>
    <w:qFormat/>
    <w:rsid w:val="000A7DB7"/>
    <w:rPr>
      <w:b/>
    </w:rPr>
  </w:style>
  <w:style w:type="table" w:customStyle="1" w:styleId="ProductivityCommissionTable2-Dark">
    <w:name w:val="Productivity Commission Table 2 - Dark"/>
    <w:basedOn w:val="ProductivityCommissionTable2"/>
    <w:uiPriority w:val="99"/>
    <w:rsid w:val="000A7DB7"/>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0A7DB7"/>
    <w:rPr>
      <w:i/>
    </w:rPr>
  </w:style>
  <w:style w:type="paragraph" w:customStyle="1" w:styleId="TableHeading">
    <w:name w:val="Table Heading"/>
    <w:basedOn w:val="NoSpacing"/>
    <w:uiPriority w:val="4"/>
    <w:qFormat/>
    <w:rsid w:val="000A7DB7"/>
    <w:pPr>
      <w:spacing w:after="20"/>
      <w:ind w:left="57"/>
    </w:pPr>
    <w:rPr>
      <w:b/>
      <w:color w:val="265A9A" w:themeColor="background2"/>
      <w:sz w:val="18"/>
    </w:rPr>
  </w:style>
  <w:style w:type="paragraph" w:customStyle="1" w:styleId="BodyText-Blue">
    <w:name w:val="Body Text-Blue"/>
    <w:basedOn w:val="BodyText"/>
    <w:link w:val="BodyText-BlueChar"/>
    <w:semiHidden/>
    <w:qFormat/>
    <w:rsid w:val="000A7DB7"/>
    <w:rPr>
      <w:color w:val="265A9A" w:themeColor="background2"/>
    </w:rPr>
  </w:style>
  <w:style w:type="table" w:customStyle="1" w:styleId="Texttable-Keyline">
    <w:name w:val="Text table-Keyline"/>
    <w:basedOn w:val="Texttable-Paleblue"/>
    <w:uiPriority w:val="99"/>
    <w:rsid w:val="000A7DB7"/>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0A7DB7"/>
    <w:pPr>
      <w:jc w:val="right"/>
    </w:pPr>
  </w:style>
  <w:style w:type="table" w:customStyle="1" w:styleId="CopyrightPage">
    <w:name w:val="Copyright Page"/>
    <w:basedOn w:val="OverviewPageBannerTableStyle"/>
    <w:uiPriority w:val="99"/>
    <w:rsid w:val="000A7DB7"/>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0A7DB7"/>
    <w:pPr>
      <w:spacing w:line="312" w:lineRule="atLeast"/>
    </w:pPr>
    <w:rPr>
      <w:color w:val="2C9BC2"/>
    </w:rPr>
  </w:style>
  <w:style w:type="paragraph" w:styleId="BodyText">
    <w:name w:val="Body Text"/>
    <w:basedOn w:val="Normal"/>
    <w:link w:val="BodyTextChar"/>
    <w:qFormat/>
    <w:rsid w:val="000A7DB7"/>
  </w:style>
  <w:style w:type="character" w:customStyle="1" w:styleId="BodyTextChar">
    <w:name w:val="Body Text Char"/>
    <w:basedOn w:val="DefaultParagraphFont"/>
    <w:link w:val="BodyText"/>
    <w:rsid w:val="000A7DB7"/>
    <w:rPr>
      <w:sz w:val="20"/>
      <w:szCs w:val="20"/>
    </w:rPr>
  </w:style>
  <w:style w:type="paragraph" w:styleId="List4">
    <w:name w:val="List 4"/>
    <w:basedOn w:val="Normal"/>
    <w:uiPriority w:val="99"/>
    <w:semiHidden/>
    <w:rsid w:val="000A7DB7"/>
    <w:pPr>
      <w:numPr>
        <w:ilvl w:val="3"/>
        <w:numId w:val="30"/>
      </w:numPr>
      <w:contextualSpacing/>
    </w:pPr>
  </w:style>
  <w:style w:type="paragraph" w:styleId="List3">
    <w:name w:val="List 3"/>
    <w:basedOn w:val="Normal"/>
    <w:uiPriority w:val="99"/>
    <w:semiHidden/>
    <w:rsid w:val="000A7DB7"/>
    <w:pPr>
      <w:numPr>
        <w:ilvl w:val="2"/>
        <w:numId w:val="30"/>
      </w:numPr>
      <w:contextualSpacing/>
    </w:pPr>
  </w:style>
  <w:style w:type="paragraph" w:customStyle="1" w:styleId="Heading1-nonumber">
    <w:name w:val="Heading 1-no number"/>
    <w:basedOn w:val="Heading1"/>
    <w:next w:val="BodyText"/>
    <w:uiPriority w:val="9"/>
    <w:qFormat/>
    <w:rsid w:val="000A7DB7"/>
    <w:pPr>
      <w:numPr>
        <w:numId w:val="0"/>
      </w:numPr>
      <w:ind w:left="567"/>
    </w:pPr>
  </w:style>
  <w:style w:type="paragraph" w:customStyle="1" w:styleId="ListAlpha1">
    <w:name w:val="List Alpha 1"/>
    <w:basedOn w:val="Normal"/>
    <w:uiPriority w:val="3"/>
    <w:qFormat/>
    <w:rsid w:val="000A7DB7"/>
    <w:pPr>
      <w:numPr>
        <w:numId w:val="31"/>
      </w:numPr>
      <w:spacing w:before="60"/>
      <w:contextualSpacing/>
    </w:pPr>
  </w:style>
  <w:style w:type="paragraph" w:customStyle="1" w:styleId="ListAlpha2">
    <w:name w:val="List Alpha 2"/>
    <w:basedOn w:val="ListAlpha1"/>
    <w:uiPriority w:val="3"/>
    <w:qFormat/>
    <w:rsid w:val="000A7DB7"/>
    <w:pPr>
      <w:numPr>
        <w:ilvl w:val="1"/>
      </w:numPr>
    </w:pPr>
  </w:style>
  <w:style w:type="paragraph" w:customStyle="1" w:styleId="ListAlpha3">
    <w:name w:val="List Alpha 3"/>
    <w:basedOn w:val="ListAlpha2"/>
    <w:uiPriority w:val="3"/>
    <w:qFormat/>
    <w:rsid w:val="000A7DB7"/>
    <w:pPr>
      <w:numPr>
        <w:ilvl w:val="2"/>
      </w:numPr>
    </w:pPr>
  </w:style>
  <w:style w:type="paragraph" w:customStyle="1" w:styleId="ListAlpha4">
    <w:name w:val="List Alpha 4"/>
    <w:basedOn w:val="ListAlpha3"/>
    <w:uiPriority w:val="3"/>
    <w:semiHidden/>
    <w:qFormat/>
    <w:rsid w:val="000A7DB7"/>
    <w:pPr>
      <w:numPr>
        <w:ilvl w:val="3"/>
      </w:numPr>
    </w:pPr>
  </w:style>
  <w:style w:type="numbering" w:customStyle="1" w:styleId="Alphalist">
    <w:name w:val="Alpha list"/>
    <w:uiPriority w:val="99"/>
    <w:rsid w:val="000A7DB7"/>
    <w:pPr>
      <w:numPr>
        <w:numId w:val="22"/>
      </w:numPr>
    </w:pPr>
  </w:style>
  <w:style w:type="paragraph" w:customStyle="1" w:styleId="KeyPoints-Bold">
    <w:name w:val="Key Points-Bold"/>
    <w:basedOn w:val="Normal"/>
    <w:uiPriority w:val="10"/>
    <w:qFormat/>
    <w:rsid w:val="000A7DB7"/>
    <w:pPr>
      <w:spacing w:before="40" w:after="60" w:line="274" w:lineRule="atLeast"/>
    </w:pPr>
    <w:rPr>
      <w:b/>
      <w:sz w:val="18"/>
    </w:rPr>
  </w:style>
  <w:style w:type="paragraph" w:customStyle="1" w:styleId="Copyrightpage-BodyBold">
    <w:name w:val="Copyright page-Body Bold"/>
    <w:basedOn w:val="Copyrightpage-BodyText"/>
    <w:uiPriority w:val="19"/>
    <w:rsid w:val="000A7DB7"/>
    <w:rPr>
      <w:b/>
    </w:rPr>
  </w:style>
  <w:style w:type="paragraph" w:customStyle="1" w:styleId="KeyPoints-Bullet">
    <w:name w:val="Key Points-Bullet"/>
    <w:basedOn w:val="ListBullet"/>
    <w:uiPriority w:val="10"/>
    <w:qFormat/>
    <w:rsid w:val="000A7DB7"/>
    <w:pPr>
      <w:spacing w:after="60" w:line="274" w:lineRule="atLeast"/>
    </w:pPr>
    <w:rPr>
      <w:sz w:val="18"/>
    </w:rPr>
  </w:style>
  <w:style w:type="paragraph" w:customStyle="1" w:styleId="BodyText-Grey">
    <w:name w:val="Body Text-Grey"/>
    <w:basedOn w:val="BodyText"/>
    <w:link w:val="BodyText-GreyChar"/>
    <w:semiHidden/>
    <w:qFormat/>
    <w:rsid w:val="000A7DB7"/>
    <w:rPr>
      <w:color w:val="58585B"/>
    </w:rPr>
  </w:style>
  <w:style w:type="character" w:customStyle="1" w:styleId="BodyText-GreyChar">
    <w:name w:val="Body Text-Grey Char"/>
    <w:basedOn w:val="BodyTextChar"/>
    <w:link w:val="BodyText-Grey"/>
    <w:semiHidden/>
    <w:rsid w:val="000A7DB7"/>
    <w:rPr>
      <w:color w:val="58585B"/>
      <w:sz w:val="20"/>
      <w:szCs w:val="20"/>
    </w:rPr>
  </w:style>
  <w:style w:type="paragraph" w:styleId="BalloonText">
    <w:name w:val="Balloon Text"/>
    <w:basedOn w:val="Normal"/>
    <w:link w:val="BalloonTextChar"/>
    <w:uiPriority w:val="99"/>
    <w:semiHidden/>
    <w:unhideWhenUsed/>
    <w:rsid w:val="000A7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DB7"/>
    <w:rPr>
      <w:rFonts w:ascii="Segoe UI" w:hAnsi="Segoe UI" w:cs="Segoe UI"/>
      <w:sz w:val="18"/>
      <w:szCs w:val="18"/>
    </w:rPr>
  </w:style>
  <w:style w:type="character" w:styleId="CommentReference">
    <w:name w:val="annotation reference"/>
    <w:basedOn w:val="DefaultParagraphFont"/>
    <w:uiPriority w:val="99"/>
    <w:semiHidden/>
    <w:unhideWhenUsed/>
    <w:rsid w:val="000A7DB7"/>
    <w:rPr>
      <w:sz w:val="16"/>
      <w:szCs w:val="16"/>
    </w:rPr>
  </w:style>
  <w:style w:type="paragraph" w:styleId="CommentText">
    <w:name w:val="annotation text"/>
    <w:basedOn w:val="Normal"/>
    <w:link w:val="CommentTextChar"/>
    <w:uiPriority w:val="99"/>
    <w:unhideWhenUsed/>
    <w:rsid w:val="000A7DB7"/>
    <w:pPr>
      <w:spacing w:line="240" w:lineRule="auto"/>
    </w:pPr>
  </w:style>
  <w:style w:type="character" w:customStyle="1" w:styleId="CommentTextChar">
    <w:name w:val="Comment Text Char"/>
    <w:basedOn w:val="DefaultParagraphFont"/>
    <w:link w:val="CommentText"/>
    <w:uiPriority w:val="99"/>
    <w:rsid w:val="000A7DB7"/>
    <w:rPr>
      <w:sz w:val="20"/>
      <w:szCs w:val="20"/>
    </w:rPr>
  </w:style>
  <w:style w:type="paragraph" w:styleId="CommentSubject">
    <w:name w:val="annotation subject"/>
    <w:basedOn w:val="CommentText"/>
    <w:next w:val="CommentText"/>
    <w:link w:val="CommentSubjectChar"/>
    <w:uiPriority w:val="99"/>
    <w:semiHidden/>
    <w:unhideWhenUsed/>
    <w:rsid w:val="000A7DB7"/>
    <w:rPr>
      <w:b/>
      <w:bCs/>
    </w:rPr>
  </w:style>
  <w:style w:type="character" w:customStyle="1" w:styleId="CommentSubjectChar">
    <w:name w:val="Comment Subject Char"/>
    <w:basedOn w:val="CommentTextChar"/>
    <w:link w:val="CommentSubject"/>
    <w:uiPriority w:val="99"/>
    <w:semiHidden/>
    <w:rsid w:val="000A7DB7"/>
    <w:rPr>
      <w:b/>
      <w:bCs/>
      <w:sz w:val="20"/>
      <w:szCs w:val="20"/>
    </w:rPr>
  </w:style>
  <w:style w:type="character" w:customStyle="1" w:styleId="ColourBlue">
    <w:name w:val="Colour Blue"/>
    <w:basedOn w:val="DefaultParagraphFont"/>
    <w:uiPriority w:val="22"/>
    <w:qFormat/>
    <w:rsid w:val="000A7DB7"/>
    <w:rPr>
      <w:color w:val="66BCDB" w:themeColor="text2"/>
    </w:rPr>
  </w:style>
  <w:style w:type="character" w:customStyle="1" w:styleId="ColourDarkBlue">
    <w:name w:val="Colour Dark Blue"/>
    <w:basedOn w:val="ColourBlue"/>
    <w:uiPriority w:val="22"/>
    <w:qFormat/>
    <w:rsid w:val="000A7DB7"/>
    <w:rPr>
      <w:color w:val="265A9A" w:themeColor="background2"/>
    </w:rPr>
  </w:style>
  <w:style w:type="paragraph" w:customStyle="1" w:styleId="BodyText-Beforebullet">
    <w:name w:val="Body Text-Before bullet"/>
    <w:basedOn w:val="BodyText"/>
    <w:link w:val="BodyText-BeforebulletChar"/>
    <w:semiHidden/>
    <w:unhideWhenUsed/>
    <w:rsid w:val="000A7DB7"/>
    <w:pPr>
      <w:spacing w:after="20"/>
    </w:pPr>
  </w:style>
  <w:style w:type="paragraph" w:customStyle="1" w:styleId="PullQuote">
    <w:name w:val="Pull Quote"/>
    <w:basedOn w:val="BodyText"/>
    <w:next w:val="BodyText"/>
    <w:uiPriority w:val="10"/>
    <w:qFormat/>
    <w:rsid w:val="000A7DB7"/>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A7DB7"/>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0A7DB7"/>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A7DB7"/>
    <w:pPr>
      <w:spacing w:before="60"/>
      <w:jc w:val="right"/>
    </w:pPr>
  </w:style>
  <w:style w:type="paragraph" w:customStyle="1" w:styleId="FigureTableSubheading">
    <w:name w:val="Figure/Table Subheading"/>
    <w:basedOn w:val="FigureTableHeading"/>
    <w:uiPriority w:val="4"/>
    <w:qFormat/>
    <w:rsid w:val="000A7DB7"/>
    <w:pPr>
      <w:spacing w:before="40"/>
    </w:pPr>
    <w:rPr>
      <w:color w:val="58585B"/>
    </w:rPr>
  </w:style>
  <w:style w:type="table" w:customStyle="1" w:styleId="TextTable-Grey">
    <w:name w:val="Text Table-Grey"/>
    <w:basedOn w:val="Texttable-Paleblue"/>
    <w:uiPriority w:val="99"/>
    <w:rsid w:val="000A7DB7"/>
    <w:rPr>
      <w:color w:val="265A9A" w:themeColor="background2"/>
    </w:rPr>
    <w:tblPr/>
    <w:tcPr>
      <w:shd w:val="clear" w:color="auto" w:fill="F2F2F2"/>
    </w:tcPr>
  </w:style>
  <w:style w:type="character" w:customStyle="1" w:styleId="BodyText-BlueChar">
    <w:name w:val="Body Text-Blue Char"/>
    <w:basedOn w:val="BodyTextChar"/>
    <w:link w:val="BodyText-Blue"/>
    <w:semiHidden/>
    <w:rsid w:val="000A7DB7"/>
    <w:rPr>
      <w:color w:val="265A9A" w:themeColor="background2"/>
      <w:sz w:val="20"/>
      <w:szCs w:val="20"/>
    </w:rPr>
  </w:style>
  <w:style w:type="paragraph" w:customStyle="1" w:styleId="Heading3-nonumber">
    <w:name w:val="Heading 3-no number"/>
    <w:basedOn w:val="Heading3"/>
    <w:uiPriority w:val="9"/>
    <w:semiHidden/>
    <w:qFormat/>
    <w:rsid w:val="000A7DB7"/>
  </w:style>
  <w:style w:type="paragraph" w:customStyle="1" w:styleId="Heading1-nobackground">
    <w:name w:val="Heading 1-no background"/>
    <w:basedOn w:val="Heading1"/>
    <w:next w:val="BodyText"/>
    <w:uiPriority w:val="9"/>
    <w:qFormat/>
    <w:rsid w:val="000A7DB7"/>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0A7DB7"/>
    <w:rPr>
      <w:color w:val="58585B"/>
      <w:sz w:val="20"/>
      <w:szCs w:val="20"/>
    </w:rPr>
  </w:style>
  <w:style w:type="paragraph" w:customStyle="1" w:styleId="TableHeading-numbered">
    <w:name w:val="Table Heading-numbered"/>
    <w:basedOn w:val="Normal"/>
    <w:semiHidden/>
    <w:qFormat/>
    <w:rsid w:val="000A7DB7"/>
    <w:pPr>
      <w:numPr>
        <w:numId w:val="37"/>
      </w:numPr>
      <w:spacing w:before="60"/>
      <w:contextualSpacing/>
    </w:pPr>
    <w:rPr>
      <w:b/>
      <w:color w:val="265A9A" w:themeColor="background2"/>
    </w:rPr>
  </w:style>
  <w:style w:type="numbering" w:customStyle="1" w:styleId="TableList">
    <w:name w:val="TableList"/>
    <w:uiPriority w:val="99"/>
    <w:rsid w:val="000A7DB7"/>
    <w:pPr>
      <w:numPr>
        <w:numId w:val="37"/>
      </w:numPr>
    </w:pPr>
  </w:style>
  <w:style w:type="paragraph" w:customStyle="1" w:styleId="Footer-right">
    <w:name w:val="Footer-right"/>
    <w:basedOn w:val="Footer"/>
    <w:uiPriority w:val="11"/>
    <w:rsid w:val="000A7DB7"/>
    <w:pPr>
      <w:jc w:val="right"/>
    </w:pPr>
    <w:rPr>
      <w:szCs w:val="24"/>
    </w:rPr>
  </w:style>
  <w:style w:type="paragraph" w:customStyle="1" w:styleId="Heading2-nonumber">
    <w:name w:val="Heading 2-no number"/>
    <w:basedOn w:val="Heading2"/>
    <w:uiPriority w:val="9"/>
    <w:qFormat/>
    <w:rsid w:val="000A7DB7"/>
    <w:pPr>
      <w:numPr>
        <w:ilvl w:val="0"/>
        <w:numId w:val="0"/>
      </w:numPr>
    </w:pPr>
  </w:style>
  <w:style w:type="paragraph" w:customStyle="1" w:styleId="Heading-Appendix">
    <w:name w:val="Heading-Appendix"/>
    <w:basedOn w:val="Heading1-nonumber"/>
    <w:next w:val="BodyText"/>
    <w:uiPriority w:val="9"/>
    <w:qFormat/>
    <w:rsid w:val="000A7DB7"/>
    <w:pPr>
      <w:numPr>
        <w:numId w:val="28"/>
      </w:numPr>
    </w:pPr>
  </w:style>
  <w:style w:type="numbering" w:customStyle="1" w:styleId="AppendixHeading">
    <w:name w:val="AppendixHeading"/>
    <w:uiPriority w:val="99"/>
    <w:rsid w:val="000A7DB7"/>
    <w:pPr>
      <w:numPr>
        <w:numId w:val="24"/>
      </w:numPr>
    </w:pPr>
  </w:style>
  <w:style w:type="paragraph" w:customStyle="1" w:styleId="DraftingNote">
    <w:name w:val="Drafting Note"/>
    <w:basedOn w:val="BodyText"/>
    <w:link w:val="DraftingNoteChar"/>
    <w:qFormat/>
    <w:rsid w:val="000A7DB7"/>
    <w:pPr>
      <w:contextualSpacing/>
    </w:pPr>
    <w:rPr>
      <w:color w:val="A22D2B"/>
      <w:sz w:val="24"/>
      <w:u w:val="dotted"/>
    </w:rPr>
  </w:style>
  <w:style w:type="character" w:customStyle="1" w:styleId="DraftingNoteChar">
    <w:name w:val="Drafting Note Char"/>
    <w:basedOn w:val="BodyTextChar"/>
    <w:link w:val="DraftingNote"/>
    <w:rsid w:val="000A7DB7"/>
    <w:rPr>
      <w:color w:val="A22D2B"/>
      <w:sz w:val="24"/>
      <w:szCs w:val="20"/>
      <w:u w:val="dotted"/>
    </w:rPr>
  </w:style>
  <w:style w:type="paragraph" w:customStyle="1" w:styleId="BoxHeading1">
    <w:name w:val="Box Heading 1"/>
    <w:basedOn w:val="FigureTableHeading"/>
    <w:next w:val="BodyText"/>
    <w:uiPriority w:val="4"/>
    <w:qFormat/>
    <w:rsid w:val="000A7DB7"/>
    <w:pPr>
      <w:spacing w:after="0"/>
    </w:pPr>
  </w:style>
  <w:style w:type="character" w:styleId="Emphasis">
    <w:name w:val="Emphasis"/>
    <w:basedOn w:val="DefaultParagraphFont"/>
    <w:uiPriority w:val="22"/>
    <w:qFormat/>
    <w:rsid w:val="000A7DB7"/>
    <w:rPr>
      <w:i/>
      <w:iCs/>
    </w:rPr>
  </w:style>
  <w:style w:type="paragraph" w:customStyle="1" w:styleId="Reference">
    <w:name w:val="Reference"/>
    <w:basedOn w:val="BodyText"/>
    <w:qFormat/>
    <w:rsid w:val="000A7DB7"/>
    <w:pPr>
      <w:spacing w:before="0" w:after="60" w:line="200" w:lineRule="exact"/>
    </w:pPr>
    <w:rPr>
      <w:sz w:val="16"/>
    </w:rPr>
  </w:style>
  <w:style w:type="paragraph" w:customStyle="1" w:styleId="Keypoints-heading">
    <w:name w:val="Key points-heading"/>
    <w:basedOn w:val="Heading3"/>
    <w:uiPriority w:val="10"/>
    <w:qFormat/>
    <w:rsid w:val="000A7DB7"/>
    <w:rPr>
      <w:color w:val="auto"/>
    </w:rPr>
  </w:style>
  <w:style w:type="paragraph" w:customStyle="1" w:styleId="Heading2-Appendix">
    <w:name w:val="Heading 2-Appendix"/>
    <w:basedOn w:val="Heading2-nonumber"/>
    <w:next w:val="Normal"/>
    <w:uiPriority w:val="10"/>
    <w:qFormat/>
    <w:rsid w:val="000A7DB7"/>
    <w:pPr>
      <w:numPr>
        <w:ilvl w:val="1"/>
        <w:numId w:val="28"/>
      </w:numPr>
    </w:pPr>
  </w:style>
  <w:style w:type="numbering" w:customStyle="1" w:styleId="AppendixHeadingList">
    <w:name w:val="Appendix Heading List"/>
    <w:uiPriority w:val="99"/>
    <w:rsid w:val="000A7DB7"/>
    <w:pPr>
      <w:numPr>
        <w:numId w:val="23"/>
      </w:numPr>
    </w:pPr>
  </w:style>
  <w:style w:type="paragraph" w:customStyle="1" w:styleId="Space">
    <w:name w:val="Space"/>
    <w:basedOn w:val="BodyText"/>
    <w:uiPriority w:val="1"/>
    <w:rsid w:val="000A7DB7"/>
    <w:pPr>
      <w:spacing w:before="0" w:after="0"/>
    </w:pPr>
  </w:style>
  <w:style w:type="paragraph" w:customStyle="1" w:styleId="QuoteBullet">
    <w:name w:val="Quote Bullet"/>
    <w:basedOn w:val="ListBullet"/>
    <w:link w:val="QuoteBulletChar"/>
    <w:uiPriority w:val="1"/>
    <w:qFormat/>
    <w:rsid w:val="000A7DB7"/>
    <w:pPr>
      <w:spacing w:before="60"/>
      <w:ind w:left="340" w:right="851"/>
    </w:pPr>
    <w:rPr>
      <w:color w:val="58585B"/>
    </w:rPr>
  </w:style>
  <w:style w:type="character" w:customStyle="1" w:styleId="ListBulletChar">
    <w:name w:val="List Bullet Char"/>
    <w:basedOn w:val="DefaultParagraphFont"/>
    <w:link w:val="ListBullet"/>
    <w:uiPriority w:val="1"/>
    <w:rsid w:val="00D7197A"/>
    <w:rPr>
      <w:sz w:val="20"/>
      <w:szCs w:val="20"/>
    </w:rPr>
  </w:style>
  <w:style w:type="character" w:customStyle="1" w:styleId="QuoteBulletChar">
    <w:name w:val="Quote Bullet Char"/>
    <w:basedOn w:val="ListBulletChar"/>
    <w:link w:val="QuoteBullet"/>
    <w:uiPriority w:val="1"/>
    <w:rsid w:val="000A7DB7"/>
    <w:rPr>
      <w:color w:val="58585B"/>
      <w:sz w:val="20"/>
      <w:szCs w:val="20"/>
    </w:rPr>
  </w:style>
  <w:style w:type="paragraph" w:customStyle="1" w:styleId="Figurecharttitle">
    <w:name w:val="Figure chart title"/>
    <w:basedOn w:val="BodyText"/>
    <w:uiPriority w:val="10"/>
    <w:qFormat/>
    <w:rsid w:val="000A7DB7"/>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Mention">
    <w:name w:val="Mention"/>
    <w:basedOn w:val="DefaultParagraphFont"/>
    <w:uiPriority w:val="99"/>
    <w:unhideWhenUsed/>
    <w:rsid w:val="006F23EA"/>
    <w:rPr>
      <w:color w:val="2B579A"/>
      <w:shd w:val="clear" w:color="auto" w:fill="E1DFDD"/>
    </w:rPr>
  </w:style>
  <w:style w:type="paragraph" w:customStyle="1" w:styleId="TableListBullet">
    <w:name w:val="Table List Bullet"/>
    <w:basedOn w:val="ListBullet"/>
    <w:uiPriority w:val="10"/>
    <w:qFormat/>
    <w:rsid w:val="000A7DB7"/>
    <w:pPr>
      <w:spacing w:before="0" w:after="20"/>
      <w:ind w:left="170" w:hanging="113"/>
    </w:pPr>
  </w:style>
  <w:style w:type="character" w:customStyle="1" w:styleId="normaltextrun">
    <w:name w:val="normaltextrun"/>
    <w:basedOn w:val="DefaultParagraphFont"/>
    <w:rsid w:val="006F23EA"/>
  </w:style>
  <w:style w:type="paragraph" w:customStyle="1" w:styleId="paragraph">
    <w:name w:val="paragraph"/>
    <w:basedOn w:val="Normal"/>
    <w:rsid w:val="006F23E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pellingerrorsuperscript">
    <w:name w:val="spellingerrorsuperscript"/>
    <w:basedOn w:val="DefaultParagraphFont"/>
    <w:rsid w:val="006F23EA"/>
  </w:style>
  <w:style w:type="character" w:customStyle="1" w:styleId="eop">
    <w:name w:val="eop"/>
    <w:basedOn w:val="DefaultParagraphFont"/>
    <w:rsid w:val="006F23EA"/>
  </w:style>
  <w:style w:type="table" w:customStyle="1" w:styleId="TableGrid1">
    <w:name w:val="Table Grid1"/>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F23EA"/>
    <w:rPr>
      <w:rFonts w:ascii="Segoe UI" w:hAnsi="Segoe UI" w:cs="Segoe UI" w:hint="default"/>
      <w:sz w:val="18"/>
      <w:szCs w:val="18"/>
    </w:rPr>
  </w:style>
  <w:style w:type="character" w:styleId="EndnoteReference">
    <w:name w:val="endnote reference"/>
    <w:basedOn w:val="DefaultParagraphFont"/>
    <w:uiPriority w:val="99"/>
    <w:semiHidden/>
    <w:unhideWhenUsed/>
    <w:rsid w:val="006F23EA"/>
    <w:rPr>
      <w:vertAlign w:val="superscript"/>
    </w:rPr>
  </w:style>
  <w:style w:type="character" w:styleId="FollowedHyperlink">
    <w:name w:val="FollowedHyperlink"/>
    <w:basedOn w:val="DefaultParagraphFont"/>
    <w:uiPriority w:val="99"/>
    <w:semiHidden/>
    <w:unhideWhenUsed/>
    <w:rsid w:val="00083186"/>
    <w:rPr>
      <w:color w:val="BFBFBF" w:themeColor="followedHyperlink"/>
      <w:u w:val="single"/>
    </w:rPr>
  </w:style>
  <w:style w:type="paragraph" w:styleId="Bibliography">
    <w:name w:val="Bibliography"/>
    <w:basedOn w:val="Normal"/>
    <w:next w:val="Normal"/>
    <w:uiPriority w:val="37"/>
    <w:unhideWhenUsed/>
    <w:rsid w:val="00083186"/>
    <w:pPr>
      <w:spacing w:after="240" w:line="240" w:lineRule="atLeast"/>
      <w:ind w:left="720" w:hanging="720"/>
    </w:pPr>
  </w:style>
  <w:style w:type="paragraph" w:customStyle="1" w:styleId="TableBodyText">
    <w:name w:val="Table Body Text"/>
    <w:basedOn w:val="BodyText"/>
    <w:rsid w:val="00083186"/>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083186"/>
    <w:pPr>
      <w:spacing w:before="80" w:after="80"/>
    </w:pPr>
    <w:rPr>
      <w:i/>
    </w:rPr>
  </w:style>
  <w:style w:type="paragraph" w:customStyle="1" w:styleId="Box">
    <w:name w:val="Box"/>
    <w:basedOn w:val="BodyText"/>
    <w:qFormat/>
    <w:rsid w:val="00083186"/>
    <w:pPr>
      <w:keepNext/>
      <w:spacing w:after="0" w:line="260" w:lineRule="atLeast"/>
      <w:jc w:val="both"/>
    </w:pPr>
    <w:rPr>
      <w:rFonts w:ascii="Arial" w:eastAsia="Times New Roman" w:hAnsi="Arial" w:cs="Times New Roman"/>
      <w:lang w:eastAsia="en-AU"/>
    </w:rPr>
  </w:style>
  <w:style w:type="paragraph" w:customStyle="1" w:styleId="BoxSource">
    <w:name w:val="Box Source"/>
    <w:basedOn w:val="Source"/>
    <w:next w:val="BodyText"/>
    <w:rsid w:val="00083186"/>
    <w:pPr>
      <w:keepLines/>
      <w:spacing w:before="120" w:after="0" w:line="220" w:lineRule="exact"/>
      <w:jc w:val="both"/>
    </w:pPr>
    <w:rPr>
      <w:rFonts w:ascii="Arial" w:eastAsia="Times New Roman" w:hAnsi="Arial" w:cs="Times New Roman"/>
      <w:lang w:eastAsia="en-AU"/>
    </w:rPr>
  </w:style>
  <w:style w:type="paragraph" w:customStyle="1" w:styleId="BoxTitle">
    <w:name w:val="Box Title"/>
    <w:basedOn w:val="Caption"/>
    <w:next w:val="Normal"/>
    <w:rsid w:val="00083186"/>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SpaceAbove">
    <w:name w:val="Box Space Above"/>
    <w:basedOn w:val="BodyText"/>
    <w:rsid w:val="00083186"/>
    <w:pPr>
      <w:keepNext/>
      <w:spacing w:before="360" w:after="0" w:line="80" w:lineRule="exact"/>
    </w:pPr>
    <w:rPr>
      <w:rFonts w:ascii="Times New Roman" w:eastAsia="Times New Roman" w:hAnsi="Times New Roman" w:cs="Times New Roman"/>
      <w:sz w:val="24"/>
      <w:lang w:eastAsia="en-AU"/>
    </w:rPr>
  </w:style>
  <w:style w:type="paragraph" w:customStyle="1" w:styleId="BoxSpaceBelow">
    <w:name w:val="Box Space Below"/>
    <w:basedOn w:val="Box"/>
    <w:rsid w:val="00083186"/>
    <w:pPr>
      <w:keepNext w:val="0"/>
      <w:spacing w:before="60" w:after="60" w:line="80" w:lineRule="exact"/>
    </w:pPr>
    <w:rPr>
      <w:sz w:val="14"/>
    </w:rPr>
  </w:style>
  <w:style w:type="paragraph" w:styleId="NormalWeb">
    <w:name w:val="Normal (Web)"/>
    <w:basedOn w:val="Normal"/>
    <w:uiPriority w:val="99"/>
    <w:unhideWhenUsed/>
    <w:rsid w:val="0008318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llQuoteNoSpacing">
    <w:name w:val="Pull Quote No Spacing"/>
    <w:basedOn w:val="NoSpacing"/>
    <w:link w:val="PullQuoteNoSpacingChar"/>
    <w:uiPriority w:val="10"/>
    <w:qFormat/>
    <w:rsid w:val="000A7DB7"/>
    <w:pPr>
      <w:spacing w:line="160" w:lineRule="exact"/>
    </w:pPr>
  </w:style>
  <w:style w:type="character" w:customStyle="1" w:styleId="PullQuoteNoSpacingChar">
    <w:name w:val="Pull Quote No Spacing Char"/>
    <w:basedOn w:val="NoSpacingChar"/>
    <w:link w:val="PullQuoteNoSpacing"/>
    <w:uiPriority w:val="10"/>
    <w:rsid w:val="000A7DB7"/>
    <w:rPr>
      <w:sz w:val="20"/>
      <w:szCs w:val="20"/>
    </w:rPr>
  </w:style>
  <w:style w:type="paragraph" w:customStyle="1" w:styleId="PullQuote-Indigenous">
    <w:name w:val="Pull Quote-Indigenous"/>
    <w:basedOn w:val="PullQuote"/>
    <w:uiPriority w:val="10"/>
    <w:qFormat/>
    <w:rsid w:val="000A7DB7"/>
    <w:pPr>
      <w:ind w:right="680"/>
    </w:pPr>
    <w:rPr>
      <w:rFonts w:ascii="Arial" w:hAnsi="Arial" w:cs="Arial"/>
      <w:color w:val="auto"/>
      <w:spacing w:val="6"/>
      <w:sz w:val="22"/>
      <w:szCs w:val="22"/>
    </w:rPr>
  </w:style>
  <w:style w:type="paragraph" w:customStyle="1" w:styleId="Default">
    <w:name w:val="Default"/>
    <w:rsid w:val="00083186"/>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083186"/>
    <w:pPr>
      <w:spacing w:before="0" w:after="0" w:line="240" w:lineRule="auto"/>
    </w:pPr>
  </w:style>
  <w:style w:type="character" w:customStyle="1" w:styleId="EndnoteTextChar">
    <w:name w:val="Endnote Text Char"/>
    <w:basedOn w:val="DefaultParagraphFont"/>
    <w:link w:val="EndnoteText"/>
    <w:uiPriority w:val="99"/>
    <w:semiHidden/>
    <w:rsid w:val="00083186"/>
    <w:rPr>
      <w:sz w:val="20"/>
      <w:szCs w:val="20"/>
    </w:rPr>
  </w:style>
  <w:style w:type="paragraph" w:customStyle="1" w:styleId="pf0">
    <w:name w:val="pf0"/>
    <w:basedOn w:val="Normal"/>
    <w:rsid w:val="0008318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083186"/>
    <w:rPr>
      <w:rFonts w:ascii="Segoe UI" w:hAnsi="Segoe UI" w:cs="Segoe UI" w:hint="default"/>
      <w:color w:val="202124"/>
      <w:sz w:val="18"/>
      <w:szCs w:val="18"/>
    </w:rPr>
  </w:style>
  <w:style w:type="character" w:customStyle="1" w:styleId="notion-enable-hover">
    <w:name w:val="notion-enable-hover"/>
    <w:basedOn w:val="DefaultParagraphFont"/>
    <w:rsid w:val="00083186"/>
  </w:style>
  <w:style w:type="paragraph" w:customStyle="1" w:styleId="KeyPointsListBullet">
    <w:name w:val="Key Points List Bullet"/>
    <w:basedOn w:val="Normal"/>
    <w:qFormat/>
    <w:rsid w:val="00083186"/>
    <w:pPr>
      <w:keepNext/>
      <w:numPr>
        <w:numId w:val="14"/>
      </w:numPr>
      <w:spacing w:before="100" w:after="0" w:line="260" w:lineRule="atLeast"/>
      <w:jc w:val="both"/>
    </w:pPr>
    <w:rPr>
      <w:rFonts w:ascii="Arial" w:eastAsia="Times New Roman" w:hAnsi="Arial" w:cs="Times New Roman"/>
    </w:rPr>
  </w:style>
  <w:style w:type="numbering" w:customStyle="1" w:styleId="Style1">
    <w:name w:val="Style1"/>
    <w:uiPriority w:val="99"/>
    <w:rsid w:val="00083186"/>
    <w:pPr>
      <w:numPr>
        <w:numId w:val="16"/>
      </w:numPr>
    </w:pPr>
  </w:style>
  <w:style w:type="paragraph" w:customStyle="1" w:styleId="BoxListBullet3">
    <w:name w:val="Box List Bullet 3"/>
    <w:basedOn w:val="ListBullet3"/>
    <w:rsid w:val="00C74DE4"/>
    <w:pPr>
      <w:numPr>
        <w:numId w:val="19"/>
      </w:numPr>
      <w:tabs>
        <w:tab w:val="left" w:pos="907"/>
      </w:tabs>
      <w:spacing w:before="60" w:after="0" w:line="260" w:lineRule="atLeast"/>
      <w:contextualSpacing w:val="0"/>
      <w:jc w:val="both"/>
    </w:pPr>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7.xml"/><Relationship Id="rId39" Type="http://schemas.openxmlformats.org/officeDocument/2006/relationships/image" Target="media/image17.svg"/><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image" Target="media/image15.png"/><Relationship Id="rId40"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7.svg"/><Relationship Id="rId36"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gif"/><Relationship Id="rId35" Type="http://schemas.openxmlformats.org/officeDocument/2006/relationships/image" Target="media/image14.emf"/><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2.emf"/><Relationship Id="rId38"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5474638f-2422-4428-9c64-8627ba4e1a9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5474638f-2422-4428-9c64-8627ba4e1a9e">
      <Value>1</Value>
    </TaxCatchAll>
  </documentManagement>
</p:properties>
</file>

<file path=customXml/item5.xml><?xml version="1.0" encoding="utf-8"?>
<TemplafyFormConfiguration><![CDATA[{"formFields":[],"formDataEntries":[]}]]></TemplafyForm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F06C83285AFA08498177F9E49C3F0D3A" ma:contentTypeVersion="9" ma:contentTypeDescription="Create a new document." ma:contentTypeScope="" ma:versionID="ea5794782ab118d6a256a0fc9d63d8e6">
  <xsd:schema xmlns:xsd="http://www.w3.org/2001/XMLSchema" xmlns:xs="http://www.w3.org/2001/XMLSchema" xmlns:p="http://schemas.microsoft.com/office/2006/metadata/properties" xmlns:ns2="5474638f-2422-4428-9c64-8627ba4e1a9e" xmlns:ns3="bfa52605-7258-4b82-a849-144f45d780ad" targetNamespace="http://schemas.microsoft.com/office/2006/metadata/properties" ma:root="true" ma:fieldsID="729549b590e41e565d5a31dfcb8c6221" ns2:_="" ns3:_="">
    <xsd:import namespace="5474638f-2422-4428-9c64-8627ba4e1a9e"/>
    <xsd:import namespace="bfa52605-7258-4b82-a849-144f45d780ad"/>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4638f-2422-4428-9c64-8627ba4e1a9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946827a-9614-4809-8708-00a949313f2d}" ma:internalName="TaxCatchAll" ma:showField="CatchAllData" ma:web="5474638f-2422-4428-9c64-8627ba4e1a9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a52605-7258-4b82-a849-144f45d780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1126FCBF-FF7A-4709-9217-9F801C694F0E}">
  <ds:schemaRefs>
    <ds:schemaRef ds:uri="http://schemas.microsoft.com/sharepoint/v3/contenttype/forms"/>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5AB7CA80-E62E-49D2-8406-0E1DA76F2D8E}">
  <ds:schemaRefs>
    <ds:schemaRef ds:uri="http://schemas.microsoft.com/office/2006/metadata/properties"/>
    <ds:schemaRef ds:uri="http://schemas.microsoft.com/office/infopath/2007/PartnerControls"/>
    <ds:schemaRef ds:uri="5474638f-2422-4428-9c64-8627ba4e1a9e"/>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46749D2F-66BD-409E-9270-C2965016F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4638f-2422-4428-9c64-8627ba4e1a9e"/>
    <ds:schemaRef ds:uri="bfa52605-7258-4b82-a849-144f45d78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7</TotalTime>
  <Pages>20</Pages>
  <Words>5905</Words>
  <Characters>33665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Overview - Study report - Aged care employment</vt:lpstr>
    </vt:vector>
  </TitlesOfParts>
  <Company>Productivity Commission</Company>
  <LinksUpToDate>false</LinksUpToDate>
  <CharactersWithSpaces>39492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Study report - Aged care employment</dc:title>
  <dc:subject>Study report</dc:subject>
  <dc:creator>Productivity Commission</dc:creator>
  <cp:keywords/>
  <dc:description/>
  <cp:lastModifiedBy>Chris Alston</cp:lastModifiedBy>
  <cp:revision>11</cp:revision>
  <cp:lastPrinted>2022-10-18T01:38:00Z</cp:lastPrinted>
  <dcterms:created xsi:type="dcterms:W3CDTF">2022-10-18T01:31:00Z</dcterms:created>
  <dcterms:modified xsi:type="dcterms:W3CDTF">2022-10-18T01:38:00Z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637734058359382389</vt:lpwstr>
  </property>
  <property fmtid="{D5CDD505-2E9C-101B-9397-08002B2CF9AE}" pid="4" name="TemplafyUserProfileId">
    <vt:lpwstr>637927510610926920</vt:lpwstr>
  </property>
  <property fmtid="{D5CDD505-2E9C-101B-9397-08002B2CF9AE}" pid="5" name="TemplafyFromBlank">
    <vt:bool>false</vt:bool>
  </property>
  <property fmtid="{D5CDD505-2E9C-101B-9397-08002B2CF9AE}" pid="6" name="ContentTypeId">
    <vt:lpwstr>0x010100F06C83285AFA08498177F9E49C3F0D3A</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id="beRkDxC0"/&gt;&lt;style id="http://www.zotero.org/styles/Productivity-Commission" hasBibliography="1" bibliographyStyleHasBeenSet="1"/&gt;&lt;prefs&gt;&lt;pref name="fieldType" value="Field"/&gt;&lt;pref name="automaticJ</vt:lpwstr>
  </property>
  <property fmtid="{D5CDD505-2E9C-101B-9397-08002B2CF9AE}" pid="9" name="ZOTERO_PREF_2">
    <vt:lpwstr>ournalAbbreviations" value="true"/&gt;&lt;pref name="delayCitationUpdates" value="true"/&gt;&lt;pref name="dontAskDelayCitationUpdates" value="true"/&gt;&lt;/prefs&gt;&lt;/data&gt;</vt:lpwstr>
  </property>
</Properties>
</file>