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0C" w:rsidRDefault="002E2D0C">
      <w:pPr>
        <w:rPr>
          <w:sz w:val="24"/>
          <w:szCs w:val="24"/>
        </w:rPr>
      </w:pPr>
    </w:p>
    <w:p w:rsidR="002E2D0C" w:rsidRDefault="002E2D0C" w:rsidP="002E2D0C">
      <w:pPr>
        <w:spacing w:line="360" w:lineRule="auto"/>
        <w:jc w:val="center"/>
        <w:rPr>
          <w:b/>
          <w:bCs/>
          <w:sz w:val="24"/>
          <w:szCs w:val="24"/>
        </w:rPr>
      </w:pPr>
      <w:r w:rsidRPr="002E2D0C">
        <w:rPr>
          <w:b/>
          <w:bCs/>
          <w:sz w:val="24"/>
          <w:szCs w:val="24"/>
        </w:rPr>
        <w:t>VIEW</w:t>
      </w:r>
      <w:bookmarkStart w:id="0" w:name="_GoBack"/>
      <w:bookmarkEnd w:id="0"/>
      <w:r w:rsidRPr="002E2D0C">
        <w:rPr>
          <w:b/>
          <w:bCs/>
          <w:sz w:val="24"/>
          <w:szCs w:val="24"/>
        </w:rPr>
        <w:t xml:space="preserve">S OF THE </w:t>
      </w:r>
      <w:r w:rsidR="00937040">
        <w:rPr>
          <w:b/>
          <w:bCs/>
          <w:sz w:val="24"/>
          <w:szCs w:val="24"/>
        </w:rPr>
        <w:t>TURKISH GOVERNMENT</w:t>
      </w:r>
      <w:r w:rsidRPr="002E2D0C">
        <w:rPr>
          <w:b/>
          <w:bCs/>
          <w:sz w:val="24"/>
          <w:szCs w:val="24"/>
        </w:rPr>
        <w:t xml:space="preserve"> REGARDING THE SAFEGUARD INVESTIGATION INITIATED AGAINST </w:t>
      </w:r>
      <w:r>
        <w:rPr>
          <w:b/>
          <w:bCs/>
          <w:sz w:val="24"/>
          <w:szCs w:val="24"/>
        </w:rPr>
        <w:t>CERTAIN PROCESSED FRUIT PRODUCTS</w:t>
      </w:r>
      <w:r w:rsidR="00883DF4">
        <w:rPr>
          <w:b/>
          <w:bCs/>
          <w:sz w:val="24"/>
          <w:szCs w:val="24"/>
        </w:rPr>
        <w:t xml:space="preserve"> IMPORTED</w:t>
      </w:r>
      <w:r w:rsidRPr="002E2D0C">
        <w:rPr>
          <w:b/>
          <w:bCs/>
          <w:sz w:val="24"/>
          <w:szCs w:val="24"/>
        </w:rPr>
        <w:t xml:space="preserve"> BY </w:t>
      </w:r>
      <w:smartTag w:uri="urn:schemas-microsoft-com:office:smarttags" w:element="place">
        <w:smartTag w:uri="urn:schemas-microsoft-com:office:smarttags" w:element="country-region">
          <w:r>
            <w:rPr>
              <w:b/>
              <w:bCs/>
              <w:sz w:val="24"/>
              <w:szCs w:val="24"/>
            </w:rPr>
            <w:t>AUSTRALIA</w:t>
          </w:r>
        </w:smartTag>
      </w:smartTag>
    </w:p>
    <w:p w:rsidR="002E2D0C" w:rsidRDefault="002E2D0C" w:rsidP="002E2D0C">
      <w:pPr>
        <w:jc w:val="both"/>
        <w:rPr>
          <w:bCs/>
          <w:sz w:val="24"/>
          <w:szCs w:val="24"/>
        </w:rPr>
      </w:pPr>
    </w:p>
    <w:p w:rsidR="002E2D0C" w:rsidRDefault="002E2D0C" w:rsidP="002E2D0C">
      <w:pPr>
        <w:spacing w:line="360" w:lineRule="auto"/>
        <w:jc w:val="both"/>
        <w:rPr>
          <w:sz w:val="24"/>
          <w:szCs w:val="24"/>
        </w:rPr>
      </w:pPr>
      <w:r>
        <w:rPr>
          <w:sz w:val="24"/>
          <w:szCs w:val="24"/>
        </w:rPr>
        <w:tab/>
      </w:r>
      <w:r w:rsidR="000F5C71" w:rsidRPr="000F5C71">
        <w:rPr>
          <w:sz w:val="24"/>
          <w:szCs w:val="24"/>
        </w:rPr>
        <w:t>This document includes the views of the Turkish Government in accordance with the Article 3.1 of the Agreement on Safeguards (“</w:t>
      </w:r>
      <w:proofErr w:type="spellStart"/>
      <w:r w:rsidR="000F5C71" w:rsidRPr="000F5C71">
        <w:rPr>
          <w:sz w:val="24"/>
          <w:szCs w:val="24"/>
        </w:rPr>
        <w:t>AoS</w:t>
      </w:r>
      <w:proofErr w:type="spellEnd"/>
      <w:r w:rsidR="000F5C71" w:rsidRPr="000F5C71">
        <w:rPr>
          <w:sz w:val="24"/>
          <w:szCs w:val="24"/>
        </w:rPr>
        <w:t>”) regarding the safeguard investigation initiated by the Australian Government Productivity Commission (“the Commission”)</w:t>
      </w:r>
      <w:r w:rsidR="000F5C71">
        <w:rPr>
          <w:sz w:val="24"/>
          <w:szCs w:val="24"/>
        </w:rPr>
        <w:t>.</w:t>
      </w:r>
    </w:p>
    <w:p w:rsidR="000F5C71" w:rsidRDefault="000F5C71" w:rsidP="002E2D0C">
      <w:pPr>
        <w:spacing w:line="360" w:lineRule="auto"/>
        <w:jc w:val="both"/>
        <w:rPr>
          <w:sz w:val="24"/>
          <w:szCs w:val="24"/>
        </w:rPr>
      </w:pPr>
    </w:p>
    <w:p w:rsidR="00427E91" w:rsidRDefault="000C796E" w:rsidP="001A5A7B">
      <w:pPr>
        <w:spacing w:line="360" w:lineRule="auto"/>
        <w:ind w:firstLine="708"/>
        <w:jc w:val="both"/>
        <w:rPr>
          <w:b/>
          <w:sz w:val="24"/>
          <w:szCs w:val="24"/>
        </w:rPr>
      </w:pPr>
      <w:r>
        <w:rPr>
          <w:b/>
          <w:sz w:val="24"/>
          <w:szCs w:val="24"/>
        </w:rPr>
        <w:t>1. General Remarks</w:t>
      </w:r>
    </w:p>
    <w:p w:rsidR="001A5A7B" w:rsidRDefault="001A5A7B" w:rsidP="002E2D0C">
      <w:pPr>
        <w:spacing w:line="360" w:lineRule="auto"/>
        <w:jc w:val="both"/>
        <w:rPr>
          <w:b/>
          <w:sz w:val="24"/>
          <w:szCs w:val="24"/>
        </w:rPr>
      </w:pPr>
    </w:p>
    <w:p w:rsidR="000C796E" w:rsidRDefault="000C796E" w:rsidP="002E2D0C">
      <w:pPr>
        <w:spacing w:line="360" w:lineRule="auto"/>
        <w:jc w:val="both"/>
        <w:rPr>
          <w:sz w:val="24"/>
          <w:szCs w:val="24"/>
        </w:rPr>
      </w:pPr>
      <w:r>
        <w:rPr>
          <w:sz w:val="24"/>
          <w:szCs w:val="24"/>
        </w:rPr>
        <w:tab/>
      </w:r>
      <w:r w:rsidRPr="00965D3E">
        <w:rPr>
          <w:sz w:val="24"/>
          <w:szCs w:val="24"/>
        </w:rPr>
        <w:t xml:space="preserve">On June 21, 2013 the Commission initiated a safeguard investigation regarding the imports of “Certain Processed Fruit Products” to </w:t>
      </w:r>
      <w:smartTag w:uri="urn:schemas-microsoft-com:office:smarttags" w:element="place">
        <w:smartTag w:uri="urn:schemas-microsoft-com:office:smarttags" w:element="country-region">
          <w:r w:rsidRPr="00965D3E">
            <w:rPr>
              <w:sz w:val="24"/>
              <w:szCs w:val="24"/>
            </w:rPr>
            <w:t>Australia</w:t>
          </w:r>
        </w:smartTag>
      </w:smartTag>
      <w:r w:rsidRPr="00965D3E">
        <w:rPr>
          <w:sz w:val="24"/>
          <w:szCs w:val="24"/>
        </w:rPr>
        <w:t xml:space="preserve"> after evaluating a petition lodged by </w:t>
      </w:r>
      <w:proofErr w:type="spellStart"/>
      <w:r w:rsidRPr="00965D3E">
        <w:rPr>
          <w:sz w:val="24"/>
          <w:szCs w:val="24"/>
        </w:rPr>
        <w:t>SPC</w:t>
      </w:r>
      <w:proofErr w:type="spellEnd"/>
      <w:r w:rsidRPr="00965D3E">
        <w:rPr>
          <w:sz w:val="24"/>
          <w:szCs w:val="24"/>
        </w:rPr>
        <w:t xml:space="preserve"> </w:t>
      </w:r>
      <w:proofErr w:type="spellStart"/>
      <w:r w:rsidRPr="00965D3E">
        <w:rPr>
          <w:sz w:val="24"/>
          <w:szCs w:val="24"/>
        </w:rPr>
        <w:t>Ardmona</w:t>
      </w:r>
      <w:proofErr w:type="spellEnd"/>
      <w:r w:rsidRPr="00965D3E">
        <w:rPr>
          <w:sz w:val="24"/>
          <w:szCs w:val="24"/>
        </w:rPr>
        <w:t xml:space="preserve"> (“the Complainant”). Pursuant to the Article 12.1.(a) of the </w:t>
      </w:r>
      <w:proofErr w:type="spellStart"/>
      <w:r w:rsidRPr="00965D3E">
        <w:rPr>
          <w:sz w:val="24"/>
          <w:szCs w:val="24"/>
        </w:rPr>
        <w:t>AoS</w:t>
      </w:r>
      <w:proofErr w:type="spellEnd"/>
      <w:r>
        <w:rPr>
          <w:sz w:val="24"/>
          <w:szCs w:val="24"/>
        </w:rPr>
        <w:t>,</w:t>
      </w:r>
      <w:r w:rsidRPr="00965D3E">
        <w:rPr>
          <w:sz w:val="24"/>
          <w:szCs w:val="24"/>
        </w:rPr>
        <w:t xml:space="preserve"> </w:t>
      </w:r>
      <w:smartTag w:uri="urn:schemas-microsoft-com:office:smarttags" w:element="place">
        <w:smartTag w:uri="urn:schemas-microsoft-com:office:smarttags" w:element="country-region">
          <w:r w:rsidRPr="00965D3E">
            <w:rPr>
              <w:sz w:val="24"/>
              <w:szCs w:val="24"/>
            </w:rPr>
            <w:t>Australia</w:t>
          </w:r>
        </w:smartTag>
      </w:smartTag>
      <w:r w:rsidRPr="00965D3E">
        <w:rPr>
          <w:sz w:val="24"/>
          <w:szCs w:val="24"/>
        </w:rPr>
        <w:t xml:space="preserve"> notified World Trade Organization (WTO)</w:t>
      </w:r>
      <w:r w:rsidR="006D2B0C">
        <w:rPr>
          <w:sz w:val="24"/>
          <w:szCs w:val="24"/>
        </w:rPr>
        <w:t xml:space="preserve"> Committee on Safeguards</w:t>
      </w:r>
      <w:r w:rsidRPr="00965D3E">
        <w:rPr>
          <w:sz w:val="24"/>
          <w:szCs w:val="24"/>
        </w:rPr>
        <w:t xml:space="preserve"> the initiation of the safeguard investigation on July 3, 2013.</w:t>
      </w:r>
    </w:p>
    <w:p w:rsidR="000C796E" w:rsidRDefault="000C796E" w:rsidP="002E2D0C">
      <w:pPr>
        <w:spacing w:line="360" w:lineRule="auto"/>
        <w:jc w:val="both"/>
        <w:rPr>
          <w:sz w:val="24"/>
          <w:szCs w:val="24"/>
        </w:rPr>
      </w:pPr>
    </w:p>
    <w:p w:rsidR="001C755F" w:rsidRDefault="000C796E" w:rsidP="001C755F">
      <w:pPr>
        <w:spacing w:line="360" w:lineRule="auto"/>
        <w:jc w:val="both"/>
        <w:rPr>
          <w:sz w:val="24"/>
          <w:szCs w:val="24"/>
        </w:rPr>
      </w:pPr>
      <w:r>
        <w:rPr>
          <w:sz w:val="24"/>
          <w:szCs w:val="24"/>
        </w:rPr>
        <w:tab/>
        <w:t>The Complainant released th</w:t>
      </w:r>
      <w:r w:rsidR="003A00EB">
        <w:rPr>
          <w:sz w:val="24"/>
          <w:szCs w:val="24"/>
        </w:rPr>
        <w:t>e “Non-Confidential Version of the S</w:t>
      </w:r>
      <w:r>
        <w:rPr>
          <w:sz w:val="24"/>
          <w:szCs w:val="24"/>
        </w:rPr>
        <w:t>ubmission”</w:t>
      </w:r>
      <w:r w:rsidR="00D21F18">
        <w:rPr>
          <w:sz w:val="24"/>
          <w:szCs w:val="24"/>
        </w:rPr>
        <w:t xml:space="preserve"> (the Submission)</w:t>
      </w:r>
      <w:r>
        <w:rPr>
          <w:sz w:val="24"/>
          <w:szCs w:val="24"/>
        </w:rPr>
        <w:t xml:space="preserve"> presented to the Commission</w:t>
      </w:r>
      <w:r w:rsidR="00D2312A">
        <w:rPr>
          <w:sz w:val="24"/>
          <w:szCs w:val="24"/>
        </w:rPr>
        <w:t xml:space="preserve"> on July 23, 2013. At this time, as</w:t>
      </w:r>
      <w:r w:rsidR="002701CF">
        <w:rPr>
          <w:sz w:val="24"/>
          <w:szCs w:val="24"/>
        </w:rPr>
        <w:t xml:space="preserve"> a supplemental to</w:t>
      </w:r>
      <w:r w:rsidR="00D2312A">
        <w:rPr>
          <w:sz w:val="24"/>
          <w:szCs w:val="24"/>
        </w:rPr>
        <w:t xml:space="preserve"> the initial views,</w:t>
      </w:r>
      <w:r w:rsidR="002701CF">
        <w:rPr>
          <w:sz w:val="24"/>
          <w:szCs w:val="24"/>
        </w:rPr>
        <w:t xml:space="preserve"> here below are the remarks</w:t>
      </w:r>
      <w:r w:rsidR="00D2312A">
        <w:rPr>
          <w:sz w:val="24"/>
          <w:szCs w:val="24"/>
        </w:rPr>
        <w:t xml:space="preserve"> </w:t>
      </w:r>
      <w:r w:rsidR="001C755F">
        <w:rPr>
          <w:sz w:val="24"/>
          <w:szCs w:val="24"/>
        </w:rPr>
        <w:t xml:space="preserve">of the Turkish Government </w:t>
      </w:r>
      <w:r w:rsidR="002701CF">
        <w:rPr>
          <w:sz w:val="24"/>
          <w:szCs w:val="24"/>
        </w:rPr>
        <w:t>concerning</w:t>
      </w:r>
      <w:r w:rsidR="00D2312A">
        <w:rPr>
          <w:sz w:val="24"/>
          <w:szCs w:val="24"/>
        </w:rPr>
        <w:t xml:space="preserve"> the </w:t>
      </w:r>
      <w:r w:rsidR="002701CF">
        <w:rPr>
          <w:sz w:val="24"/>
          <w:szCs w:val="24"/>
        </w:rPr>
        <w:t>S</w:t>
      </w:r>
      <w:r w:rsidR="00D2312A">
        <w:rPr>
          <w:sz w:val="24"/>
          <w:szCs w:val="24"/>
        </w:rPr>
        <w:t>ubmission.</w:t>
      </w:r>
    </w:p>
    <w:p w:rsidR="002701CF" w:rsidRDefault="002701CF" w:rsidP="001C755F">
      <w:pPr>
        <w:spacing w:line="360" w:lineRule="auto"/>
        <w:jc w:val="both"/>
        <w:rPr>
          <w:sz w:val="24"/>
          <w:szCs w:val="24"/>
        </w:rPr>
      </w:pPr>
    </w:p>
    <w:p w:rsidR="002701CF" w:rsidRPr="002701CF" w:rsidRDefault="002701CF" w:rsidP="001C755F">
      <w:pPr>
        <w:spacing w:line="360" w:lineRule="auto"/>
        <w:jc w:val="both"/>
        <w:rPr>
          <w:b/>
          <w:sz w:val="24"/>
          <w:szCs w:val="24"/>
        </w:rPr>
      </w:pPr>
      <w:r>
        <w:rPr>
          <w:sz w:val="24"/>
          <w:szCs w:val="24"/>
        </w:rPr>
        <w:tab/>
      </w:r>
      <w:r>
        <w:rPr>
          <w:b/>
          <w:sz w:val="24"/>
          <w:szCs w:val="24"/>
        </w:rPr>
        <w:t>2. Absence of Figures on Some Relevant Factors of Injury</w:t>
      </w:r>
    </w:p>
    <w:p w:rsidR="001C755F" w:rsidRDefault="001C755F" w:rsidP="001C755F">
      <w:pPr>
        <w:spacing w:line="360" w:lineRule="auto"/>
        <w:jc w:val="both"/>
        <w:rPr>
          <w:sz w:val="24"/>
          <w:szCs w:val="24"/>
        </w:rPr>
      </w:pPr>
    </w:p>
    <w:p w:rsidR="001C755F" w:rsidRPr="001C755F" w:rsidRDefault="001C755F" w:rsidP="001C755F">
      <w:pPr>
        <w:spacing w:line="360" w:lineRule="auto"/>
        <w:jc w:val="both"/>
        <w:rPr>
          <w:i/>
          <w:sz w:val="24"/>
          <w:szCs w:val="24"/>
        </w:rPr>
      </w:pPr>
      <w:r>
        <w:rPr>
          <w:sz w:val="24"/>
          <w:szCs w:val="24"/>
        </w:rPr>
        <w:tab/>
        <w:t xml:space="preserve">As per Article 4.2 (a) of the </w:t>
      </w:r>
      <w:proofErr w:type="spellStart"/>
      <w:r>
        <w:rPr>
          <w:sz w:val="24"/>
          <w:szCs w:val="24"/>
        </w:rPr>
        <w:t>AoS</w:t>
      </w:r>
      <w:proofErr w:type="spellEnd"/>
      <w:r>
        <w:rPr>
          <w:sz w:val="24"/>
          <w:szCs w:val="24"/>
        </w:rPr>
        <w:t xml:space="preserve">, </w:t>
      </w:r>
      <w:r w:rsidRPr="001C755F">
        <w:rPr>
          <w:i/>
          <w:sz w:val="24"/>
          <w:szCs w:val="24"/>
        </w:rPr>
        <w:t xml:space="preserve">“In the investigation to determine whether increased imports have caused or are threatening to cause serious injury to a domestic industry under the terms of this Agreement, the competent authorities shall evaluate all relevant factors of an </w:t>
      </w:r>
    </w:p>
    <w:p w:rsidR="00544653" w:rsidRDefault="001C755F" w:rsidP="001C755F">
      <w:pPr>
        <w:spacing w:line="360" w:lineRule="auto"/>
        <w:jc w:val="both"/>
        <w:rPr>
          <w:i/>
          <w:sz w:val="24"/>
          <w:szCs w:val="24"/>
        </w:rPr>
      </w:pPr>
      <w:r w:rsidRPr="001C755F">
        <w:rPr>
          <w:i/>
          <w:sz w:val="24"/>
          <w:szCs w:val="24"/>
        </w:rPr>
        <w:t xml:space="preserve">objective and quantifiable nature having a bearing on the situation of that industry, in particular, the rate and amount of the increase in imports of the product concerned in absolute and relative terms, the share of the domestic market taken by increased imports, </w:t>
      </w:r>
      <w:r w:rsidRPr="001C755F">
        <w:rPr>
          <w:b/>
          <w:i/>
          <w:sz w:val="24"/>
          <w:szCs w:val="24"/>
        </w:rPr>
        <w:lastRenderedPageBreak/>
        <w:t xml:space="preserve">changes in the level of </w:t>
      </w:r>
      <w:r w:rsidRPr="000073E5">
        <w:rPr>
          <w:b/>
          <w:i/>
          <w:sz w:val="24"/>
          <w:szCs w:val="24"/>
          <w:u w:val="single"/>
        </w:rPr>
        <w:t>sales</w:t>
      </w:r>
      <w:r w:rsidRPr="001C755F">
        <w:rPr>
          <w:b/>
          <w:i/>
          <w:sz w:val="24"/>
          <w:szCs w:val="24"/>
        </w:rPr>
        <w:t xml:space="preserve">, </w:t>
      </w:r>
      <w:r w:rsidRPr="000073E5">
        <w:rPr>
          <w:b/>
          <w:i/>
          <w:sz w:val="24"/>
          <w:szCs w:val="24"/>
          <w:u w:val="single"/>
        </w:rPr>
        <w:t>production</w:t>
      </w:r>
      <w:r w:rsidRPr="001C755F">
        <w:rPr>
          <w:b/>
          <w:i/>
          <w:sz w:val="24"/>
          <w:szCs w:val="24"/>
        </w:rPr>
        <w:t xml:space="preserve">, </w:t>
      </w:r>
      <w:r w:rsidRPr="000073E5">
        <w:rPr>
          <w:b/>
          <w:i/>
          <w:sz w:val="24"/>
          <w:szCs w:val="24"/>
          <w:u w:val="single"/>
        </w:rPr>
        <w:t>productivity</w:t>
      </w:r>
      <w:r w:rsidRPr="001C755F">
        <w:rPr>
          <w:b/>
          <w:i/>
          <w:sz w:val="24"/>
          <w:szCs w:val="24"/>
        </w:rPr>
        <w:t xml:space="preserve">, </w:t>
      </w:r>
      <w:r w:rsidRPr="000073E5">
        <w:rPr>
          <w:b/>
          <w:i/>
          <w:sz w:val="24"/>
          <w:szCs w:val="24"/>
          <w:u w:val="single"/>
        </w:rPr>
        <w:t>capacity utilization</w:t>
      </w:r>
      <w:r w:rsidRPr="001C755F">
        <w:rPr>
          <w:b/>
          <w:i/>
          <w:sz w:val="24"/>
          <w:szCs w:val="24"/>
        </w:rPr>
        <w:t xml:space="preserve">, </w:t>
      </w:r>
      <w:r w:rsidRPr="000073E5">
        <w:rPr>
          <w:b/>
          <w:i/>
          <w:sz w:val="24"/>
          <w:szCs w:val="24"/>
          <w:u w:val="single"/>
        </w:rPr>
        <w:t>profits and losses</w:t>
      </w:r>
      <w:r w:rsidRPr="001C755F">
        <w:rPr>
          <w:b/>
          <w:i/>
          <w:sz w:val="24"/>
          <w:szCs w:val="24"/>
        </w:rPr>
        <w:t xml:space="preserve">, and </w:t>
      </w:r>
      <w:r w:rsidRPr="000073E5">
        <w:rPr>
          <w:b/>
          <w:i/>
          <w:sz w:val="24"/>
          <w:szCs w:val="24"/>
          <w:u w:val="single"/>
        </w:rPr>
        <w:t>employment</w:t>
      </w:r>
      <w:r w:rsidRPr="001C755F">
        <w:rPr>
          <w:i/>
          <w:sz w:val="24"/>
          <w:szCs w:val="24"/>
        </w:rPr>
        <w:t>.”</w:t>
      </w:r>
    </w:p>
    <w:p w:rsidR="002701CF" w:rsidRPr="00CF7DF6" w:rsidRDefault="002701CF" w:rsidP="001C755F">
      <w:pPr>
        <w:spacing w:line="360" w:lineRule="auto"/>
        <w:jc w:val="both"/>
        <w:rPr>
          <w:i/>
          <w:sz w:val="24"/>
          <w:szCs w:val="24"/>
        </w:rPr>
      </w:pPr>
    </w:p>
    <w:p w:rsidR="001C755F" w:rsidRDefault="001C755F" w:rsidP="001C755F">
      <w:pPr>
        <w:spacing w:line="360" w:lineRule="auto"/>
        <w:jc w:val="both"/>
        <w:rPr>
          <w:sz w:val="24"/>
          <w:szCs w:val="24"/>
        </w:rPr>
      </w:pPr>
      <w:r>
        <w:rPr>
          <w:sz w:val="24"/>
          <w:szCs w:val="24"/>
        </w:rPr>
        <w:tab/>
      </w:r>
      <w:r w:rsidR="008A4B5A">
        <w:rPr>
          <w:sz w:val="24"/>
          <w:szCs w:val="24"/>
        </w:rPr>
        <w:t>T</w:t>
      </w:r>
      <w:r>
        <w:rPr>
          <w:sz w:val="24"/>
          <w:szCs w:val="24"/>
        </w:rPr>
        <w:t xml:space="preserve">aking into account the said </w:t>
      </w:r>
      <w:r w:rsidR="008A4B5A">
        <w:rPr>
          <w:sz w:val="24"/>
          <w:szCs w:val="24"/>
        </w:rPr>
        <w:t>A</w:t>
      </w:r>
      <w:r>
        <w:rPr>
          <w:sz w:val="24"/>
          <w:szCs w:val="24"/>
        </w:rPr>
        <w:t>rticle, it should be underlined that the absence of figures regarding the</w:t>
      </w:r>
      <w:r w:rsidR="00812329">
        <w:rPr>
          <w:sz w:val="24"/>
          <w:szCs w:val="24"/>
        </w:rPr>
        <w:t xml:space="preserve"> Complainant’s</w:t>
      </w:r>
      <w:r>
        <w:rPr>
          <w:sz w:val="24"/>
          <w:szCs w:val="24"/>
        </w:rPr>
        <w:t xml:space="preserve"> </w:t>
      </w:r>
      <w:r w:rsidR="00812329" w:rsidRPr="007353A5">
        <w:rPr>
          <w:sz w:val="24"/>
          <w:szCs w:val="24"/>
          <w:u w:val="single"/>
        </w:rPr>
        <w:t>productivity</w:t>
      </w:r>
      <w:r w:rsidR="00812329">
        <w:rPr>
          <w:sz w:val="24"/>
          <w:szCs w:val="24"/>
        </w:rPr>
        <w:t xml:space="preserve">, </w:t>
      </w:r>
      <w:r w:rsidR="00812329" w:rsidRPr="007353A5">
        <w:rPr>
          <w:sz w:val="24"/>
          <w:szCs w:val="24"/>
          <w:u w:val="single"/>
        </w:rPr>
        <w:t>capacity utilization</w:t>
      </w:r>
      <w:r w:rsidR="00812329">
        <w:rPr>
          <w:sz w:val="24"/>
          <w:szCs w:val="24"/>
        </w:rPr>
        <w:t xml:space="preserve"> and </w:t>
      </w:r>
      <w:r w:rsidR="00812329" w:rsidRPr="007353A5">
        <w:rPr>
          <w:sz w:val="24"/>
          <w:szCs w:val="24"/>
          <w:u w:val="single"/>
        </w:rPr>
        <w:t>employment</w:t>
      </w:r>
      <w:r w:rsidR="00812329">
        <w:rPr>
          <w:sz w:val="24"/>
          <w:szCs w:val="24"/>
        </w:rPr>
        <w:t xml:space="preserve"> </w:t>
      </w:r>
      <w:r w:rsidR="007823AB">
        <w:rPr>
          <w:sz w:val="24"/>
          <w:szCs w:val="24"/>
        </w:rPr>
        <w:t xml:space="preserve">deprived </w:t>
      </w:r>
      <w:smartTag w:uri="urn:schemas-microsoft-com:office:smarttags" w:element="country-region">
        <w:smartTag w:uri="urn:schemas-microsoft-com:office:smarttags" w:element="place">
          <w:r w:rsidR="00210B94">
            <w:rPr>
              <w:sz w:val="24"/>
              <w:szCs w:val="24"/>
            </w:rPr>
            <w:t>Turkey</w:t>
          </w:r>
        </w:smartTag>
      </w:smartTag>
      <w:r w:rsidR="00812329">
        <w:rPr>
          <w:sz w:val="24"/>
          <w:szCs w:val="24"/>
        </w:rPr>
        <w:t xml:space="preserve"> of making proper comments concerning the course of domestic industry during the investigation period.</w:t>
      </w:r>
    </w:p>
    <w:p w:rsidR="001A5A7B" w:rsidRPr="001C755F" w:rsidRDefault="001A5A7B" w:rsidP="001C755F">
      <w:pPr>
        <w:spacing w:line="360" w:lineRule="auto"/>
        <w:jc w:val="both"/>
        <w:rPr>
          <w:sz w:val="24"/>
          <w:szCs w:val="24"/>
        </w:rPr>
      </w:pPr>
    </w:p>
    <w:p w:rsidR="00427E91" w:rsidRDefault="002701CF" w:rsidP="001A5A7B">
      <w:pPr>
        <w:spacing w:line="360" w:lineRule="auto"/>
        <w:ind w:firstLine="708"/>
        <w:jc w:val="both"/>
        <w:rPr>
          <w:b/>
          <w:i/>
          <w:sz w:val="24"/>
          <w:szCs w:val="24"/>
        </w:rPr>
      </w:pPr>
      <w:r>
        <w:rPr>
          <w:b/>
          <w:sz w:val="24"/>
          <w:szCs w:val="24"/>
        </w:rPr>
        <w:t>3</w:t>
      </w:r>
      <w:r w:rsidR="00D2312A">
        <w:rPr>
          <w:b/>
          <w:sz w:val="24"/>
          <w:szCs w:val="24"/>
        </w:rPr>
        <w:t>.</w:t>
      </w:r>
      <w:r w:rsidR="00427E91">
        <w:rPr>
          <w:b/>
          <w:sz w:val="24"/>
          <w:szCs w:val="24"/>
        </w:rPr>
        <w:t xml:space="preserve"> Remarks on </w:t>
      </w:r>
      <w:smartTag w:uri="urn:schemas-microsoft-com:office:smarttags" w:element="place">
        <w:smartTag w:uri="urn:schemas-microsoft-com:office:smarttags" w:element="country-region">
          <w:r w:rsidR="00427E91">
            <w:rPr>
              <w:b/>
              <w:sz w:val="24"/>
              <w:szCs w:val="24"/>
            </w:rPr>
            <w:t>Turkey</w:t>
          </w:r>
        </w:smartTag>
      </w:smartTag>
      <w:r w:rsidR="00427E91">
        <w:rPr>
          <w:b/>
          <w:sz w:val="24"/>
          <w:szCs w:val="24"/>
        </w:rPr>
        <w:t xml:space="preserve">’s Share in Imports of </w:t>
      </w:r>
      <w:r w:rsidR="00427E91">
        <w:rPr>
          <w:b/>
          <w:i/>
          <w:sz w:val="24"/>
          <w:szCs w:val="24"/>
        </w:rPr>
        <w:t>Subject Merchandise</w:t>
      </w:r>
    </w:p>
    <w:p w:rsidR="001A5A7B" w:rsidRDefault="001A5A7B" w:rsidP="002E2D0C">
      <w:pPr>
        <w:spacing w:line="360" w:lineRule="auto"/>
        <w:jc w:val="both"/>
        <w:rPr>
          <w:b/>
          <w:i/>
          <w:sz w:val="24"/>
          <w:szCs w:val="24"/>
        </w:rPr>
      </w:pPr>
    </w:p>
    <w:p w:rsidR="000073E5" w:rsidRDefault="000073E5" w:rsidP="002E2D0C">
      <w:pPr>
        <w:spacing w:line="360" w:lineRule="auto"/>
        <w:jc w:val="both"/>
        <w:rPr>
          <w:i/>
          <w:sz w:val="24"/>
          <w:szCs w:val="24"/>
        </w:rPr>
      </w:pPr>
      <w:r>
        <w:rPr>
          <w:b/>
          <w:i/>
          <w:sz w:val="24"/>
          <w:szCs w:val="24"/>
        </w:rPr>
        <w:tab/>
      </w:r>
      <w:r>
        <w:rPr>
          <w:sz w:val="24"/>
          <w:szCs w:val="24"/>
        </w:rPr>
        <w:t xml:space="preserve">Article 9.1 of the </w:t>
      </w:r>
      <w:proofErr w:type="spellStart"/>
      <w:r>
        <w:rPr>
          <w:sz w:val="24"/>
          <w:szCs w:val="24"/>
        </w:rPr>
        <w:t>AoS</w:t>
      </w:r>
      <w:proofErr w:type="spellEnd"/>
      <w:r>
        <w:rPr>
          <w:sz w:val="24"/>
          <w:szCs w:val="24"/>
        </w:rPr>
        <w:t xml:space="preserve"> sets forth </w:t>
      </w:r>
      <w:r>
        <w:rPr>
          <w:i/>
          <w:sz w:val="24"/>
          <w:szCs w:val="24"/>
        </w:rPr>
        <w:t>“</w:t>
      </w:r>
      <w:r w:rsidRPr="000073E5">
        <w:rPr>
          <w:i/>
          <w:sz w:val="24"/>
          <w:szCs w:val="24"/>
        </w:rPr>
        <w:t xml:space="preserve">Safeguard measures shall not be applied against </w:t>
      </w:r>
      <w:r w:rsidRPr="000073E5">
        <w:rPr>
          <w:b/>
          <w:i/>
          <w:sz w:val="24"/>
          <w:szCs w:val="24"/>
          <w:u w:val="single"/>
        </w:rPr>
        <w:t>a product</w:t>
      </w:r>
      <w:r w:rsidRPr="000073E5">
        <w:rPr>
          <w:i/>
          <w:sz w:val="24"/>
          <w:szCs w:val="24"/>
        </w:rPr>
        <w:t xml:space="preserve"> originating in a developing country Member as long as its share of imports of </w:t>
      </w:r>
      <w:r w:rsidRPr="000073E5">
        <w:rPr>
          <w:b/>
          <w:i/>
          <w:sz w:val="24"/>
          <w:szCs w:val="24"/>
          <w:u w:val="single"/>
        </w:rPr>
        <w:t>the product concerned</w:t>
      </w:r>
      <w:r w:rsidRPr="000073E5">
        <w:rPr>
          <w:i/>
          <w:sz w:val="24"/>
          <w:szCs w:val="24"/>
        </w:rPr>
        <w:t xml:space="preserve"> in the importing Member does not exceed 3 per cent</w:t>
      </w:r>
      <w:r>
        <w:rPr>
          <w:i/>
          <w:sz w:val="24"/>
          <w:szCs w:val="24"/>
        </w:rPr>
        <w:t>.”</w:t>
      </w:r>
      <w:r>
        <w:rPr>
          <w:sz w:val="24"/>
          <w:szCs w:val="24"/>
        </w:rPr>
        <w:t xml:space="preserve"> The underlined expressions in the Article </w:t>
      </w:r>
      <w:r w:rsidR="007353A5">
        <w:rPr>
          <w:sz w:val="24"/>
          <w:szCs w:val="24"/>
        </w:rPr>
        <w:t xml:space="preserve">necessitates that the </w:t>
      </w:r>
      <w:r w:rsidR="008A4B5A">
        <w:rPr>
          <w:sz w:val="24"/>
          <w:szCs w:val="24"/>
        </w:rPr>
        <w:t>“</w:t>
      </w:r>
      <w:r>
        <w:rPr>
          <w:sz w:val="24"/>
          <w:szCs w:val="24"/>
        </w:rPr>
        <w:t>3 per cent</w:t>
      </w:r>
      <w:r w:rsidR="008A4B5A" w:rsidRPr="008A4B5A">
        <w:rPr>
          <w:sz w:val="24"/>
          <w:szCs w:val="24"/>
        </w:rPr>
        <w:t xml:space="preserve"> </w:t>
      </w:r>
      <w:r w:rsidR="008A4B5A">
        <w:rPr>
          <w:sz w:val="24"/>
          <w:szCs w:val="24"/>
        </w:rPr>
        <w:t>rule”</w:t>
      </w:r>
      <w:r w:rsidR="007823AB">
        <w:rPr>
          <w:sz w:val="24"/>
          <w:szCs w:val="24"/>
        </w:rPr>
        <w:t xml:space="preserve"> </w:t>
      </w:r>
      <w:r>
        <w:rPr>
          <w:sz w:val="24"/>
          <w:szCs w:val="24"/>
        </w:rPr>
        <w:t>should be implemented separately for each of the product</w:t>
      </w:r>
      <w:r w:rsidR="007823AB">
        <w:rPr>
          <w:sz w:val="24"/>
          <w:szCs w:val="24"/>
        </w:rPr>
        <w:t xml:space="preserve"> (subject merchandise) included</w:t>
      </w:r>
      <w:r w:rsidR="00F61DD9">
        <w:rPr>
          <w:sz w:val="24"/>
          <w:szCs w:val="24"/>
        </w:rPr>
        <w:t xml:space="preserve"> </w:t>
      </w:r>
      <w:r w:rsidR="008A4B5A">
        <w:rPr>
          <w:sz w:val="24"/>
          <w:szCs w:val="24"/>
        </w:rPr>
        <w:t>in</w:t>
      </w:r>
      <w:r w:rsidR="00F61DD9">
        <w:rPr>
          <w:sz w:val="24"/>
          <w:szCs w:val="24"/>
        </w:rPr>
        <w:t xml:space="preserve"> the on</w:t>
      </w:r>
      <w:r w:rsidR="00937040">
        <w:rPr>
          <w:sz w:val="24"/>
          <w:szCs w:val="24"/>
        </w:rPr>
        <w:t>going</w:t>
      </w:r>
      <w:r>
        <w:rPr>
          <w:sz w:val="24"/>
          <w:szCs w:val="24"/>
        </w:rPr>
        <w:t xml:space="preserve"> safeguard investigation.</w:t>
      </w:r>
      <w:r>
        <w:rPr>
          <w:b/>
          <w:i/>
          <w:sz w:val="24"/>
          <w:szCs w:val="24"/>
        </w:rPr>
        <w:tab/>
      </w:r>
    </w:p>
    <w:p w:rsidR="001A5A7B" w:rsidRPr="001A5A7B" w:rsidRDefault="001A5A7B" w:rsidP="002E2D0C">
      <w:pPr>
        <w:spacing w:line="360" w:lineRule="auto"/>
        <w:jc w:val="both"/>
        <w:rPr>
          <w:i/>
          <w:sz w:val="24"/>
          <w:szCs w:val="24"/>
        </w:rPr>
      </w:pPr>
    </w:p>
    <w:p w:rsidR="00CF7DF6" w:rsidRDefault="001C755F" w:rsidP="002E2D0C">
      <w:pPr>
        <w:spacing w:line="360" w:lineRule="auto"/>
        <w:jc w:val="both"/>
        <w:rPr>
          <w:sz w:val="24"/>
          <w:szCs w:val="24"/>
        </w:rPr>
      </w:pPr>
      <w:r>
        <w:rPr>
          <w:b/>
          <w:i/>
          <w:sz w:val="24"/>
          <w:szCs w:val="24"/>
        </w:rPr>
        <w:tab/>
      </w:r>
      <w:r w:rsidR="007823AB" w:rsidRPr="007823AB">
        <w:rPr>
          <w:sz w:val="24"/>
          <w:szCs w:val="24"/>
        </w:rPr>
        <w:t>Pertaining</w:t>
      </w:r>
      <w:r w:rsidR="007823AB">
        <w:rPr>
          <w:sz w:val="24"/>
          <w:szCs w:val="24"/>
        </w:rPr>
        <w:t xml:space="preserve"> to the abovementioned requirement,</w:t>
      </w:r>
      <w:r w:rsidR="007823AB" w:rsidRPr="007823AB">
        <w:rPr>
          <w:sz w:val="24"/>
          <w:szCs w:val="24"/>
        </w:rPr>
        <w:t xml:space="preserve"> </w:t>
      </w:r>
      <w:r w:rsidR="007823AB">
        <w:rPr>
          <w:sz w:val="24"/>
          <w:szCs w:val="24"/>
        </w:rPr>
        <w:t>t</w:t>
      </w:r>
      <w:r w:rsidR="00812329">
        <w:rPr>
          <w:sz w:val="24"/>
          <w:szCs w:val="24"/>
        </w:rPr>
        <w:t>he official statistics from the Department of Agriculture, Fisheries and Forestry (</w:t>
      </w:r>
      <w:proofErr w:type="spellStart"/>
      <w:r w:rsidR="00812329">
        <w:rPr>
          <w:sz w:val="24"/>
          <w:szCs w:val="24"/>
        </w:rPr>
        <w:t>DAFF</w:t>
      </w:r>
      <w:proofErr w:type="spellEnd"/>
      <w:r w:rsidR="00812329">
        <w:rPr>
          <w:sz w:val="24"/>
          <w:szCs w:val="24"/>
        </w:rPr>
        <w:t>) explicitly demonstrate that</w:t>
      </w:r>
      <w:r w:rsidR="007823AB">
        <w:rPr>
          <w:sz w:val="24"/>
          <w:szCs w:val="24"/>
        </w:rPr>
        <w:t xml:space="preserve"> Turkey can only be</w:t>
      </w:r>
      <w:r w:rsidR="00210B94">
        <w:rPr>
          <w:sz w:val="24"/>
          <w:szCs w:val="24"/>
        </w:rPr>
        <w:t xml:space="preserve"> subject to the inquiry with regard to</w:t>
      </w:r>
      <w:r w:rsidR="007823AB">
        <w:rPr>
          <w:sz w:val="24"/>
          <w:szCs w:val="24"/>
        </w:rPr>
        <w:t xml:space="preserve"> ‘Apricots’ (HS Code 2008.50.00) in the context of current investigation.</w:t>
      </w:r>
      <w:r w:rsidR="00352549">
        <w:rPr>
          <w:sz w:val="24"/>
          <w:szCs w:val="24"/>
        </w:rPr>
        <w:t xml:space="preserve"> In ‘Citrus Fruit’ (HS Code 2008.30.00), for instance, </w:t>
      </w:r>
      <w:smartTag w:uri="urn:schemas-microsoft-com:office:smarttags" w:element="country-region">
        <w:r w:rsidR="00352549">
          <w:rPr>
            <w:sz w:val="24"/>
            <w:szCs w:val="24"/>
          </w:rPr>
          <w:t>Turkey</w:t>
        </w:r>
      </w:smartTag>
      <w:r w:rsidR="00352549">
        <w:rPr>
          <w:sz w:val="24"/>
          <w:szCs w:val="24"/>
        </w:rPr>
        <w:t xml:space="preserve"> ha</w:t>
      </w:r>
      <w:r w:rsidR="008A4B5A">
        <w:rPr>
          <w:sz w:val="24"/>
          <w:szCs w:val="24"/>
        </w:rPr>
        <w:t>d</w:t>
      </w:r>
      <w:r w:rsidR="00352549">
        <w:rPr>
          <w:sz w:val="24"/>
          <w:szCs w:val="24"/>
        </w:rPr>
        <w:t xml:space="preserve"> export</w:t>
      </w:r>
      <w:r w:rsidR="008A4B5A">
        <w:rPr>
          <w:sz w:val="24"/>
          <w:szCs w:val="24"/>
        </w:rPr>
        <w:t>s</w:t>
      </w:r>
      <w:r w:rsidR="00352549">
        <w:rPr>
          <w:sz w:val="24"/>
          <w:szCs w:val="24"/>
        </w:rPr>
        <w:t xml:space="preserve"> to </w:t>
      </w:r>
      <w:smartTag w:uri="urn:schemas-microsoft-com:office:smarttags" w:element="place">
        <w:smartTag w:uri="urn:schemas-microsoft-com:office:smarttags" w:element="country-region">
          <w:r w:rsidR="00352549">
            <w:rPr>
              <w:sz w:val="24"/>
              <w:szCs w:val="24"/>
            </w:rPr>
            <w:t>Australia</w:t>
          </w:r>
        </w:smartTag>
      </w:smartTag>
      <w:r w:rsidR="009319C8">
        <w:rPr>
          <w:sz w:val="24"/>
          <w:szCs w:val="24"/>
        </w:rPr>
        <w:t xml:space="preserve"> only</w:t>
      </w:r>
      <w:r w:rsidR="00352549">
        <w:rPr>
          <w:sz w:val="24"/>
          <w:szCs w:val="24"/>
        </w:rPr>
        <w:t xml:space="preserve"> in 2007 and its share in Australian imports </w:t>
      </w:r>
      <w:r w:rsidR="008A4B5A">
        <w:rPr>
          <w:sz w:val="24"/>
          <w:szCs w:val="24"/>
        </w:rPr>
        <w:t xml:space="preserve">was </w:t>
      </w:r>
      <w:r w:rsidR="00352549">
        <w:rPr>
          <w:sz w:val="24"/>
          <w:szCs w:val="24"/>
        </w:rPr>
        <w:t xml:space="preserve">1,3%. For ‘Pears’ (HS Code 2008.40.00), </w:t>
      </w:r>
      <w:r w:rsidR="00D23CE0">
        <w:rPr>
          <w:sz w:val="24"/>
          <w:szCs w:val="24"/>
        </w:rPr>
        <w:t>the share</w:t>
      </w:r>
      <w:r w:rsidR="006D2B0C">
        <w:rPr>
          <w:sz w:val="24"/>
          <w:szCs w:val="24"/>
        </w:rPr>
        <w:t>s</w:t>
      </w:r>
      <w:r w:rsidR="00D23CE0">
        <w:rPr>
          <w:sz w:val="24"/>
          <w:szCs w:val="24"/>
        </w:rPr>
        <w:t xml:space="preserve"> </w:t>
      </w:r>
      <w:r w:rsidR="006D2B0C">
        <w:rPr>
          <w:sz w:val="24"/>
          <w:szCs w:val="24"/>
        </w:rPr>
        <w:t>in Australian</w:t>
      </w:r>
      <w:r w:rsidR="00D23CE0">
        <w:rPr>
          <w:sz w:val="24"/>
          <w:szCs w:val="24"/>
        </w:rPr>
        <w:t xml:space="preserve"> imports </w:t>
      </w:r>
      <w:r w:rsidR="008A4B5A">
        <w:rPr>
          <w:sz w:val="24"/>
          <w:szCs w:val="24"/>
        </w:rPr>
        <w:t xml:space="preserve">in </w:t>
      </w:r>
      <w:r w:rsidR="00D23CE0">
        <w:rPr>
          <w:sz w:val="24"/>
          <w:szCs w:val="24"/>
        </w:rPr>
        <w:t>the years of 2007 and 2008</w:t>
      </w:r>
      <w:r w:rsidR="001B048B">
        <w:rPr>
          <w:sz w:val="24"/>
          <w:szCs w:val="24"/>
        </w:rPr>
        <w:t xml:space="preserve"> (the only importation years) </w:t>
      </w:r>
      <w:r w:rsidR="008A4B5A">
        <w:rPr>
          <w:sz w:val="24"/>
          <w:szCs w:val="24"/>
        </w:rPr>
        <w:t xml:space="preserve">were </w:t>
      </w:r>
      <w:r w:rsidR="001B048B">
        <w:rPr>
          <w:sz w:val="24"/>
          <w:szCs w:val="24"/>
        </w:rPr>
        <w:t>highly negligible, 0.6% and 0.3%</w:t>
      </w:r>
      <w:r w:rsidR="00210B94" w:rsidRPr="00210B94">
        <w:rPr>
          <w:sz w:val="24"/>
          <w:szCs w:val="24"/>
        </w:rPr>
        <w:t xml:space="preserve"> </w:t>
      </w:r>
      <w:r w:rsidR="00210B94">
        <w:rPr>
          <w:sz w:val="24"/>
          <w:szCs w:val="24"/>
        </w:rPr>
        <w:t>respectively</w:t>
      </w:r>
      <w:r w:rsidR="001B048B">
        <w:rPr>
          <w:sz w:val="24"/>
          <w:szCs w:val="24"/>
        </w:rPr>
        <w:t xml:space="preserve">. </w:t>
      </w:r>
      <w:r w:rsidR="006D2B0C">
        <w:rPr>
          <w:sz w:val="24"/>
          <w:szCs w:val="24"/>
        </w:rPr>
        <w:t>S</w:t>
      </w:r>
      <w:r w:rsidR="001B048B">
        <w:rPr>
          <w:sz w:val="24"/>
          <w:szCs w:val="24"/>
        </w:rPr>
        <w:t xml:space="preserve">imilar to the </w:t>
      </w:r>
      <w:r w:rsidR="00E53337">
        <w:rPr>
          <w:sz w:val="24"/>
          <w:szCs w:val="24"/>
        </w:rPr>
        <w:t>‘</w:t>
      </w:r>
      <w:r w:rsidR="001B048B">
        <w:rPr>
          <w:sz w:val="24"/>
          <w:szCs w:val="24"/>
        </w:rPr>
        <w:t>Pears</w:t>
      </w:r>
      <w:r w:rsidR="00E53337">
        <w:rPr>
          <w:sz w:val="24"/>
          <w:szCs w:val="24"/>
        </w:rPr>
        <w:t>’</w:t>
      </w:r>
      <w:r w:rsidR="001B048B">
        <w:rPr>
          <w:sz w:val="24"/>
          <w:szCs w:val="24"/>
        </w:rPr>
        <w:t>, the share</w:t>
      </w:r>
      <w:r w:rsidR="006D2B0C">
        <w:rPr>
          <w:sz w:val="24"/>
          <w:szCs w:val="24"/>
        </w:rPr>
        <w:t>s</w:t>
      </w:r>
      <w:r w:rsidR="001B048B">
        <w:rPr>
          <w:sz w:val="24"/>
          <w:szCs w:val="24"/>
        </w:rPr>
        <w:t xml:space="preserve"> of ‘Peaches’ (HS Code 2008.70.00) imported from Turkey</w:t>
      </w:r>
      <w:r w:rsidR="00DD625A">
        <w:rPr>
          <w:sz w:val="24"/>
          <w:szCs w:val="24"/>
        </w:rPr>
        <w:t xml:space="preserve"> in 2007 and 2008</w:t>
      </w:r>
      <w:r w:rsidR="001B048B">
        <w:rPr>
          <w:sz w:val="24"/>
          <w:szCs w:val="24"/>
        </w:rPr>
        <w:t xml:space="preserve"> </w:t>
      </w:r>
      <w:r w:rsidR="00E53337">
        <w:rPr>
          <w:sz w:val="24"/>
          <w:szCs w:val="24"/>
        </w:rPr>
        <w:t xml:space="preserve">were </w:t>
      </w:r>
      <w:r w:rsidR="001B048B">
        <w:rPr>
          <w:sz w:val="24"/>
          <w:szCs w:val="24"/>
        </w:rPr>
        <w:t>also</w:t>
      </w:r>
      <w:r w:rsidR="00352549">
        <w:rPr>
          <w:sz w:val="24"/>
          <w:szCs w:val="24"/>
        </w:rPr>
        <w:t xml:space="preserve"> </w:t>
      </w:r>
      <w:r w:rsidR="001B048B">
        <w:rPr>
          <w:sz w:val="24"/>
          <w:szCs w:val="24"/>
        </w:rPr>
        <w:t>negligible</w:t>
      </w:r>
      <w:r w:rsidR="00DD625A">
        <w:rPr>
          <w:sz w:val="24"/>
          <w:szCs w:val="24"/>
        </w:rPr>
        <w:t>, 0,1%</w:t>
      </w:r>
      <w:r w:rsidR="001B048B">
        <w:rPr>
          <w:sz w:val="24"/>
          <w:szCs w:val="24"/>
        </w:rPr>
        <w:t xml:space="preserve"> </w:t>
      </w:r>
      <w:r w:rsidR="00DD625A">
        <w:rPr>
          <w:sz w:val="24"/>
          <w:szCs w:val="24"/>
        </w:rPr>
        <w:t>and 0,2%</w:t>
      </w:r>
      <w:r w:rsidR="00E53337">
        <w:rPr>
          <w:sz w:val="24"/>
          <w:szCs w:val="24"/>
        </w:rPr>
        <w:t xml:space="preserve"> respectively</w:t>
      </w:r>
      <w:r w:rsidR="00DD625A">
        <w:rPr>
          <w:sz w:val="24"/>
          <w:szCs w:val="24"/>
        </w:rPr>
        <w:t>. For the subject merchandise of ‘Mixtures’ (Until 2012, HS Code</w:t>
      </w:r>
      <w:r w:rsidR="006D2B0C">
        <w:rPr>
          <w:sz w:val="24"/>
          <w:szCs w:val="24"/>
        </w:rPr>
        <w:t>:</w:t>
      </w:r>
      <w:r w:rsidR="00DD625A">
        <w:rPr>
          <w:sz w:val="24"/>
          <w:szCs w:val="24"/>
        </w:rPr>
        <w:t xml:space="preserve"> 2008.92.00; after that time HS Code</w:t>
      </w:r>
      <w:r w:rsidR="006D2B0C">
        <w:rPr>
          <w:sz w:val="24"/>
          <w:szCs w:val="24"/>
        </w:rPr>
        <w:t>:</w:t>
      </w:r>
      <w:r w:rsidR="00DD625A">
        <w:rPr>
          <w:sz w:val="24"/>
          <w:szCs w:val="24"/>
        </w:rPr>
        <w:t xml:space="preserve"> 2008.97.00), </w:t>
      </w:r>
      <w:smartTag w:uri="urn:schemas-microsoft-com:office:smarttags" w:element="place">
        <w:smartTag w:uri="urn:schemas-microsoft-com:office:smarttags" w:element="country-region">
          <w:r w:rsidR="00DD625A">
            <w:rPr>
              <w:sz w:val="24"/>
              <w:szCs w:val="24"/>
            </w:rPr>
            <w:t>Turkey</w:t>
          </w:r>
        </w:smartTag>
      </w:smartTag>
      <w:r w:rsidR="00DD625A">
        <w:rPr>
          <w:sz w:val="24"/>
          <w:szCs w:val="24"/>
        </w:rPr>
        <w:t xml:space="preserve">’s shares in the whole years during the </w:t>
      </w:r>
      <w:r w:rsidR="00210B94">
        <w:rPr>
          <w:sz w:val="24"/>
          <w:szCs w:val="24"/>
        </w:rPr>
        <w:t>period of investigation (POI)</w:t>
      </w:r>
      <w:r w:rsidR="00DD625A">
        <w:rPr>
          <w:sz w:val="24"/>
          <w:szCs w:val="24"/>
        </w:rPr>
        <w:t xml:space="preserve"> </w:t>
      </w:r>
      <w:r w:rsidR="006D2B0C">
        <w:rPr>
          <w:sz w:val="24"/>
          <w:szCs w:val="24"/>
        </w:rPr>
        <w:t>never</w:t>
      </w:r>
      <w:r w:rsidR="00DD625A">
        <w:rPr>
          <w:sz w:val="24"/>
          <w:szCs w:val="24"/>
        </w:rPr>
        <w:t xml:space="preserve"> exceed</w:t>
      </w:r>
      <w:r w:rsidR="006D2B0C">
        <w:rPr>
          <w:sz w:val="24"/>
          <w:szCs w:val="24"/>
        </w:rPr>
        <w:t>ed</w:t>
      </w:r>
      <w:r w:rsidR="00DD625A">
        <w:rPr>
          <w:sz w:val="24"/>
          <w:szCs w:val="24"/>
        </w:rPr>
        <w:t xml:space="preserve"> 3 per cent. At this timeframe, these shares </w:t>
      </w:r>
      <w:r w:rsidR="00E53337">
        <w:rPr>
          <w:sz w:val="24"/>
          <w:szCs w:val="24"/>
        </w:rPr>
        <w:t xml:space="preserve">varied </w:t>
      </w:r>
      <w:r w:rsidR="00DD625A">
        <w:rPr>
          <w:sz w:val="24"/>
          <w:szCs w:val="24"/>
        </w:rPr>
        <w:t>from 0.4% (min.) to 2,7% (max.).</w:t>
      </w:r>
    </w:p>
    <w:p w:rsidR="001A5A7B" w:rsidRDefault="00CF7DF6" w:rsidP="002E2D0C">
      <w:pPr>
        <w:spacing w:line="360" w:lineRule="auto"/>
        <w:jc w:val="both"/>
        <w:rPr>
          <w:sz w:val="24"/>
          <w:szCs w:val="24"/>
        </w:rPr>
      </w:pPr>
      <w:r>
        <w:rPr>
          <w:sz w:val="24"/>
          <w:szCs w:val="24"/>
        </w:rPr>
        <w:lastRenderedPageBreak/>
        <w:tab/>
      </w:r>
      <w:r w:rsidR="00210B94">
        <w:rPr>
          <w:sz w:val="24"/>
          <w:szCs w:val="24"/>
        </w:rPr>
        <w:t>Furthermore</w:t>
      </w:r>
      <w:r>
        <w:rPr>
          <w:sz w:val="24"/>
          <w:szCs w:val="24"/>
        </w:rPr>
        <w:t>,</w:t>
      </w:r>
      <w:r w:rsidR="00210B94">
        <w:rPr>
          <w:sz w:val="24"/>
          <w:szCs w:val="24"/>
        </w:rPr>
        <w:t xml:space="preserve"> in the Submission</w:t>
      </w:r>
      <w:r w:rsidR="00503B3B">
        <w:rPr>
          <w:sz w:val="24"/>
          <w:szCs w:val="24"/>
        </w:rPr>
        <w:t>,</w:t>
      </w:r>
      <w:r>
        <w:rPr>
          <w:sz w:val="24"/>
          <w:szCs w:val="24"/>
        </w:rPr>
        <w:t xml:space="preserve"> the Complainant does not specify </w:t>
      </w:r>
      <w:smartTag w:uri="urn:schemas-microsoft-com:office:smarttags" w:element="country-region">
        <w:r>
          <w:rPr>
            <w:sz w:val="24"/>
            <w:szCs w:val="24"/>
          </w:rPr>
          <w:t>Turkey</w:t>
        </w:r>
      </w:smartTag>
      <w:r w:rsidR="00210B94">
        <w:rPr>
          <w:sz w:val="24"/>
          <w:szCs w:val="24"/>
        </w:rPr>
        <w:t xml:space="preserve"> as being</w:t>
      </w:r>
      <w:r w:rsidRPr="00CF7DF6">
        <w:rPr>
          <w:sz w:val="24"/>
          <w:szCs w:val="24"/>
        </w:rPr>
        <w:t xml:space="preserve"> </w:t>
      </w:r>
      <w:r>
        <w:rPr>
          <w:sz w:val="24"/>
          <w:szCs w:val="24"/>
        </w:rPr>
        <w:t xml:space="preserve">among the major exporters of the subject merchandises </w:t>
      </w:r>
      <w:r w:rsidR="006D2B0C">
        <w:rPr>
          <w:sz w:val="24"/>
          <w:szCs w:val="24"/>
        </w:rPr>
        <w:t>namely,</w:t>
      </w:r>
      <w:r>
        <w:rPr>
          <w:sz w:val="24"/>
          <w:szCs w:val="24"/>
        </w:rPr>
        <w:t xml:space="preserve"> </w:t>
      </w:r>
      <w:smartTag w:uri="urn:schemas-microsoft-com:office:smarttags" w:element="country-region">
        <w:r>
          <w:rPr>
            <w:sz w:val="24"/>
            <w:szCs w:val="24"/>
          </w:rPr>
          <w:t>China</w:t>
        </w:r>
      </w:smartTag>
      <w:r>
        <w:rPr>
          <w:sz w:val="24"/>
          <w:szCs w:val="24"/>
        </w:rPr>
        <w:t xml:space="preserve">, </w:t>
      </w:r>
      <w:smartTag w:uri="urn:schemas-microsoft-com:office:smarttags" w:element="country-region">
        <w:r>
          <w:rPr>
            <w:sz w:val="24"/>
            <w:szCs w:val="24"/>
          </w:rPr>
          <w:t>South Africa</w:t>
        </w:r>
      </w:smartTag>
      <w:r w:rsidR="00210B94">
        <w:rPr>
          <w:sz w:val="24"/>
          <w:szCs w:val="24"/>
        </w:rPr>
        <w:t xml:space="preserve"> and</w:t>
      </w:r>
      <w:r>
        <w:rPr>
          <w:sz w:val="24"/>
          <w:szCs w:val="24"/>
        </w:rPr>
        <w:t xml:space="preserve"> </w:t>
      </w:r>
      <w:smartTag w:uri="urn:schemas-microsoft-com:office:smarttags" w:element="place">
        <w:smartTag w:uri="urn:schemas-microsoft-com:office:smarttags" w:element="country-region">
          <w:r>
            <w:rPr>
              <w:sz w:val="24"/>
              <w:szCs w:val="24"/>
            </w:rPr>
            <w:t>Greece</w:t>
          </w:r>
        </w:smartTag>
      </w:smartTag>
      <w:r>
        <w:rPr>
          <w:rStyle w:val="FootnoteReference"/>
          <w:sz w:val="24"/>
          <w:szCs w:val="24"/>
        </w:rPr>
        <w:footnoteReference w:id="1"/>
      </w:r>
      <w:r>
        <w:rPr>
          <w:sz w:val="24"/>
          <w:szCs w:val="24"/>
        </w:rPr>
        <w:t xml:space="preserve">.  </w:t>
      </w:r>
    </w:p>
    <w:p w:rsidR="001A6C7B" w:rsidRDefault="001A6C7B" w:rsidP="002E2D0C">
      <w:pPr>
        <w:spacing w:line="360" w:lineRule="auto"/>
        <w:jc w:val="both"/>
        <w:rPr>
          <w:sz w:val="24"/>
          <w:szCs w:val="24"/>
        </w:rPr>
      </w:pPr>
    </w:p>
    <w:p w:rsidR="001C755F" w:rsidRDefault="001A5A7B" w:rsidP="002E2D0C">
      <w:pPr>
        <w:spacing w:line="360" w:lineRule="auto"/>
        <w:jc w:val="both"/>
        <w:rPr>
          <w:sz w:val="24"/>
          <w:szCs w:val="24"/>
        </w:rPr>
      </w:pPr>
      <w:r>
        <w:rPr>
          <w:sz w:val="24"/>
          <w:szCs w:val="24"/>
        </w:rPr>
        <w:tab/>
      </w:r>
      <w:r w:rsidR="00DD625A">
        <w:rPr>
          <w:sz w:val="24"/>
          <w:szCs w:val="24"/>
        </w:rPr>
        <w:t xml:space="preserve"> </w:t>
      </w:r>
      <w:r>
        <w:rPr>
          <w:sz w:val="24"/>
          <w:szCs w:val="24"/>
        </w:rPr>
        <w:t xml:space="preserve">Hence, </w:t>
      </w:r>
      <w:smartTag w:uri="urn:schemas-microsoft-com:office:smarttags" w:element="country-region">
        <w:r>
          <w:rPr>
            <w:sz w:val="24"/>
            <w:szCs w:val="24"/>
          </w:rPr>
          <w:t>Turkey</w:t>
        </w:r>
      </w:smartTag>
      <w:r>
        <w:rPr>
          <w:sz w:val="24"/>
          <w:szCs w:val="24"/>
        </w:rPr>
        <w:t xml:space="preserve"> kindly requests the Commission to consider the abovementioned facts and exclude </w:t>
      </w:r>
      <w:smartTag w:uri="urn:schemas-microsoft-com:office:smarttags" w:element="place">
        <w:smartTag w:uri="urn:schemas-microsoft-com:office:smarttags" w:element="country-region">
          <w:r>
            <w:rPr>
              <w:sz w:val="24"/>
              <w:szCs w:val="24"/>
            </w:rPr>
            <w:t>Turkey</w:t>
          </w:r>
        </w:smartTag>
      </w:smartTag>
      <w:r>
        <w:rPr>
          <w:sz w:val="24"/>
          <w:szCs w:val="24"/>
        </w:rPr>
        <w:t xml:space="preserve"> from the</w:t>
      </w:r>
      <w:r w:rsidR="00B2098B">
        <w:rPr>
          <w:sz w:val="24"/>
          <w:szCs w:val="24"/>
        </w:rPr>
        <w:t xml:space="preserve"> ongoing safeguard</w:t>
      </w:r>
      <w:r>
        <w:rPr>
          <w:sz w:val="24"/>
          <w:szCs w:val="24"/>
        </w:rPr>
        <w:t xml:space="preserve"> investigation of aforesaid subject merchandises. </w:t>
      </w:r>
    </w:p>
    <w:p w:rsidR="00CF7DF6" w:rsidRPr="00812329" w:rsidRDefault="00CF7DF6" w:rsidP="002E2D0C">
      <w:pPr>
        <w:spacing w:line="360" w:lineRule="auto"/>
        <w:jc w:val="both"/>
        <w:rPr>
          <w:sz w:val="24"/>
          <w:szCs w:val="24"/>
        </w:rPr>
      </w:pPr>
    </w:p>
    <w:p w:rsidR="001A5A7B" w:rsidRDefault="002701CF" w:rsidP="008847A2">
      <w:pPr>
        <w:spacing w:line="360" w:lineRule="auto"/>
        <w:ind w:firstLine="708"/>
        <w:jc w:val="both"/>
        <w:rPr>
          <w:b/>
          <w:sz w:val="24"/>
          <w:szCs w:val="24"/>
        </w:rPr>
      </w:pPr>
      <w:r>
        <w:rPr>
          <w:b/>
          <w:sz w:val="24"/>
          <w:szCs w:val="24"/>
        </w:rPr>
        <w:t>4</w:t>
      </w:r>
      <w:r w:rsidR="00427E91">
        <w:rPr>
          <w:b/>
          <w:sz w:val="24"/>
          <w:szCs w:val="24"/>
        </w:rPr>
        <w:t xml:space="preserve">. </w:t>
      </w:r>
      <w:r w:rsidR="008847A2">
        <w:rPr>
          <w:b/>
          <w:sz w:val="24"/>
          <w:szCs w:val="24"/>
        </w:rPr>
        <w:t xml:space="preserve">Circumstances </w:t>
      </w:r>
      <w:r w:rsidR="00427E91">
        <w:rPr>
          <w:b/>
          <w:sz w:val="24"/>
          <w:szCs w:val="24"/>
        </w:rPr>
        <w:t xml:space="preserve">That Shall Not Be </w:t>
      </w:r>
      <w:r w:rsidR="008847A2">
        <w:rPr>
          <w:b/>
          <w:sz w:val="24"/>
          <w:szCs w:val="24"/>
        </w:rPr>
        <w:t>Associated With Alleged Increase in Imports</w:t>
      </w:r>
    </w:p>
    <w:p w:rsidR="00D21F18" w:rsidRDefault="001A5A7B" w:rsidP="00D21F18">
      <w:pPr>
        <w:spacing w:line="360" w:lineRule="auto"/>
        <w:jc w:val="both"/>
        <w:rPr>
          <w:i/>
          <w:sz w:val="24"/>
          <w:szCs w:val="24"/>
        </w:rPr>
      </w:pPr>
      <w:r>
        <w:rPr>
          <w:b/>
          <w:sz w:val="24"/>
          <w:szCs w:val="24"/>
        </w:rPr>
        <w:tab/>
      </w:r>
    </w:p>
    <w:p w:rsidR="009319C8" w:rsidRDefault="00D21F18" w:rsidP="00D21F18">
      <w:pPr>
        <w:spacing w:line="360" w:lineRule="auto"/>
        <w:jc w:val="both"/>
        <w:rPr>
          <w:color w:val="000000"/>
          <w:sz w:val="24"/>
          <w:szCs w:val="24"/>
          <w:shd w:val="clear" w:color="auto" w:fill="FFFFFF"/>
        </w:rPr>
      </w:pPr>
      <w:r>
        <w:rPr>
          <w:i/>
          <w:sz w:val="24"/>
          <w:szCs w:val="24"/>
        </w:rPr>
        <w:tab/>
      </w:r>
      <w:r>
        <w:rPr>
          <w:sz w:val="24"/>
          <w:szCs w:val="24"/>
        </w:rPr>
        <w:t xml:space="preserve">In the Executive Summary of the Submission, the Complainant </w:t>
      </w:r>
      <w:r w:rsidR="00A40CF3">
        <w:rPr>
          <w:sz w:val="24"/>
          <w:szCs w:val="24"/>
        </w:rPr>
        <w:t>associated</w:t>
      </w:r>
      <w:r>
        <w:rPr>
          <w:sz w:val="24"/>
          <w:szCs w:val="24"/>
        </w:rPr>
        <w:t xml:space="preserve"> the removal of fruit trees and the critical decision of fruit growers about spraying their trees with injury stemming from increase in imports</w:t>
      </w:r>
      <w:r>
        <w:rPr>
          <w:rStyle w:val="FootnoteReference"/>
          <w:sz w:val="24"/>
          <w:szCs w:val="24"/>
        </w:rPr>
        <w:footnoteReference w:id="2"/>
      </w:r>
      <w:r>
        <w:rPr>
          <w:sz w:val="24"/>
          <w:szCs w:val="24"/>
        </w:rPr>
        <w:t>.</w:t>
      </w:r>
      <w:r w:rsidR="006A28DD">
        <w:rPr>
          <w:sz w:val="24"/>
          <w:szCs w:val="24"/>
        </w:rPr>
        <w:t xml:space="preserve"> </w:t>
      </w:r>
      <w:r w:rsidR="006A28DD">
        <w:rPr>
          <w:color w:val="000000"/>
          <w:sz w:val="24"/>
          <w:szCs w:val="24"/>
          <w:shd w:val="clear" w:color="auto" w:fill="FFFFFF"/>
        </w:rPr>
        <w:t xml:space="preserve">In fact, while </w:t>
      </w:r>
      <w:r w:rsidR="006D2B0C">
        <w:rPr>
          <w:color w:val="000000"/>
          <w:sz w:val="24"/>
          <w:szCs w:val="24"/>
          <w:shd w:val="clear" w:color="auto" w:fill="FFFFFF"/>
        </w:rPr>
        <w:t>trees are considered as long-term crops</w:t>
      </w:r>
      <w:r w:rsidR="006A28DD">
        <w:rPr>
          <w:color w:val="000000"/>
          <w:sz w:val="24"/>
          <w:szCs w:val="24"/>
          <w:shd w:val="clear" w:color="auto" w:fill="FFFFFF"/>
        </w:rPr>
        <w:t xml:space="preserve"> in the Submission</w:t>
      </w:r>
      <w:r w:rsidR="00543CB3">
        <w:rPr>
          <w:rStyle w:val="FootnoteReference"/>
          <w:color w:val="000000"/>
          <w:sz w:val="24"/>
          <w:szCs w:val="24"/>
          <w:shd w:val="clear" w:color="auto" w:fill="FFFFFF"/>
        </w:rPr>
        <w:footnoteReference w:id="3"/>
      </w:r>
      <w:r w:rsidR="006A28DD">
        <w:rPr>
          <w:color w:val="000000"/>
          <w:sz w:val="24"/>
          <w:szCs w:val="24"/>
          <w:shd w:val="clear" w:color="auto" w:fill="FFFFFF"/>
        </w:rPr>
        <w:t>,</w:t>
      </w:r>
      <w:r w:rsidR="00543CB3">
        <w:rPr>
          <w:color w:val="000000"/>
          <w:sz w:val="24"/>
          <w:szCs w:val="24"/>
          <w:shd w:val="clear" w:color="auto" w:fill="FFFFFF"/>
        </w:rPr>
        <w:t xml:space="preserve"> making the decision of</w:t>
      </w:r>
      <w:r w:rsidR="006A28DD">
        <w:rPr>
          <w:color w:val="000000"/>
          <w:sz w:val="24"/>
          <w:szCs w:val="24"/>
          <w:shd w:val="clear" w:color="auto" w:fill="FFFFFF"/>
        </w:rPr>
        <w:t xml:space="preserve"> the removal of them in </w:t>
      </w:r>
      <w:r w:rsidR="00543CB3">
        <w:rPr>
          <w:color w:val="000000"/>
          <w:sz w:val="24"/>
          <w:szCs w:val="24"/>
          <w:shd w:val="clear" w:color="auto" w:fill="FFFFFF"/>
        </w:rPr>
        <w:t xml:space="preserve">such a short-term can be regarded as totally </w:t>
      </w:r>
      <w:r w:rsidR="00B2098B">
        <w:rPr>
          <w:color w:val="000000"/>
          <w:sz w:val="24"/>
          <w:szCs w:val="24"/>
          <w:shd w:val="clear" w:color="auto" w:fill="FFFFFF"/>
        </w:rPr>
        <w:t>unjustifiable</w:t>
      </w:r>
      <w:r w:rsidR="00543CB3">
        <w:rPr>
          <w:color w:val="000000"/>
          <w:sz w:val="24"/>
          <w:szCs w:val="24"/>
          <w:shd w:val="clear" w:color="auto" w:fill="FFFFFF"/>
        </w:rPr>
        <w:t>.</w:t>
      </w:r>
      <w:r w:rsidR="008847A2">
        <w:rPr>
          <w:color w:val="000000"/>
          <w:sz w:val="24"/>
          <w:szCs w:val="24"/>
          <w:shd w:val="clear" w:color="auto" w:fill="FFFFFF"/>
        </w:rPr>
        <w:t xml:space="preserve"> At that point, </w:t>
      </w:r>
      <w:smartTag w:uri="urn:schemas-microsoft-com:office:smarttags" w:element="country-region">
        <w:smartTag w:uri="urn:schemas-microsoft-com:office:smarttags" w:element="place">
          <w:r w:rsidR="008847A2">
            <w:rPr>
              <w:color w:val="000000"/>
              <w:sz w:val="24"/>
              <w:szCs w:val="24"/>
              <w:shd w:val="clear" w:color="auto" w:fill="FFFFFF"/>
            </w:rPr>
            <w:t>Turkey</w:t>
          </w:r>
        </w:smartTag>
      </w:smartTag>
      <w:r w:rsidR="008847A2">
        <w:rPr>
          <w:color w:val="000000"/>
          <w:sz w:val="24"/>
          <w:szCs w:val="24"/>
          <w:shd w:val="clear" w:color="auto" w:fill="FFFFFF"/>
        </w:rPr>
        <w:t xml:space="preserve"> expect</w:t>
      </w:r>
      <w:r w:rsidR="006D2B0C">
        <w:rPr>
          <w:color w:val="000000"/>
          <w:sz w:val="24"/>
          <w:szCs w:val="24"/>
          <w:shd w:val="clear" w:color="auto" w:fill="FFFFFF"/>
        </w:rPr>
        <w:t>s</w:t>
      </w:r>
      <w:r w:rsidR="008847A2">
        <w:rPr>
          <w:color w:val="000000"/>
          <w:sz w:val="24"/>
          <w:szCs w:val="24"/>
          <w:shd w:val="clear" w:color="auto" w:fill="FFFFFF"/>
        </w:rPr>
        <w:t xml:space="preserve"> the clarification of whether </w:t>
      </w:r>
      <w:r w:rsidR="00F23A58">
        <w:rPr>
          <w:color w:val="000000"/>
          <w:sz w:val="24"/>
          <w:szCs w:val="24"/>
          <w:shd w:val="clear" w:color="auto" w:fill="FFFFFF"/>
        </w:rPr>
        <w:t xml:space="preserve">there is truly an issue regarding the removal of trees; if so in what amount and </w:t>
      </w:r>
      <w:r w:rsidR="0096572B">
        <w:rPr>
          <w:color w:val="000000"/>
          <w:sz w:val="24"/>
          <w:szCs w:val="24"/>
          <w:shd w:val="clear" w:color="auto" w:fill="FFFFFF"/>
        </w:rPr>
        <w:t>owing to</w:t>
      </w:r>
      <w:r w:rsidR="00F23A58">
        <w:rPr>
          <w:color w:val="000000"/>
          <w:sz w:val="24"/>
          <w:szCs w:val="24"/>
          <w:shd w:val="clear" w:color="auto" w:fill="FFFFFF"/>
        </w:rPr>
        <w:t xml:space="preserve"> which reasons. In addition, </w:t>
      </w:r>
      <w:r w:rsidR="00A21F9B">
        <w:rPr>
          <w:color w:val="000000"/>
          <w:sz w:val="24"/>
          <w:szCs w:val="24"/>
          <w:shd w:val="clear" w:color="auto" w:fill="FFFFFF"/>
        </w:rPr>
        <w:t xml:space="preserve">even if there will be removal of trees, the reasons lying behind should be examined well. </w:t>
      </w:r>
      <w:r w:rsidR="006F5B30">
        <w:rPr>
          <w:color w:val="000000"/>
          <w:sz w:val="24"/>
          <w:szCs w:val="24"/>
          <w:shd w:val="clear" w:color="auto" w:fill="FFFFFF"/>
        </w:rPr>
        <w:t>The natural and financial</w:t>
      </w:r>
      <w:r w:rsidR="00A21F9B">
        <w:rPr>
          <w:color w:val="000000"/>
          <w:sz w:val="24"/>
          <w:szCs w:val="24"/>
          <w:shd w:val="clear" w:color="auto" w:fill="FFFFFF"/>
        </w:rPr>
        <w:t xml:space="preserve"> </w:t>
      </w:r>
      <w:r w:rsidR="0096572B">
        <w:rPr>
          <w:color w:val="000000"/>
          <w:sz w:val="24"/>
          <w:szCs w:val="24"/>
          <w:shd w:val="clear" w:color="auto" w:fill="FFFFFF"/>
        </w:rPr>
        <w:t>problems which have been widely seen in agriculture sector</w:t>
      </w:r>
      <w:r w:rsidR="00A21F9B">
        <w:rPr>
          <w:color w:val="000000"/>
          <w:sz w:val="24"/>
          <w:szCs w:val="24"/>
          <w:shd w:val="clear" w:color="auto" w:fill="FFFFFF"/>
        </w:rPr>
        <w:t xml:space="preserve"> such as </w:t>
      </w:r>
      <w:r w:rsidR="006F5B30">
        <w:rPr>
          <w:color w:val="000000"/>
          <w:sz w:val="24"/>
          <w:szCs w:val="24"/>
          <w:shd w:val="clear" w:color="auto" w:fill="FFFFFF"/>
        </w:rPr>
        <w:t>drought, low humidity in high temperatures, inadequate capital cannot be ignored in this case.</w:t>
      </w:r>
      <w:r w:rsidR="00F23A58">
        <w:rPr>
          <w:color w:val="000000"/>
          <w:sz w:val="24"/>
          <w:szCs w:val="24"/>
          <w:shd w:val="clear" w:color="auto" w:fill="FFFFFF"/>
        </w:rPr>
        <w:t xml:space="preserve"> </w:t>
      </w:r>
    </w:p>
    <w:p w:rsidR="009319C8" w:rsidRDefault="009319C8" w:rsidP="00D21F18">
      <w:pPr>
        <w:spacing w:line="360" w:lineRule="auto"/>
        <w:jc w:val="both"/>
        <w:rPr>
          <w:color w:val="000000"/>
          <w:sz w:val="24"/>
          <w:szCs w:val="24"/>
          <w:shd w:val="clear" w:color="auto" w:fill="FFFFFF"/>
        </w:rPr>
      </w:pPr>
    </w:p>
    <w:p w:rsidR="009319C8" w:rsidRDefault="009319C8" w:rsidP="00D21F18">
      <w:pPr>
        <w:spacing w:line="360" w:lineRule="auto"/>
        <w:jc w:val="both"/>
        <w:rPr>
          <w:color w:val="000000"/>
          <w:sz w:val="24"/>
          <w:szCs w:val="24"/>
          <w:shd w:val="clear" w:color="auto" w:fill="FFFFFF"/>
        </w:rPr>
      </w:pPr>
      <w:r>
        <w:rPr>
          <w:color w:val="000000"/>
          <w:sz w:val="24"/>
          <w:szCs w:val="24"/>
          <w:shd w:val="clear" w:color="auto" w:fill="FFFFFF"/>
        </w:rPr>
        <w:tab/>
      </w:r>
      <w:r w:rsidR="006F5B30">
        <w:rPr>
          <w:color w:val="000000"/>
          <w:sz w:val="24"/>
          <w:szCs w:val="24"/>
          <w:shd w:val="clear" w:color="auto" w:fill="FFFFFF"/>
        </w:rPr>
        <w:t>Moreover</w:t>
      </w:r>
      <w:r w:rsidR="004150E5">
        <w:rPr>
          <w:color w:val="000000"/>
          <w:sz w:val="24"/>
          <w:szCs w:val="24"/>
          <w:shd w:val="clear" w:color="auto" w:fill="FFFFFF"/>
        </w:rPr>
        <w:t xml:space="preserve">, the relation established by the Complainant between the trees </w:t>
      </w:r>
      <w:r w:rsidR="006D2B0C">
        <w:rPr>
          <w:color w:val="000000"/>
          <w:sz w:val="24"/>
          <w:szCs w:val="24"/>
          <w:shd w:val="clear" w:color="auto" w:fill="FFFFFF"/>
        </w:rPr>
        <w:t xml:space="preserve">not </w:t>
      </w:r>
      <w:r w:rsidR="004150E5">
        <w:rPr>
          <w:color w:val="000000"/>
          <w:sz w:val="24"/>
          <w:szCs w:val="24"/>
          <w:shd w:val="clear" w:color="auto" w:fill="FFFFFF"/>
        </w:rPr>
        <w:t>sprayed and a major ri</w:t>
      </w:r>
      <w:r w:rsidR="00A40CF3">
        <w:rPr>
          <w:color w:val="000000"/>
          <w:sz w:val="24"/>
          <w:szCs w:val="24"/>
          <w:shd w:val="clear" w:color="auto" w:fill="FFFFFF"/>
        </w:rPr>
        <w:t xml:space="preserve">sk of biosecurity damage can also be considered </w:t>
      </w:r>
      <w:r w:rsidR="004150E5">
        <w:rPr>
          <w:color w:val="000000"/>
          <w:sz w:val="24"/>
          <w:szCs w:val="24"/>
          <w:shd w:val="clear" w:color="auto" w:fill="FFFFFF"/>
        </w:rPr>
        <w:t>as very speculative and</w:t>
      </w:r>
      <w:r w:rsidR="006D2B0C">
        <w:rPr>
          <w:color w:val="000000"/>
          <w:sz w:val="24"/>
          <w:szCs w:val="24"/>
          <w:shd w:val="clear" w:color="auto" w:fill="FFFFFF"/>
        </w:rPr>
        <w:t xml:space="preserve"> as</w:t>
      </w:r>
      <w:r w:rsidR="004150E5">
        <w:rPr>
          <w:color w:val="000000"/>
          <w:sz w:val="24"/>
          <w:szCs w:val="24"/>
          <w:shd w:val="clear" w:color="auto" w:fill="FFFFFF"/>
        </w:rPr>
        <w:t xml:space="preserve"> </w:t>
      </w:r>
      <w:r w:rsidR="00D73870">
        <w:rPr>
          <w:color w:val="000000"/>
          <w:sz w:val="24"/>
          <w:szCs w:val="24"/>
          <w:shd w:val="clear" w:color="auto" w:fill="FFFFFF"/>
        </w:rPr>
        <w:t>an effort to overstate a completely hypothetical situation.</w:t>
      </w:r>
      <w:r w:rsidR="00543CB3">
        <w:rPr>
          <w:color w:val="000000"/>
          <w:sz w:val="24"/>
          <w:szCs w:val="24"/>
          <w:shd w:val="clear" w:color="auto" w:fill="FFFFFF"/>
        </w:rPr>
        <w:t xml:space="preserve">   </w:t>
      </w:r>
    </w:p>
    <w:p w:rsidR="009142A5" w:rsidRDefault="009142A5" w:rsidP="00D21F18">
      <w:pPr>
        <w:spacing w:line="360" w:lineRule="auto"/>
        <w:jc w:val="both"/>
        <w:rPr>
          <w:color w:val="000000"/>
          <w:sz w:val="24"/>
          <w:szCs w:val="24"/>
          <w:shd w:val="clear" w:color="auto" w:fill="FFFFFF"/>
        </w:rPr>
      </w:pPr>
    </w:p>
    <w:p w:rsidR="009142A5" w:rsidRDefault="009142A5" w:rsidP="00D21F18">
      <w:pPr>
        <w:spacing w:line="360" w:lineRule="auto"/>
        <w:jc w:val="both"/>
        <w:rPr>
          <w:color w:val="000000"/>
          <w:sz w:val="24"/>
          <w:szCs w:val="24"/>
          <w:shd w:val="clear" w:color="auto" w:fill="FFFFFF"/>
        </w:rPr>
      </w:pPr>
    </w:p>
    <w:p w:rsidR="009142A5" w:rsidRDefault="009142A5" w:rsidP="00D21F18">
      <w:pPr>
        <w:spacing w:line="360" w:lineRule="auto"/>
        <w:jc w:val="both"/>
        <w:rPr>
          <w:color w:val="000000"/>
          <w:sz w:val="24"/>
          <w:szCs w:val="24"/>
          <w:shd w:val="clear" w:color="auto" w:fill="FFFFFF"/>
        </w:rPr>
      </w:pPr>
    </w:p>
    <w:p w:rsidR="009142A5" w:rsidRPr="009142A5" w:rsidRDefault="009142A5" w:rsidP="00D21F18">
      <w:pPr>
        <w:spacing w:line="360" w:lineRule="auto"/>
        <w:jc w:val="both"/>
        <w:rPr>
          <w:color w:val="000000"/>
          <w:sz w:val="24"/>
          <w:szCs w:val="24"/>
          <w:shd w:val="clear" w:color="auto" w:fill="FFFFFF"/>
        </w:rPr>
      </w:pPr>
    </w:p>
    <w:p w:rsidR="00FB4B42" w:rsidRDefault="002701CF" w:rsidP="002336AE">
      <w:pPr>
        <w:spacing w:line="360" w:lineRule="auto"/>
        <w:ind w:firstLine="708"/>
        <w:jc w:val="both"/>
        <w:rPr>
          <w:b/>
          <w:sz w:val="24"/>
          <w:szCs w:val="24"/>
        </w:rPr>
      </w:pPr>
      <w:r>
        <w:rPr>
          <w:b/>
          <w:sz w:val="24"/>
          <w:szCs w:val="24"/>
        </w:rPr>
        <w:lastRenderedPageBreak/>
        <w:t>5</w:t>
      </w:r>
      <w:r w:rsidR="00FB4B42">
        <w:rPr>
          <w:b/>
          <w:sz w:val="24"/>
          <w:szCs w:val="24"/>
        </w:rPr>
        <w:t xml:space="preserve">. Remarks on </w:t>
      </w:r>
      <w:r w:rsidR="00A1668B">
        <w:rPr>
          <w:b/>
          <w:sz w:val="24"/>
          <w:szCs w:val="24"/>
        </w:rPr>
        <w:t>Domestic Industry</w:t>
      </w:r>
    </w:p>
    <w:p w:rsidR="00D52185" w:rsidRDefault="00D52185" w:rsidP="002336AE">
      <w:pPr>
        <w:spacing w:line="360" w:lineRule="auto"/>
        <w:ind w:firstLine="708"/>
        <w:jc w:val="both"/>
        <w:rPr>
          <w:b/>
          <w:sz w:val="24"/>
          <w:szCs w:val="24"/>
        </w:rPr>
      </w:pPr>
    </w:p>
    <w:p w:rsidR="00D52185" w:rsidRDefault="00544653" w:rsidP="004D2763">
      <w:pPr>
        <w:spacing w:line="360" w:lineRule="auto"/>
        <w:ind w:firstLine="708"/>
        <w:jc w:val="both"/>
        <w:rPr>
          <w:sz w:val="24"/>
          <w:szCs w:val="24"/>
        </w:rPr>
      </w:pPr>
      <w:r>
        <w:rPr>
          <w:sz w:val="24"/>
          <w:szCs w:val="24"/>
        </w:rPr>
        <w:t xml:space="preserve">Within the framework of ‘domestic industry’, Article 4.1 (c) of the </w:t>
      </w:r>
      <w:proofErr w:type="spellStart"/>
      <w:r>
        <w:rPr>
          <w:sz w:val="24"/>
          <w:szCs w:val="24"/>
        </w:rPr>
        <w:t>AoS</w:t>
      </w:r>
      <w:proofErr w:type="spellEnd"/>
      <w:r>
        <w:rPr>
          <w:sz w:val="24"/>
          <w:szCs w:val="24"/>
        </w:rPr>
        <w:t xml:space="preserve"> underlines</w:t>
      </w:r>
      <w:r w:rsidR="00B2098B">
        <w:rPr>
          <w:sz w:val="24"/>
          <w:szCs w:val="24"/>
        </w:rPr>
        <w:t xml:space="preserve"> that</w:t>
      </w:r>
      <w:r>
        <w:rPr>
          <w:sz w:val="24"/>
          <w:szCs w:val="24"/>
        </w:rPr>
        <w:t xml:space="preserve"> </w:t>
      </w:r>
      <w:r w:rsidR="004D2763">
        <w:rPr>
          <w:i/>
          <w:sz w:val="24"/>
          <w:szCs w:val="24"/>
        </w:rPr>
        <w:t>“</w:t>
      </w:r>
      <w:r w:rsidR="004D2763" w:rsidRPr="004D2763">
        <w:rPr>
          <w:i/>
          <w:sz w:val="24"/>
          <w:szCs w:val="24"/>
        </w:rPr>
        <w:t>In determining injury or threat thereof, a "domestic industry" shall be understood to mean the producers as a whole of the like or directly competitive products operating within the territory of a Member</w:t>
      </w:r>
      <w:r w:rsidR="00ED14D9">
        <w:rPr>
          <w:i/>
          <w:sz w:val="24"/>
          <w:szCs w:val="24"/>
        </w:rPr>
        <w:t>”</w:t>
      </w:r>
      <w:r w:rsidR="00ED14D9">
        <w:rPr>
          <w:sz w:val="24"/>
          <w:szCs w:val="24"/>
        </w:rPr>
        <w:t xml:space="preserve">. </w:t>
      </w:r>
    </w:p>
    <w:p w:rsidR="00A1668B" w:rsidRDefault="00A1668B" w:rsidP="004D2763">
      <w:pPr>
        <w:spacing w:line="360" w:lineRule="auto"/>
        <w:ind w:firstLine="708"/>
        <w:jc w:val="both"/>
        <w:rPr>
          <w:sz w:val="24"/>
          <w:szCs w:val="24"/>
        </w:rPr>
      </w:pPr>
    </w:p>
    <w:p w:rsidR="00AA5EAC" w:rsidRDefault="00AA5EAC" w:rsidP="004D2763">
      <w:pPr>
        <w:spacing w:line="360" w:lineRule="auto"/>
        <w:ind w:firstLine="708"/>
        <w:jc w:val="both"/>
        <w:rPr>
          <w:sz w:val="24"/>
          <w:szCs w:val="24"/>
        </w:rPr>
      </w:pPr>
      <w:r>
        <w:rPr>
          <w:sz w:val="24"/>
          <w:szCs w:val="24"/>
        </w:rPr>
        <w:t xml:space="preserve">In the Submission, </w:t>
      </w:r>
      <w:r w:rsidR="004D2763">
        <w:rPr>
          <w:sz w:val="24"/>
          <w:szCs w:val="24"/>
        </w:rPr>
        <w:t>Complainant included farmers and fruit growers to the components of domestic industry by expressing “</w:t>
      </w:r>
      <w:r w:rsidR="004D2763" w:rsidRPr="004D2763">
        <w:rPr>
          <w:i/>
          <w:sz w:val="24"/>
          <w:szCs w:val="24"/>
        </w:rPr>
        <w:t xml:space="preserve">A continuation of recent import trends threatens to overwhelm the industry. There are critical circumstances facing </w:t>
      </w:r>
      <w:r w:rsidR="004D2763" w:rsidRPr="004D2763">
        <w:rPr>
          <w:b/>
          <w:i/>
          <w:sz w:val="24"/>
          <w:szCs w:val="24"/>
          <w:u w:val="single"/>
        </w:rPr>
        <w:t>the industry, with decisions having to be made now at the farm and plant level</w:t>
      </w:r>
      <w:r w:rsidR="00ED14D9">
        <w:rPr>
          <w:i/>
          <w:sz w:val="24"/>
          <w:szCs w:val="24"/>
        </w:rPr>
        <w:t xml:space="preserve"> </w:t>
      </w:r>
      <w:r w:rsidR="00140EBC">
        <w:rPr>
          <w:rStyle w:val="FootnoteReference"/>
          <w:i/>
          <w:sz w:val="24"/>
          <w:szCs w:val="24"/>
        </w:rPr>
        <w:footnoteReference w:id="4"/>
      </w:r>
      <w:r w:rsidR="00ED14D9">
        <w:rPr>
          <w:i/>
          <w:sz w:val="24"/>
          <w:szCs w:val="24"/>
        </w:rPr>
        <w:t>”</w:t>
      </w:r>
      <w:r w:rsidR="004D2763">
        <w:rPr>
          <w:sz w:val="24"/>
          <w:szCs w:val="24"/>
        </w:rPr>
        <w:t>. In other words, the industry is divided into different levels, farm</w:t>
      </w:r>
      <w:r w:rsidR="00F2747C">
        <w:rPr>
          <w:sz w:val="24"/>
          <w:szCs w:val="24"/>
        </w:rPr>
        <w:t>s</w:t>
      </w:r>
      <w:r w:rsidR="004D2763">
        <w:rPr>
          <w:sz w:val="24"/>
          <w:szCs w:val="24"/>
        </w:rPr>
        <w:t xml:space="preserve"> and plant</w:t>
      </w:r>
      <w:r w:rsidR="00F2747C">
        <w:rPr>
          <w:sz w:val="24"/>
          <w:szCs w:val="24"/>
        </w:rPr>
        <w:t>s</w:t>
      </w:r>
      <w:r w:rsidR="004D2763">
        <w:rPr>
          <w:sz w:val="24"/>
          <w:szCs w:val="24"/>
        </w:rPr>
        <w:t xml:space="preserve">, and these levels are considered as viable segments of the industry by the Complainant. </w:t>
      </w:r>
    </w:p>
    <w:p w:rsidR="00AA5EAC" w:rsidRDefault="00AA5EAC" w:rsidP="004D2763">
      <w:pPr>
        <w:spacing w:line="360" w:lineRule="auto"/>
        <w:ind w:firstLine="708"/>
        <w:jc w:val="both"/>
        <w:rPr>
          <w:sz w:val="24"/>
          <w:szCs w:val="24"/>
        </w:rPr>
      </w:pPr>
    </w:p>
    <w:p w:rsidR="004D2763" w:rsidRPr="00AA5EAC" w:rsidRDefault="00AA5EAC" w:rsidP="004D2763">
      <w:pPr>
        <w:spacing w:line="360" w:lineRule="auto"/>
        <w:ind w:firstLine="708"/>
        <w:jc w:val="both"/>
        <w:rPr>
          <w:i/>
          <w:sz w:val="24"/>
          <w:szCs w:val="24"/>
        </w:rPr>
      </w:pPr>
      <w:r>
        <w:rPr>
          <w:sz w:val="24"/>
          <w:szCs w:val="24"/>
        </w:rPr>
        <w:t xml:space="preserve">However, </w:t>
      </w:r>
      <w:r>
        <w:rPr>
          <w:color w:val="000000"/>
          <w:sz w:val="24"/>
          <w:szCs w:val="24"/>
          <w:shd w:val="clear" w:color="auto" w:fill="FFFFFF"/>
        </w:rPr>
        <w:t>i</w:t>
      </w:r>
      <w:r w:rsidRPr="00AA5EAC">
        <w:rPr>
          <w:color w:val="000000"/>
          <w:sz w:val="24"/>
          <w:szCs w:val="24"/>
          <w:shd w:val="clear" w:color="auto" w:fill="FFFFFF"/>
        </w:rPr>
        <w:t>n</w:t>
      </w:r>
      <w:r w:rsidRPr="00AA5EAC">
        <w:rPr>
          <w:rStyle w:val="apple-converted-space"/>
          <w:color w:val="000000"/>
          <w:sz w:val="24"/>
          <w:szCs w:val="24"/>
          <w:shd w:val="clear" w:color="auto" w:fill="FFFFFF"/>
        </w:rPr>
        <w:t> </w:t>
      </w:r>
      <w:r w:rsidRPr="00AA5EAC">
        <w:rPr>
          <w:i/>
          <w:iCs/>
          <w:color w:val="000000"/>
          <w:sz w:val="24"/>
          <w:szCs w:val="24"/>
          <w:shd w:val="clear" w:color="auto" w:fill="FFFFFF"/>
        </w:rPr>
        <w:t>US — Lamb</w:t>
      </w:r>
      <w:r w:rsidRPr="00AA5EAC">
        <w:rPr>
          <w:color w:val="000000"/>
          <w:sz w:val="24"/>
          <w:szCs w:val="24"/>
          <w:shd w:val="clear" w:color="auto" w:fill="FFFFFF"/>
        </w:rPr>
        <w:t xml:space="preserve">, the Appellate Body upheld the findings of the Panel and also concluded that the definition of “domestic industry” by the </w:t>
      </w:r>
      <w:smartTag w:uri="urn:schemas-microsoft-com:office:smarttags" w:element="place">
        <w:smartTag w:uri="urn:schemas-microsoft-com:office:smarttags" w:element="country-region">
          <w:r w:rsidRPr="00AA5EAC">
            <w:rPr>
              <w:color w:val="000000"/>
              <w:sz w:val="24"/>
              <w:szCs w:val="24"/>
              <w:shd w:val="clear" w:color="auto" w:fill="FFFFFF"/>
            </w:rPr>
            <w:t>United States</w:t>
          </w:r>
        </w:smartTag>
      </w:smartTag>
      <w:r w:rsidRPr="00AA5EAC">
        <w:rPr>
          <w:color w:val="000000"/>
          <w:sz w:val="24"/>
          <w:szCs w:val="24"/>
          <w:shd w:val="clear" w:color="auto" w:fill="FFFFFF"/>
        </w:rPr>
        <w:t xml:space="preserve"> authorities was too broad</w:t>
      </w:r>
      <w:r w:rsidR="004D2763">
        <w:rPr>
          <w:sz w:val="24"/>
          <w:szCs w:val="24"/>
        </w:rPr>
        <w:t xml:space="preserve"> </w:t>
      </w:r>
      <w:r w:rsidR="006F01CF">
        <w:rPr>
          <w:sz w:val="24"/>
          <w:szCs w:val="24"/>
        </w:rPr>
        <w:t>and added</w:t>
      </w:r>
      <w:r>
        <w:rPr>
          <w:sz w:val="24"/>
          <w:szCs w:val="24"/>
        </w:rPr>
        <w:t xml:space="preserve">: </w:t>
      </w:r>
      <w:r w:rsidRPr="00AA5EAC">
        <w:rPr>
          <w:i/>
          <w:sz w:val="24"/>
          <w:szCs w:val="24"/>
        </w:rPr>
        <w:t>“</w:t>
      </w:r>
      <w:r w:rsidRPr="00AA5EAC">
        <w:rPr>
          <w:i/>
          <w:color w:val="000000"/>
          <w:sz w:val="24"/>
          <w:szCs w:val="24"/>
          <w:shd w:val="clear" w:color="auto" w:fill="FFFFFF"/>
        </w:rPr>
        <w:t xml:space="preserve">There is no dispute that in this case the ‘like product’ is ‘lamb meat’, which is the imported product with which the safeguard investigation was concerned. The </w:t>
      </w:r>
      <w:proofErr w:type="spellStart"/>
      <w:r w:rsidRPr="00AA5EAC">
        <w:rPr>
          <w:i/>
          <w:color w:val="000000"/>
          <w:sz w:val="24"/>
          <w:szCs w:val="24"/>
          <w:shd w:val="clear" w:color="auto" w:fill="FFFFFF"/>
        </w:rPr>
        <w:t>USITC</w:t>
      </w:r>
      <w:proofErr w:type="spellEnd"/>
      <w:r w:rsidRPr="00AA5EAC">
        <w:rPr>
          <w:i/>
          <w:color w:val="000000"/>
          <w:sz w:val="24"/>
          <w:szCs w:val="24"/>
          <w:shd w:val="clear" w:color="auto" w:fill="FFFFFF"/>
        </w:rPr>
        <w:t xml:space="preserve"> considered that the ‘domestic industry’ producing the ‘like product’, lamb meat, includes the growers and feeders of live lambs. The term ‘directly competitive products’ is not, however, at issue in this dispute as the </w:t>
      </w:r>
      <w:proofErr w:type="spellStart"/>
      <w:r w:rsidRPr="00AA5EAC">
        <w:rPr>
          <w:i/>
          <w:color w:val="000000"/>
          <w:sz w:val="24"/>
          <w:szCs w:val="24"/>
          <w:shd w:val="clear" w:color="auto" w:fill="FFFFFF"/>
        </w:rPr>
        <w:t>USITC</w:t>
      </w:r>
      <w:proofErr w:type="spellEnd"/>
      <w:r w:rsidRPr="00AA5EAC">
        <w:rPr>
          <w:i/>
          <w:color w:val="000000"/>
          <w:sz w:val="24"/>
          <w:szCs w:val="24"/>
          <w:shd w:val="clear" w:color="auto" w:fill="FFFFFF"/>
        </w:rPr>
        <w:t xml:space="preserve"> did not find that there were any such products in this case.</w:t>
      </w:r>
      <w:r>
        <w:rPr>
          <w:rStyle w:val="FootnoteReference"/>
          <w:i/>
          <w:color w:val="000000"/>
          <w:sz w:val="24"/>
          <w:szCs w:val="24"/>
          <w:shd w:val="clear" w:color="auto" w:fill="FFFFFF"/>
        </w:rPr>
        <w:footnoteReference w:id="5"/>
      </w:r>
      <w:r>
        <w:rPr>
          <w:i/>
          <w:color w:val="000000"/>
          <w:sz w:val="24"/>
          <w:szCs w:val="24"/>
          <w:shd w:val="clear" w:color="auto" w:fill="FFFFFF"/>
        </w:rPr>
        <w:t>”</w:t>
      </w:r>
    </w:p>
    <w:p w:rsidR="002336AE" w:rsidRDefault="002336AE" w:rsidP="002336AE">
      <w:pPr>
        <w:spacing w:line="360" w:lineRule="auto"/>
        <w:ind w:firstLine="708"/>
        <w:jc w:val="both"/>
        <w:rPr>
          <w:b/>
          <w:sz w:val="24"/>
          <w:szCs w:val="24"/>
        </w:rPr>
      </w:pPr>
    </w:p>
    <w:p w:rsidR="002336AE" w:rsidRDefault="006F01CF" w:rsidP="002336AE">
      <w:pPr>
        <w:spacing w:line="360" w:lineRule="auto"/>
        <w:ind w:firstLine="708"/>
        <w:jc w:val="both"/>
        <w:rPr>
          <w:sz w:val="24"/>
          <w:szCs w:val="24"/>
        </w:rPr>
      </w:pPr>
      <w:r>
        <w:rPr>
          <w:sz w:val="24"/>
          <w:szCs w:val="24"/>
        </w:rPr>
        <w:t xml:space="preserve">Likewise, </w:t>
      </w:r>
      <w:r w:rsidR="00A03B7D">
        <w:rPr>
          <w:sz w:val="24"/>
          <w:szCs w:val="24"/>
        </w:rPr>
        <w:t>in this case,</w:t>
      </w:r>
      <w:r w:rsidR="00140EBC">
        <w:rPr>
          <w:sz w:val="24"/>
          <w:szCs w:val="24"/>
        </w:rPr>
        <w:t xml:space="preserve"> it is significant to underline</w:t>
      </w:r>
      <w:r w:rsidR="00A03B7D">
        <w:rPr>
          <w:sz w:val="24"/>
          <w:szCs w:val="24"/>
        </w:rPr>
        <w:t xml:space="preserve"> that the </w:t>
      </w:r>
      <w:r w:rsidR="00140EBC">
        <w:rPr>
          <w:sz w:val="24"/>
          <w:szCs w:val="24"/>
        </w:rPr>
        <w:t>definition of domestic industry should be made properly in order not to include irrelevant parties to the said def</w:t>
      </w:r>
      <w:r w:rsidR="00F61DD9">
        <w:rPr>
          <w:sz w:val="24"/>
          <w:szCs w:val="24"/>
        </w:rPr>
        <w:t>inition</w:t>
      </w:r>
      <w:r w:rsidR="00140EBC">
        <w:rPr>
          <w:sz w:val="24"/>
          <w:szCs w:val="24"/>
        </w:rPr>
        <w:t>. Hence,</w:t>
      </w:r>
      <w:r w:rsidR="00A03B7D">
        <w:rPr>
          <w:sz w:val="24"/>
          <w:szCs w:val="24"/>
        </w:rPr>
        <w:t xml:space="preserve"> </w:t>
      </w:r>
      <w:smartTag w:uri="urn:schemas-microsoft-com:office:smarttags" w:element="place">
        <w:smartTag w:uri="urn:schemas-microsoft-com:office:smarttags" w:element="country-region">
          <w:r w:rsidR="00A03B7D">
            <w:rPr>
              <w:sz w:val="24"/>
              <w:szCs w:val="24"/>
            </w:rPr>
            <w:t>Turkey</w:t>
          </w:r>
        </w:smartTag>
      </w:smartTag>
      <w:r w:rsidR="00A03B7D">
        <w:rPr>
          <w:sz w:val="24"/>
          <w:szCs w:val="24"/>
        </w:rPr>
        <w:t xml:space="preserve"> </w:t>
      </w:r>
      <w:r w:rsidR="00F2747C">
        <w:rPr>
          <w:sz w:val="24"/>
          <w:szCs w:val="24"/>
        </w:rPr>
        <w:t>expects</w:t>
      </w:r>
      <w:r w:rsidR="00140EBC">
        <w:rPr>
          <w:sz w:val="24"/>
          <w:szCs w:val="24"/>
        </w:rPr>
        <w:t xml:space="preserve"> that</w:t>
      </w:r>
      <w:r w:rsidR="00A03B7D">
        <w:rPr>
          <w:sz w:val="24"/>
          <w:szCs w:val="24"/>
        </w:rPr>
        <w:t xml:space="preserve"> the Commission will make its determinations pursuant to the relevant </w:t>
      </w:r>
      <w:r w:rsidR="00140EBC">
        <w:rPr>
          <w:sz w:val="24"/>
          <w:szCs w:val="24"/>
        </w:rPr>
        <w:t>Panel and Appellate Body decisions.</w:t>
      </w:r>
    </w:p>
    <w:p w:rsidR="00140EBC" w:rsidRDefault="00140EBC" w:rsidP="002336AE">
      <w:pPr>
        <w:spacing w:line="360" w:lineRule="auto"/>
        <w:ind w:firstLine="708"/>
        <w:jc w:val="both"/>
        <w:rPr>
          <w:sz w:val="24"/>
          <w:szCs w:val="24"/>
        </w:rPr>
      </w:pPr>
    </w:p>
    <w:p w:rsidR="006200D2" w:rsidRDefault="00C93D55" w:rsidP="00CF7DF6">
      <w:pPr>
        <w:spacing w:line="360" w:lineRule="auto"/>
        <w:ind w:firstLine="708"/>
        <w:jc w:val="both"/>
        <w:rPr>
          <w:sz w:val="24"/>
          <w:szCs w:val="24"/>
        </w:rPr>
      </w:pPr>
      <w:r>
        <w:rPr>
          <w:sz w:val="24"/>
          <w:szCs w:val="24"/>
        </w:rPr>
        <w:lastRenderedPageBreak/>
        <w:t>Furtherm</w:t>
      </w:r>
      <w:r w:rsidR="001D3089">
        <w:rPr>
          <w:sz w:val="24"/>
          <w:szCs w:val="24"/>
        </w:rPr>
        <w:t>ore, the Complainant emphasized</w:t>
      </w:r>
      <w:r>
        <w:rPr>
          <w:sz w:val="24"/>
          <w:szCs w:val="24"/>
        </w:rPr>
        <w:t xml:space="preserve"> in the Submission that it’s now the sole Australian processor of retail products in the multi serve fruit industry</w:t>
      </w:r>
      <w:r>
        <w:rPr>
          <w:rStyle w:val="FootnoteReference"/>
          <w:sz w:val="24"/>
          <w:szCs w:val="24"/>
        </w:rPr>
        <w:footnoteReference w:id="6"/>
      </w:r>
      <w:r>
        <w:rPr>
          <w:sz w:val="24"/>
          <w:szCs w:val="24"/>
        </w:rPr>
        <w:t xml:space="preserve">. </w:t>
      </w:r>
      <w:r w:rsidR="001D3089">
        <w:rPr>
          <w:sz w:val="24"/>
          <w:szCs w:val="24"/>
        </w:rPr>
        <w:t>But, the submission of Coles, leader of Australian food retailing</w:t>
      </w:r>
      <w:r w:rsidR="001D3089">
        <w:rPr>
          <w:rStyle w:val="FootnoteReference"/>
          <w:sz w:val="24"/>
          <w:szCs w:val="24"/>
        </w:rPr>
        <w:footnoteReference w:id="7"/>
      </w:r>
      <w:r w:rsidR="001D3089">
        <w:rPr>
          <w:sz w:val="24"/>
          <w:szCs w:val="24"/>
        </w:rPr>
        <w:t>, disclaims the abovementioned expression by highlighting Heinz among the other major processors of Australian fruit</w:t>
      </w:r>
      <w:r w:rsidR="001D3089">
        <w:rPr>
          <w:rStyle w:val="FootnoteReference"/>
          <w:sz w:val="24"/>
          <w:szCs w:val="24"/>
        </w:rPr>
        <w:footnoteReference w:id="8"/>
      </w:r>
      <w:r w:rsidR="001D3089">
        <w:rPr>
          <w:sz w:val="24"/>
          <w:szCs w:val="24"/>
        </w:rPr>
        <w:t xml:space="preserve">. Besides, </w:t>
      </w:r>
      <w:r w:rsidR="001379E5">
        <w:rPr>
          <w:sz w:val="24"/>
          <w:szCs w:val="24"/>
        </w:rPr>
        <w:t xml:space="preserve">in the Australian Industry Group’s Water Saving Factsheet regarding processed fruit and vegetables industry, some of the major fruit and vegetable processors are </w:t>
      </w:r>
      <w:r w:rsidR="0002544F">
        <w:rPr>
          <w:sz w:val="24"/>
          <w:szCs w:val="24"/>
        </w:rPr>
        <w:t>exemplified</w:t>
      </w:r>
      <w:r w:rsidR="001379E5">
        <w:rPr>
          <w:sz w:val="24"/>
          <w:szCs w:val="24"/>
        </w:rPr>
        <w:t xml:space="preserve"> as </w:t>
      </w:r>
      <w:proofErr w:type="spellStart"/>
      <w:r w:rsidR="001379E5">
        <w:rPr>
          <w:sz w:val="24"/>
          <w:szCs w:val="24"/>
        </w:rPr>
        <w:t>SPC-Ardmona</w:t>
      </w:r>
      <w:proofErr w:type="spellEnd"/>
      <w:r w:rsidR="001379E5">
        <w:rPr>
          <w:sz w:val="24"/>
          <w:szCs w:val="24"/>
        </w:rPr>
        <w:t xml:space="preserve">, </w:t>
      </w:r>
      <w:proofErr w:type="spellStart"/>
      <w:smartTag w:uri="urn:schemas-microsoft-com:office:smarttags" w:element="place">
        <w:smartTag w:uri="urn:schemas-microsoft-com:office:smarttags" w:element="PlaceName">
          <w:r w:rsidR="001379E5">
            <w:rPr>
              <w:sz w:val="24"/>
              <w:szCs w:val="24"/>
            </w:rPr>
            <w:t>Goulburn</w:t>
          </w:r>
        </w:smartTag>
        <w:proofErr w:type="spellEnd"/>
        <w:r w:rsidR="001379E5">
          <w:rPr>
            <w:sz w:val="24"/>
            <w:szCs w:val="24"/>
          </w:rPr>
          <w:t xml:space="preserve"> </w:t>
        </w:r>
        <w:smartTag w:uri="urn:schemas-microsoft-com:office:smarttags" w:element="PlaceType">
          <w:r w:rsidR="001379E5">
            <w:rPr>
              <w:sz w:val="24"/>
              <w:szCs w:val="24"/>
            </w:rPr>
            <w:t>Valley</w:t>
          </w:r>
        </w:smartTag>
      </w:smartTag>
      <w:r w:rsidR="001379E5">
        <w:rPr>
          <w:sz w:val="24"/>
          <w:szCs w:val="24"/>
        </w:rPr>
        <w:t xml:space="preserve"> (a subsidiary of </w:t>
      </w:r>
      <w:proofErr w:type="spellStart"/>
      <w:r w:rsidR="001379E5">
        <w:rPr>
          <w:sz w:val="24"/>
          <w:szCs w:val="24"/>
        </w:rPr>
        <w:t>SPC-Ardmona</w:t>
      </w:r>
      <w:proofErr w:type="spellEnd"/>
      <w:r w:rsidR="001379E5">
        <w:rPr>
          <w:sz w:val="24"/>
          <w:szCs w:val="24"/>
        </w:rPr>
        <w:t xml:space="preserve">), Simplot, Unilever, Heinz, </w:t>
      </w:r>
      <w:smartTag w:uri="urn:schemas-microsoft-com:office:smarttags" w:element="Street">
        <w:smartTag w:uri="urn:schemas-microsoft-com:office:smarttags" w:element="address">
          <w:r w:rsidR="001379E5">
            <w:rPr>
              <w:sz w:val="24"/>
              <w:szCs w:val="24"/>
            </w:rPr>
            <w:t>Golden Circle</w:t>
          </w:r>
        </w:smartTag>
      </w:smartTag>
      <w:r w:rsidR="00252C1A">
        <w:rPr>
          <w:sz w:val="24"/>
          <w:szCs w:val="24"/>
        </w:rPr>
        <w:t xml:space="preserve"> and </w:t>
      </w:r>
      <w:proofErr w:type="spellStart"/>
      <w:r w:rsidR="00252C1A">
        <w:rPr>
          <w:sz w:val="24"/>
          <w:szCs w:val="24"/>
        </w:rPr>
        <w:t>McCains</w:t>
      </w:r>
      <w:proofErr w:type="spellEnd"/>
      <w:r w:rsidR="00252C1A">
        <w:rPr>
          <w:rStyle w:val="FootnoteReference"/>
          <w:sz w:val="24"/>
          <w:szCs w:val="24"/>
        </w:rPr>
        <w:footnoteReference w:id="9"/>
      </w:r>
      <w:r w:rsidR="0002544F">
        <w:rPr>
          <w:sz w:val="24"/>
          <w:szCs w:val="24"/>
        </w:rPr>
        <w:t xml:space="preserve">. Accordingly, </w:t>
      </w:r>
      <w:smartTag w:uri="urn:schemas-microsoft-com:office:smarttags" w:element="place">
        <w:smartTag w:uri="urn:schemas-microsoft-com:office:smarttags" w:element="country-region">
          <w:r w:rsidR="0002544F">
            <w:rPr>
              <w:sz w:val="24"/>
              <w:szCs w:val="24"/>
            </w:rPr>
            <w:t>Turkey</w:t>
          </w:r>
        </w:smartTag>
      </w:smartTag>
      <w:r w:rsidR="0002544F">
        <w:rPr>
          <w:sz w:val="24"/>
          <w:szCs w:val="24"/>
        </w:rPr>
        <w:t xml:space="preserve"> requests Commission to</w:t>
      </w:r>
      <w:r w:rsidR="00FA5A5E">
        <w:rPr>
          <w:sz w:val="24"/>
          <w:szCs w:val="24"/>
        </w:rPr>
        <w:t xml:space="preserve"> carefully</w:t>
      </w:r>
      <w:r w:rsidR="0002544F">
        <w:rPr>
          <w:sz w:val="24"/>
          <w:szCs w:val="24"/>
        </w:rPr>
        <w:t xml:space="preserve"> determine the </w:t>
      </w:r>
      <w:r w:rsidR="00FA5A5E">
        <w:rPr>
          <w:sz w:val="24"/>
          <w:szCs w:val="24"/>
        </w:rPr>
        <w:t>members</w:t>
      </w:r>
      <w:r w:rsidR="0002544F">
        <w:rPr>
          <w:sz w:val="24"/>
          <w:szCs w:val="24"/>
        </w:rPr>
        <w:t xml:space="preserve"> of domestic industry for the clarification of the fact that whether </w:t>
      </w:r>
      <w:proofErr w:type="spellStart"/>
      <w:r w:rsidR="0002544F">
        <w:rPr>
          <w:sz w:val="24"/>
          <w:szCs w:val="24"/>
        </w:rPr>
        <w:t>SPC</w:t>
      </w:r>
      <w:proofErr w:type="spellEnd"/>
      <w:r w:rsidR="0002544F">
        <w:rPr>
          <w:sz w:val="24"/>
          <w:szCs w:val="24"/>
        </w:rPr>
        <w:t xml:space="preserve"> </w:t>
      </w:r>
      <w:proofErr w:type="spellStart"/>
      <w:r w:rsidR="0002544F">
        <w:rPr>
          <w:sz w:val="24"/>
          <w:szCs w:val="24"/>
        </w:rPr>
        <w:t>Ardmona</w:t>
      </w:r>
      <w:proofErr w:type="spellEnd"/>
      <w:r w:rsidR="0002544F">
        <w:rPr>
          <w:sz w:val="24"/>
          <w:szCs w:val="24"/>
        </w:rPr>
        <w:t xml:space="preserve"> </w:t>
      </w:r>
      <w:r w:rsidR="00464848">
        <w:rPr>
          <w:sz w:val="24"/>
          <w:szCs w:val="24"/>
        </w:rPr>
        <w:t xml:space="preserve">constitutes </w:t>
      </w:r>
      <w:r w:rsidR="00464848" w:rsidRPr="00464848">
        <w:rPr>
          <w:sz w:val="24"/>
          <w:szCs w:val="24"/>
        </w:rPr>
        <w:t xml:space="preserve">a major proportion of the total domestic </w:t>
      </w:r>
      <w:r w:rsidR="00464848">
        <w:rPr>
          <w:sz w:val="24"/>
          <w:szCs w:val="24"/>
        </w:rPr>
        <w:t>p</w:t>
      </w:r>
      <w:r w:rsidR="00464848" w:rsidRPr="00464848">
        <w:rPr>
          <w:sz w:val="24"/>
          <w:szCs w:val="24"/>
        </w:rPr>
        <w:t xml:space="preserve">roduction </w:t>
      </w:r>
      <w:r w:rsidR="00464848">
        <w:rPr>
          <w:sz w:val="24"/>
          <w:szCs w:val="24"/>
        </w:rPr>
        <w:t>or not</w:t>
      </w:r>
      <w:r w:rsidR="00FA5A5E">
        <w:rPr>
          <w:sz w:val="24"/>
          <w:szCs w:val="24"/>
        </w:rPr>
        <w:t>,</w:t>
      </w:r>
      <w:r w:rsidR="00464848">
        <w:rPr>
          <w:sz w:val="24"/>
          <w:szCs w:val="24"/>
        </w:rPr>
        <w:t xml:space="preserve"> pursuant to the Article 4.1 (c) of the </w:t>
      </w:r>
      <w:proofErr w:type="spellStart"/>
      <w:r w:rsidR="00464848">
        <w:rPr>
          <w:sz w:val="24"/>
          <w:szCs w:val="24"/>
        </w:rPr>
        <w:t>AoS</w:t>
      </w:r>
      <w:proofErr w:type="spellEnd"/>
      <w:r w:rsidR="00464848" w:rsidRPr="00464848">
        <w:rPr>
          <w:sz w:val="24"/>
          <w:szCs w:val="24"/>
        </w:rPr>
        <w:t xml:space="preserve">. </w:t>
      </w:r>
      <w:r w:rsidR="0002544F">
        <w:rPr>
          <w:sz w:val="24"/>
          <w:szCs w:val="24"/>
        </w:rPr>
        <w:t xml:space="preserve"> </w:t>
      </w:r>
      <w:r w:rsidR="001379E5">
        <w:rPr>
          <w:sz w:val="24"/>
          <w:szCs w:val="24"/>
        </w:rPr>
        <w:t xml:space="preserve">  </w:t>
      </w:r>
    </w:p>
    <w:p w:rsidR="00C33932" w:rsidRPr="00A1668B" w:rsidRDefault="00C33932" w:rsidP="00CF7DF6">
      <w:pPr>
        <w:spacing w:line="360" w:lineRule="auto"/>
        <w:ind w:firstLine="708"/>
        <w:jc w:val="both"/>
        <w:rPr>
          <w:sz w:val="24"/>
          <w:szCs w:val="24"/>
        </w:rPr>
      </w:pPr>
    </w:p>
    <w:p w:rsidR="00E37A7F" w:rsidRDefault="002701CF" w:rsidP="00A1668B">
      <w:pPr>
        <w:spacing w:line="360" w:lineRule="auto"/>
        <w:ind w:firstLine="708"/>
        <w:jc w:val="both"/>
        <w:rPr>
          <w:b/>
          <w:sz w:val="24"/>
          <w:szCs w:val="24"/>
        </w:rPr>
      </w:pPr>
      <w:r>
        <w:rPr>
          <w:b/>
          <w:sz w:val="24"/>
          <w:szCs w:val="24"/>
        </w:rPr>
        <w:t>6</w:t>
      </w:r>
      <w:r w:rsidR="00E37A7F">
        <w:rPr>
          <w:b/>
          <w:sz w:val="24"/>
          <w:szCs w:val="24"/>
        </w:rPr>
        <w:t>. Unforeseen Developments</w:t>
      </w:r>
    </w:p>
    <w:p w:rsidR="00A1668B" w:rsidRDefault="00A1668B" w:rsidP="00A1668B">
      <w:pPr>
        <w:spacing w:line="360" w:lineRule="auto"/>
        <w:ind w:firstLine="708"/>
        <w:jc w:val="both"/>
        <w:rPr>
          <w:b/>
          <w:sz w:val="24"/>
          <w:szCs w:val="24"/>
        </w:rPr>
      </w:pPr>
    </w:p>
    <w:p w:rsidR="00AF25D8" w:rsidRDefault="000A01F8" w:rsidP="00A1668B">
      <w:pPr>
        <w:spacing w:line="360" w:lineRule="auto"/>
        <w:ind w:firstLine="708"/>
        <w:jc w:val="both"/>
        <w:rPr>
          <w:sz w:val="24"/>
          <w:szCs w:val="24"/>
        </w:rPr>
      </w:pPr>
      <w:r>
        <w:rPr>
          <w:sz w:val="24"/>
          <w:szCs w:val="24"/>
        </w:rPr>
        <w:t>From the aspect of ‘Unforeseen Developments’, the Complainant</w:t>
      </w:r>
      <w:r w:rsidR="006E18EF">
        <w:rPr>
          <w:sz w:val="24"/>
          <w:szCs w:val="24"/>
        </w:rPr>
        <w:t xml:space="preserve"> constantly put</w:t>
      </w:r>
      <w:r w:rsidR="00FA5A5E">
        <w:rPr>
          <w:sz w:val="24"/>
          <w:szCs w:val="24"/>
        </w:rPr>
        <w:t>s</w:t>
      </w:r>
      <w:r w:rsidR="006E18EF">
        <w:rPr>
          <w:sz w:val="24"/>
          <w:szCs w:val="24"/>
        </w:rPr>
        <w:t xml:space="preserve"> emphasis on two factors, </w:t>
      </w:r>
      <w:r w:rsidR="006E18EF" w:rsidRPr="006200D2">
        <w:rPr>
          <w:sz w:val="24"/>
          <w:szCs w:val="24"/>
          <w:u w:val="single"/>
        </w:rPr>
        <w:t>the appreciation of Australian dollar</w:t>
      </w:r>
      <w:r w:rsidR="006E18EF">
        <w:rPr>
          <w:sz w:val="24"/>
          <w:szCs w:val="24"/>
        </w:rPr>
        <w:t xml:space="preserve"> and </w:t>
      </w:r>
      <w:r w:rsidR="006E18EF" w:rsidRPr="006200D2">
        <w:rPr>
          <w:sz w:val="24"/>
          <w:szCs w:val="24"/>
          <w:u w:val="single"/>
        </w:rPr>
        <w:t>the mining boom</w:t>
      </w:r>
      <w:r w:rsidR="006E18EF">
        <w:rPr>
          <w:sz w:val="24"/>
          <w:szCs w:val="24"/>
        </w:rPr>
        <w:t xml:space="preserve">. </w:t>
      </w:r>
      <w:smartTag w:uri="urn:schemas-microsoft-com:office:smarttags" w:element="place">
        <w:smartTag w:uri="urn:schemas-microsoft-com:office:smarttags" w:element="country-region">
          <w:r w:rsidR="00AF25D8">
            <w:rPr>
              <w:sz w:val="24"/>
              <w:szCs w:val="24"/>
            </w:rPr>
            <w:t>Turkey</w:t>
          </w:r>
        </w:smartTag>
      </w:smartTag>
      <w:r w:rsidR="00AF25D8">
        <w:rPr>
          <w:sz w:val="24"/>
          <w:szCs w:val="24"/>
        </w:rPr>
        <w:t xml:space="preserve"> </w:t>
      </w:r>
      <w:r w:rsidR="00B2098B">
        <w:rPr>
          <w:sz w:val="24"/>
          <w:szCs w:val="24"/>
        </w:rPr>
        <w:t xml:space="preserve">would like to </w:t>
      </w:r>
      <w:r w:rsidR="00AF25D8">
        <w:rPr>
          <w:sz w:val="24"/>
          <w:szCs w:val="24"/>
        </w:rPr>
        <w:t>point out that both of the aforementioned factors cannot be considered as unforeseen developments.</w:t>
      </w:r>
    </w:p>
    <w:p w:rsidR="008F33CE" w:rsidRDefault="008F33CE" w:rsidP="00A1668B">
      <w:pPr>
        <w:spacing w:line="360" w:lineRule="auto"/>
        <w:ind w:firstLine="708"/>
        <w:jc w:val="both"/>
        <w:rPr>
          <w:sz w:val="24"/>
          <w:szCs w:val="24"/>
        </w:rPr>
      </w:pPr>
    </w:p>
    <w:p w:rsidR="006200D2" w:rsidRDefault="00FA5A5E" w:rsidP="00C33932">
      <w:pPr>
        <w:spacing w:line="360" w:lineRule="auto"/>
        <w:ind w:firstLine="708"/>
        <w:jc w:val="both"/>
        <w:rPr>
          <w:sz w:val="24"/>
          <w:szCs w:val="24"/>
        </w:rPr>
      </w:pPr>
      <w:r>
        <w:rPr>
          <w:sz w:val="24"/>
          <w:szCs w:val="24"/>
        </w:rPr>
        <w:t>Firstly</w:t>
      </w:r>
      <w:r w:rsidR="008F33CE">
        <w:rPr>
          <w:sz w:val="24"/>
          <w:szCs w:val="24"/>
        </w:rPr>
        <w:t xml:space="preserve">, </w:t>
      </w:r>
      <w:smartTag w:uri="urn:schemas-microsoft-com:office:smarttags" w:element="place">
        <w:smartTag w:uri="urn:schemas-microsoft-com:office:smarttags" w:element="country-region">
          <w:r w:rsidR="008F33CE">
            <w:rPr>
              <w:sz w:val="24"/>
              <w:szCs w:val="24"/>
            </w:rPr>
            <w:t>Turkey</w:t>
          </w:r>
        </w:smartTag>
      </w:smartTag>
      <w:r w:rsidR="008F33CE">
        <w:rPr>
          <w:sz w:val="24"/>
          <w:szCs w:val="24"/>
        </w:rPr>
        <w:t xml:space="preserve"> is of the view that the argument of Australian dollar’s appreciation is misleading.</w:t>
      </w:r>
      <w:r w:rsidR="00D678FA">
        <w:rPr>
          <w:sz w:val="24"/>
          <w:szCs w:val="24"/>
        </w:rPr>
        <w:t xml:space="preserve"> The Complainant asserts the existence of a relationship between the appreciation of exchange rate and alleged increase in imports on the Chart 4.3.3 (a). </w:t>
      </w:r>
      <w:r w:rsidR="00B92C4F">
        <w:rPr>
          <w:sz w:val="24"/>
          <w:szCs w:val="24"/>
        </w:rPr>
        <w:t>At that point</w:t>
      </w:r>
      <w:r w:rsidR="00D678FA">
        <w:rPr>
          <w:sz w:val="24"/>
          <w:szCs w:val="24"/>
        </w:rPr>
        <w:t>, it is naturally expected that while alleged increase in imports must be ‘recent and sudden enough’</w:t>
      </w:r>
      <w:r w:rsidR="00D678FA">
        <w:rPr>
          <w:rStyle w:val="FootnoteReference"/>
          <w:sz w:val="24"/>
          <w:szCs w:val="24"/>
        </w:rPr>
        <w:footnoteReference w:id="10"/>
      </w:r>
      <w:r w:rsidR="00B92C4F">
        <w:rPr>
          <w:sz w:val="24"/>
          <w:szCs w:val="24"/>
        </w:rPr>
        <w:t>, the exchange rate appreciation should also follow the similar path. However,</w:t>
      </w:r>
      <w:r w:rsidR="00322F87">
        <w:rPr>
          <w:sz w:val="24"/>
          <w:szCs w:val="24"/>
        </w:rPr>
        <w:t xml:space="preserve"> </w:t>
      </w:r>
      <w:r w:rsidR="00B92C4F">
        <w:rPr>
          <w:sz w:val="24"/>
          <w:szCs w:val="24"/>
        </w:rPr>
        <w:t xml:space="preserve">the </w:t>
      </w:r>
      <w:r w:rsidR="00322F87">
        <w:rPr>
          <w:sz w:val="24"/>
          <w:szCs w:val="24"/>
        </w:rPr>
        <w:t>graph</w:t>
      </w:r>
      <w:r w:rsidR="00B92C4F">
        <w:rPr>
          <w:sz w:val="24"/>
          <w:szCs w:val="24"/>
        </w:rPr>
        <w:t xml:space="preserve"> presented below </w:t>
      </w:r>
      <w:r w:rsidR="009319C8">
        <w:rPr>
          <w:sz w:val="24"/>
          <w:szCs w:val="24"/>
        </w:rPr>
        <w:t xml:space="preserve">which </w:t>
      </w:r>
      <w:r w:rsidR="00B92C4F">
        <w:rPr>
          <w:sz w:val="24"/>
          <w:szCs w:val="24"/>
        </w:rPr>
        <w:t>demonstrates the exchange rate of Australian Dollar (</w:t>
      </w:r>
      <w:proofErr w:type="spellStart"/>
      <w:r w:rsidR="00B92C4F">
        <w:rPr>
          <w:sz w:val="24"/>
          <w:szCs w:val="24"/>
        </w:rPr>
        <w:t>AUD</w:t>
      </w:r>
      <w:proofErr w:type="spellEnd"/>
      <w:r w:rsidR="00B92C4F">
        <w:rPr>
          <w:sz w:val="24"/>
          <w:szCs w:val="24"/>
        </w:rPr>
        <w:t xml:space="preserve">) </w:t>
      </w:r>
      <w:r w:rsidR="009319C8">
        <w:rPr>
          <w:sz w:val="24"/>
          <w:szCs w:val="24"/>
        </w:rPr>
        <w:t xml:space="preserve">vs. </w:t>
      </w:r>
      <w:r w:rsidR="00B92C4F">
        <w:rPr>
          <w:sz w:val="24"/>
          <w:szCs w:val="24"/>
        </w:rPr>
        <w:t>American Dollar (USD)</w:t>
      </w:r>
      <w:r>
        <w:rPr>
          <w:sz w:val="24"/>
          <w:szCs w:val="24"/>
        </w:rPr>
        <w:t xml:space="preserve"> between</w:t>
      </w:r>
      <w:r w:rsidR="00B92C4F">
        <w:rPr>
          <w:sz w:val="24"/>
          <w:szCs w:val="24"/>
        </w:rPr>
        <w:t xml:space="preserve"> July 25, 2011 - July 25, 2013</w:t>
      </w:r>
      <w:r w:rsidR="00322F87">
        <w:rPr>
          <w:sz w:val="24"/>
          <w:szCs w:val="24"/>
        </w:rPr>
        <w:t xml:space="preserve"> contradict</w:t>
      </w:r>
      <w:r>
        <w:rPr>
          <w:sz w:val="24"/>
          <w:szCs w:val="24"/>
        </w:rPr>
        <w:t>s with</w:t>
      </w:r>
      <w:r w:rsidR="00322F87">
        <w:rPr>
          <w:sz w:val="24"/>
          <w:szCs w:val="24"/>
        </w:rPr>
        <w:t xml:space="preserve"> the Complainant’s argument </w:t>
      </w:r>
      <w:r>
        <w:rPr>
          <w:sz w:val="24"/>
          <w:szCs w:val="24"/>
        </w:rPr>
        <w:t xml:space="preserve">on </w:t>
      </w:r>
      <w:r w:rsidR="00322F87">
        <w:rPr>
          <w:sz w:val="24"/>
          <w:szCs w:val="24"/>
        </w:rPr>
        <w:t xml:space="preserve">the appreciation of </w:t>
      </w:r>
      <w:proofErr w:type="spellStart"/>
      <w:r w:rsidR="00322F87">
        <w:rPr>
          <w:sz w:val="24"/>
          <w:szCs w:val="24"/>
        </w:rPr>
        <w:t>AUD</w:t>
      </w:r>
      <w:proofErr w:type="spellEnd"/>
      <w:r w:rsidR="00322F87">
        <w:rPr>
          <w:sz w:val="24"/>
          <w:szCs w:val="24"/>
        </w:rPr>
        <w:t xml:space="preserve"> </w:t>
      </w:r>
      <w:r w:rsidR="006200D2">
        <w:rPr>
          <w:sz w:val="24"/>
          <w:szCs w:val="24"/>
        </w:rPr>
        <w:t xml:space="preserve">since it has experienced a remarkable </w:t>
      </w:r>
      <w:r w:rsidR="006200D2">
        <w:rPr>
          <w:sz w:val="24"/>
          <w:szCs w:val="24"/>
        </w:rPr>
        <w:lastRenderedPageBreak/>
        <w:t xml:space="preserve">depreciation </w:t>
      </w:r>
      <w:proofErr w:type="spellStart"/>
      <w:r w:rsidR="009319C8">
        <w:rPr>
          <w:sz w:val="24"/>
          <w:szCs w:val="24"/>
        </w:rPr>
        <w:t>vs</w:t>
      </w:r>
      <w:proofErr w:type="spellEnd"/>
      <w:r w:rsidR="009319C8">
        <w:rPr>
          <w:sz w:val="24"/>
          <w:szCs w:val="24"/>
        </w:rPr>
        <w:t xml:space="preserve"> </w:t>
      </w:r>
      <w:r w:rsidR="006200D2">
        <w:rPr>
          <w:sz w:val="24"/>
          <w:szCs w:val="24"/>
        </w:rPr>
        <w:t>USD, nearly 20%,</w:t>
      </w:r>
      <w:r w:rsidR="009319C8">
        <w:rPr>
          <w:sz w:val="24"/>
          <w:szCs w:val="24"/>
        </w:rPr>
        <w:t xml:space="preserve"> in the last </w:t>
      </w:r>
      <w:r w:rsidR="006200D2">
        <w:rPr>
          <w:sz w:val="24"/>
          <w:szCs w:val="24"/>
        </w:rPr>
        <w:t xml:space="preserve">two years. Therefore, </w:t>
      </w:r>
      <w:r>
        <w:rPr>
          <w:sz w:val="24"/>
          <w:szCs w:val="24"/>
        </w:rPr>
        <w:t>consideration of</w:t>
      </w:r>
      <w:r w:rsidR="006200D2">
        <w:rPr>
          <w:sz w:val="24"/>
          <w:szCs w:val="24"/>
        </w:rPr>
        <w:t xml:space="preserve"> appreciation of </w:t>
      </w:r>
      <w:proofErr w:type="spellStart"/>
      <w:r w:rsidR="006200D2">
        <w:rPr>
          <w:sz w:val="24"/>
          <w:szCs w:val="24"/>
        </w:rPr>
        <w:t>AUD</w:t>
      </w:r>
      <w:proofErr w:type="spellEnd"/>
      <w:r w:rsidR="006200D2">
        <w:rPr>
          <w:sz w:val="24"/>
          <w:szCs w:val="24"/>
        </w:rPr>
        <w:t xml:space="preserve"> as an unforeseen development is </w:t>
      </w:r>
      <w:r w:rsidR="00B2098B">
        <w:rPr>
          <w:sz w:val="24"/>
          <w:szCs w:val="24"/>
        </w:rPr>
        <w:t xml:space="preserve">quite </w:t>
      </w:r>
      <w:r>
        <w:rPr>
          <w:sz w:val="24"/>
          <w:szCs w:val="24"/>
        </w:rPr>
        <w:t>contrary to the realities</w:t>
      </w:r>
      <w:r w:rsidR="006200D2">
        <w:rPr>
          <w:sz w:val="24"/>
          <w:szCs w:val="24"/>
        </w:rPr>
        <w:t xml:space="preserve">. </w:t>
      </w:r>
      <w:r w:rsidR="00322F87">
        <w:rPr>
          <w:sz w:val="24"/>
          <w:szCs w:val="24"/>
        </w:rPr>
        <w:t xml:space="preserve">   </w:t>
      </w:r>
      <w:r w:rsidR="00BA5820">
        <w:rPr>
          <w:sz w:val="24"/>
          <w:szCs w:val="24"/>
        </w:rPr>
        <w:t xml:space="preserve"> </w:t>
      </w:r>
    </w:p>
    <w:p w:rsidR="006200D2" w:rsidRDefault="0020309A" w:rsidP="006200D2">
      <w:pPr>
        <w:spacing w:line="360" w:lineRule="auto"/>
        <w:jc w:val="both"/>
        <w:rPr>
          <w:sz w:val="24"/>
          <w:szCs w:val="24"/>
        </w:rPr>
      </w:pPr>
      <w:r>
        <w:rPr>
          <w:noProof/>
          <w:sz w:val="24"/>
          <w:szCs w:val="24"/>
          <w:lang w:val="en-AU" w:eastAsia="en-AU"/>
        </w:rPr>
        <w:drawing>
          <wp:inline distT="0" distB="0" distL="0" distR="0">
            <wp:extent cx="5753100" cy="3076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076575"/>
                    </a:xfrm>
                    <a:prstGeom prst="rect">
                      <a:avLst/>
                    </a:prstGeom>
                    <a:noFill/>
                    <a:ln>
                      <a:noFill/>
                    </a:ln>
                  </pic:spPr>
                </pic:pic>
              </a:graphicData>
            </a:graphic>
          </wp:inline>
        </w:drawing>
      </w:r>
    </w:p>
    <w:p w:rsidR="002701CF" w:rsidRDefault="00BA5820" w:rsidP="00B2098B">
      <w:pPr>
        <w:spacing w:line="360" w:lineRule="auto"/>
        <w:ind w:firstLine="708"/>
        <w:jc w:val="both"/>
      </w:pPr>
      <w:r>
        <w:t xml:space="preserve">Source: </w:t>
      </w:r>
      <w:proofErr w:type="spellStart"/>
      <w:r>
        <w:t>Oanda</w:t>
      </w:r>
      <w:proofErr w:type="spellEnd"/>
      <w:r>
        <w:t xml:space="preserve"> Corporation</w:t>
      </w:r>
    </w:p>
    <w:p w:rsidR="001A6C7B" w:rsidRPr="00CF7DF6" w:rsidRDefault="001A6C7B" w:rsidP="00B2098B">
      <w:pPr>
        <w:spacing w:line="360" w:lineRule="auto"/>
        <w:ind w:firstLine="708"/>
        <w:jc w:val="both"/>
      </w:pPr>
    </w:p>
    <w:p w:rsidR="000A01F8" w:rsidRPr="003221D3" w:rsidRDefault="00FA5A5E" w:rsidP="003221D3">
      <w:pPr>
        <w:spacing w:line="360" w:lineRule="auto"/>
        <w:ind w:firstLine="708"/>
        <w:jc w:val="both"/>
        <w:rPr>
          <w:color w:val="000000"/>
          <w:sz w:val="24"/>
          <w:szCs w:val="24"/>
        </w:rPr>
      </w:pPr>
      <w:r>
        <w:rPr>
          <w:sz w:val="24"/>
          <w:szCs w:val="24"/>
        </w:rPr>
        <w:t>T</w:t>
      </w:r>
      <w:r w:rsidR="006200D2">
        <w:rPr>
          <w:sz w:val="24"/>
          <w:szCs w:val="24"/>
        </w:rPr>
        <w:t xml:space="preserve">he mining boom also cannot be </w:t>
      </w:r>
      <w:r w:rsidR="0098412B">
        <w:rPr>
          <w:sz w:val="24"/>
          <w:szCs w:val="24"/>
        </w:rPr>
        <w:t>categorized under ‘Unforeseen Development</w:t>
      </w:r>
      <w:r>
        <w:rPr>
          <w:sz w:val="24"/>
          <w:szCs w:val="24"/>
        </w:rPr>
        <w:t>s</w:t>
      </w:r>
      <w:r w:rsidR="0098412B">
        <w:rPr>
          <w:sz w:val="24"/>
          <w:szCs w:val="24"/>
        </w:rPr>
        <w:t xml:space="preserve">’ due to two major reasons. First and foremost, the mining booms in </w:t>
      </w:r>
      <w:smartTag w:uri="urn:schemas-microsoft-com:office:smarttags" w:element="place">
        <w:smartTag w:uri="urn:schemas-microsoft-com:office:smarttags" w:element="country-region">
          <w:r w:rsidR="0098412B">
            <w:rPr>
              <w:sz w:val="24"/>
              <w:szCs w:val="24"/>
            </w:rPr>
            <w:t>Australia</w:t>
          </w:r>
        </w:smartTag>
      </w:smartTag>
      <w:r w:rsidR="0098412B">
        <w:rPr>
          <w:sz w:val="24"/>
          <w:szCs w:val="24"/>
        </w:rPr>
        <w:t xml:space="preserve"> could not be seen as “unforeseen” because</w:t>
      </w:r>
      <w:r>
        <w:rPr>
          <w:sz w:val="24"/>
          <w:szCs w:val="24"/>
        </w:rPr>
        <w:t xml:space="preserve"> the</w:t>
      </w:r>
      <w:r w:rsidR="0098412B">
        <w:rPr>
          <w:sz w:val="24"/>
          <w:szCs w:val="24"/>
        </w:rPr>
        <w:t xml:space="preserve"> country has</w:t>
      </w:r>
      <w:r w:rsidR="008700BD">
        <w:rPr>
          <w:sz w:val="24"/>
          <w:szCs w:val="24"/>
        </w:rPr>
        <w:t xml:space="preserve"> continuously</w:t>
      </w:r>
      <w:r w:rsidR="0098412B">
        <w:rPr>
          <w:sz w:val="24"/>
          <w:szCs w:val="24"/>
        </w:rPr>
        <w:t xml:space="preserve"> experienced </w:t>
      </w:r>
      <w:r w:rsidR="008700BD">
        <w:rPr>
          <w:sz w:val="24"/>
          <w:szCs w:val="24"/>
        </w:rPr>
        <w:t xml:space="preserve">high growth rates in </w:t>
      </w:r>
      <w:r>
        <w:rPr>
          <w:sz w:val="24"/>
          <w:szCs w:val="24"/>
        </w:rPr>
        <w:t>this sector</w:t>
      </w:r>
      <w:r w:rsidR="0098412B">
        <w:rPr>
          <w:sz w:val="24"/>
          <w:szCs w:val="24"/>
        </w:rPr>
        <w:t xml:space="preserve"> </w:t>
      </w:r>
      <w:r w:rsidR="008700BD">
        <w:rPr>
          <w:sz w:val="24"/>
          <w:szCs w:val="24"/>
        </w:rPr>
        <w:t>in</w:t>
      </w:r>
      <w:r w:rsidR="0098412B">
        <w:rPr>
          <w:sz w:val="24"/>
          <w:szCs w:val="24"/>
        </w:rPr>
        <w:t xml:space="preserve"> the last half century</w:t>
      </w:r>
      <w:r w:rsidR="00532F4C">
        <w:rPr>
          <w:rStyle w:val="FootnoteReference"/>
          <w:sz w:val="24"/>
          <w:szCs w:val="24"/>
        </w:rPr>
        <w:footnoteReference w:id="11"/>
      </w:r>
      <w:r w:rsidR="0098412B">
        <w:rPr>
          <w:sz w:val="24"/>
          <w:szCs w:val="24"/>
        </w:rPr>
        <w:t>.</w:t>
      </w:r>
      <w:r w:rsidR="006200D2">
        <w:rPr>
          <w:sz w:val="24"/>
          <w:szCs w:val="24"/>
        </w:rPr>
        <w:t xml:space="preserve"> </w:t>
      </w:r>
      <w:r w:rsidR="008E2DF7">
        <w:rPr>
          <w:sz w:val="24"/>
          <w:szCs w:val="24"/>
        </w:rPr>
        <w:t xml:space="preserve">At that point, reference to Appellate Body Report of </w:t>
      </w:r>
      <w:r w:rsidR="008E2DF7">
        <w:rPr>
          <w:i/>
          <w:sz w:val="24"/>
          <w:szCs w:val="24"/>
        </w:rPr>
        <w:t>Argentina-Footwear(EC)</w:t>
      </w:r>
      <w:r w:rsidR="00E90676">
        <w:rPr>
          <w:sz w:val="24"/>
          <w:szCs w:val="24"/>
        </w:rPr>
        <w:t xml:space="preserve"> can be made:</w:t>
      </w:r>
      <w:r w:rsidR="008E2DF7">
        <w:rPr>
          <w:sz w:val="24"/>
          <w:szCs w:val="24"/>
        </w:rPr>
        <w:t xml:space="preserve"> </w:t>
      </w:r>
      <w:r w:rsidR="008E2DF7">
        <w:rPr>
          <w:i/>
          <w:sz w:val="24"/>
          <w:szCs w:val="24"/>
        </w:rPr>
        <w:t>“</w:t>
      </w:r>
      <w:r w:rsidR="008E2DF7" w:rsidRPr="008E2DF7">
        <w:rPr>
          <w:i/>
          <w:sz w:val="24"/>
          <w:szCs w:val="24"/>
        </w:rPr>
        <w:t xml:space="preserve">We look first to the ordinary meaning of these words.  </w:t>
      </w:r>
      <w:r w:rsidR="008E2DF7" w:rsidRPr="008E2DF7">
        <w:rPr>
          <w:i/>
          <w:color w:val="000000"/>
          <w:sz w:val="24"/>
          <w:szCs w:val="24"/>
        </w:rPr>
        <w:t>As to the meaning of "unforeseen developments", we note that the dictionary definition of "unforeseen", particularly as it relates to the word "developments", is synonymous with "unexpected".  "Unforeseeable", on the other hand, is defined in the dictionaries as meaning "unpredictable" or "incapable of being foreseen, foretold or anticipated"</w:t>
      </w:r>
      <w:r w:rsidR="00532F4C">
        <w:rPr>
          <w:rStyle w:val="FootnoteReference"/>
          <w:i/>
          <w:color w:val="000000"/>
          <w:sz w:val="24"/>
          <w:szCs w:val="24"/>
        </w:rPr>
        <w:footnoteReference w:id="12"/>
      </w:r>
      <w:r w:rsidR="008E2DF7">
        <w:rPr>
          <w:color w:val="000000"/>
        </w:rPr>
        <w:t>.</w:t>
      </w:r>
      <w:r w:rsidR="00532F4C">
        <w:rPr>
          <w:color w:val="000000"/>
        </w:rPr>
        <w:t xml:space="preserve"> </w:t>
      </w:r>
      <w:r w:rsidR="00532F4C">
        <w:rPr>
          <w:color w:val="000000"/>
          <w:sz w:val="24"/>
          <w:szCs w:val="24"/>
        </w:rPr>
        <w:t xml:space="preserve">Hence, in this current situation, the concept of “unpredictability” as a matter of fact, cannot be </w:t>
      </w:r>
      <w:r w:rsidR="00DD458C">
        <w:rPr>
          <w:color w:val="000000"/>
          <w:sz w:val="24"/>
          <w:szCs w:val="24"/>
        </w:rPr>
        <w:t>associated</w:t>
      </w:r>
      <w:r w:rsidR="00532F4C">
        <w:rPr>
          <w:color w:val="000000"/>
          <w:sz w:val="24"/>
          <w:szCs w:val="24"/>
        </w:rPr>
        <w:t xml:space="preserve"> with </w:t>
      </w:r>
      <w:r w:rsidR="008700BD">
        <w:rPr>
          <w:color w:val="000000"/>
          <w:sz w:val="24"/>
          <w:szCs w:val="24"/>
        </w:rPr>
        <w:t>developments in</w:t>
      </w:r>
      <w:r w:rsidR="00532F4C">
        <w:rPr>
          <w:color w:val="000000"/>
          <w:sz w:val="24"/>
          <w:szCs w:val="24"/>
        </w:rPr>
        <w:t xml:space="preserve"> mining </w:t>
      </w:r>
      <w:r w:rsidR="008700BD">
        <w:rPr>
          <w:color w:val="000000"/>
          <w:sz w:val="24"/>
          <w:szCs w:val="24"/>
        </w:rPr>
        <w:t>sector</w:t>
      </w:r>
      <w:r w:rsidR="00532F4C">
        <w:rPr>
          <w:color w:val="000000"/>
          <w:sz w:val="24"/>
          <w:szCs w:val="24"/>
        </w:rPr>
        <w:t>. In addition to that, the</w:t>
      </w:r>
      <w:r w:rsidR="00193183">
        <w:rPr>
          <w:color w:val="000000"/>
          <w:sz w:val="24"/>
          <w:szCs w:val="24"/>
        </w:rPr>
        <w:t xml:space="preserve"> </w:t>
      </w:r>
      <w:r w:rsidR="00245AD9">
        <w:rPr>
          <w:color w:val="000000"/>
          <w:sz w:val="24"/>
          <w:szCs w:val="24"/>
        </w:rPr>
        <w:lastRenderedPageBreak/>
        <w:t>beginning of</w:t>
      </w:r>
      <w:r w:rsidR="00532F4C">
        <w:rPr>
          <w:color w:val="000000"/>
          <w:sz w:val="24"/>
          <w:szCs w:val="24"/>
        </w:rPr>
        <w:t xml:space="preserve"> current mining boom </w:t>
      </w:r>
      <w:r w:rsidR="008700BD">
        <w:rPr>
          <w:color w:val="000000"/>
          <w:sz w:val="24"/>
          <w:szCs w:val="24"/>
        </w:rPr>
        <w:t>used to be</w:t>
      </w:r>
      <w:r w:rsidR="00245AD9">
        <w:rPr>
          <w:color w:val="000000"/>
          <w:sz w:val="24"/>
          <w:szCs w:val="24"/>
        </w:rPr>
        <w:t xml:space="preserve"> traced back to the year of 2005</w:t>
      </w:r>
      <w:r w:rsidR="008929CB">
        <w:rPr>
          <w:rStyle w:val="FootnoteReference"/>
          <w:color w:val="000000"/>
          <w:sz w:val="24"/>
          <w:szCs w:val="24"/>
        </w:rPr>
        <w:footnoteReference w:id="13"/>
      </w:r>
      <w:r w:rsidR="00245AD9">
        <w:rPr>
          <w:color w:val="000000"/>
          <w:sz w:val="24"/>
          <w:szCs w:val="24"/>
        </w:rPr>
        <w:t>.</w:t>
      </w:r>
      <w:r w:rsidR="005540EA">
        <w:rPr>
          <w:color w:val="000000"/>
          <w:sz w:val="24"/>
          <w:szCs w:val="24"/>
        </w:rPr>
        <w:t xml:space="preserve"> At this juncture,</w:t>
      </w:r>
      <w:r w:rsidR="00245AD9">
        <w:rPr>
          <w:color w:val="000000"/>
          <w:sz w:val="24"/>
          <w:szCs w:val="24"/>
        </w:rPr>
        <w:t xml:space="preserve"> </w:t>
      </w:r>
      <w:smartTag w:uri="urn:schemas-microsoft-com:office:smarttags" w:element="place">
        <w:smartTag w:uri="urn:schemas-microsoft-com:office:smarttags" w:element="country-region">
          <w:r w:rsidR="00245AD9">
            <w:rPr>
              <w:color w:val="000000"/>
              <w:sz w:val="24"/>
              <w:szCs w:val="24"/>
            </w:rPr>
            <w:t>Turkey</w:t>
          </w:r>
        </w:smartTag>
      </w:smartTag>
      <w:r w:rsidR="00245AD9">
        <w:rPr>
          <w:color w:val="000000"/>
          <w:sz w:val="24"/>
          <w:szCs w:val="24"/>
        </w:rPr>
        <w:t xml:space="preserve"> is of the view that </w:t>
      </w:r>
      <w:r w:rsidR="008700BD">
        <w:rPr>
          <w:color w:val="000000"/>
          <w:sz w:val="24"/>
          <w:szCs w:val="24"/>
        </w:rPr>
        <w:t>an event with a long history</w:t>
      </w:r>
      <w:r w:rsidR="00E90676">
        <w:rPr>
          <w:color w:val="000000"/>
          <w:sz w:val="24"/>
          <w:szCs w:val="24"/>
        </w:rPr>
        <w:t xml:space="preserve"> cannot be considered as an unforeseen </w:t>
      </w:r>
      <w:r w:rsidR="00193183">
        <w:rPr>
          <w:color w:val="000000"/>
          <w:sz w:val="24"/>
          <w:szCs w:val="24"/>
        </w:rPr>
        <w:t>development.</w:t>
      </w:r>
      <w:r w:rsidR="00245AD9">
        <w:rPr>
          <w:color w:val="000000"/>
          <w:sz w:val="24"/>
          <w:szCs w:val="24"/>
        </w:rPr>
        <w:t xml:space="preserve">    </w:t>
      </w:r>
    </w:p>
    <w:p w:rsidR="00A42E53" w:rsidRDefault="00A42E53" w:rsidP="008929CB">
      <w:pPr>
        <w:spacing w:line="360" w:lineRule="auto"/>
        <w:jc w:val="both"/>
        <w:rPr>
          <w:b/>
          <w:sz w:val="24"/>
          <w:szCs w:val="24"/>
        </w:rPr>
      </w:pPr>
    </w:p>
    <w:p w:rsidR="00FB4B42" w:rsidRDefault="002701CF" w:rsidP="008929CB">
      <w:pPr>
        <w:spacing w:line="360" w:lineRule="auto"/>
        <w:ind w:firstLine="708"/>
        <w:jc w:val="both"/>
        <w:rPr>
          <w:b/>
          <w:sz w:val="24"/>
          <w:szCs w:val="24"/>
        </w:rPr>
      </w:pPr>
      <w:r>
        <w:rPr>
          <w:b/>
          <w:sz w:val="24"/>
          <w:szCs w:val="24"/>
        </w:rPr>
        <w:t>7</w:t>
      </w:r>
      <w:r w:rsidR="00FB4B42">
        <w:rPr>
          <w:b/>
          <w:sz w:val="24"/>
          <w:szCs w:val="24"/>
        </w:rPr>
        <w:t>. Remarks on</w:t>
      </w:r>
      <w:r w:rsidR="001C755F">
        <w:rPr>
          <w:b/>
          <w:sz w:val="24"/>
          <w:szCs w:val="24"/>
        </w:rPr>
        <w:t xml:space="preserve"> Alleged</w:t>
      </w:r>
      <w:r w:rsidR="00FB4B42">
        <w:rPr>
          <w:b/>
          <w:sz w:val="24"/>
          <w:szCs w:val="24"/>
        </w:rPr>
        <w:t xml:space="preserve"> Increase in Imports</w:t>
      </w:r>
    </w:p>
    <w:p w:rsidR="00397ED0" w:rsidRDefault="00397ED0" w:rsidP="008929CB">
      <w:pPr>
        <w:spacing w:line="360" w:lineRule="auto"/>
        <w:ind w:firstLine="708"/>
        <w:jc w:val="both"/>
        <w:rPr>
          <w:b/>
          <w:sz w:val="24"/>
          <w:szCs w:val="24"/>
        </w:rPr>
      </w:pPr>
    </w:p>
    <w:p w:rsidR="00397ED0" w:rsidRPr="00397ED0" w:rsidRDefault="00397ED0" w:rsidP="00397ED0">
      <w:pPr>
        <w:spacing w:line="360" w:lineRule="auto"/>
        <w:ind w:firstLine="708"/>
        <w:jc w:val="both"/>
        <w:rPr>
          <w:sz w:val="24"/>
          <w:szCs w:val="24"/>
        </w:rPr>
      </w:pPr>
      <w:r>
        <w:rPr>
          <w:sz w:val="24"/>
          <w:szCs w:val="24"/>
        </w:rPr>
        <w:t xml:space="preserve">As per the Article 2.1 of the </w:t>
      </w:r>
      <w:proofErr w:type="spellStart"/>
      <w:r>
        <w:rPr>
          <w:sz w:val="24"/>
          <w:szCs w:val="24"/>
        </w:rPr>
        <w:t>AoS</w:t>
      </w:r>
      <w:proofErr w:type="spellEnd"/>
      <w:r>
        <w:rPr>
          <w:sz w:val="24"/>
          <w:szCs w:val="24"/>
        </w:rPr>
        <w:t xml:space="preserve">, </w:t>
      </w:r>
      <w:r>
        <w:rPr>
          <w:i/>
          <w:sz w:val="24"/>
          <w:szCs w:val="24"/>
        </w:rPr>
        <w:t xml:space="preserve">“A Member </w:t>
      </w:r>
      <w:r w:rsidRPr="00397ED0">
        <w:rPr>
          <w:i/>
          <w:sz w:val="24"/>
          <w:szCs w:val="24"/>
        </w:rPr>
        <w:t>may apply a safeguard measure to a product only if that Member has determined, pursuant to the provisions set out below, that such product is being imported into its territory in such increased quantities, absolute or relative to domestic production</w:t>
      </w:r>
      <w:r>
        <w:rPr>
          <w:i/>
          <w:sz w:val="24"/>
          <w:szCs w:val="24"/>
        </w:rPr>
        <w:t>”</w:t>
      </w:r>
      <w:r>
        <w:rPr>
          <w:sz w:val="24"/>
          <w:szCs w:val="24"/>
        </w:rPr>
        <w:t>.</w:t>
      </w:r>
    </w:p>
    <w:p w:rsidR="008929CB" w:rsidRDefault="008929CB" w:rsidP="008929CB">
      <w:pPr>
        <w:spacing w:line="360" w:lineRule="auto"/>
        <w:jc w:val="both"/>
        <w:rPr>
          <w:b/>
          <w:sz w:val="24"/>
          <w:szCs w:val="24"/>
        </w:rPr>
      </w:pPr>
    </w:p>
    <w:p w:rsidR="00E20371" w:rsidRDefault="008929CB" w:rsidP="008929CB">
      <w:pPr>
        <w:spacing w:line="360" w:lineRule="auto"/>
        <w:jc w:val="both"/>
        <w:rPr>
          <w:sz w:val="24"/>
          <w:szCs w:val="24"/>
        </w:rPr>
      </w:pPr>
      <w:r>
        <w:rPr>
          <w:b/>
          <w:sz w:val="24"/>
          <w:szCs w:val="24"/>
        </w:rPr>
        <w:tab/>
      </w:r>
      <w:r>
        <w:rPr>
          <w:sz w:val="24"/>
          <w:szCs w:val="24"/>
        </w:rPr>
        <w:t xml:space="preserve"> </w:t>
      </w:r>
      <w:r w:rsidR="00436481">
        <w:rPr>
          <w:sz w:val="24"/>
          <w:szCs w:val="24"/>
        </w:rPr>
        <w:t>The Complainant claim</w:t>
      </w:r>
      <w:r w:rsidR="00B2098B">
        <w:rPr>
          <w:sz w:val="24"/>
          <w:szCs w:val="24"/>
        </w:rPr>
        <w:t>s</w:t>
      </w:r>
      <w:r w:rsidR="00436481">
        <w:rPr>
          <w:sz w:val="24"/>
          <w:szCs w:val="24"/>
        </w:rPr>
        <w:t xml:space="preserve"> that imports of total multi serve fruit increased in relative terms in 2011 to 2012</w:t>
      </w:r>
      <w:r w:rsidR="00436481">
        <w:rPr>
          <w:rStyle w:val="FootnoteReference"/>
          <w:sz w:val="24"/>
          <w:szCs w:val="24"/>
        </w:rPr>
        <w:footnoteReference w:id="14"/>
      </w:r>
      <w:r w:rsidR="00436481">
        <w:rPr>
          <w:sz w:val="24"/>
          <w:szCs w:val="24"/>
        </w:rPr>
        <w:t>. However, this argument can easily be refuted with the</w:t>
      </w:r>
      <w:r w:rsidR="003221D3">
        <w:rPr>
          <w:sz w:val="24"/>
          <w:szCs w:val="24"/>
        </w:rPr>
        <w:t xml:space="preserve"> very</w:t>
      </w:r>
      <w:r w:rsidR="00436481">
        <w:rPr>
          <w:sz w:val="24"/>
          <w:szCs w:val="24"/>
        </w:rPr>
        <w:t xml:space="preserve"> charts </w:t>
      </w:r>
      <w:r w:rsidR="00690EB3">
        <w:rPr>
          <w:sz w:val="24"/>
          <w:szCs w:val="24"/>
        </w:rPr>
        <w:t xml:space="preserve">present </w:t>
      </w:r>
      <w:r w:rsidR="00436481">
        <w:rPr>
          <w:sz w:val="24"/>
          <w:szCs w:val="24"/>
        </w:rPr>
        <w:t>in the Submission. The examination of Chart 4.3.1(a)</w:t>
      </w:r>
      <w:r w:rsidR="001E162E">
        <w:rPr>
          <w:sz w:val="24"/>
          <w:szCs w:val="24"/>
        </w:rPr>
        <w:t xml:space="preserve"> which</w:t>
      </w:r>
      <w:r w:rsidR="00436481">
        <w:rPr>
          <w:sz w:val="24"/>
          <w:szCs w:val="24"/>
        </w:rPr>
        <w:t xml:space="preserve"> demonstrat</w:t>
      </w:r>
      <w:r w:rsidR="001E162E">
        <w:rPr>
          <w:sz w:val="24"/>
          <w:szCs w:val="24"/>
        </w:rPr>
        <w:t>es</w:t>
      </w:r>
      <w:r w:rsidR="00436481">
        <w:rPr>
          <w:sz w:val="24"/>
          <w:szCs w:val="24"/>
        </w:rPr>
        <w:t xml:space="preserve"> total multi serve fruit import penetration</w:t>
      </w:r>
      <w:r w:rsidR="001E162E">
        <w:rPr>
          <w:sz w:val="24"/>
          <w:szCs w:val="24"/>
        </w:rPr>
        <w:t xml:space="preserve"> levels</w:t>
      </w:r>
      <w:r w:rsidR="00436481">
        <w:rPr>
          <w:sz w:val="24"/>
          <w:szCs w:val="24"/>
        </w:rPr>
        <w:t xml:space="preserve"> reveals the fact that </w:t>
      </w:r>
      <w:r w:rsidR="00E20371">
        <w:rPr>
          <w:sz w:val="24"/>
          <w:szCs w:val="24"/>
        </w:rPr>
        <w:t xml:space="preserve">total share of imports in the total consumption has </w:t>
      </w:r>
      <w:r w:rsidR="00690EB3">
        <w:rPr>
          <w:sz w:val="24"/>
          <w:szCs w:val="24"/>
        </w:rPr>
        <w:t>entered into a</w:t>
      </w:r>
      <w:r w:rsidR="00E20371">
        <w:rPr>
          <w:sz w:val="24"/>
          <w:szCs w:val="24"/>
        </w:rPr>
        <w:t xml:space="preserve"> declin</w:t>
      </w:r>
      <w:r w:rsidR="009C34F5">
        <w:rPr>
          <w:sz w:val="24"/>
          <w:szCs w:val="24"/>
        </w:rPr>
        <w:t>ing</w:t>
      </w:r>
      <w:r w:rsidR="00E20371">
        <w:rPr>
          <w:sz w:val="24"/>
          <w:szCs w:val="24"/>
        </w:rPr>
        <w:t xml:space="preserve"> trend starting from 2011 and continuing in 2012. Thus, import</w:t>
      </w:r>
      <w:r w:rsidR="009C34F5">
        <w:rPr>
          <w:sz w:val="24"/>
          <w:szCs w:val="24"/>
        </w:rPr>
        <w:t>s</w:t>
      </w:r>
      <w:r w:rsidR="00E20371">
        <w:rPr>
          <w:sz w:val="24"/>
          <w:szCs w:val="24"/>
        </w:rPr>
        <w:t xml:space="preserve"> of total serve fruit </w:t>
      </w:r>
      <w:r w:rsidR="00690EB3">
        <w:rPr>
          <w:sz w:val="24"/>
          <w:szCs w:val="24"/>
        </w:rPr>
        <w:t xml:space="preserve">demonstrated </w:t>
      </w:r>
      <w:r w:rsidR="00E20371">
        <w:rPr>
          <w:sz w:val="24"/>
          <w:szCs w:val="24"/>
        </w:rPr>
        <w:t xml:space="preserve">a decrease </w:t>
      </w:r>
      <w:r w:rsidR="00690EB3">
        <w:rPr>
          <w:sz w:val="24"/>
          <w:szCs w:val="24"/>
        </w:rPr>
        <w:t>in</w:t>
      </w:r>
      <w:r w:rsidR="00E20371">
        <w:rPr>
          <w:sz w:val="24"/>
          <w:szCs w:val="24"/>
        </w:rPr>
        <w:t xml:space="preserve"> 2011-2012 rather than an increase</w:t>
      </w:r>
      <w:r w:rsidR="009C34F5">
        <w:rPr>
          <w:sz w:val="24"/>
          <w:szCs w:val="24"/>
        </w:rPr>
        <w:t>,</w:t>
      </w:r>
      <w:r w:rsidR="00E20371">
        <w:rPr>
          <w:sz w:val="24"/>
          <w:szCs w:val="24"/>
        </w:rPr>
        <w:t xml:space="preserve"> in relative terms.</w:t>
      </w:r>
    </w:p>
    <w:p w:rsidR="009C34F5" w:rsidRDefault="009C34F5" w:rsidP="008929CB">
      <w:pPr>
        <w:spacing w:line="360" w:lineRule="auto"/>
        <w:jc w:val="both"/>
        <w:rPr>
          <w:sz w:val="24"/>
          <w:szCs w:val="24"/>
        </w:rPr>
      </w:pPr>
    </w:p>
    <w:p w:rsidR="009C34F5" w:rsidRDefault="009C34F5" w:rsidP="008929CB">
      <w:pPr>
        <w:spacing w:line="360" w:lineRule="auto"/>
        <w:jc w:val="both"/>
        <w:rPr>
          <w:sz w:val="24"/>
          <w:szCs w:val="24"/>
        </w:rPr>
      </w:pPr>
      <w:r>
        <w:rPr>
          <w:sz w:val="24"/>
          <w:szCs w:val="24"/>
        </w:rPr>
        <w:tab/>
      </w:r>
      <w:r w:rsidR="00417011">
        <w:rPr>
          <w:sz w:val="24"/>
          <w:szCs w:val="24"/>
        </w:rPr>
        <w:t xml:space="preserve"> </w:t>
      </w:r>
      <w:r w:rsidR="009C5D8D">
        <w:rPr>
          <w:sz w:val="24"/>
          <w:szCs w:val="24"/>
        </w:rPr>
        <w:t>Moreover, the Complainant’s arguments on the recent rise of imports in 2013</w:t>
      </w:r>
      <w:r w:rsidR="009C5D8D">
        <w:rPr>
          <w:rStyle w:val="FootnoteReference"/>
          <w:sz w:val="24"/>
          <w:szCs w:val="24"/>
        </w:rPr>
        <w:footnoteReference w:id="15"/>
      </w:r>
      <w:r w:rsidR="009C5D8D">
        <w:rPr>
          <w:sz w:val="24"/>
          <w:szCs w:val="24"/>
        </w:rPr>
        <w:t xml:space="preserve"> could not be verified since there is no data presented in the Submission. </w:t>
      </w:r>
    </w:p>
    <w:p w:rsidR="001A6C7B" w:rsidRDefault="001A6C7B" w:rsidP="008929CB">
      <w:pPr>
        <w:spacing w:line="360" w:lineRule="auto"/>
        <w:jc w:val="both"/>
        <w:rPr>
          <w:sz w:val="24"/>
          <w:szCs w:val="24"/>
        </w:rPr>
      </w:pPr>
    </w:p>
    <w:p w:rsidR="00CC7E7D" w:rsidRDefault="00E20371" w:rsidP="008929CB">
      <w:pPr>
        <w:spacing w:line="360" w:lineRule="auto"/>
        <w:jc w:val="both"/>
        <w:rPr>
          <w:sz w:val="24"/>
          <w:szCs w:val="24"/>
        </w:rPr>
      </w:pPr>
      <w:r>
        <w:rPr>
          <w:sz w:val="24"/>
          <w:szCs w:val="24"/>
        </w:rPr>
        <w:tab/>
        <w:t xml:space="preserve">Besides, the </w:t>
      </w:r>
      <w:r w:rsidR="009C5D8D">
        <w:rPr>
          <w:sz w:val="24"/>
          <w:szCs w:val="24"/>
        </w:rPr>
        <w:t>use</w:t>
      </w:r>
      <w:r>
        <w:rPr>
          <w:sz w:val="24"/>
          <w:szCs w:val="24"/>
        </w:rPr>
        <w:t xml:space="preserve"> of</w:t>
      </w:r>
      <w:r w:rsidR="009C5D8D">
        <w:rPr>
          <w:sz w:val="24"/>
          <w:szCs w:val="24"/>
        </w:rPr>
        <w:t xml:space="preserve"> the </w:t>
      </w:r>
      <w:r>
        <w:rPr>
          <w:sz w:val="24"/>
          <w:szCs w:val="24"/>
        </w:rPr>
        <w:t>Chart 4.3.1(b)</w:t>
      </w:r>
      <w:r w:rsidR="009C5D8D">
        <w:rPr>
          <w:sz w:val="24"/>
          <w:szCs w:val="24"/>
        </w:rPr>
        <w:t xml:space="preserve"> which</w:t>
      </w:r>
      <w:r>
        <w:rPr>
          <w:sz w:val="24"/>
          <w:szCs w:val="24"/>
        </w:rPr>
        <w:t xml:space="preserve"> present</w:t>
      </w:r>
      <w:r w:rsidR="009C5D8D">
        <w:rPr>
          <w:sz w:val="24"/>
          <w:szCs w:val="24"/>
        </w:rPr>
        <w:t>s</w:t>
      </w:r>
      <w:r>
        <w:rPr>
          <w:sz w:val="24"/>
          <w:szCs w:val="24"/>
        </w:rPr>
        <w:t xml:space="preserve"> canned multi serve fruit import penetration</w:t>
      </w:r>
      <w:r w:rsidR="009C5D8D">
        <w:rPr>
          <w:sz w:val="24"/>
          <w:szCs w:val="24"/>
        </w:rPr>
        <w:t xml:space="preserve"> levels</w:t>
      </w:r>
      <w:r w:rsidR="008929CB">
        <w:rPr>
          <w:sz w:val="24"/>
          <w:szCs w:val="24"/>
        </w:rPr>
        <w:t xml:space="preserve"> </w:t>
      </w:r>
      <w:r>
        <w:rPr>
          <w:sz w:val="24"/>
          <w:szCs w:val="24"/>
        </w:rPr>
        <w:t xml:space="preserve">forbids the Commission to make a fair </w:t>
      </w:r>
      <w:r w:rsidR="00364EDE">
        <w:rPr>
          <w:sz w:val="24"/>
          <w:szCs w:val="24"/>
        </w:rPr>
        <w:t xml:space="preserve">evaluation regarding the alleged increase in imports. In this chart, an increase in relative terms on the period 2011-2012 </w:t>
      </w:r>
      <w:r w:rsidR="009C5D8D">
        <w:rPr>
          <w:sz w:val="24"/>
          <w:szCs w:val="24"/>
        </w:rPr>
        <w:t>was</w:t>
      </w:r>
      <w:r w:rsidR="00364EDE">
        <w:rPr>
          <w:sz w:val="24"/>
          <w:szCs w:val="24"/>
        </w:rPr>
        <w:t xml:space="preserve"> sought to be demonstrated by the Complainant in a speculative manner. The speculation arise</w:t>
      </w:r>
      <w:r w:rsidR="00690EB3">
        <w:rPr>
          <w:sz w:val="24"/>
          <w:szCs w:val="24"/>
        </w:rPr>
        <w:t>s</w:t>
      </w:r>
      <w:r w:rsidR="00364EDE">
        <w:rPr>
          <w:sz w:val="24"/>
          <w:szCs w:val="24"/>
        </w:rPr>
        <w:t xml:space="preserve"> from </w:t>
      </w:r>
      <w:r w:rsidR="009C5D8D">
        <w:rPr>
          <w:sz w:val="24"/>
          <w:szCs w:val="24"/>
        </w:rPr>
        <w:t>the preference of considering</w:t>
      </w:r>
      <w:r w:rsidR="00690EB3" w:rsidRPr="00364EDE">
        <w:rPr>
          <w:sz w:val="24"/>
          <w:szCs w:val="24"/>
        </w:rPr>
        <w:t xml:space="preserve"> </w:t>
      </w:r>
      <w:r w:rsidR="00364EDE">
        <w:rPr>
          <w:sz w:val="24"/>
          <w:szCs w:val="24"/>
        </w:rPr>
        <w:t>solely</w:t>
      </w:r>
      <w:r w:rsidR="00690EB3">
        <w:rPr>
          <w:sz w:val="24"/>
          <w:szCs w:val="24"/>
        </w:rPr>
        <w:t xml:space="preserve"> the</w:t>
      </w:r>
      <w:r w:rsidR="00364EDE">
        <w:rPr>
          <w:sz w:val="24"/>
          <w:szCs w:val="24"/>
        </w:rPr>
        <w:t xml:space="preserve"> import</w:t>
      </w:r>
      <w:r w:rsidR="00690EB3">
        <w:rPr>
          <w:sz w:val="24"/>
          <w:szCs w:val="24"/>
        </w:rPr>
        <w:t>s</w:t>
      </w:r>
      <w:r w:rsidR="00364EDE">
        <w:rPr>
          <w:sz w:val="24"/>
          <w:szCs w:val="24"/>
        </w:rPr>
        <w:t xml:space="preserve"> of ‘canned’ multi serve fruit. </w:t>
      </w:r>
      <w:r w:rsidR="009C5D8D">
        <w:rPr>
          <w:sz w:val="24"/>
          <w:szCs w:val="24"/>
        </w:rPr>
        <w:t>In fact, i</w:t>
      </w:r>
      <w:r w:rsidR="00364EDE">
        <w:rPr>
          <w:sz w:val="24"/>
          <w:szCs w:val="24"/>
        </w:rPr>
        <w:t xml:space="preserve">gnoring </w:t>
      </w:r>
      <w:r w:rsidR="00BE0D8E">
        <w:rPr>
          <w:sz w:val="24"/>
          <w:szCs w:val="24"/>
        </w:rPr>
        <w:t>the import</w:t>
      </w:r>
      <w:r w:rsidR="00690EB3">
        <w:rPr>
          <w:sz w:val="24"/>
          <w:szCs w:val="24"/>
        </w:rPr>
        <w:t>s</w:t>
      </w:r>
      <w:r w:rsidR="00BE0D8E">
        <w:rPr>
          <w:sz w:val="24"/>
          <w:szCs w:val="24"/>
        </w:rPr>
        <w:t xml:space="preserve"> and domestic production of multi serve fruit in other packaging formats</w:t>
      </w:r>
      <w:r w:rsidR="00DD458C">
        <w:rPr>
          <w:sz w:val="24"/>
          <w:szCs w:val="24"/>
        </w:rPr>
        <w:t xml:space="preserve"> </w:t>
      </w:r>
      <w:r w:rsidR="00DD458C">
        <w:rPr>
          <w:sz w:val="24"/>
          <w:szCs w:val="24"/>
        </w:rPr>
        <w:lastRenderedPageBreak/>
        <w:t>such as plastic, glass, tetra packs etc.</w:t>
      </w:r>
      <w:r w:rsidR="00BE0D8E">
        <w:rPr>
          <w:sz w:val="24"/>
          <w:szCs w:val="24"/>
        </w:rPr>
        <w:t xml:space="preserve"> and only focusing on imports of canned type </w:t>
      </w:r>
      <w:r w:rsidR="009C5D8D">
        <w:rPr>
          <w:sz w:val="24"/>
          <w:szCs w:val="24"/>
        </w:rPr>
        <w:t>hinders</w:t>
      </w:r>
      <w:r w:rsidR="00BE0D8E">
        <w:rPr>
          <w:sz w:val="24"/>
          <w:szCs w:val="24"/>
        </w:rPr>
        <w:t xml:space="preserve"> declining imports in relative terms. </w:t>
      </w:r>
      <w:r w:rsidR="009C5D8D">
        <w:rPr>
          <w:sz w:val="24"/>
          <w:szCs w:val="24"/>
        </w:rPr>
        <w:t>Therefore</w:t>
      </w:r>
      <w:r w:rsidR="00BE0D8E">
        <w:rPr>
          <w:sz w:val="24"/>
          <w:szCs w:val="24"/>
        </w:rPr>
        <w:t>,</w:t>
      </w:r>
      <w:r w:rsidR="00CC7E7D">
        <w:rPr>
          <w:sz w:val="24"/>
          <w:szCs w:val="24"/>
        </w:rPr>
        <w:t xml:space="preserve"> </w:t>
      </w:r>
      <w:smartTag w:uri="urn:schemas-microsoft-com:office:smarttags" w:element="place">
        <w:smartTag w:uri="urn:schemas-microsoft-com:office:smarttags" w:element="country-region">
          <w:r w:rsidR="00CC7E7D">
            <w:rPr>
              <w:sz w:val="24"/>
              <w:szCs w:val="24"/>
            </w:rPr>
            <w:t>Turkey</w:t>
          </w:r>
        </w:smartTag>
      </w:smartTag>
      <w:r w:rsidR="00CC7E7D">
        <w:rPr>
          <w:sz w:val="24"/>
          <w:szCs w:val="24"/>
        </w:rPr>
        <w:t xml:space="preserve"> would like to reiterate that</w:t>
      </w:r>
      <w:r w:rsidR="00BE0D8E">
        <w:rPr>
          <w:sz w:val="24"/>
          <w:szCs w:val="24"/>
        </w:rPr>
        <w:t xml:space="preserve"> whole kinds of multi serve fruit should be included into an analysis </w:t>
      </w:r>
      <w:r w:rsidR="00CC7E7D">
        <w:rPr>
          <w:sz w:val="24"/>
          <w:szCs w:val="24"/>
        </w:rPr>
        <w:t>of</w:t>
      </w:r>
      <w:r w:rsidR="00DD458C">
        <w:rPr>
          <w:sz w:val="24"/>
          <w:szCs w:val="24"/>
        </w:rPr>
        <w:t xml:space="preserve"> alleged</w:t>
      </w:r>
      <w:r w:rsidR="00CC7E7D">
        <w:rPr>
          <w:sz w:val="24"/>
          <w:szCs w:val="24"/>
        </w:rPr>
        <w:t xml:space="preserve"> increase in imports </w:t>
      </w:r>
      <w:r w:rsidR="008F0717">
        <w:rPr>
          <w:sz w:val="24"/>
          <w:szCs w:val="24"/>
        </w:rPr>
        <w:t xml:space="preserve">in </w:t>
      </w:r>
      <w:r w:rsidR="00CC7E7D">
        <w:rPr>
          <w:sz w:val="24"/>
          <w:szCs w:val="24"/>
        </w:rPr>
        <w:t>relative terms.</w:t>
      </w:r>
    </w:p>
    <w:p w:rsidR="008929CB" w:rsidRDefault="00690EB3" w:rsidP="009C5D8D">
      <w:pPr>
        <w:spacing w:line="360" w:lineRule="auto"/>
        <w:jc w:val="both"/>
        <w:rPr>
          <w:b/>
          <w:sz w:val="24"/>
          <w:szCs w:val="24"/>
        </w:rPr>
      </w:pPr>
      <w:r>
        <w:rPr>
          <w:sz w:val="24"/>
          <w:szCs w:val="24"/>
        </w:rPr>
        <w:tab/>
      </w:r>
    </w:p>
    <w:p w:rsidR="00427E91" w:rsidRDefault="002701CF" w:rsidP="00C67B95">
      <w:pPr>
        <w:spacing w:line="360" w:lineRule="auto"/>
        <w:ind w:firstLine="708"/>
        <w:jc w:val="both"/>
        <w:rPr>
          <w:b/>
          <w:sz w:val="24"/>
          <w:szCs w:val="24"/>
        </w:rPr>
      </w:pPr>
      <w:r>
        <w:rPr>
          <w:b/>
          <w:sz w:val="24"/>
          <w:szCs w:val="24"/>
        </w:rPr>
        <w:t>8</w:t>
      </w:r>
      <w:r w:rsidR="00427E91">
        <w:rPr>
          <w:b/>
          <w:sz w:val="24"/>
          <w:szCs w:val="24"/>
        </w:rPr>
        <w:t xml:space="preserve">. </w:t>
      </w:r>
      <w:r w:rsidR="008B690E">
        <w:rPr>
          <w:b/>
          <w:sz w:val="24"/>
          <w:szCs w:val="24"/>
        </w:rPr>
        <w:t>Remarks on Serious Injury or Threat Thereof</w:t>
      </w:r>
    </w:p>
    <w:p w:rsidR="00B2098B" w:rsidRDefault="00B2098B" w:rsidP="00C67B95">
      <w:pPr>
        <w:spacing w:line="360" w:lineRule="auto"/>
        <w:ind w:firstLine="708"/>
        <w:jc w:val="both"/>
        <w:rPr>
          <w:b/>
          <w:sz w:val="24"/>
          <w:szCs w:val="24"/>
        </w:rPr>
      </w:pPr>
    </w:p>
    <w:p w:rsidR="00B2098B" w:rsidRDefault="00B2098B" w:rsidP="00C67B95">
      <w:pPr>
        <w:spacing w:line="360" w:lineRule="auto"/>
        <w:ind w:firstLine="708"/>
        <w:jc w:val="both"/>
        <w:rPr>
          <w:b/>
          <w:sz w:val="24"/>
          <w:szCs w:val="24"/>
        </w:rPr>
      </w:pPr>
      <w:r>
        <w:rPr>
          <w:b/>
          <w:sz w:val="24"/>
          <w:szCs w:val="24"/>
        </w:rPr>
        <w:t>8.1</w:t>
      </w:r>
      <w:r w:rsidR="00F463ED">
        <w:rPr>
          <w:b/>
          <w:sz w:val="24"/>
          <w:szCs w:val="24"/>
        </w:rPr>
        <w:t>.</w:t>
      </w:r>
      <w:r>
        <w:rPr>
          <w:b/>
          <w:sz w:val="24"/>
          <w:szCs w:val="24"/>
        </w:rPr>
        <w:t xml:space="preserve"> Influence of Various Cost Factors</w:t>
      </w:r>
    </w:p>
    <w:p w:rsidR="00C67B95" w:rsidRDefault="00C67B95" w:rsidP="00C67B95">
      <w:pPr>
        <w:spacing w:line="360" w:lineRule="auto"/>
        <w:ind w:firstLine="708"/>
        <w:jc w:val="both"/>
        <w:rPr>
          <w:b/>
          <w:sz w:val="24"/>
          <w:szCs w:val="24"/>
        </w:rPr>
      </w:pPr>
    </w:p>
    <w:p w:rsidR="00AA0D01" w:rsidRDefault="00C33932" w:rsidP="00C67B95">
      <w:pPr>
        <w:spacing w:line="360" w:lineRule="auto"/>
        <w:ind w:firstLine="708"/>
        <w:jc w:val="both"/>
        <w:rPr>
          <w:sz w:val="24"/>
          <w:szCs w:val="24"/>
        </w:rPr>
      </w:pPr>
      <w:r>
        <w:rPr>
          <w:sz w:val="24"/>
          <w:szCs w:val="24"/>
        </w:rPr>
        <w:t xml:space="preserve">The Complainant states that </w:t>
      </w:r>
      <w:r w:rsidRPr="00E65248">
        <w:rPr>
          <w:i/>
          <w:sz w:val="24"/>
          <w:szCs w:val="24"/>
        </w:rPr>
        <w:t xml:space="preserve">“The rise in imports has caused damage. The decline in sales volume caused by the imported canned Multi serve fruit has resulted in </w:t>
      </w:r>
      <w:proofErr w:type="spellStart"/>
      <w:r w:rsidRPr="00E65248">
        <w:rPr>
          <w:i/>
          <w:sz w:val="24"/>
          <w:szCs w:val="24"/>
        </w:rPr>
        <w:t>SPCA</w:t>
      </w:r>
      <w:proofErr w:type="spellEnd"/>
      <w:r w:rsidRPr="00E65248">
        <w:rPr>
          <w:i/>
          <w:sz w:val="24"/>
          <w:szCs w:val="24"/>
        </w:rPr>
        <w:t xml:space="preserve"> experiencing higher costs to make and sell during the period from 2010 to 2013 with average cost to make and sell increasing by 19%”</w:t>
      </w:r>
      <w:r w:rsidRPr="00E65248">
        <w:rPr>
          <w:rStyle w:val="FootnoteReference"/>
          <w:i/>
          <w:sz w:val="24"/>
          <w:szCs w:val="24"/>
        </w:rPr>
        <w:footnoteReference w:id="16"/>
      </w:r>
      <w:r>
        <w:rPr>
          <w:sz w:val="24"/>
          <w:szCs w:val="24"/>
        </w:rPr>
        <w:t>. However, the casual link sought to be established between alleged i</w:t>
      </w:r>
      <w:r w:rsidR="00461DF6">
        <w:rPr>
          <w:sz w:val="24"/>
          <w:szCs w:val="24"/>
        </w:rPr>
        <w:t>ncrease in imports and injury with</w:t>
      </w:r>
      <w:r>
        <w:rPr>
          <w:sz w:val="24"/>
          <w:szCs w:val="24"/>
        </w:rPr>
        <w:t xml:space="preserve"> concentrating on the average costs rise</w:t>
      </w:r>
      <w:r w:rsidR="00461DF6">
        <w:rPr>
          <w:sz w:val="24"/>
          <w:szCs w:val="24"/>
        </w:rPr>
        <w:t xml:space="preserve"> experienced</w:t>
      </w:r>
      <w:r>
        <w:rPr>
          <w:sz w:val="24"/>
          <w:szCs w:val="24"/>
        </w:rPr>
        <w:t xml:space="preserve"> by the Complainant </w:t>
      </w:r>
      <w:r w:rsidR="00AA0D01">
        <w:rPr>
          <w:sz w:val="24"/>
          <w:szCs w:val="24"/>
        </w:rPr>
        <w:t xml:space="preserve">is </w:t>
      </w:r>
      <w:r w:rsidR="00461DF6">
        <w:rPr>
          <w:sz w:val="24"/>
          <w:szCs w:val="24"/>
        </w:rPr>
        <w:t>definitely</w:t>
      </w:r>
      <w:r w:rsidR="00AA0D01">
        <w:rPr>
          <w:sz w:val="24"/>
          <w:szCs w:val="24"/>
        </w:rPr>
        <w:t xml:space="preserve"> not based on a detailed cost analysis.</w:t>
      </w:r>
    </w:p>
    <w:p w:rsidR="00AA0D01" w:rsidRDefault="00AA0D01" w:rsidP="00C67B95">
      <w:pPr>
        <w:spacing w:line="360" w:lineRule="auto"/>
        <w:ind w:firstLine="708"/>
        <w:jc w:val="both"/>
        <w:rPr>
          <w:sz w:val="24"/>
          <w:szCs w:val="24"/>
        </w:rPr>
      </w:pPr>
    </w:p>
    <w:p w:rsidR="00F463ED" w:rsidRDefault="00AA0D01" w:rsidP="00397ED0">
      <w:pPr>
        <w:autoSpaceDE w:val="0"/>
        <w:autoSpaceDN w:val="0"/>
        <w:adjustRightInd w:val="0"/>
        <w:spacing w:line="360" w:lineRule="auto"/>
        <w:ind w:firstLine="708"/>
        <w:jc w:val="both"/>
        <w:rPr>
          <w:sz w:val="24"/>
          <w:szCs w:val="24"/>
          <w:lang w:eastAsia="tr-TR"/>
        </w:rPr>
      </w:pPr>
      <w:r w:rsidRPr="001A0E79">
        <w:rPr>
          <w:sz w:val="24"/>
          <w:szCs w:val="24"/>
        </w:rPr>
        <w:t xml:space="preserve">With respect to the Select Committee Report on </w:t>
      </w:r>
      <w:smartTag w:uri="urn:schemas-microsoft-com:office:smarttags" w:element="place">
        <w:smartTag w:uri="urn:schemas-microsoft-com:office:smarttags" w:element="country-region">
          <w:r w:rsidRPr="001A0E79">
            <w:rPr>
              <w:sz w:val="24"/>
              <w:szCs w:val="24"/>
            </w:rPr>
            <w:t>Australia</w:t>
          </w:r>
        </w:smartTag>
      </w:smartTag>
      <w:r w:rsidR="00855C44">
        <w:rPr>
          <w:sz w:val="24"/>
          <w:szCs w:val="24"/>
        </w:rPr>
        <w:t>’s Food Processing Sector</w:t>
      </w:r>
      <w:r w:rsidR="00F463ED">
        <w:rPr>
          <w:rStyle w:val="FootnoteReference"/>
          <w:sz w:val="24"/>
          <w:szCs w:val="24"/>
        </w:rPr>
        <w:footnoteReference w:id="17"/>
      </w:r>
      <w:r w:rsidRPr="001A0E79">
        <w:rPr>
          <w:sz w:val="24"/>
          <w:szCs w:val="24"/>
        </w:rPr>
        <w:t xml:space="preserve"> published on August 2012, it is clear that there are remarkable burdens</w:t>
      </w:r>
      <w:r w:rsidR="00B12362" w:rsidRPr="00B12362">
        <w:rPr>
          <w:sz w:val="24"/>
          <w:szCs w:val="24"/>
        </w:rPr>
        <w:t xml:space="preserve"> </w:t>
      </w:r>
      <w:r w:rsidR="00B12362">
        <w:rPr>
          <w:sz w:val="24"/>
          <w:szCs w:val="24"/>
        </w:rPr>
        <w:t>on</w:t>
      </w:r>
      <w:r w:rsidR="00B12362" w:rsidRPr="001A0E79">
        <w:rPr>
          <w:sz w:val="24"/>
          <w:szCs w:val="24"/>
        </w:rPr>
        <w:t xml:space="preserve"> the Australian food processing sector</w:t>
      </w:r>
      <w:r w:rsidRPr="001A0E79">
        <w:rPr>
          <w:sz w:val="24"/>
          <w:szCs w:val="24"/>
        </w:rPr>
        <w:t xml:space="preserve"> which vary from current regulatory environment to additional taxes. Regarding the current regulatory environment, for instance, </w:t>
      </w:r>
      <w:r w:rsidRPr="001A0E79">
        <w:rPr>
          <w:i/>
          <w:sz w:val="24"/>
          <w:szCs w:val="24"/>
        </w:rPr>
        <w:t>“</w:t>
      </w:r>
      <w:r w:rsidRPr="001A0E79">
        <w:rPr>
          <w:i/>
          <w:sz w:val="24"/>
          <w:szCs w:val="24"/>
          <w:lang w:eastAsia="tr-TR"/>
        </w:rPr>
        <w:t>It is acknowledged by government that the regulatory structure currently governing the food industry is complex and has the potential to impose significant</w:t>
      </w:r>
      <w:r w:rsidR="00A13178" w:rsidRPr="001A0E79">
        <w:rPr>
          <w:i/>
          <w:sz w:val="24"/>
          <w:szCs w:val="24"/>
          <w:lang w:eastAsia="tr-TR"/>
        </w:rPr>
        <w:t xml:space="preserve"> </w:t>
      </w:r>
      <w:r w:rsidRPr="001A0E79">
        <w:rPr>
          <w:i/>
          <w:sz w:val="24"/>
          <w:szCs w:val="24"/>
          <w:lang w:eastAsia="tr-TR"/>
        </w:rPr>
        <w:t>compliance and administrative costs on businesses.</w:t>
      </w:r>
      <w:r w:rsidR="00A13178" w:rsidRPr="001A0E79">
        <w:rPr>
          <w:rStyle w:val="FootnoteReference"/>
          <w:i/>
          <w:sz w:val="24"/>
          <w:szCs w:val="24"/>
          <w:lang w:eastAsia="tr-TR"/>
        </w:rPr>
        <w:footnoteReference w:id="18"/>
      </w:r>
      <w:r w:rsidR="00A13178" w:rsidRPr="001A0E79">
        <w:rPr>
          <w:i/>
          <w:sz w:val="24"/>
          <w:szCs w:val="24"/>
          <w:lang w:eastAsia="tr-TR"/>
        </w:rPr>
        <w:t>”</w:t>
      </w:r>
      <w:r w:rsidR="00A13178" w:rsidRPr="001A0E79">
        <w:rPr>
          <w:sz w:val="24"/>
          <w:szCs w:val="24"/>
          <w:lang w:eastAsia="tr-TR"/>
        </w:rPr>
        <w:t xml:space="preserve"> Therefore, </w:t>
      </w:r>
      <w:r w:rsidR="00A13178" w:rsidRPr="001A0E79">
        <w:rPr>
          <w:i/>
          <w:sz w:val="24"/>
          <w:szCs w:val="24"/>
          <w:lang w:eastAsia="tr-TR"/>
        </w:rPr>
        <w:t>“Increasing regulation increases the cost of products and acts as a disincentive to investment thereby impacting the competitiveness and ongoing viability of the sector</w:t>
      </w:r>
      <w:r w:rsidR="00A13178" w:rsidRPr="001A0E79">
        <w:rPr>
          <w:rStyle w:val="FootnoteReference"/>
          <w:i/>
          <w:sz w:val="24"/>
          <w:szCs w:val="24"/>
          <w:lang w:eastAsia="tr-TR"/>
        </w:rPr>
        <w:footnoteReference w:id="19"/>
      </w:r>
      <w:r w:rsidR="00A13178" w:rsidRPr="001A0E79">
        <w:rPr>
          <w:i/>
          <w:sz w:val="24"/>
          <w:szCs w:val="24"/>
          <w:lang w:eastAsia="tr-TR"/>
        </w:rPr>
        <w:t>.</w:t>
      </w:r>
      <w:r w:rsidR="00A13178" w:rsidRPr="001A0E79">
        <w:rPr>
          <w:sz w:val="24"/>
          <w:szCs w:val="24"/>
          <w:lang w:eastAsia="tr-TR"/>
        </w:rPr>
        <w:t xml:space="preserve">” Besides the regularity problems creating additional costs to the parties of food processing sector in </w:t>
      </w:r>
      <w:smartTag w:uri="urn:schemas-microsoft-com:office:smarttags" w:element="place">
        <w:smartTag w:uri="urn:schemas-microsoft-com:office:smarttags" w:element="country-region">
          <w:r w:rsidR="00A13178" w:rsidRPr="001A0E79">
            <w:rPr>
              <w:sz w:val="24"/>
              <w:szCs w:val="24"/>
              <w:lang w:eastAsia="tr-TR"/>
            </w:rPr>
            <w:t>Australia</w:t>
          </w:r>
        </w:smartTag>
      </w:smartTag>
      <w:r w:rsidR="00A13178" w:rsidRPr="001A0E79">
        <w:rPr>
          <w:sz w:val="24"/>
          <w:szCs w:val="24"/>
          <w:lang w:eastAsia="tr-TR"/>
        </w:rPr>
        <w:t xml:space="preserve">, the problems in transportation </w:t>
      </w:r>
      <w:r w:rsidR="00202900" w:rsidRPr="001A0E79">
        <w:rPr>
          <w:sz w:val="24"/>
          <w:szCs w:val="24"/>
          <w:lang w:eastAsia="tr-TR"/>
        </w:rPr>
        <w:t xml:space="preserve">also complicate the situation. </w:t>
      </w:r>
      <w:r w:rsidR="00202900" w:rsidRPr="001A0E79">
        <w:rPr>
          <w:i/>
          <w:sz w:val="24"/>
          <w:szCs w:val="24"/>
          <w:lang w:eastAsia="tr-TR"/>
        </w:rPr>
        <w:t xml:space="preserve">“The committee heard that differences in transportation infrastructure and fees and charges </w:t>
      </w:r>
      <w:r w:rsidR="00202900" w:rsidRPr="001A0E79">
        <w:rPr>
          <w:i/>
          <w:sz w:val="24"/>
          <w:szCs w:val="24"/>
          <w:lang w:eastAsia="tr-TR"/>
        </w:rPr>
        <w:lastRenderedPageBreak/>
        <w:t>throughout the different jurisdictions were potential to impediments to competitiveness.</w:t>
      </w:r>
      <w:r w:rsidR="00202900" w:rsidRPr="001A0E79">
        <w:rPr>
          <w:rStyle w:val="FootnoteReference"/>
          <w:i/>
          <w:sz w:val="24"/>
          <w:szCs w:val="24"/>
          <w:lang w:eastAsia="tr-TR"/>
        </w:rPr>
        <w:footnoteReference w:id="20"/>
      </w:r>
      <w:r w:rsidR="00202900" w:rsidRPr="001A0E79">
        <w:rPr>
          <w:i/>
          <w:sz w:val="24"/>
          <w:szCs w:val="24"/>
          <w:lang w:eastAsia="tr-TR"/>
        </w:rPr>
        <w:t>”</w:t>
      </w:r>
      <w:r w:rsidR="00202900" w:rsidRPr="001A0E79">
        <w:rPr>
          <w:sz w:val="24"/>
          <w:szCs w:val="24"/>
          <w:lang w:eastAsia="tr-TR"/>
        </w:rPr>
        <w:t xml:space="preserve"> Also, Webster Ltd., a Tasmanian based exporter, complain</w:t>
      </w:r>
      <w:r w:rsidR="00B12362">
        <w:rPr>
          <w:sz w:val="24"/>
          <w:szCs w:val="24"/>
          <w:lang w:eastAsia="tr-TR"/>
        </w:rPr>
        <w:t>ed</w:t>
      </w:r>
      <w:r w:rsidR="00202900" w:rsidRPr="001A0E79">
        <w:rPr>
          <w:sz w:val="24"/>
          <w:szCs w:val="24"/>
          <w:lang w:eastAsia="tr-TR"/>
        </w:rPr>
        <w:t xml:space="preserve"> about the excessive transportation costs within Australia and specifie</w:t>
      </w:r>
      <w:r w:rsidR="00B12362">
        <w:rPr>
          <w:sz w:val="24"/>
          <w:szCs w:val="24"/>
          <w:lang w:eastAsia="tr-TR"/>
        </w:rPr>
        <w:t>d</w:t>
      </w:r>
      <w:r w:rsidR="00202900" w:rsidRPr="001A0E79">
        <w:rPr>
          <w:sz w:val="24"/>
          <w:szCs w:val="24"/>
          <w:lang w:eastAsia="tr-TR"/>
        </w:rPr>
        <w:t xml:space="preserve"> </w:t>
      </w:r>
      <w:r w:rsidR="00202900" w:rsidRPr="001A0E79">
        <w:rPr>
          <w:i/>
          <w:sz w:val="24"/>
          <w:szCs w:val="24"/>
          <w:lang w:eastAsia="tr-TR"/>
        </w:rPr>
        <w:t>“In addition to the high costs of freight between Bass Strait…,</w:t>
      </w:r>
      <w:r w:rsidR="00B81129" w:rsidRPr="001A0E79">
        <w:rPr>
          <w:i/>
          <w:sz w:val="24"/>
          <w:szCs w:val="24"/>
          <w:lang w:eastAsia="tr-TR"/>
        </w:rPr>
        <w:t xml:space="preserve"> as well as the introduction of a Port </w:t>
      </w:r>
      <w:proofErr w:type="spellStart"/>
      <w:r w:rsidR="00B81129" w:rsidRPr="001A0E79">
        <w:rPr>
          <w:i/>
          <w:sz w:val="24"/>
          <w:szCs w:val="24"/>
          <w:lang w:eastAsia="tr-TR"/>
        </w:rPr>
        <w:t>Licence</w:t>
      </w:r>
      <w:proofErr w:type="spellEnd"/>
      <w:r w:rsidR="00B81129" w:rsidRPr="001A0E79">
        <w:rPr>
          <w:i/>
          <w:sz w:val="24"/>
          <w:szCs w:val="24"/>
          <w:lang w:eastAsia="tr-TR"/>
        </w:rPr>
        <w:t xml:space="preserve"> Fee by the Port of Melbourne to enable it to pay an annual port </w:t>
      </w:r>
      <w:proofErr w:type="spellStart"/>
      <w:r w:rsidR="00B81129" w:rsidRPr="001A0E79">
        <w:rPr>
          <w:i/>
          <w:sz w:val="24"/>
          <w:szCs w:val="24"/>
          <w:lang w:eastAsia="tr-TR"/>
        </w:rPr>
        <w:t>licence</w:t>
      </w:r>
      <w:proofErr w:type="spellEnd"/>
      <w:r w:rsidR="00B81129" w:rsidRPr="001A0E79">
        <w:rPr>
          <w:i/>
          <w:sz w:val="24"/>
          <w:szCs w:val="24"/>
          <w:lang w:eastAsia="tr-TR"/>
        </w:rPr>
        <w:t xml:space="preserve"> fee to the Victorian Parliament (‘the state of w</w:t>
      </w:r>
      <w:r w:rsidR="00947EC7" w:rsidRPr="001A0E79">
        <w:rPr>
          <w:i/>
          <w:sz w:val="24"/>
          <w:szCs w:val="24"/>
          <w:lang w:eastAsia="tr-TR"/>
        </w:rPr>
        <w:t>hich the Complainant operates’)</w:t>
      </w:r>
      <w:r w:rsidR="00B81129" w:rsidRPr="001A0E79">
        <w:rPr>
          <w:i/>
          <w:sz w:val="24"/>
          <w:szCs w:val="24"/>
          <w:lang w:eastAsia="tr-TR"/>
        </w:rPr>
        <w:t>, are placing further pressure on their ability to compete.</w:t>
      </w:r>
      <w:r w:rsidR="00B81129" w:rsidRPr="001A0E79">
        <w:rPr>
          <w:rStyle w:val="FootnoteReference"/>
          <w:i/>
          <w:sz w:val="24"/>
          <w:szCs w:val="24"/>
          <w:lang w:eastAsia="tr-TR"/>
        </w:rPr>
        <w:footnoteReference w:id="21"/>
      </w:r>
      <w:r w:rsidR="00B81129" w:rsidRPr="001A0E79">
        <w:rPr>
          <w:i/>
          <w:sz w:val="24"/>
          <w:szCs w:val="24"/>
          <w:lang w:eastAsia="tr-TR"/>
        </w:rPr>
        <w:t>”</w:t>
      </w:r>
      <w:r w:rsidR="00947EC7" w:rsidRPr="001A0E79">
        <w:rPr>
          <w:sz w:val="24"/>
          <w:szCs w:val="24"/>
          <w:lang w:eastAsia="tr-TR"/>
        </w:rPr>
        <w:t xml:space="preserve"> </w:t>
      </w:r>
    </w:p>
    <w:p w:rsidR="00F463ED" w:rsidRDefault="00F463ED" w:rsidP="00397ED0">
      <w:pPr>
        <w:autoSpaceDE w:val="0"/>
        <w:autoSpaceDN w:val="0"/>
        <w:adjustRightInd w:val="0"/>
        <w:spacing w:line="360" w:lineRule="auto"/>
        <w:ind w:firstLine="708"/>
        <w:jc w:val="both"/>
        <w:rPr>
          <w:sz w:val="24"/>
          <w:szCs w:val="24"/>
          <w:lang w:eastAsia="tr-TR"/>
        </w:rPr>
      </w:pPr>
    </w:p>
    <w:p w:rsidR="00F463ED" w:rsidRDefault="00947EC7" w:rsidP="00397ED0">
      <w:pPr>
        <w:autoSpaceDE w:val="0"/>
        <w:autoSpaceDN w:val="0"/>
        <w:adjustRightInd w:val="0"/>
        <w:spacing w:line="360" w:lineRule="auto"/>
        <w:ind w:firstLine="708"/>
        <w:jc w:val="both"/>
        <w:rPr>
          <w:sz w:val="24"/>
          <w:szCs w:val="24"/>
          <w:lang w:eastAsia="tr-TR"/>
        </w:rPr>
      </w:pPr>
      <w:r w:rsidRPr="001A0E79">
        <w:rPr>
          <w:sz w:val="24"/>
          <w:szCs w:val="24"/>
          <w:lang w:eastAsia="tr-TR"/>
        </w:rPr>
        <w:t>Moreover, from the aspect of taxes collected by both state and local government, the domestic producers have given a particular emphasis on the heavy burden</w:t>
      </w:r>
      <w:r w:rsidR="001A0E79" w:rsidRPr="001A0E79">
        <w:rPr>
          <w:sz w:val="24"/>
          <w:szCs w:val="24"/>
          <w:lang w:eastAsia="tr-TR"/>
        </w:rPr>
        <w:t xml:space="preserve"> stemming from the aforesaid taxes. For example, Coca-Cola </w:t>
      </w:r>
      <w:proofErr w:type="spellStart"/>
      <w:r w:rsidR="001A0E79" w:rsidRPr="001A0E79">
        <w:rPr>
          <w:sz w:val="24"/>
          <w:szCs w:val="24"/>
          <w:lang w:eastAsia="tr-TR"/>
        </w:rPr>
        <w:t>Amatil</w:t>
      </w:r>
      <w:proofErr w:type="spellEnd"/>
      <w:r w:rsidR="001A0E79">
        <w:rPr>
          <w:sz w:val="24"/>
          <w:szCs w:val="24"/>
          <w:lang w:eastAsia="tr-TR"/>
        </w:rPr>
        <w:t xml:space="preserve">, </w:t>
      </w:r>
      <w:r w:rsidR="001A0E79" w:rsidRPr="001A0E79">
        <w:rPr>
          <w:sz w:val="24"/>
          <w:szCs w:val="24"/>
          <w:lang w:eastAsia="tr-TR"/>
        </w:rPr>
        <w:t xml:space="preserve">parent company of the Complainant, emphasizes that </w:t>
      </w:r>
      <w:r w:rsidR="001A0E79" w:rsidRPr="001A0E79">
        <w:rPr>
          <w:i/>
          <w:sz w:val="24"/>
          <w:szCs w:val="24"/>
          <w:lang w:eastAsia="tr-TR"/>
        </w:rPr>
        <w:t>“State payroll tax is a 'significant cost…and a significant barrier to</w:t>
      </w:r>
      <w:r w:rsidR="008E30ED">
        <w:rPr>
          <w:i/>
          <w:sz w:val="24"/>
          <w:szCs w:val="24"/>
          <w:lang w:eastAsia="tr-TR"/>
        </w:rPr>
        <w:t xml:space="preserve"> </w:t>
      </w:r>
      <w:r w:rsidR="001A0E79" w:rsidRPr="001A0E79">
        <w:rPr>
          <w:i/>
          <w:sz w:val="24"/>
          <w:szCs w:val="24"/>
          <w:lang w:eastAsia="tr-TR"/>
        </w:rPr>
        <w:t xml:space="preserve">maintaining a competitive and viable local food and beverage manufacturing industry' and </w:t>
      </w:r>
      <w:r w:rsidR="00B12362">
        <w:rPr>
          <w:i/>
          <w:sz w:val="24"/>
          <w:szCs w:val="24"/>
          <w:lang w:eastAsia="tr-TR"/>
        </w:rPr>
        <w:t>…</w:t>
      </w:r>
      <w:r w:rsidR="001A0E79" w:rsidRPr="001A0E79">
        <w:rPr>
          <w:i/>
          <w:sz w:val="24"/>
          <w:szCs w:val="24"/>
          <w:lang w:eastAsia="tr-TR"/>
        </w:rPr>
        <w:t xml:space="preserve"> more needs to be done to 'reduce the burden on local manufacturers'.</w:t>
      </w:r>
      <w:r w:rsidR="001A0E79">
        <w:rPr>
          <w:rStyle w:val="FootnoteReference"/>
          <w:i/>
          <w:sz w:val="24"/>
          <w:szCs w:val="24"/>
          <w:lang w:eastAsia="tr-TR"/>
        </w:rPr>
        <w:footnoteReference w:id="22"/>
      </w:r>
      <w:r w:rsidR="001A0E79" w:rsidRPr="001A0E79">
        <w:rPr>
          <w:i/>
          <w:sz w:val="24"/>
          <w:szCs w:val="24"/>
          <w:lang w:eastAsia="tr-TR"/>
        </w:rPr>
        <w:t>”</w:t>
      </w:r>
      <w:r w:rsidR="001A0E79">
        <w:rPr>
          <w:sz w:val="24"/>
          <w:szCs w:val="24"/>
          <w:lang w:eastAsia="tr-TR"/>
        </w:rPr>
        <w:t xml:space="preserve"> </w:t>
      </w:r>
    </w:p>
    <w:p w:rsidR="00F463ED" w:rsidRDefault="00F463ED" w:rsidP="00397ED0">
      <w:pPr>
        <w:autoSpaceDE w:val="0"/>
        <w:autoSpaceDN w:val="0"/>
        <w:adjustRightInd w:val="0"/>
        <w:spacing w:line="360" w:lineRule="auto"/>
        <w:ind w:firstLine="708"/>
        <w:jc w:val="both"/>
        <w:rPr>
          <w:sz w:val="24"/>
          <w:szCs w:val="24"/>
          <w:lang w:eastAsia="tr-TR"/>
        </w:rPr>
      </w:pPr>
    </w:p>
    <w:p w:rsidR="00BC0FEC" w:rsidRDefault="001A0E79" w:rsidP="00397ED0">
      <w:pPr>
        <w:autoSpaceDE w:val="0"/>
        <w:autoSpaceDN w:val="0"/>
        <w:adjustRightInd w:val="0"/>
        <w:spacing w:line="360" w:lineRule="auto"/>
        <w:ind w:firstLine="708"/>
        <w:jc w:val="both"/>
        <w:rPr>
          <w:sz w:val="24"/>
          <w:szCs w:val="24"/>
          <w:lang w:eastAsia="tr-TR"/>
        </w:rPr>
      </w:pPr>
      <w:r>
        <w:rPr>
          <w:sz w:val="24"/>
          <w:szCs w:val="24"/>
          <w:lang w:eastAsia="tr-TR"/>
        </w:rPr>
        <w:t>In sum, Turkey kindly requests the Commission to take</w:t>
      </w:r>
      <w:r w:rsidR="00F463ED" w:rsidRPr="00F463ED">
        <w:rPr>
          <w:sz w:val="24"/>
          <w:szCs w:val="24"/>
          <w:lang w:eastAsia="tr-TR"/>
        </w:rPr>
        <w:t xml:space="preserve"> </w:t>
      </w:r>
      <w:r w:rsidR="00F463ED">
        <w:rPr>
          <w:sz w:val="24"/>
          <w:szCs w:val="24"/>
          <w:lang w:eastAsia="tr-TR"/>
        </w:rPr>
        <w:t>into consideration</w:t>
      </w:r>
      <w:r>
        <w:rPr>
          <w:sz w:val="24"/>
          <w:szCs w:val="24"/>
          <w:lang w:eastAsia="tr-TR"/>
        </w:rPr>
        <w:t xml:space="preserve"> the facts regarding the</w:t>
      </w:r>
      <w:r w:rsidR="00C427F5">
        <w:rPr>
          <w:sz w:val="24"/>
          <w:szCs w:val="24"/>
          <w:lang w:eastAsia="tr-TR"/>
        </w:rPr>
        <w:t xml:space="preserve"> various</w:t>
      </w:r>
      <w:r>
        <w:rPr>
          <w:sz w:val="24"/>
          <w:szCs w:val="24"/>
          <w:lang w:eastAsia="tr-TR"/>
        </w:rPr>
        <w:t xml:space="preserve"> noteworthy</w:t>
      </w:r>
      <w:r w:rsidR="0077479F">
        <w:rPr>
          <w:sz w:val="24"/>
          <w:szCs w:val="24"/>
          <w:lang w:eastAsia="tr-TR"/>
        </w:rPr>
        <w:t xml:space="preserve"> cost</w:t>
      </w:r>
      <w:r>
        <w:rPr>
          <w:sz w:val="24"/>
          <w:szCs w:val="24"/>
          <w:lang w:eastAsia="tr-TR"/>
        </w:rPr>
        <w:t xml:space="preserve"> </w:t>
      </w:r>
      <w:r w:rsidR="00F463ED">
        <w:rPr>
          <w:sz w:val="24"/>
          <w:szCs w:val="24"/>
          <w:lang w:eastAsia="tr-TR"/>
        </w:rPr>
        <w:t>factors</w:t>
      </w:r>
      <w:r>
        <w:rPr>
          <w:sz w:val="24"/>
          <w:szCs w:val="24"/>
          <w:lang w:eastAsia="tr-TR"/>
        </w:rPr>
        <w:t xml:space="preserve"> </w:t>
      </w:r>
      <w:r w:rsidR="00F463ED">
        <w:rPr>
          <w:sz w:val="24"/>
          <w:szCs w:val="24"/>
          <w:lang w:eastAsia="tr-TR"/>
        </w:rPr>
        <w:t>having a significant bearing on</w:t>
      </w:r>
      <w:r>
        <w:rPr>
          <w:sz w:val="24"/>
          <w:szCs w:val="24"/>
          <w:lang w:eastAsia="tr-TR"/>
        </w:rPr>
        <w:t xml:space="preserve"> the domestic producers in Australian food processing sector</w:t>
      </w:r>
      <w:r w:rsidR="00B12362">
        <w:rPr>
          <w:sz w:val="24"/>
          <w:szCs w:val="24"/>
          <w:lang w:eastAsia="tr-TR"/>
        </w:rPr>
        <w:t xml:space="preserve"> and not to associate injury resulted by these factors to the imports under investigation</w:t>
      </w:r>
      <w:r>
        <w:rPr>
          <w:sz w:val="24"/>
          <w:szCs w:val="24"/>
          <w:lang w:eastAsia="tr-TR"/>
        </w:rPr>
        <w:t>.</w:t>
      </w:r>
    </w:p>
    <w:p w:rsidR="00855C44" w:rsidRDefault="00855C44" w:rsidP="00555D0E">
      <w:pPr>
        <w:autoSpaceDE w:val="0"/>
        <w:autoSpaceDN w:val="0"/>
        <w:adjustRightInd w:val="0"/>
        <w:spacing w:line="360" w:lineRule="auto"/>
        <w:ind w:firstLine="708"/>
        <w:jc w:val="both"/>
        <w:rPr>
          <w:sz w:val="24"/>
          <w:szCs w:val="24"/>
          <w:lang w:eastAsia="tr-TR"/>
        </w:rPr>
      </w:pPr>
    </w:p>
    <w:p w:rsidR="00F463ED" w:rsidRPr="00F463ED" w:rsidRDefault="00F463ED" w:rsidP="00397ED0">
      <w:pPr>
        <w:autoSpaceDE w:val="0"/>
        <w:autoSpaceDN w:val="0"/>
        <w:adjustRightInd w:val="0"/>
        <w:spacing w:line="360" w:lineRule="auto"/>
        <w:ind w:firstLine="708"/>
        <w:jc w:val="both"/>
        <w:rPr>
          <w:b/>
          <w:sz w:val="24"/>
          <w:szCs w:val="24"/>
          <w:lang w:eastAsia="tr-TR"/>
        </w:rPr>
      </w:pPr>
      <w:r>
        <w:rPr>
          <w:b/>
          <w:sz w:val="24"/>
          <w:szCs w:val="24"/>
          <w:lang w:eastAsia="tr-TR"/>
        </w:rPr>
        <w:t xml:space="preserve">8.2. Ambiguity Concerning Decline </w:t>
      </w:r>
      <w:r w:rsidR="00846991">
        <w:rPr>
          <w:b/>
          <w:sz w:val="24"/>
          <w:szCs w:val="24"/>
          <w:lang w:eastAsia="tr-TR"/>
        </w:rPr>
        <w:t>in</w:t>
      </w:r>
      <w:r>
        <w:rPr>
          <w:b/>
          <w:sz w:val="24"/>
          <w:szCs w:val="24"/>
          <w:lang w:eastAsia="tr-TR"/>
        </w:rPr>
        <w:t xml:space="preserve"> Demand</w:t>
      </w:r>
    </w:p>
    <w:p w:rsidR="00F463ED" w:rsidRDefault="00F463ED" w:rsidP="00397ED0">
      <w:pPr>
        <w:autoSpaceDE w:val="0"/>
        <w:autoSpaceDN w:val="0"/>
        <w:adjustRightInd w:val="0"/>
        <w:spacing w:line="360" w:lineRule="auto"/>
        <w:ind w:firstLine="708"/>
        <w:jc w:val="both"/>
        <w:rPr>
          <w:sz w:val="24"/>
          <w:szCs w:val="24"/>
          <w:lang w:eastAsia="tr-TR"/>
        </w:rPr>
      </w:pPr>
    </w:p>
    <w:p w:rsidR="00B12362" w:rsidRDefault="00A90F16" w:rsidP="00F46676">
      <w:pPr>
        <w:autoSpaceDE w:val="0"/>
        <w:autoSpaceDN w:val="0"/>
        <w:adjustRightInd w:val="0"/>
        <w:spacing w:line="360" w:lineRule="auto"/>
        <w:ind w:firstLine="708"/>
        <w:jc w:val="both"/>
        <w:rPr>
          <w:sz w:val="24"/>
          <w:szCs w:val="24"/>
        </w:rPr>
      </w:pPr>
      <w:r>
        <w:rPr>
          <w:sz w:val="24"/>
          <w:szCs w:val="24"/>
        </w:rPr>
        <w:t>In the Submission, the Complainant</w:t>
      </w:r>
      <w:r w:rsidR="007A4F58">
        <w:rPr>
          <w:sz w:val="24"/>
          <w:szCs w:val="24"/>
        </w:rPr>
        <w:t xml:space="preserve"> stressed the decline in its demand of raw </w:t>
      </w:r>
      <w:proofErr w:type="spellStart"/>
      <w:r w:rsidR="007A4F58">
        <w:rPr>
          <w:sz w:val="24"/>
          <w:szCs w:val="24"/>
        </w:rPr>
        <w:t>tonnes</w:t>
      </w:r>
      <w:proofErr w:type="spellEnd"/>
      <w:r w:rsidR="007A4F58">
        <w:rPr>
          <w:sz w:val="24"/>
          <w:szCs w:val="24"/>
        </w:rPr>
        <w:t xml:space="preserve"> of fruit by referring Chart 4.3.2(c). However, it is important to note that </w:t>
      </w:r>
      <w:r w:rsidR="00B12362">
        <w:rPr>
          <w:sz w:val="24"/>
          <w:szCs w:val="24"/>
        </w:rPr>
        <w:t>this</w:t>
      </w:r>
      <w:r w:rsidR="007A4F58">
        <w:rPr>
          <w:sz w:val="24"/>
          <w:szCs w:val="24"/>
        </w:rPr>
        <w:t xml:space="preserve"> chart does only have relevant information for 4 </w:t>
      </w:r>
      <w:r w:rsidR="0054109D">
        <w:rPr>
          <w:sz w:val="24"/>
          <w:szCs w:val="24"/>
        </w:rPr>
        <w:t xml:space="preserve">groups of </w:t>
      </w:r>
      <w:r w:rsidR="0077479F">
        <w:rPr>
          <w:sz w:val="24"/>
          <w:szCs w:val="24"/>
        </w:rPr>
        <w:t xml:space="preserve">products under investigation </w:t>
      </w:r>
      <w:r w:rsidR="007A4F58">
        <w:rPr>
          <w:sz w:val="24"/>
          <w:szCs w:val="24"/>
        </w:rPr>
        <w:t>(Peaches, Pears, Apricots and Plums, which can be categorized under Others)</w:t>
      </w:r>
      <w:r w:rsidR="00B12362">
        <w:rPr>
          <w:sz w:val="24"/>
          <w:szCs w:val="24"/>
        </w:rPr>
        <w:t xml:space="preserve"> and does not include figures relating to whole subject merchandise</w:t>
      </w:r>
      <w:r w:rsidR="007A4F58">
        <w:rPr>
          <w:sz w:val="24"/>
          <w:szCs w:val="24"/>
        </w:rPr>
        <w:t xml:space="preserve">. </w:t>
      </w:r>
      <w:r w:rsidR="00B12362">
        <w:rPr>
          <w:sz w:val="24"/>
          <w:szCs w:val="24"/>
        </w:rPr>
        <w:t>In fact</w:t>
      </w:r>
      <w:r w:rsidR="007A4F58">
        <w:rPr>
          <w:sz w:val="24"/>
          <w:szCs w:val="24"/>
        </w:rPr>
        <w:t xml:space="preserve">, the Submission does not contain any intake figures concerning Citrus Fruit and Mixtures. </w:t>
      </w:r>
    </w:p>
    <w:p w:rsidR="008F0717" w:rsidRDefault="008F0717" w:rsidP="00F46676">
      <w:pPr>
        <w:autoSpaceDE w:val="0"/>
        <w:autoSpaceDN w:val="0"/>
        <w:adjustRightInd w:val="0"/>
        <w:spacing w:line="360" w:lineRule="auto"/>
        <w:ind w:firstLine="708"/>
        <w:jc w:val="both"/>
        <w:rPr>
          <w:sz w:val="24"/>
          <w:szCs w:val="24"/>
        </w:rPr>
      </w:pPr>
    </w:p>
    <w:p w:rsidR="00B12362" w:rsidRDefault="00B12362" w:rsidP="00F46676">
      <w:pPr>
        <w:autoSpaceDE w:val="0"/>
        <w:autoSpaceDN w:val="0"/>
        <w:adjustRightInd w:val="0"/>
        <w:spacing w:line="360" w:lineRule="auto"/>
        <w:ind w:firstLine="708"/>
        <w:jc w:val="both"/>
        <w:rPr>
          <w:sz w:val="24"/>
          <w:szCs w:val="24"/>
        </w:rPr>
      </w:pPr>
      <w:r>
        <w:rPr>
          <w:sz w:val="24"/>
          <w:szCs w:val="24"/>
        </w:rPr>
        <w:t>On the other hand</w:t>
      </w:r>
      <w:r w:rsidR="007A4F58">
        <w:rPr>
          <w:sz w:val="24"/>
          <w:szCs w:val="24"/>
        </w:rPr>
        <w:t xml:space="preserve">, </w:t>
      </w:r>
      <w:r w:rsidR="0054109D">
        <w:rPr>
          <w:sz w:val="24"/>
          <w:szCs w:val="24"/>
        </w:rPr>
        <w:t>the Plums is not one of the subject</w:t>
      </w:r>
      <w:r w:rsidR="007A4F58">
        <w:rPr>
          <w:sz w:val="24"/>
          <w:szCs w:val="24"/>
        </w:rPr>
        <w:t xml:space="preserve"> </w:t>
      </w:r>
      <w:r w:rsidR="0054109D">
        <w:rPr>
          <w:sz w:val="24"/>
          <w:szCs w:val="24"/>
        </w:rPr>
        <w:t>merchandises in this investigation; thus, it can only be</w:t>
      </w:r>
      <w:r w:rsidR="00C53F29">
        <w:rPr>
          <w:sz w:val="24"/>
          <w:szCs w:val="24"/>
        </w:rPr>
        <w:t xml:space="preserve"> regarded as</w:t>
      </w:r>
      <w:r w:rsidR="0054109D">
        <w:rPr>
          <w:sz w:val="24"/>
          <w:szCs w:val="24"/>
        </w:rPr>
        <w:t xml:space="preserve"> one of the components of the ‘Mixtures’ grou</w:t>
      </w:r>
      <w:r w:rsidR="00C53F29">
        <w:rPr>
          <w:sz w:val="24"/>
          <w:szCs w:val="24"/>
        </w:rPr>
        <w:t xml:space="preserve">p </w:t>
      </w:r>
      <w:r w:rsidR="00BC0FEC">
        <w:rPr>
          <w:sz w:val="24"/>
          <w:szCs w:val="24"/>
        </w:rPr>
        <w:t>of which the demand figures are absent</w:t>
      </w:r>
      <w:r w:rsidR="0054109D">
        <w:rPr>
          <w:sz w:val="24"/>
          <w:szCs w:val="24"/>
        </w:rPr>
        <w:t xml:space="preserve">. </w:t>
      </w:r>
    </w:p>
    <w:p w:rsidR="00B12362" w:rsidRDefault="00B12362" w:rsidP="00F46676">
      <w:pPr>
        <w:autoSpaceDE w:val="0"/>
        <w:autoSpaceDN w:val="0"/>
        <w:adjustRightInd w:val="0"/>
        <w:spacing w:line="360" w:lineRule="auto"/>
        <w:ind w:firstLine="708"/>
        <w:jc w:val="both"/>
        <w:rPr>
          <w:sz w:val="24"/>
          <w:szCs w:val="24"/>
        </w:rPr>
      </w:pPr>
    </w:p>
    <w:p w:rsidR="004D5A4F" w:rsidRDefault="0054109D" w:rsidP="00B12362">
      <w:pPr>
        <w:autoSpaceDE w:val="0"/>
        <w:autoSpaceDN w:val="0"/>
        <w:adjustRightInd w:val="0"/>
        <w:spacing w:line="360" w:lineRule="auto"/>
        <w:ind w:firstLine="708"/>
        <w:jc w:val="both"/>
        <w:rPr>
          <w:sz w:val="24"/>
          <w:szCs w:val="24"/>
        </w:rPr>
      </w:pPr>
      <w:r>
        <w:rPr>
          <w:sz w:val="24"/>
          <w:szCs w:val="24"/>
        </w:rPr>
        <w:t xml:space="preserve">Moreover, the Complainant’s intakes regarding Apricots and Plums in the term mentioned in the chart (2006-2013) do not demonstrate any change. </w:t>
      </w:r>
      <w:r w:rsidR="0077479F">
        <w:rPr>
          <w:sz w:val="24"/>
          <w:szCs w:val="24"/>
        </w:rPr>
        <w:t>At this point</w:t>
      </w:r>
      <w:r>
        <w:rPr>
          <w:sz w:val="24"/>
          <w:szCs w:val="24"/>
        </w:rPr>
        <w:t>,</w:t>
      </w:r>
      <w:r w:rsidR="005B4F44">
        <w:rPr>
          <w:sz w:val="24"/>
          <w:szCs w:val="24"/>
        </w:rPr>
        <w:t xml:space="preserve"> it is very unlikely to assume that</w:t>
      </w:r>
      <w:r>
        <w:rPr>
          <w:sz w:val="24"/>
          <w:szCs w:val="24"/>
        </w:rPr>
        <w:t xml:space="preserve"> the statistical information </w:t>
      </w:r>
      <w:r w:rsidR="005B4F44">
        <w:rPr>
          <w:sz w:val="24"/>
          <w:szCs w:val="24"/>
        </w:rPr>
        <w:t xml:space="preserve">involving only two of the subject products will be enough to use in the determination of serious injury. </w:t>
      </w:r>
      <w:r w:rsidR="0077479F">
        <w:rPr>
          <w:sz w:val="24"/>
          <w:szCs w:val="24"/>
        </w:rPr>
        <w:t>Hence</w:t>
      </w:r>
      <w:r w:rsidR="005B4F44">
        <w:rPr>
          <w:sz w:val="24"/>
          <w:szCs w:val="24"/>
        </w:rPr>
        <w:t xml:space="preserve">, </w:t>
      </w:r>
      <w:smartTag w:uri="urn:schemas-microsoft-com:office:smarttags" w:element="place">
        <w:smartTag w:uri="urn:schemas-microsoft-com:office:smarttags" w:element="country-region">
          <w:r w:rsidR="005B4F44">
            <w:rPr>
              <w:sz w:val="24"/>
              <w:szCs w:val="24"/>
            </w:rPr>
            <w:t>Turkey</w:t>
          </w:r>
        </w:smartTag>
      </w:smartTag>
      <w:r w:rsidR="005B4F44">
        <w:rPr>
          <w:sz w:val="24"/>
          <w:szCs w:val="24"/>
        </w:rPr>
        <w:t xml:space="preserve"> is of the opinion that a chart constituted with a remarkable amount of missing information cannot be taken</w:t>
      </w:r>
      <w:r w:rsidR="00A136DC">
        <w:rPr>
          <w:sz w:val="24"/>
          <w:szCs w:val="24"/>
        </w:rPr>
        <w:t xml:space="preserve"> into account</w:t>
      </w:r>
      <w:r w:rsidR="005B4F44">
        <w:rPr>
          <w:sz w:val="24"/>
          <w:szCs w:val="24"/>
        </w:rPr>
        <w:t xml:space="preserve"> while making a decision</w:t>
      </w:r>
      <w:r w:rsidR="00A136DC" w:rsidRPr="00A136DC">
        <w:rPr>
          <w:sz w:val="24"/>
          <w:szCs w:val="24"/>
        </w:rPr>
        <w:t xml:space="preserve"> </w:t>
      </w:r>
      <w:r w:rsidR="005B4F44">
        <w:rPr>
          <w:sz w:val="24"/>
          <w:szCs w:val="24"/>
        </w:rPr>
        <w:t>whether there is serious injury or not.</w:t>
      </w:r>
    </w:p>
    <w:p w:rsidR="00397ED0" w:rsidRPr="004D5A4F" w:rsidRDefault="004D5A4F" w:rsidP="00B12362">
      <w:pPr>
        <w:autoSpaceDE w:val="0"/>
        <w:autoSpaceDN w:val="0"/>
        <w:adjustRightInd w:val="0"/>
        <w:spacing w:line="360" w:lineRule="auto"/>
        <w:ind w:firstLine="708"/>
        <w:jc w:val="both"/>
        <w:rPr>
          <w:sz w:val="24"/>
          <w:szCs w:val="24"/>
          <w:lang w:val="tr-TR" w:eastAsia="tr-TR"/>
        </w:rPr>
      </w:pPr>
      <w:r>
        <w:rPr>
          <w:sz w:val="24"/>
          <w:szCs w:val="24"/>
        </w:rPr>
        <w:t xml:space="preserve"> </w:t>
      </w:r>
      <w:r w:rsidR="003B0780">
        <w:rPr>
          <w:sz w:val="24"/>
          <w:szCs w:val="24"/>
        </w:rPr>
        <w:t xml:space="preserve">   </w:t>
      </w:r>
      <w:r w:rsidR="00F46676">
        <w:rPr>
          <w:sz w:val="24"/>
          <w:szCs w:val="24"/>
        </w:rPr>
        <w:t xml:space="preserve"> </w:t>
      </w:r>
    </w:p>
    <w:p w:rsidR="00FB4B42" w:rsidRDefault="002701CF" w:rsidP="004D5A4F">
      <w:pPr>
        <w:spacing w:line="360" w:lineRule="auto"/>
        <w:ind w:firstLine="708"/>
        <w:jc w:val="both"/>
        <w:rPr>
          <w:b/>
          <w:sz w:val="24"/>
          <w:szCs w:val="24"/>
        </w:rPr>
      </w:pPr>
      <w:r>
        <w:rPr>
          <w:b/>
          <w:sz w:val="24"/>
          <w:szCs w:val="24"/>
        </w:rPr>
        <w:t>9</w:t>
      </w:r>
      <w:r w:rsidR="00FB4B42">
        <w:rPr>
          <w:b/>
          <w:sz w:val="24"/>
          <w:szCs w:val="24"/>
        </w:rPr>
        <w:t>. Conclusion</w:t>
      </w:r>
    </w:p>
    <w:p w:rsidR="004D5A4F" w:rsidRDefault="004D5A4F" w:rsidP="004D5A4F">
      <w:pPr>
        <w:spacing w:line="360" w:lineRule="auto"/>
        <w:ind w:firstLine="708"/>
        <w:jc w:val="both"/>
        <w:rPr>
          <w:b/>
          <w:sz w:val="24"/>
          <w:szCs w:val="24"/>
        </w:rPr>
      </w:pPr>
    </w:p>
    <w:p w:rsidR="00397ED0" w:rsidRDefault="00636365" w:rsidP="00BC0FEC">
      <w:pPr>
        <w:spacing w:line="360" w:lineRule="auto"/>
        <w:ind w:firstLine="708"/>
        <w:jc w:val="both"/>
        <w:rPr>
          <w:sz w:val="24"/>
          <w:szCs w:val="24"/>
        </w:rPr>
      </w:pPr>
      <w:r>
        <w:rPr>
          <w:sz w:val="24"/>
          <w:szCs w:val="24"/>
        </w:rPr>
        <w:t xml:space="preserve">The Turkish Government expresses its concerns regarding the initiation of this </w:t>
      </w:r>
      <w:r w:rsidR="00397ED0">
        <w:rPr>
          <w:sz w:val="24"/>
          <w:szCs w:val="24"/>
        </w:rPr>
        <w:t>investigation which has the potential to harm bilateral trade relations between two countries.</w:t>
      </w:r>
    </w:p>
    <w:p w:rsidR="005D3348" w:rsidRDefault="005D3348" w:rsidP="00BC0FEC">
      <w:pPr>
        <w:spacing w:line="360" w:lineRule="auto"/>
        <w:ind w:firstLine="708"/>
        <w:jc w:val="both"/>
        <w:rPr>
          <w:sz w:val="24"/>
          <w:szCs w:val="24"/>
        </w:rPr>
      </w:pPr>
    </w:p>
    <w:p w:rsidR="00397ED0" w:rsidRDefault="008E30ED" w:rsidP="004D5A4F">
      <w:pPr>
        <w:spacing w:line="360" w:lineRule="auto"/>
        <w:ind w:firstLine="708"/>
        <w:jc w:val="both"/>
        <w:rPr>
          <w:sz w:val="24"/>
          <w:szCs w:val="24"/>
        </w:rPr>
      </w:pPr>
      <w:r>
        <w:rPr>
          <w:sz w:val="24"/>
          <w:szCs w:val="24"/>
        </w:rPr>
        <w:t xml:space="preserve">In addition, </w:t>
      </w:r>
      <w:r w:rsidR="00397ED0" w:rsidRPr="00552B18">
        <w:rPr>
          <w:sz w:val="24"/>
          <w:szCs w:val="24"/>
        </w:rPr>
        <w:t xml:space="preserve">Turkey </w:t>
      </w:r>
      <w:r w:rsidR="00397ED0">
        <w:rPr>
          <w:sz w:val="24"/>
          <w:szCs w:val="24"/>
        </w:rPr>
        <w:t>underlines the fact</w:t>
      </w:r>
      <w:r w:rsidR="00397ED0" w:rsidRPr="00552B18">
        <w:rPr>
          <w:sz w:val="24"/>
          <w:szCs w:val="24"/>
        </w:rPr>
        <w:t xml:space="preserve"> that in light of the Articles 2.1, </w:t>
      </w:r>
      <w:r w:rsidR="00397ED0">
        <w:rPr>
          <w:sz w:val="24"/>
          <w:szCs w:val="24"/>
        </w:rPr>
        <w:t>4.1 (c), 4.2 (a), 4.2 (b), 9</w:t>
      </w:r>
      <w:r w:rsidR="00397ED0" w:rsidRPr="00552B18">
        <w:rPr>
          <w:sz w:val="24"/>
          <w:szCs w:val="24"/>
        </w:rPr>
        <w:t xml:space="preserve"> of the </w:t>
      </w:r>
      <w:proofErr w:type="spellStart"/>
      <w:r w:rsidR="00397ED0" w:rsidRPr="00552B18">
        <w:rPr>
          <w:sz w:val="24"/>
          <w:szCs w:val="24"/>
        </w:rPr>
        <w:t>AoS</w:t>
      </w:r>
      <w:proofErr w:type="spellEnd"/>
      <w:r w:rsidR="00397ED0" w:rsidRPr="00552B18">
        <w:rPr>
          <w:sz w:val="24"/>
          <w:szCs w:val="24"/>
        </w:rPr>
        <w:t>, Article XIX of GATT 1994 and the related rulings of WTO Panel and Appellate Body on specific disputes; the criteria to initiate a safeguard investigation and to impose a safeguard measure in this investigation are not met.</w:t>
      </w:r>
    </w:p>
    <w:p w:rsidR="00397ED0" w:rsidRDefault="00397ED0" w:rsidP="004D5A4F">
      <w:pPr>
        <w:spacing w:line="360" w:lineRule="auto"/>
        <w:ind w:firstLine="708"/>
        <w:jc w:val="both"/>
        <w:rPr>
          <w:sz w:val="24"/>
          <w:szCs w:val="24"/>
        </w:rPr>
      </w:pPr>
    </w:p>
    <w:p w:rsidR="00BC0FEC" w:rsidRDefault="00397ED0" w:rsidP="00397ED0">
      <w:pPr>
        <w:spacing w:line="360" w:lineRule="auto"/>
        <w:jc w:val="both"/>
        <w:rPr>
          <w:sz w:val="24"/>
          <w:szCs w:val="24"/>
        </w:rPr>
      </w:pPr>
      <w:r>
        <w:rPr>
          <w:sz w:val="24"/>
          <w:szCs w:val="24"/>
        </w:rPr>
        <w:tab/>
      </w:r>
      <w:r w:rsidR="008E30ED">
        <w:rPr>
          <w:sz w:val="24"/>
          <w:szCs w:val="24"/>
        </w:rPr>
        <w:t>Therefore</w:t>
      </w:r>
      <w:r w:rsidR="00A664A0">
        <w:rPr>
          <w:sz w:val="24"/>
          <w:szCs w:val="24"/>
        </w:rPr>
        <w:t xml:space="preserve">, </w:t>
      </w:r>
      <w:smartTag w:uri="urn:schemas-microsoft-com:office:smarttags" w:element="place">
        <w:smartTag w:uri="urn:schemas-microsoft-com:office:smarttags" w:element="country-region">
          <w:r w:rsidR="00B12362">
            <w:rPr>
              <w:sz w:val="24"/>
              <w:szCs w:val="24"/>
            </w:rPr>
            <w:t>Turkey</w:t>
          </w:r>
        </w:smartTag>
      </w:smartTag>
      <w:r w:rsidR="00B12362">
        <w:rPr>
          <w:sz w:val="24"/>
          <w:szCs w:val="24"/>
        </w:rPr>
        <w:t xml:space="preserve"> </w:t>
      </w:r>
      <w:r w:rsidR="00A664A0">
        <w:rPr>
          <w:sz w:val="24"/>
          <w:szCs w:val="24"/>
        </w:rPr>
        <w:t>kindly request</w:t>
      </w:r>
      <w:r w:rsidR="00B12362">
        <w:rPr>
          <w:sz w:val="24"/>
          <w:szCs w:val="24"/>
        </w:rPr>
        <w:t>s</w:t>
      </w:r>
      <w:r w:rsidR="00A664A0">
        <w:rPr>
          <w:sz w:val="24"/>
          <w:szCs w:val="24"/>
        </w:rPr>
        <w:t xml:space="preserve"> the Commission to terminate the ongoing investigation without imposition of any measure.  </w:t>
      </w:r>
    </w:p>
    <w:p w:rsidR="00BC0FEC" w:rsidRDefault="00BC0FEC" w:rsidP="00397ED0">
      <w:pPr>
        <w:spacing w:line="360" w:lineRule="auto"/>
        <w:jc w:val="both"/>
        <w:rPr>
          <w:sz w:val="24"/>
          <w:szCs w:val="24"/>
        </w:rPr>
      </w:pPr>
    </w:p>
    <w:p w:rsidR="00A664A0" w:rsidRPr="00A664A0" w:rsidRDefault="00A664A0" w:rsidP="00397ED0">
      <w:pPr>
        <w:spacing w:line="360" w:lineRule="auto"/>
        <w:jc w:val="both"/>
        <w:rPr>
          <w:sz w:val="24"/>
          <w:szCs w:val="24"/>
        </w:rPr>
      </w:pPr>
      <w:r>
        <w:rPr>
          <w:sz w:val="24"/>
          <w:szCs w:val="24"/>
        </w:rPr>
        <w:tab/>
      </w:r>
      <w:smartTag w:uri="urn:schemas-microsoft-com:office:smarttags" w:element="place">
        <w:smartTag w:uri="urn:schemas-microsoft-com:office:smarttags" w:element="country-region">
          <w:r w:rsidRPr="00A664A0">
            <w:rPr>
              <w:sz w:val="24"/>
              <w:szCs w:val="24"/>
            </w:rPr>
            <w:t>Turkey</w:t>
          </w:r>
        </w:smartTag>
      </w:smartTag>
      <w:r w:rsidRPr="00A664A0">
        <w:rPr>
          <w:sz w:val="24"/>
          <w:szCs w:val="24"/>
        </w:rPr>
        <w:t xml:space="preserve"> follows this investigation closely and reserves all its rights under the WTO Agreements.</w:t>
      </w:r>
    </w:p>
    <w:sectPr w:rsidR="00A664A0" w:rsidRPr="00A664A0" w:rsidSect="001A6C7B">
      <w:headerReference w:type="default" r:id="rId8"/>
      <w:footerReference w:type="even" r:id="rId9"/>
      <w:footerReference w:type="default" r:id="rId10"/>
      <w:pgSz w:w="11906" w:h="16838"/>
      <w:pgMar w:top="1258" w:right="1417" w:bottom="107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E79" w:rsidRDefault="002A0E79">
      <w:r>
        <w:separator/>
      </w:r>
    </w:p>
  </w:endnote>
  <w:endnote w:type="continuationSeparator" w:id="0">
    <w:p w:rsidR="002A0E79" w:rsidRDefault="002A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53" w:rsidRDefault="009D7E53" w:rsidP="00B720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7E53" w:rsidRDefault="009D7E53" w:rsidP="00532F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53" w:rsidRDefault="009D7E53" w:rsidP="00B720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6CA">
      <w:rPr>
        <w:rStyle w:val="PageNumber"/>
        <w:noProof/>
      </w:rPr>
      <w:t>1</w:t>
    </w:r>
    <w:r>
      <w:rPr>
        <w:rStyle w:val="PageNumber"/>
      </w:rPr>
      <w:fldChar w:fldCharType="end"/>
    </w:r>
  </w:p>
  <w:p w:rsidR="009D7E53" w:rsidRDefault="009D7E53" w:rsidP="00532F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E79" w:rsidRDefault="002A0E79">
      <w:r>
        <w:separator/>
      </w:r>
    </w:p>
  </w:footnote>
  <w:footnote w:type="continuationSeparator" w:id="0">
    <w:p w:rsidR="002A0E79" w:rsidRDefault="002A0E79">
      <w:r>
        <w:continuationSeparator/>
      </w:r>
    </w:p>
  </w:footnote>
  <w:footnote w:id="1">
    <w:p w:rsidR="009D7E53" w:rsidRPr="00CF7DF6" w:rsidRDefault="009D7E53">
      <w:pPr>
        <w:pStyle w:val="FootnoteText"/>
      </w:pPr>
      <w:r>
        <w:rPr>
          <w:rStyle w:val="FootnoteReference"/>
        </w:rPr>
        <w:footnoteRef/>
      </w:r>
      <w:r>
        <w:t xml:space="preserve"> </w:t>
      </w:r>
      <w:r>
        <w:rPr>
          <w:lang w:val="tr-TR"/>
        </w:rPr>
        <w:t>Non-Confidential Version of SPC Ardmona’s Submission, page 30.</w:t>
      </w:r>
    </w:p>
  </w:footnote>
  <w:footnote w:id="2">
    <w:p w:rsidR="009D7E53" w:rsidRPr="00D21F18" w:rsidRDefault="009D7E53">
      <w:pPr>
        <w:pStyle w:val="FootnoteText"/>
        <w:rPr>
          <w:lang w:val="tr-TR"/>
        </w:rPr>
      </w:pPr>
      <w:r>
        <w:rPr>
          <w:rStyle w:val="FootnoteReference"/>
        </w:rPr>
        <w:footnoteRef/>
      </w:r>
      <w:r>
        <w:t xml:space="preserve"> </w:t>
      </w:r>
      <w:r>
        <w:rPr>
          <w:lang w:val="tr-TR"/>
        </w:rPr>
        <w:t xml:space="preserve">Non-Confidential </w:t>
      </w:r>
      <w:r>
        <w:rPr>
          <w:lang w:val="tr-TR"/>
        </w:rPr>
        <w:t>Version of SPC Ardmona’s Submission, page 3.</w:t>
      </w:r>
    </w:p>
  </w:footnote>
  <w:footnote w:id="3">
    <w:p w:rsidR="009D7E53" w:rsidRPr="00543CB3" w:rsidRDefault="009D7E53">
      <w:pPr>
        <w:pStyle w:val="FootnoteText"/>
        <w:rPr>
          <w:lang w:val="tr-TR"/>
        </w:rPr>
      </w:pPr>
      <w:r>
        <w:rPr>
          <w:rStyle w:val="FootnoteReference"/>
        </w:rPr>
        <w:footnoteRef/>
      </w:r>
      <w:r>
        <w:t xml:space="preserve"> </w:t>
      </w:r>
      <w:r>
        <w:rPr>
          <w:lang w:val="tr-TR"/>
        </w:rPr>
        <w:t xml:space="preserve">Non-Confidential </w:t>
      </w:r>
      <w:r>
        <w:rPr>
          <w:lang w:val="tr-TR"/>
        </w:rPr>
        <w:t>Version of SPC Ardmona’s Submission, page 3.</w:t>
      </w:r>
    </w:p>
  </w:footnote>
  <w:footnote w:id="4">
    <w:p w:rsidR="009D7E53" w:rsidRPr="00140EBC" w:rsidRDefault="009D7E53">
      <w:pPr>
        <w:pStyle w:val="FootnoteText"/>
      </w:pPr>
      <w:r>
        <w:rPr>
          <w:rStyle w:val="FootnoteReference"/>
        </w:rPr>
        <w:footnoteRef/>
      </w:r>
      <w:r>
        <w:t xml:space="preserve"> </w:t>
      </w:r>
      <w:bookmarkStart w:id="1" w:name="OLE_LINK1"/>
      <w:bookmarkStart w:id="2" w:name="OLE_LINK2"/>
      <w:r>
        <w:rPr>
          <w:lang w:val="tr-TR"/>
        </w:rPr>
        <w:t xml:space="preserve">Non-Confidential </w:t>
      </w:r>
      <w:r>
        <w:rPr>
          <w:lang w:val="tr-TR"/>
        </w:rPr>
        <w:t>Version of SPC Ardmona’s Submission, page 3.</w:t>
      </w:r>
      <w:bookmarkEnd w:id="1"/>
      <w:bookmarkEnd w:id="2"/>
    </w:p>
  </w:footnote>
  <w:footnote w:id="5">
    <w:p w:rsidR="009D7E53" w:rsidRPr="00AA5EAC" w:rsidRDefault="009D7E53">
      <w:pPr>
        <w:pStyle w:val="FootnoteText"/>
        <w:rPr>
          <w:lang w:val="tr-TR"/>
        </w:rPr>
      </w:pPr>
      <w:r>
        <w:rPr>
          <w:rStyle w:val="FootnoteReference"/>
        </w:rPr>
        <w:footnoteRef/>
      </w:r>
      <w:r>
        <w:t xml:space="preserve"> </w:t>
      </w:r>
      <w:hyperlink r:id="rId1" w:tgtFrame="_blank" w:history="1">
        <w:r w:rsidRPr="006F01CF">
          <w:rPr>
            <w:rStyle w:val="Hyperlink"/>
            <w:shd w:val="clear" w:color="auto" w:fill="FFFFFF"/>
          </w:rPr>
          <w:t>Appellate Body Report,</w:t>
        </w:r>
        <w:r w:rsidRPr="006F01CF">
          <w:rPr>
            <w:rStyle w:val="apple-converted-space"/>
            <w:color w:val="0000FF"/>
            <w:u w:val="single"/>
            <w:shd w:val="clear" w:color="auto" w:fill="FFFFFF"/>
          </w:rPr>
          <w:t> </w:t>
        </w:r>
        <w:r w:rsidRPr="006F01CF">
          <w:rPr>
            <w:rStyle w:val="Hyperlink"/>
            <w:i/>
            <w:iCs/>
            <w:shd w:val="clear" w:color="auto" w:fill="FFFFFF"/>
          </w:rPr>
          <w:t>US — Lamb</w:t>
        </w:r>
      </w:hyperlink>
      <w:r w:rsidRPr="006F01CF">
        <w:rPr>
          <w:color w:val="000000"/>
          <w:shd w:val="clear" w:color="auto" w:fill="FFFFFF"/>
        </w:rPr>
        <w:t xml:space="preserve">, </w:t>
      </w:r>
      <w:proofErr w:type="spellStart"/>
      <w:r w:rsidRPr="006F01CF">
        <w:rPr>
          <w:color w:val="000000"/>
          <w:shd w:val="clear" w:color="auto" w:fill="FFFFFF"/>
        </w:rPr>
        <w:t>para</w:t>
      </w:r>
      <w:proofErr w:type="spellEnd"/>
      <w:r w:rsidRPr="006F01CF">
        <w:rPr>
          <w:color w:val="000000"/>
          <w:shd w:val="clear" w:color="auto" w:fill="FFFFFF"/>
        </w:rPr>
        <w:t>. 88.</w:t>
      </w:r>
    </w:p>
  </w:footnote>
  <w:footnote w:id="6">
    <w:p w:rsidR="009D7E53" w:rsidRPr="00C93D55" w:rsidRDefault="009D7E53">
      <w:pPr>
        <w:pStyle w:val="FootnoteText"/>
        <w:rPr>
          <w:lang w:val="tr-TR"/>
        </w:rPr>
      </w:pPr>
      <w:r>
        <w:rPr>
          <w:rStyle w:val="FootnoteReference"/>
        </w:rPr>
        <w:footnoteRef/>
      </w:r>
      <w:r>
        <w:t xml:space="preserve"> </w:t>
      </w:r>
      <w:r>
        <w:rPr>
          <w:lang w:val="tr-TR"/>
        </w:rPr>
        <w:t>Non-Confidential Version of SPC Ardmona’s Submission, page 3.</w:t>
      </w:r>
    </w:p>
  </w:footnote>
  <w:footnote w:id="7">
    <w:p w:rsidR="009D7E53" w:rsidRPr="001D3089" w:rsidRDefault="009D7E53">
      <w:pPr>
        <w:pStyle w:val="FootnoteText"/>
        <w:rPr>
          <w:lang w:val="tr-TR"/>
        </w:rPr>
      </w:pPr>
      <w:r>
        <w:rPr>
          <w:rStyle w:val="FootnoteReference"/>
        </w:rPr>
        <w:footnoteRef/>
      </w:r>
      <w:r w:rsidRPr="001D3089">
        <w:rPr>
          <w:lang w:val="tr-TR"/>
        </w:rPr>
        <w:t xml:space="preserve"> </w:t>
      </w:r>
      <w:hyperlink r:id="rId2" w:history="1">
        <w:r w:rsidRPr="001D3089">
          <w:rPr>
            <w:rStyle w:val="Hyperlink"/>
            <w:lang w:val="tr-TR"/>
          </w:rPr>
          <w:t>http://www.coles.com.au/about-coles/the-coles-story</w:t>
        </w:r>
      </w:hyperlink>
    </w:p>
  </w:footnote>
  <w:footnote w:id="8">
    <w:p w:rsidR="009D7E53" w:rsidRPr="001D3089" w:rsidRDefault="009D7E53">
      <w:pPr>
        <w:pStyle w:val="FootnoteText"/>
      </w:pPr>
      <w:r>
        <w:rPr>
          <w:rStyle w:val="FootnoteReference"/>
        </w:rPr>
        <w:footnoteRef/>
      </w:r>
      <w:r>
        <w:t xml:space="preserve"> </w:t>
      </w:r>
      <w:r w:rsidRPr="001D3089">
        <w:t>Submission</w:t>
      </w:r>
      <w:r>
        <w:t xml:space="preserve"> of Coles</w:t>
      </w:r>
      <w:r w:rsidRPr="001D3089">
        <w:t xml:space="preserve"> to Productivity Commission on Imports of Processed Fruit Products</w:t>
      </w:r>
      <w:r>
        <w:t>, page 3.</w:t>
      </w:r>
    </w:p>
  </w:footnote>
  <w:footnote w:id="9">
    <w:p w:rsidR="009D7E53" w:rsidRPr="00252C1A" w:rsidRDefault="009D7E53">
      <w:pPr>
        <w:pStyle w:val="FootnoteText"/>
        <w:rPr>
          <w:lang w:val="tr-TR"/>
        </w:rPr>
      </w:pPr>
      <w:r>
        <w:rPr>
          <w:rStyle w:val="FootnoteReference"/>
        </w:rPr>
        <w:footnoteRef/>
      </w:r>
      <w:r>
        <w:t xml:space="preserve"> </w:t>
      </w:r>
      <w:r>
        <w:rPr>
          <w:lang w:val="tr-TR"/>
        </w:rPr>
        <w:t>Water Saving Factsheet: Processed fruit and vegetables industry, Australian Industry Group</w:t>
      </w:r>
    </w:p>
  </w:footnote>
  <w:footnote w:id="10">
    <w:p w:rsidR="009D7E53" w:rsidRPr="00D678FA" w:rsidRDefault="009D7E53">
      <w:pPr>
        <w:pStyle w:val="FootnoteText"/>
        <w:rPr>
          <w:lang w:val="tr-TR"/>
        </w:rPr>
      </w:pPr>
      <w:r>
        <w:rPr>
          <w:rStyle w:val="FootnoteReference"/>
        </w:rPr>
        <w:footnoteRef/>
      </w:r>
      <w:r w:rsidRPr="00D678FA">
        <w:rPr>
          <w:lang w:val="tr-TR"/>
        </w:rPr>
        <w:t xml:space="preserve"> </w:t>
      </w:r>
      <w:hyperlink r:id="rId3" w:tgtFrame="_blank" w:history="1">
        <w:r>
          <w:rPr>
            <w:rStyle w:val="Hyperlink"/>
            <w:rFonts w:ascii="Trebuchet MS" w:hAnsi="Trebuchet MS"/>
            <w:sz w:val="17"/>
            <w:szCs w:val="17"/>
            <w:shd w:val="clear" w:color="auto" w:fill="FFFFFF"/>
          </w:rPr>
          <w:t>Appellate Body Report,</w:t>
        </w:r>
        <w:r>
          <w:rPr>
            <w:rStyle w:val="apple-converted-space"/>
            <w:rFonts w:ascii="Trebuchet MS" w:hAnsi="Trebuchet MS"/>
            <w:color w:val="0000FF"/>
            <w:sz w:val="17"/>
            <w:szCs w:val="17"/>
            <w:u w:val="single"/>
            <w:shd w:val="clear" w:color="auto" w:fill="FFFFFF"/>
          </w:rPr>
          <w:t> </w:t>
        </w:r>
        <w:r>
          <w:rPr>
            <w:rStyle w:val="Hyperlink"/>
            <w:rFonts w:ascii="Trebuchet MS" w:hAnsi="Trebuchet MS"/>
            <w:i/>
            <w:iCs/>
            <w:sz w:val="17"/>
            <w:szCs w:val="17"/>
            <w:shd w:val="clear" w:color="auto" w:fill="FFFFFF"/>
          </w:rPr>
          <w:t>Argentina — Footwear (EC)</w:t>
        </w:r>
      </w:hyperlink>
      <w:r>
        <w:rPr>
          <w:rFonts w:ascii="Trebuchet MS" w:hAnsi="Trebuchet MS"/>
          <w:color w:val="000000"/>
          <w:sz w:val="17"/>
          <w:szCs w:val="17"/>
          <w:shd w:val="clear" w:color="auto" w:fill="FFFFFF"/>
        </w:rPr>
        <w:t xml:space="preserve">, </w:t>
      </w:r>
      <w:proofErr w:type="spellStart"/>
      <w:r>
        <w:rPr>
          <w:rFonts w:ascii="Trebuchet MS" w:hAnsi="Trebuchet MS"/>
          <w:color w:val="000000"/>
          <w:sz w:val="17"/>
          <w:szCs w:val="17"/>
          <w:shd w:val="clear" w:color="auto" w:fill="FFFFFF"/>
        </w:rPr>
        <w:t>para</w:t>
      </w:r>
      <w:proofErr w:type="spellEnd"/>
      <w:r>
        <w:rPr>
          <w:rFonts w:ascii="Trebuchet MS" w:hAnsi="Trebuchet MS"/>
          <w:color w:val="000000"/>
          <w:sz w:val="17"/>
          <w:szCs w:val="17"/>
          <w:shd w:val="clear" w:color="auto" w:fill="FFFFFF"/>
        </w:rPr>
        <w:t>. 131.</w:t>
      </w:r>
    </w:p>
  </w:footnote>
  <w:footnote w:id="11">
    <w:p w:rsidR="009D7E53" w:rsidRPr="00532F4C" w:rsidRDefault="009D7E53">
      <w:pPr>
        <w:pStyle w:val="FootnoteText"/>
        <w:rPr>
          <w:lang w:val="tr-TR"/>
        </w:rPr>
      </w:pPr>
      <w:r>
        <w:rPr>
          <w:rStyle w:val="FootnoteReference"/>
        </w:rPr>
        <w:footnoteRef/>
      </w:r>
      <w:r w:rsidRPr="00532F4C">
        <w:rPr>
          <w:lang w:val="tr-TR"/>
        </w:rPr>
        <w:t xml:space="preserve"> </w:t>
      </w:r>
      <w:hyperlink r:id="rId4" w:history="1">
        <w:r w:rsidRPr="00532F4C">
          <w:rPr>
            <w:rStyle w:val="Hyperlink"/>
            <w:lang w:val="tr-TR"/>
          </w:rPr>
          <w:t>http://www.rba.gov.au/speeches/2010/sp-dg-230210.html</w:t>
        </w:r>
      </w:hyperlink>
    </w:p>
  </w:footnote>
  <w:footnote w:id="12">
    <w:p w:rsidR="009D7E53" w:rsidRPr="00532F4C" w:rsidRDefault="009D7E53">
      <w:pPr>
        <w:pStyle w:val="FootnoteText"/>
        <w:rPr>
          <w:lang w:val="tr-TR"/>
        </w:rPr>
      </w:pPr>
      <w:r>
        <w:rPr>
          <w:rStyle w:val="FootnoteReference"/>
        </w:rPr>
        <w:footnoteRef/>
      </w:r>
      <w:r>
        <w:t xml:space="preserve"> </w:t>
      </w:r>
      <w:hyperlink r:id="rId5" w:tgtFrame="_blank" w:history="1">
        <w:r w:rsidRPr="00532F4C">
          <w:rPr>
            <w:rStyle w:val="Hyperlink"/>
            <w:shd w:val="clear" w:color="auto" w:fill="FFFFFF"/>
          </w:rPr>
          <w:t>Appellate Body Report,</w:t>
        </w:r>
        <w:r w:rsidRPr="00532F4C">
          <w:rPr>
            <w:rStyle w:val="apple-converted-space"/>
            <w:color w:val="0000FF"/>
            <w:u w:val="single"/>
            <w:shd w:val="clear" w:color="auto" w:fill="FFFFFF"/>
          </w:rPr>
          <w:t> </w:t>
        </w:r>
        <w:r w:rsidRPr="00532F4C">
          <w:rPr>
            <w:rStyle w:val="Hyperlink"/>
            <w:i/>
            <w:iCs/>
            <w:shd w:val="clear" w:color="auto" w:fill="FFFFFF"/>
          </w:rPr>
          <w:t>Argentina — Footwear (EC)</w:t>
        </w:r>
      </w:hyperlink>
      <w:r w:rsidRPr="00532F4C">
        <w:rPr>
          <w:color w:val="000000"/>
          <w:shd w:val="clear" w:color="auto" w:fill="FFFFFF"/>
        </w:rPr>
        <w:t xml:space="preserve">, </w:t>
      </w:r>
      <w:proofErr w:type="spellStart"/>
      <w:r w:rsidRPr="00532F4C">
        <w:rPr>
          <w:color w:val="000000"/>
          <w:shd w:val="clear" w:color="auto" w:fill="FFFFFF"/>
        </w:rPr>
        <w:t>para</w:t>
      </w:r>
      <w:proofErr w:type="spellEnd"/>
      <w:r w:rsidRPr="00532F4C">
        <w:rPr>
          <w:color w:val="000000"/>
          <w:shd w:val="clear" w:color="auto" w:fill="FFFFFF"/>
        </w:rPr>
        <w:t>. 91.</w:t>
      </w:r>
      <w:r w:rsidRPr="00532F4C">
        <w:t xml:space="preserve"> </w:t>
      </w:r>
      <w:r>
        <w:t xml:space="preserve">See </w:t>
      </w:r>
      <w:r>
        <w:rPr>
          <w:i/>
        </w:rPr>
        <w:t>Webster's Third New International Dictionary</w:t>
      </w:r>
      <w:r>
        <w:t>, (</w:t>
      </w:r>
      <w:proofErr w:type="spellStart"/>
      <w:r>
        <w:t>Encyclopaedia</w:t>
      </w:r>
      <w:proofErr w:type="spellEnd"/>
      <w:r>
        <w:t xml:space="preserve"> Britannica Inc., 1966) Vol. 3, p. 2496; and </w:t>
      </w:r>
      <w:r>
        <w:rPr>
          <w:i/>
        </w:rPr>
        <w:t>Black's Law Dictionary</w:t>
      </w:r>
      <w:r>
        <w:t>, 6th ed., (West Publishing Company, 1990) p. 1530.</w:t>
      </w:r>
    </w:p>
  </w:footnote>
  <w:footnote w:id="13">
    <w:p w:rsidR="009D7E53" w:rsidRPr="008929CB" w:rsidRDefault="009D7E53">
      <w:pPr>
        <w:pStyle w:val="FootnoteText"/>
        <w:rPr>
          <w:lang w:val="tr-TR"/>
        </w:rPr>
      </w:pPr>
      <w:r>
        <w:rPr>
          <w:rStyle w:val="FootnoteReference"/>
        </w:rPr>
        <w:footnoteRef/>
      </w:r>
      <w:r w:rsidRPr="008929CB">
        <w:rPr>
          <w:lang w:val="tr-TR"/>
        </w:rPr>
        <w:t xml:space="preserve"> </w:t>
      </w:r>
      <w:hyperlink r:id="rId6" w:history="1">
        <w:r w:rsidRPr="00532F4C">
          <w:rPr>
            <w:rStyle w:val="Hyperlink"/>
            <w:lang w:val="tr-TR"/>
          </w:rPr>
          <w:t>http://www.rba.gov.au/speeches/2010/sp-dg-230210.html</w:t>
        </w:r>
      </w:hyperlink>
    </w:p>
  </w:footnote>
  <w:footnote w:id="14">
    <w:p w:rsidR="009D7E53" w:rsidRPr="00436481" w:rsidRDefault="009D7E53">
      <w:pPr>
        <w:pStyle w:val="FootnoteText"/>
        <w:rPr>
          <w:lang w:val="tr-TR"/>
        </w:rPr>
      </w:pPr>
      <w:r>
        <w:rPr>
          <w:rStyle w:val="FootnoteReference"/>
        </w:rPr>
        <w:footnoteRef/>
      </w:r>
      <w:r>
        <w:t xml:space="preserve"> </w:t>
      </w:r>
      <w:r>
        <w:rPr>
          <w:lang w:val="tr-TR"/>
        </w:rPr>
        <w:t>Non-Confidential Version of SPC Ardmona’s Submission, page 14.</w:t>
      </w:r>
    </w:p>
  </w:footnote>
  <w:footnote w:id="15">
    <w:p w:rsidR="009D7E53" w:rsidRPr="009C5D8D" w:rsidRDefault="009D7E53">
      <w:pPr>
        <w:pStyle w:val="FootnoteText"/>
      </w:pPr>
      <w:r>
        <w:rPr>
          <w:rStyle w:val="FootnoteReference"/>
        </w:rPr>
        <w:footnoteRef/>
      </w:r>
      <w:r>
        <w:t xml:space="preserve"> </w:t>
      </w:r>
      <w:r>
        <w:rPr>
          <w:lang w:val="tr-TR"/>
        </w:rPr>
        <w:t xml:space="preserve">Non-Confidential </w:t>
      </w:r>
      <w:r>
        <w:rPr>
          <w:lang w:val="tr-TR"/>
        </w:rPr>
        <w:t>Version of SPC Ardmona’s Submission, page 37.</w:t>
      </w:r>
    </w:p>
  </w:footnote>
  <w:footnote w:id="16">
    <w:p w:rsidR="009D7E53" w:rsidRPr="00C33932" w:rsidRDefault="009D7E53">
      <w:pPr>
        <w:pStyle w:val="FootnoteText"/>
        <w:rPr>
          <w:lang w:val="tr-TR"/>
        </w:rPr>
      </w:pPr>
      <w:r>
        <w:rPr>
          <w:rStyle w:val="FootnoteReference"/>
        </w:rPr>
        <w:footnoteRef/>
      </w:r>
      <w:r>
        <w:t xml:space="preserve"> </w:t>
      </w:r>
      <w:r>
        <w:rPr>
          <w:lang w:val="tr-TR"/>
        </w:rPr>
        <w:t xml:space="preserve">Non-Confidential </w:t>
      </w:r>
      <w:r>
        <w:rPr>
          <w:lang w:val="tr-TR"/>
        </w:rPr>
        <w:t>Version of SPC Ardmona’s Submission, page 18.</w:t>
      </w:r>
    </w:p>
  </w:footnote>
  <w:footnote w:id="17">
    <w:p w:rsidR="009D7E53" w:rsidRPr="00F463ED" w:rsidRDefault="009D7E53">
      <w:pPr>
        <w:pStyle w:val="FootnoteText"/>
        <w:rPr>
          <w:lang w:val="tr-TR"/>
        </w:rPr>
      </w:pPr>
      <w:r>
        <w:rPr>
          <w:rStyle w:val="FootnoteReference"/>
        </w:rPr>
        <w:footnoteRef/>
      </w:r>
      <w:hyperlink r:id="rId7" w:history="1">
        <w:r w:rsidRPr="00F463ED">
          <w:rPr>
            <w:rStyle w:val="Hyperlink"/>
            <w:lang w:val="tr-TR"/>
          </w:rPr>
          <w:t>http://www.aph.gov.au/parliamentary_business/committees/senate_committees?url=foodprocessing_ctte/foodprocessing/report/index.htm</w:t>
        </w:r>
      </w:hyperlink>
    </w:p>
  </w:footnote>
  <w:footnote w:id="18">
    <w:p w:rsidR="009D7E53" w:rsidRPr="00B81129" w:rsidRDefault="009D7E53" w:rsidP="00A13178">
      <w:pPr>
        <w:autoSpaceDE w:val="0"/>
        <w:autoSpaceDN w:val="0"/>
        <w:adjustRightInd w:val="0"/>
        <w:jc w:val="both"/>
        <w:rPr>
          <w:i/>
          <w:iCs/>
          <w:lang w:eastAsia="tr-TR"/>
        </w:rPr>
      </w:pPr>
      <w:r>
        <w:rPr>
          <w:rStyle w:val="FootnoteReference"/>
        </w:rPr>
        <w:footnoteRef/>
      </w:r>
      <w:r>
        <w:t xml:space="preserve"> </w:t>
      </w:r>
      <w:r w:rsidRPr="00B81129">
        <w:t xml:space="preserve">Select Committee Report on </w:t>
      </w:r>
      <w:smartTag w:uri="urn:schemas-microsoft-com:office:smarttags" w:element="place">
        <w:smartTag w:uri="urn:schemas-microsoft-com:office:smarttags" w:element="country-region">
          <w:r w:rsidRPr="00B81129">
            <w:t>Australia</w:t>
          </w:r>
        </w:smartTag>
      </w:smartTag>
      <w:r w:rsidRPr="00B81129">
        <w:t xml:space="preserve">’s Food Processing Report, page 16. See also </w:t>
      </w:r>
      <w:r w:rsidRPr="00B81129">
        <w:rPr>
          <w:lang w:eastAsia="tr-TR"/>
        </w:rPr>
        <w:t xml:space="preserve">Department of Agriculture, Fisheries and Forestry, </w:t>
      </w:r>
      <w:r w:rsidRPr="00B81129">
        <w:rPr>
          <w:i/>
          <w:iCs/>
          <w:lang w:eastAsia="tr-TR"/>
        </w:rPr>
        <w:t>Issues paper to inform development of a national food plan</w:t>
      </w:r>
      <w:r w:rsidRPr="00B81129">
        <w:rPr>
          <w:lang w:eastAsia="tr-TR"/>
        </w:rPr>
        <w:t>, 2011, p. 32.</w:t>
      </w:r>
    </w:p>
  </w:footnote>
  <w:footnote w:id="19">
    <w:p w:rsidR="009D7E53" w:rsidRPr="00B81129" w:rsidRDefault="009D7E53">
      <w:pPr>
        <w:pStyle w:val="FootnoteText"/>
      </w:pPr>
      <w:r w:rsidRPr="00B81129">
        <w:rPr>
          <w:rStyle w:val="FootnoteReference"/>
        </w:rPr>
        <w:footnoteRef/>
      </w:r>
      <w:r w:rsidRPr="00B81129">
        <w:t xml:space="preserve"> Select Committee Report on </w:t>
      </w:r>
      <w:smartTag w:uri="urn:schemas-microsoft-com:office:smarttags" w:element="country-region">
        <w:smartTag w:uri="urn:schemas-microsoft-com:office:smarttags" w:element="place">
          <w:r w:rsidRPr="00B81129">
            <w:t>Australia</w:t>
          </w:r>
        </w:smartTag>
      </w:smartTag>
      <w:r w:rsidRPr="00B81129">
        <w:t>’s Food Processing Report, page 18.</w:t>
      </w:r>
    </w:p>
  </w:footnote>
  <w:footnote w:id="20">
    <w:p w:rsidR="009D7E53" w:rsidRPr="00B81129" w:rsidRDefault="009D7E53">
      <w:pPr>
        <w:pStyle w:val="FootnoteText"/>
      </w:pPr>
      <w:r w:rsidRPr="00B81129">
        <w:rPr>
          <w:rStyle w:val="FootnoteReference"/>
        </w:rPr>
        <w:footnoteRef/>
      </w:r>
      <w:r w:rsidRPr="00B81129">
        <w:t xml:space="preserve"> Ibid, page 22.</w:t>
      </w:r>
    </w:p>
  </w:footnote>
  <w:footnote w:id="21">
    <w:p w:rsidR="009D7E53" w:rsidRPr="00B81129" w:rsidRDefault="009D7E53">
      <w:pPr>
        <w:pStyle w:val="FootnoteText"/>
      </w:pPr>
      <w:r w:rsidRPr="00B81129">
        <w:rPr>
          <w:rStyle w:val="FootnoteReference"/>
        </w:rPr>
        <w:footnoteRef/>
      </w:r>
      <w:r w:rsidRPr="00B81129">
        <w:t xml:space="preserve"> Ibid, page 23. See also </w:t>
      </w:r>
      <w:r w:rsidRPr="00B81129">
        <w:rPr>
          <w:lang w:eastAsia="tr-TR"/>
        </w:rPr>
        <w:t xml:space="preserve">Webster Ltd, </w:t>
      </w:r>
      <w:r w:rsidRPr="00B81129">
        <w:rPr>
          <w:i/>
          <w:iCs/>
          <w:lang w:eastAsia="tr-TR"/>
        </w:rPr>
        <w:t>Submission 58</w:t>
      </w:r>
      <w:r w:rsidRPr="00B81129">
        <w:rPr>
          <w:lang w:eastAsia="tr-TR"/>
        </w:rPr>
        <w:t>, p. 4.</w:t>
      </w:r>
    </w:p>
  </w:footnote>
  <w:footnote w:id="22">
    <w:p w:rsidR="009D7E53" w:rsidRPr="001A0E79" w:rsidRDefault="009D7E53">
      <w:pPr>
        <w:pStyle w:val="FootnoteText"/>
        <w:rPr>
          <w:lang w:val="tr-TR"/>
        </w:rPr>
      </w:pPr>
      <w:r>
        <w:rPr>
          <w:rStyle w:val="FootnoteReference"/>
        </w:rPr>
        <w:footnoteRef/>
      </w:r>
      <w:r>
        <w:t xml:space="preserve"> Ibid, page 26</w:t>
      </w:r>
      <w:r w:rsidRPr="00B81129">
        <w:t>.</w:t>
      </w:r>
      <w:r>
        <w:t xml:space="preserve"> See also </w:t>
      </w:r>
      <w:r w:rsidRPr="001A0E79">
        <w:rPr>
          <w:lang w:eastAsia="tr-TR"/>
        </w:rPr>
        <w:t xml:space="preserve">Coca-Cola </w:t>
      </w:r>
      <w:proofErr w:type="spellStart"/>
      <w:r w:rsidRPr="001A0E79">
        <w:rPr>
          <w:lang w:eastAsia="tr-TR"/>
        </w:rPr>
        <w:t>Amatil</w:t>
      </w:r>
      <w:proofErr w:type="spellEnd"/>
      <w:r w:rsidRPr="001A0E79">
        <w:rPr>
          <w:lang w:eastAsia="tr-TR"/>
        </w:rPr>
        <w:t xml:space="preserve">, </w:t>
      </w:r>
      <w:r w:rsidRPr="001A0E79">
        <w:rPr>
          <w:i/>
          <w:iCs/>
          <w:lang w:eastAsia="tr-TR"/>
        </w:rPr>
        <w:t>Submission 44</w:t>
      </w:r>
      <w:r w:rsidRPr="001A0E79">
        <w:rPr>
          <w:lang w:eastAsia="tr-TR"/>
        </w:rPr>
        <w:t>, p.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9"/>
      <w:gridCol w:w="7092"/>
    </w:tblGrid>
    <w:tr w:rsidR="009D7E53" w:rsidTr="005E0F69">
      <w:trPr>
        <w:trHeight w:val="1974"/>
      </w:trPr>
      <w:tc>
        <w:tcPr>
          <w:tcW w:w="2169" w:type="dxa"/>
          <w:tcBorders>
            <w:top w:val="single" w:sz="4" w:space="0" w:color="auto"/>
            <w:left w:val="single" w:sz="4" w:space="0" w:color="auto"/>
            <w:bottom w:val="single" w:sz="4" w:space="0" w:color="auto"/>
            <w:right w:val="single" w:sz="4" w:space="0" w:color="auto"/>
          </w:tcBorders>
        </w:tcPr>
        <w:p w:rsidR="009D7E53" w:rsidRPr="00DF1262" w:rsidRDefault="009D7E53" w:rsidP="005E0F69">
          <w:pPr>
            <w:ind w:right="-250"/>
          </w:pPr>
          <w:r>
            <w:object w:dxaOrig="2055" w:dyaOrig="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96pt" o:ole="">
                <v:imagedata r:id="rId1" o:title=""/>
              </v:shape>
              <o:OLEObject Type="Embed" ProgID="PBrush" ShapeID="_x0000_i1025" DrawAspect="Content" ObjectID="_1439288002" r:id="rId2"/>
            </w:object>
          </w:r>
        </w:p>
      </w:tc>
      <w:tc>
        <w:tcPr>
          <w:tcW w:w="7092" w:type="dxa"/>
          <w:tcBorders>
            <w:top w:val="single" w:sz="4" w:space="0" w:color="auto"/>
            <w:left w:val="single" w:sz="4" w:space="0" w:color="auto"/>
            <w:bottom w:val="single" w:sz="4" w:space="0" w:color="auto"/>
            <w:right w:val="single" w:sz="4" w:space="0" w:color="auto"/>
          </w:tcBorders>
          <w:shd w:val="pct5" w:color="000000" w:fill="FFFFFF"/>
        </w:tcPr>
        <w:p w:rsidR="009D7E53" w:rsidRDefault="009D7E53" w:rsidP="005E0F69">
          <w:pPr>
            <w:pStyle w:val="Header"/>
            <w:ind w:firstLine="213"/>
            <w:rPr>
              <w:b/>
              <w:sz w:val="10"/>
            </w:rPr>
          </w:pPr>
        </w:p>
        <w:p w:rsidR="009D7E53" w:rsidRDefault="009D7E53" w:rsidP="005E0F69">
          <w:pPr>
            <w:pStyle w:val="Header"/>
            <w:rPr>
              <w:b/>
            </w:rPr>
          </w:pPr>
          <w:r>
            <w:rPr>
              <w:b/>
            </w:rPr>
            <w:t xml:space="preserve">   </w:t>
          </w:r>
        </w:p>
        <w:p w:rsidR="009D7E53" w:rsidRPr="000E2A78" w:rsidRDefault="009D7E53" w:rsidP="005E0F69">
          <w:pPr>
            <w:pStyle w:val="Header"/>
            <w:ind w:left="171" w:hanging="290"/>
            <w:jc w:val="both"/>
            <w:rPr>
              <w:rFonts w:eastAsia="Arial Unicode MS"/>
              <w:b/>
              <w:sz w:val="28"/>
              <w:szCs w:val="28"/>
            </w:rPr>
          </w:pPr>
          <w:r>
            <w:rPr>
              <w:b/>
            </w:rPr>
            <w:t xml:space="preserve">       </w:t>
          </w:r>
          <w:smartTag w:uri="urn:schemas-microsoft-com:office:smarttags" w:element="place">
            <w:smartTag w:uri="urn:schemas-microsoft-com:office:smarttags" w:element="PlaceType">
              <w:r w:rsidRPr="000E2A78">
                <w:rPr>
                  <w:rFonts w:eastAsia="Arial Unicode MS"/>
                  <w:b/>
                  <w:sz w:val="28"/>
                  <w:szCs w:val="28"/>
                </w:rPr>
                <w:t>REPUBLIC</w:t>
              </w:r>
            </w:smartTag>
            <w:r w:rsidRPr="000E2A78">
              <w:rPr>
                <w:rFonts w:eastAsia="Arial Unicode MS"/>
                <w:b/>
                <w:sz w:val="28"/>
                <w:szCs w:val="28"/>
              </w:rPr>
              <w:t xml:space="preserve"> OF </w:t>
            </w:r>
            <w:smartTag w:uri="urn:schemas-microsoft-com:office:smarttags" w:element="PlaceName">
              <w:r w:rsidRPr="000E2A78">
                <w:rPr>
                  <w:rFonts w:eastAsia="Arial Unicode MS"/>
                  <w:b/>
                  <w:sz w:val="28"/>
                  <w:szCs w:val="28"/>
                </w:rPr>
                <w:t>TURKEY</w:t>
              </w:r>
            </w:smartTag>
          </w:smartTag>
        </w:p>
        <w:p w:rsidR="009D7E53" w:rsidRPr="000E2A78" w:rsidRDefault="009D7E53" w:rsidP="005E0F69">
          <w:pPr>
            <w:pStyle w:val="Header"/>
            <w:ind w:firstLine="213"/>
            <w:jc w:val="both"/>
            <w:rPr>
              <w:rFonts w:eastAsia="Arial Unicode MS"/>
              <w:b/>
              <w:sz w:val="28"/>
              <w:szCs w:val="28"/>
            </w:rPr>
          </w:pPr>
          <w:r w:rsidRPr="000E2A78">
            <w:rPr>
              <w:rFonts w:eastAsia="Arial Unicode MS"/>
              <w:b/>
              <w:sz w:val="28"/>
              <w:szCs w:val="28"/>
            </w:rPr>
            <w:t>MINISTRY OF ECONOMY</w:t>
          </w:r>
        </w:p>
        <w:p w:rsidR="009D7E53" w:rsidRPr="000E2A78" w:rsidRDefault="009D7E53" w:rsidP="005E0F69">
          <w:pPr>
            <w:pStyle w:val="Header"/>
            <w:ind w:firstLine="213"/>
            <w:jc w:val="both"/>
            <w:rPr>
              <w:rFonts w:eastAsia="Arial Unicode MS"/>
              <w:b/>
              <w:sz w:val="28"/>
              <w:szCs w:val="28"/>
            </w:rPr>
          </w:pPr>
          <w:r w:rsidRPr="000E2A78">
            <w:rPr>
              <w:rFonts w:eastAsia="Arial Unicode MS"/>
              <w:b/>
              <w:sz w:val="28"/>
              <w:szCs w:val="28"/>
            </w:rPr>
            <w:t>DIRECTORATE</w:t>
          </w:r>
          <w:r>
            <w:rPr>
              <w:rFonts w:eastAsia="Arial Unicode MS"/>
              <w:b/>
              <w:sz w:val="28"/>
              <w:szCs w:val="28"/>
            </w:rPr>
            <w:t xml:space="preserve"> GENERAL</w:t>
          </w:r>
          <w:r w:rsidRPr="000E2A78">
            <w:rPr>
              <w:rFonts w:eastAsia="Arial Unicode MS"/>
              <w:b/>
              <w:sz w:val="28"/>
              <w:szCs w:val="28"/>
            </w:rPr>
            <w:t xml:space="preserve"> OF EXPORTS</w:t>
          </w:r>
        </w:p>
        <w:p w:rsidR="009D7E53" w:rsidRPr="000E2A78" w:rsidRDefault="009D7E53" w:rsidP="005E0F69">
          <w:pPr>
            <w:pStyle w:val="Header"/>
            <w:ind w:firstLine="213"/>
            <w:jc w:val="both"/>
            <w:rPr>
              <w:rFonts w:eastAsia="Arial Unicode MS"/>
              <w:b/>
              <w:sz w:val="4"/>
              <w:szCs w:val="4"/>
            </w:rPr>
          </w:pPr>
        </w:p>
        <w:p w:rsidR="009D7E53" w:rsidRDefault="009D7E53" w:rsidP="005E0F69">
          <w:pPr>
            <w:pStyle w:val="Header"/>
            <w:ind w:firstLine="213"/>
            <w:jc w:val="both"/>
            <w:rPr>
              <w:sz w:val="10"/>
            </w:rPr>
          </w:pPr>
        </w:p>
        <w:p w:rsidR="009D7E53" w:rsidRDefault="009D7E53" w:rsidP="005E0F69">
          <w:pPr>
            <w:pStyle w:val="Header"/>
            <w:ind w:firstLine="213"/>
            <w:jc w:val="both"/>
            <w:rPr>
              <w:sz w:val="10"/>
            </w:rPr>
          </w:pPr>
        </w:p>
        <w:p w:rsidR="009D7E53" w:rsidRDefault="009D7E53" w:rsidP="005E0F69">
          <w:pPr>
            <w:pStyle w:val="Header"/>
            <w:ind w:firstLine="213"/>
            <w:jc w:val="both"/>
            <w:rPr>
              <w:sz w:val="10"/>
            </w:rPr>
          </w:pPr>
        </w:p>
        <w:p w:rsidR="009D7E53" w:rsidRDefault="009D7E53" w:rsidP="005E0F69">
          <w:pPr>
            <w:pStyle w:val="Header"/>
            <w:jc w:val="both"/>
            <w:rPr>
              <w:sz w:val="10"/>
            </w:rPr>
          </w:pPr>
        </w:p>
        <w:p w:rsidR="009D7E53" w:rsidRPr="001A6C7B" w:rsidRDefault="009D7E53" w:rsidP="005E0F69">
          <w:pPr>
            <w:pStyle w:val="Header"/>
            <w:ind w:firstLine="213"/>
            <w:jc w:val="both"/>
            <w:rPr>
              <w:sz w:val="28"/>
              <w:szCs w:val="28"/>
            </w:rPr>
          </w:pPr>
          <w:r>
            <w:rPr>
              <w:sz w:val="10"/>
            </w:rPr>
            <w:t xml:space="preserve">                                                                                                                                                                                                        </w:t>
          </w:r>
          <w:r w:rsidRPr="001A6C7B">
            <w:rPr>
              <w:sz w:val="28"/>
              <w:szCs w:val="28"/>
            </w:rPr>
            <w:t>August 5, 2013</w:t>
          </w:r>
        </w:p>
      </w:tc>
    </w:tr>
  </w:tbl>
  <w:p w:rsidR="009D7E53" w:rsidRDefault="009D7E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0C"/>
    <w:rsid w:val="000073E5"/>
    <w:rsid w:val="00014F8E"/>
    <w:rsid w:val="00023BF1"/>
    <w:rsid w:val="0002544F"/>
    <w:rsid w:val="0003045B"/>
    <w:rsid w:val="00032605"/>
    <w:rsid w:val="000426BE"/>
    <w:rsid w:val="0004330F"/>
    <w:rsid w:val="00043472"/>
    <w:rsid w:val="00057F51"/>
    <w:rsid w:val="00061CE5"/>
    <w:rsid w:val="00085D9D"/>
    <w:rsid w:val="000A01F8"/>
    <w:rsid w:val="000A6F9B"/>
    <w:rsid w:val="000C796E"/>
    <w:rsid w:val="000D32C5"/>
    <w:rsid w:val="000D4DDB"/>
    <w:rsid w:val="000D7D99"/>
    <w:rsid w:val="000E109D"/>
    <w:rsid w:val="000E2D89"/>
    <w:rsid w:val="000F385E"/>
    <w:rsid w:val="000F3EA9"/>
    <w:rsid w:val="000F5C71"/>
    <w:rsid w:val="000F667C"/>
    <w:rsid w:val="00100A64"/>
    <w:rsid w:val="00100C44"/>
    <w:rsid w:val="00135EF1"/>
    <w:rsid w:val="001379E5"/>
    <w:rsid w:val="00140EBC"/>
    <w:rsid w:val="0014382C"/>
    <w:rsid w:val="001534E1"/>
    <w:rsid w:val="00170099"/>
    <w:rsid w:val="00182281"/>
    <w:rsid w:val="00193183"/>
    <w:rsid w:val="001A0E79"/>
    <w:rsid w:val="001A5A7B"/>
    <w:rsid w:val="001A6C7B"/>
    <w:rsid w:val="001B048B"/>
    <w:rsid w:val="001B247E"/>
    <w:rsid w:val="001B6BCB"/>
    <w:rsid w:val="001C1C2B"/>
    <w:rsid w:val="001C2698"/>
    <w:rsid w:val="001C755F"/>
    <w:rsid w:val="001D3089"/>
    <w:rsid w:val="001D3C76"/>
    <w:rsid w:val="001D6E6A"/>
    <w:rsid w:val="001E162E"/>
    <w:rsid w:val="001E2EFC"/>
    <w:rsid w:val="001F79E0"/>
    <w:rsid w:val="00202900"/>
    <w:rsid w:val="0020309A"/>
    <w:rsid w:val="0020567F"/>
    <w:rsid w:val="00205827"/>
    <w:rsid w:val="00210B94"/>
    <w:rsid w:val="00211241"/>
    <w:rsid w:val="00211EF5"/>
    <w:rsid w:val="002336AE"/>
    <w:rsid w:val="00237D77"/>
    <w:rsid w:val="00245AD9"/>
    <w:rsid w:val="00252C1A"/>
    <w:rsid w:val="00252C49"/>
    <w:rsid w:val="002701CF"/>
    <w:rsid w:val="00276CE6"/>
    <w:rsid w:val="002839BB"/>
    <w:rsid w:val="002A0E79"/>
    <w:rsid w:val="002A38BD"/>
    <w:rsid w:val="002D2716"/>
    <w:rsid w:val="002D4376"/>
    <w:rsid w:val="002D518A"/>
    <w:rsid w:val="002E2D0C"/>
    <w:rsid w:val="002F0120"/>
    <w:rsid w:val="002F1363"/>
    <w:rsid w:val="0031680A"/>
    <w:rsid w:val="00320938"/>
    <w:rsid w:val="00320AC1"/>
    <w:rsid w:val="003221D3"/>
    <w:rsid w:val="00322F87"/>
    <w:rsid w:val="00350CC4"/>
    <w:rsid w:val="00352549"/>
    <w:rsid w:val="00355AAA"/>
    <w:rsid w:val="00364EDE"/>
    <w:rsid w:val="00382FA5"/>
    <w:rsid w:val="0038310A"/>
    <w:rsid w:val="00397ED0"/>
    <w:rsid w:val="003A00EB"/>
    <w:rsid w:val="003B0780"/>
    <w:rsid w:val="003D004E"/>
    <w:rsid w:val="003E2A7D"/>
    <w:rsid w:val="003F1804"/>
    <w:rsid w:val="003F5305"/>
    <w:rsid w:val="003F5A62"/>
    <w:rsid w:val="0040623B"/>
    <w:rsid w:val="004150E5"/>
    <w:rsid w:val="00416FD8"/>
    <w:rsid w:val="00417011"/>
    <w:rsid w:val="00422012"/>
    <w:rsid w:val="00427E91"/>
    <w:rsid w:val="00430D21"/>
    <w:rsid w:val="00434DF9"/>
    <w:rsid w:val="00436481"/>
    <w:rsid w:val="00461DF6"/>
    <w:rsid w:val="00464848"/>
    <w:rsid w:val="00493DCD"/>
    <w:rsid w:val="00496E15"/>
    <w:rsid w:val="00497F65"/>
    <w:rsid w:val="004A15B2"/>
    <w:rsid w:val="004A6E59"/>
    <w:rsid w:val="004B2479"/>
    <w:rsid w:val="004C56B6"/>
    <w:rsid w:val="004D2763"/>
    <w:rsid w:val="004D5A4F"/>
    <w:rsid w:val="004E14DA"/>
    <w:rsid w:val="004E36CF"/>
    <w:rsid w:val="00503B3B"/>
    <w:rsid w:val="00525EC9"/>
    <w:rsid w:val="00526B91"/>
    <w:rsid w:val="00532F4C"/>
    <w:rsid w:val="00535B61"/>
    <w:rsid w:val="0054109D"/>
    <w:rsid w:val="00543CB3"/>
    <w:rsid w:val="00544653"/>
    <w:rsid w:val="005540EA"/>
    <w:rsid w:val="00555D0E"/>
    <w:rsid w:val="00573F2B"/>
    <w:rsid w:val="005A0276"/>
    <w:rsid w:val="005A4831"/>
    <w:rsid w:val="005B4F44"/>
    <w:rsid w:val="005C7E8A"/>
    <w:rsid w:val="005D3348"/>
    <w:rsid w:val="005E0F69"/>
    <w:rsid w:val="005E1874"/>
    <w:rsid w:val="00615786"/>
    <w:rsid w:val="006200D2"/>
    <w:rsid w:val="00626443"/>
    <w:rsid w:val="00626C3D"/>
    <w:rsid w:val="00627C48"/>
    <w:rsid w:val="00633FA2"/>
    <w:rsid w:val="00636365"/>
    <w:rsid w:val="0064013A"/>
    <w:rsid w:val="00644757"/>
    <w:rsid w:val="00645848"/>
    <w:rsid w:val="00690EB3"/>
    <w:rsid w:val="006A28DD"/>
    <w:rsid w:val="006D2B0C"/>
    <w:rsid w:val="006E18EF"/>
    <w:rsid w:val="006E5B9F"/>
    <w:rsid w:val="006F01CF"/>
    <w:rsid w:val="006F04EE"/>
    <w:rsid w:val="006F5B30"/>
    <w:rsid w:val="00710356"/>
    <w:rsid w:val="0071757E"/>
    <w:rsid w:val="00735220"/>
    <w:rsid w:val="007353A5"/>
    <w:rsid w:val="00744BCC"/>
    <w:rsid w:val="007472E7"/>
    <w:rsid w:val="00753CC6"/>
    <w:rsid w:val="00766BBF"/>
    <w:rsid w:val="00767C16"/>
    <w:rsid w:val="0077479F"/>
    <w:rsid w:val="00775CC9"/>
    <w:rsid w:val="007823AB"/>
    <w:rsid w:val="007A3A17"/>
    <w:rsid w:val="007A4F58"/>
    <w:rsid w:val="007C11C8"/>
    <w:rsid w:val="007C40FE"/>
    <w:rsid w:val="007C4EB1"/>
    <w:rsid w:val="007D69B2"/>
    <w:rsid w:val="007F40D5"/>
    <w:rsid w:val="007F7B0E"/>
    <w:rsid w:val="008077FC"/>
    <w:rsid w:val="00812329"/>
    <w:rsid w:val="00815C75"/>
    <w:rsid w:val="00822DF8"/>
    <w:rsid w:val="008236F5"/>
    <w:rsid w:val="00846991"/>
    <w:rsid w:val="00846A6A"/>
    <w:rsid w:val="00855C44"/>
    <w:rsid w:val="00863B9F"/>
    <w:rsid w:val="008672EB"/>
    <w:rsid w:val="008700BD"/>
    <w:rsid w:val="00883DF4"/>
    <w:rsid w:val="008847A2"/>
    <w:rsid w:val="008929CB"/>
    <w:rsid w:val="00893AD8"/>
    <w:rsid w:val="008A4B5A"/>
    <w:rsid w:val="008B690E"/>
    <w:rsid w:val="008D1A43"/>
    <w:rsid w:val="008E2DF7"/>
    <w:rsid w:val="008E30ED"/>
    <w:rsid w:val="008E619A"/>
    <w:rsid w:val="008F0717"/>
    <w:rsid w:val="008F33CE"/>
    <w:rsid w:val="00901C4F"/>
    <w:rsid w:val="009142A5"/>
    <w:rsid w:val="00921840"/>
    <w:rsid w:val="009319C8"/>
    <w:rsid w:val="00937040"/>
    <w:rsid w:val="00947EC7"/>
    <w:rsid w:val="009566CA"/>
    <w:rsid w:val="00957805"/>
    <w:rsid w:val="00960187"/>
    <w:rsid w:val="0096572B"/>
    <w:rsid w:val="009834A6"/>
    <w:rsid w:val="0098412B"/>
    <w:rsid w:val="009842F9"/>
    <w:rsid w:val="00987385"/>
    <w:rsid w:val="009913C7"/>
    <w:rsid w:val="00992E36"/>
    <w:rsid w:val="00997659"/>
    <w:rsid w:val="009A43A5"/>
    <w:rsid w:val="009B5484"/>
    <w:rsid w:val="009C34F5"/>
    <w:rsid w:val="009C5D8D"/>
    <w:rsid w:val="009C7037"/>
    <w:rsid w:val="009D5A4A"/>
    <w:rsid w:val="009D6B20"/>
    <w:rsid w:val="009D6CB7"/>
    <w:rsid w:val="009D7E53"/>
    <w:rsid w:val="009E6A80"/>
    <w:rsid w:val="009F491B"/>
    <w:rsid w:val="00A03B7D"/>
    <w:rsid w:val="00A13178"/>
    <w:rsid w:val="00A136DC"/>
    <w:rsid w:val="00A1668B"/>
    <w:rsid w:val="00A21263"/>
    <w:rsid w:val="00A21F9B"/>
    <w:rsid w:val="00A256B0"/>
    <w:rsid w:val="00A264F0"/>
    <w:rsid w:val="00A31156"/>
    <w:rsid w:val="00A36ADA"/>
    <w:rsid w:val="00A40CF3"/>
    <w:rsid w:val="00A42E53"/>
    <w:rsid w:val="00A43DDD"/>
    <w:rsid w:val="00A664A0"/>
    <w:rsid w:val="00A70150"/>
    <w:rsid w:val="00A90F16"/>
    <w:rsid w:val="00A9632B"/>
    <w:rsid w:val="00AA0D01"/>
    <w:rsid w:val="00AA37B9"/>
    <w:rsid w:val="00AA5EAC"/>
    <w:rsid w:val="00AB1C08"/>
    <w:rsid w:val="00AC1878"/>
    <w:rsid w:val="00AC5596"/>
    <w:rsid w:val="00AD65DC"/>
    <w:rsid w:val="00AD6CBF"/>
    <w:rsid w:val="00AF25D8"/>
    <w:rsid w:val="00AF7D33"/>
    <w:rsid w:val="00B028B2"/>
    <w:rsid w:val="00B02C93"/>
    <w:rsid w:val="00B05F1A"/>
    <w:rsid w:val="00B12362"/>
    <w:rsid w:val="00B2098B"/>
    <w:rsid w:val="00B23995"/>
    <w:rsid w:val="00B314CB"/>
    <w:rsid w:val="00B35ABF"/>
    <w:rsid w:val="00B7205B"/>
    <w:rsid w:val="00B81129"/>
    <w:rsid w:val="00B92C4F"/>
    <w:rsid w:val="00BA1942"/>
    <w:rsid w:val="00BA2B9F"/>
    <w:rsid w:val="00BA5820"/>
    <w:rsid w:val="00BB3C43"/>
    <w:rsid w:val="00BC07B0"/>
    <w:rsid w:val="00BC0FEC"/>
    <w:rsid w:val="00BC1835"/>
    <w:rsid w:val="00BC6920"/>
    <w:rsid w:val="00BD5410"/>
    <w:rsid w:val="00BD5D6F"/>
    <w:rsid w:val="00BE0D8E"/>
    <w:rsid w:val="00BE65B9"/>
    <w:rsid w:val="00BF0879"/>
    <w:rsid w:val="00C057F3"/>
    <w:rsid w:val="00C21F0D"/>
    <w:rsid w:val="00C33932"/>
    <w:rsid w:val="00C34416"/>
    <w:rsid w:val="00C3637C"/>
    <w:rsid w:val="00C427F5"/>
    <w:rsid w:val="00C50806"/>
    <w:rsid w:val="00C53F29"/>
    <w:rsid w:val="00C67B95"/>
    <w:rsid w:val="00C833ED"/>
    <w:rsid w:val="00C85CEB"/>
    <w:rsid w:val="00C87F7B"/>
    <w:rsid w:val="00C93D55"/>
    <w:rsid w:val="00C97915"/>
    <w:rsid w:val="00CA3377"/>
    <w:rsid w:val="00CA4B71"/>
    <w:rsid w:val="00CA5406"/>
    <w:rsid w:val="00CC7E7D"/>
    <w:rsid w:val="00CD765F"/>
    <w:rsid w:val="00CE2D14"/>
    <w:rsid w:val="00CF7DF6"/>
    <w:rsid w:val="00D0038C"/>
    <w:rsid w:val="00D0358D"/>
    <w:rsid w:val="00D21F18"/>
    <w:rsid w:val="00D2312A"/>
    <w:rsid w:val="00D23CE0"/>
    <w:rsid w:val="00D31997"/>
    <w:rsid w:val="00D33534"/>
    <w:rsid w:val="00D5051F"/>
    <w:rsid w:val="00D52185"/>
    <w:rsid w:val="00D678FA"/>
    <w:rsid w:val="00D73870"/>
    <w:rsid w:val="00D75394"/>
    <w:rsid w:val="00D756D6"/>
    <w:rsid w:val="00D8061E"/>
    <w:rsid w:val="00D82E6E"/>
    <w:rsid w:val="00D846F6"/>
    <w:rsid w:val="00DA2C47"/>
    <w:rsid w:val="00DA5B73"/>
    <w:rsid w:val="00DA7E8E"/>
    <w:rsid w:val="00DD4432"/>
    <w:rsid w:val="00DD458C"/>
    <w:rsid w:val="00DD625A"/>
    <w:rsid w:val="00DE021A"/>
    <w:rsid w:val="00E166A0"/>
    <w:rsid w:val="00E20371"/>
    <w:rsid w:val="00E37A7F"/>
    <w:rsid w:val="00E53337"/>
    <w:rsid w:val="00E6401D"/>
    <w:rsid w:val="00E65248"/>
    <w:rsid w:val="00E90676"/>
    <w:rsid w:val="00E9456B"/>
    <w:rsid w:val="00E94F0F"/>
    <w:rsid w:val="00E9607B"/>
    <w:rsid w:val="00EA4E39"/>
    <w:rsid w:val="00EC00BE"/>
    <w:rsid w:val="00ED14D9"/>
    <w:rsid w:val="00EE1237"/>
    <w:rsid w:val="00EF4D62"/>
    <w:rsid w:val="00F0324A"/>
    <w:rsid w:val="00F07DD9"/>
    <w:rsid w:val="00F1528F"/>
    <w:rsid w:val="00F219B4"/>
    <w:rsid w:val="00F23A58"/>
    <w:rsid w:val="00F2747C"/>
    <w:rsid w:val="00F32BFC"/>
    <w:rsid w:val="00F37840"/>
    <w:rsid w:val="00F45D6F"/>
    <w:rsid w:val="00F463ED"/>
    <w:rsid w:val="00F46676"/>
    <w:rsid w:val="00F54E18"/>
    <w:rsid w:val="00F56D52"/>
    <w:rsid w:val="00F57DFF"/>
    <w:rsid w:val="00F61DD9"/>
    <w:rsid w:val="00F93BEB"/>
    <w:rsid w:val="00F951E8"/>
    <w:rsid w:val="00FA047C"/>
    <w:rsid w:val="00FA5A5E"/>
    <w:rsid w:val="00FB22C6"/>
    <w:rsid w:val="00FB2A92"/>
    <w:rsid w:val="00FB4B42"/>
    <w:rsid w:val="00FC50BF"/>
    <w:rsid w:val="00FC5F54"/>
    <w:rsid w:val="00FE35B2"/>
    <w:rsid w:val="00FE50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D0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2D0C"/>
    <w:pPr>
      <w:tabs>
        <w:tab w:val="center" w:pos="4536"/>
        <w:tab w:val="right" w:pos="9072"/>
      </w:tabs>
    </w:pPr>
    <w:rPr>
      <w:lang w:eastAsia="tr-TR"/>
    </w:rPr>
  </w:style>
  <w:style w:type="paragraph" w:customStyle="1" w:styleId="CharChar1CharCharCharCharCharChar">
    <w:name w:val="Char Char1 Char Char Char Char Char Char"/>
    <w:basedOn w:val="Normal"/>
    <w:next w:val="Normal"/>
    <w:semiHidden/>
    <w:rsid w:val="000F5C71"/>
    <w:pPr>
      <w:spacing w:after="160" w:line="240" w:lineRule="exact"/>
    </w:pPr>
    <w:rPr>
      <w:rFonts w:ascii="Arial" w:hAnsi="Arial"/>
      <w:sz w:val="22"/>
    </w:rPr>
  </w:style>
  <w:style w:type="paragraph" w:styleId="FootnoteText">
    <w:name w:val="footnote text"/>
    <w:aliases w:val="fn,footnote text"/>
    <w:basedOn w:val="Normal"/>
    <w:semiHidden/>
    <w:rsid w:val="00D21F18"/>
  </w:style>
  <w:style w:type="character" w:styleId="FootnoteReference">
    <w:name w:val="footnote reference"/>
    <w:basedOn w:val="DefaultParagraphFont"/>
    <w:semiHidden/>
    <w:rsid w:val="00D21F18"/>
    <w:rPr>
      <w:vertAlign w:val="superscript"/>
    </w:rPr>
  </w:style>
  <w:style w:type="character" w:customStyle="1" w:styleId="apple-converted-space">
    <w:name w:val="apple-converted-space"/>
    <w:basedOn w:val="DefaultParagraphFont"/>
    <w:rsid w:val="001E2EFC"/>
  </w:style>
  <w:style w:type="character" w:styleId="Hyperlink">
    <w:name w:val="Hyperlink"/>
    <w:basedOn w:val="DefaultParagraphFont"/>
    <w:rsid w:val="001E2EFC"/>
    <w:rPr>
      <w:color w:val="0000FF"/>
      <w:u w:val="single"/>
    </w:rPr>
  </w:style>
  <w:style w:type="paragraph" w:styleId="Footer">
    <w:name w:val="footer"/>
    <w:basedOn w:val="Normal"/>
    <w:rsid w:val="00532F4C"/>
    <w:pPr>
      <w:tabs>
        <w:tab w:val="center" w:pos="4536"/>
        <w:tab w:val="right" w:pos="9072"/>
      </w:tabs>
    </w:pPr>
  </w:style>
  <w:style w:type="character" w:styleId="PageNumber">
    <w:name w:val="page number"/>
    <w:basedOn w:val="DefaultParagraphFont"/>
    <w:rsid w:val="00532F4C"/>
  </w:style>
  <w:style w:type="paragraph" w:styleId="BalloonText">
    <w:name w:val="Balloon Text"/>
    <w:basedOn w:val="Normal"/>
    <w:semiHidden/>
    <w:rsid w:val="004E36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D0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2D0C"/>
    <w:pPr>
      <w:tabs>
        <w:tab w:val="center" w:pos="4536"/>
        <w:tab w:val="right" w:pos="9072"/>
      </w:tabs>
    </w:pPr>
    <w:rPr>
      <w:lang w:eastAsia="tr-TR"/>
    </w:rPr>
  </w:style>
  <w:style w:type="paragraph" w:customStyle="1" w:styleId="CharChar1CharCharCharCharCharChar">
    <w:name w:val="Char Char1 Char Char Char Char Char Char"/>
    <w:basedOn w:val="Normal"/>
    <w:next w:val="Normal"/>
    <w:semiHidden/>
    <w:rsid w:val="000F5C71"/>
    <w:pPr>
      <w:spacing w:after="160" w:line="240" w:lineRule="exact"/>
    </w:pPr>
    <w:rPr>
      <w:rFonts w:ascii="Arial" w:hAnsi="Arial"/>
      <w:sz w:val="22"/>
    </w:rPr>
  </w:style>
  <w:style w:type="paragraph" w:styleId="FootnoteText">
    <w:name w:val="footnote text"/>
    <w:aliases w:val="fn,footnote text"/>
    <w:basedOn w:val="Normal"/>
    <w:semiHidden/>
    <w:rsid w:val="00D21F18"/>
  </w:style>
  <w:style w:type="character" w:styleId="FootnoteReference">
    <w:name w:val="footnote reference"/>
    <w:basedOn w:val="DefaultParagraphFont"/>
    <w:semiHidden/>
    <w:rsid w:val="00D21F18"/>
    <w:rPr>
      <w:vertAlign w:val="superscript"/>
    </w:rPr>
  </w:style>
  <w:style w:type="character" w:customStyle="1" w:styleId="apple-converted-space">
    <w:name w:val="apple-converted-space"/>
    <w:basedOn w:val="DefaultParagraphFont"/>
    <w:rsid w:val="001E2EFC"/>
  </w:style>
  <w:style w:type="character" w:styleId="Hyperlink">
    <w:name w:val="Hyperlink"/>
    <w:basedOn w:val="DefaultParagraphFont"/>
    <w:rsid w:val="001E2EFC"/>
    <w:rPr>
      <w:color w:val="0000FF"/>
      <w:u w:val="single"/>
    </w:rPr>
  </w:style>
  <w:style w:type="paragraph" w:styleId="Footer">
    <w:name w:val="footer"/>
    <w:basedOn w:val="Normal"/>
    <w:rsid w:val="00532F4C"/>
    <w:pPr>
      <w:tabs>
        <w:tab w:val="center" w:pos="4536"/>
        <w:tab w:val="right" w:pos="9072"/>
      </w:tabs>
    </w:pPr>
  </w:style>
  <w:style w:type="character" w:styleId="PageNumber">
    <w:name w:val="page number"/>
    <w:basedOn w:val="DefaultParagraphFont"/>
    <w:rsid w:val="00532F4C"/>
  </w:style>
  <w:style w:type="paragraph" w:styleId="BalloonText">
    <w:name w:val="Balloon Text"/>
    <w:basedOn w:val="Normal"/>
    <w:semiHidden/>
    <w:rsid w:val="004E3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ocsonline.wto.org/imrd/directdoc.asp?DDFDocuments/t/WT/DS/121ABR.DOC" TargetMode="External"/><Relationship Id="rId7" Type="http://schemas.openxmlformats.org/officeDocument/2006/relationships/hyperlink" Target="http://www.aph.gov.au/parliamentary_business/committees/senate_committees?url=foodprocessing_ctte/foodprocessing/report/index.htm" TargetMode="External"/><Relationship Id="rId2" Type="http://schemas.openxmlformats.org/officeDocument/2006/relationships/hyperlink" Target="http://www.coles.com.au/about-coles/the-coles-story" TargetMode="External"/><Relationship Id="rId1" Type="http://schemas.openxmlformats.org/officeDocument/2006/relationships/hyperlink" Target="http://docsonline.wto.org/imrd/directdoc.asp?DDFDocuments/t/WT/DS/178ABR.doc" TargetMode="External"/><Relationship Id="rId6" Type="http://schemas.openxmlformats.org/officeDocument/2006/relationships/hyperlink" Target="http://www.rba.gov.au/speeches/2010/sp-dg-230210.html" TargetMode="External"/><Relationship Id="rId5" Type="http://schemas.openxmlformats.org/officeDocument/2006/relationships/hyperlink" Target="http://docsonline.wto.org/imrd/directdoc.asp?DDFDocuments/t/WT/DS/121ABR.DOC" TargetMode="External"/><Relationship Id="rId4" Type="http://schemas.openxmlformats.org/officeDocument/2006/relationships/hyperlink" Target="http://www.rba.gov.au/speeches/2010/sp-dg-230210.htm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2656</Words>
  <Characters>14495</Characters>
  <Application>Microsoft Office Word</Application>
  <DocSecurity>0</DocSecurity>
  <Lines>268</Lines>
  <Paragraphs>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Submission 60 - Republic of Turkey - Ministry of Economy - Import of Processed Fruit Products - Public inquiry</vt:lpstr>
      <vt:lpstr> </vt:lpstr>
    </vt:vector>
  </TitlesOfParts>
  <Company>Republic of Turkey - Ministry of Economy</Company>
  <LinksUpToDate>false</LinksUpToDate>
  <CharactersWithSpaces>17145</CharactersWithSpaces>
  <SharedDoc>false</SharedDoc>
  <HLinks>
    <vt:vector size="42" baseType="variant">
      <vt:variant>
        <vt:i4>3080260</vt:i4>
      </vt:variant>
      <vt:variant>
        <vt:i4>18</vt:i4>
      </vt:variant>
      <vt:variant>
        <vt:i4>0</vt:i4>
      </vt:variant>
      <vt:variant>
        <vt:i4>5</vt:i4>
      </vt:variant>
      <vt:variant>
        <vt:lpwstr>http://www.aph.gov.au/parliamentary_business/committees/senate_committees?url=foodprocessing_ctte/foodprocessing/report/index.htm</vt:lpwstr>
      </vt:variant>
      <vt:variant>
        <vt:lpwstr/>
      </vt:variant>
      <vt:variant>
        <vt:i4>4718663</vt:i4>
      </vt:variant>
      <vt:variant>
        <vt:i4>15</vt:i4>
      </vt:variant>
      <vt:variant>
        <vt:i4>0</vt:i4>
      </vt:variant>
      <vt:variant>
        <vt:i4>5</vt:i4>
      </vt:variant>
      <vt:variant>
        <vt:lpwstr>http://www.rba.gov.au/speeches/2010/sp-dg-230210.html</vt:lpwstr>
      </vt:variant>
      <vt:variant>
        <vt:lpwstr/>
      </vt:variant>
      <vt:variant>
        <vt:i4>1179721</vt:i4>
      </vt:variant>
      <vt:variant>
        <vt:i4>12</vt:i4>
      </vt:variant>
      <vt:variant>
        <vt:i4>0</vt:i4>
      </vt:variant>
      <vt:variant>
        <vt:i4>5</vt:i4>
      </vt:variant>
      <vt:variant>
        <vt:lpwstr>http://docsonline.wto.org/imrd/directdoc.asp?DDFDocuments/t/WT/DS/121ABR.DOC</vt:lpwstr>
      </vt:variant>
      <vt:variant>
        <vt:lpwstr/>
      </vt:variant>
      <vt:variant>
        <vt:i4>4718663</vt:i4>
      </vt:variant>
      <vt:variant>
        <vt:i4>9</vt:i4>
      </vt:variant>
      <vt:variant>
        <vt:i4>0</vt:i4>
      </vt:variant>
      <vt:variant>
        <vt:i4>5</vt:i4>
      </vt:variant>
      <vt:variant>
        <vt:lpwstr>http://www.rba.gov.au/speeches/2010/sp-dg-230210.html</vt:lpwstr>
      </vt:variant>
      <vt:variant>
        <vt:lpwstr/>
      </vt:variant>
      <vt:variant>
        <vt:i4>1179721</vt:i4>
      </vt:variant>
      <vt:variant>
        <vt:i4>6</vt:i4>
      </vt:variant>
      <vt:variant>
        <vt:i4>0</vt:i4>
      </vt:variant>
      <vt:variant>
        <vt:i4>5</vt:i4>
      </vt:variant>
      <vt:variant>
        <vt:lpwstr>http://docsonline.wto.org/imrd/directdoc.asp?DDFDocuments/t/WT/DS/121ABR.DOC</vt:lpwstr>
      </vt:variant>
      <vt:variant>
        <vt:lpwstr/>
      </vt:variant>
      <vt:variant>
        <vt:i4>7077943</vt:i4>
      </vt:variant>
      <vt:variant>
        <vt:i4>3</vt:i4>
      </vt:variant>
      <vt:variant>
        <vt:i4>0</vt:i4>
      </vt:variant>
      <vt:variant>
        <vt:i4>5</vt:i4>
      </vt:variant>
      <vt:variant>
        <vt:lpwstr>http://www.coles.com.au/about-coles/the-coles-story</vt:lpwstr>
      </vt:variant>
      <vt:variant>
        <vt:lpwstr/>
      </vt:variant>
      <vt:variant>
        <vt:i4>1507392</vt:i4>
      </vt:variant>
      <vt:variant>
        <vt:i4>0</vt:i4>
      </vt:variant>
      <vt:variant>
        <vt:i4>0</vt:i4>
      </vt:variant>
      <vt:variant>
        <vt:i4>5</vt:i4>
      </vt:variant>
      <vt:variant>
        <vt:lpwstr>http://docsonline.wto.org/imrd/directdoc.asp?DDFDocuments/t/WT/DS/178ABR.doc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60 - Republic of Turkey - Ministry of Economy - Import of Processed Fruit Products - Public inquiry</dc:title>
  <dc:creator>Republic of Turkey - Ministry of Economy</dc:creator>
  <cp:lastModifiedBy>Productivity Commission</cp:lastModifiedBy>
  <cp:revision>2</cp:revision>
  <dcterms:created xsi:type="dcterms:W3CDTF">2013-08-29T03:27:00Z</dcterms:created>
  <dcterms:modified xsi:type="dcterms:W3CDTF">2013-08-29T03:27:00Z</dcterms:modified>
</cp:coreProperties>
</file>