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CDF7F" w14:textId="77777777" w:rsidR="00617872" w:rsidRDefault="00EE67DE" w:rsidP="00EE67DE">
      <w:pPr>
        <w:pStyle w:val="Title"/>
        <w:spacing w:before="4320"/>
      </w:pPr>
      <w:bookmarkStart w:id="0" w:name="_GoBack"/>
      <w:bookmarkEnd w:id="0"/>
      <w:r w:rsidRPr="00EE67DE">
        <w:t>Productivity Commission</w:t>
      </w:r>
      <w:r>
        <w:t xml:space="preserve"> </w:t>
      </w:r>
      <w:r w:rsidRPr="00EE67DE">
        <w:t>inquiry into horizontal fiscal</w:t>
      </w:r>
      <w:r>
        <w:t> </w:t>
      </w:r>
      <w:r w:rsidRPr="00EE67DE">
        <w:t>equalisation:</w:t>
      </w:r>
    </w:p>
    <w:p w14:paraId="0626C463" w14:textId="77777777" w:rsidR="007F6037" w:rsidRPr="00EE67DE" w:rsidRDefault="00EE67DE" w:rsidP="00EE67DE">
      <w:pPr>
        <w:pStyle w:val="Title"/>
        <w:spacing w:before="4320"/>
      </w:pPr>
      <w:r w:rsidRPr="00EE67DE">
        <w:t>Government interim response</w:t>
      </w:r>
    </w:p>
    <w:p w14:paraId="1848B4C0" w14:textId="77777777" w:rsidR="007F6037" w:rsidRDefault="00EE67DE" w:rsidP="00EE67DE">
      <w:pPr>
        <w:pStyle w:val="Subtitle"/>
        <w:rPr>
          <w:rFonts w:eastAsia="Fira Sans"/>
        </w:rPr>
      </w:pPr>
      <w:r>
        <w:rPr>
          <w:rFonts w:eastAsia="Fira Sans"/>
          <w:spacing w:val="-6"/>
        </w:rPr>
        <w:t>J</w:t>
      </w:r>
      <w:r>
        <w:rPr>
          <w:rFonts w:eastAsia="Fira Sans"/>
          <w:spacing w:val="-7"/>
        </w:rPr>
        <w:t>u</w:t>
      </w:r>
      <w:r>
        <w:rPr>
          <w:rFonts w:eastAsia="Fira Sans"/>
          <w:spacing w:val="-3"/>
        </w:rPr>
        <w:t>l</w:t>
      </w:r>
      <w:r>
        <w:rPr>
          <w:rFonts w:eastAsia="Fira Sans"/>
        </w:rPr>
        <w:t xml:space="preserve">y </w:t>
      </w:r>
      <w:r>
        <w:rPr>
          <w:rFonts w:eastAsia="Fira Sans"/>
          <w:spacing w:val="-5"/>
        </w:rPr>
        <w:t>2</w:t>
      </w:r>
      <w:r>
        <w:rPr>
          <w:rFonts w:eastAsia="Fira Sans"/>
          <w:spacing w:val="-2"/>
        </w:rPr>
        <w:t>0</w:t>
      </w:r>
      <w:r>
        <w:rPr>
          <w:rFonts w:eastAsia="Fira Sans"/>
          <w:spacing w:val="-5"/>
        </w:rPr>
        <w:t>18</w:t>
      </w:r>
    </w:p>
    <w:p w14:paraId="384AF8BA" w14:textId="77777777" w:rsidR="007F6037" w:rsidRDefault="007F6037">
      <w:pPr>
        <w:spacing w:after="0"/>
        <w:sectPr w:rsidR="007F6037" w:rsidSect="00833DBC">
          <w:headerReference w:type="even" r:id="rId9"/>
          <w:headerReference w:type="default" r:id="rId10"/>
          <w:footerReference w:type="even" r:id="rId11"/>
          <w:footerReference w:type="default" r:id="rId12"/>
          <w:headerReference w:type="first" r:id="rId13"/>
          <w:footerReference w:type="first" r:id="rId14"/>
          <w:type w:val="continuous"/>
          <w:pgSz w:w="11920" w:h="16840"/>
          <w:pgMar w:top="1134" w:right="1418" w:bottom="1418" w:left="1134" w:header="709" w:footer="709" w:gutter="0"/>
          <w:cols w:space="720"/>
          <w:docGrid w:linePitch="299"/>
        </w:sectPr>
      </w:pPr>
    </w:p>
    <w:p w14:paraId="2F34BC48" w14:textId="77777777" w:rsidR="007F6037" w:rsidRPr="00EE67DE" w:rsidRDefault="00EE67DE" w:rsidP="00EE67DE">
      <w:pPr>
        <w:rPr>
          <w:rFonts w:eastAsia="Arial"/>
        </w:rPr>
      </w:pPr>
      <w:r w:rsidRPr="00EE67DE">
        <w:rPr>
          <w:rFonts w:eastAsia="Arial"/>
        </w:rPr>
        <w:lastRenderedPageBreak/>
        <w:t>© Commonwealth of Australia 2018</w:t>
      </w:r>
    </w:p>
    <w:p w14:paraId="1527DF4A" w14:textId="77777777" w:rsidR="007F6037" w:rsidRPr="00EE67DE" w:rsidRDefault="00EE67DE" w:rsidP="00EE67DE">
      <w:pPr>
        <w:rPr>
          <w:rFonts w:eastAsia="Arial"/>
        </w:rPr>
      </w:pPr>
      <w:r w:rsidRPr="00EE67DE">
        <w:rPr>
          <w:rFonts w:eastAsia="Arial"/>
        </w:rPr>
        <w:t>ISBN: 978-1-925504-90-3</w:t>
      </w:r>
    </w:p>
    <w:p w14:paraId="35ADD826" w14:textId="77777777" w:rsidR="007F6037" w:rsidRPr="00EE67DE" w:rsidRDefault="00EE67DE" w:rsidP="00EE67DE">
      <w:pPr>
        <w:rPr>
          <w:rFonts w:eastAsia="Arial"/>
        </w:rPr>
      </w:pPr>
      <w:r w:rsidRPr="00EE67DE">
        <w:rPr>
          <w:rFonts w:eastAsia="Arial"/>
        </w:rPr>
        <w:t xml:space="preserve">This publication is available for your use under a </w:t>
      </w:r>
      <w:hyperlink r:id="rId15" w:history="1">
        <w:r w:rsidRPr="00EE67DE">
          <w:rPr>
            <w:rStyle w:val="Hyperlink"/>
            <w:rFonts w:eastAsia="Arial"/>
          </w:rPr>
          <w:t>Creative Commons Attribution 3.0 Australia</w:t>
        </w:r>
      </w:hyperlink>
      <w:r w:rsidRPr="00EE67DE">
        <w:rPr>
          <w:rFonts w:eastAsia="Arial"/>
        </w:rPr>
        <w:t xml:space="preserve"> licence, with the exception of the Commonwealth Coat of Arms, the Treasury logo, photographs, images, signatures and where otherwise stated. The full licence terms are available from </w:t>
      </w:r>
      <w:hyperlink r:id="rId16">
        <w:r w:rsidRPr="00EE67DE">
          <w:rPr>
            <w:rStyle w:val="Hyperlink"/>
            <w:rFonts w:eastAsia="Arial"/>
          </w:rPr>
          <w:t>http://creativecommons.org/licenses/by/3.0/au/legalcode.</w:t>
        </w:r>
      </w:hyperlink>
    </w:p>
    <w:p w14:paraId="694A0178" w14:textId="77777777" w:rsidR="007F6037" w:rsidRDefault="00D13F64" w:rsidP="00EE67DE">
      <w:pPr>
        <w:pStyle w:val="ChartGraphic"/>
        <w:jc w:val="left"/>
        <w:rPr>
          <w:rFonts w:ascii="Times New Roman" w:hAnsi="Times New Roman"/>
        </w:rPr>
      </w:pPr>
      <w:r>
        <w:rPr>
          <w:noProof/>
        </w:rPr>
        <w:drawing>
          <wp:inline distT="0" distB="0" distL="0" distR="0" wp14:anchorId="21ED5685" wp14:editId="291CED95">
            <wp:extent cx="1155700" cy="414020"/>
            <wp:effectExtent l="0" t="0" r="635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414020"/>
                    </a:xfrm>
                    <a:prstGeom prst="rect">
                      <a:avLst/>
                    </a:prstGeom>
                    <a:noFill/>
                    <a:ln>
                      <a:noFill/>
                    </a:ln>
                  </pic:spPr>
                </pic:pic>
              </a:graphicData>
            </a:graphic>
          </wp:inline>
        </w:drawing>
      </w:r>
    </w:p>
    <w:p w14:paraId="5727465D" w14:textId="77777777" w:rsidR="007F6037" w:rsidRPr="00EE67DE" w:rsidRDefault="00EE67DE" w:rsidP="00EE67DE">
      <w:pPr>
        <w:rPr>
          <w:rFonts w:eastAsia="Arial"/>
        </w:rPr>
      </w:pPr>
      <w:r w:rsidRPr="00EE67DE">
        <w:rPr>
          <w:rFonts w:eastAsia="Arial"/>
        </w:rPr>
        <w:t xml:space="preserve">Use of Commonwealth of Australia material under a </w:t>
      </w:r>
      <w:hyperlink r:id="rId18" w:history="1">
        <w:r w:rsidRPr="00EE67DE">
          <w:rPr>
            <w:rStyle w:val="Hyperlink"/>
            <w:rFonts w:eastAsia="Arial"/>
          </w:rPr>
          <w:t>Creative Commons Attribution 3.0 Australia</w:t>
        </w:r>
      </w:hyperlink>
      <w:r w:rsidRPr="00EE67DE">
        <w:rPr>
          <w:rFonts w:eastAsia="Arial"/>
        </w:rPr>
        <w:t xml:space="preserve"> licence requires you to attribute the work (but not in any way that suggests that the Commonwealth of Australia endorses you or your use of the work).</w:t>
      </w:r>
    </w:p>
    <w:p w14:paraId="18C33B99" w14:textId="77777777" w:rsidR="007F6037" w:rsidRPr="00EE67DE" w:rsidRDefault="00EE67DE" w:rsidP="00EE67DE">
      <w:pPr>
        <w:spacing w:before="240"/>
        <w:rPr>
          <w:rFonts w:eastAsia="Arial"/>
          <w:b/>
        </w:rPr>
      </w:pPr>
      <w:proofErr w:type="gramStart"/>
      <w:r w:rsidRPr="00EE67DE">
        <w:rPr>
          <w:rFonts w:eastAsia="Arial"/>
          <w:b/>
        </w:rPr>
        <w:t>Commonwealth of Australia material used ‘as supplied’.</w:t>
      </w:r>
      <w:proofErr w:type="gramEnd"/>
    </w:p>
    <w:p w14:paraId="14D21FF2" w14:textId="77777777" w:rsidR="007F6037" w:rsidRPr="00EE67DE" w:rsidRDefault="00EE67DE" w:rsidP="00EE67DE">
      <w:pPr>
        <w:rPr>
          <w:rFonts w:eastAsia="Arial"/>
        </w:rPr>
      </w:pPr>
      <w:r w:rsidRPr="00EE67DE">
        <w:rPr>
          <w:rFonts w:eastAsia="Arial"/>
        </w:rPr>
        <w:t>Provided you have not modified or transformed Commonwealth of Australia material in any way including, for example, by changing the Commonwealth of Australia text; calculating percentage changes; graphing</w:t>
      </w:r>
      <w:r>
        <w:rPr>
          <w:rFonts w:eastAsia="Arial"/>
        </w:rPr>
        <w:t xml:space="preserve"> </w:t>
      </w:r>
      <w:r w:rsidRPr="00EE67DE">
        <w:rPr>
          <w:rFonts w:eastAsia="Arial"/>
        </w:rPr>
        <w:t>or charting data; or deriving new statistics from published Commonwealth of Australia statistics — then the</w:t>
      </w:r>
      <w:r>
        <w:rPr>
          <w:rFonts w:eastAsia="Arial"/>
        </w:rPr>
        <w:t xml:space="preserve"> </w:t>
      </w:r>
      <w:r w:rsidRPr="00EE67DE">
        <w:rPr>
          <w:rFonts w:eastAsia="Arial"/>
        </w:rPr>
        <w:t>Commonwealth of Australia prefers the following attribution:</w:t>
      </w:r>
    </w:p>
    <w:p w14:paraId="5C2045B4" w14:textId="77777777" w:rsidR="007F6037" w:rsidRPr="00EE67DE" w:rsidRDefault="00EE67DE" w:rsidP="00EE67DE">
      <w:pPr>
        <w:ind w:left="720"/>
        <w:rPr>
          <w:rFonts w:eastAsia="Arial"/>
          <w:i/>
        </w:rPr>
      </w:pPr>
      <w:r w:rsidRPr="00EE67DE">
        <w:rPr>
          <w:rFonts w:eastAsia="Arial"/>
          <w:i/>
        </w:rPr>
        <w:t>Source: The Commonwealth of Australia.</w:t>
      </w:r>
    </w:p>
    <w:p w14:paraId="5D1EEC78" w14:textId="77777777" w:rsidR="007F6037" w:rsidRPr="00EE67DE" w:rsidRDefault="00EE67DE" w:rsidP="00EE67DE">
      <w:pPr>
        <w:spacing w:before="240"/>
        <w:rPr>
          <w:rFonts w:eastAsia="Arial"/>
          <w:b/>
        </w:rPr>
      </w:pPr>
      <w:r w:rsidRPr="00EE67DE">
        <w:rPr>
          <w:rFonts w:eastAsia="Arial"/>
          <w:b/>
        </w:rPr>
        <w:t>Derivative material</w:t>
      </w:r>
    </w:p>
    <w:p w14:paraId="0662AEE2" w14:textId="77777777" w:rsidR="007F6037" w:rsidRPr="00EE67DE" w:rsidRDefault="00EE67DE" w:rsidP="00EE67DE">
      <w:pPr>
        <w:rPr>
          <w:rFonts w:eastAsia="Arial"/>
        </w:rPr>
      </w:pPr>
      <w:r w:rsidRPr="00EE67DE">
        <w:rPr>
          <w:rFonts w:eastAsia="Arial"/>
        </w:rPr>
        <w:t>If you have modified or transformed Commonwealth of Australia material, or derived new material from those of the Commonwealth of Australia in any way, then the Commonwealth of Australia prefers the following attribution:</w:t>
      </w:r>
    </w:p>
    <w:p w14:paraId="12DBCE2D" w14:textId="77777777" w:rsidR="007F6037" w:rsidRPr="00EE67DE" w:rsidRDefault="00EE67DE" w:rsidP="00EE67DE">
      <w:pPr>
        <w:ind w:left="720"/>
        <w:rPr>
          <w:rFonts w:eastAsia="Arial"/>
          <w:i/>
        </w:rPr>
      </w:pPr>
      <w:proofErr w:type="gramStart"/>
      <w:r w:rsidRPr="00EE67DE">
        <w:rPr>
          <w:rFonts w:eastAsia="Arial"/>
          <w:i/>
        </w:rPr>
        <w:t>Based on The Commonwealth of Australia data.</w:t>
      </w:r>
      <w:proofErr w:type="gramEnd"/>
    </w:p>
    <w:p w14:paraId="15813F0F" w14:textId="77777777" w:rsidR="007F6037" w:rsidRPr="00EE67DE" w:rsidRDefault="00EE67DE" w:rsidP="00EE67DE">
      <w:pPr>
        <w:spacing w:before="240"/>
        <w:rPr>
          <w:rFonts w:eastAsia="Arial"/>
          <w:b/>
        </w:rPr>
      </w:pPr>
      <w:r w:rsidRPr="00EE67DE">
        <w:rPr>
          <w:rFonts w:eastAsia="Arial"/>
          <w:b/>
        </w:rPr>
        <w:t>Use of the Coat of Arms</w:t>
      </w:r>
    </w:p>
    <w:p w14:paraId="1A5CEA75" w14:textId="77777777" w:rsidR="007F6037" w:rsidRPr="00EE67DE" w:rsidRDefault="00EE67DE" w:rsidP="00EE67DE">
      <w:pPr>
        <w:rPr>
          <w:rFonts w:eastAsia="Arial"/>
        </w:rPr>
      </w:pPr>
      <w:r w:rsidRPr="00EE67DE">
        <w:rPr>
          <w:rFonts w:eastAsia="Arial"/>
        </w:rPr>
        <w:t xml:space="preserve">The terms under which the Coat of Arms can be used are set out on the Department of the Prime Minister and Cabinet website (see </w:t>
      </w:r>
      <w:hyperlink r:id="rId19">
        <w:r w:rsidRPr="00EE67DE">
          <w:rPr>
            <w:rStyle w:val="Hyperlink"/>
            <w:rFonts w:eastAsia="Arial"/>
          </w:rPr>
          <w:t>www.pmc.gov.au/government/commonwealth-coat-arms).</w:t>
        </w:r>
      </w:hyperlink>
    </w:p>
    <w:p w14:paraId="799B5355" w14:textId="77777777" w:rsidR="007F6037" w:rsidRPr="00EE67DE" w:rsidRDefault="00EE67DE" w:rsidP="00EE67DE">
      <w:pPr>
        <w:spacing w:before="240"/>
        <w:rPr>
          <w:rFonts w:eastAsia="Arial"/>
          <w:b/>
        </w:rPr>
      </w:pPr>
      <w:r w:rsidRPr="00EE67DE">
        <w:rPr>
          <w:rFonts w:eastAsia="Arial"/>
          <w:b/>
        </w:rPr>
        <w:t>Other uses</w:t>
      </w:r>
    </w:p>
    <w:p w14:paraId="56D8D2FF" w14:textId="77777777" w:rsidR="007F6037" w:rsidRPr="00EE67DE" w:rsidRDefault="00EE67DE" w:rsidP="00EE67DE">
      <w:pPr>
        <w:rPr>
          <w:rFonts w:eastAsia="Arial"/>
        </w:rPr>
      </w:pPr>
      <w:r w:rsidRPr="00EE67DE">
        <w:rPr>
          <w:rFonts w:eastAsia="Arial"/>
        </w:rPr>
        <w:t>Enquiries regarding this licence and any other use of this document are welcome at:</w:t>
      </w:r>
    </w:p>
    <w:p w14:paraId="572368DC" w14:textId="77777777" w:rsidR="007F6037" w:rsidRPr="00EE67DE" w:rsidRDefault="00EE67DE" w:rsidP="00EE67DE">
      <w:pPr>
        <w:ind w:left="720"/>
        <w:rPr>
          <w:rFonts w:eastAsia="Arial"/>
        </w:rPr>
      </w:pPr>
      <w:r w:rsidRPr="00EE67DE">
        <w:rPr>
          <w:rFonts w:eastAsia="Arial"/>
        </w:rPr>
        <w:t>Manager</w:t>
      </w:r>
      <w:r>
        <w:rPr>
          <w:rFonts w:eastAsia="Arial"/>
        </w:rPr>
        <w:br/>
      </w:r>
      <w:r w:rsidRPr="00EE67DE">
        <w:rPr>
          <w:rFonts w:eastAsia="Arial"/>
        </w:rPr>
        <w:t>Media and Speeches Unit</w:t>
      </w:r>
      <w:r>
        <w:rPr>
          <w:rFonts w:eastAsia="Arial"/>
        </w:rPr>
        <w:br/>
      </w:r>
      <w:r w:rsidRPr="00EE67DE">
        <w:rPr>
          <w:rFonts w:eastAsia="Arial"/>
        </w:rPr>
        <w:t>The Treasury Langton Crescent Parkes ACT 2600</w:t>
      </w:r>
      <w:r>
        <w:rPr>
          <w:rFonts w:eastAsia="Arial"/>
        </w:rPr>
        <w:br/>
      </w:r>
      <w:r w:rsidRPr="00EE67DE">
        <w:rPr>
          <w:rFonts w:eastAsia="Arial"/>
        </w:rPr>
        <w:t xml:space="preserve">Email: </w:t>
      </w:r>
      <w:hyperlink r:id="rId20">
        <w:r w:rsidRPr="00EE67DE">
          <w:rPr>
            <w:rStyle w:val="Hyperlink"/>
            <w:rFonts w:eastAsia="Arial"/>
          </w:rPr>
          <w:t>medialiaison@treasury.gov.au</w:t>
        </w:r>
      </w:hyperlink>
    </w:p>
    <w:p w14:paraId="047AB32A" w14:textId="77777777" w:rsidR="007F6037" w:rsidRDefault="007F6037">
      <w:pPr>
        <w:spacing w:after="0"/>
        <w:sectPr w:rsidR="007F6037" w:rsidSect="00833DBC">
          <w:pgSz w:w="11920" w:h="16840"/>
          <w:pgMar w:top="1134" w:right="1418" w:bottom="1418" w:left="1134" w:header="709" w:footer="709" w:gutter="0"/>
          <w:cols w:space="720"/>
          <w:docGrid w:linePitch="299"/>
        </w:sectPr>
      </w:pPr>
    </w:p>
    <w:p w14:paraId="723813AB" w14:textId="77777777" w:rsidR="007F6037" w:rsidRDefault="00EE67DE" w:rsidP="00EE67DE">
      <w:pPr>
        <w:pStyle w:val="Heading1"/>
        <w:rPr>
          <w:rFonts w:eastAsia="Arial"/>
        </w:rPr>
      </w:pPr>
      <w:bookmarkStart w:id="1" w:name="_Toc518559006"/>
      <w:r>
        <w:rPr>
          <w:rFonts w:eastAsia="Arial"/>
          <w:spacing w:val="-5"/>
          <w:w w:val="84"/>
        </w:rPr>
        <w:lastRenderedPageBreak/>
        <w:t>C</w:t>
      </w:r>
      <w:r>
        <w:rPr>
          <w:rFonts w:eastAsia="Arial"/>
          <w:spacing w:val="-8"/>
          <w:w w:val="105"/>
        </w:rPr>
        <w:t>o</w:t>
      </w:r>
      <w:r>
        <w:rPr>
          <w:rFonts w:eastAsia="Arial"/>
          <w:w w:val="114"/>
        </w:rPr>
        <w:t>nt</w:t>
      </w:r>
      <w:r>
        <w:rPr>
          <w:rFonts w:eastAsia="Arial"/>
          <w:spacing w:val="-2"/>
          <w:w w:val="92"/>
        </w:rPr>
        <w:t>e</w:t>
      </w:r>
      <w:r>
        <w:rPr>
          <w:rFonts w:eastAsia="Arial"/>
          <w:w w:val="114"/>
        </w:rPr>
        <w:t>n</w:t>
      </w:r>
      <w:r>
        <w:rPr>
          <w:rFonts w:eastAsia="Arial"/>
          <w:spacing w:val="2"/>
          <w:w w:val="114"/>
        </w:rPr>
        <w:t>t</w:t>
      </w:r>
      <w:r>
        <w:rPr>
          <w:rFonts w:eastAsia="Arial"/>
          <w:w w:val="84"/>
        </w:rPr>
        <w:t>s</w:t>
      </w:r>
      <w:bookmarkEnd w:id="1"/>
    </w:p>
    <w:p w14:paraId="6C5776E9" w14:textId="77777777" w:rsidR="001708A6" w:rsidRDefault="001708A6">
      <w:pPr>
        <w:pStyle w:val="TOC1"/>
        <w:rPr>
          <w:rFonts w:asciiTheme="minorHAnsi" w:eastAsiaTheme="minorEastAsia" w:hAnsiTheme="minorHAnsi" w:cstheme="minorBidi"/>
          <w:b w:val="0"/>
          <w:color w:val="auto"/>
        </w:rPr>
      </w:pPr>
      <w:r>
        <w:rPr>
          <w:rFonts w:eastAsia="Arial"/>
        </w:rPr>
        <w:fldChar w:fldCharType="begin"/>
      </w:r>
      <w:r>
        <w:rPr>
          <w:rFonts w:eastAsia="Arial"/>
        </w:rPr>
        <w:instrText xml:space="preserve"> TOC \h \z \t "Heading 1,1" </w:instrText>
      </w:r>
      <w:r>
        <w:rPr>
          <w:rFonts w:eastAsia="Arial"/>
        </w:rPr>
        <w:fldChar w:fldCharType="separate"/>
      </w:r>
      <w:hyperlink w:anchor="_Toc518559007" w:history="1">
        <w:r w:rsidRPr="0080414C">
          <w:rPr>
            <w:rStyle w:val="Hyperlink"/>
            <w:rFonts w:eastAsia="Arial"/>
            <w:spacing w:val="-2"/>
            <w:w w:val="78"/>
          </w:rPr>
          <w:t>F</w:t>
        </w:r>
        <w:r w:rsidRPr="0080414C">
          <w:rPr>
            <w:rStyle w:val="Hyperlink"/>
            <w:rFonts w:eastAsia="Arial"/>
            <w:w w:val="106"/>
          </w:rPr>
          <w:t>o</w:t>
        </w:r>
        <w:r w:rsidRPr="0080414C">
          <w:rPr>
            <w:rStyle w:val="Hyperlink"/>
            <w:rFonts w:eastAsia="Arial"/>
            <w:spacing w:val="-5"/>
            <w:w w:val="106"/>
          </w:rPr>
          <w:t>r</w:t>
        </w:r>
        <w:r w:rsidRPr="0080414C">
          <w:rPr>
            <w:rStyle w:val="Hyperlink"/>
            <w:rFonts w:eastAsia="Arial"/>
            <w:spacing w:val="-3"/>
            <w:w w:val="92"/>
          </w:rPr>
          <w:t>e</w:t>
        </w:r>
        <w:r w:rsidRPr="0080414C">
          <w:rPr>
            <w:rStyle w:val="Hyperlink"/>
            <w:rFonts w:eastAsia="Arial"/>
            <w:spacing w:val="-7"/>
            <w:w w:val="112"/>
          </w:rPr>
          <w:t>w</w:t>
        </w:r>
        <w:r w:rsidRPr="0080414C">
          <w:rPr>
            <w:rStyle w:val="Hyperlink"/>
            <w:rFonts w:eastAsia="Arial"/>
            <w:w w:val="106"/>
          </w:rPr>
          <w:t>o</w:t>
        </w:r>
        <w:r w:rsidRPr="0080414C">
          <w:rPr>
            <w:rStyle w:val="Hyperlink"/>
            <w:rFonts w:eastAsia="Arial"/>
            <w:spacing w:val="-4"/>
            <w:w w:val="106"/>
          </w:rPr>
          <w:t>r</w:t>
        </w:r>
        <w:r w:rsidRPr="0080414C">
          <w:rPr>
            <w:rStyle w:val="Hyperlink"/>
            <w:rFonts w:eastAsia="Arial"/>
            <w:w w:val="107"/>
          </w:rPr>
          <w:t>d</w:t>
        </w:r>
        <w:r>
          <w:rPr>
            <w:webHidden/>
          </w:rPr>
          <w:tab/>
        </w:r>
        <w:r>
          <w:rPr>
            <w:webHidden/>
          </w:rPr>
          <w:fldChar w:fldCharType="begin"/>
        </w:r>
        <w:r>
          <w:rPr>
            <w:webHidden/>
          </w:rPr>
          <w:instrText xml:space="preserve"> PAGEREF _Toc518559007 \h </w:instrText>
        </w:r>
        <w:r>
          <w:rPr>
            <w:webHidden/>
          </w:rPr>
        </w:r>
        <w:r>
          <w:rPr>
            <w:webHidden/>
          </w:rPr>
          <w:fldChar w:fldCharType="separate"/>
        </w:r>
        <w:r>
          <w:rPr>
            <w:webHidden/>
          </w:rPr>
          <w:t>2</w:t>
        </w:r>
        <w:r>
          <w:rPr>
            <w:webHidden/>
          </w:rPr>
          <w:fldChar w:fldCharType="end"/>
        </w:r>
      </w:hyperlink>
    </w:p>
    <w:p w14:paraId="7279C925" w14:textId="77777777" w:rsidR="001708A6" w:rsidRDefault="00241DB7">
      <w:pPr>
        <w:pStyle w:val="TOC1"/>
        <w:rPr>
          <w:rFonts w:asciiTheme="minorHAnsi" w:eastAsiaTheme="minorEastAsia" w:hAnsiTheme="minorHAnsi" w:cstheme="minorBidi"/>
          <w:b w:val="0"/>
          <w:color w:val="auto"/>
        </w:rPr>
      </w:pPr>
      <w:hyperlink w:anchor="_Toc518559008" w:history="1">
        <w:r w:rsidR="001708A6" w:rsidRPr="0080414C">
          <w:rPr>
            <w:rStyle w:val="Hyperlink"/>
            <w:rFonts w:eastAsia="Arial"/>
            <w:spacing w:val="-2"/>
            <w:w w:val="92"/>
          </w:rPr>
          <w:t>T</w:t>
        </w:r>
        <w:r w:rsidR="001708A6" w:rsidRPr="0080414C">
          <w:rPr>
            <w:rStyle w:val="Hyperlink"/>
            <w:rFonts w:eastAsia="Arial"/>
            <w:spacing w:val="-5"/>
            <w:w w:val="92"/>
          </w:rPr>
          <w:t>h</w:t>
        </w:r>
        <w:r w:rsidR="001708A6" w:rsidRPr="0080414C">
          <w:rPr>
            <w:rStyle w:val="Hyperlink"/>
            <w:rFonts w:eastAsia="Arial"/>
            <w:w w:val="92"/>
          </w:rPr>
          <w:t>e</w:t>
        </w:r>
        <w:r w:rsidR="001708A6" w:rsidRPr="0080414C">
          <w:rPr>
            <w:rStyle w:val="Hyperlink"/>
            <w:rFonts w:eastAsia="Arial"/>
            <w:spacing w:val="23"/>
            <w:w w:val="92"/>
          </w:rPr>
          <w:t xml:space="preserve"> </w:t>
        </w:r>
        <w:r w:rsidR="001708A6" w:rsidRPr="0080414C">
          <w:rPr>
            <w:rStyle w:val="Hyperlink"/>
            <w:rFonts w:eastAsia="Arial"/>
            <w:spacing w:val="-5"/>
          </w:rPr>
          <w:t>r</w:t>
        </w:r>
        <w:r w:rsidR="001708A6" w:rsidRPr="0080414C">
          <w:rPr>
            <w:rStyle w:val="Hyperlink"/>
            <w:rFonts w:eastAsia="Arial"/>
            <w:spacing w:val="-6"/>
          </w:rPr>
          <w:t>ol</w:t>
        </w:r>
        <w:r w:rsidR="001708A6" w:rsidRPr="0080414C">
          <w:rPr>
            <w:rStyle w:val="Hyperlink"/>
            <w:rFonts w:eastAsia="Arial"/>
          </w:rPr>
          <w:t>e</w:t>
        </w:r>
        <w:r w:rsidR="001708A6" w:rsidRPr="0080414C">
          <w:rPr>
            <w:rStyle w:val="Hyperlink"/>
            <w:rFonts w:eastAsia="Arial"/>
            <w:spacing w:val="25"/>
          </w:rPr>
          <w:t xml:space="preserve"> </w:t>
        </w:r>
        <w:r w:rsidR="001708A6" w:rsidRPr="0080414C">
          <w:rPr>
            <w:rStyle w:val="Hyperlink"/>
            <w:rFonts w:eastAsia="Arial"/>
            <w:spacing w:val="-11"/>
            <w:w w:val="108"/>
          </w:rPr>
          <w:t>o</w:t>
        </w:r>
        <w:r w:rsidR="001708A6" w:rsidRPr="0080414C">
          <w:rPr>
            <w:rStyle w:val="Hyperlink"/>
            <w:rFonts w:eastAsia="Arial"/>
            <w:w w:val="108"/>
          </w:rPr>
          <w:t>f</w:t>
        </w:r>
        <w:r w:rsidR="001708A6" w:rsidRPr="0080414C">
          <w:rPr>
            <w:rStyle w:val="Hyperlink"/>
            <w:rFonts w:eastAsia="Arial"/>
            <w:spacing w:val="12"/>
            <w:w w:val="108"/>
          </w:rPr>
          <w:t xml:space="preserve"> </w:t>
        </w:r>
        <w:r w:rsidR="001708A6" w:rsidRPr="0080414C">
          <w:rPr>
            <w:rStyle w:val="Hyperlink"/>
            <w:rFonts w:eastAsia="Arial"/>
            <w:spacing w:val="-9"/>
            <w:w w:val="108"/>
          </w:rPr>
          <w:t>t</w:t>
        </w:r>
        <w:r w:rsidR="001708A6" w:rsidRPr="0080414C">
          <w:rPr>
            <w:rStyle w:val="Hyperlink"/>
            <w:rFonts w:eastAsia="Arial"/>
            <w:spacing w:val="-5"/>
            <w:w w:val="108"/>
          </w:rPr>
          <w:t>h</w:t>
        </w:r>
        <w:r w:rsidR="001708A6" w:rsidRPr="0080414C">
          <w:rPr>
            <w:rStyle w:val="Hyperlink"/>
            <w:rFonts w:eastAsia="Arial"/>
            <w:w w:val="108"/>
          </w:rPr>
          <w:t>e</w:t>
        </w:r>
        <w:r w:rsidR="001708A6" w:rsidRPr="0080414C">
          <w:rPr>
            <w:rStyle w:val="Hyperlink"/>
            <w:rFonts w:eastAsia="Arial"/>
            <w:spacing w:val="-30"/>
            <w:w w:val="108"/>
          </w:rPr>
          <w:t xml:space="preserve"> </w:t>
        </w:r>
        <w:r w:rsidR="001708A6" w:rsidRPr="0080414C">
          <w:rPr>
            <w:rStyle w:val="Hyperlink"/>
            <w:rFonts w:eastAsia="Arial"/>
            <w:spacing w:val="-13"/>
            <w:w w:val="91"/>
          </w:rPr>
          <w:t>G</w:t>
        </w:r>
        <w:r w:rsidR="001708A6" w:rsidRPr="0080414C">
          <w:rPr>
            <w:rStyle w:val="Hyperlink"/>
            <w:rFonts w:eastAsia="Arial"/>
            <w:w w:val="78"/>
          </w:rPr>
          <w:t>S</w:t>
        </w:r>
        <w:r w:rsidR="001708A6" w:rsidRPr="0080414C">
          <w:rPr>
            <w:rStyle w:val="Hyperlink"/>
            <w:rFonts w:eastAsia="Arial"/>
            <w:w w:val="82"/>
          </w:rPr>
          <w:t>T</w:t>
        </w:r>
        <w:r w:rsidR="001708A6">
          <w:rPr>
            <w:webHidden/>
          </w:rPr>
          <w:tab/>
        </w:r>
        <w:r w:rsidR="001708A6">
          <w:rPr>
            <w:webHidden/>
          </w:rPr>
          <w:fldChar w:fldCharType="begin"/>
        </w:r>
        <w:r w:rsidR="001708A6">
          <w:rPr>
            <w:webHidden/>
          </w:rPr>
          <w:instrText xml:space="preserve"> PAGEREF _Toc518559008 \h </w:instrText>
        </w:r>
        <w:r w:rsidR="001708A6">
          <w:rPr>
            <w:webHidden/>
          </w:rPr>
        </w:r>
        <w:r w:rsidR="001708A6">
          <w:rPr>
            <w:webHidden/>
          </w:rPr>
          <w:fldChar w:fldCharType="separate"/>
        </w:r>
        <w:r w:rsidR="001708A6">
          <w:rPr>
            <w:webHidden/>
          </w:rPr>
          <w:t>3</w:t>
        </w:r>
        <w:r w:rsidR="001708A6">
          <w:rPr>
            <w:webHidden/>
          </w:rPr>
          <w:fldChar w:fldCharType="end"/>
        </w:r>
      </w:hyperlink>
    </w:p>
    <w:p w14:paraId="45267E10" w14:textId="77777777" w:rsidR="001708A6" w:rsidRDefault="00241DB7">
      <w:pPr>
        <w:pStyle w:val="TOC1"/>
        <w:rPr>
          <w:rFonts w:asciiTheme="minorHAnsi" w:eastAsiaTheme="minorEastAsia" w:hAnsiTheme="minorHAnsi" w:cstheme="minorBidi"/>
          <w:b w:val="0"/>
          <w:color w:val="auto"/>
        </w:rPr>
      </w:pPr>
      <w:hyperlink w:anchor="_Toc518559009" w:history="1">
        <w:r w:rsidR="001708A6" w:rsidRPr="0080414C">
          <w:rPr>
            <w:rStyle w:val="Hyperlink"/>
            <w:rFonts w:eastAsia="Arial"/>
          </w:rPr>
          <w:t>How does HFE work?</w:t>
        </w:r>
        <w:r w:rsidR="001708A6">
          <w:rPr>
            <w:webHidden/>
          </w:rPr>
          <w:tab/>
        </w:r>
        <w:r w:rsidR="001708A6">
          <w:rPr>
            <w:webHidden/>
          </w:rPr>
          <w:fldChar w:fldCharType="begin"/>
        </w:r>
        <w:r w:rsidR="001708A6">
          <w:rPr>
            <w:webHidden/>
          </w:rPr>
          <w:instrText xml:space="preserve"> PAGEREF _Toc518559009 \h </w:instrText>
        </w:r>
        <w:r w:rsidR="001708A6">
          <w:rPr>
            <w:webHidden/>
          </w:rPr>
        </w:r>
        <w:r w:rsidR="001708A6">
          <w:rPr>
            <w:webHidden/>
          </w:rPr>
          <w:fldChar w:fldCharType="separate"/>
        </w:r>
        <w:r w:rsidR="001708A6">
          <w:rPr>
            <w:webHidden/>
          </w:rPr>
          <w:t>6</w:t>
        </w:r>
        <w:r w:rsidR="001708A6">
          <w:rPr>
            <w:webHidden/>
          </w:rPr>
          <w:fldChar w:fldCharType="end"/>
        </w:r>
      </w:hyperlink>
    </w:p>
    <w:p w14:paraId="70BEFBC2" w14:textId="77777777" w:rsidR="001708A6" w:rsidRDefault="00241DB7">
      <w:pPr>
        <w:pStyle w:val="TOC1"/>
        <w:rPr>
          <w:rFonts w:asciiTheme="minorHAnsi" w:eastAsiaTheme="minorEastAsia" w:hAnsiTheme="minorHAnsi" w:cstheme="minorBidi"/>
          <w:b w:val="0"/>
          <w:color w:val="auto"/>
        </w:rPr>
      </w:pPr>
      <w:hyperlink w:anchor="_Toc518559010" w:history="1">
        <w:r w:rsidR="001708A6" w:rsidRPr="0080414C">
          <w:rPr>
            <w:rStyle w:val="Hyperlink"/>
            <w:rFonts w:eastAsia="Arial"/>
          </w:rPr>
          <w:t>HFE has been part of our system since federation</w:t>
        </w:r>
        <w:r w:rsidR="001708A6">
          <w:rPr>
            <w:webHidden/>
          </w:rPr>
          <w:tab/>
        </w:r>
        <w:r w:rsidR="001708A6">
          <w:rPr>
            <w:webHidden/>
          </w:rPr>
          <w:fldChar w:fldCharType="begin"/>
        </w:r>
        <w:r w:rsidR="001708A6">
          <w:rPr>
            <w:webHidden/>
          </w:rPr>
          <w:instrText xml:space="preserve"> PAGEREF _Toc518559010 \h </w:instrText>
        </w:r>
        <w:r w:rsidR="001708A6">
          <w:rPr>
            <w:webHidden/>
          </w:rPr>
        </w:r>
        <w:r w:rsidR="001708A6">
          <w:rPr>
            <w:webHidden/>
          </w:rPr>
          <w:fldChar w:fldCharType="separate"/>
        </w:r>
        <w:r w:rsidR="001708A6">
          <w:rPr>
            <w:webHidden/>
          </w:rPr>
          <w:t>8</w:t>
        </w:r>
        <w:r w:rsidR="001708A6">
          <w:rPr>
            <w:webHidden/>
          </w:rPr>
          <w:fldChar w:fldCharType="end"/>
        </w:r>
      </w:hyperlink>
    </w:p>
    <w:p w14:paraId="69CD3A69" w14:textId="77777777" w:rsidR="001708A6" w:rsidRDefault="00241DB7">
      <w:pPr>
        <w:pStyle w:val="TOC1"/>
        <w:rPr>
          <w:rFonts w:asciiTheme="minorHAnsi" w:eastAsiaTheme="minorEastAsia" w:hAnsiTheme="minorHAnsi" w:cstheme="minorBidi"/>
          <w:b w:val="0"/>
          <w:color w:val="auto"/>
        </w:rPr>
      </w:pPr>
      <w:hyperlink w:anchor="_Toc518559011" w:history="1">
        <w:r w:rsidR="001708A6" w:rsidRPr="0080414C">
          <w:rPr>
            <w:rStyle w:val="Hyperlink"/>
            <w:rFonts w:eastAsia="Arial"/>
          </w:rPr>
          <w:t>The current HFE system was not designed to deal with significant economic shocks</w:t>
        </w:r>
        <w:r w:rsidR="001708A6">
          <w:rPr>
            <w:webHidden/>
          </w:rPr>
          <w:tab/>
        </w:r>
        <w:r w:rsidR="001708A6">
          <w:rPr>
            <w:webHidden/>
          </w:rPr>
          <w:fldChar w:fldCharType="begin"/>
        </w:r>
        <w:r w:rsidR="001708A6">
          <w:rPr>
            <w:webHidden/>
          </w:rPr>
          <w:instrText xml:space="preserve"> PAGEREF _Toc518559011 \h </w:instrText>
        </w:r>
        <w:r w:rsidR="001708A6">
          <w:rPr>
            <w:webHidden/>
          </w:rPr>
        </w:r>
        <w:r w:rsidR="001708A6">
          <w:rPr>
            <w:webHidden/>
          </w:rPr>
          <w:fldChar w:fldCharType="separate"/>
        </w:r>
        <w:r w:rsidR="001708A6">
          <w:rPr>
            <w:webHidden/>
          </w:rPr>
          <w:t>9</w:t>
        </w:r>
        <w:r w:rsidR="001708A6">
          <w:rPr>
            <w:webHidden/>
          </w:rPr>
          <w:fldChar w:fldCharType="end"/>
        </w:r>
      </w:hyperlink>
    </w:p>
    <w:p w14:paraId="0146AE6E" w14:textId="77777777" w:rsidR="001708A6" w:rsidRDefault="00241DB7">
      <w:pPr>
        <w:pStyle w:val="TOC1"/>
        <w:rPr>
          <w:rFonts w:asciiTheme="minorHAnsi" w:eastAsiaTheme="minorEastAsia" w:hAnsiTheme="minorHAnsi" w:cstheme="minorBidi"/>
          <w:b w:val="0"/>
          <w:color w:val="auto"/>
        </w:rPr>
      </w:pPr>
      <w:hyperlink w:anchor="_Toc518559012" w:history="1">
        <w:r w:rsidR="001708A6" w:rsidRPr="0080414C">
          <w:rPr>
            <w:rStyle w:val="Hyperlink"/>
            <w:rFonts w:eastAsia="Arial"/>
          </w:rPr>
          <w:t>Updating the GST system means it can absorb future economic shocks</w:t>
        </w:r>
        <w:r w:rsidR="001708A6">
          <w:rPr>
            <w:webHidden/>
          </w:rPr>
          <w:tab/>
        </w:r>
        <w:r w:rsidR="001708A6">
          <w:rPr>
            <w:webHidden/>
          </w:rPr>
          <w:fldChar w:fldCharType="begin"/>
        </w:r>
        <w:r w:rsidR="001708A6">
          <w:rPr>
            <w:webHidden/>
          </w:rPr>
          <w:instrText xml:space="preserve"> PAGEREF _Toc518559012 \h </w:instrText>
        </w:r>
        <w:r w:rsidR="001708A6">
          <w:rPr>
            <w:webHidden/>
          </w:rPr>
        </w:r>
        <w:r w:rsidR="001708A6">
          <w:rPr>
            <w:webHidden/>
          </w:rPr>
          <w:fldChar w:fldCharType="separate"/>
        </w:r>
        <w:r w:rsidR="001708A6">
          <w:rPr>
            <w:webHidden/>
          </w:rPr>
          <w:t>11</w:t>
        </w:r>
        <w:r w:rsidR="001708A6">
          <w:rPr>
            <w:webHidden/>
          </w:rPr>
          <w:fldChar w:fldCharType="end"/>
        </w:r>
      </w:hyperlink>
    </w:p>
    <w:p w14:paraId="0F9E751A" w14:textId="77777777" w:rsidR="001708A6" w:rsidRDefault="00241DB7">
      <w:pPr>
        <w:pStyle w:val="TOC1"/>
        <w:rPr>
          <w:rFonts w:asciiTheme="minorHAnsi" w:eastAsiaTheme="minorEastAsia" w:hAnsiTheme="minorHAnsi" w:cstheme="minorBidi"/>
          <w:b w:val="0"/>
          <w:color w:val="auto"/>
        </w:rPr>
      </w:pPr>
      <w:hyperlink w:anchor="_Toc518559013" w:history="1">
        <w:r w:rsidR="001708A6" w:rsidRPr="0080414C">
          <w:rPr>
            <w:rStyle w:val="Hyperlink"/>
            <w:rFonts w:eastAsia="Arial"/>
          </w:rPr>
          <w:t>PC recommendations that can and should be pursued immediately</w:t>
        </w:r>
        <w:r w:rsidR="001708A6">
          <w:rPr>
            <w:webHidden/>
          </w:rPr>
          <w:tab/>
        </w:r>
        <w:r w:rsidR="001708A6">
          <w:rPr>
            <w:webHidden/>
          </w:rPr>
          <w:fldChar w:fldCharType="begin"/>
        </w:r>
        <w:r w:rsidR="001708A6">
          <w:rPr>
            <w:webHidden/>
          </w:rPr>
          <w:instrText xml:space="preserve"> PAGEREF _Toc518559013 \h </w:instrText>
        </w:r>
        <w:r w:rsidR="001708A6">
          <w:rPr>
            <w:webHidden/>
          </w:rPr>
        </w:r>
        <w:r w:rsidR="001708A6">
          <w:rPr>
            <w:webHidden/>
          </w:rPr>
          <w:fldChar w:fldCharType="separate"/>
        </w:r>
        <w:r w:rsidR="001708A6">
          <w:rPr>
            <w:webHidden/>
          </w:rPr>
          <w:t>12</w:t>
        </w:r>
        <w:r w:rsidR="001708A6">
          <w:rPr>
            <w:webHidden/>
          </w:rPr>
          <w:fldChar w:fldCharType="end"/>
        </w:r>
      </w:hyperlink>
    </w:p>
    <w:p w14:paraId="4CFF1055" w14:textId="77777777" w:rsidR="001708A6" w:rsidRDefault="00241DB7">
      <w:pPr>
        <w:pStyle w:val="TOC1"/>
        <w:rPr>
          <w:rFonts w:asciiTheme="minorHAnsi" w:eastAsiaTheme="minorEastAsia" w:hAnsiTheme="minorHAnsi" w:cstheme="minorBidi"/>
          <w:b w:val="0"/>
          <w:color w:val="auto"/>
        </w:rPr>
      </w:pPr>
      <w:hyperlink w:anchor="_Toc518559014" w:history="1">
        <w:r w:rsidR="001708A6" w:rsidRPr="0080414C">
          <w:rPr>
            <w:rStyle w:val="Hyperlink"/>
            <w:rFonts w:eastAsia="Arial"/>
          </w:rPr>
          <w:t>The PC also recommends a significant change to the standard of HFE</w:t>
        </w:r>
        <w:r w:rsidR="001708A6">
          <w:rPr>
            <w:webHidden/>
          </w:rPr>
          <w:tab/>
        </w:r>
        <w:r w:rsidR="001708A6">
          <w:rPr>
            <w:webHidden/>
          </w:rPr>
          <w:fldChar w:fldCharType="begin"/>
        </w:r>
        <w:r w:rsidR="001708A6">
          <w:rPr>
            <w:webHidden/>
          </w:rPr>
          <w:instrText xml:space="preserve"> PAGEREF _Toc518559014 \h </w:instrText>
        </w:r>
        <w:r w:rsidR="001708A6">
          <w:rPr>
            <w:webHidden/>
          </w:rPr>
        </w:r>
        <w:r w:rsidR="001708A6">
          <w:rPr>
            <w:webHidden/>
          </w:rPr>
          <w:fldChar w:fldCharType="separate"/>
        </w:r>
        <w:r w:rsidR="001708A6">
          <w:rPr>
            <w:webHidden/>
          </w:rPr>
          <w:t>14</w:t>
        </w:r>
        <w:r w:rsidR="001708A6">
          <w:rPr>
            <w:webHidden/>
          </w:rPr>
          <w:fldChar w:fldCharType="end"/>
        </w:r>
      </w:hyperlink>
    </w:p>
    <w:p w14:paraId="70226075" w14:textId="77777777" w:rsidR="001708A6" w:rsidRDefault="00241DB7">
      <w:pPr>
        <w:pStyle w:val="TOC1"/>
        <w:rPr>
          <w:rFonts w:asciiTheme="minorHAnsi" w:eastAsiaTheme="minorEastAsia" w:hAnsiTheme="minorHAnsi" w:cstheme="minorBidi"/>
          <w:b w:val="0"/>
          <w:color w:val="auto"/>
        </w:rPr>
      </w:pPr>
      <w:hyperlink w:anchor="_Toc518559015" w:history="1">
        <w:r w:rsidR="001708A6" w:rsidRPr="0080414C">
          <w:rPr>
            <w:rStyle w:val="Hyperlink"/>
            <w:rFonts w:eastAsia="Arial"/>
          </w:rPr>
          <w:t>A fairer, reasonable and more sustainable way to distribute the GST</w:t>
        </w:r>
        <w:r w:rsidR="001708A6">
          <w:rPr>
            <w:webHidden/>
          </w:rPr>
          <w:tab/>
        </w:r>
        <w:r w:rsidR="001708A6">
          <w:rPr>
            <w:webHidden/>
          </w:rPr>
          <w:fldChar w:fldCharType="begin"/>
        </w:r>
        <w:r w:rsidR="001708A6">
          <w:rPr>
            <w:webHidden/>
          </w:rPr>
          <w:instrText xml:space="preserve"> PAGEREF _Toc518559015 \h </w:instrText>
        </w:r>
        <w:r w:rsidR="001708A6">
          <w:rPr>
            <w:webHidden/>
          </w:rPr>
        </w:r>
        <w:r w:rsidR="001708A6">
          <w:rPr>
            <w:webHidden/>
          </w:rPr>
          <w:fldChar w:fldCharType="separate"/>
        </w:r>
        <w:r w:rsidR="001708A6">
          <w:rPr>
            <w:webHidden/>
          </w:rPr>
          <w:t>16</w:t>
        </w:r>
        <w:r w:rsidR="001708A6">
          <w:rPr>
            <w:webHidden/>
          </w:rPr>
          <w:fldChar w:fldCharType="end"/>
        </w:r>
      </w:hyperlink>
    </w:p>
    <w:p w14:paraId="71DB6D59" w14:textId="77777777" w:rsidR="001708A6" w:rsidRDefault="00241DB7">
      <w:pPr>
        <w:pStyle w:val="TOC1"/>
        <w:rPr>
          <w:rFonts w:asciiTheme="minorHAnsi" w:eastAsiaTheme="minorEastAsia" w:hAnsiTheme="minorHAnsi" w:cstheme="minorBidi"/>
          <w:b w:val="0"/>
          <w:color w:val="auto"/>
        </w:rPr>
      </w:pPr>
      <w:hyperlink w:anchor="_Toc518559016" w:history="1">
        <w:r w:rsidR="001708A6" w:rsidRPr="0080414C">
          <w:rPr>
            <w:rStyle w:val="Hyperlink"/>
            <w:rFonts w:eastAsia="Arial"/>
          </w:rPr>
          <w:t>The Government’s plan has three steps</w:t>
        </w:r>
        <w:r w:rsidR="001708A6">
          <w:rPr>
            <w:webHidden/>
          </w:rPr>
          <w:tab/>
        </w:r>
        <w:r w:rsidR="001708A6">
          <w:rPr>
            <w:webHidden/>
          </w:rPr>
          <w:fldChar w:fldCharType="begin"/>
        </w:r>
        <w:r w:rsidR="001708A6">
          <w:rPr>
            <w:webHidden/>
          </w:rPr>
          <w:instrText xml:space="preserve"> PAGEREF _Toc518559016 \h </w:instrText>
        </w:r>
        <w:r w:rsidR="001708A6">
          <w:rPr>
            <w:webHidden/>
          </w:rPr>
        </w:r>
        <w:r w:rsidR="001708A6">
          <w:rPr>
            <w:webHidden/>
          </w:rPr>
          <w:fldChar w:fldCharType="separate"/>
        </w:r>
        <w:r w:rsidR="001708A6">
          <w:rPr>
            <w:webHidden/>
          </w:rPr>
          <w:t>20</w:t>
        </w:r>
        <w:r w:rsidR="001708A6">
          <w:rPr>
            <w:webHidden/>
          </w:rPr>
          <w:fldChar w:fldCharType="end"/>
        </w:r>
      </w:hyperlink>
    </w:p>
    <w:p w14:paraId="09FEF17C" w14:textId="77777777" w:rsidR="001708A6" w:rsidRDefault="00241DB7">
      <w:pPr>
        <w:pStyle w:val="TOC1"/>
        <w:rPr>
          <w:rFonts w:asciiTheme="minorHAnsi" w:eastAsiaTheme="minorEastAsia" w:hAnsiTheme="minorHAnsi" w:cstheme="minorBidi"/>
          <w:b w:val="0"/>
          <w:color w:val="auto"/>
        </w:rPr>
      </w:pPr>
      <w:hyperlink w:anchor="_Toc518559017" w:history="1">
        <w:r w:rsidR="001708A6" w:rsidRPr="0080414C">
          <w:rPr>
            <w:rStyle w:val="Hyperlink"/>
            <w:rFonts w:eastAsia="Arial"/>
            <w:spacing w:val="4"/>
          </w:rPr>
          <w:t>A</w:t>
        </w:r>
        <w:r w:rsidR="001708A6" w:rsidRPr="0080414C">
          <w:rPr>
            <w:rStyle w:val="Hyperlink"/>
            <w:rFonts w:eastAsia="Arial"/>
            <w:spacing w:val="-7"/>
          </w:rPr>
          <w:t>p</w:t>
        </w:r>
        <w:r w:rsidR="001708A6" w:rsidRPr="0080414C">
          <w:rPr>
            <w:rStyle w:val="Hyperlink"/>
            <w:rFonts w:eastAsia="Arial"/>
            <w:spacing w:val="-3"/>
          </w:rPr>
          <w:t>p</w:t>
        </w:r>
        <w:r w:rsidR="001708A6" w:rsidRPr="0080414C">
          <w:rPr>
            <w:rStyle w:val="Hyperlink"/>
            <w:rFonts w:eastAsia="Arial"/>
          </w:rPr>
          <w:t>e</w:t>
        </w:r>
        <w:r w:rsidR="001708A6" w:rsidRPr="0080414C">
          <w:rPr>
            <w:rStyle w:val="Hyperlink"/>
            <w:rFonts w:eastAsia="Arial"/>
            <w:spacing w:val="-6"/>
          </w:rPr>
          <w:t>n</w:t>
        </w:r>
        <w:r w:rsidR="001708A6" w:rsidRPr="0080414C">
          <w:rPr>
            <w:rStyle w:val="Hyperlink"/>
            <w:rFonts w:eastAsia="Arial"/>
            <w:spacing w:val="-11"/>
          </w:rPr>
          <w:t>d</w:t>
        </w:r>
        <w:r w:rsidR="001708A6" w:rsidRPr="0080414C">
          <w:rPr>
            <w:rStyle w:val="Hyperlink"/>
            <w:rFonts w:eastAsia="Arial"/>
          </w:rPr>
          <w:t>ix</w:t>
        </w:r>
        <w:r w:rsidR="001708A6" w:rsidRPr="0080414C">
          <w:rPr>
            <w:rStyle w:val="Hyperlink"/>
            <w:rFonts w:eastAsia="Arial"/>
            <w:spacing w:val="49"/>
          </w:rPr>
          <w:t xml:space="preserve"> </w:t>
        </w:r>
        <w:r w:rsidR="001708A6" w:rsidRPr="0080414C">
          <w:rPr>
            <w:rStyle w:val="Hyperlink"/>
            <w:rFonts w:eastAsia="Arial"/>
          </w:rPr>
          <w:t>A</w:t>
        </w:r>
        <w:r w:rsidR="001708A6">
          <w:rPr>
            <w:rStyle w:val="Hyperlink"/>
            <w:rFonts w:eastAsia="Arial"/>
          </w:rPr>
          <w:t>: Recommendations and findings</w:t>
        </w:r>
        <w:r w:rsidR="001708A6">
          <w:rPr>
            <w:webHidden/>
          </w:rPr>
          <w:tab/>
        </w:r>
        <w:r w:rsidR="001708A6">
          <w:rPr>
            <w:webHidden/>
          </w:rPr>
          <w:fldChar w:fldCharType="begin"/>
        </w:r>
        <w:r w:rsidR="001708A6">
          <w:rPr>
            <w:webHidden/>
          </w:rPr>
          <w:instrText xml:space="preserve"> PAGEREF _Toc518559017 \h </w:instrText>
        </w:r>
        <w:r w:rsidR="001708A6">
          <w:rPr>
            <w:webHidden/>
          </w:rPr>
        </w:r>
        <w:r w:rsidR="001708A6">
          <w:rPr>
            <w:webHidden/>
          </w:rPr>
          <w:fldChar w:fldCharType="separate"/>
        </w:r>
        <w:r w:rsidR="001708A6">
          <w:rPr>
            <w:webHidden/>
          </w:rPr>
          <w:t>24</w:t>
        </w:r>
        <w:r w:rsidR="001708A6">
          <w:rPr>
            <w:webHidden/>
          </w:rPr>
          <w:fldChar w:fldCharType="end"/>
        </w:r>
      </w:hyperlink>
    </w:p>
    <w:p w14:paraId="1482E928" w14:textId="123970A9" w:rsidR="00EE67DE" w:rsidRDefault="001708A6" w:rsidP="00EE67DE">
      <w:r>
        <w:rPr>
          <w:rFonts w:eastAsia="Arial"/>
          <w:noProof/>
          <w:color w:val="004A7F"/>
          <w:szCs w:val="22"/>
        </w:rPr>
        <w:fldChar w:fldCharType="end"/>
      </w:r>
    </w:p>
    <w:p w14:paraId="7D376577" w14:textId="77777777" w:rsidR="00EE67DE" w:rsidRDefault="00EE67DE" w:rsidP="00EE67DE">
      <w:pPr>
        <w:sectPr w:rsidR="00EE67DE" w:rsidSect="00833DBC">
          <w:footerReference w:type="even" r:id="rId21"/>
          <w:footerReference w:type="default" r:id="rId22"/>
          <w:type w:val="continuous"/>
          <w:pgSz w:w="11920" w:h="16840"/>
          <w:pgMar w:top="1134" w:right="1418" w:bottom="1418" w:left="1134" w:header="709" w:footer="709" w:gutter="0"/>
          <w:pgNumType w:start="1"/>
          <w:cols w:space="295"/>
          <w:docGrid w:linePitch="299"/>
        </w:sectPr>
      </w:pPr>
    </w:p>
    <w:p w14:paraId="513C8070" w14:textId="77777777" w:rsidR="007F6037" w:rsidRDefault="00EE67DE" w:rsidP="00EE67DE">
      <w:pPr>
        <w:pStyle w:val="Heading1"/>
        <w:rPr>
          <w:rFonts w:eastAsia="Arial"/>
        </w:rPr>
      </w:pPr>
      <w:bookmarkStart w:id="2" w:name="_Toc518559007"/>
      <w:r>
        <w:rPr>
          <w:rFonts w:eastAsia="Arial"/>
          <w:spacing w:val="-2"/>
          <w:w w:val="78"/>
        </w:rPr>
        <w:lastRenderedPageBreak/>
        <w:t>F</w:t>
      </w:r>
      <w:r>
        <w:rPr>
          <w:rFonts w:eastAsia="Arial"/>
          <w:w w:val="106"/>
        </w:rPr>
        <w:t>o</w:t>
      </w:r>
      <w:r>
        <w:rPr>
          <w:rFonts w:eastAsia="Arial"/>
          <w:spacing w:val="-5"/>
          <w:w w:val="106"/>
        </w:rPr>
        <w:t>r</w:t>
      </w:r>
      <w:r>
        <w:rPr>
          <w:rFonts w:eastAsia="Arial"/>
          <w:spacing w:val="-3"/>
          <w:w w:val="92"/>
        </w:rPr>
        <w:t>e</w:t>
      </w:r>
      <w:r>
        <w:rPr>
          <w:rFonts w:eastAsia="Arial"/>
          <w:spacing w:val="-7"/>
          <w:w w:val="112"/>
        </w:rPr>
        <w:t>w</w:t>
      </w:r>
      <w:r>
        <w:rPr>
          <w:rFonts w:eastAsia="Arial"/>
          <w:w w:val="106"/>
        </w:rPr>
        <w:t>o</w:t>
      </w:r>
      <w:r>
        <w:rPr>
          <w:rFonts w:eastAsia="Arial"/>
          <w:spacing w:val="-4"/>
          <w:w w:val="106"/>
        </w:rPr>
        <w:t>r</w:t>
      </w:r>
      <w:r>
        <w:rPr>
          <w:rFonts w:eastAsia="Arial"/>
          <w:w w:val="107"/>
        </w:rPr>
        <w:t>d</w:t>
      </w:r>
      <w:bookmarkEnd w:id="2"/>
    </w:p>
    <w:p w14:paraId="19182C6B" w14:textId="77777777" w:rsidR="007F6037" w:rsidRPr="00C12FFE" w:rsidRDefault="00C12FFE" w:rsidP="00C12FFE">
      <w:pPr>
        <w:rPr>
          <w:rFonts w:eastAsia="Arial"/>
        </w:rPr>
      </w:pPr>
      <w:r>
        <w:rPr>
          <w:rFonts w:eastAsia="Arial"/>
          <w:noProof/>
        </w:rPr>
        <w:drawing>
          <wp:anchor distT="0" distB="0" distL="114300" distR="114300" simplePos="0" relativeHeight="251658241" behindDoc="0" locked="0" layoutInCell="1" allowOverlap="1" wp14:anchorId="55D3289F" wp14:editId="20CA3E25">
            <wp:simplePos x="0" y="0"/>
            <wp:positionH relativeFrom="column">
              <wp:posOffset>-1270</wp:posOffset>
            </wp:positionH>
            <wp:positionV relativeFrom="paragraph">
              <wp:posOffset>1905</wp:posOffset>
            </wp:positionV>
            <wp:extent cx="1360170" cy="17411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cott Morrison_High Res CMYK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0170" cy="1741170"/>
                    </a:xfrm>
                    <a:prstGeom prst="rect">
                      <a:avLst/>
                    </a:prstGeom>
                  </pic:spPr>
                </pic:pic>
              </a:graphicData>
            </a:graphic>
            <wp14:sizeRelH relativeFrom="page">
              <wp14:pctWidth>0</wp14:pctWidth>
            </wp14:sizeRelH>
            <wp14:sizeRelV relativeFrom="page">
              <wp14:pctHeight>0</wp14:pctHeight>
            </wp14:sizeRelV>
          </wp:anchor>
        </w:drawing>
      </w:r>
      <w:r w:rsidR="00EE67DE" w:rsidRPr="00C12FFE">
        <w:rPr>
          <w:rFonts w:eastAsia="Arial"/>
        </w:rPr>
        <w:t>Since it was introduced in 2000, every dollar of GST raised has been distributed to the States and Territories (the States) according to a system of Horizontal Fiscal Equalisation (HFE) which is overseen by the independent Commonwealth Grants Commission (CGC).</w:t>
      </w:r>
    </w:p>
    <w:p w14:paraId="4F6CD5A5" w14:textId="77777777" w:rsidR="007F6037" w:rsidRPr="00C12FFE" w:rsidRDefault="00EE67DE" w:rsidP="00C12FFE">
      <w:pPr>
        <w:rPr>
          <w:rFonts w:eastAsia="Arial"/>
        </w:rPr>
      </w:pPr>
      <w:r w:rsidRPr="00C12FFE">
        <w:rPr>
          <w:rFonts w:eastAsia="Arial"/>
        </w:rPr>
        <w:t>The CGC distributes the GST to the States using a complex formula that aims to equalise the fiscal capacity of States so that Australians are able to enjoy a broadly similar standard of government services, regardless of where they live.</w:t>
      </w:r>
    </w:p>
    <w:p w14:paraId="1D4CED71" w14:textId="77777777" w:rsidR="007F6037" w:rsidRPr="00C12FFE" w:rsidRDefault="00EE67DE" w:rsidP="00C12FFE">
      <w:pPr>
        <w:rPr>
          <w:rFonts w:eastAsia="Arial"/>
        </w:rPr>
      </w:pPr>
      <w:r w:rsidRPr="00C12FFE">
        <w:rPr>
          <w:rFonts w:eastAsia="Arial"/>
        </w:rPr>
        <w:t>While this GST distribution system worked in a relatively stable and predictable way in its early years, the mining boom revealed that it does not function well when faced with economic shocks. The effects of the mining boom, particularly on Western Australia, created extraordinary volatility in the GST distribution that, as the independent Productivity Commission (PC) outlines in its report, stretched the HFE formula to its limits.</w:t>
      </w:r>
    </w:p>
    <w:p w14:paraId="2B3DBB01" w14:textId="77777777" w:rsidR="007F6037" w:rsidRPr="00C12FFE" w:rsidRDefault="00EE67DE" w:rsidP="00C12FFE">
      <w:pPr>
        <w:rPr>
          <w:rFonts w:eastAsia="Arial"/>
        </w:rPr>
      </w:pPr>
      <w:r w:rsidRPr="00C12FFE">
        <w:rPr>
          <w:rFonts w:eastAsia="Arial"/>
        </w:rPr>
        <w:t>This level of volatility could not have reasonably been foreseen when the GST was introduced. The economic shocks of the last decade have proved it is in need of an update.</w:t>
      </w:r>
    </w:p>
    <w:p w14:paraId="7A3BDC9E" w14:textId="77777777" w:rsidR="007F6037" w:rsidRPr="00C12FFE" w:rsidRDefault="00EE67DE" w:rsidP="00C12FFE">
      <w:pPr>
        <w:rPr>
          <w:rFonts w:eastAsia="Arial"/>
        </w:rPr>
      </w:pPr>
      <w:r w:rsidRPr="00C12FFE">
        <w:rPr>
          <w:rFonts w:eastAsia="Arial"/>
        </w:rPr>
        <w:t>In response to this volatility and resulting declining community confidence in Australia’s HFE system, the Turnbull Government tasked the Productivity Commission to undertake</w:t>
      </w:r>
      <w:r w:rsidR="00C12FFE" w:rsidRPr="00C12FFE">
        <w:rPr>
          <w:rFonts w:eastAsia="Arial"/>
        </w:rPr>
        <w:t xml:space="preserve"> </w:t>
      </w:r>
      <w:r w:rsidRPr="00C12FFE">
        <w:rPr>
          <w:rFonts w:eastAsia="Arial"/>
        </w:rPr>
        <w:t>a thorough review of the strengths and weaknesses of GST distribution.</w:t>
      </w:r>
    </w:p>
    <w:p w14:paraId="658B8FA2" w14:textId="77777777" w:rsidR="007F6037" w:rsidRPr="00C12FFE" w:rsidRDefault="00EE67DE" w:rsidP="00C12FFE">
      <w:pPr>
        <w:rPr>
          <w:rFonts w:eastAsia="Arial"/>
        </w:rPr>
      </w:pPr>
      <w:r w:rsidRPr="00C12FFE">
        <w:rPr>
          <w:rFonts w:eastAsia="Arial"/>
        </w:rPr>
        <w:t>Building on the PC’s extensive work, the Turnbull Government is proposing a fairer, reasonable and more sustainable way</w:t>
      </w:r>
      <w:r w:rsidR="00C12FFE" w:rsidRPr="00C12FFE">
        <w:rPr>
          <w:rFonts w:eastAsia="Arial"/>
        </w:rPr>
        <w:t xml:space="preserve"> </w:t>
      </w:r>
      <w:r w:rsidRPr="00C12FFE">
        <w:rPr>
          <w:rFonts w:eastAsia="Arial"/>
        </w:rPr>
        <w:t>to distribute the GST, one that affirms</w:t>
      </w:r>
      <w:r w:rsidR="00C12FFE" w:rsidRPr="00C12FFE">
        <w:rPr>
          <w:rFonts w:eastAsia="Arial"/>
        </w:rPr>
        <w:t xml:space="preserve"> </w:t>
      </w:r>
      <w:r w:rsidRPr="00C12FFE">
        <w:rPr>
          <w:rFonts w:eastAsia="Arial"/>
        </w:rPr>
        <w:t>the commitment to the ‘fair go’ principle of HFE.</w:t>
      </w:r>
    </w:p>
    <w:p w14:paraId="36122BD2" w14:textId="77777777" w:rsidR="007F6037" w:rsidRPr="00C12FFE" w:rsidRDefault="00EE67DE" w:rsidP="00C12FFE">
      <w:pPr>
        <w:rPr>
          <w:rFonts w:eastAsia="Arial"/>
        </w:rPr>
      </w:pPr>
      <w:r w:rsidRPr="00C12FFE">
        <w:rPr>
          <w:rFonts w:eastAsia="Arial"/>
        </w:rPr>
        <w:t>The Government’s proposed plan would guard against the negative effects of economic shocks through transition to an updated HFE system over eight years from 2019-20. The Federal Government would provide additional support payments from the Commonwealth Budget, boosting the size of the GST distribution pool and ensuring all States are</w:t>
      </w:r>
      <w:r w:rsidR="00C12FFE" w:rsidRPr="00C12FFE">
        <w:rPr>
          <w:rFonts w:eastAsia="Arial"/>
        </w:rPr>
        <w:t xml:space="preserve"> </w:t>
      </w:r>
      <w:r w:rsidRPr="00C12FFE">
        <w:rPr>
          <w:rFonts w:eastAsia="Arial"/>
        </w:rPr>
        <w:t>left better off.</w:t>
      </w:r>
    </w:p>
    <w:p w14:paraId="7227D554" w14:textId="77777777" w:rsidR="007F6037" w:rsidRPr="00C12FFE" w:rsidRDefault="00EE67DE" w:rsidP="00C12FFE">
      <w:pPr>
        <w:rPr>
          <w:rFonts w:eastAsia="Arial"/>
        </w:rPr>
      </w:pPr>
      <w:r w:rsidRPr="00C12FFE">
        <w:rPr>
          <w:rFonts w:eastAsia="Arial"/>
        </w:rPr>
        <w:t>This proposal maintains and improves HFE</w:t>
      </w:r>
      <w:r w:rsidR="00C12FFE" w:rsidRPr="00C12FFE">
        <w:rPr>
          <w:rFonts w:eastAsia="Arial"/>
        </w:rPr>
        <w:t xml:space="preserve"> </w:t>
      </w:r>
      <w:r w:rsidRPr="00C12FFE">
        <w:rPr>
          <w:rFonts w:eastAsia="Arial"/>
        </w:rPr>
        <w:t>with minimal disruption, now and into the future.</w:t>
      </w:r>
    </w:p>
    <w:p w14:paraId="7D2FE0A3" w14:textId="77777777" w:rsidR="007F6037" w:rsidRPr="00C12FFE" w:rsidRDefault="00EE67DE" w:rsidP="00C12FFE">
      <w:pPr>
        <w:rPr>
          <w:rFonts w:eastAsia="Arial"/>
        </w:rPr>
      </w:pPr>
      <w:r w:rsidRPr="00C12FFE">
        <w:rPr>
          <w:rFonts w:eastAsia="Arial"/>
        </w:rPr>
        <w:t>The Turnbull Government is determined to work in cooperation with the States to reach a long-term solution — one that leaves Australia with a more stable and predictable source of revenue for all States, while preserving the</w:t>
      </w:r>
      <w:r w:rsidR="00C12FFE" w:rsidRPr="00C12FFE">
        <w:rPr>
          <w:rFonts w:eastAsia="Arial"/>
        </w:rPr>
        <w:t xml:space="preserve"> </w:t>
      </w:r>
      <w:r w:rsidRPr="00C12FFE">
        <w:rPr>
          <w:rFonts w:eastAsia="Arial"/>
        </w:rPr>
        <w:t>best features of our HFE system in terms of equity and leaving all States better off.</w:t>
      </w:r>
    </w:p>
    <w:p w14:paraId="30C9C76D" w14:textId="77777777" w:rsidR="00C12FFE" w:rsidRPr="00C12FFE" w:rsidRDefault="00C12FFE" w:rsidP="00C12FFE">
      <w:pPr>
        <w:spacing w:after="0"/>
        <w:rPr>
          <w:rFonts w:eastAsia="Arial"/>
        </w:rPr>
      </w:pPr>
      <w:r>
        <w:rPr>
          <w:rFonts w:eastAsia="Arial"/>
          <w:noProof/>
        </w:rPr>
        <w:drawing>
          <wp:inline distT="0" distB="0" distL="0" distR="0" wp14:anchorId="09BED7E1" wp14:editId="796C7C52">
            <wp:extent cx="1913816" cy="1089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 Morrison_Signa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6291" cy="1090738"/>
                    </a:xfrm>
                    <a:prstGeom prst="rect">
                      <a:avLst/>
                    </a:prstGeom>
                  </pic:spPr>
                </pic:pic>
              </a:graphicData>
            </a:graphic>
          </wp:inline>
        </w:drawing>
      </w:r>
    </w:p>
    <w:p w14:paraId="47F45DF7" w14:textId="77777777" w:rsidR="00C12FFE" w:rsidRDefault="00EE67DE" w:rsidP="00C12FFE">
      <w:pPr>
        <w:rPr>
          <w:rFonts w:eastAsia="Arial"/>
        </w:rPr>
      </w:pPr>
      <w:r w:rsidRPr="00C12FFE">
        <w:rPr>
          <w:rFonts w:eastAsia="Arial"/>
        </w:rPr>
        <w:t xml:space="preserve">The Hon Scott Morrison MP </w:t>
      </w:r>
      <w:r w:rsidR="00833DBC">
        <w:rPr>
          <w:rFonts w:eastAsia="Arial"/>
        </w:rPr>
        <w:br/>
      </w:r>
      <w:r w:rsidRPr="00C12FFE">
        <w:rPr>
          <w:rFonts w:eastAsia="Arial"/>
        </w:rPr>
        <w:t>Treasurer</w:t>
      </w:r>
    </w:p>
    <w:p w14:paraId="04C59D82" w14:textId="77777777" w:rsidR="00C12FFE" w:rsidRDefault="00C12FFE" w:rsidP="00C12FFE">
      <w:pPr>
        <w:rPr>
          <w:rFonts w:eastAsia="Arial"/>
        </w:rPr>
      </w:pPr>
      <w:r>
        <w:rPr>
          <w:rFonts w:eastAsia="Arial"/>
        </w:rPr>
        <w:br w:type="page"/>
      </w:r>
    </w:p>
    <w:p w14:paraId="2C38305C" w14:textId="77777777" w:rsidR="007F6037" w:rsidRDefault="00EE67DE" w:rsidP="00C12FFE">
      <w:pPr>
        <w:pStyle w:val="Heading1"/>
        <w:rPr>
          <w:rFonts w:eastAsia="Arial"/>
        </w:rPr>
      </w:pPr>
      <w:bookmarkStart w:id="3" w:name="_Toc518559008"/>
      <w:r>
        <w:rPr>
          <w:rFonts w:eastAsia="Arial"/>
          <w:spacing w:val="-2"/>
          <w:w w:val="92"/>
        </w:rPr>
        <w:lastRenderedPageBreak/>
        <w:t>T</w:t>
      </w:r>
      <w:r>
        <w:rPr>
          <w:rFonts w:eastAsia="Arial"/>
          <w:spacing w:val="-5"/>
          <w:w w:val="92"/>
        </w:rPr>
        <w:t>h</w:t>
      </w:r>
      <w:r>
        <w:rPr>
          <w:rFonts w:eastAsia="Arial"/>
          <w:w w:val="92"/>
        </w:rPr>
        <w:t>e</w:t>
      </w:r>
      <w:r>
        <w:rPr>
          <w:rFonts w:eastAsia="Arial"/>
          <w:spacing w:val="23"/>
          <w:w w:val="92"/>
        </w:rPr>
        <w:t xml:space="preserve"> </w:t>
      </w:r>
      <w:r>
        <w:rPr>
          <w:rFonts w:eastAsia="Arial"/>
          <w:spacing w:val="-5"/>
        </w:rPr>
        <w:t>r</w:t>
      </w:r>
      <w:r>
        <w:rPr>
          <w:rFonts w:eastAsia="Arial"/>
          <w:spacing w:val="-6"/>
        </w:rPr>
        <w:t>ol</w:t>
      </w:r>
      <w:r>
        <w:rPr>
          <w:rFonts w:eastAsia="Arial"/>
        </w:rPr>
        <w:t>e</w:t>
      </w:r>
      <w:r>
        <w:rPr>
          <w:rFonts w:eastAsia="Arial"/>
          <w:spacing w:val="25"/>
        </w:rPr>
        <w:t xml:space="preserve"> </w:t>
      </w:r>
      <w:r>
        <w:rPr>
          <w:rFonts w:eastAsia="Arial"/>
          <w:spacing w:val="-11"/>
          <w:w w:val="108"/>
        </w:rPr>
        <w:t>o</w:t>
      </w:r>
      <w:r>
        <w:rPr>
          <w:rFonts w:eastAsia="Arial"/>
          <w:w w:val="108"/>
        </w:rPr>
        <w:t>f</w:t>
      </w:r>
      <w:r>
        <w:rPr>
          <w:rFonts w:eastAsia="Arial"/>
          <w:spacing w:val="12"/>
          <w:w w:val="108"/>
        </w:rPr>
        <w:t xml:space="preserve"> </w:t>
      </w:r>
      <w:r>
        <w:rPr>
          <w:rFonts w:eastAsia="Arial"/>
          <w:spacing w:val="-9"/>
          <w:w w:val="108"/>
        </w:rPr>
        <w:t>t</w:t>
      </w:r>
      <w:r>
        <w:rPr>
          <w:rFonts w:eastAsia="Arial"/>
          <w:spacing w:val="-5"/>
          <w:w w:val="108"/>
        </w:rPr>
        <w:t>h</w:t>
      </w:r>
      <w:r>
        <w:rPr>
          <w:rFonts w:eastAsia="Arial"/>
          <w:w w:val="108"/>
        </w:rPr>
        <w:t>e</w:t>
      </w:r>
      <w:r>
        <w:rPr>
          <w:rFonts w:eastAsia="Arial"/>
          <w:spacing w:val="-30"/>
          <w:w w:val="108"/>
        </w:rPr>
        <w:t xml:space="preserve"> </w:t>
      </w:r>
      <w:r>
        <w:rPr>
          <w:rFonts w:eastAsia="Arial"/>
          <w:spacing w:val="-13"/>
          <w:w w:val="91"/>
        </w:rPr>
        <w:t>G</w:t>
      </w:r>
      <w:r>
        <w:rPr>
          <w:rFonts w:eastAsia="Arial"/>
          <w:w w:val="78"/>
        </w:rPr>
        <w:t>S</w:t>
      </w:r>
      <w:r>
        <w:rPr>
          <w:rFonts w:eastAsia="Arial"/>
          <w:w w:val="82"/>
        </w:rPr>
        <w:t>T</w:t>
      </w:r>
      <w:bookmarkEnd w:id="3"/>
    </w:p>
    <w:p w14:paraId="02A412BE" w14:textId="77777777" w:rsidR="007F6037" w:rsidRPr="00C12FFE" w:rsidRDefault="00EE67DE" w:rsidP="00C12FFE">
      <w:pPr>
        <w:rPr>
          <w:rFonts w:eastAsia="Arial"/>
        </w:rPr>
      </w:pPr>
      <w:r w:rsidRPr="00C12FFE">
        <w:rPr>
          <w:rFonts w:eastAsia="Arial"/>
        </w:rPr>
        <w:t>When the Goods and Services Tax (GST) was introduced, it was decided that every dollar collected would be given to the States and Territories (the States) to spend on essential services, as they see fit. Since its introduction, the GST has beco</w:t>
      </w:r>
      <w:r w:rsidR="00C12FFE">
        <w:rPr>
          <w:rFonts w:eastAsia="Arial"/>
        </w:rPr>
        <w:t>me</w:t>
      </w:r>
      <w:r w:rsidRPr="00C12FFE">
        <w:rPr>
          <w:rFonts w:eastAsia="Arial"/>
        </w:rPr>
        <w:t xml:space="preserve"> an important and increasing source of untied revenue for</w:t>
      </w:r>
      <w:r w:rsidR="00C12FFE" w:rsidRPr="00C12FFE">
        <w:rPr>
          <w:rFonts w:eastAsia="Arial"/>
        </w:rPr>
        <w:t xml:space="preserve"> </w:t>
      </w:r>
      <w:r w:rsidRPr="00C12FFE">
        <w:rPr>
          <w:rFonts w:eastAsia="Arial"/>
        </w:rPr>
        <w:t>the States.</w:t>
      </w:r>
    </w:p>
    <w:p w14:paraId="6B6FA3EA" w14:textId="77777777" w:rsidR="007F6037" w:rsidRPr="00C12FFE" w:rsidRDefault="00EE67DE" w:rsidP="00C12FFE">
      <w:pPr>
        <w:rPr>
          <w:rFonts w:eastAsia="Arial"/>
        </w:rPr>
      </w:pPr>
      <w:r w:rsidRPr="00C12FFE">
        <w:rPr>
          <w:rFonts w:eastAsia="Arial"/>
        </w:rPr>
        <w:t>Distributing GST revenu</w:t>
      </w:r>
      <w:r w:rsidR="00C12FFE">
        <w:rPr>
          <w:rFonts w:eastAsia="Arial"/>
        </w:rPr>
        <w:t>e</w:t>
      </w:r>
      <w:r w:rsidRPr="00C12FFE">
        <w:rPr>
          <w:rFonts w:eastAsia="Arial"/>
        </w:rPr>
        <w:t xml:space="preserve"> amongst the States is an important way the Commonwealth ensures that no Australian is disadvantaged because of the State they live in. Through</w:t>
      </w:r>
      <w:r w:rsidR="00C12FFE">
        <w:rPr>
          <w:rFonts w:eastAsia="Arial"/>
        </w:rPr>
        <w:t xml:space="preserve"> </w:t>
      </w:r>
      <w:r w:rsidRPr="00C12FFE">
        <w:rPr>
          <w:rFonts w:eastAsia="Arial"/>
        </w:rPr>
        <w:t xml:space="preserve">the system of </w:t>
      </w:r>
      <w:r w:rsidRPr="00B434DE">
        <w:rPr>
          <w:rFonts w:eastAsia="Arial"/>
          <w:b/>
          <w:i/>
        </w:rPr>
        <w:t>horizontal fiscal equalisation</w:t>
      </w:r>
      <w:r w:rsidRPr="00C12FFE">
        <w:rPr>
          <w:rFonts w:eastAsia="Arial"/>
        </w:rPr>
        <w:t xml:space="preserve"> (HFE) the larger, more financially independent States receive relatively less GST, creating</w:t>
      </w:r>
      <w:r w:rsidR="00C12FFE">
        <w:rPr>
          <w:rFonts w:eastAsia="Arial"/>
        </w:rPr>
        <w:t xml:space="preserve"> </w:t>
      </w:r>
      <w:r w:rsidRPr="00C12FFE">
        <w:rPr>
          <w:rFonts w:eastAsia="Arial"/>
        </w:rPr>
        <w:t>an effective subsidy for the smaller States and Territories. This system of distribution is managed at arms</w:t>
      </w:r>
      <w:r w:rsidR="00B216DF">
        <w:rPr>
          <w:rFonts w:eastAsia="Arial"/>
        </w:rPr>
        <w:noBreakHyphen/>
      </w:r>
      <w:r w:rsidRPr="00C12FFE">
        <w:rPr>
          <w:rFonts w:eastAsia="Arial"/>
        </w:rPr>
        <w:t>length from Government by the independent Commonwealth Grants</w:t>
      </w:r>
      <w:r w:rsidR="00C12FFE" w:rsidRPr="00C12FFE">
        <w:rPr>
          <w:rFonts w:eastAsia="Arial"/>
        </w:rPr>
        <w:t xml:space="preserve"> </w:t>
      </w:r>
      <w:r w:rsidRPr="00C12FFE">
        <w:rPr>
          <w:rFonts w:eastAsia="Arial"/>
        </w:rPr>
        <w:t>Commissio</w:t>
      </w:r>
      <w:r w:rsidR="00C12FFE">
        <w:rPr>
          <w:rFonts w:eastAsia="Arial"/>
        </w:rPr>
        <w:t>n</w:t>
      </w:r>
      <w:r w:rsidRPr="00C12FFE">
        <w:rPr>
          <w:rFonts w:eastAsia="Arial"/>
        </w:rPr>
        <w:t xml:space="preserve"> (CGC), which distributes the GST</w:t>
      </w:r>
      <w:r w:rsidR="00C12FFE" w:rsidRPr="00C12FFE">
        <w:rPr>
          <w:rFonts w:eastAsia="Arial"/>
        </w:rPr>
        <w:t xml:space="preserve"> </w:t>
      </w:r>
      <w:r w:rsidRPr="00C12FFE">
        <w:rPr>
          <w:rFonts w:eastAsia="Arial"/>
        </w:rPr>
        <w:t>using a complex formula.</w:t>
      </w:r>
    </w:p>
    <w:p w14:paraId="34F03E3F" w14:textId="77777777" w:rsidR="007F6037" w:rsidRPr="00C12FFE" w:rsidRDefault="00EE67DE" w:rsidP="00C12FFE">
      <w:pPr>
        <w:rPr>
          <w:rFonts w:eastAsia="Arial"/>
        </w:rPr>
      </w:pPr>
      <w:r w:rsidRPr="00C12FFE">
        <w:rPr>
          <w:rFonts w:eastAsia="Arial"/>
        </w:rPr>
        <w:t>The Commonwealth also ensures that living standards for all Australians are maintained through other mechanisms, such as the tax / transfer system, which provides a safety</w:t>
      </w:r>
      <w:r w:rsidR="00C12FFE" w:rsidRPr="00C12FFE">
        <w:rPr>
          <w:rFonts w:eastAsia="Arial"/>
        </w:rPr>
        <w:t xml:space="preserve"> </w:t>
      </w:r>
      <w:r w:rsidRPr="00C12FFE">
        <w:rPr>
          <w:rFonts w:eastAsia="Arial"/>
        </w:rPr>
        <w:t>net for all Australians, and through the guaranteeing of essential services Australians rely on such as Medicare.</w:t>
      </w:r>
    </w:p>
    <w:p w14:paraId="7F90D96A" w14:textId="77777777" w:rsidR="007F6037" w:rsidRDefault="00EE67DE" w:rsidP="00C12FFE">
      <w:pPr>
        <w:rPr>
          <w:rFonts w:eastAsia="Arial"/>
        </w:rPr>
      </w:pPr>
      <w:r w:rsidRPr="00C12FFE">
        <w:rPr>
          <w:rFonts w:eastAsia="Arial"/>
        </w:rPr>
        <w:t>The aim of using a single GST pool to provide almost all of the Commonwealth’s untied contributions was to replace yearly grants with a stable and growing source of funding that States could rely on. GST funding now accounts for around 25 per cent of State</w:t>
      </w:r>
      <w:r w:rsidR="00C12FFE">
        <w:rPr>
          <w:rFonts w:eastAsia="Arial"/>
        </w:rPr>
        <w:t xml:space="preserve"> </w:t>
      </w:r>
      <w:r w:rsidRPr="00C12FFE">
        <w:rPr>
          <w:rFonts w:eastAsia="Arial"/>
        </w:rPr>
        <w:t>revenues, ranging from around 10 per cent in Western Australia (WA) to almost 50 per cent in the Northern Territory (NT).</w:t>
      </w:r>
    </w:p>
    <w:p w14:paraId="72F1B23D" w14:textId="77777777" w:rsidR="007F6037" w:rsidRPr="00D16F9A" w:rsidRDefault="00D13F64" w:rsidP="00D16F9A">
      <w:pPr>
        <w:pStyle w:val="TableMainHeading"/>
        <w:rPr>
          <w:rFonts w:eastAsia="Arial"/>
        </w:rPr>
      </w:pPr>
      <w:r>
        <w:rPr>
          <w:rFonts w:eastAsiaTheme="minorHAnsi"/>
          <w:noProof/>
        </w:rPr>
        <mc:AlternateContent>
          <mc:Choice Requires="wpg">
            <w:drawing>
              <wp:anchor distT="0" distB="0" distL="114300" distR="114300" simplePos="0" relativeHeight="251658240" behindDoc="1" locked="0" layoutInCell="1" allowOverlap="1" wp14:anchorId="51EA4EB9" wp14:editId="24DAEF7E">
                <wp:simplePos x="0" y="0"/>
                <wp:positionH relativeFrom="page">
                  <wp:posOffset>4215765</wp:posOffset>
                </wp:positionH>
                <wp:positionV relativeFrom="paragraph">
                  <wp:posOffset>273050</wp:posOffset>
                </wp:positionV>
                <wp:extent cx="1270" cy="183515"/>
                <wp:effectExtent l="0" t="1905" r="12065" b="0"/>
                <wp:wrapNone/>
                <wp:docPr id="303"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3515"/>
                          <a:chOff x="6639" y="430"/>
                          <a:chExt cx="2" cy="289"/>
                        </a:xfrm>
                      </wpg:grpSpPr>
                      <wps:wsp>
                        <wps:cNvPr id="304" name="Freeform 956"/>
                        <wps:cNvSpPr>
                          <a:spLocks/>
                        </wps:cNvSpPr>
                        <wps:spPr bwMode="auto">
                          <a:xfrm>
                            <a:off x="6639" y="430"/>
                            <a:ext cx="2" cy="289"/>
                          </a:xfrm>
                          <a:custGeom>
                            <a:avLst/>
                            <a:gdLst>
                              <a:gd name="T0" fmla="+- 0 430 430"/>
                              <a:gd name="T1" fmla="*/ 430 h 289"/>
                              <a:gd name="T2" fmla="+- 0 719 430"/>
                              <a:gd name="T3" fmla="*/ 719 h 289"/>
                              <a:gd name="T4" fmla="+- 0 430 430"/>
                              <a:gd name="T5" fmla="*/ 430 h 289"/>
                            </a:gdLst>
                            <a:ahLst/>
                            <a:cxnLst>
                              <a:cxn ang="0">
                                <a:pos x="0" y="T1"/>
                              </a:cxn>
                              <a:cxn ang="0">
                                <a:pos x="0" y="T3"/>
                              </a:cxn>
                              <a:cxn ang="0">
                                <a:pos x="0" y="T5"/>
                              </a:cxn>
                            </a:cxnLst>
                            <a:rect l="0" t="0" r="r" b="b"/>
                            <a:pathLst>
                              <a:path h="289">
                                <a:moveTo>
                                  <a:pt x="0" y="0"/>
                                </a:moveTo>
                                <a:lnTo>
                                  <a:pt x="0" y="289"/>
                                </a:lnTo>
                                <a:lnTo>
                                  <a:pt x="0" y="0"/>
                                </a:lnTo>
                              </a:path>
                            </a:pathLst>
                          </a:custGeom>
                          <a:solidFill>
                            <a:srgbClr val="354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331.95pt;margin-top:21.5pt;width:.1pt;height:14.45pt;z-index:-251658240;mso-position-horizontal-relative:page" coordorigin="6639,430" coordsize="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">
                <v:shape id="Freeform 956" o:spid="_x0000_s1027" style="position:absolute;left:6639;top:430;width:2;height:2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VjsUA&#10;AADcAAAADwAAAGRycy9kb3ducmV2LnhtbESPT4vCMBTE74LfITzB25r6h1WqUUQQ9eAuqyJ4ezTP&#10;ttq8lCZq9dNvFhY8DjPzG2Yyq00h7lS53LKCbicCQZxYnXOq4LBffoxAOI+ssbBMCp7kYDZtNiYY&#10;a/vgH7rvfCoChF2MCjLvy1hKl2Rk0HVsSRy8s60M+iCrVOoKHwFuCtmLok9pMOewkGFJi4yS6+5m&#10;FBT6W982R7cqtXX58Kv/6p62F6XarXo+BuGp9u/wf3utFfSjAfydC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1WOxQAAANwAAAAPAAAAAAAAAAAAAAAAAJgCAABkcnMv&#10;ZG93bnJldi54bWxQSwUGAAAAAAQABAD1AAAAigMAAAAA&#10;" path="m,l,289,,e" fillcolor="#354866" stroked="f">
                  <v:path arrowok="t" o:connecttype="custom" o:connectlocs="0,430;0,719;0,430" o:connectangles="0,0,0"/>
                </v:shape>
                <w10:wrap anchorx="page"/>
              </v:group>
            </w:pict>
          </mc:Fallback>
        </mc:AlternateContent>
      </w:r>
      <w:r w:rsidR="00EE67DE" w:rsidRPr="00D16F9A">
        <w:rPr>
          <w:rFonts w:eastAsia="Arial"/>
        </w:rPr>
        <w:t>Table 1: Recent GST distribution outcomes</w:t>
      </w:r>
    </w:p>
    <w:tbl>
      <w:tblPr>
        <w:tblW w:w="0" w:type="auto"/>
        <w:tblInd w:w="117" w:type="dxa"/>
        <w:tblLayout w:type="fixed"/>
        <w:tblCellMar>
          <w:top w:w="28" w:type="dxa"/>
          <w:left w:w="85" w:type="dxa"/>
          <w:bottom w:w="28" w:type="dxa"/>
          <w:right w:w="85" w:type="dxa"/>
        </w:tblCellMar>
        <w:tblLook w:val="01E0" w:firstRow="1" w:lastRow="1" w:firstColumn="1" w:lastColumn="1" w:noHBand="0" w:noVBand="0"/>
      </w:tblPr>
      <w:tblGrid>
        <w:gridCol w:w="1373"/>
        <w:gridCol w:w="962"/>
        <w:gridCol w:w="962"/>
        <w:gridCol w:w="962"/>
        <w:gridCol w:w="962"/>
        <w:gridCol w:w="962"/>
        <w:gridCol w:w="962"/>
        <w:gridCol w:w="962"/>
        <w:gridCol w:w="962"/>
      </w:tblGrid>
      <w:tr w:rsidR="007F6037" w14:paraId="54582DBD" w14:textId="77777777" w:rsidTr="00D16F9A">
        <w:trPr>
          <w:trHeight w:val="20"/>
        </w:trPr>
        <w:tc>
          <w:tcPr>
            <w:tcW w:w="1373" w:type="dxa"/>
            <w:tcBorders>
              <w:top w:val="nil"/>
              <w:left w:val="nil"/>
              <w:right w:val="nil"/>
            </w:tcBorders>
          </w:tcPr>
          <w:p w14:paraId="3D4FBC3B" w14:textId="77777777" w:rsidR="007F6037" w:rsidRPr="00C12FFE" w:rsidRDefault="007F6037" w:rsidP="00C12FFE">
            <w:pPr>
              <w:pStyle w:val="TableTextLeft"/>
              <w:rPr>
                <w:rFonts w:eastAsia="Arial"/>
              </w:rPr>
            </w:pPr>
          </w:p>
        </w:tc>
        <w:tc>
          <w:tcPr>
            <w:tcW w:w="962" w:type="dxa"/>
            <w:tcBorders>
              <w:top w:val="nil"/>
              <w:left w:val="nil"/>
              <w:bottom w:val="single" w:sz="8" w:space="0" w:color="FFFFFF"/>
              <w:right w:val="single" w:sz="8" w:space="0" w:color="FFFFFF"/>
            </w:tcBorders>
            <w:shd w:val="clear" w:color="auto" w:fill="354866"/>
          </w:tcPr>
          <w:p w14:paraId="36F4F6D4" w14:textId="77777777" w:rsidR="007F6037" w:rsidRDefault="00EE67DE" w:rsidP="00C12FFE">
            <w:pPr>
              <w:pStyle w:val="TableColumnHeadingRight"/>
              <w:rPr>
                <w:rFonts w:eastAsia="Arial"/>
              </w:rPr>
            </w:pPr>
            <w:r>
              <w:rPr>
                <w:rFonts w:eastAsia="Arial"/>
                <w:spacing w:val="2"/>
              </w:rPr>
              <w:t>N</w:t>
            </w:r>
            <w:r>
              <w:rPr>
                <w:rFonts w:eastAsia="Arial"/>
                <w:spacing w:val="3"/>
              </w:rPr>
              <w:t>S</w:t>
            </w:r>
            <w:r>
              <w:rPr>
                <w:rFonts w:eastAsia="Arial"/>
              </w:rPr>
              <w:t>W</w:t>
            </w:r>
          </w:p>
        </w:tc>
        <w:tc>
          <w:tcPr>
            <w:tcW w:w="962" w:type="dxa"/>
            <w:tcBorders>
              <w:top w:val="nil"/>
              <w:left w:val="single" w:sz="8" w:space="0" w:color="FFFFFF"/>
              <w:bottom w:val="single" w:sz="8" w:space="0" w:color="FFFFFF"/>
              <w:right w:val="single" w:sz="8" w:space="0" w:color="FFFFFF"/>
            </w:tcBorders>
            <w:shd w:val="clear" w:color="auto" w:fill="354866"/>
          </w:tcPr>
          <w:p w14:paraId="6EAE0339" w14:textId="77777777" w:rsidR="007F6037" w:rsidRDefault="00EE67DE" w:rsidP="00C12FFE">
            <w:pPr>
              <w:pStyle w:val="TableColumnHeadingRight"/>
              <w:rPr>
                <w:rFonts w:eastAsia="Arial"/>
              </w:rPr>
            </w:pPr>
            <w:r>
              <w:rPr>
                <w:rFonts w:eastAsia="Arial"/>
                <w:spacing w:val="4"/>
              </w:rPr>
              <w:t>V</w:t>
            </w:r>
            <w:r>
              <w:rPr>
                <w:rFonts w:eastAsia="Arial"/>
                <w:spacing w:val="2"/>
              </w:rPr>
              <w:t>IC</w:t>
            </w:r>
          </w:p>
        </w:tc>
        <w:tc>
          <w:tcPr>
            <w:tcW w:w="962" w:type="dxa"/>
            <w:tcBorders>
              <w:top w:val="nil"/>
              <w:left w:val="single" w:sz="8" w:space="0" w:color="FFFFFF"/>
              <w:bottom w:val="single" w:sz="8" w:space="0" w:color="FFFFFF"/>
              <w:right w:val="single" w:sz="8" w:space="0" w:color="FFFFFF"/>
            </w:tcBorders>
            <w:shd w:val="clear" w:color="auto" w:fill="354866"/>
          </w:tcPr>
          <w:p w14:paraId="24BE843D" w14:textId="77777777" w:rsidR="007F6037" w:rsidRDefault="00EE67DE" w:rsidP="00C12FFE">
            <w:pPr>
              <w:pStyle w:val="TableColumnHeadingRight"/>
              <w:rPr>
                <w:rFonts w:eastAsia="Arial"/>
              </w:rPr>
            </w:pPr>
            <w:r>
              <w:rPr>
                <w:rFonts w:eastAsia="Arial"/>
                <w:spacing w:val="3"/>
              </w:rPr>
              <w:t>QL</w:t>
            </w:r>
            <w:r>
              <w:rPr>
                <w:rFonts w:eastAsia="Arial"/>
              </w:rPr>
              <w:t>D</w:t>
            </w:r>
          </w:p>
        </w:tc>
        <w:tc>
          <w:tcPr>
            <w:tcW w:w="962" w:type="dxa"/>
            <w:tcBorders>
              <w:top w:val="nil"/>
              <w:left w:val="single" w:sz="8" w:space="0" w:color="FFFFFF"/>
              <w:bottom w:val="single" w:sz="8" w:space="0" w:color="FFFFFF"/>
              <w:right w:val="single" w:sz="8" w:space="0" w:color="FFFFFF"/>
            </w:tcBorders>
            <w:shd w:val="clear" w:color="auto" w:fill="354866"/>
          </w:tcPr>
          <w:p w14:paraId="3BE3EC9B" w14:textId="77777777" w:rsidR="007F6037" w:rsidRDefault="00EE67DE" w:rsidP="00C12FFE">
            <w:pPr>
              <w:pStyle w:val="TableColumnHeadingRight"/>
              <w:rPr>
                <w:rFonts w:eastAsia="Arial"/>
              </w:rPr>
            </w:pPr>
            <w:r>
              <w:rPr>
                <w:rFonts w:eastAsia="Arial"/>
                <w:spacing w:val="-1"/>
              </w:rPr>
              <w:t>WA</w:t>
            </w:r>
          </w:p>
        </w:tc>
        <w:tc>
          <w:tcPr>
            <w:tcW w:w="962" w:type="dxa"/>
            <w:tcBorders>
              <w:top w:val="nil"/>
              <w:left w:val="single" w:sz="8" w:space="0" w:color="FFFFFF"/>
              <w:bottom w:val="single" w:sz="8" w:space="0" w:color="FFFFFF"/>
              <w:right w:val="single" w:sz="8" w:space="0" w:color="FFFFFF"/>
            </w:tcBorders>
            <w:shd w:val="clear" w:color="auto" w:fill="354866"/>
          </w:tcPr>
          <w:p w14:paraId="31F8C4FC" w14:textId="77777777" w:rsidR="007F6037" w:rsidRDefault="00EE67DE" w:rsidP="00C12FFE">
            <w:pPr>
              <w:pStyle w:val="TableColumnHeadingRight"/>
              <w:rPr>
                <w:rFonts w:eastAsia="Arial"/>
              </w:rPr>
            </w:pPr>
            <w:r>
              <w:rPr>
                <w:rFonts w:eastAsia="Arial"/>
                <w:spacing w:val="2"/>
                <w:w w:val="89"/>
              </w:rPr>
              <w:t>SA</w:t>
            </w:r>
          </w:p>
        </w:tc>
        <w:tc>
          <w:tcPr>
            <w:tcW w:w="962" w:type="dxa"/>
            <w:tcBorders>
              <w:top w:val="nil"/>
              <w:left w:val="single" w:sz="8" w:space="0" w:color="FFFFFF"/>
              <w:bottom w:val="single" w:sz="8" w:space="0" w:color="FFFFFF"/>
              <w:right w:val="single" w:sz="8" w:space="0" w:color="FFFFFF"/>
            </w:tcBorders>
            <w:shd w:val="clear" w:color="auto" w:fill="354866"/>
          </w:tcPr>
          <w:p w14:paraId="2FA9C6BF" w14:textId="77777777" w:rsidR="007F6037" w:rsidRDefault="00EE67DE" w:rsidP="00C12FFE">
            <w:pPr>
              <w:pStyle w:val="TableColumnHeadingRight"/>
              <w:rPr>
                <w:rFonts w:eastAsia="Arial"/>
              </w:rPr>
            </w:pPr>
            <w:r>
              <w:rPr>
                <w:rFonts w:eastAsia="Arial"/>
                <w:spacing w:val="-4"/>
                <w:w w:val="86"/>
              </w:rPr>
              <w:t>T</w:t>
            </w:r>
            <w:r>
              <w:rPr>
                <w:rFonts w:eastAsia="Arial"/>
                <w:spacing w:val="6"/>
                <w:w w:val="94"/>
              </w:rPr>
              <w:t>A</w:t>
            </w:r>
            <w:r>
              <w:rPr>
                <w:rFonts w:eastAsia="Arial"/>
                <w:w w:val="83"/>
              </w:rPr>
              <w:t>S</w:t>
            </w:r>
          </w:p>
        </w:tc>
        <w:tc>
          <w:tcPr>
            <w:tcW w:w="962" w:type="dxa"/>
            <w:tcBorders>
              <w:top w:val="nil"/>
              <w:left w:val="single" w:sz="8" w:space="0" w:color="FFFFFF"/>
              <w:bottom w:val="single" w:sz="8" w:space="0" w:color="FFFFFF"/>
              <w:right w:val="single" w:sz="8" w:space="0" w:color="FFFFFF"/>
            </w:tcBorders>
            <w:shd w:val="clear" w:color="auto" w:fill="354866"/>
          </w:tcPr>
          <w:p w14:paraId="1F3A6701" w14:textId="77777777" w:rsidR="007F6037" w:rsidRDefault="00EE67DE" w:rsidP="00C12FFE">
            <w:pPr>
              <w:pStyle w:val="TableColumnHeadingRight"/>
              <w:rPr>
                <w:rFonts w:eastAsia="Arial"/>
              </w:rPr>
            </w:pPr>
            <w:r>
              <w:rPr>
                <w:rFonts w:eastAsia="Arial"/>
                <w:spacing w:val="1"/>
              </w:rPr>
              <w:t>A</w:t>
            </w:r>
            <w:r>
              <w:rPr>
                <w:rFonts w:eastAsia="Arial"/>
                <w:spacing w:val="7"/>
              </w:rPr>
              <w:t>C</w:t>
            </w:r>
            <w:r>
              <w:rPr>
                <w:rFonts w:eastAsia="Arial"/>
              </w:rPr>
              <w:t>T</w:t>
            </w:r>
          </w:p>
        </w:tc>
        <w:tc>
          <w:tcPr>
            <w:tcW w:w="962" w:type="dxa"/>
            <w:tcBorders>
              <w:top w:val="nil"/>
              <w:left w:val="single" w:sz="8" w:space="0" w:color="FFFFFF"/>
              <w:bottom w:val="single" w:sz="8" w:space="0" w:color="FFFFFF"/>
              <w:right w:val="nil"/>
            </w:tcBorders>
            <w:shd w:val="clear" w:color="auto" w:fill="354866"/>
          </w:tcPr>
          <w:p w14:paraId="1E8E4E22" w14:textId="77777777" w:rsidR="007F6037" w:rsidRDefault="00EE67DE" w:rsidP="00C12FFE">
            <w:pPr>
              <w:pStyle w:val="TableColumnHeadingRight"/>
              <w:rPr>
                <w:rFonts w:eastAsia="Arial"/>
              </w:rPr>
            </w:pPr>
            <w:r>
              <w:rPr>
                <w:rFonts w:eastAsia="Arial"/>
                <w:spacing w:val="3"/>
                <w:w w:val="94"/>
              </w:rPr>
              <w:t>NT</w:t>
            </w:r>
          </w:p>
        </w:tc>
      </w:tr>
      <w:tr w:rsidR="007F6037" w14:paraId="160ABF34" w14:textId="77777777" w:rsidTr="00D16F9A">
        <w:trPr>
          <w:trHeight w:val="20"/>
        </w:trPr>
        <w:tc>
          <w:tcPr>
            <w:tcW w:w="1373" w:type="dxa"/>
            <w:tcBorders>
              <w:left w:val="nil"/>
              <w:right w:val="nil"/>
            </w:tcBorders>
          </w:tcPr>
          <w:p w14:paraId="55DF9F20" w14:textId="77777777" w:rsidR="007F6037" w:rsidRPr="00C12FFE" w:rsidRDefault="00C12FFE" w:rsidP="00D16F9A">
            <w:pPr>
              <w:pStyle w:val="TableTextLeft"/>
            </w:pPr>
            <w:r w:rsidRPr="00C12FFE">
              <w:rPr>
                <w:rFonts w:eastAsia="Arial"/>
              </w:rPr>
              <w:t>2017-18 GST relativity</w:t>
            </w:r>
          </w:p>
        </w:tc>
        <w:tc>
          <w:tcPr>
            <w:tcW w:w="962" w:type="dxa"/>
            <w:tcBorders>
              <w:top w:val="single" w:sz="8" w:space="0" w:color="FFFFFF"/>
              <w:left w:val="nil"/>
              <w:bottom w:val="single" w:sz="8" w:space="0" w:color="FFFFFF"/>
              <w:right w:val="single" w:sz="8" w:space="0" w:color="FFFFFF"/>
            </w:tcBorders>
            <w:shd w:val="clear" w:color="auto" w:fill="E1E3EE"/>
            <w:vAlign w:val="bottom"/>
          </w:tcPr>
          <w:p w14:paraId="7EE864F0" w14:textId="77777777" w:rsidR="007F6037" w:rsidRDefault="00EE67DE" w:rsidP="00D16F9A">
            <w:pPr>
              <w:pStyle w:val="TableTextRight"/>
              <w:rPr>
                <w:rFonts w:eastAsia="Arial"/>
              </w:rPr>
            </w:pPr>
            <w:r>
              <w:rPr>
                <w:rFonts w:eastAsia="Arial"/>
              </w:rPr>
              <w:t>0</w:t>
            </w:r>
            <w:r>
              <w:rPr>
                <w:rFonts w:eastAsia="Arial"/>
                <w:spacing w:val="2"/>
              </w:rPr>
              <w:t>.</w:t>
            </w:r>
            <w:r>
              <w:rPr>
                <w:rFonts w:eastAsia="Arial"/>
              </w:rPr>
              <w:t>8</w:t>
            </w:r>
            <w:r>
              <w:rPr>
                <w:rFonts w:eastAsia="Arial"/>
                <w:spacing w:val="-5"/>
              </w:rPr>
              <w:t>7</w:t>
            </w:r>
            <w:r>
              <w:rPr>
                <w:rFonts w:eastAsia="Arial"/>
                <w:spacing w:val="1"/>
              </w:rPr>
              <w:t>6</w:t>
            </w:r>
            <w:r>
              <w:rPr>
                <w:rFonts w:eastAsia="Arial"/>
                <w:spacing w:val="-1"/>
              </w:rPr>
              <w:t>7</w:t>
            </w:r>
            <w:r>
              <w:rPr>
                <w:rFonts w:eastAsia="Arial"/>
              </w:rPr>
              <w:t>2</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347554FB" w14:textId="77777777" w:rsidR="007F6037" w:rsidRDefault="00EE67DE" w:rsidP="00D16F9A">
            <w:pPr>
              <w:pStyle w:val="TableTextRight"/>
              <w:rPr>
                <w:rFonts w:eastAsia="Arial"/>
              </w:rPr>
            </w:pPr>
            <w:r>
              <w:rPr>
                <w:rFonts w:eastAsia="Arial"/>
                <w:spacing w:val="-1"/>
              </w:rPr>
              <w:t>0</w:t>
            </w:r>
            <w:r>
              <w:rPr>
                <w:rFonts w:eastAsia="Arial"/>
                <w:spacing w:val="-3"/>
              </w:rPr>
              <w:t>.</w:t>
            </w:r>
            <w:r>
              <w:rPr>
                <w:rFonts w:eastAsia="Arial"/>
                <w:spacing w:val="-2"/>
              </w:rPr>
              <w:t>9</w:t>
            </w:r>
            <w:r>
              <w:rPr>
                <w:rFonts w:eastAsia="Arial"/>
                <w:spacing w:val="-3"/>
              </w:rPr>
              <w:t>3</w:t>
            </w:r>
            <w:r>
              <w:rPr>
                <w:rFonts w:eastAsia="Arial"/>
                <w:spacing w:val="1"/>
              </w:rPr>
              <w:t>2</w:t>
            </w:r>
            <w:r>
              <w:rPr>
                <w:rFonts w:eastAsia="Arial"/>
                <w:spacing w:val="-1"/>
              </w:rPr>
              <w:t>3</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1449FC86" w14:textId="77777777" w:rsidR="007F6037" w:rsidRDefault="00EE67DE" w:rsidP="00D16F9A">
            <w:pPr>
              <w:pStyle w:val="TableTextRight"/>
              <w:rPr>
                <w:rFonts w:eastAsia="Arial"/>
              </w:rPr>
            </w:pPr>
            <w:r>
              <w:rPr>
                <w:rFonts w:eastAsia="Arial"/>
                <w:spacing w:val="-9"/>
              </w:rPr>
              <w:t>1</w:t>
            </w:r>
            <w:r>
              <w:rPr>
                <w:rFonts w:eastAsia="Arial"/>
                <w:spacing w:val="-12"/>
              </w:rPr>
              <w:t>.</w:t>
            </w:r>
            <w:r>
              <w:rPr>
                <w:rFonts w:eastAsia="Arial"/>
                <w:spacing w:val="-8"/>
              </w:rPr>
              <w:t>1</w:t>
            </w:r>
            <w:r>
              <w:rPr>
                <w:rFonts w:eastAsia="Arial"/>
              </w:rPr>
              <w:t>8</w:t>
            </w:r>
            <w:r>
              <w:rPr>
                <w:rFonts w:eastAsia="Arial"/>
                <w:spacing w:val="-5"/>
              </w:rPr>
              <w:t>7</w:t>
            </w:r>
            <w:r>
              <w:rPr>
                <w:rFonts w:eastAsia="Arial"/>
                <w:spacing w:val="-1"/>
              </w:rPr>
              <w:t>6</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75696443" w14:textId="77777777" w:rsidR="007F6037" w:rsidRDefault="00EE67DE" w:rsidP="00D16F9A">
            <w:pPr>
              <w:pStyle w:val="TableTextRight"/>
              <w:rPr>
                <w:rFonts w:eastAsia="Arial"/>
              </w:rPr>
            </w:pPr>
            <w:r>
              <w:rPr>
                <w:rFonts w:eastAsia="Arial"/>
                <w:spacing w:val="-1"/>
              </w:rPr>
              <w:t>0</w:t>
            </w:r>
            <w:r>
              <w:rPr>
                <w:rFonts w:eastAsia="Arial"/>
                <w:spacing w:val="3"/>
              </w:rPr>
              <w:t>.</w:t>
            </w:r>
            <w:r>
              <w:rPr>
                <w:rFonts w:eastAsia="Arial"/>
                <w:spacing w:val="2"/>
              </w:rPr>
              <w:t>3</w:t>
            </w:r>
            <w:r>
              <w:rPr>
                <w:rFonts w:eastAsia="Arial"/>
                <w:spacing w:val="7"/>
              </w:rPr>
              <w:t>4</w:t>
            </w:r>
            <w:r>
              <w:rPr>
                <w:rFonts w:eastAsia="Arial"/>
              </w:rPr>
              <w:t>4</w:t>
            </w:r>
            <w:r>
              <w:rPr>
                <w:rFonts w:eastAsia="Arial"/>
                <w:spacing w:val="2"/>
              </w:rPr>
              <w:t>34</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67385865" w14:textId="77777777" w:rsidR="007F6037" w:rsidRDefault="00EE67DE" w:rsidP="00D16F9A">
            <w:pPr>
              <w:pStyle w:val="TableTextRight"/>
              <w:rPr>
                <w:rFonts w:eastAsia="Arial"/>
              </w:rPr>
            </w:pPr>
            <w:r>
              <w:rPr>
                <w:rFonts w:eastAsia="Arial"/>
                <w:spacing w:val="-9"/>
              </w:rPr>
              <w:t>1</w:t>
            </w:r>
            <w:r>
              <w:rPr>
                <w:rFonts w:eastAsia="Arial"/>
              </w:rPr>
              <w:t>.4</w:t>
            </w:r>
            <w:r>
              <w:rPr>
                <w:rFonts w:eastAsia="Arial"/>
                <w:spacing w:val="-1"/>
              </w:rPr>
              <w:t>3</w:t>
            </w:r>
            <w:r>
              <w:rPr>
                <w:rFonts w:eastAsia="Arial"/>
                <w:spacing w:val="3"/>
              </w:rPr>
              <w:t>9</w:t>
            </w:r>
            <w:r>
              <w:rPr>
                <w:rFonts w:eastAsia="Arial"/>
                <w:spacing w:val="-2"/>
              </w:rPr>
              <w:t>9</w:t>
            </w:r>
            <w:r>
              <w:rPr>
                <w:rFonts w:eastAsia="Arial"/>
              </w:rPr>
              <w:t>7</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77A416D8" w14:textId="77777777" w:rsidR="007F6037" w:rsidRDefault="00EE67DE" w:rsidP="00D16F9A">
            <w:pPr>
              <w:pStyle w:val="TableTextRight"/>
              <w:rPr>
                <w:rFonts w:eastAsia="Arial"/>
              </w:rPr>
            </w:pPr>
            <w:r>
              <w:rPr>
                <w:rFonts w:eastAsia="Arial"/>
                <w:spacing w:val="-9"/>
              </w:rPr>
              <w:t>1</w:t>
            </w:r>
            <w:r>
              <w:rPr>
                <w:rFonts w:eastAsia="Arial"/>
                <w:spacing w:val="2"/>
              </w:rPr>
              <w:t>.</w:t>
            </w:r>
            <w:r>
              <w:rPr>
                <w:rFonts w:eastAsia="Arial"/>
                <w:spacing w:val="3"/>
              </w:rPr>
              <w:t>8</w:t>
            </w:r>
            <w:r>
              <w:rPr>
                <w:rFonts w:eastAsia="Arial"/>
                <w:spacing w:val="4"/>
              </w:rPr>
              <w:t>0</w:t>
            </w:r>
            <w:r>
              <w:rPr>
                <w:rFonts w:eastAsia="Arial"/>
                <w:spacing w:val="-4"/>
              </w:rPr>
              <w:t>4</w:t>
            </w:r>
            <w:r>
              <w:rPr>
                <w:rFonts w:eastAsia="Arial"/>
                <w:spacing w:val="1"/>
              </w:rPr>
              <w:t>7</w:t>
            </w:r>
            <w:r>
              <w:rPr>
                <w:rFonts w:eastAsia="Arial"/>
              </w:rPr>
              <w:t>7</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6D0D5BD8" w14:textId="77777777" w:rsidR="007F6037" w:rsidRDefault="00EE67DE" w:rsidP="00D16F9A">
            <w:pPr>
              <w:pStyle w:val="TableTextRight"/>
              <w:rPr>
                <w:rFonts w:eastAsia="Arial"/>
              </w:rPr>
            </w:pPr>
            <w:r>
              <w:rPr>
                <w:rFonts w:eastAsia="Arial"/>
                <w:spacing w:val="-9"/>
              </w:rPr>
              <w:t>1</w:t>
            </w:r>
            <w:r>
              <w:rPr>
                <w:rFonts w:eastAsia="Arial"/>
                <w:spacing w:val="-12"/>
              </w:rPr>
              <w:t>.</w:t>
            </w:r>
            <w:r>
              <w:rPr>
                <w:rFonts w:eastAsia="Arial"/>
                <w:spacing w:val="-9"/>
              </w:rPr>
              <w:t>1</w:t>
            </w:r>
            <w:r>
              <w:rPr>
                <w:rFonts w:eastAsia="Arial"/>
                <w:spacing w:val="4"/>
              </w:rPr>
              <w:t>9</w:t>
            </w:r>
            <w:r>
              <w:rPr>
                <w:rFonts w:eastAsia="Arial"/>
                <w:spacing w:val="-1"/>
              </w:rPr>
              <w:t>4</w:t>
            </w:r>
            <w:r>
              <w:rPr>
                <w:rFonts w:eastAsia="Arial"/>
                <w:spacing w:val="3"/>
              </w:rPr>
              <w:t>9</w:t>
            </w:r>
            <w:r>
              <w:rPr>
                <w:rFonts w:eastAsia="Arial"/>
              </w:rPr>
              <w:t>6</w:t>
            </w:r>
          </w:p>
        </w:tc>
        <w:tc>
          <w:tcPr>
            <w:tcW w:w="962" w:type="dxa"/>
            <w:tcBorders>
              <w:top w:val="single" w:sz="8" w:space="0" w:color="FFFFFF"/>
              <w:left w:val="single" w:sz="8" w:space="0" w:color="FFFFFF"/>
              <w:bottom w:val="single" w:sz="8" w:space="0" w:color="FFFFFF"/>
              <w:right w:val="nil"/>
            </w:tcBorders>
            <w:shd w:val="clear" w:color="auto" w:fill="C7CDE1"/>
            <w:vAlign w:val="bottom"/>
          </w:tcPr>
          <w:p w14:paraId="34896594" w14:textId="77777777" w:rsidR="007F6037" w:rsidRDefault="00EE67DE" w:rsidP="00D16F9A">
            <w:pPr>
              <w:pStyle w:val="TableTextRight"/>
              <w:rPr>
                <w:rFonts w:eastAsia="Arial"/>
              </w:rPr>
            </w:pPr>
            <w:r>
              <w:rPr>
                <w:rFonts w:eastAsia="Arial"/>
                <w:spacing w:val="1"/>
              </w:rPr>
              <w:t>4</w:t>
            </w:r>
            <w:r>
              <w:rPr>
                <w:rFonts w:eastAsia="Arial"/>
                <w:spacing w:val="-1"/>
              </w:rPr>
              <w:t>.</w:t>
            </w:r>
            <w:r>
              <w:rPr>
                <w:rFonts w:eastAsia="Arial"/>
                <w:spacing w:val="3"/>
              </w:rPr>
              <w:t>66</w:t>
            </w:r>
            <w:r>
              <w:rPr>
                <w:rFonts w:eastAsia="Arial"/>
                <w:spacing w:val="-2"/>
              </w:rPr>
              <w:t>0</w:t>
            </w:r>
            <w:r>
              <w:rPr>
                <w:rFonts w:eastAsia="Arial"/>
                <w:spacing w:val="-4"/>
              </w:rPr>
              <w:t>24</w:t>
            </w:r>
          </w:p>
        </w:tc>
      </w:tr>
      <w:tr w:rsidR="007F6037" w14:paraId="76F2BBF3" w14:textId="77777777" w:rsidTr="00D16F9A">
        <w:trPr>
          <w:trHeight w:val="20"/>
        </w:trPr>
        <w:tc>
          <w:tcPr>
            <w:tcW w:w="1373" w:type="dxa"/>
            <w:tcBorders>
              <w:left w:val="nil"/>
              <w:right w:val="nil"/>
            </w:tcBorders>
          </w:tcPr>
          <w:p w14:paraId="3555D89A" w14:textId="77777777" w:rsidR="007F6037" w:rsidRPr="00C12FFE" w:rsidRDefault="00C12FFE" w:rsidP="00D16F9A">
            <w:pPr>
              <w:pStyle w:val="TableTextLeft"/>
            </w:pPr>
            <w:r w:rsidRPr="00C12FFE">
              <w:rPr>
                <w:rFonts w:eastAsia="Arial"/>
              </w:rPr>
              <w:t>Population</w:t>
            </w:r>
            <w:r w:rsidRPr="00C12FFE">
              <w:rPr>
                <w:rFonts w:eastAsia="Arial"/>
                <w:vertAlign w:val="superscript"/>
              </w:rPr>
              <w:t>(a)</w:t>
            </w:r>
          </w:p>
        </w:tc>
        <w:tc>
          <w:tcPr>
            <w:tcW w:w="962" w:type="dxa"/>
            <w:tcBorders>
              <w:top w:val="single" w:sz="8" w:space="0" w:color="FFFFFF"/>
              <w:left w:val="nil"/>
              <w:bottom w:val="single" w:sz="8" w:space="0" w:color="FFFFFF"/>
              <w:right w:val="single" w:sz="8" w:space="0" w:color="FFFFFF"/>
            </w:tcBorders>
            <w:shd w:val="clear" w:color="auto" w:fill="E1E3EE"/>
            <w:vAlign w:val="bottom"/>
          </w:tcPr>
          <w:p w14:paraId="396353F4" w14:textId="77777777" w:rsidR="007F6037" w:rsidRDefault="00EE67DE" w:rsidP="00D16F9A">
            <w:pPr>
              <w:pStyle w:val="TableTextRight"/>
              <w:rPr>
                <w:rFonts w:eastAsia="Arial"/>
              </w:rPr>
            </w:pPr>
            <w:r>
              <w:rPr>
                <w:rFonts w:eastAsia="Arial"/>
                <w:spacing w:val="-16"/>
              </w:rPr>
              <w:t>7</w:t>
            </w:r>
            <w:r>
              <w:rPr>
                <w:rFonts w:eastAsia="Arial"/>
                <w:spacing w:val="-2"/>
              </w:rPr>
              <w:t>,</w:t>
            </w:r>
            <w:r>
              <w:rPr>
                <w:rFonts w:eastAsia="Arial"/>
                <w:spacing w:val="-3"/>
              </w:rPr>
              <w:t>9</w:t>
            </w:r>
            <w:r>
              <w:rPr>
                <w:rFonts w:eastAsia="Arial"/>
                <w:spacing w:val="-10"/>
              </w:rPr>
              <w:t>1</w:t>
            </w:r>
            <w:r>
              <w:rPr>
                <w:rFonts w:eastAsia="Arial"/>
                <w:spacing w:val="-1"/>
              </w:rPr>
              <w:t>5</w:t>
            </w:r>
            <w:r>
              <w:rPr>
                <w:rFonts w:eastAsia="Arial"/>
              </w:rPr>
              <w:t>,</w:t>
            </w:r>
            <w:r>
              <w:rPr>
                <w:rFonts w:eastAsia="Arial"/>
                <w:spacing w:val="3"/>
              </w:rPr>
              <w:t>0</w:t>
            </w:r>
            <w:r>
              <w:rPr>
                <w:rFonts w:eastAsia="Arial"/>
                <w:spacing w:val="-1"/>
              </w:rPr>
              <w:t>6</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32988079" w14:textId="77777777" w:rsidR="007F6037" w:rsidRDefault="00EE67DE" w:rsidP="00D16F9A">
            <w:pPr>
              <w:pStyle w:val="TableTextRight"/>
              <w:rPr>
                <w:rFonts w:eastAsia="Arial"/>
              </w:rPr>
            </w:pPr>
            <w:r>
              <w:rPr>
                <w:rFonts w:eastAsia="Arial"/>
              </w:rPr>
              <w:t>6</w:t>
            </w:r>
            <w:r>
              <w:rPr>
                <w:rFonts w:eastAsia="Arial"/>
                <w:spacing w:val="3"/>
              </w:rPr>
              <w:t>,</w:t>
            </w:r>
            <w:r>
              <w:rPr>
                <w:rFonts w:eastAsia="Arial"/>
                <w:spacing w:val="1"/>
              </w:rPr>
              <w:t>3</w:t>
            </w:r>
            <w:r>
              <w:rPr>
                <w:rFonts w:eastAsia="Arial"/>
                <w:spacing w:val="-1"/>
              </w:rPr>
              <w:t>85</w:t>
            </w:r>
            <w:r>
              <w:rPr>
                <w:rFonts w:eastAsia="Arial"/>
                <w:spacing w:val="2"/>
              </w:rPr>
              <w:t>,</w:t>
            </w:r>
            <w:r>
              <w:rPr>
                <w:rFonts w:eastAsia="Arial"/>
                <w:spacing w:val="5"/>
              </w:rPr>
              <w:t>8</w:t>
            </w:r>
            <w:r>
              <w:rPr>
                <w:rFonts w:eastAsia="Arial"/>
                <w:spacing w:val="-1"/>
              </w:rPr>
              <w:t>49</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1F856AB7" w14:textId="77777777" w:rsidR="007F6037" w:rsidRDefault="00EE67DE" w:rsidP="00D16F9A">
            <w:pPr>
              <w:pStyle w:val="TableTextRight"/>
              <w:rPr>
                <w:rFonts w:eastAsia="Arial"/>
              </w:rPr>
            </w:pPr>
            <w:r>
              <w:rPr>
                <w:rFonts w:eastAsia="Arial"/>
              </w:rPr>
              <w:t>4</w:t>
            </w:r>
            <w:r>
              <w:rPr>
                <w:rFonts w:eastAsia="Arial"/>
                <w:spacing w:val="-2"/>
              </w:rPr>
              <w:t>,</w:t>
            </w:r>
            <w:r>
              <w:rPr>
                <w:rFonts w:eastAsia="Arial"/>
                <w:spacing w:val="3"/>
              </w:rPr>
              <w:t>9</w:t>
            </w:r>
            <w:r>
              <w:rPr>
                <w:rFonts w:eastAsia="Arial"/>
                <w:spacing w:val="-1"/>
              </w:rPr>
              <w:t>65</w:t>
            </w:r>
            <w:r>
              <w:rPr>
                <w:rFonts w:eastAsia="Arial"/>
              </w:rPr>
              <w:t>,</w:t>
            </w:r>
            <w:r>
              <w:rPr>
                <w:rFonts w:eastAsia="Arial"/>
                <w:spacing w:val="-1"/>
              </w:rPr>
              <w:t>0</w:t>
            </w:r>
            <w:r>
              <w:rPr>
                <w:rFonts w:eastAsia="Arial"/>
                <w:spacing w:val="-2"/>
              </w:rPr>
              <w:t>3</w:t>
            </w:r>
            <w:r>
              <w:rPr>
                <w:rFonts w:eastAsia="Arial"/>
              </w:rPr>
              <w:t>3</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5C5BB044" w14:textId="77777777" w:rsidR="007F6037" w:rsidRDefault="00EE67DE" w:rsidP="00D16F9A">
            <w:pPr>
              <w:pStyle w:val="TableTextRight"/>
              <w:rPr>
                <w:rFonts w:eastAsia="Arial"/>
              </w:rPr>
            </w:pPr>
            <w:r>
              <w:rPr>
                <w:rFonts w:eastAsia="Arial"/>
                <w:spacing w:val="-3"/>
              </w:rPr>
              <w:t>2</w:t>
            </w:r>
            <w:r>
              <w:rPr>
                <w:rFonts w:eastAsia="Arial"/>
              </w:rPr>
              <w:t>,</w:t>
            </w:r>
            <w:r>
              <w:rPr>
                <w:rFonts w:eastAsia="Arial"/>
                <w:spacing w:val="2"/>
              </w:rPr>
              <w:t>5</w:t>
            </w:r>
            <w:r>
              <w:rPr>
                <w:rFonts w:eastAsia="Arial"/>
                <w:spacing w:val="5"/>
              </w:rPr>
              <w:t>8</w:t>
            </w:r>
            <w:r>
              <w:rPr>
                <w:rFonts w:eastAsia="Arial"/>
              </w:rPr>
              <w:t>4</w:t>
            </w:r>
            <w:r>
              <w:rPr>
                <w:rFonts w:eastAsia="Arial"/>
                <w:spacing w:val="-4"/>
              </w:rPr>
              <w:t>,</w:t>
            </w:r>
            <w:r>
              <w:rPr>
                <w:rFonts w:eastAsia="Arial"/>
                <w:spacing w:val="-5"/>
              </w:rPr>
              <w:t>7</w:t>
            </w:r>
            <w:r>
              <w:rPr>
                <w:rFonts w:eastAsia="Arial"/>
                <w:spacing w:val="4"/>
              </w:rPr>
              <w:t>6</w:t>
            </w:r>
            <w:r>
              <w:rPr>
                <w:rFonts w:eastAsia="Arial"/>
              </w:rPr>
              <w:t>8</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44860CF9" w14:textId="77777777" w:rsidR="007F6037" w:rsidRDefault="00EE67DE" w:rsidP="00D16F9A">
            <w:pPr>
              <w:pStyle w:val="TableTextRight"/>
              <w:rPr>
                <w:rFonts w:eastAsia="Arial"/>
              </w:rPr>
            </w:pPr>
            <w:r>
              <w:rPr>
                <w:rFonts w:eastAsia="Arial"/>
                <w:spacing w:val="-10"/>
              </w:rPr>
              <w:t>1</w:t>
            </w:r>
            <w:r>
              <w:rPr>
                <w:rFonts w:eastAsia="Arial"/>
                <w:spacing w:val="-4"/>
              </w:rPr>
              <w:t>,</w:t>
            </w:r>
            <w:r>
              <w:rPr>
                <w:rFonts w:eastAsia="Arial"/>
                <w:spacing w:val="-1"/>
              </w:rPr>
              <w:t>7</w:t>
            </w:r>
            <w:r>
              <w:rPr>
                <w:rFonts w:eastAsia="Arial"/>
                <w:spacing w:val="-2"/>
              </w:rPr>
              <w:t>2</w:t>
            </w:r>
            <w:r>
              <w:rPr>
                <w:rFonts w:eastAsia="Arial"/>
                <w:spacing w:val="1"/>
              </w:rPr>
              <w:t>8</w:t>
            </w:r>
            <w:r>
              <w:rPr>
                <w:rFonts w:eastAsia="Arial"/>
              </w:rPr>
              <w:t>,053</w:t>
            </w:r>
          </w:p>
        </w:tc>
        <w:tc>
          <w:tcPr>
            <w:tcW w:w="962" w:type="dxa"/>
            <w:tcBorders>
              <w:top w:val="single" w:sz="8" w:space="0" w:color="FFFFFF"/>
              <w:left w:val="single" w:sz="8" w:space="0" w:color="FFFFFF"/>
              <w:bottom w:val="single" w:sz="8" w:space="0" w:color="FFFFFF"/>
              <w:right w:val="single" w:sz="8" w:space="0" w:color="FFFFFF"/>
            </w:tcBorders>
            <w:shd w:val="clear" w:color="auto" w:fill="C7CDE1"/>
            <w:vAlign w:val="bottom"/>
          </w:tcPr>
          <w:p w14:paraId="65AC985A" w14:textId="77777777" w:rsidR="007F6037" w:rsidRDefault="00EE67DE" w:rsidP="00D16F9A">
            <w:pPr>
              <w:pStyle w:val="TableTextRight"/>
              <w:rPr>
                <w:rFonts w:eastAsia="Arial"/>
              </w:rPr>
            </w:pPr>
            <w:r>
              <w:rPr>
                <w:rFonts w:eastAsia="Arial"/>
                <w:spacing w:val="-2"/>
              </w:rPr>
              <w:t>5</w:t>
            </w:r>
            <w:r>
              <w:rPr>
                <w:rFonts w:eastAsia="Arial"/>
                <w:spacing w:val="-4"/>
              </w:rPr>
              <w:t>2</w:t>
            </w:r>
            <w:r>
              <w:rPr>
                <w:rFonts w:eastAsia="Arial"/>
              </w:rPr>
              <w:t>4</w:t>
            </w:r>
            <w:r>
              <w:rPr>
                <w:rFonts w:eastAsia="Arial"/>
                <w:spacing w:val="-1"/>
              </w:rPr>
              <w:t>,</w:t>
            </w:r>
            <w:r>
              <w:rPr>
                <w:rFonts w:eastAsia="Arial"/>
                <w:spacing w:val="1"/>
              </w:rPr>
              <w:t>67</w:t>
            </w:r>
            <w:r>
              <w:rPr>
                <w:rFonts w:eastAsia="Arial"/>
              </w:rPr>
              <w:t>7</w:t>
            </w:r>
          </w:p>
        </w:tc>
        <w:tc>
          <w:tcPr>
            <w:tcW w:w="962" w:type="dxa"/>
            <w:tcBorders>
              <w:top w:val="single" w:sz="8" w:space="0" w:color="FFFFFF"/>
              <w:left w:val="single" w:sz="8" w:space="0" w:color="FFFFFF"/>
              <w:bottom w:val="single" w:sz="8" w:space="0" w:color="FFFFFF"/>
              <w:right w:val="single" w:sz="8" w:space="0" w:color="FFFFFF"/>
            </w:tcBorders>
            <w:shd w:val="clear" w:color="auto" w:fill="E1E3EE"/>
            <w:vAlign w:val="bottom"/>
          </w:tcPr>
          <w:p w14:paraId="295DA41E" w14:textId="77777777" w:rsidR="007F6037" w:rsidRDefault="00EE67DE" w:rsidP="00D16F9A">
            <w:pPr>
              <w:pStyle w:val="TableTextRight"/>
              <w:rPr>
                <w:rFonts w:eastAsia="Arial"/>
              </w:rPr>
            </w:pPr>
            <w:r>
              <w:rPr>
                <w:rFonts w:eastAsia="Arial"/>
                <w:spacing w:val="-8"/>
              </w:rPr>
              <w:t>4</w:t>
            </w:r>
            <w:r>
              <w:rPr>
                <w:rFonts w:eastAsia="Arial"/>
                <w:spacing w:val="-10"/>
              </w:rPr>
              <w:t>1</w:t>
            </w:r>
            <w:r>
              <w:rPr>
                <w:rFonts w:eastAsia="Arial"/>
                <w:spacing w:val="-1"/>
              </w:rPr>
              <w:t>5</w:t>
            </w:r>
            <w:r>
              <w:rPr>
                <w:rFonts w:eastAsia="Arial"/>
                <w:spacing w:val="-2"/>
              </w:rPr>
              <w:t>,</w:t>
            </w:r>
            <w:r>
              <w:rPr>
                <w:rFonts w:eastAsia="Arial"/>
                <w:spacing w:val="-3"/>
              </w:rPr>
              <w:t>9</w:t>
            </w:r>
            <w:r>
              <w:rPr>
                <w:rFonts w:eastAsia="Arial"/>
                <w:spacing w:val="-8"/>
              </w:rPr>
              <w:t>1</w:t>
            </w:r>
            <w:r>
              <w:rPr>
                <w:rFonts w:eastAsia="Arial"/>
              </w:rPr>
              <w:t>6</w:t>
            </w:r>
          </w:p>
        </w:tc>
        <w:tc>
          <w:tcPr>
            <w:tcW w:w="962" w:type="dxa"/>
            <w:tcBorders>
              <w:top w:val="single" w:sz="8" w:space="0" w:color="FFFFFF"/>
              <w:left w:val="single" w:sz="8" w:space="0" w:color="FFFFFF"/>
              <w:bottom w:val="single" w:sz="8" w:space="0" w:color="FFFFFF"/>
              <w:right w:val="nil"/>
            </w:tcBorders>
            <w:shd w:val="clear" w:color="auto" w:fill="C7CDE1"/>
            <w:vAlign w:val="bottom"/>
          </w:tcPr>
          <w:p w14:paraId="086DCA33" w14:textId="77777777" w:rsidR="007F6037" w:rsidRDefault="00EE67DE" w:rsidP="00D16F9A">
            <w:pPr>
              <w:pStyle w:val="TableTextRight"/>
              <w:rPr>
                <w:rFonts w:eastAsia="Arial"/>
              </w:rPr>
            </w:pPr>
            <w:r>
              <w:rPr>
                <w:rFonts w:eastAsia="Arial"/>
                <w:spacing w:val="-4"/>
              </w:rPr>
              <w:t>2</w:t>
            </w:r>
            <w:r>
              <w:rPr>
                <w:rFonts w:eastAsia="Arial"/>
                <w:spacing w:val="4"/>
              </w:rPr>
              <w:t>4</w:t>
            </w:r>
            <w:r>
              <w:rPr>
                <w:rFonts w:eastAsia="Arial"/>
              </w:rPr>
              <w:t>6</w:t>
            </w:r>
            <w:r>
              <w:rPr>
                <w:rFonts w:eastAsia="Arial"/>
                <w:spacing w:val="-4"/>
              </w:rPr>
              <w:t>,</w:t>
            </w:r>
            <w:r>
              <w:rPr>
                <w:rFonts w:eastAsia="Arial"/>
                <w:spacing w:val="-1"/>
              </w:rPr>
              <w:t>7</w:t>
            </w:r>
            <w:r>
              <w:rPr>
                <w:rFonts w:eastAsia="Arial"/>
                <w:spacing w:val="-4"/>
              </w:rPr>
              <w:t>2</w:t>
            </w:r>
            <w:r>
              <w:rPr>
                <w:rFonts w:eastAsia="Arial"/>
              </w:rPr>
              <w:t>6</w:t>
            </w:r>
          </w:p>
        </w:tc>
      </w:tr>
      <w:tr w:rsidR="007F6037" w14:paraId="663C3F34" w14:textId="77777777" w:rsidTr="00D16F9A">
        <w:trPr>
          <w:trHeight w:val="20"/>
        </w:trPr>
        <w:tc>
          <w:tcPr>
            <w:tcW w:w="1373" w:type="dxa"/>
            <w:tcBorders>
              <w:left w:val="nil"/>
              <w:bottom w:val="single" w:sz="32" w:space="0" w:color="FFFFFF"/>
              <w:right w:val="nil"/>
            </w:tcBorders>
          </w:tcPr>
          <w:p w14:paraId="592146AC" w14:textId="77777777" w:rsidR="007F6037" w:rsidRPr="00C12FFE" w:rsidRDefault="00C12FFE" w:rsidP="00D16F9A">
            <w:pPr>
              <w:pStyle w:val="TableTextLeft"/>
            </w:pPr>
            <w:r w:rsidRPr="00C12FFE">
              <w:rPr>
                <w:rFonts w:eastAsia="Arial"/>
              </w:rPr>
              <w:t>Total GST</w:t>
            </w:r>
            <w:r w:rsidR="00D16F9A">
              <w:rPr>
                <w:rFonts w:eastAsia="Arial"/>
              </w:rPr>
              <w:t xml:space="preserve"> </w:t>
            </w:r>
            <w:r w:rsidR="00D16F9A">
              <w:rPr>
                <w:rFonts w:eastAsia="Arial"/>
              </w:rPr>
              <w:br/>
            </w:r>
            <w:r w:rsidRPr="00C12FFE">
              <w:rPr>
                <w:rFonts w:eastAsia="Arial"/>
              </w:rPr>
              <w:t>received $m</w:t>
            </w:r>
            <w:r w:rsidRPr="00C12FFE">
              <w:rPr>
                <w:rFonts w:eastAsia="Arial"/>
                <w:vertAlign w:val="superscript"/>
              </w:rPr>
              <w:t>(b)</w:t>
            </w:r>
          </w:p>
        </w:tc>
        <w:tc>
          <w:tcPr>
            <w:tcW w:w="962" w:type="dxa"/>
            <w:tcBorders>
              <w:top w:val="single" w:sz="8" w:space="0" w:color="FFFFFF"/>
              <w:left w:val="nil"/>
              <w:bottom w:val="single" w:sz="32" w:space="0" w:color="FFFFFF"/>
              <w:right w:val="single" w:sz="8" w:space="0" w:color="FFFFFF"/>
            </w:tcBorders>
            <w:shd w:val="clear" w:color="auto" w:fill="E1E3EE"/>
            <w:vAlign w:val="bottom"/>
          </w:tcPr>
          <w:p w14:paraId="6CA115D0" w14:textId="77777777" w:rsidR="007F6037" w:rsidRDefault="00EE67DE" w:rsidP="00D16F9A">
            <w:pPr>
              <w:pStyle w:val="TableTextRight"/>
              <w:rPr>
                <w:rFonts w:eastAsia="Arial"/>
              </w:rPr>
            </w:pPr>
            <w:r>
              <w:rPr>
                <w:rFonts w:eastAsia="Arial"/>
                <w:spacing w:val="-11"/>
              </w:rPr>
              <w:t>1</w:t>
            </w:r>
            <w:r>
              <w:rPr>
                <w:rFonts w:eastAsia="Arial"/>
                <w:spacing w:val="-16"/>
              </w:rPr>
              <w:t>7</w:t>
            </w:r>
            <w:r>
              <w:rPr>
                <w:rFonts w:eastAsia="Arial"/>
                <w:spacing w:val="-4"/>
              </w:rPr>
              <w:t>,</w:t>
            </w:r>
            <w:r>
              <w:rPr>
                <w:rFonts w:eastAsia="Arial"/>
                <w:spacing w:val="-2"/>
              </w:rPr>
              <w:t>7</w:t>
            </w:r>
            <w:r>
              <w:rPr>
                <w:rFonts w:eastAsia="Arial"/>
                <w:spacing w:val="-3"/>
              </w:rPr>
              <w:t>9</w:t>
            </w:r>
            <w:r>
              <w:rPr>
                <w:rFonts w:eastAsia="Arial"/>
              </w:rPr>
              <w:t>1</w:t>
            </w:r>
          </w:p>
        </w:tc>
        <w:tc>
          <w:tcPr>
            <w:tcW w:w="962" w:type="dxa"/>
            <w:tcBorders>
              <w:top w:val="single" w:sz="8" w:space="0" w:color="FFFFFF"/>
              <w:left w:val="single" w:sz="8" w:space="0" w:color="FFFFFF"/>
              <w:bottom w:val="single" w:sz="32" w:space="0" w:color="FFFFFF"/>
              <w:right w:val="single" w:sz="8" w:space="0" w:color="FFFFFF"/>
            </w:tcBorders>
            <w:shd w:val="clear" w:color="auto" w:fill="C7CDE1"/>
            <w:vAlign w:val="bottom"/>
          </w:tcPr>
          <w:p w14:paraId="7ACECAE3" w14:textId="77777777" w:rsidR="007F6037" w:rsidRDefault="00EE67DE" w:rsidP="00D16F9A">
            <w:pPr>
              <w:pStyle w:val="TableTextRight"/>
              <w:rPr>
                <w:rFonts w:eastAsia="Arial"/>
              </w:rPr>
            </w:pPr>
            <w:r>
              <w:rPr>
                <w:rFonts w:eastAsia="Arial"/>
                <w:spacing w:val="-10"/>
              </w:rPr>
              <w:t>1</w:t>
            </w:r>
            <w:r>
              <w:rPr>
                <w:rFonts w:eastAsia="Arial"/>
                <w:spacing w:val="-1"/>
              </w:rPr>
              <w:t>5</w:t>
            </w:r>
            <w:r>
              <w:rPr>
                <w:rFonts w:eastAsia="Arial"/>
                <w:spacing w:val="3"/>
              </w:rPr>
              <w:t>,</w:t>
            </w:r>
            <w:r>
              <w:rPr>
                <w:rFonts w:eastAsia="Arial"/>
                <w:spacing w:val="-4"/>
              </w:rPr>
              <w:t>2</w:t>
            </w:r>
            <w:r>
              <w:rPr>
                <w:rFonts w:eastAsia="Arial"/>
                <w:spacing w:val="4"/>
              </w:rPr>
              <w:t>6</w:t>
            </w:r>
            <w:r>
              <w:rPr>
                <w:rFonts w:eastAsia="Arial"/>
              </w:rPr>
              <w:t>8</w:t>
            </w:r>
          </w:p>
        </w:tc>
        <w:tc>
          <w:tcPr>
            <w:tcW w:w="962" w:type="dxa"/>
            <w:tcBorders>
              <w:top w:val="single" w:sz="8" w:space="0" w:color="FFFFFF"/>
              <w:left w:val="single" w:sz="8" w:space="0" w:color="FFFFFF"/>
              <w:bottom w:val="single" w:sz="32" w:space="0" w:color="FFFFFF"/>
              <w:right w:val="single" w:sz="8" w:space="0" w:color="FFFFFF"/>
            </w:tcBorders>
            <w:shd w:val="clear" w:color="auto" w:fill="E1E3EE"/>
            <w:vAlign w:val="bottom"/>
          </w:tcPr>
          <w:p w14:paraId="6A4A701B" w14:textId="77777777" w:rsidR="007F6037" w:rsidRDefault="00EE67DE" w:rsidP="00D16F9A">
            <w:pPr>
              <w:pStyle w:val="TableTextRight"/>
              <w:rPr>
                <w:rFonts w:eastAsia="Arial"/>
              </w:rPr>
            </w:pPr>
            <w:r>
              <w:rPr>
                <w:rFonts w:eastAsia="Arial"/>
                <w:spacing w:val="-10"/>
              </w:rPr>
              <w:t>1</w:t>
            </w:r>
            <w:r>
              <w:rPr>
                <w:rFonts w:eastAsia="Arial"/>
                <w:spacing w:val="-1"/>
              </w:rPr>
              <w:t>5</w:t>
            </w:r>
            <w:r>
              <w:rPr>
                <w:rFonts w:eastAsia="Arial"/>
                <w:spacing w:val="-12"/>
              </w:rPr>
              <w:t>,</w:t>
            </w:r>
            <w:r>
              <w:rPr>
                <w:rFonts w:eastAsia="Arial"/>
                <w:spacing w:val="-15"/>
              </w:rPr>
              <w:t>1</w:t>
            </w:r>
            <w:r>
              <w:rPr>
                <w:rFonts w:eastAsia="Arial"/>
                <w:spacing w:val="-7"/>
              </w:rPr>
              <w:t>1</w:t>
            </w:r>
            <w:r>
              <w:rPr>
                <w:rFonts w:eastAsia="Arial"/>
              </w:rPr>
              <w:t>0</w:t>
            </w:r>
          </w:p>
        </w:tc>
        <w:tc>
          <w:tcPr>
            <w:tcW w:w="962" w:type="dxa"/>
            <w:tcBorders>
              <w:top w:val="single" w:sz="8" w:space="0" w:color="FFFFFF"/>
              <w:left w:val="single" w:sz="8" w:space="0" w:color="FFFFFF"/>
              <w:bottom w:val="single" w:sz="32" w:space="0" w:color="FFFFFF"/>
              <w:right w:val="single" w:sz="8" w:space="0" w:color="FFFFFF"/>
            </w:tcBorders>
            <w:shd w:val="clear" w:color="auto" w:fill="C7CDE1"/>
            <w:vAlign w:val="bottom"/>
          </w:tcPr>
          <w:p w14:paraId="44BBAF93" w14:textId="77777777" w:rsidR="007F6037" w:rsidRDefault="00EE67DE" w:rsidP="00D16F9A">
            <w:pPr>
              <w:pStyle w:val="TableTextRight"/>
              <w:rPr>
                <w:rFonts w:eastAsia="Arial"/>
              </w:rPr>
            </w:pPr>
            <w:r>
              <w:rPr>
                <w:rFonts w:eastAsia="Arial"/>
                <w:spacing w:val="-3"/>
              </w:rPr>
              <w:t>2</w:t>
            </w:r>
            <w:r>
              <w:rPr>
                <w:rFonts w:eastAsia="Arial"/>
                <w:spacing w:val="3"/>
              </w:rPr>
              <w:t>,</w:t>
            </w:r>
            <w:r>
              <w:rPr>
                <w:rFonts w:eastAsia="Arial"/>
                <w:spacing w:val="-2"/>
              </w:rPr>
              <w:t>2</w:t>
            </w:r>
            <w:r>
              <w:rPr>
                <w:rFonts w:eastAsia="Arial"/>
                <w:spacing w:val="-1"/>
              </w:rPr>
              <w:t>8</w:t>
            </w:r>
            <w:r>
              <w:rPr>
                <w:rFonts w:eastAsia="Arial"/>
              </w:rPr>
              <w:t>5</w:t>
            </w:r>
          </w:p>
        </w:tc>
        <w:tc>
          <w:tcPr>
            <w:tcW w:w="962" w:type="dxa"/>
            <w:tcBorders>
              <w:top w:val="single" w:sz="8" w:space="0" w:color="FFFFFF"/>
              <w:left w:val="single" w:sz="8" w:space="0" w:color="FFFFFF"/>
              <w:bottom w:val="single" w:sz="32" w:space="0" w:color="FFFFFF"/>
              <w:right w:val="single" w:sz="8" w:space="0" w:color="FFFFFF"/>
            </w:tcBorders>
            <w:shd w:val="clear" w:color="auto" w:fill="E1E3EE"/>
            <w:vAlign w:val="bottom"/>
          </w:tcPr>
          <w:p w14:paraId="6F4B663A" w14:textId="77777777" w:rsidR="007F6037" w:rsidRDefault="00EE67DE" w:rsidP="00D16F9A">
            <w:pPr>
              <w:pStyle w:val="TableTextRight"/>
              <w:rPr>
                <w:rFonts w:eastAsia="Arial"/>
              </w:rPr>
            </w:pPr>
            <w:r>
              <w:rPr>
                <w:rFonts w:eastAsia="Arial"/>
              </w:rPr>
              <w:t>6</w:t>
            </w:r>
            <w:r>
              <w:rPr>
                <w:rFonts w:eastAsia="Arial"/>
                <w:spacing w:val="3"/>
              </w:rPr>
              <w:t>,</w:t>
            </w:r>
            <w:r>
              <w:rPr>
                <w:rFonts w:eastAsia="Arial"/>
                <w:spacing w:val="-3"/>
              </w:rPr>
              <w:t>3</w:t>
            </w:r>
            <w:r>
              <w:rPr>
                <w:rFonts w:eastAsia="Arial"/>
                <w:spacing w:val="-9"/>
              </w:rPr>
              <w:t>74</w:t>
            </w:r>
          </w:p>
        </w:tc>
        <w:tc>
          <w:tcPr>
            <w:tcW w:w="962" w:type="dxa"/>
            <w:tcBorders>
              <w:top w:val="single" w:sz="8" w:space="0" w:color="FFFFFF"/>
              <w:left w:val="single" w:sz="8" w:space="0" w:color="FFFFFF"/>
              <w:bottom w:val="single" w:sz="32" w:space="0" w:color="FFFFFF"/>
              <w:right w:val="single" w:sz="8" w:space="0" w:color="FFFFFF"/>
            </w:tcBorders>
            <w:shd w:val="clear" w:color="auto" w:fill="C7CDE1"/>
            <w:vAlign w:val="bottom"/>
          </w:tcPr>
          <w:p w14:paraId="3A9DB861" w14:textId="77777777" w:rsidR="007F6037" w:rsidRDefault="00EE67DE" w:rsidP="00D16F9A">
            <w:pPr>
              <w:pStyle w:val="TableTextRight"/>
              <w:rPr>
                <w:rFonts w:eastAsia="Arial"/>
              </w:rPr>
            </w:pPr>
            <w:r>
              <w:rPr>
                <w:rFonts w:eastAsia="Arial"/>
                <w:spacing w:val="-3"/>
              </w:rPr>
              <w:t>2</w:t>
            </w:r>
            <w:r>
              <w:rPr>
                <w:rFonts w:eastAsia="Arial"/>
                <w:spacing w:val="1"/>
              </w:rPr>
              <w:t>,</w:t>
            </w:r>
            <w:r>
              <w:rPr>
                <w:rFonts w:eastAsia="Arial"/>
                <w:spacing w:val="-8"/>
              </w:rPr>
              <w:t>4</w:t>
            </w:r>
            <w:r>
              <w:rPr>
                <w:rFonts w:eastAsia="Arial"/>
                <w:spacing w:val="-11"/>
              </w:rPr>
              <w:t>17</w:t>
            </w:r>
          </w:p>
        </w:tc>
        <w:tc>
          <w:tcPr>
            <w:tcW w:w="962" w:type="dxa"/>
            <w:tcBorders>
              <w:top w:val="single" w:sz="8" w:space="0" w:color="FFFFFF"/>
              <w:left w:val="single" w:sz="8" w:space="0" w:color="FFFFFF"/>
              <w:bottom w:val="single" w:sz="32" w:space="0" w:color="FFFFFF"/>
              <w:right w:val="single" w:sz="8" w:space="0" w:color="FFFFFF"/>
            </w:tcBorders>
            <w:shd w:val="clear" w:color="auto" w:fill="E1E3EE"/>
            <w:vAlign w:val="bottom"/>
          </w:tcPr>
          <w:p w14:paraId="4FB73E13" w14:textId="77777777" w:rsidR="007F6037" w:rsidRDefault="00EE67DE" w:rsidP="00D16F9A">
            <w:pPr>
              <w:pStyle w:val="TableTextRight"/>
              <w:rPr>
                <w:rFonts w:eastAsia="Arial"/>
              </w:rPr>
            </w:pPr>
            <w:r>
              <w:rPr>
                <w:rFonts w:eastAsia="Arial"/>
                <w:spacing w:val="-10"/>
              </w:rPr>
              <w:t>1</w:t>
            </w:r>
            <w:r>
              <w:rPr>
                <w:rFonts w:eastAsia="Arial"/>
                <w:spacing w:val="3"/>
              </w:rPr>
              <w:t>,</w:t>
            </w:r>
            <w:r>
              <w:rPr>
                <w:rFonts w:eastAsia="Arial"/>
                <w:spacing w:val="-4"/>
              </w:rPr>
              <w:t>2</w:t>
            </w:r>
            <w:r>
              <w:rPr>
                <w:rFonts w:eastAsia="Arial"/>
                <w:spacing w:val="3"/>
              </w:rPr>
              <w:t>6</w:t>
            </w:r>
            <w:r>
              <w:rPr>
                <w:rFonts w:eastAsia="Arial"/>
              </w:rPr>
              <w:t>6</w:t>
            </w:r>
          </w:p>
        </w:tc>
        <w:tc>
          <w:tcPr>
            <w:tcW w:w="962" w:type="dxa"/>
            <w:tcBorders>
              <w:top w:val="single" w:sz="8" w:space="0" w:color="FFFFFF"/>
              <w:left w:val="single" w:sz="8" w:space="0" w:color="FFFFFF"/>
              <w:bottom w:val="single" w:sz="32" w:space="0" w:color="FFFFFF"/>
              <w:right w:val="nil"/>
            </w:tcBorders>
            <w:shd w:val="clear" w:color="auto" w:fill="C7CDE1"/>
            <w:vAlign w:val="bottom"/>
          </w:tcPr>
          <w:p w14:paraId="43D53AC4" w14:textId="77777777" w:rsidR="007F6037" w:rsidRDefault="00EE67DE" w:rsidP="00D16F9A">
            <w:pPr>
              <w:pStyle w:val="TableTextRight"/>
              <w:rPr>
                <w:rFonts w:eastAsia="Arial"/>
              </w:rPr>
            </w:pPr>
            <w:r>
              <w:rPr>
                <w:rFonts w:eastAsia="Arial"/>
                <w:spacing w:val="-3"/>
              </w:rPr>
              <w:t>2</w:t>
            </w:r>
            <w:r>
              <w:rPr>
                <w:rFonts w:eastAsia="Arial"/>
                <w:spacing w:val="-2"/>
              </w:rPr>
              <w:t>,92</w:t>
            </w:r>
            <w:r>
              <w:rPr>
                <w:rFonts w:eastAsia="Arial"/>
              </w:rPr>
              <w:t>8</w:t>
            </w:r>
          </w:p>
        </w:tc>
      </w:tr>
      <w:tr w:rsidR="007F6037" w14:paraId="40709461" w14:textId="77777777" w:rsidTr="00D16F9A">
        <w:trPr>
          <w:trHeight w:val="20"/>
        </w:trPr>
        <w:tc>
          <w:tcPr>
            <w:tcW w:w="1373" w:type="dxa"/>
            <w:tcBorders>
              <w:top w:val="single" w:sz="32" w:space="0" w:color="FFFFFF"/>
              <w:left w:val="nil"/>
              <w:right w:val="nil"/>
            </w:tcBorders>
          </w:tcPr>
          <w:p w14:paraId="30518B1A" w14:textId="77777777" w:rsidR="007F6037" w:rsidRPr="00C12FFE" w:rsidRDefault="00EE67DE" w:rsidP="00C12FFE">
            <w:pPr>
              <w:pStyle w:val="TableTextLeft"/>
              <w:rPr>
                <w:rFonts w:eastAsia="Arial"/>
              </w:rPr>
            </w:pPr>
            <w:r w:rsidRPr="00C12FFE">
              <w:rPr>
                <w:rFonts w:eastAsia="Arial"/>
              </w:rPr>
              <w:t>2018-19 GST</w:t>
            </w:r>
            <w:r w:rsidR="00C12FFE" w:rsidRPr="00C12FFE">
              <w:rPr>
                <w:rFonts w:eastAsia="Arial"/>
              </w:rPr>
              <w:t xml:space="preserve"> </w:t>
            </w:r>
            <w:r w:rsidRPr="00C12FFE">
              <w:rPr>
                <w:rFonts w:eastAsia="Arial"/>
              </w:rPr>
              <w:t>relativity</w:t>
            </w:r>
          </w:p>
        </w:tc>
        <w:tc>
          <w:tcPr>
            <w:tcW w:w="962" w:type="dxa"/>
            <w:tcBorders>
              <w:top w:val="single" w:sz="32" w:space="0" w:color="FFFFFF"/>
              <w:left w:val="nil"/>
              <w:bottom w:val="single" w:sz="8" w:space="0" w:color="FFFFFF"/>
              <w:right w:val="single" w:sz="8" w:space="0" w:color="FFFFFF"/>
            </w:tcBorders>
            <w:shd w:val="clear" w:color="auto" w:fill="E9EDEA"/>
            <w:vAlign w:val="bottom"/>
          </w:tcPr>
          <w:p w14:paraId="43523CC9" w14:textId="77777777" w:rsidR="007F6037" w:rsidRDefault="00EE67DE" w:rsidP="00D16F9A">
            <w:pPr>
              <w:pStyle w:val="TableTextRight"/>
              <w:rPr>
                <w:rFonts w:eastAsia="Arial"/>
              </w:rPr>
            </w:pPr>
            <w:r>
              <w:rPr>
                <w:rFonts w:eastAsia="Arial"/>
                <w:spacing w:val="-1"/>
              </w:rPr>
              <w:t>0</w:t>
            </w:r>
            <w:r>
              <w:rPr>
                <w:rFonts w:eastAsia="Arial"/>
                <w:spacing w:val="2"/>
              </w:rPr>
              <w:t>.</w:t>
            </w:r>
            <w:r>
              <w:rPr>
                <w:rFonts w:eastAsia="Arial"/>
                <w:spacing w:val="-1"/>
              </w:rPr>
              <w:t>8</w:t>
            </w:r>
            <w:r>
              <w:rPr>
                <w:rFonts w:eastAsia="Arial"/>
                <w:spacing w:val="-3"/>
              </w:rPr>
              <w:t>5</w:t>
            </w:r>
            <w:r>
              <w:rPr>
                <w:rFonts w:eastAsia="Arial"/>
                <w:spacing w:val="-10"/>
              </w:rPr>
              <w:t>5</w:t>
            </w:r>
            <w:r>
              <w:rPr>
                <w:rFonts w:eastAsia="Arial"/>
                <w:spacing w:val="-11"/>
              </w:rPr>
              <w:t>17</w:t>
            </w:r>
          </w:p>
        </w:tc>
        <w:tc>
          <w:tcPr>
            <w:tcW w:w="962" w:type="dxa"/>
            <w:tcBorders>
              <w:top w:val="single" w:sz="32" w:space="0" w:color="FFFFFF"/>
              <w:left w:val="single" w:sz="8" w:space="0" w:color="FFFFFF"/>
              <w:bottom w:val="single" w:sz="8" w:space="0" w:color="FFFFFF"/>
              <w:right w:val="single" w:sz="8" w:space="0" w:color="FFFFFF"/>
            </w:tcBorders>
            <w:shd w:val="clear" w:color="auto" w:fill="D4DFD8"/>
            <w:vAlign w:val="bottom"/>
          </w:tcPr>
          <w:p w14:paraId="44F2CAC7" w14:textId="77777777" w:rsidR="007F6037" w:rsidRDefault="00EE67DE" w:rsidP="00D16F9A">
            <w:pPr>
              <w:pStyle w:val="TableTextRight"/>
              <w:rPr>
                <w:rFonts w:eastAsia="Arial"/>
              </w:rPr>
            </w:pPr>
            <w:r>
              <w:rPr>
                <w:rFonts w:eastAsia="Arial"/>
                <w:spacing w:val="-1"/>
              </w:rPr>
              <w:t>0</w:t>
            </w:r>
            <w:r>
              <w:rPr>
                <w:rFonts w:eastAsia="Arial"/>
                <w:spacing w:val="-3"/>
              </w:rPr>
              <w:t>.</w:t>
            </w:r>
            <w:r>
              <w:rPr>
                <w:rFonts w:eastAsia="Arial"/>
                <w:spacing w:val="3"/>
              </w:rPr>
              <w:t>9</w:t>
            </w:r>
            <w:r>
              <w:rPr>
                <w:rFonts w:eastAsia="Arial"/>
                <w:spacing w:val="2"/>
              </w:rPr>
              <w:t>8</w:t>
            </w:r>
            <w:r>
              <w:rPr>
                <w:rFonts w:eastAsia="Arial"/>
                <w:spacing w:val="1"/>
              </w:rPr>
              <w:t>6</w:t>
            </w:r>
            <w:r>
              <w:rPr>
                <w:rFonts w:eastAsia="Arial"/>
                <w:spacing w:val="-3"/>
              </w:rPr>
              <w:t>70</w:t>
            </w:r>
          </w:p>
        </w:tc>
        <w:tc>
          <w:tcPr>
            <w:tcW w:w="962" w:type="dxa"/>
            <w:tcBorders>
              <w:top w:val="single" w:sz="32" w:space="0" w:color="FFFFFF"/>
              <w:left w:val="single" w:sz="8" w:space="0" w:color="FFFFFF"/>
              <w:bottom w:val="single" w:sz="8" w:space="0" w:color="FFFFFF"/>
              <w:right w:val="single" w:sz="8" w:space="0" w:color="FFFFFF"/>
            </w:tcBorders>
            <w:shd w:val="clear" w:color="auto" w:fill="E9EDEA"/>
            <w:vAlign w:val="bottom"/>
          </w:tcPr>
          <w:p w14:paraId="315A1361" w14:textId="77777777" w:rsidR="007F6037" w:rsidRDefault="00EE67DE" w:rsidP="00D16F9A">
            <w:pPr>
              <w:pStyle w:val="TableTextRight"/>
              <w:rPr>
                <w:rFonts w:eastAsia="Arial"/>
              </w:rPr>
            </w:pPr>
            <w:r>
              <w:rPr>
                <w:rFonts w:eastAsia="Arial"/>
                <w:spacing w:val="-9"/>
              </w:rPr>
              <w:t>1</w:t>
            </w:r>
            <w:r>
              <w:rPr>
                <w:rFonts w:eastAsia="Arial"/>
                <w:spacing w:val="-1"/>
              </w:rPr>
              <w:t>.</w:t>
            </w:r>
            <w:r>
              <w:rPr>
                <w:rFonts w:eastAsia="Arial"/>
                <w:spacing w:val="2"/>
              </w:rPr>
              <w:t>0</w:t>
            </w:r>
            <w:r>
              <w:rPr>
                <w:rFonts w:eastAsia="Arial"/>
              </w:rPr>
              <w:t>9</w:t>
            </w:r>
            <w:r>
              <w:rPr>
                <w:rFonts w:eastAsia="Arial"/>
                <w:spacing w:val="2"/>
              </w:rPr>
              <w:t>5</w:t>
            </w:r>
            <w:r>
              <w:rPr>
                <w:rFonts w:eastAsia="Arial"/>
                <w:spacing w:val="5"/>
              </w:rPr>
              <w:t>8</w:t>
            </w:r>
            <w:r>
              <w:rPr>
                <w:rFonts w:eastAsia="Arial"/>
              </w:rPr>
              <w:t>4</w:t>
            </w:r>
          </w:p>
        </w:tc>
        <w:tc>
          <w:tcPr>
            <w:tcW w:w="962" w:type="dxa"/>
            <w:tcBorders>
              <w:top w:val="single" w:sz="32" w:space="0" w:color="FFFFFF"/>
              <w:left w:val="single" w:sz="8" w:space="0" w:color="FFFFFF"/>
              <w:bottom w:val="single" w:sz="8" w:space="0" w:color="FFFFFF"/>
              <w:right w:val="single" w:sz="8" w:space="0" w:color="FFFFFF"/>
            </w:tcBorders>
            <w:shd w:val="clear" w:color="auto" w:fill="D4DFD8"/>
            <w:vAlign w:val="bottom"/>
          </w:tcPr>
          <w:p w14:paraId="67A636F8" w14:textId="77777777" w:rsidR="007F6037" w:rsidRDefault="00EE67DE" w:rsidP="00D16F9A">
            <w:pPr>
              <w:pStyle w:val="TableTextRight"/>
              <w:rPr>
                <w:rFonts w:eastAsia="Arial"/>
              </w:rPr>
            </w:pPr>
            <w:r>
              <w:rPr>
                <w:rFonts w:eastAsia="Arial"/>
              </w:rPr>
              <w:t>0.</w:t>
            </w:r>
            <w:r>
              <w:rPr>
                <w:rFonts w:eastAsia="Arial"/>
                <w:spacing w:val="-4"/>
              </w:rPr>
              <w:t>4</w:t>
            </w:r>
            <w:r>
              <w:rPr>
                <w:rFonts w:eastAsia="Arial"/>
                <w:spacing w:val="-1"/>
              </w:rPr>
              <w:t>7</w:t>
            </w:r>
            <w:r>
              <w:rPr>
                <w:rFonts w:eastAsia="Arial"/>
                <w:spacing w:val="-2"/>
              </w:rPr>
              <w:t>2</w:t>
            </w:r>
            <w:r>
              <w:rPr>
                <w:rFonts w:eastAsia="Arial"/>
              </w:rPr>
              <w:t>87</w:t>
            </w:r>
          </w:p>
        </w:tc>
        <w:tc>
          <w:tcPr>
            <w:tcW w:w="962" w:type="dxa"/>
            <w:tcBorders>
              <w:top w:val="single" w:sz="32" w:space="0" w:color="FFFFFF"/>
              <w:left w:val="single" w:sz="8" w:space="0" w:color="FFFFFF"/>
              <w:bottom w:val="single" w:sz="8" w:space="0" w:color="FFFFFF"/>
              <w:right w:val="single" w:sz="8" w:space="0" w:color="FFFFFF"/>
            </w:tcBorders>
            <w:shd w:val="clear" w:color="auto" w:fill="E9EDEA"/>
            <w:vAlign w:val="bottom"/>
          </w:tcPr>
          <w:p w14:paraId="6E97B3EA" w14:textId="77777777" w:rsidR="007F6037" w:rsidRDefault="00EE67DE" w:rsidP="00D16F9A">
            <w:pPr>
              <w:pStyle w:val="TableTextRight"/>
              <w:rPr>
                <w:rFonts w:eastAsia="Arial"/>
              </w:rPr>
            </w:pPr>
            <w:r>
              <w:rPr>
                <w:rFonts w:eastAsia="Arial"/>
                <w:spacing w:val="-9"/>
              </w:rPr>
              <w:t>1</w:t>
            </w:r>
            <w:r>
              <w:rPr>
                <w:rFonts w:eastAsia="Arial"/>
              </w:rPr>
              <w:t>.</w:t>
            </w:r>
            <w:r>
              <w:rPr>
                <w:rFonts w:eastAsia="Arial"/>
                <w:spacing w:val="-4"/>
              </w:rPr>
              <w:t>4</w:t>
            </w:r>
            <w:r>
              <w:rPr>
                <w:rFonts w:eastAsia="Arial"/>
                <w:spacing w:val="1"/>
              </w:rPr>
              <w:t>7</w:t>
            </w:r>
            <w:r>
              <w:rPr>
                <w:rFonts w:eastAsia="Arial"/>
                <w:spacing w:val="-1"/>
              </w:rPr>
              <w:t>7</w:t>
            </w:r>
            <w:r>
              <w:rPr>
                <w:rFonts w:eastAsia="Arial"/>
                <w:spacing w:val="-4"/>
              </w:rPr>
              <w:t>2</w:t>
            </w:r>
            <w:r>
              <w:rPr>
                <w:rFonts w:eastAsia="Arial"/>
              </w:rPr>
              <w:t>7</w:t>
            </w:r>
          </w:p>
        </w:tc>
        <w:tc>
          <w:tcPr>
            <w:tcW w:w="962" w:type="dxa"/>
            <w:tcBorders>
              <w:top w:val="single" w:sz="32" w:space="0" w:color="FFFFFF"/>
              <w:left w:val="single" w:sz="8" w:space="0" w:color="FFFFFF"/>
              <w:bottom w:val="single" w:sz="8" w:space="0" w:color="FFFFFF"/>
              <w:right w:val="single" w:sz="8" w:space="0" w:color="FFFFFF"/>
            </w:tcBorders>
            <w:shd w:val="clear" w:color="auto" w:fill="D4DFD8"/>
            <w:vAlign w:val="bottom"/>
          </w:tcPr>
          <w:p w14:paraId="4CDE0075" w14:textId="77777777" w:rsidR="007F6037" w:rsidRDefault="00EE67DE" w:rsidP="00D16F9A">
            <w:pPr>
              <w:pStyle w:val="TableTextRight"/>
              <w:rPr>
                <w:rFonts w:eastAsia="Arial"/>
              </w:rPr>
            </w:pPr>
            <w:r>
              <w:rPr>
                <w:rFonts w:eastAsia="Arial"/>
                <w:spacing w:val="-9"/>
              </w:rPr>
              <w:t>1</w:t>
            </w:r>
            <w:r>
              <w:rPr>
                <w:rFonts w:eastAsia="Arial"/>
                <w:spacing w:val="-4"/>
              </w:rPr>
              <w:t>.</w:t>
            </w:r>
            <w:r>
              <w:rPr>
                <w:rFonts w:eastAsia="Arial"/>
                <w:spacing w:val="-5"/>
              </w:rPr>
              <w:t>7</w:t>
            </w:r>
            <w:r>
              <w:rPr>
                <w:rFonts w:eastAsia="Arial"/>
                <w:spacing w:val="1"/>
              </w:rPr>
              <w:t>6</w:t>
            </w:r>
            <w:r>
              <w:rPr>
                <w:rFonts w:eastAsia="Arial"/>
                <w:spacing w:val="-3"/>
              </w:rPr>
              <w:t>7</w:t>
            </w:r>
            <w:r>
              <w:rPr>
                <w:rFonts w:eastAsia="Arial"/>
                <w:spacing w:val="3"/>
              </w:rPr>
              <w:t>0</w:t>
            </w:r>
            <w:r>
              <w:rPr>
                <w:rFonts w:eastAsia="Arial"/>
              </w:rPr>
              <w:t>6</w:t>
            </w:r>
          </w:p>
        </w:tc>
        <w:tc>
          <w:tcPr>
            <w:tcW w:w="962" w:type="dxa"/>
            <w:tcBorders>
              <w:top w:val="single" w:sz="32" w:space="0" w:color="FFFFFF"/>
              <w:left w:val="single" w:sz="8" w:space="0" w:color="FFFFFF"/>
              <w:bottom w:val="single" w:sz="8" w:space="0" w:color="FFFFFF"/>
              <w:right w:val="single" w:sz="8" w:space="0" w:color="FFFFFF"/>
            </w:tcBorders>
            <w:shd w:val="clear" w:color="auto" w:fill="E9EDEA"/>
            <w:vAlign w:val="bottom"/>
          </w:tcPr>
          <w:p w14:paraId="7BC46A48" w14:textId="77777777" w:rsidR="007F6037" w:rsidRDefault="00EE67DE" w:rsidP="00D16F9A">
            <w:pPr>
              <w:pStyle w:val="TableTextRight"/>
              <w:rPr>
                <w:rFonts w:eastAsia="Arial"/>
              </w:rPr>
            </w:pPr>
            <w:r>
              <w:rPr>
                <w:rFonts w:eastAsia="Arial"/>
                <w:spacing w:val="-9"/>
              </w:rPr>
              <w:t>1</w:t>
            </w:r>
            <w:r>
              <w:rPr>
                <w:rFonts w:eastAsia="Arial"/>
                <w:spacing w:val="-12"/>
              </w:rPr>
              <w:t>.</w:t>
            </w:r>
            <w:r>
              <w:rPr>
                <w:rFonts w:eastAsia="Arial"/>
                <w:spacing w:val="-8"/>
              </w:rPr>
              <w:t>1</w:t>
            </w:r>
            <w:r>
              <w:rPr>
                <w:rFonts w:eastAsia="Arial"/>
                <w:spacing w:val="3"/>
              </w:rPr>
              <w:t>8</w:t>
            </w:r>
            <w:r>
              <w:rPr>
                <w:rFonts w:eastAsia="Arial"/>
                <w:spacing w:val="-3"/>
              </w:rPr>
              <w:t>07</w:t>
            </w:r>
            <w:r>
              <w:rPr>
                <w:rFonts w:eastAsia="Arial"/>
              </w:rPr>
              <w:t>0</w:t>
            </w:r>
          </w:p>
        </w:tc>
        <w:tc>
          <w:tcPr>
            <w:tcW w:w="962" w:type="dxa"/>
            <w:tcBorders>
              <w:top w:val="single" w:sz="32" w:space="0" w:color="FFFFFF"/>
              <w:left w:val="single" w:sz="8" w:space="0" w:color="FFFFFF"/>
              <w:bottom w:val="single" w:sz="8" w:space="0" w:color="FFFFFF"/>
              <w:right w:val="nil"/>
            </w:tcBorders>
            <w:shd w:val="clear" w:color="auto" w:fill="D4DFD8"/>
            <w:vAlign w:val="bottom"/>
          </w:tcPr>
          <w:p w14:paraId="392E4DEF" w14:textId="77777777" w:rsidR="007F6037" w:rsidRDefault="00EE67DE" w:rsidP="00D16F9A">
            <w:pPr>
              <w:pStyle w:val="TableTextRight"/>
              <w:rPr>
                <w:rFonts w:eastAsia="Arial"/>
              </w:rPr>
            </w:pPr>
            <w:r>
              <w:rPr>
                <w:rFonts w:eastAsia="Arial"/>
                <w:spacing w:val="1"/>
              </w:rPr>
              <w:t>4</w:t>
            </w:r>
            <w:r>
              <w:rPr>
                <w:rFonts w:eastAsia="Arial"/>
                <w:spacing w:val="3"/>
              </w:rPr>
              <w:t>.</w:t>
            </w:r>
            <w:r>
              <w:rPr>
                <w:rFonts w:eastAsia="Arial"/>
                <w:spacing w:val="-2"/>
              </w:rPr>
              <w:t>2</w:t>
            </w:r>
            <w:r>
              <w:rPr>
                <w:rFonts w:eastAsia="Arial"/>
                <w:spacing w:val="2"/>
              </w:rPr>
              <w:t>5</w:t>
            </w:r>
            <w:r>
              <w:rPr>
                <w:rFonts w:eastAsia="Arial"/>
                <w:spacing w:val="-3"/>
              </w:rPr>
              <w:t>8</w:t>
            </w:r>
            <w:r>
              <w:rPr>
                <w:rFonts w:eastAsia="Arial"/>
                <w:spacing w:val="-8"/>
              </w:rPr>
              <w:t>16</w:t>
            </w:r>
          </w:p>
        </w:tc>
      </w:tr>
      <w:tr w:rsidR="007F6037" w14:paraId="2225B30A" w14:textId="77777777" w:rsidTr="00D16F9A">
        <w:trPr>
          <w:trHeight w:val="20"/>
        </w:trPr>
        <w:tc>
          <w:tcPr>
            <w:tcW w:w="1373" w:type="dxa"/>
            <w:tcBorders>
              <w:left w:val="nil"/>
              <w:right w:val="nil"/>
            </w:tcBorders>
          </w:tcPr>
          <w:p w14:paraId="39F91CD0" w14:textId="77777777" w:rsidR="007F6037" w:rsidRPr="00C12FFE" w:rsidRDefault="00C12FFE" w:rsidP="00D16F9A">
            <w:pPr>
              <w:pStyle w:val="TableTextLeft"/>
            </w:pPr>
            <w:r w:rsidRPr="00C12FFE">
              <w:rPr>
                <w:rFonts w:eastAsia="Arial"/>
              </w:rPr>
              <w:t>Population</w:t>
            </w:r>
            <w:r w:rsidRPr="00C12FFE">
              <w:rPr>
                <w:rFonts w:eastAsia="Arial"/>
                <w:vertAlign w:val="superscript"/>
              </w:rPr>
              <w:t>(c)</w:t>
            </w:r>
          </w:p>
        </w:tc>
        <w:tc>
          <w:tcPr>
            <w:tcW w:w="962" w:type="dxa"/>
            <w:tcBorders>
              <w:top w:val="single" w:sz="8" w:space="0" w:color="FFFFFF"/>
              <w:left w:val="nil"/>
              <w:bottom w:val="single" w:sz="8" w:space="0" w:color="FFFFFF"/>
              <w:right w:val="single" w:sz="8" w:space="0" w:color="FFFFFF"/>
            </w:tcBorders>
            <w:shd w:val="clear" w:color="auto" w:fill="E9EDEA"/>
            <w:vAlign w:val="bottom"/>
          </w:tcPr>
          <w:p w14:paraId="24D32DA8" w14:textId="77777777" w:rsidR="007F6037" w:rsidRDefault="00EE67DE" w:rsidP="00D16F9A">
            <w:pPr>
              <w:pStyle w:val="TableTextRight"/>
              <w:rPr>
                <w:rFonts w:eastAsia="Arial"/>
              </w:rPr>
            </w:pPr>
            <w:r>
              <w:rPr>
                <w:rFonts w:eastAsia="Arial"/>
                <w:spacing w:val="1"/>
              </w:rPr>
              <w:t>8</w:t>
            </w:r>
            <w:r>
              <w:rPr>
                <w:rFonts w:eastAsia="Arial"/>
              </w:rPr>
              <w:t>,0</w:t>
            </w:r>
            <w:r>
              <w:rPr>
                <w:rFonts w:eastAsia="Arial"/>
                <w:spacing w:val="-2"/>
              </w:rPr>
              <w:t>5</w:t>
            </w:r>
            <w:r>
              <w:rPr>
                <w:rFonts w:eastAsia="Arial"/>
                <w:spacing w:val="-3"/>
              </w:rPr>
              <w:t>2</w:t>
            </w:r>
            <w:r>
              <w:rPr>
                <w:rFonts w:eastAsia="Arial"/>
                <w:spacing w:val="-2"/>
              </w:rPr>
              <w:t>,</w:t>
            </w:r>
            <w:r>
              <w:rPr>
                <w:rFonts w:eastAsia="Arial"/>
                <w:spacing w:val="4"/>
              </w:rPr>
              <w:t>9</w:t>
            </w:r>
            <w:r>
              <w:rPr>
                <w:rFonts w:eastAsia="Arial"/>
                <w:spacing w:val="2"/>
              </w:rPr>
              <w:t>0</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D4DFD8"/>
            <w:vAlign w:val="bottom"/>
          </w:tcPr>
          <w:p w14:paraId="548B548E" w14:textId="77777777" w:rsidR="007F6037" w:rsidRDefault="00EE67DE" w:rsidP="00D16F9A">
            <w:pPr>
              <w:pStyle w:val="TableTextRight"/>
              <w:rPr>
                <w:rFonts w:eastAsia="Arial"/>
              </w:rPr>
            </w:pPr>
            <w:r>
              <w:rPr>
                <w:rFonts w:eastAsia="Arial"/>
              </w:rPr>
              <w:t>6,5</w:t>
            </w:r>
            <w:r>
              <w:rPr>
                <w:rFonts w:eastAsia="Arial"/>
                <w:spacing w:val="-3"/>
              </w:rPr>
              <w:t>32</w:t>
            </w:r>
            <w:r>
              <w:rPr>
                <w:rFonts w:eastAsia="Arial"/>
                <w:spacing w:val="-4"/>
              </w:rPr>
              <w:t>,</w:t>
            </w:r>
            <w:r>
              <w:rPr>
                <w:rFonts w:eastAsia="Arial"/>
                <w:spacing w:val="-9"/>
              </w:rPr>
              <w:t>7</w:t>
            </w:r>
            <w:r>
              <w:rPr>
                <w:rFonts w:eastAsia="Arial"/>
                <w:spacing w:val="7"/>
              </w:rPr>
              <w:t>4</w:t>
            </w:r>
            <w:r>
              <w:rPr>
                <w:rFonts w:eastAsia="Arial"/>
              </w:rPr>
              <w:t>4</w:t>
            </w:r>
          </w:p>
        </w:tc>
        <w:tc>
          <w:tcPr>
            <w:tcW w:w="962" w:type="dxa"/>
            <w:tcBorders>
              <w:top w:val="single" w:sz="8" w:space="0" w:color="FFFFFF"/>
              <w:left w:val="single" w:sz="8" w:space="0" w:color="FFFFFF"/>
              <w:bottom w:val="single" w:sz="8" w:space="0" w:color="FFFFFF"/>
              <w:right w:val="single" w:sz="8" w:space="0" w:color="FFFFFF"/>
            </w:tcBorders>
            <w:shd w:val="clear" w:color="auto" w:fill="E9EDEA"/>
            <w:vAlign w:val="bottom"/>
          </w:tcPr>
          <w:p w14:paraId="0037B337" w14:textId="77777777" w:rsidR="007F6037" w:rsidRDefault="00EE67DE" w:rsidP="00D16F9A">
            <w:pPr>
              <w:pStyle w:val="TableTextRight"/>
              <w:rPr>
                <w:rFonts w:eastAsia="Arial"/>
              </w:rPr>
            </w:pPr>
            <w:r>
              <w:rPr>
                <w:rFonts w:eastAsia="Arial"/>
                <w:spacing w:val="-1"/>
              </w:rPr>
              <w:t>5</w:t>
            </w:r>
            <w:r>
              <w:rPr>
                <w:rFonts w:eastAsia="Arial"/>
              </w:rPr>
              <w:t>,</w:t>
            </w:r>
            <w:r>
              <w:rPr>
                <w:rFonts w:eastAsia="Arial"/>
                <w:spacing w:val="4"/>
              </w:rPr>
              <w:t>0</w:t>
            </w:r>
            <w:r>
              <w:rPr>
                <w:rFonts w:eastAsia="Arial"/>
                <w:spacing w:val="-8"/>
              </w:rPr>
              <w:t>4</w:t>
            </w:r>
            <w:r>
              <w:rPr>
                <w:rFonts w:eastAsia="Arial"/>
                <w:spacing w:val="-10"/>
              </w:rPr>
              <w:t>1</w:t>
            </w:r>
            <w:r>
              <w:rPr>
                <w:rFonts w:eastAsia="Arial"/>
                <w:spacing w:val="1"/>
              </w:rPr>
              <w:t>,</w:t>
            </w:r>
            <w:r>
              <w:rPr>
                <w:rFonts w:eastAsia="Arial"/>
                <w:spacing w:val="-8"/>
              </w:rPr>
              <w:t>41</w:t>
            </w:r>
            <w:r>
              <w:rPr>
                <w:rFonts w:eastAsia="Arial"/>
              </w:rPr>
              <w:t>6</w:t>
            </w:r>
          </w:p>
        </w:tc>
        <w:tc>
          <w:tcPr>
            <w:tcW w:w="962" w:type="dxa"/>
            <w:tcBorders>
              <w:top w:val="single" w:sz="8" w:space="0" w:color="FFFFFF"/>
              <w:left w:val="single" w:sz="8" w:space="0" w:color="FFFFFF"/>
              <w:bottom w:val="single" w:sz="8" w:space="0" w:color="FFFFFF"/>
              <w:right w:val="single" w:sz="8" w:space="0" w:color="FFFFFF"/>
            </w:tcBorders>
            <w:shd w:val="clear" w:color="auto" w:fill="D4DFD8"/>
            <w:vAlign w:val="bottom"/>
          </w:tcPr>
          <w:p w14:paraId="73E30078" w14:textId="77777777" w:rsidR="007F6037" w:rsidRDefault="00EE67DE" w:rsidP="00D16F9A">
            <w:pPr>
              <w:pStyle w:val="TableTextRight"/>
              <w:rPr>
                <w:rFonts w:eastAsia="Arial"/>
              </w:rPr>
            </w:pPr>
            <w:r>
              <w:rPr>
                <w:rFonts w:eastAsia="Arial"/>
                <w:spacing w:val="-3"/>
              </w:rPr>
              <w:t>2</w:t>
            </w:r>
            <w:r>
              <w:rPr>
                <w:rFonts w:eastAsia="Arial"/>
                <w:spacing w:val="-1"/>
              </w:rPr>
              <w:t>,</w:t>
            </w:r>
            <w:r>
              <w:rPr>
                <w:rFonts w:eastAsia="Arial"/>
                <w:spacing w:val="-7"/>
              </w:rPr>
              <w:t>6</w:t>
            </w:r>
            <w:r>
              <w:rPr>
                <w:rFonts w:eastAsia="Arial"/>
                <w:spacing w:val="-11"/>
              </w:rPr>
              <w:t>1</w:t>
            </w:r>
            <w:r>
              <w:rPr>
                <w:rFonts w:eastAsia="Arial"/>
                <w:spacing w:val="-16"/>
              </w:rPr>
              <w:t>7</w:t>
            </w:r>
            <w:r>
              <w:rPr>
                <w:rFonts w:eastAsia="Arial"/>
                <w:spacing w:val="-4"/>
              </w:rPr>
              <w:t>,</w:t>
            </w:r>
            <w:r>
              <w:rPr>
                <w:rFonts w:eastAsia="Arial"/>
                <w:spacing w:val="-1"/>
              </w:rPr>
              <w:t>73</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E9EDEA"/>
            <w:vAlign w:val="bottom"/>
          </w:tcPr>
          <w:p w14:paraId="66960456" w14:textId="77777777" w:rsidR="007F6037" w:rsidRDefault="00EE67DE" w:rsidP="00D16F9A">
            <w:pPr>
              <w:pStyle w:val="TableTextRight"/>
              <w:rPr>
                <w:rFonts w:eastAsia="Arial"/>
              </w:rPr>
            </w:pPr>
            <w:r>
              <w:rPr>
                <w:rFonts w:eastAsia="Arial"/>
                <w:spacing w:val="-10"/>
              </w:rPr>
              <w:t>1</w:t>
            </w:r>
            <w:r>
              <w:rPr>
                <w:rFonts w:eastAsia="Arial"/>
                <w:spacing w:val="-4"/>
              </w:rPr>
              <w:t>,</w:t>
            </w:r>
            <w:r>
              <w:rPr>
                <w:rFonts w:eastAsia="Arial"/>
                <w:spacing w:val="-9"/>
              </w:rPr>
              <w:t>7</w:t>
            </w:r>
            <w:r>
              <w:rPr>
                <w:rFonts w:eastAsia="Arial"/>
                <w:spacing w:val="4"/>
              </w:rPr>
              <w:t>4</w:t>
            </w:r>
            <w:r>
              <w:rPr>
                <w:rFonts w:eastAsia="Arial"/>
                <w:spacing w:val="-2"/>
              </w:rPr>
              <w:t>0,9</w:t>
            </w:r>
            <w:r>
              <w:rPr>
                <w:rFonts w:eastAsia="Arial"/>
                <w:spacing w:val="-1"/>
              </w:rPr>
              <w:t>3</w:t>
            </w:r>
            <w:r>
              <w:rPr>
                <w:rFonts w:eastAsia="Arial"/>
              </w:rPr>
              <w:t>9</w:t>
            </w:r>
          </w:p>
        </w:tc>
        <w:tc>
          <w:tcPr>
            <w:tcW w:w="962" w:type="dxa"/>
            <w:tcBorders>
              <w:top w:val="single" w:sz="8" w:space="0" w:color="FFFFFF"/>
              <w:left w:val="single" w:sz="8" w:space="0" w:color="FFFFFF"/>
              <w:bottom w:val="single" w:sz="8" w:space="0" w:color="FFFFFF"/>
              <w:right w:val="single" w:sz="8" w:space="0" w:color="FFFFFF"/>
            </w:tcBorders>
            <w:shd w:val="clear" w:color="auto" w:fill="D4DFD8"/>
            <w:vAlign w:val="bottom"/>
          </w:tcPr>
          <w:p w14:paraId="2431525A" w14:textId="77777777" w:rsidR="007F6037" w:rsidRDefault="00EE67DE" w:rsidP="00D16F9A">
            <w:pPr>
              <w:pStyle w:val="TableTextRight"/>
              <w:rPr>
                <w:rFonts w:eastAsia="Arial"/>
              </w:rPr>
            </w:pPr>
            <w:r>
              <w:rPr>
                <w:rFonts w:eastAsia="Arial"/>
                <w:spacing w:val="-2"/>
              </w:rPr>
              <w:t>52</w:t>
            </w:r>
            <w:r>
              <w:rPr>
                <w:rFonts w:eastAsia="Arial"/>
                <w:spacing w:val="-1"/>
              </w:rPr>
              <w:t>5</w:t>
            </w:r>
            <w:r>
              <w:rPr>
                <w:rFonts w:eastAsia="Arial"/>
                <w:spacing w:val="-4"/>
              </w:rPr>
              <w:t>,</w:t>
            </w:r>
            <w:r>
              <w:rPr>
                <w:rFonts w:eastAsia="Arial"/>
                <w:spacing w:val="-3"/>
              </w:rPr>
              <w:t>70</w:t>
            </w:r>
            <w:r>
              <w:rPr>
                <w:rFonts w:eastAsia="Arial"/>
              </w:rPr>
              <w:t>7</w:t>
            </w:r>
          </w:p>
        </w:tc>
        <w:tc>
          <w:tcPr>
            <w:tcW w:w="962" w:type="dxa"/>
            <w:tcBorders>
              <w:top w:val="single" w:sz="8" w:space="0" w:color="FFFFFF"/>
              <w:left w:val="single" w:sz="8" w:space="0" w:color="FFFFFF"/>
              <w:bottom w:val="single" w:sz="8" w:space="0" w:color="FFFFFF"/>
              <w:right w:val="single" w:sz="8" w:space="0" w:color="FFFFFF"/>
            </w:tcBorders>
            <w:shd w:val="clear" w:color="auto" w:fill="E9EDEA"/>
            <w:vAlign w:val="bottom"/>
          </w:tcPr>
          <w:p w14:paraId="13310AE2" w14:textId="77777777" w:rsidR="007F6037" w:rsidRDefault="00EE67DE" w:rsidP="00D16F9A">
            <w:pPr>
              <w:pStyle w:val="TableTextRight"/>
              <w:rPr>
                <w:rFonts w:eastAsia="Arial"/>
              </w:rPr>
            </w:pPr>
            <w:r>
              <w:rPr>
                <w:rFonts w:eastAsia="Arial"/>
                <w:spacing w:val="-2"/>
              </w:rPr>
              <w:t>420</w:t>
            </w:r>
            <w:r>
              <w:rPr>
                <w:rFonts w:eastAsia="Arial"/>
                <w:spacing w:val="-12"/>
              </w:rPr>
              <w:t>,</w:t>
            </w:r>
            <w:r>
              <w:rPr>
                <w:rFonts w:eastAsia="Arial"/>
                <w:spacing w:val="-11"/>
              </w:rPr>
              <w:t>1</w:t>
            </w:r>
            <w:r>
              <w:rPr>
                <w:rFonts w:eastAsia="Arial"/>
                <w:spacing w:val="1"/>
              </w:rPr>
              <w:t>2</w:t>
            </w:r>
            <w:r>
              <w:rPr>
                <w:rFonts w:eastAsia="Arial"/>
              </w:rPr>
              <w:t>3</w:t>
            </w:r>
          </w:p>
        </w:tc>
        <w:tc>
          <w:tcPr>
            <w:tcW w:w="962" w:type="dxa"/>
            <w:tcBorders>
              <w:top w:val="single" w:sz="8" w:space="0" w:color="FFFFFF"/>
              <w:left w:val="single" w:sz="8" w:space="0" w:color="FFFFFF"/>
              <w:bottom w:val="single" w:sz="8" w:space="0" w:color="FFFFFF"/>
              <w:right w:val="nil"/>
            </w:tcBorders>
            <w:shd w:val="clear" w:color="auto" w:fill="D4DFD8"/>
            <w:vAlign w:val="bottom"/>
          </w:tcPr>
          <w:p w14:paraId="5B7B3ED1" w14:textId="77777777" w:rsidR="007F6037" w:rsidRDefault="00EE67DE" w:rsidP="00D16F9A">
            <w:pPr>
              <w:pStyle w:val="TableTextRight"/>
              <w:rPr>
                <w:rFonts w:eastAsia="Arial"/>
              </w:rPr>
            </w:pPr>
            <w:r>
              <w:rPr>
                <w:rFonts w:eastAsia="Arial"/>
                <w:spacing w:val="-4"/>
              </w:rPr>
              <w:t>2</w:t>
            </w:r>
            <w:r>
              <w:rPr>
                <w:rFonts w:eastAsia="Arial"/>
                <w:spacing w:val="-2"/>
              </w:rPr>
              <w:t>4</w:t>
            </w:r>
            <w:r>
              <w:rPr>
                <w:rFonts w:eastAsia="Arial"/>
                <w:spacing w:val="-1"/>
              </w:rPr>
              <w:t>5</w:t>
            </w:r>
            <w:r>
              <w:rPr>
                <w:rFonts w:eastAsia="Arial"/>
                <w:spacing w:val="-2"/>
              </w:rPr>
              <w:t>,</w:t>
            </w:r>
            <w:r>
              <w:rPr>
                <w:rFonts w:eastAsia="Arial"/>
                <w:spacing w:val="4"/>
              </w:rPr>
              <w:t>94</w:t>
            </w:r>
            <w:r>
              <w:rPr>
                <w:rFonts w:eastAsia="Arial"/>
              </w:rPr>
              <w:t>6</w:t>
            </w:r>
          </w:p>
        </w:tc>
      </w:tr>
      <w:tr w:rsidR="007F6037" w14:paraId="689F2954" w14:textId="77777777" w:rsidTr="00D16F9A">
        <w:trPr>
          <w:trHeight w:val="20"/>
        </w:trPr>
        <w:tc>
          <w:tcPr>
            <w:tcW w:w="1373" w:type="dxa"/>
            <w:tcBorders>
              <w:left w:val="nil"/>
              <w:bottom w:val="single" w:sz="32" w:space="0" w:color="FFFFFF"/>
              <w:right w:val="nil"/>
            </w:tcBorders>
          </w:tcPr>
          <w:p w14:paraId="1B525BAE" w14:textId="77777777" w:rsidR="007F6037" w:rsidRPr="00C12FFE" w:rsidRDefault="00C12FFE" w:rsidP="00C12FFE">
            <w:pPr>
              <w:pStyle w:val="TableTextLeft"/>
            </w:pPr>
            <w:r w:rsidRPr="00C12FFE">
              <w:rPr>
                <w:rFonts w:eastAsia="Arial"/>
              </w:rPr>
              <w:t>GST entitlement $m</w:t>
            </w:r>
            <w:r w:rsidRPr="00C12FFE">
              <w:rPr>
                <w:rFonts w:eastAsia="Arial"/>
                <w:vertAlign w:val="superscript"/>
              </w:rPr>
              <w:t>(b)</w:t>
            </w:r>
          </w:p>
        </w:tc>
        <w:tc>
          <w:tcPr>
            <w:tcW w:w="962" w:type="dxa"/>
            <w:tcBorders>
              <w:top w:val="single" w:sz="8" w:space="0" w:color="FFFFFF"/>
              <w:left w:val="nil"/>
              <w:bottom w:val="single" w:sz="32" w:space="0" w:color="FFFFFF"/>
              <w:right w:val="single" w:sz="8" w:space="0" w:color="FFFFFF"/>
            </w:tcBorders>
            <w:shd w:val="clear" w:color="auto" w:fill="E9EDEA"/>
            <w:vAlign w:val="bottom"/>
          </w:tcPr>
          <w:p w14:paraId="4193DBE8" w14:textId="77777777" w:rsidR="007F6037" w:rsidRDefault="00EE67DE" w:rsidP="00D16F9A">
            <w:pPr>
              <w:pStyle w:val="TableTextRight"/>
              <w:rPr>
                <w:rFonts w:eastAsia="Arial"/>
              </w:rPr>
            </w:pPr>
            <w:r>
              <w:rPr>
                <w:rFonts w:eastAsia="Arial"/>
                <w:spacing w:val="-8"/>
              </w:rPr>
              <w:t>1</w:t>
            </w:r>
            <w:r>
              <w:rPr>
                <w:rFonts w:eastAsia="Arial"/>
                <w:spacing w:val="1"/>
              </w:rPr>
              <w:t>8,</w:t>
            </w:r>
            <w:r>
              <w:rPr>
                <w:rFonts w:eastAsia="Arial"/>
                <w:spacing w:val="7"/>
              </w:rPr>
              <w:t>4</w:t>
            </w:r>
            <w:r>
              <w:rPr>
                <w:rFonts w:eastAsia="Arial"/>
                <w:spacing w:val="-2"/>
              </w:rPr>
              <w:t>4</w:t>
            </w:r>
            <w:r>
              <w:rPr>
                <w:rFonts w:eastAsia="Arial"/>
              </w:rPr>
              <w:t>2</w:t>
            </w:r>
          </w:p>
        </w:tc>
        <w:tc>
          <w:tcPr>
            <w:tcW w:w="962" w:type="dxa"/>
            <w:tcBorders>
              <w:top w:val="single" w:sz="8" w:space="0" w:color="FFFFFF"/>
              <w:left w:val="single" w:sz="8" w:space="0" w:color="FFFFFF"/>
              <w:bottom w:val="single" w:sz="32" w:space="0" w:color="FFFFFF"/>
              <w:right w:val="single" w:sz="8" w:space="0" w:color="FFFFFF"/>
            </w:tcBorders>
            <w:shd w:val="clear" w:color="auto" w:fill="D4DFD8"/>
            <w:vAlign w:val="bottom"/>
          </w:tcPr>
          <w:p w14:paraId="606827E0" w14:textId="77777777" w:rsidR="007F6037" w:rsidRDefault="00EE67DE" w:rsidP="00D16F9A">
            <w:pPr>
              <w:pStyle w:val="TableTextRight"/>
              <w:rPr>
                <w:rFonts w:eastAsia="Arial"/>
              </w:rPr>
            </w:pPr>
            <w:r>
              <w:rPr>
                <w:rFonts w:eastAsia="Arial"/>
                <w:spacing w:val="-11"/>
              </w:rPr>
              <w:t>1</w:t>
            </w:r>
            <w:r>
              <w:rPr>
                <w:rFonts w:eastAsia="Arial"/>
                <w:spacing w:val="-16"/>
              </w:rPr>
              <w:t>7</w:t>
            </w:r>
            <w:r>
              <w:rPr>
                <w:rFonts w:eastAsia="Arial"/>
                <w:spacing w:val="3"/>
              </w:rPr>
              <w:t>,</w:t>
            </w:r>
            <w:r>
              <w:rPr>
                <w:rFonts w:eastAsia="Arial"/>
                <w:spacing w:val="-4"/>
              </w:rPr>
              <w:t>2</w:t>
            </w:r>
            <w:r>
              <w:rPr>
                <w:rFonts w:eastAsia="Arial"/>
                <w:spacing w:val="-7"/>
              </w:rPr>
              <w:t>6</w:t>
            </w:r>
            <w:r>
              <w:rPr>
                <w:rFonts w:eastAsia="Arial"/>
              </w:rPr>
              <w:t>1</w:t>
            </w:r>
          </w:p>
        </w:tc>
        <w:tc>
          <w:tcPr>
            <w:tcW w:w="962" w:type="dxa"/>
            <w:tcBorders>
              <w:top w:val="single" w:sz="8" w:space="0" w:color="FFFFFF"/>
              <w:left w:val="single" w:sz="8" w:space="0" w:color="FFFFFF"/>
              <w:bottom w:val="single" w:sz="32" w:space="0" w:color="FFFFFF"/>
              <w:right w:val="single" w:sz="8" w:space="0" w:color="FFFFFF"/>
            </w:tcBorders>
            <w:shd w:val="clear" w:color="auto" w:fill="E9EDEA"/>
            <w:vAlign w:val="bottom"/>
          </w:tcPr>
          <w:p w14:paraId="16CE98FD" w14:textId="77777777" w:rsidR="007F6037" w:rsidRDefault="00EE67DE" w:rsidP="00D16F9A">
            <w:pPr>
              <w:pStyle w:val="TableTextRight"/>
              <w:rPr>
                <w:rFonts w:eastAsia="Arial"/>
              </w:rPr>
            </w:pPr>
            <w:r>
              <w:rPr>
                <w:rFonts w:eastAsia="Arial"/>
                <w:spacing w:val="-8"/>
              </w:rPr>
              <w:t>1</w:t>
            </w:r>
            <w:r>
              <w:rPr>
                <w:rFonts w:eastAsia="Arial"/>
              </w:rPr>
              <w:t>4</w:t>
            </w:r>
            <w:r>
              <w:rPr>
                <w:rFonts w:eastAsia="Arial"/>
                <w:spacing w:val="-4"/>
              </w:rPr>
              <w:t>,</w:t>
            </w:r>
            <w:r>
              <w:rPr>
                <w:rFonts w:eastAsia="Arial"/>
                <w:spacing w:val="-2"/>
              </w:rPr>
              <w:t>7</w:t>
            </w:r>
            <w:r>
              <w:rPr>
                <w:rFonts w:eastAsia="Arial"/>
                <w:spacing w:val="4"/>
              </w:rPr>
              <w:t>9</w:t>
            </w:r>
            <w:r>
              <w:rPr>
                <w:rFonts w:eastAsia="Arial"/>
              </w:rPr>
              <w:t>4</w:t>
            </w:r>
          </w:p>
        </w:tc>
        <w:tc>
          <w:tcPr>
            <w:tcW w:w="962" w:type="dxa"/>
            <w:tcBorders>
              <w:top w:val="single" w:sz="8" w:space="0" w:color="FFFFFF"/>
              <w:left w:val="single" w:sz="8" w:space="0" w:color="FFFFFF"/>
              <w:bottom w:val="single" w:sz="32" w:space="0" w:color="FFFFFF"/>
              <w:right w:val="single" w:sz="8" w:space="0" w:color="FFFFFF"/>
            </w:tcBorders>
            <w:shd w:val="clear" w:color="auto" w:fill="D4DFD8"/>
            <w:vAlign w:val="bottom"/>
          </w:tcPr>
          <w:p w14:paraId="0ECFE8DF" w14:textId="77777777" w:rsidR="007F6037" w:rsidRDefault="00EE67DE" w:rsidP="00D16F9A">
            <w:pPr>
              <w:pStyle w:val="TableTextRight"/>
              <w:rPr>
                <w:rFonts w:eastAsia="Arial"/>
              </w:rPr>
            </w:pPr>
            <w:r>
              <w:rPr>
                <w:rFonts w:eastAsia="Arial"/>
                <w:spacing w:val="-3"/>
              </w:rPr>
              <w:t>3</w:t>
            </w:r>
            <w:r>
              <w:rPr>
                <w:rFonts w:eastAsia="Arial"/>
                <w:spacing w:val="3"/>
              </w:rPr>
              <w:t>,</w:t>
            </w:r>
            <w:r>
              <w:rPr>
                <w:rFonts w:eastAsia="Arial"/>
                <w:spacing w:val="-5"/>
              </w:rPr>
              <w:t>3</w:t>
            </w:r>
            <w:r>
              <w:rPr>
                <w:rFonts w:eastAsia="Arial"/>
                <w:spacing w:val="-10"/>
              </w:rPr>
              <w:t>15</w:t>
            </w:r>
          </w:p>
        </w:tc>
        <w:tc>
          <w:tcPr>
            <w:tcW w:w="962" w:type="dxa"/>
            <w:tcBorders>
              <w:top w:val="single" w:sz="8" w:space="0" w:color="FFFFFF"/>
              <w:left w:val="single" w:sz="8" w:space="0" w:color="FFFFFF"/>
              <w:bottom w:val="single" w:sz="32" w:space="0" w:color="FFFFFF"/>
              <w:right w:val="single" w:sz="8" w:space="0" w:color="FFFFFF"/>
            </w:tcBorders>
            <w:shd w:val="clear" w:color="auto" w:fill="E9EDEA"/>
            <w:vAlign w:val="bottom"/>
          </w:tcPr>
          <w:p w14:paraId="59256703" w14:textId="77777777" w:rsidR="007F6037" w:rsidRDefault="00EE67DE" w:rsidP="00D16F9A">
            <w:pPr>
              <w:pStyle w:val="TableTextRight"/>
              <w:rPr>
                <w:rFonts w:eastAsia="Arial"/>
              </w:rPr>
            </w:pPr>
            <w:r>
              <w:rPr>
                <w:rFonts w:eastAsia="Arial"/>
              </w:rPr>
              <w:t>6</w:t>
            </w:r>
            <w:r>
              <w:rPr>
                <w:rFonts w:eastAsia="Arial"/>
                <w:spacing w:val="2"/>
              </w:rPr>
              <w:t>,</w:t>
            </w:r>
            <w:r>
              <w:rPr>
                <w:rFonts w:eastAsia="Arial"/>
                <w:spacing w:val="4"/>
              </w:rPr>
              <w:t>8</w:t>
            </w:r>
            <w:r>
              <w:rPr>
                <w:rFonts w:eastAsia="Arial"/>
              </w:rPr>
              <w:t>87</w:t>
            </w:r>
          </w:p>
        </w:tc>
        <w:tc>
          <w:tcPr>
            <w:tcW w:w="962" w:type="dxa"/>
            <w:tcBorders>
              <w:top w:val="single" w:sz="8" w:space="0" w:color="FFFFFF"/>
              <w:left w:val="single" w:sz="8" w:space="0" w:color="FFFFFF"/>
              <w:bottom w:val="single" w:sz="32" w:space="0" w:color="FFFFFF"/>
              <w:right w:val="single" w:sz="8" w:space="0" w:color="FFFFFF"/>
            </w:tcBorders>
            <w:shd w:val="clear" w:color="auto" w:fill="D4DFD8"/>
            <w:vAlign w:val="bottom"/>
          </w:tcPr>
          <w:p w14:paraId="0AEDBA2E" w14:textId="77777777" w:rsidR="007F6037" w:rsidRDefault="00EE67DE" w:rsidP="00D16F9A">
            <w:pPr>
              <w:pStyle w:val="TableTextRight"/>
              <w:rPr>
                <w:rFonts w:eastAsia="Arial"/>
              </w:rPr>
            </w:pPr>
            <w:r>
              <w:rPr>
                <w:rFonts w:eastAsia="Arial"/>
                <w:spacing w:val="-3"/>
              </w:rPr>
              <w:t>2</w:t>
            </w:r>
            <w:r>
              <w:rPr>
                <w:rFonts w:eastAsia="Arial"/>
                <w:spacing w:val="1"/>
              </w:rPr>
              <w:t>,</w:t>
            </w:r>
            <w:r>
              <w:rPr>
                <w:rFonts w:eastAsia="Arial"/>
                <w:spacing w:val="5"/>
              </w:rPr>
              <w:t>4</w:t>
            </w:r>
            <w:r>
              <w:rPr>
                <w:rFonts w:eastAsia="Arial"/>
                <w:spacing w:val="4"/>
              </w:rPr>
              <w:t>8</w:t>
            </w:r>
            <w:r>
              <w:rPr>
                <w:rFonts w:eastAsia="Arial"/>
              </w:rPr>
              <w:t>8</w:t>
            </w:r>
          </w:p>
        </w:tc>
        <w:tc>
          <w:tcPr>
            <w:tcW w:w="962" w:type="dxa"/>
            <w:tcBorders>
              <w:top w:val="single" w:sz="8" w:space="0" w:color="FFFFFF"/>
              <w:left w:val="single" w:sz="8" w:space="0" w:color="FFFFFF"/>
              <w:bottom w:val="single" w:sz="32" w:space="0" w:color="FFFFFF"/>
              <w:right w:val="single" w:sz="8" w:space="0" w:color="FFFFFF"/>
            </w:tcBorders>
            <w:shd w:val="clear" w:color="auto" w:fill="E9EDEA"/>
            <w:vAlign w:val="bottom"/>
          </w:tcPr>
          <w:p w14:paraId="5D0C3340" w14:textId="77777777" w:rsidR="007F6037" w:rsidRDefault="00EE67DE" w:rsidP="00D16F9A">
            <w:pPr>
              <w:pStyle w:val="TableTextRight"/>
              <w:rPr>
                <w:rFonts w:eastAsia="Arial"/>
              </w:rPr>
            </w:pPr>
            <w:r>
              <w:rPr>
                <w:rFonts w:eastAsia="Arial"/>
                <w:spacing w:val="-10"/>
              </w:rPr>
              <w:t>1</w:t>
            </w:r>
            <w:r>
              <w:rPr>
                <w:rFonts w:eastAsia="Arial"/>
                <w:spacing w:val="3"/>
              </w:rPr>
              <w:t>,</w:t>
            </w:r>
            <w:r>
              <w:rPr>
                <w:rFonts w:eastAsia="Arial"/>
                <w:spacing w:val="-3"/>
              </w:rPr>
              <w:t>3</w:t>
            </w:r>
            <w:r>
              <w:rPr>
                <w:rFonts w:eastAsia="Arial"/>
                <w:spacing w:val="-2"/>
              </w:rPr>
              <w:t>2</w:t>
            </w:r>
            <w:r>
              <w:rPr>
                <w:rFonts w:eastAsia="Arial"/>
              </w:rPr>
              <w:t>8</w:t>
            </w:r>
          </w:p>
        </w:tc>
        <w:tc>
          <w:tcPr>
            <w:tcW w:w="962" w:type="dxa"/>
            <w:tcBorders>
              <w:top w:val="single" w:sz="8" w:space="0" w:color="FFFFFF"/>
              <w:left w:val="single" w:sz="8" w:space="0" w:color="FFFFFF"/>
              <w:bottom w:val="single" w:sz="32" w:space="0" w:color="FFFFFF"/>
              <w:right w:val="nil"/>
            </w:tcBorders>
            <w:shd w:val="clear" w:color="auto" w:fill="D4DFD8"/>
            <w:vAlign w:val="bottom"/>
          </w:tcPr>
          <w:p w14:paraId="38171576" w14:textId="77777777" w:rsidR="007F6037" w:rsidRDefault="00EE67DE" w:rsidP="00D16F9A">
            <w:pPr>
              <w:pStyle w:val="TableTextRight"/>
              <w:rPr>
                <w:rFonts w:eastAsia="Arial"/>
              </w:rPr>
            </w:pPr>
            <w:r>
              <w:rPr>
                <w:rFonts w:eastAsia="Arial"/>
                <w:spacing w:val="-3"/>
              </w:rPr>
              <w:t>2</w:t>
            </w:r>
            <w:r>
              <w:rPr>
                <w:rFonts w:eastAsia="Arial"/>
                <w:spacing w:val="2"/>
              </w:rPr>
              <w:t>,</w:t>
            </w:r>
            <w:r>
              <w:rPr>
                <w:rFonts w:eastAsia="Arial"/>
                <w:spacing w:val="3"/>
              </w:rPr>
              <w:t>8</w:t>
            </w:r>
            <w:r>
              <w:rPr>
                <w:rFonts w:eastAsia="Arial"/>
              </w:rPr>
              <w:t>05</w:t>
            </w:r>
          </w:p>
        </w:tc>
      </w:tr>
      <w:tr w:rsidR="007F6037" w14:paraId="3B5A887A" w14:textId="77777777" w:rsidTr="00D16F9A">
        <w:trPr>
          <w:trHeight w:val="20"/>
        </w:trPr>
        <w:tc>
          <w:tcPr>
            <w:tcW w:w="1373" w:type="dxa"/>
            <w:tcBorders>
              <w:top w:val="single" w:sz="32" w:space="0" w:color="FFFFFF"/>
              <w:left w:val="nil"/>
              <w:bottom w:val="nil"/>
              <w:right w:val="nil"/>
            </w:tcBorders>
          </w:tcPr>
          <w:p w14:paraId="3D017713" w14:textId="77777777" w:rsidR="007F6037" w:rsidRPr="00C12FFE" w:rsidRDefault="00EE67DE" w:rsidP="00C12FFE">
            <w:pPr>
              <w:pStyle w:val="TableTextLeft"/>
              <w:rPr>
                <w:rFonts w:eastAsia="Arial"/>
              </w:rPr>
            </w:pPr>
            <w:r w:rsidRPr="00C12FFE">
              <w:rPr>
                <w:rFonts w:eastAsia="Arial"/>
              </w:rPr>
              <w:t>Average relativity since 2000</w:t>
            </w:r>
            <w:r w:rsidRPr="00C12FFE">
              <w:rPr>
                <w:rFonts w:eastAsia="Arial"/>
                <w:vertAlign w:val="superscript"/>
              </w:rPr>
              <w:t>(d)</w:t>
            </w:r>
          </w:p>
        </w:tc>
        <w:tc>
          <w:tcPr>
            <w:tcW w:w="962" w:type="dxa"/>
            <w:tcBorders>
              <w:top w:val="single" w:sz="32" w:space="0" w:color="FFFFFF"/>
              <w:left w:val="nil"/>
              <w:bottom w:val="nil"/>
              <w:right w:val="single" w:sz="8" w:space="0" w:color="FFFFFF"/>
            </w:tcBorders>
            <w:shd w:val="clear" w:color="auto" w:fill="F9EAE6"/>
            <w:vAlign w:val="bottom"/>
          </w:tcPr>
          <w:p w14:paraId="7C41DB88" w14:textId="77777777" w:rsidR="007F6037" w:rsidRDefault="00EE67DE" w:rsidP="00D16F9A">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spacing w:val="-4"/>
              </w:rPr>
              <w:t>0</w:t>
            </w:r>
            <w:r>
              <w:rPr>
                <w:rFonts w:eastAsia="Arial"/>
                <w:spacing w:val="-11"/>
              </w:rPr>
              <w:t>1</w:t>
            </w:r>
            <w:r>
              <w:rPr>
                <w:rFonts w:eastAsia="Arial"/>
                <w:spacing w:val="-4"/>
              </w:rPr>
              <w:t>2</w:t>
            </w:r>
            <w:r>
              <w:rPr>
                <w:rFonts w:eastAsia="Arial"/>
              </w:rPr>
              <w:t>6</w:t>
            </w:r>
          </w:p>
        </w:tc>
        <w:tc>
          <w:tcPr>
            <w:tcW w:w="962" w:type="dxa"/>
            <w:tcBorders>
              <w:top w:val="single" w:sz="32" w:space="0" w:color="FFFFFF"/>
              <w:left w:val="single" w:sz="8" w:space="0" w:color="FFFFFF"/>
              <w:bottom w:val="nil"/>
              <w:right w:val="single" w:sz="8" w:space="0" w:color="FFFFFF"/>
            </w:tcBorders>
            <w:shd w:val="clear" w:color="auto" w:fill="F4D9D2"/>
            <w:vAlign w:val="bottom"/>
          </w:tcPr>
          <w:p w14:paraId="058FE320" w14:textId="77777777" w:rsidR="007F6037" w:rsidRDefault="00EE67DE" w:rsidP="00D16F9A">
            <w:pPr>
              <w:pStyle w:val="TableTextRight"/>
              <w:rPr>
                <w:rFonts w:eastAsia="Arial"/>
              </w:rPr>
            </w:pPr>
            <w:r>
              <w:rPr>
                <w:rFonts w:eastAsia="Arial"/>
                <w:spacing w:val="-1"/>
              </w:rPr>
              <w:t>0</w:t>
            </w:r>
            <w:r>
              <w:rPr>
                <w:rFonts w:eastAsia="Arial"/>
                <w:spacing w:val="2"/>
              </w:rPr>
              <w:t>.</w:t>
            </w:r>
            <w:r>
              <w:rPr>
                <w:rFonts w:eastAsia="Arial"/>
                <w:spacing w:val="1"/>
              </w:rPr>
              <w:t>8</w:t>
            </w:r>
            <w:r>
              <w:rPr>
                <w:rFonts w:eastAsia="Arial"/>
                <w:spacing w:val="-3"/>
              </w:rPr>
              <w:t>9</w:t>
            </w:r>
            <w:r>
              <w:rPr>
                <w:rFonts w:eastAsia="Arial"/>
                <w:spacing w:val="-7"/>
              </w:rPr>
              <w:t>1</w:t>
            </w:r>
            <w:r>
              <w:rPr>
                <w:rFonts w:eastAsia="Arial"/>
                <w:spacing w:val="-1"/>
              </w:rPr>
              <w:t>0</w:t>
            </w:r>
            <w:r>
              <w:rPr>
                <w:rFonts w:eastAsia="Arial"/>
              </w:rPr>
              <w:t>3</w:t>
            </w:r>
          </w:p>
        </w:tc>
        <w:tc>
          <w:tcPr>
            <w:tcW w:w="962" w:type="dxa"/>
            <w:tcBorders>
              <w:top w:val="single" w:sz="32" w:space="0" w:color="FFFFFF"/>
              <w:left w:val="single" w:sz="8" w:space="0" w:color="FFFFFF"/>
              <w:bottom w:val="nil"/>
              <w:right w:val="single" w:sz="8" w:space="0" w:color="FFFFFF"/>
            </w:tcBorders>
            <w:shd w:val="clear" w:color="auto" w:fill="F9EAE6"/>
            <w:vAlign w:val="bottom"/>
          </w:tcPr>
          <w:p w14:paraId="7C08F9B2" w14:textId="77777777" w:rsidR="007F6037" w:rsidRDefault="00EE67DE" w:rsidP="00D16F9A">
            <w:pPr>
              <w:pStyle w:val="TableTextRight"/>
              <w:rPr>
                <w:rFonts w:eastAsia="Arial"/>
              </w:rPr>
            </w:pPr>
            <w:r>
              <w:rPr>
                <w:rFonts w:eastAsia="Arial"/>
                <w:spacing w:val="-9"/>
              </w:rPr>
              <w:t>1</w:t>
            </w:r>
            <w:r>
              <w:rPr>
                <w:rFonts w:eastAsia="Arial"/>
                <w:spacing w:val="-1"/>
              </w:rPr>
              <w:t>.0</w:t>
            </w:r>
            <w:r>
              <w:rPr>
                <w:rFonts w:eastAsia="Arial"/>
                <w:spacing w:val="-3"/>
              </w:rPr>
              <w:t>3</w:t>
            </w:r>
            <w:r>
              <w:rPr>
                <w:rFonts w:eastAsia="Arial"/>
                <w:spacing w:val="2"/>
              </w:rPr>
              <w:t>5</w:t>
            </w:r>
            <w:r>
              <w:rPr>
                <w:rFonts w:eastAsia="Arial"/>
                <w:spacing w:val="-2"/>
              </w:rPr>
              <w:t>0</w:t>
            </w:r>
            <w:r>
              <w:rPr>
                <w:rFonts w:eastAsia="Arial"/>
              </w:rPr>
              <w:t>2</w:t>
            </w:r>
          </w:p>
        </w:tc>
        <w:tc>
          <w:tcPr>
            <w:tcW w:w="962" w:type="dxa"/>
            <w:tcBorders>
              <w:top w:val="single" w:sz="32" w:space="0" w:color="FFFFFF"/>
              <w:left w:val="single" w:sz="8" w:space="0" w:color="FFFFFF"/>
              <w:bottom w:val="nil"/>
              <w:right w:val="single" w:sz="8" w:space="0" w:color="FFFFFF"/>
            </w:tcBorders>
            <w:shd w:val="clear" w:color="auto" w:fill="F4D9D2"/>
            <w:vAlign w:val="bottom"/>
          </w:tcPr>
          <w:p w14:paraId="7F600EE8" w14:textId="77777777" w:rsidR="007F6037" w:rsidRDefault="00EE67DE" w:rsidP="00D16F9A">
            <w:pPr>
              <w:pStyle w:val="TableTextRight"/>
              <w:rPr>
                <w:rFonts w:eastAsia="Arial"/>
              </w:rPr>
            </w:pPr>
            <w:r>
              <w:rPr>
                <w:rFonts w:eastAsia="Arial"/>
                <w:spacing w:val="-1"/>
              </w:rPr>
              <w:t>0</w:t>
            </w:r>
            <w:r>
              <w:rPr>
                <w:rFonts w:eastAsia="Arial"/>
                <w:spacing w:val="-4"/>
              </w:rPr>
              <w:t>.</w:t>
            </w:r>
            <w:r>
              <w:rPr>
                <w:rFonts w:eastAsia="Arial"/>
                <w:spacing w:val="-1"/>
              </w:rPr>
              <w:t>7</w:t>
            </w:r>
            <w:r>
              <w:rPr>
                <w:rFonts w:eastAsia="Arial"/>
                <w:spacing w:val="1"/>
              </w:rPr>
              <w:t>2</w:t>
            </w:r>
            <w:r>
              <w:rPr>
                <w:rFonts w:eastAsia="Arial"/>
                <w:spacing w:val="-1"/>
              </w:rPr>
              <w:t>3</w:t>
            </w:r>
            <w:r>
              <w:rPr>
                <w:rFonts w:eastAsia="Arial"/>
              </w:rPr>
              <w:t>95</w:t>
            </w:r>
          </w:p>
        </w:tc>
        <w:tc>
          <w:tcPr>
            <w:tcW w:w="962" w:type="dxa"/>
            <w:tcBorders>
              <w:top w:val="single" w:sz="32" w:space="0" w:color="FFFFFF"/>
              <w:left w:val="single" w:sz="8" w:space="0" w:color="FFFFFF"/>
              <w:bottom w:val="nil"/>
              <w:right w:val="single" w:sz="8" w:space="0" w:color="FFFFFF"/>
            </w:tcBorders>
            <w:shd w:val="clear" w:color="auto" w:fill="F9EAE6"/>
            <w:vAlign w:val="bottom"/>
          </w:tcPr>
          <w:p w14:paraId="2328D40B" w14:textId="77777777" w:rsidR="007F6037" w:rsidRDefault="00EE67DE" w:rsidP="00D16F9A">
            <w:pPr>
              <w:pStyle w:val="TableTextRight"/>
              <w:rPr>
                <w:rFonts w:eastAsia="Arial"/>
              </w:rPr>
            </w:pPr>
            <w:r>
              <w:rPr>
                <w:rFonts w:eastAsia="Arial"/>
                <w:spacing w:val="-9"/>
              </w:rPr>
              <w:t>1</w:t>
            </w:r>
            <w:r>
              <w:rPr>
                <w:rFonts w:eastAsia="Arial"/>
                <w:spacing w:val="3"/>
              </w:rPr>
              <w:t>.</w:t>
            </w:r>
            <w:r>
              <w:rPr>
                <w:rFonts w:eastAsia="Arial"/>
                <w:spacing w:val="-2"/>
              </w:rPr>
              <w:t>2</w:t>
            </w:r>
            <w:r>
              <w:rPr>
                <w:rFonts w:eastAsia="Arial"/>
                <w:spacing w:val="3"/>
              </w:rPr>
              <w:t>8</w:t>
            </w:r>
            <w:r>
              <w:rPr>
                <w:rFonts w:eastAsia="Arial"/>
                <w:spacing w:val="4"/>
              </w:rPr>
              <w:t>00</w:t>
            </w:r>
            <w:r>
              <w:rPr>
                <w:rFonts w:eastAsia="Arial"/>
              </w:rPr>
              <w:t>4</w:t>
            </w:r>
          </w:p>
        </w:tc>
        <w:tc>
          <w:tcPr>
            <w:tcW w:w="962" w:type="dxa"/>
            <w:tcBorders>
              <w:top w:val="single" w:sz="32" w:space="0" w:color="FFFFFF"/>
              <w:left w:val="single" w:sz="8" w:space="0" w:color="FFFFFF"/>
              <w:bottom w:val="nil"/>
              <w:right w:val="single" w:sz="8" w:space="0" w:color="FFFFFF"/>
            </w:tcBorders>
            <w:shd w:val="clear" w:color="auto" w:fill="F4D9D2"/>
            <w:vAlign w:val="bottom"/>
          </w:tcPr>
          <w:p w14:paraId="705B63EA" w14:textId="77777777" w:rsidR="007F6037" w:rsidRDefault="00EE67DE" w:rsidP="00D16F9A">
            <w:pPr>
              <w:pStyle w:val="TableTextRight"/>
              <w:rPr>
                <w:rFonts w:eastAsia="Arial"/>
              </w:rPr>
            </w:pPr>
            <w:r>
              <w:rPr>
                <w:rFonts w:eastAsia="Arial"/>
                <w:spacing w:val="-9"/>
              </w:rPr>
              <w:t>1</w:t>
            </w:r>
            <w:r>
              <w:rPr>
                <w:rFonts w:eastAsia="Arial"/>
                <w:spacing w:val="-1"/>
              </w:rPr>
              <w:t>.</w:t>
            </w:r>
            <w:r>
              <w:rPr>
                <w:rFonts w:eastAsia="Arial"/>
                <w:spacing w:val="4"/>
              </w:rPr>
              <w:t>6</w:t>
            </w:r>
            <w:r>
              <w:rPr>
                <w:rFonts w:eastAsia="Arial"/>
                <w:spacing w:val="-3"/>
              </w:rPr>
              <w:t>8</w:t>
            </w:r>
            <w:r>
              <w:rPr>
                <w:rFonts w:eastAsia="Arial"/>
                <w:spacing w:val="-11"/>
              </w:rPr>
              <w:t>1</w:t>
            </w:r>
            <w:r>
              <w:rPr>
                <w:rFonts w:eastAsia="Arial"/>
                <w:spacing w:val="-3"/>
              </w:rPr>
              <w:t>7</w:t>
            </w:r>
            <w:r>
              <w:rPr>
                <w:rFonts w:eastAsia="Arial"/>
              </w:rPr>
              <w:t>5</w:t>
            </w:r>
          </w:p>
        </w:tc>
        <w:tc>
          <w:tcPr>
            <w:tcW w:w="962" w:type="dxa"/>
            <w:tcBorders>
              <w:top w:val="single" w:sz="32" w:space="0" w:color="FFFFFF"/>
              <w:left w:val="single" w:sz="8" w:space="0" w:color="FFFFFF"/>
              <w:bottom w:val="nil"/>
              <w:right w:val="single" w:sz="8" w:space="0" w:color="FFFFFF"/>
            </w:tcBorders>
            <w:shd w:val="clear" w:color="auto" w:fill="F9EAE6"/>
            <w:vAlign w:val="bottom"/>
          </w:tcPr>
          <w:p w14:paraId="7D14F181" w14:textId="77777777" w:rsidR="007F6037" w:rsidRDefault="00EE67DE" w:rsidP="00D16F9A">
            <w:pPr>
              <w:pStyle w:val="TableTextRight"/>
              <w:rPr>
                <w:rFonts w:eastAsia="Arial"/>
              </w:rPr>
            </w:pPr>
            <w:r>
              <w:rPr>
                <w:rFonts w:eastAsia="Arial"/>
                <w:spacing w:val="-9"/>
              </w:rPr>
              <w:t>1</w:t>
            </w:r>
            <w:r>
              <w:rPr>
                <w:rFonts w:eastAsia="Arial"/>
                <w:spacing w:val="3"/>
              </w:rPr>
              <w:t>.</w:t>
            </w:r>
            <w:r>
              <w:rPr>
                <w:rFonts w:eastAsia="Arial"/>
                <w:spacing w:val="-2"/>
              </w:rPr>
              <w:t>20</w:t>
            </w:r>
            <w:r>
              <w:rPr>
                <w:rFonts w:eastAsia="Arial"/>
              </w:rPr>
              <w:t>2</w:t>
            </w:r>
            <w:r>
              <w:rPr>
                <w:rFonts w:eastAsia="Arial"/>
                <w:spacing w:val="-6"/>
              </w:rPr>
              <w:t>2</w:t>
            </w:r>
            <w:r>
              <w:rPr>
                <w:rFonts w:eastAsia="Arial"/>
              </w:rPr>
              <w:t>1</w:t>
            </w:r>
          </w:p>
        </w:tc>
        <w:tc>
          <w:tcPr>
            <w:tcW w:w="962" w:type="dxa"/>
            <w:tcBorders>
              <w:top w:val="single" w:sz="32" w:space="0" w:color="FFFFFF"/>
              <w:left w:val="single" w:sz="8" w:space="0" w:color="FFFFFF"/>
              <w:bottom w:val="nil"/>
              <w:right w:val="nil"/>
            </w:tcBorders>
            <w:shd w:val="clear" w:color="auto" w:fill="F4D9D2"/>
            <w:vAlign w:val="bottom"/>
          </w:tcPr>
          <w:p w14:paraId="2781D87A" w14:textId="77777777" w:rsidR="007F6037" w:rsidRDefault="00EE67DE" w:rsidP="00D16F9A">
            <w:pPr>
              <w:pStyle w:val="TableTextRight"/>
              <w:rPr>
                <w:rFonts w:eastAsia="Arial"/>
              </w:rPr>
            </w:pPr>
            <w:r>
              <w:rPr>
                <w:rFonts w:eastAsia="Arial"/>
              </w:rPr>
              <w:t>5</w:t>
            </w:r>
            <w:r>
              <w:rPr>
                <w:rFonts w:eastAsia="Arial"/>
                <w:spacing w:val="-1"/>
              </w:rPr>
              <w:t>.</w:t>
            </w:r>
            <w:r>
              <w:rPr>
                <w:rFonts w:eastAsia="Arial"/>
                <w:spacing w:val="2"/>
              </w:rPr>
              <w:t>0</w:t>
            </w:r>
            <w:r>
              <w:rPr>
                <w:rFonts w:eastAsia="Arial"/>
                <w:spacing w:val="-2"/>
              </w:rPr>
              <w:t>9</w:t>
            </w:r>
            <w:r>
              <w:rPr>
                <w:rFonts w:eastAsia="Arial"/>
                <w:spacing w:val="-6"/>
              </w:rPr>
              <w:t>7</w:t>
            </w:r>
            <w:r>
              <w:rPr>
                <w:rFonts w:eastAsia="Arial"/>
                <w:spacing w:val="-10"/>
              </w:rPr>
              <w:t>15</w:t>
            </w:r>
          </w:p>
        </w:tc>
      </w:tr>
    </w:tbl>
    <w:p w14:paraId="1B328717" w14:textId="77777777" w:rsidR="00C12FFE" w:rsidRPr="00C12FFE" w:rsidRDefault="00EE67DE" w:rsidP="00D16F9A">
      <w:pPr>
        <w:pStyle w:val="ChartandTableFootnoteAlpha"/>
        <w:spacing w:before="120"/>
        <w:rPr>
          <w:rFonts w:eastAsia="Arial"/>
        </w:rPr>
      </w:pPr>
      <w:r w:rsidRPr="00C12FFE">
        <w:rPr>
          <w:rFonts w:eastAsia="Arial"/>
        </w:rPr>
        <w:t>As at 31 December 2017. Source: Australian Demographic Statistics, Dec 2017 (ABS Cat. No. 3101.0).</w:t>
      </w:r>
    </w:p>
    <w:p w14:paraId="7C753DDE" w14:textId="77777777" w:rsidR="007F6037" w:rsidRPr="00C12FFE" w:rsidRDefault="00EE67DE" w:rsidP="00C12FFE">
      <w:pPr>
        <w:pStyle w:val="ChartandTableFootnoteAlpha"/>
        <w:rPr>
          <w:rFonts w:eastAsia="Arial"/>
        </w:rPr>
      </w:pPr>
      <w:r w:rsidRPr="00C12FFE">
        <w:rPr>
          <w:rFonts w:eastAsia="Arial"/>
        </w:rPr>
        <w:t>Estimate. Based on GST pool forecasts as presented in the Commonwealth’s 2018-19 Budget.</w:t>
      </w:r>
    </w:p>
    <w:p w14:paraId="38D3568C" w14:textId="77777777" w:rsidR="00C12FFE" w:rsidRPr="00C12FFE" w:rsidRDefault="00EE67DE" w:rsidP="00C12FFE">
      <w:pPr>
        <w:pStyle w:val="ChartandTableFootnoteAlpha"/>
        <w:rPr>
          <w:rFonts w:eastAsia="Arial"/>
        </w:rPr>
      </w:pPr>
      <w:r w:rsidRPr="00C12FFE">
        <w:rPr>
          <w:rFonts w:eastAsia="Arial"/>
        </w:rPr>
        <w:t xml:space="preserve">Estimate as at 31 December 2018. Based on State population forecasts as presented in the Commonwealth’s 2018-19 Budget. </w:t>
      </w:r>
    </w:p>
    <w:p w14:paraId="1EAC1E17" w14:textId="77777777" w:rsidR="007F6037" w:rsidRPr="00C12FFE" w:rsidRDefault="00EE67DE" w:rsidP="00D06212">
      <w:pPr>
        <w:pStyle w:val="ChartandTableFootnoteAlpha"/>
        <w:rPr>
          <w:rFonts w:eastAsia="Arial"/>
        </w:rPr>
      </w:pPr>
      <w:r w:rsidRPr="00C12FFE">
        <w:rPr>
          <w:rFonts w:eastAsia="Arial"/>
        </w:rPr>
        <w:t>Average from 2000-01 to 2018-19. Relativities prior to 2009-10 reflect the CGC’s calculation of a pool comprising of GST only</w:t>
      </w:r>
      <w:r w:rsidR="00C12FFE" w:rsidRPr="00C12FFE">
        <w:rPr>
          <w:rFonts w:eastAsia="Arial"/>
        </w:rPr>
        <w:t xml:space="preserve"> </w:t>
      </w:r>
      <w:r w:rsidRPr="00C12FFE">
        <w:rPr>
          <w:rFonts w:eastAsia="Arial"/>
        </w:rPr>
        <w:t>(relativities previously recommended by the CGC were based on a pool comprising of both GST and health care grants).</w:t>
      </w:r>
    </w:p>
    <w:p w14:paraId="611941CC" w14:textId="77777777" w:rsidR="007F6037" w:rsidRPr="00D16F9A" w:rsidRDefault="00EE67DE" w:rsidP="00D16F9A">
      <w:pPr>
        <w:rPr>
          <w:rFonts w:eastAsia="Arial"/>
        </w:rPr>
      </w:pPr>
      <w:r w:rsidRPr="00D16F9A">
        <w:rPr>
          <w:rFonts w:eastAsia="Arial"/>
        </w:rPr>
        <w:t>The Commonwealth will provide an estimated $126.8 billion to the States in</w:t>
      </w:r>
      <w:r w:rsidR="00D16F9A" w:rsidRPr="00D16F9A">
        <w:rPr>
          <w:rFonts w:eastAsia="Arial"/>
        </w:rPr>
        <w:t xml:space="preserve"> </w:t>
      </w:r>
      <w:r w:rsidRPr="00D16F9A">
        <w:rPr>
          <w:rFonts w:eastAsia="Arial"/>
        </w:rPr>
        <w:t>2018-19, supporting approximately half of all their revenues. The majority of this funding will come from untied GST payments ($67.3 billion), which States can spend at</w:t>
      </w:r>
      <w:r w:rsidR="00D16F9A" w:rsidRPr="00D16F9A">
        <w:rPr>
          <w:rFonts w:eastAsia="Arial"/>
        </w:rPr>
        <w:t xml:space="preserve"> </w:t>
      </w:r>
      <w:r w:rsidRPr="00D16F9A">
        <w:rPr>
          <w:rFonts w:eastAsia="Arial"/>
        </w:rPr>
        <w:t>their discretion.</w:t>
      </w:r>
    </w:p>
    <w:p w14:paraId="20FE0FEB" w14:textId="77777777" w:rsidR="007F6037" w:rsidRPr="00D16F9A" w:rsidRDefault="00EE67DE" w:rsidP="00D16F9A">
      <w:pPr>
        <w:rPr>
          <w:rFonts w:eastAsia="Arial"/>
        </w:rPr>
      </w:pPr>
      <w:r w:rsidRPr="00D16F9A">
        <w:rPr>
          <w:rFonts w:eastAsia="Arial"/>
        </w:rPr>
        <w:t>The remaining Commonwealth funding to the States will come mainly through $58.6 billion in payments for specific policy areas such as schools, hospitals, housing and infrastructure.</w:t>
      </w:r>
    </w:p>
    <w:p w14:paraId="4DB577EC" w14:textId="77777777" w:rsidR="007F6037" w:rsidRDefault="00EE67DE" w:rsidP="00D16F9A">
      <w:pPr>
        <w:pStyle w:val="ChartMainHeading"/>
        <w:rPr>
          <w:rFonts w:eastAsia="Arial"/>
        </w:rPr>
      </w:pPr>
      <w:r w:rsidRPr="00D16F9A">
        <w:rPr>
          <w:rFonts w:eastAsia="Arial"/>
        </w:rPr>
        <w:lastRenderedPageBreak/>
        <w:t>Figure 1: State own-source revenue, GST and other payments from the Commonwealth as a proportion of total State revenue, 2018-19</w:t>
      </w:r>
    </w:p>
    <w:p w14:paraId="45C67280" w14:textId="77777777" w:rsidR="00D16F9A" w:rsidRPr="00D16F9A" w:rsidRDefault="00833DBC" w:rsidP="00D16F9A">
      <w:pPr>
        <w:pStyle w:val="ChartGraphic"/>
        <w:rPr>
          <w:rFonts w:eastAsia="Arial"/>
        </w:rPr>
      </w:pPr>
      <w:r>
        <w:rPr>
          <w:rFonts w:eastAsia="Arial"/>
          <w:noProof/>
        </w:rPr>
        <w:drawing>
          <wp:inline distT="0" distB="0" distL="0" distR="0" wp14:anchorId="7E2277E8" wp14:editId="0B5EF5E5">
            <wp:extent cx="4938188" cy="2889754"/>
            <wp:effectExtent l="0" t="0" r="0" b="6350"/>
            <wp:docPr id="305" name="Picture 305" descr="This chart shows the proportion of each State’s revenue in 2018-19 that is expected to be derived from GST payments, other payments from the Commonwealth, and own-source revenues. Of note, it shows that WA derives the majority of its revenues from own-sources, while the NT derives half of its revenues from GST payments." title="Figure 1: State own-source revenue, GST and other payments from the Commonwealth as a proportion of total State revenu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dollar pool state rev chart.png"/>
                    <pic:cNvPicPr/>
                  </pic:nvPicPr>
                  <pic:blipFill>
                    <a:blip r:embed="rId25">
                      <a:extLst>
                        <a:ext uri="{28A0092B-C50C-407E-A947-70E740481C1C}">
                          <a14:useLocalDpi xmlns:a14="http://schemas.microsoft.com/office/drawing/2010/main" val="0"/>
                        </a:ext>
                      </a:extLst>
                    </a:blip>
                    <a:stretch>
                      <a:fillRect/>
                    </a:stretch>
                  </pic:blipFill>
                  <pic:spPr>
                    <a:xfrm>
                      <a:off x="0" y="0"/>
                      <a:ext cx="4938188" cy="2889754"/>
                    </a:xfrm>
                    <a:prstGeom prst="rect">
                      <a:avLst/>
                    </a:prstGeom>
                  </pic:spPr>
                </pic:pic>
              </a:graphicData>
            </a:graphic>
          </wp:inline>
        </w:drawing>
      </w:r>
    </w:p>
    <w:p w14:paraId="69236334" w14:textId="77777777" w:rsidR="007F6037" w:rsidRPr="00D16F9A" w:rsidRDefault="00EE67DE" w:rsidP="00D16F9A">
      <w:pPr>
        <w:pStyle w:val="ChartorTableNote"/>
        <w:rPr>
          <w:rFonts w:eastAsia="Arial"/>
        </w:rPr>
      </w:pPr>
      <w:r w:rsidRPr="00D16F9A">
        <w:rPr>
          <w:rFonts w:eastAsia="Arial"/>
        </w:rPr>
        <w:t>Totals may not sum due to rounding.</w:t>
      </w:r>
    </w:p>
    <w:p w14:paraId="0DA19F68" w14:textId="77777777" w:rsidR="007F6037" w:rsidRPr="00D16F9A" w:rsidRDefault="00EE67DE" w:rsidP="00D06212">
      <w:pPr>
        <w:pStyle w:val="ChartorTableNote"/>
        <w:rPr>
          <w:rFonts w:eastAsia="Arial"/>
        </w:rPr>
      </w:pPr>
      <w:r w:rsidRPr="00D16F9A">
        <w:rPr>
          <w:rFonts w:eastAsia="Arial"/>
        </w:rPr>
        <w:t xml:space="preserve">Source: Total State revenue figures are sourced from the States’ 2018-19 Budgets, with the exception of SA, which is sourced </w:t>
      </w:r>
      <w:proofErr w:type="gramStart"/>
      <w:r w:rsidRPr="00D16F9A">
        <w:rPr>
          <w:rFonts w:eastAsia="Arial"/>
        </w:rPr>
        <w:t>from its 2017-18 Mid-Year Budget Review</w:t>
      </w:r>
      <w:proofErr w:type="gramEnd"/>
      <w:r w:rsidRPr="00D16F9A">
        <w:rPr>
          <w:rFonts w:eastAsia="Arial"/>
        </w:rPr>
        <w:t>. Payments from the Commonwealth figures are sourced from the Commonwealth’s</w:t>
      </w:r>
      <w:r w:rsidR="00D16F9A" w:rsidRPr="00D16F9A">
        <w:rPr>
          <w:rFonts w:eastAsia="Arial"/>
        </w:rPr>
        <w:t xml:space="preserve"> </w:t>
      </w:r>
      <w:r w:rsidRPr="00D16F9A">
        <w:rPr>
          <w:rFonts w:eastAsia="Arial"/>
        </w:rPr>
        <w:t xml:space="preserve">2018-19 </w:t>
      </w:r>
      <w:proofErr w:type="gramStart"/>
      <w:r w:rsidRPr="00D16F9A">
        <w:rPr>
          <w:rFonts w:eastAsia="Arial"/>
        </w:rPr>
        <w:t>Budget</w:t>
      </w:r>
      <w:proofErr w:type="gramEnd"/>
      <w:r w:rsidRPr="00D16F9A">
        <w:rPr>
          <w:rFonts w:eastAsia="Arial"/>
        </w:rPr>
        <w:t>.</w:t>
      </w:r>
    </w:p>
    <w:p w14:paraId="4CB02657" w14:textId="77777777" w:rsidR="007F6037" w:rsidRPr="00D16F9A" w:rsidRDefault="00EE67DE" w:rsidP="00D16F9A">
      <w:pPr>
        <w:rPr>
          <w:rFonts w:eastAsia="Arial"/>
        </w:rPr>
      </w:pPr>
      <w:r w:rsidRPr="00D16F9A">
        <w:rPr>
          <w:rFonts w:eastAsia="Arial"/>
        </w:rPr>
        <w:t>The size of the overall GST pool has grown from $24.4 billion when the GST was introduced to $67.3</w:t>
      </w:r>
      <w:r w:rsidR="00B216DF">
        <w:rPr>
          <w:rFonts w:eastAsia="Arial"/>
        </w:rPr>
        <w:t> </w:t>
      </w:r>
      <w:r w:rsidRPr="00D16F9A">
        <w:rPr>
          <w:rFonts w:eastAsia="Arial"/>
        </w:rPr>
        <w:t>billion today, an increase of 175.8 per cent. It is projected to grow by a further $43.8 billion or 65</w:t>
      </w:r>
      <w:r w:rsidR="00B216DF">
        <w:rPr>
          <w:rFonts w:eastAsia="Arial"/>
        </w:rPr>
        <w:t> </w:t>
      </w:r>
      <w:r w:rsidRPr="00D16F9A">
        <w:rPr>
          <w:rFonts w:eastAsia="Arial"/>
        </w:rPr>
        <w:t>per cent over the next decade.</w:t>
      </w:r>
    </w:p>
    <w:p w14:paraId="1CBBB831" w14:textId="77777777" w:rsidR="007F6037" w:rsidRPr="00D16F9A" w:rsidRDefault="00EE67DE" w:rsidP="00D16F9A">
      <w:pPr>
        <w:rPr>
          <w:rFonts w:eastAsia="Arial"/>
        </w:rPr>
      </w:pPr>
      <w:r w:rsidRPr="00D16F9A">
        <w:rPr>
          <w:rFonts w:eastAsia="Arial"/>
          <w:b/>
        </w:rPr>
        <w:t>A strong, growing economy into the future ensures that the GST pool will continue to grow</w:t>
      </w:r>
      <w:r w:rsidRPr="00D16F9A">
        <w:rPr>
          <w:rFonts w:eastAsia="Arial"/>
        </w:rPr>
        <w:t>. This is another reason why it is so important to pursue policies that grow our national economy, which was again the focus of this year’s Budget.</w:t>
      </w:r>
    </w:p>
    <w:p w14:paraId="6895E872" w14:textId="77777777" w:rsidR="007F6037" w:rsidRPr="00D16F9A" w:rsidRDefault="00EE67DE" w:rsidP="00D16F9A">
      <w:pPr>
        <w:rPr>
          <w:rFonts w:eastAsia="Arial"/>
        </w:rPr>
      </w:pPr>
      <w:r w:rsidRPr="00D16F9A">
        <w:rPr>
          <w:rFonts w:eastAsia="Arial"/>
        </w:rPr>
        <w:t>The biggest risk to GST distributions in the future is a weaker economy. A growing economy ensures that even if States experience a fall in their GST shares as a result of the</w:t>
      </w:r>
      <w:r w:rsidR="00D16F9A" w:rsidRPr="00D16F9A">
        <w:rPr>
          <w:rFonts w:eastAsia="Arial"/>
        </w:rPr>
        <w:t xml:space="preserve"> </w:t>
      </w:r>
      <w:r w:rsidRPr="00D16F9A">
        <w:rPr>
          <w:rFonts w:eastAsia="Arial"/>
        </w:rPr>
        <w:t>CGC’s distribution formula, their nominal distribution can increase because of the larger GST pool generated by a stronger economy.</w:t>
      </w:r>
    </w:p>
    <w:p w14:paraId="5A03438A" w14:textId="77777777" w:rsidR="007F6037" w:rsidRPr="00D16F9A" w:rsidRDefault="00EE67DE" w:rsidP="00D16F9A">
      <w:pPr>
        <w:rPr>
          <w:rFonts w:eastAsia="Arial"/>
        </w:rPr>
      </w:pPr>
      <w:r w:rsidRPr="00D16F9A">
        <w:rPr>
          <w:rFonts w:eastAsia="Arial"/>
        </w:rPr>
        <w:t>The Government is also ensuring that States</w:t>
      </w:r>
      <w:r w:rsidR="00D16F9A" w:rsidRPr="00D16F9A">
        <w:rPr>
          <w:rFonts w:eastAsia="Arial"/>
        </w:rPr>
        <w:t xml:space="preserve"> </w:t>
      </w:r>
      <w:r w:rsidRPr="00D16F9A">
        <w:rPr>
          <w:rFonts w:eastAsia="Arial"/>
        </w:rPr>
        <w:t>will get more GST by taking action to grow the GST pool by making sure GST is being paid on all the goods and services it should be. This includes ensuring GST is paid on products sold online by large multinational companies.</w:t>
      </w:r>
    </w:p>
    <w:p w14:paraId="4A42F513" w14:textId="77777777" w:rsidR="007F6037" w:rsidRPr="00D16F9A" w:rsidRDefault="00EE67DE" w:rsidP="00D16F9A">
      <w:pPr>
        <w:rPr>
          <w:rFonts w:eastAsia="Arial"/>
        </w:rPr>
      </w:pPr>
      <w:r w:rsidRPr="00D16F9A">
        <w:rPr>
          <w:rFonts w:eastAsia="Arial"/>
        </w:rPr>
        <w:t>Measures introduced by the Government since the 2015-16 Budget are estimated to contribute more than $2.0 billion to</w:t>
      </w:r>
      <w:r w:rsidR="00D16F9A" w:rsidRPr="00D16F9A">
        <w:rPr>
          <w:rFonts w:eastAsia="Arial"/>
        </w:rPr>
        <w:t xml:space="preserve"> </w:t>
      </w:r>
      <w:r w:rsidRPr="00D16F9A">
        <w:rPr>
          <w:rFonts w:eastAsia="Arial"/>
        </w:rPr>
        <w:t>GST receipts in 2018-19 alone and around</w:t>
      </w:r>
      <w:r w:rsidR="00D16F9A" w:rsidRPr="00D16F9A">
        <w:rPr>
          <w:rFonts w:eastAsia="Arial"/>
        </w:rPr>
        <w:t xml:space="preserve"> </w:t>
      </w:r>
      <w:r w:rsidRPr="00D16F9A">
        <w:rPr>
          <w:rFonts w:eastAsia="Arial"/>
        </w:rPr>
        <w:t>$6.5 billion over the four years to 2021-22 (see Table</w:t>
      </w:r>
      <w:r w:rsidR="00D16F9A">
        <w:rPr>
          <w:rFonts w:eastAsia="Arial"/>
        </w:rPr>
        <w:t> </w:t>
      </w:r>
      <w:r w:rsidRPr="00D16F9A">
        <w:rPr>
          <w:rFonts w:eastAsia="Arial"/>
        </w:rPr>
        <w:t>2).</w:t>
      </w:r>
    </w:p>
    <w:p w14:paraId="05C0C1FB" w14:textId="77777777" w:rsidR="007F6037" w:rsidRPr="00D16F9A" w:rsidRDefault="00EE67DE" w:rsidP="00D16F9A">
      <w:pPr>
        <w:pStyle w:val="TableMainHeading"/>
        <w:rPr>
          <w:rFonts w:eastAsia="Arial"/>
        </w:rPr>
      </w:pPr>
      <w:r w:rsidRPr="00D16F9A">
        <w:rPr>
          <w:rFonts w:eastAsia="Arial"/>
        </w:rPr>
        <w:t>Table 2: Estimated GST impact of Commonwealth Government measures since</w:t>
      </w:r>
      <w:r w:rsidR="00D16F9A" w:rsidRPr="00D16F9A">
        <w:rPr>
          <w:rFonts w:eastAsia="Arial"/>
        </w:rPr>
        <w:t xml:space="preserve"> </w:t>
      </w:r>
      <w:r w:rsidRPr="00D16F9A">
        <w:rPr>
          <w:rFonts w:eastAsia="Arial"/>
        </w:rPr>
        <w:t>2015</w:t>
      </w:r>
      <w:r w:rsidR="00D16F9A">
        <w:rPr>
          <w:rFonts w:eastAsia="Arial"/>
        </w:rPr>
        <w:noBreakHyphen/>
      </w:r>
      <w:r w:rsidRPr="00D16F9A">
        <w:rPr>
          <w:rFonts w:eastAsia="Arial"/>
        </w:rPr>
        <w:t>16 Budget, by State</w:t>
      </w:r>
    </w:p>
    <w:tbl>
      <w:tblPr>
        <w:tblW w:w="0" w:type="auto"/>
        <w:tblLayout w:type="fixed"/>
        <w:tblCellMar>
          <w:left w:w="0" w:type="dxa"/>
          <w:right w:w="0" w:type="dxa"/>
        </w:tblCellMar>
        <w:tblLook w:val="01E0" w:firstRow="1" w:lastRow="1" w:firstColumn="1" w:lastColumn="1" w:noHBand="0" w:noVBand="0"/>
      </w:tblPr>
      <w:tblGrid>
        <w:gridCol w:w="907"/>
        <w:gridCol w:w="907"/>
        <w:gridCol w:w="907"/>
        <w:gridCol w:w="907"/>
        <w:gridCol w:w="1136"/>
        <w:gridCol w:w="678"/>
        <w:gridCol w:w="907"/>
        <w:gridCol w:w="907"/>
        <w:gridCol w:w="907"/>
        <w:gridCol w:w="907"/>
      </w:tblGrid>
      <w:tr w:rsidR="007F6037" w:rsidRPr="00D16F9A" w14:paraId="7478E527" w14:textId="77777777" w:rsidTr="00D16F9A">
        <w:trPr>
          <w:trHeight w:val="20"/>
        </w:trPr>
        <w:tc>
          <w:tcPr>
            <w:tcW w:w="907" w:type="dxa"/>
            <w:tcBorders>
              <w:top w:val="nil"/>
              <w:left w:val="nil"/>
              <w:bottom w:val="nil"/>
              <w:right w:val="single" w:sz="8" w:space="0" w:color="FFFFFF"/>
            </w:tcBorders>
            <w:shd w:val="clear" w:color="auto" w:fill="354866"/>
          </w:tcPr>
          <w:p w14:paraId="4EDE791F" w14:textId="77777777" w:rsidR="007F6037" w:rsidRPr="00D16F9A" w:rsidRDefault="00EE67DE" w:rsidP="00D16F9A">
            <w:pPr>
              <w:pStyle w:val="TableColumnHeadingLeft"/>
              <w:rPr>
                <w:rFonts w:eastAsia="Arial"/>
              </w:rPr>
            </w:pPr>
            <w:r w:rsidRPr="00D16F9A">
              <w:rPr>
                <w:rFonts w:eastAsia="Arial"/>
              </w:rPr>
              <w:t>$m</w:t>
            </w:r>
          </w:p>
        </w:tc>
        <w:tc>
          <w:tcPr>
            <w:tcW w:w="907" w:type="dxa"/>
            <w:tcBorders>
              <w:top w:val="nil"/>
              <w:left w:val="single" w:sz="8" w:space="0" w:color="FFFFFF"/>
              <w:bottom w:val="nil"/>
              <w:right w:val="nil"/>
            </w:tcBorders>
            <w:shd w:val="clear" w:color="auto" w:fill="354866"/>
          </w:tcPr>
          <w:p w14:paraId="47D98A48" w14:textId="77777777" w:rsidR="007F6037" w:rsidRPr="00D16F9A" w:rsidRDefault="00EE67DE" w:rsidP="00D16F9A">
            <w:pPr>
              <w:pStyle w:val="TableColumnHeadingRight"/>
              <w:rPr>
                <w:rFonts w:eastAsia="Arial"/>
              </w:rPr>
            </w:pPr>
            <w:r w:rsidRPr="00D16F9A">
              <w:rPr>
                <w:rFonts w:eastAsia="Arial"/>
              </w:rPr>
              <w:t>NSW</w:t>
            </w:r>
          </w:p>
        </w:tc>
        <w:tc>
          <w:tcPr>
            <w:tcW w:w="907" w:type="dxa"/>
            <w:tcBorders>
              <w:top w:val="nil"/>
              <w:left w:val="nil"/>
              <w:bottom w:val="single" w:sz="8" w:space="0" w:color="FFFFFF"/>
              <w:right w:val="single" w:sz="8" w:space="0" w:color="FFFFFF"/>
            </w:tcBorders>
            <w:shd w:val="clear" w:color="auto" w:fill="354866"/>
          </w:tcPr>
          <w:p w14:paraId="7F9AB4D5" w14:textId="77777777" w:rsidR="007F6037" w:rsidRPr="00D16F9A" w:rsidRDefault="00EE67DE" w:rsidP="00D16F9A">
            <w:pPr>
              <w:pStyle w:val="TableColumnHeadingRight"/>
              <w:rPr>
                <w:rFonts w:eastAsia="Arial"/>
              </w:rPr>
            </w:pPr>
            <w:r w:rsidRPr="00D16F9A">
              <w:rPr>
                <w:rFonts w:eastAsia="Arial"/>
              </w:rPr>
              <w:t>VIC</w:t>
            </w:r>
          </w:p>
        </w:tc>
        <w:tc>
          <w:tcPr>
            <w:tcW w:w="907" w:type="dxa"/>
            <w:tcBorders>
              <w:top w:val="nil"/>
              <w:left w:val="single" w:sz="8" w:space="0" w:color="FFFFFF"/>
              <w:bottom w:val="single" w:sz="8" w:space="0" w:color="FFFFFF"/>
              <w:right w:val="single" w:sz="8" w:space="0" w:color="FFFFFF"/>
            </w:tcBorders>
            <w:shd w:val="clear" w:color="auto" w:fill="354866"/>
          </w:tcPr>
          <w:p w14:paraId="6D1856EC" w14:textId="77777777" w:rsidR="007F6037" w:rsidRPr="00D16F9A" w:rsidRDefault="00EE67DE" w:rsidP="00D16F9A">
            <w:pPr>
              <w:pStyle w:val="TableColumnHeadingRight"/>
              <w:rPr>
                <w:rFonts w:eastAsia="Arial"/>
              </w:rPr>
            </w:pPr>
            <w:r w:rsidRPr="00D16F9A">
              <w:rPr>
                <w:rFonts w:eastAsia="Arial"/>
              </w:rPr>
              <w:t>QLD</w:t>
            </w:r>
          </w:p>
        </w:tc>
        <w:tc>
          <w:tcPr>
            <w:tcW w:w="1136" w:type="dxa"/>
            <w:tcBorders>
              <w:top w:val="nil"/>
              <w:left w:val="single" w:sz="8" w:space="0" w:color="FFFFFF"/>
              <w:bottom w:val="single" w:sz="8" w:space="0" w:color="FFFFFF"/>
              <w:right w:val="nil"/>
            </w:tcBorders>
            <w:shd w:val="clear" w:color="auto" w:fill="354866"/>
          </w:tcPr>
          <w:p w14:paraId="59CB8C33" w14:textId="77777777" w:rsidR="007F6037" w:rsidRPr="00D16F9A" w:rsidRDefault="00EE67DE" w:rsidP="00D16F9A">
            <w:pPr>
              <w:pStyle w:val="TableColumnHeadingRight"/>
              <w:rPr>
                <w:rFonts w:eastAsia="Arial"/>
              </w:rPr>
            </w:pPr>
            <w:r w:rsidRPr="00D16F9A">
              <w:rPr>
                <w:rFonts w:eastAsia="Arial"/>
              </w:rPr>
              <w:t>WA</w:t>
            </w:r>
          </w:p>
        </w:tc>
        <w:tc>
          <w:tcPr>
            <w:tcW w:w="678" w:type="dxa"/>
            <w:tcBorders>
              <w:top w:val="nil"/>
              <w:left w:val="nil"/>
              <w:bottom w:val="single" w:sz="8" w:space="0" w:color="FFFFFF"/>
              <w:right w:val="single" w:sz="8" w:space="0" w:color="FFFFFF"/>
            </w:tcBorders>
            <w:shd w:val="clear" w:color="auto" w:fill="354866"/>
          </w:tcPr>
          <w:p w14:paraId="70CE7317" w14:textId="77777777" w:rsidR="007F6037" w:rsidRPr="00D16F9A" w:rsidRDefault="00EE67DE" w:rsidP="00D16F9A">
            <w:pPr>
              <w:pStyle w:val="TableColumnHeadingRight"/>
              <w:rPr>
                <w:rFonts w:eastAsia="Arial"/>
              </w:rPr>
            </w:pPr>
            <w:r w:rsidRPr="00D16F9A">
              <w:rPr>
                <w:rFonts w:eastAsia="Arial"/>
              </w:rPr>
              <w:t>SA</w:t>
            </w:r>
          </w:p>
        </w:tc>
        <w:tc>
          <w:tcPr>
            <w:tcW w:w="907" w:type="dxa"/>
            <w:tcBorders>
              <w:top w:val="nil"/>
              <w:left w:val="single" w:sz="8" w:space="0" w:color="FFFFFF"/>
              <w:bottom w:val="single" w:sz="8" w:space="0" w:color="FFFFFF"/>
              <w:right w:val="single" w:sz="8" w:space="0" w:color="FFFFFF"/>
            </w:tcBorders>
            <w:shd w:val="clear" w:color="auto" w:fill="354866"/>
          </w:tcPr>
          <w:p w14:paraId="3B222F25" w14:textId="77777777" w:rsidR="007F6037" w:rsidRPr="00D16F9A" w:rsidRDefault="00EE67DE" w:rsidP="00D16F9A">
            <w:pPr>
              <w:pStyle w:val="TableColumnHeadingRight"/>
              <w:rPr>
                <w:rFonts w:eastAsia="Arial"/>
              </w:rPr>
            </w:pPr>
            <w:r w:rsidRPr="00D16F9A">
              <w:rPr>
                <w:rFonts w:eastAsia="Arial"/>
              </w:rPr>
              <w:t>TAS</w:t>
            </w:r>
          </w:p>
        </w:tc>
        <w:tc>
          <w:tcPr>
            <w:tcW w:w="907" w:type="dxa"/>
            <w:tcBorders>
              <w:top w:val="nil"/>
              <w:left w:val="single" w:sz="8" w:space="0" w:color="FFFFFF"/>
              <w:bottom w:val="single" w:sz="8" w:space="0" w:color="FFFFFF"/>
              <w:right w:val="nil"/>
            </w:tcBorders>
            <w:shd w:val="clear" w:color="auto" w:fill="354866"/>
          </w:tcPr>
          <w:p w14:paraId="29776699" w14:textId="77777777" w:rsidR="007F6037" w:rsidRPr="00D16F9A" w:rsidRDefault="00EE67DE" w:rsidP="00D16F9A">
            <w:pPr>
              <w:pStyle w:val="TableColumnHeadingRight"/>
              <w:rPr>
                <w:rFonts w:eastAsia="Arial"/>
              </w:rPr>
            </w:pPr>
            <w:r w:rsidRPr="00D16F9A">
              <w:rPr>
                <w:rFonts w:eastAsia="Arial"/>
              </w:rPr>
              <w:t>ACT</w:t>
            </w:r>
          </w:p>
        </w:tc>
        <w:tc>
          <w:tcPr>
            <w:tcW w:w="907" w:type="dxa"/>
            <w:tcBorders>
              <w:top w:val="nil"/>
              <w:left w:val="nil"/>
              <w:bottom w:val="nil"/>
              <w:right w:val="single" w:sz="8" w:space="0" w:color="FFFFFF"/>
            </w:tcBorders>
            <w:shd w:val="clear" w:color="auto" w:fill="354866"/>
          </w:tcPr>
          <w:p w14:paraId="64A7D259" w14:textId="77777777" w:rsidR="007F6037" w:rsidRPr="00D16F9A" w:rsidRDefault="00EE67DE" w:rsidP="00D16F9A">
            <w:pPr>
              <w:pStyle w:val="TableColumnHeadingRight"/>
              <w:rPr>
                <w:rFonts w:eastAsia="Arial"/>
              </w:rPr>
            </w:pPr>
            <w:r w:rsidRPr="00D16F9A">
              <w:rPr>
                <w:rFonts w:eastAsia="Arial"/>
              </w:rPr>
              <w:t>NT</w:t>
            </w:r>
          </w:p>
        </w:tc>
        <w:tc>
          <w:tcPr>
            <w:tcW w:w="907" w:type="dxa"/>
            <w:tcBorders>
              <w:top w:val="nil"/>
              <w:left w:val="single" w:sz="8" w:space="0" w:color="FFFFFF"/>
              <w:bottom w:val="nil"/>
              <w:right w:val="nil"/>
            </w:tcBorders>
            <w:shd w:val="clear" w:color="auto" w:fill="354866"/>
          </w:tcPr>
          <w:p w14:paraId="153D8736" w14:textId="77777777" w:rsidR="007F6037" w:rsidRPr="00D16F9A" w:rsidRDefault="00EE67DE" w:rsidP="00D16F9A">
            <w:pPr>
              <w:pStyle w:val="TableColumnHeadingRight"/>
              <w:rPr>
                <w:rFonts w:eastAsia="Arial"/>
              </w:rPr>
            </w:pPr>
            <w:r w:rsidRPr="00D16F9A">
              <w:rPr>
                <w:rFonts w:eastAsia="Arial"/>
              </w:rPr>
              <w:t>Total</w:t>
            </w:r>
          </w:p>
        </w:tc>
      </w:tr>
      <w:tr w:rsidR="007F6037" w14:paraId="39F6F211" w14:textId="77777777" w:rsidTr="00D16F9A">
        <w:trPr>
          <w:trHeight w:val="20"/>
        </w:trPr>
        <w:tc>
          <w:tcPr>
            <w:tcW w:w="907" w:type="dxa"/>
            <w:tcBorders>
              <w:top w:val="nil"/>
              <w:left w:val="nil"/>
              <w:bottom w:val="single" w:sz="8" w:space="0" w:color="FFFFFF"/>
              <w:right w:val="single" w:sz="8" w:space="0" w:color="FFFFFF"/>
            </w:tcBorders>
            <w:shd w:val="clear" w:color="auto" w:fill="E6E6EA"/>
          </w:tcPr>
          <w:p w14:paraId="5CFBEE65" w14:textId="77777777" w:rsidR="007F6037" w:rsidRPr="00D16F9A" w:rsidRDefault="00EE67DE" w:rsidP="00D16F9A">
            <w:pPr>
              <w:pStyle w:val="TableTextLeft"/>
              <w:rPr>
                <w:rFonts w:eastAsia="Arial"/>
                <w:b/>
              </w:rPr>
            </w:pPr>
            <w:r w:rsidRPr="00D16F9A">
              <w:rPr>
                <w:rFonts w:eastAsia="Arial"/>
                <w:b/>
                <w:w w:val="106"/>
              </w:rPr>
              <w:t>2</w:t>
            </w:r>
            <w:r w:rsidRPr="00D16F9A">
              <w:rPr>
                <w:rFonts w:eastAsia="Arial"/>
                <w:b/>
                <w:spacing w:val="-2"/>
                <w:w w:val="106"/>
              </w:rPr>
              <w:t>0</w:t>
            </w:r>
            <w:r w:rsidRPr="00D16F9A">
              <w:rPr>
                <w:rFonts w:eastAsia="Arial"/>
                <w:b/>
                <w:spacing w:val="-6"/>
                <w:w w:val="106"/>
              </w:rPr>
              <w:t>1</w:t>
            </w:r>
            <w:r w:rsidRPr="00D16F9A">
              <w:rPr>
                <w:rFonts w:eastAsia="Arial"/>
                <w:b/>
                <w:spacing w:val="4"/>
                <w:w w:val="106"/>
              </w:rPr>
              <w:t>8</w:t>
            </w:r>
            <w:r w:rsidRPr="00D16F9A">
              <w:rPr>
                <w:rFonts w:eastAsia="Arial"/>
                <w:b/>
                <w:spacing w:val="-10"/>
                <w:w w:val="104"/>
              </w:rPr>
              <w:t>-</w:t>
            </w:r>
            <w:r w:rsidRPr="00D16F9A">
              <w:rPr>
                <w:rFonts w:eastAsia="Arial"/>
                <w:b/>
                <w:spacing w:val="-7"/>
                <w:w w:val="104"/>
              </w:rPr>
              <w:t>1</w:t>
            </w:r>
            <w:r w:rsidRPr="00D16F9A">
              <w:rPr>
                <w:rFonts w:eastAsia="Arial"/>
                <w:b/>
                <w:w w:val="106"/>
              </w:rPr>
              <w:t>9</w:t>
            </w:r>
          </w:p>
        </w:tc>
        <w:tc>
          <w:tcPr>
            <w:tcW w:w="907" w:type="dxa"/>
            <w:tcBorders>
              <w:top w:val="nil"/>
              <w:left w:val="single" w:sz="8" w:space="0" w:color="FFFFFF"/>
              <w:bottom w:val="single" w:sz="8" w:space="0" w:color="FFFFFF"/>
              <w:right w:val="nil"/>
            </w:tcBorders>
            <w:shd w:val="clear" w:color="auto" w:fill="E6E6EA"/>
          </w:tcPr>
          <w:p w14:paraId="47F581D1" w14:textId="77777777" w:rsidR="007F6037" w:rsidRDefault="00EE67DE" w:rsidP="00D16F9A">
            <w:pPr>
              <w:pStyle w:val="TableTextRight"/>
              <w:rPr>
                <w:rFonts w:eastAsia="Arial"/>
              </w:rPr>
            </w:pPr>
            <w:r>
              <w:rPr>
                <w:rFonts w:eastAsia="Arial"/>
                <w:spacing w:val="-1"/>
              </w:rPr>
              <w:t>5</w:t>
            </w:r>
            <w:r>
              <w:rPr>
                <w:rFonts w:eastAsia="Arial"/>
              </w:rPr>
              <w:t>75</w:t>
            </w:r>
          </w:p>
        </w:tc>
        <w:tc>
          <w:tcPr>
            <w:tcW w:w="907" w:type="dxa"/>
            <w:tcBorders>
              <w:top w:val="single" w:sz="8" w:space="0" w:color="FFFFFF"/>
              <w:left w:val="nil"/>
              <w:bottom w:val="single" w:sz="8" w:space="0" w:color="FFFFFF"/>
              <w:right w:val="single" w:sz="8" w:space="0" w:color="FFFFFF"/>
            </w:tcBorders>
            <w:shd w:val="clear" w:color="auto" w:fill="E6E6EA"/>
          </w:tcPr>
          <w:p w14:paraId="308202B2" w14:textId="77777777" w:rsidR="007F6037" w:rsidRDefault="00EE67DE" w:rsidP="00D16F9A">
            <w:pPr>
              <w:pStyle w:val="TableTextRight"/>
              <w:rPr>
                <w:rFonts w:eastAsia="Arial"/>
              </w:rPr>
            </w:pPr>
            <w:r>
              <w:rPr>
                <w:rFonts w:eastAsia="Arial"/>
              </w:rPr>
              <w:t>5</w:t>
            </w:r>
            <w:r>
              <w:rPr>
                <w:rFonts w:eastAsia="Arial"/>
                <w:spacing w:val="1"/>
              </w:rPr>
              <w:t>3</w:t>
            </w:r>
            <w:r>
              <w:rPr>
                <w:rFonts w:eastAsia="Arial"/>
              </w:rPr>
              <w:t>8</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6AE435B" w14:textId="77777777" w:rsidR="007F6037" w:rsidRDefault="00EE67DE" w:rsidP="00D16F9A">
            <w:pPr>
              <w:pStyle w:val="TableTextRight"/>
              <w:rPr>
                <w:rFonts w:eastAsia="Arial"/>
              </w:rPr>
            </w:pPr>
            <w:r>
              <w:rPr>
                <w:rFonts w:eastAsia="Arial"/>
                <w:spacing w:val="4"/>
              </w:rPr>
              <w:t>4</w:t>
            </w:r>
            <w:r>
              <w:rPr>
                <w:rFonts w:eastAsia="Arial"/>
                <w:spacing w:val="-7"/>
              </w:rPr>
              <w:t>61</w:t>
            </w:r>
          </w:p>
        </w:tc>
        <w:tc>
          <w:tcPr>
            <w:tcW w:w="1136" w:type="dxa"/>
            <w:tcBorders>
              <w:top w:val="single" w:sz="8" w:space="0" w:color="FFFFFF"/>
              <w:left w:val="single" w:sz="8" w:space="0" w:color="FFFFFF"/>
              <w:bottom w:val="single" w:sz="8" w:space="0" w:color="FFFFFF"/>
              <w:right w:val="nil"/>
            </w:tcBorders>
            <w:shd w:val="clear" w:color="auto" w:fill="E6E6EA"/>
          </w:tcPr>
          <w:p w14:paraId="665AA19E" w14:textId="77777777" w:rsidR="007F6037" w:rsidRDefault="00EE67DE" w:rsidP="00D16F9A">
            <w:pPr>
              <w:pStyle w:val="TableTextRight"/>
              <w:rPr>
                <w:rFonts w:eastAsia="Arial"/>
              </w:rPr>
            </w:pPr>
            <w:r>
              <w:rPr>
                <w:rFonts w:eastAsia="Arial"/>
                <w:spacing w:val="-7"/>
              </w:rPr>
              <w:t>1</w:t>
            </w:r>
            <w:r>
              <w:rPr>
                <w:rFonts w:eastAsia="Arial"/>
                <w:spacing w:val="-1"/>
              </w:rPr>
              <w:t>0</w:t>
            </w:r>
            <w:r>
              <w:rPr>
                <w:rFonts w:eastAsia="Arial"/>
              </w:rPr>
              <w:t>3</w:t>
            </w:r>
          </w:p>
        </w:tc>
        <w:tc>
          <w:tcPr>
            <w:tcW w:w="678" w:type="dxa"/>
            <w:tcBorders>
              <w:top w:val="single" w:sz="8" w:space="0" w:color="FFFFFF"/>
              <w:left w:val="nil"/>
              <w:bottom w:val="single" w:sz="8" w:space="0" w:color="FFFFFF"/>
              <w:right w:val="single" w:sz="8" w:space="0" w:color="FFFFFF"/>
            </w:tcBorders>
            <w:shd w:val="clear" w:color="auto" w:fill="E6E6EA"/>
          </w:tcPr>
          <w:p w14:paraId="3DF72701" w14:textId="77777777" w:rsidR="007F6037" w:rsidRDefault="00EE67DE" w:rsidP="00D16F9A">
            <w:pPr>
              <w:pStyle w:val="TableTextRight"/>
              <w:rPr>
                <w:rFonts w:eastAsia="Arial"/>
              </w:rPr>
            </w:pPr>
            <w:r>
              <w:rPr>
                <w:rFonts w:eastAsia="Arial"/>
                <w:spacing w:val="-6"/>
              </w:rPr>
              <w:t>2</w:t>
            </w:r>
            <w:r>
              <w:rPr>
                <w:rFonts w:eastAsia="Arial"/>
                <w:spacing w:val="-10"/>
              </w:rPr>
              <w:t>15</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4DA02DD3" w14:textId="77777777" w:rsidR="007F6037" w:rsidRDefault="00EE67DE" w:rsidP="00D16F9A">
            <w:pPr>
              <w:pStyle w:val="TableTextRight"/>
              <w:rPr>
                <w:rFonts w:eastAsia="Arial"/>
              </w:rPr>
            </w:pPr>
            <w:r>
              <w:rPr>
                <w:rFonts w:eastAsia="Arial"/>
                <w:spacing w:val="-2"/>
              </w:rPr>
              <w:t>7</w:t>
            </w:r>
            <w:r>
              <w:rPr>
                <w:rFonts w:eastAsia="Arial"/>
              </w:rPr>
              <w:t>8</w:t>
            </w:r>
          </w:p>
        </w:tc>
        <w:tc>
          <w:tcPr>
            <w:tcW w:w="907" w:type="dxa"/>
            <w:tcBorders>
              <w:top w:val="single" w:sz="8" w:space="0" w:color="FFFFFF"/>
              <w:left w:val="single" w:sz="8" w:space="0" w:color="FFFFFF"/>
              <w:bottom w:val="single" w:sz="8" w:space="0" w:color="FFFFFF"/>
              <w:right w:val="nil"/>
            </w:tcBorders>
            <w:shd w:val="clear" w:color="auto" w:fill="E6E6EA"/>
          </w:tcPr>
          <w:p w14:paraId="150AD70A" w14:textId="77777777" w:rsidR="007F6037" w:rsidRDefault="00EE67DE" w:rsidP="00D16F9A">
            <w:pPr>
              <w:pStyle w:val="TableTextRight"/>
              <w:rPr>
                <w:rFonts w:eastAsia="Arial"/>
              </w:rPr>
            </w:pPr>
            <w:r>
              <w:rPr>
                <w:rFonts w:eastAsia="Arial"/>
                <w:spacing w:val="-8"/>
              </w:rPr>
              <w:t>41</w:t>
            </w:r>
          </w:p>
        </w:tc>
        <w:tc>
          <w:tcPr>
            <w:tcW w:w="907" w:type="dxa"/>
            <w:tcBorders>
              <w:top w:val="nil"/>
              <w:left w:val="nil"/>
              <w:bottom w:val="single" w:sz="8" w:space="0" w:color="FFFFFF"/>
              <w:right w:val="single" w:sz="8" w:space="0" w:color="FFFFFF"/>
            </w:tcBorders>
            <w:shd w:val="clear" w:color="auto" w:fill="E6E6EA"/>
          </w:tcPr>
          <w:p w14:paraId="5BE856E0" w14:textId="77777777" w:rsidR="007F6037" w:rsidRDefault="00EE67DE" w:rsidP="00D16F9A">
            <w:pPr>
              <w:pStyle w:val="TableTextRight"/>
              <w:rPr>
                <w:rFonts w:eastAsia="Arial"/>
              </w:rPr>
            </w:pPr>
            <w:r>
              <w:rPr>
                <w:rFonts w:eastAsia="Arial"/>
              </w:rPr>
              <w:t>87</w:t>
            </w:r>
          </w:p>
        </w:tc>
        <w:tc>
          <w:tcPr>
            <w:tcW w:w="907" w:type="dxa"/>
            <w:tcBorders>
              <w:top w:val="nil"/>
              <w:left w:val="single" w:sz="8" w:space="0" w:color="FFFFFF"/>
              <w:bottom w:val="single" w:sz="8" w:space="0" w:color="FFFFFF"/>
              <w:right w:val="nil"/>
            </w:tcBorders>
            <w:shd w:val="clear" w:color="auto" w:fill="E6E6EA"/>
          </w:tcPr>
          <w:p w14:paraId="7B59AAB6" w14:textId="77777777" w:rsidR="007F6037" w:rsidRDefault="00EE67DE" w:rsidP="00D16F9A">
            <w:pPr>
              <w:pStyle w:val="TableTextRight"/>
              <w:rPr>
                <w:rFonts w:eastAsia="Arial"/>
              </w:rPr>
            </w:pPr>
            <w:r>
              <w:rPr>
                <w:rFonts w:eastAsia="Arial"/>
              </w:rPr>
              <w:t>2</w:t>
            </w:r>
            <w:r>
              <w:rPr>
                <w:rFonts w:eastAsia="Arial"/>
                <w:spacing w:val="-12"/>
              </w:rPr>
              <w:t>,</w:t>
            </w:r>
            <w:r>
              <w:rPr>
                <w:rFonts w:eastAsia="Arial"/>
                <w:spacing w:val="-7"/>
              </w:rPr>
              <w:t>1</w:t>
            </w:r>
            <w:r>
              <w:rPr>
                <w:rFonts w:eastAsia="Arial"/>
                <w:spacing w:val="4"/>
              </w:rPr>
              <w:t>0</w:t>
            </w:r>
            <w:r>
              <w:rPr>
                <w:rFonts w:eastAsia="Arial"/>
              </w:rPr>
              <w:t>0</w:t>
            </w:r>
          </w:p>
        </w:tc>
      </w:tr>
      <w:tr w:rsidR="007F6037" w14:paraId="008AB62E" w14:textId="77777777" w:rsidTr="00D16F9A">
        <w:trPr>
          <w:trHeight w:val="20"/>
        </w:trPr>
        <w:tc>
          <w:tcPr>
            <w:tcW w:w="907" w:type="dxa"/>
            <w:tcBorders>
              <w:top w:val="single" w:sz="8" w:space="0" w:color="FFFFFF"/>
              <w:left w:val="nil"/>
              <w:bottom w:val="single" w:sz="8" w:space="0" w:color="FFFFFF"/>
              <w:right w:val="single" w:sz="8" w:space="0" w:color="FFFFFF"/>
            </w:tcBorders>
            <w:shd w:val="clear" w:color="auto" w:fill="E6E6EA"/>
          </w:tcPr>
          <w:p w14:paraId="51B149DF" w14:textId="77777777" w:rsidR="007F6037" w:rsidRPr="00D16F9A" w:rsidRDefault="00EE67DE" w:rsidP="00D16F9A">
            <w:pPr>
              <w:pStyle w:val="TableTextLeft"/>
              <w:rPr>
                <w:rFonts w:eastAsia="Arial"/>
                <w:b/>
              </w:rPr>
            </w:pPr>
            <w:r w:rsidRPr="00D16F9A">
              <w:rPr>
                <w:rFonts w:eastAsia="Arial"/>
                <w:b/>
                <w:w w:val="106"/>
              </w:rPr>
              <w:t>2</w:t>
            </w:r>
            <w:r w:rsidRPr="00D16F9A">
              <w:rPr>
                <w:rFonts w:eastAsia="Arial"/>
                <w:b/>
                <w:spacing w:val="-2"/>
                <w:w w:val="106"/>
              </w:rPr>
              <w:t>0</w:t>
            </w:r>
            <w:r w:rsidRPr="00D16F9A">
              <w:rPr>
                <w:rFonts w:eastAsia="Arial"/>
                <w:b/>
                <w:spacing w:val="-7"/>
                <w:w w:val="106"/>
              </w:rPr>
              <w:t>1</w:t>
            </w:r>
            <w:r w:rsidRPr="00D16F9A">
              <w:rPr>
                <w:rFonts w:eastAsia="Arial"/>
                <w:b/>
                <w:spacing w:val="6"/>
                <w:w w:val="106"/>
              </w:rPr>
              <w:t>9</w:t>
            </w:r>
            <w:r w:rsidRPr="00D16F9A">
              <w:rPr>
                <w:rFonts w:eastAsia="Arial"/>
                <w:b/>
                <w:spacing w:val="-5"/>
                <w:w w:val="101"/>
              </w:rPr>
              <w:t>-</w:t>
            </w:r>
            <w:r w:rsidRPr="00D16F9A">
              <w:rPr>
                <w:rFonts w:eastAsia="Arial"/>
                <w:b/>
                <w:w w:val="106"/>
              </w:rPr>
              <w:t>20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196BC5BB" w14:textId="77777777" w:rsidR="007F6037" w:rsidRDefault="00EE67DE" w:rsidP="00D16F9A">
            <w:pPr>
              <w:pStyle w:val="TableTextRight"/>
              <w:rPr>
                <w:rFonts w:eastAsia="Arial"/>
              </w:rPr>
            </w:pPr>
            <w:r>
              <w:rPr>
                <w:rFonts w:eastAsia="Arial"/>
                <w:spacing w:val="2"/>
              </w:rPr>
              <w:t>3</w:t>
            </w:r>
            <w:r>
              <w:rPr>
                <w:rFonts w:eastAsia="Arial"/>
                <w:spacing w:val="7"/>
              </w:rPr>
              <w:t>4</w:t>
            </w:r>
            <w:r>
              <w:rPr>
                <w:rFonts w:eastAsia="Arial"/>
              </w:rPr>
              <w:t>4</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568D68FB" w14:textId="77777777" w:rsidR="007F6037" w:rsidRDefault="00EE67DE" w:rsidP="00D16F9A">
            <w:pPr>
              <w:pStyle w:val="TableTextRight"/>
              <w:rPr>
                <w:rFonts w:eastAsia="Arial"/>
              </w:rPr>
            </w:pPr>
            <w:r>
              <w:rPr>
                <w:rFonts w:eastAsia="Arial"/>
              </w:rPr>
              <w:t>3</w:t>
            </w:r>
            <w:r>
              <w:rPr>
                <w:rFonts w:eastAsia="Arial"/>
                <w:spacing w:val="-2"/>
              </w:rPr>
              <w:t>2</w:t>
            </w:r>
            <w:r>
              <w:rPr>
                <w:rFonts w:eastAsia="Arial"/>
              </w:rPr>
              <w:t>5</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A013B0E" w14:textId="77777777" w:rsidR="007F6037" w:rsidRDefault="00EE67DE" w:rsidP="00D16F9A">
            <w:pPr>
              <w:pStyle w:val="TableTextRight"/>
              <w:rPr>
                <w:rFonts w:eastAsia="Arial"/>
              </w:rPr>
            </w:pPr>
            <w:r>
              <w:rPr>
                <w:rFonts w:eastAsia="Arial"/>
                <w:spacing w:val="-2"/>
              </w:rPr>
              <w:t>292</w:t>
            </w:r>
          </w:p>
        </w:tc>
        <w:tc>
          <w:tcPr>
            <w:tcW w:w="1136" w:type="dxa"/>
            <w:tcBorders>
              <w:top w:val="single" w:sz="8" w:space="0" w:color="FFFFFF"/>
              <w:left w:val="single" w:sz="8" w:space="0" w:color="FFFFFF"/>
              <w:bottom w:val="single" w:sz="8" w:space="0" w:color="FFFFFF"/>
              <w:right w:val="nil"/>
            </w:tcBorders>
            <w:shd w:val="clear" w:color="auto" w:fill="E6E6EA"/>
          </w:tcPr>
          <w:p w14:paraId="6C4341B4" w14:textId="77777777" w:rsidR="007F6037" w:rsidRDefault="00EE67DE" w:rsidP="00D16F9A">
            <w:pPr>
              <w:pStyle w:val="TableTextRight"/>
              <w:rPr>
                <w:rFonts w:eastAsia="Arial"/>
              </w:rPr>
            </w:pPr>
            <w:r>
              <w:rPr>
                <w:rFonts w:eastAsia="Arial"/>
                <w:spacing w:val="-2"/>
              </w:rPr>
              <w:t>79</w:t>
            </w:r>
          </w:p>
        </w:tc>
        <w:tc>
          <w:tcPr>
            <w:tcW w:w="678" w:type="dxa"/>
            <w:tcBorders>
              <w:top w:val="single" w:sz="8" w:space="0" w:color="FFFFFF"/>
              <w:left w:val="nil"/>
              <w:bottom w:val="single" w:sz="8" w:space="0" w:color="FFFFFF"/>
              <w:right w:val="single" w:sz="8" w:space="0" w:color="FFFFFF"/>
            </w:tcBorders>
            <w:shd w:val="clear" w:color="auto" w:fill="E6E6EA"/>
          </w:tcPr>
          <w:p w14:paraId="6B3C8A61" w14:textId="77777777" w:rsidR="007F6037" w:rsidRDefault="00EE67DE" w:rsidP="00D16F9A">
            <w:pPr>
              <w:pStyle w:val="TableTextRight"/>
              <w:rPr>
                <w:rFonts w:eastAsia="Arial"/>
              </w:rPr>
            </w:pPr>
            <w:r>
              <w:rPr>
                <w:rFonts w:eastAsia="Arial"/>
                <w:spacing w:val="-11"/>
              </w:rPr>
              <w:t>1</w:t>
            </w:r>
            <w:r>
              <w:rPr>
                <w:rFonts w:eastAsia="Arial"/>
                <w:spacing w:val="-2"/>
              </w:rPr>
              <w:t>2</w:t>
            </w:r>
            <w:r>
              <w:rPr>
                <w:rFonts w:eastAsia="Arial"/>
              </w:rPr>
              <w:t>8</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C958BF9" w14:textId="77777777" w:rsidR="007F6037" w:rsidRDefault="00EE67DE" w:rsidP="00D16F9A">
            <w:pPr>
              <w:pStyle w:val="TableTextRight"/>
              <w:rPr>
                <w:rFonts w:eastAsia="Arial"/>
              </w:rPr>
            </w:pPr>
            <w:r>
              <w:rPr>
                <w:rFonts w:eastAsia="Arial"/>
                <w:spacing w:val="-1"/>
              </w:rPr>
              <w:t>49</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6027961D" w14:textId="77777777" w:rsidR="007F6037" w:rsidRDefault="00EE67DE" w:rsidP="00D16F9A">
            <w:pPr>
              <w:pStyle w:val="TableTextRight"/>
              <w:rPr>
                <w:rFonts w:eastAsia="Arial"/>
              </w:rPr>
            </w:pPr>
            <w:r>
              <w:rPr>
                <w:rFonts w:eastAsia="Arial"/>
                <w:spacing w:val="-4"/>
              </w:rPr>
              <w:t>26</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69B6BB63" w14:textId="77777777" w:rsidR="007F6037" w:rsidRDefault="00EE67DE" w:rsidP="00D16F9A">
            <w:pPr>
              <w:pStyle w:val="TableTextRight"/>
              <w:rPr>
                <w:rFonts w:eastAsia="Arial"/>
              </w:rPr>
            </w:pPr>
            <w:r>
              <w:rPr>
                <w:rFonts w:eastAsia="Arial"/>
                <w:spacing w:val="-1"/>
              </w:rPr>
              <w:t>5</w:t>
            </w:r>
            <w:r>
              <w:rPr>
                <w:rFonts w:eastAsia="Arial"/>
              </w:rPr>
              <w:t>7</w:t>
            </w:r>
          </w:p>
        </w:tc>
        <w:tc>
          <w:tcPr>
            <w:tcW w:w="907" w:type="dxa"/>
            <w:tcBorders>
              <w:top w:val="single" w:sz="8" w:space="0" w:color="FFFFFF"/>
              <w:left w:val="single" w:sz="8" w:space="0" w:color="FFFFFF"/>
              <w:bottom w:val="single" w:sz="8" w:space="0" w:color="FFFFFF"/>
              <w:right w:val="nil"/>
            </w:tcBorders>
            <w:shd w:val="clear" w:color="auto" w:fill="E6E6EA"/>
          </w:tcPr>
          <w:p w14:paraId="223FB18A" w14:textId="77777777" w:rsidR="007F6037" w:rsidRDefault="00EE67DE" w:rsidP="00D16F9A">
            <w:pPr>
              <w:pStyle w:val="TableTextRight"/>
              <w:rPr>
                <w:rFonts w:eastAsia="Arial"/>
              </w:rPr>
            </w:pPr>
            <w:r>
              <w:rPr>
                <w:rFonts w:eastAsia="Arial"/>
                <w:spacing w:val="-10"/>
              </w:rPr>
              <w:t>1</w:t>
            </w:r>
            <w:r>
              <w:rPr>
                <w:rFonts w:eastAsia="Arial"/>
                <w:spacing w:val="3"/>
              </w:rPr>
              <w:t>,</w:t>
            </w:r>
            <w:r>
              <w:rPr>
                <w:rFonts w:eastAsia="Arial"/>
                <w:spacing w:val="1"/>
              </w:rPr>
              <w:t>3</w:t>
            </w:r>
            <w:r>
              <w:rPr>
                <w:rFonts w:eastAsia="Arial"/>
                <w:spacing w:val="4"/>
              </w:rPr>
              <w:t>0</w:t>
            </w:r>
            <w:r>
              <w:rPr>
                <w:rFonts w:eastAsia="Arial"/>
              </w:rPr>
              <w:t>0</w:t>
            </w:r>
          </w:p>
        </w:tc>
      </w:tr>
      <w:tr w:rsidR="007F6037" w14:paraId="00E6B796" w14:textId="77777777" w:rsidTr="00D16F9A">
        <w:trPr>
          <w:trHeight w:val="20"/>
        </w:trPr>
        <w:tc>
          <w:tcPr>
            <w:tcW w:w="907" w:type="dxa"/>
            <w:tcBorders>
              <w:top w:val="single" w:sz="8" w:space="0" w:color="FFFFFF"/>
              <w:left w:val="nil"/>
              <w:bottom w:val="nil"/>
              <w:right w:val="single" w:sz="8" w:space="0" w:color="FFFFFF"/>
            </w:tcBorders>
            <w:shd w:val="clear" w:color="auto" w:fill="E6E6EA"/>
          </w:tcPr>
          <w:p w14:paraId="647BBB48" w14:textId="77777777" w:rsidR="007F6037" w:rsidRPr="00D16F9A" w:rsidRDefault="00EE67DE" w:rsidP="00D16F9A">
            <w:pPr>
              <w:pStyle w:val="TableTextLeft"/>
              <w:rPr>
                <w:rFonts w:eastAsia="Arial"/>
                <w:b/>
              </w:rPr>
            </w:pPr>
            <w:r w:rsidRPr="00D16F9A">
              <w:rPr>
                <w:rFonts w:eastAsia="Arial"/>
                <w:b/>
                <w:w w:val="106"/>
              </w:rPr>
              <w:t>2</w:t>
            </w:r>
            <w:r w:rsidRPr="00D16F9A">
              <w:rPr>
                <w:rFonts w:eastAsia="Arial"/>
                <w:b/>
                <w:spacing w:val="-1"/>
                <w:w w:val="106"/>
              </w:rPr>
              <w:t>0</w:t>
            </w:r>
            <w:r w:rsidRPr="00D16F9A">
              <w:rPr>
                <w:rFonts w:eastAsia="Arial"/>
                <w:b/>
                <w:w w:val="106"/>
              </w:rPr>
              <w:t>2</w:t>
            </w:r>
            <w:r w:rsidRPr="00D16F9A">
              <w:rPr>
                <w:rFonts w:eastAsia="Arial"/>
                <w:b/>
                <w:spacing w:val="7"/>
                <w:w w:val="106"/>
              </w:rPr>
              <w:t>0</w:t>
            </w:r>
            <w:r w:rsidRPr="00D16F9A">
              <w:rPr>
                <w:rFonts w:eastAsia="Arial"/>
                <w:b/>
                <w:spacing w:val="-5"/>
                <w:w w:val="101"/>
              </w:rPr>
              <w:t>-</w:t>
            </w:r>
            <w:r w:rsidRPr="00D16F9A">
              <w:rPr>
                <w:rFonts w:eastAsia="Arial"/>
                <w:b/>
                <w:spacing w:val="-3"/>
                <w:w w:val="106"/>
              </w:rPr>
              <w:t>2</w:t>
            </w:r>
            <w:r w:rsidRPr="00D16F9A">
              <w:rPr>
                <w:rFonts w:eastAsia="Arial"/>
                <w:b/>
                <w:w w:val="106"/>
              </w:rPr>
              <w:t>1</w:t>
            </w:r>
          </w:p>
        </w:tc>
        <w:tc>
          <w:tcPr>
            <w:tcW w:w="907" w:type="dxa"/>
            <w:tcBorders>
              <w:top w:val="single" w:sz="8" w:space="0" w:color="FFFFFF"/>
              <w:left w:val="single" w:sz="8" w:space="0" w:color="FFFFFF"/>
              <w:bottom w:val="nil"/>
              <w:right w:val="nil"/>
            </w:tcBorders>
            <w:shd w:val="clear" w:color="auto" w:fill="E6E6EA"/>
          </w:tcPr>
          <w:p w14:paraId="79CC9850" w14:textId="77777777" w:rsidR="007F6037" w:rsidRDefault="00EE67DE" w:rsidP="00D16F9A">
            <w:pPr>
              <w:pStyle w:val="TableTextRight"/>
              <w:rPr>
                <w:rFonts w:eastAsia="Arial"/>
              </w:rPr>
            </w:pPr>
            <w:r>
              <w:rPr>
                <w:rFonts w:eastAsia="Arial"/>
                <w:spacing w:val="-1"/>
              </w:rPr>
              <w:t>3</w:t>
            </w:r>
            <w:r>
              <w:rPr>
                <w:rFonts w:eastAsia="Arial"/>
                <w:spacing w:val="-2"/>
              </w:rPr>
              <w:t>93</w:t>
            </w:r>
          </w:p>
        </w:tc>
        <w:tc>
          <w:tcPr>
            <w:tcW w:w="907" w:type="dxa"/>
            <w:tcBorders>
              <w:top w:val="single" w:sz="8" w:space="0" w:color="FFFFFF"/>
              <w:left w:val="nil"/>
              <w:bottom w:val="single" w:sz="8" w:space="0" w:color="FFFFFF"/>
              <w:right w:val="single" w:sz="8" w:space="0" w:color="FFFFFF"/>
            </w:tcBorders>
            <w:shd w:val="clear" w:color="auto" w:fill="E6E6EA"/>
          </w:tcPr>
          <w:p w14:paraId="38FC3497" w14:textId="77777777" w:rsidR="007F6037" w:rsidRDefault="00EE67DE" w:rsidP="00D16F9A">
            <w:pPr>
              <w:pStyle w:val="TableTextRight"/>
              <w:rPr>
                <w:rFonts w:eastAsia="Arial"/>
              </w:rPr>
            </w:pPr>
            <w:r>
              <w:rPr>
                <w:rFonts w:eastAsia="Arial"/>
              </w:rPr>
              <w:t>3</w:t>
            </w:r>
            <w:r>
              <w:rPr>
                <w:rFonts w:eastAsia="Arial"/>
                <w:spacing w:val="-9"/>
              </w:rPr>
              <w:t>74</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3E7A648A" w14:textId="77777777" w:rsidR="007F6037" w:rsidRDefault="00EE67DE" w:rsidP="00D16F9A">
            <w:pPr>
              <w:pStyle w:val="TableTextRight"/>
              <w:rPr>
                <w:rFonts w:eastAsia="Arial"/>
              </w:rPr>
            </w:pPr>
            <w:r>
              <w:rPr>
                <w:rFonts w:eastAsia="Arial"/>
                <w:spacing w:val="-2"/>
              </w:rPr>
              <w:t>3</w:t>
            </w:r>
            <w:r>
              <w:rPr>
                <w:rFonts w:eastAsia="Arial"/>
              </w:rPr>
              <w:t>37</w:t>
            </w:r>
          </w:p>
        </w:tc>
        <w:tc>
          <w:tcPr>
            <w:tcW w:w="1136" w:type="dxa"/>
            <w:tcBorders>
              <w:top w:val="single" w:sz="8" w:space="0" w:color="FFFFFF"/>
              <w:left w:val="single" w:sz="8" w:space="0" w:color="FFFFFF"/>
              <w:bottom w:val="single" w:sz="8" w:space="0" w:color="FFFFFF"/>
              <w:right w:val="nil"/>
            </w:tcBorders>
            <w:shd w:val="clear" w:color="auto" w:fill="E6E6EA"/>
          </w:tcPr>
          <w:p w14:paraId="786FDA3F" w14:textId="77777777" w:rsidR="007F6037" w:rsidRDefault="00EE67DE" w:rsidP="00D16F9A">
            <w:pPr>
              <w:pStyle w:val="TableTextRight"/>
              <w:rPr>
                <w:rFonts w:eastAsia="Arial"/>
              </w:rPr>
            </w:pPr>
            <w:r>
              <w:rPr>
                <w:rFonts w:eastAsia="Arial"/>
                <w:spacing w:val="3"/>
              </w:rPr>
              <w:t>96</w:t>
            </w:r>
          </w:p>
        </w:tc>
        <w:tc>
          <w:tcPr>
            <w:tcW w:w="678" w:type="dxa"/>
            <w:tcBorders>
              <w:top w:val="single" w:sz="8" w:space="0" w:color="FFFFFF"/>
              <w:left w:val="nil"/>
              <w:bottom w:val="single" w:sz="8" w:space="0" w:color="FFFFFF"/>
              <w:right w:val="single" w:sz="8" w:space="0" w:color="FFFFFF"/>
            </w:tcBorders>
            <w:shd w:val="clear" w:color="auto" w:fill="E6E6EA"/>
          </w:tcPr>
          <w:p w14:paraId="7614941A" w14:textId="77777777" w:rsidR="007F6037" w:rsidRDefault="00EE67DE" w:rsidP="00D16F9A">
            <w:pPr>
              <w:pStyle w:val="TableTextRight"/>
              <w:rPr>
                <w:rFonts w:eastAsia="Arial"/>
              </w:rPr>
            </w:pPr>
            <w:r>
              <w:rPr>
                <w:rFonts w:eastAsia="Arial"/>
                <w:spacing w:val="-8"/>
              </w:rPr>
              <w:t>1</w:t>
            </w:r>
            <w:r>
              <w:rPr>
                <w:rFonts w:eastAsia="Arial"/>
                <w:spacing w:val="4"/>
              </w:rPr>
              <w:t>4</w:t>
            </w:r>
            <w:r>
              <w:rPr>
                <w:rFonts w:eastAsia="Arial"/>
              </w:rPr>
              <w:t>6</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E8294F9" w14:textId="77777777" w:rsidR="007F6037" w:rsidRDefault="00EE67DE" w:rsidP="00D16F9A">
            <w:pPr>
              <w:pStyle w:val="TableTextRight"/>
              <w:rPr>
                <w:rFonts w:eastAsia="Arial"/>
              </w:rPr>
            </w:pPr>
            <w:r>
              <w:rPr>
                <w:rFonts w:eastAsia="Arial"/>
              </w:rPr>
              <w:t>55</w:t>
            </w:r>
          </w:p>
        </w:tc>
        <w:tc>
          <w:tcPr>
            <w:tcW w:w="907" w:type="dxa"/>
            <w:tcBorders>
              <w:top w:val="single" w:sz="8" w:space="0" w:color="FFFFFF"/>
              <w:left w:val="single" w:sz="8" w:space="0" w:color="FFFFFF"/>
              <w:bottom w:val="single" w:sz="8" w:space="0" w:color="FFFFFF"/>
              <w:right w:val="nil"/>
            </w:tcBorders>
            <w:shd w:val="clear" w:color="auto" w:fill="E6E6EA"/>
          </w:tcPr>
          <w:p w14:paraId="4299BABF" w14:textId="77777777" w:rsidR="007F6037" w:rsidRDefault="00EE67DE" w:rsidP="00D16F9A">
            <w:pPr>
              <w:pStyle w:val="TableTextRight"/>
              <w:rPr>
                <w:rFonts w:eastAsia="Arial"/>
              </w:rPr>
            </w:pPr>
            <w:r>
              <w:rPr>
                <w:rFonts w:eastAsia="Arial"/>
                <w:spacing w:val="1"/>
              </w:rPr>
              <w:t>3</w:t>
            </w:r>
            <w:r>
              <w:rPr>
                <w:rFonts w:eastAsia="Arial"/>
              </w:rPr>
              <w:t>0</w:t>
            </w:r>
          </w:p>
        </w:tc>
        <w:tc>
          <w:tcPr>
            <w:tcW w:w="907" w:type="dxa"/>
            <w:tcBorders>
              <w:top w:val="single" w:sz="8" w:space="0" w:color="FFFFFF"/>
              <w:left w:val="nil"/>
              <w:bottom w:val="nil"/>
              <w:right w:val="single" w:sz="8" w:space="0" w:color="FFFFFF"/>
            </w:tcBorders>
            <w:shd w:val="clear" w:color="auto" w:fill="E6E6EA"/>
          </w:tcPr>
          <w:p w14:paraId="1E9E0443" w14:textId="77777777" w:rsidR="007F6037" w:rsidRDefault="00EE67DE" w:rsidP="00D16F9A">
            <w:pPr>
              <w:pStyle w:val="TableTextRight"/>
              <w:rPr>
                <w:rFonts w:eastAsia="Arial"/>
              </w:rPr>
            </w:pPr>
            <w:r>
              <w:rPr>
                <w:rFonts w:eastAsia="Arial"/>
                <w:spacing w:val="4"/>
              </w:rPr>
              <w:t>68</w:t>
            </w:r>
          </w:p>
        </w:tc>
        <w:tc>
          <w:tcPr>
            <w:tcW w:w="907" w:type="dxa"/>
            <w:tcBorders>
              <w:top w:val="single" w:sz="8" w:space="0" w:color="FFFFFF"/>
              <w:left w:val="single" w:sz="8" w:space="0" w:color="FFFFFF"/>
              <w:bottom w:val="nil"/>
              <w:right w:val="nil"/>
            </w:tcBorders>
            <w:shd w:val="clear" w:color="auto" w:fill="E6E6EA"/>
          </w:tcPr>
          <w:p w14:paraId="2F162DC5" w14:textId="77777777" w:rsidR="007F6037" w:rsidRDefault="00EE67DE" w:rsidP="00D16F9A">
            <w:pPr>
              <w:pStyle w:val="TableTextRight"/>
              <w:rPr>
                <w:rFonts w:eastAsia="Arial"/>
              </w:rPr>
            </w:pPr>
            <w:r>
              <w:rPr>
                <w:rFonts w:eastAsia="Arial"/>
                <w:spacing w:val="-10"/>
              </w:rPr>
              <w:t>1</w:t>
            </w:r>
            <w:r>
              <w:rPr>
                <w:rFonts w:eastAsia="Arial"/>
              </w:rPr>
              <w:t>,</w:t>
            </w:r>
            <w:r>
              <w:rPr>
                <w:rFonts w:eastAsia="Arial"/>
                <w:spacing w:val="2"/>
              </w:rPr>
              <w:t>5</w:t>
            </w:r>
            <w:r>
              <w:rPr>
                <w:rFonts w:eastAsia="Arial"/>
                <w:spacing w:val="4"/>
              </w:rPr>
              <w:t>0</w:t>
            </w:r>
            <w:r>
              <w:rPr>
                <w:rFonts w:eastAsia="Arial"/>
              </w:rPr>
              <w:t>0</w:t>
            </w:r>
          </w:p>
        </w:tc>
      </w:tr>
      <w:tr w:rsidR="007F6037" w14:paraId="01031453" w14:textId="77777777" w:rsidTr="00D16F9A">
        <w:trPr>
          <w:trHeight w:val="20"/>
        </w:trPr>
        <w:tc>
          <w:tcPr>
            <w:tcW w:w="907" w:type="dxa"/>
            <w:tcBorders>
              <w:top w:val="nil"/>
              <w:left w:val="nil"/>
              <w:bottom w:val="single" w:sz="8" w:space="0" w:color="FFFFFF"/>
              <w:right w:val="single" w:sz="8" w:space="0" w:color="FFFFFF"/>
            </w:tcBorders>
            <w:shd w:val="clear" w:color="auto" w:fill="E6E6EA"/>
          </w:tcPr>
          <w:p w14:paraId="2E1DA0E1" w14:textId="77777777" w:rsidR="007F6037" w:rsidRPr="00D16F9A" w:rsidRDefault="00EE67DE" w:rsidP="00D16F9A">
            <w:pPr>
              <w:pStyle w:val="TableTextLeft"/>
              <w:rPr>
                <w:rFonts w:eastAsia="Arial"/>
                <w:b/>
              </w:rPr>
            </w:pPr>
            <w:r w:rsidRPr="00D16F9A">
              <w:rPr>
                <w:rFonts w:eastAsia="Arial"/>
                <w:b/>
                <w:w w:val="106"/>
              </w:rPr>
              <w:t>2</w:t>
            </w:r>
            <w:r w:rsidRPr="00D16F9A">
              <w:rPr>
                <w:rFonts w:eastAsia="Arial"/>
                <w:b/>
                <w:spacing w:val="-1"/>
                <w:w w:val="106"/>
              </w:rPr>
              <w:t>0</w:t>
            </w:r>
            <w:r w:rsidRPr="00D16F9A">
              <w:rPr>
                <w:rFonts w:eastAsia="Arial"/>
                <w:b/>
                <w:spacing w:val="-3"/>
                <w:w w:val="106"/>
              </w:rPr>
              <w:t>2</w:t>
            </w:r>
            <w:r w:rsidRPr="00D16F9A">
              <w:rPr>
                <w:rFonts w:eastAsia="Arial"/>
                <w:b/>
                <w:spacing w:val="-4"/>
                <w:w w:val="106"/>
              </w:rPr>
              <w:t>1</w:t>
            </w:r>
            <w:r w:rsidRPr="00D16F9A">
              <w:rPr>
                <w:rFonts w:eastAsia="Arial"/>
                <w:b/>
                <w:spacing w:val="-5"/>
                <w:w w:val="101"/>
              </w:rPr>
              <w:t>-</w:t>
            </w:r>
            <w:r w:rsidRPr="00D16F9A">
              <w:rPr>
                <w:rFonts w:eastAsia="Arial"/>
                <w:b/>
                <w:w w:val="106"/>
              </w:rPr>
              <w:t>22</w:t>
            </w:r>
          </w:p>
        </w:tc>
        <w:tc>
          <w:tcPr>
            <w:tcW w:w="907" w:type="dxa"/>
            <w:tcBorders>
              <w:top w:val="nil"/>
              <w:left w:val="single" w:sz="8" w:space="0" w:color="FFFFFF"/>
              <w:bottom w:val="single" w:sz="8" w:space="0" w:color="FFFFFF"/>
              <w:right w:val="nil"/>
            </w:tcBorders>
            <w:shd w:val="clear" w:color="auto" w:fill="E6E6EA"/>
          </w:tcPr>
          <w:p w14:paraId="41B191BC" w14:textId="77777777" w:rsidR="007F6037" w:rsidRDefault="00EE67DE" w:rsidP="00D16F9A">
            <w:pPr>
              <w:pStyle w:val="TableTextRight"/>
              <w:rPr>
                <w:rFonts w:eastAsia="Arial"/>
              </w:rPr>
            </w:pPr>
            <w:r>
              <w:rPr>
                <w:rFonts w:eastAsia="Arial"/>
                <w:spacing w:val="-2"/>
              </w:rPr>
              <w:t>4</w:t>
            </w:r>
            <w:r>
              <w:rPr>
                <w:rFonts w:eastAsia="Arial"/>
                <w:spacing w:val="-6"/>
              </w:rPr>
              <w:t>21</w:t>
            </w:r>
          </w:p>
        </w:tc>
        <w:tc>
          <w:tcPr>
            <w:tcW w:w="907" w:type="dxa"/>
            <w:tcBorders>
              <w:top w:val="single" w:sz="8" w:space="0" w:color="FFFFFF"/>
              <w:left w:val="nil"/>
              <w:bottom w:val="single" w:sz="8" w:space="0" w:color="FFFFFF"/>
              <w:right w:val="single" w:sz="8" w:space="0" w:color="FFFFFF"/>
            </w:tcBorders>
            <w:shd w:val="clear" w:color="auto" w:fill="E6E6EA"/>
          </w:tcPr>
          <w:p w14:paraId="5430AEE7" w14:textId="77777777" w:rsidR="007F6037" w:rsidRDefault="00EE67DE" w:rsidP="00D16F9A">
            <w:pPr>
              <w:pStyle w:val="TableTextRight"/>
              <w:rPr>
                <w:rFonts w:eastAsia="Arial"/>
              </w:rPr>
            </w:pPr>
            <w:r>
              <w:rPr>
                <w:rFonts w:eastAsia="Arial"/>
                <w:spacing w:val="-1"/>
              </w:rPr>
              <w:t>3</w:t>
            </w:r>
            <w:r>
              <w:rPr>
                <w:rFonts w:eastAsia="Arial"/>
                <w:spacing w:val="3"/>
              </w:rPr>
              <w:t>9</w:t>
            </w:r>
            <w:r>
              <w:rPr>
                <w:rFonts w:eastAsia="Arial"/>
              </w:rPr>
              <w:t>9</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6AB2AEBB" w14:textId="77777777" w:rsidR="007F6037" w:rsidRDefault="00EE67DE" w:rsidP="00D16F9A">
            <w:pPr>
              <w:pStyle w:val="TableTextRight"/>
              <w:rPr>
                <w:rFonts w:eastAsia="Arial"/>
              </w:rPr>
            </w:pPr>
            <w:r>
              <w:rPr>
                <w:rFonts w:eastAsia="Arial"/>
              </w:rPr>
              <w:t>3</w:t>
            </w:r>
            <w:r>
              <w:rPr>
                <w:rFonts w:eastAsia="Arial"/>
                <w:spacing w:val="6"/>
              </w:rPr>
              <w:t>6</w:t>
            </w:r>
            <w:r>
              <w:rPr>
                <w:rFonts w:eastAsia="Arial"/>
              </w:rPr>
              <w:t>4</w:t>
            </w:r>
          </w:p>
        </w:tc>
        <w:tc>
          <w:tcPr>
            <w:tcW w:w="1136" w:type="dxa"/>
            <w:tcBorders>
              <w:top w:val="single" w:sz="8" w:space="0" w:color="FFFFFF"/>
              <w:left w:val="single" w:sz="8" w:space="0" w:color="FFFFFF"/>
              <w:bottom w:val="single" w:sz="8" w:space="0" w:color="FFFFFF"/>
              <w:right w:val="nil"/>
            </w:tcBorders>
            <w:shd w:val="clear" w:color="auto" w:fill="E6E6EA"/>
          </w:tcPr>
          <w:p w14:paraId="63E61B77" w14:textId="77777777" w:rsidR="007F6037" w:rsidRDefault="00EE67DE" w:rsidP="00D16F9A">
            <w:pPr>
              <w:pStyle w:val="TableTextRight"/>
              <w:rPr>
                <w:rFonts w:eastAsia="Arial"/>
              </w:rPr>
            </w:pPr>
            <w:r>
              <w:rPr>
                <w:rFonts w:eastAsia="Arial"/>
                <w:spacing w:val="-7"/>
              </w:rPr>
              <w:t>1</w:t>
            </w:r>
            <w:r>
              <w:rPr>
                <w:rFonts w:eastAsia="Arial"/>
                <w:spacing w:val="4"/>
              </w:rPr>
              <w:t>0</w:t>
            </w:r>
            <w:r>
              <w:rPr>
                <w:rFonts w:eastAsia="Arial"/>
              </w:rPr>
              <w:t>4</w:t>
            </w:r>
          </w:p>
        </w:tc>
        <w:tc>
          <w:tcPr>
            <w:tcW w:w="678" w:type="dxa"/>
            <w:tcBorders>
              <w:top w:val="single" w:sz="8" w:space="0" w:color="FFFFFF"/>
              <w:left w:val="nil"/>
              <w:bottom w:val="single" w:sz="8" w:space="0" w:color="FFFFFF"/>
              <w:right w:val="single" w:sz="8" w:space="0" w:color="FFFFFF"/>
            </w:tcBorders>
            <w:shd w:val="clear" w:color="auto" w:fill="E6E6EA"/>
          </w:tcPr>
          <w:p w14:paraId="0DB894C7" w14:textId="77777777" w:rsidR="007F6037" w:rsidRDefault="00EE67DE" w:rsidP="00D16F9A">
            <w:pPr>
              <w:pStyle w:val="TableTextRight"/>
              <w:rPr>
                <w:rFonts w:eastAsia="Arial"/>
              </w:rPr>
            </w:pPr>
            <w:r>
              <w:rPr>
                <w:rFonts w:eastAsia="Arial"/>
                <w:spacing w:val="-10"/>
              </w:rPr>
              <w:t>1</w:t>
            </w:r>
            <w:r>
              <w:rPr>
                <w:rFonts w:eastAsia="Arial"/>
              </w:rPr>
              <w:t>53</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7D304306" w14:textId="77777777" w:rsidR="007F6037" w:rsidRDefault="00EE67DE" w:rsidP="00D16F9A">
            <w:pPr>
              <w:pStyle w:val="TableTextRight"/>
              <w:rPr>
                <w:rFonts w:eastAsia="Arial"/>
              </w:rPr>
            </w:pPr>
            <w:r>
              <w:rPr>
                <w:rFonts w:eastAsia="Arial"/>
                <w:spacing w:val="2"/>
              </w:rPr>
              <w:t>58</w:t>
            </w:r>
          </w:p>
        </w:tc>
        <w:tc>
          <w:tcPr>
            <w:tcW w:w="907" w:type="dxa"/>
            <w:tcBorders>
              <w:top w:val="single" w:sz="8" w:space="0" w:color="FFFFFF"/>
              <w:left w:val="single" w:sz="8" w:space="0" w:color="FFFFFF"/>
              <w:bottom w:val="single" w:sz="8" w:space="0" w:color="FFFFFF"/>
              <w:right w:val="nil"/>
            </w:tcBorders>
            <w:shd w:val="clear" w:color="auto" w:fill="E6E6EA"/>
          </w:tcPr>
          <w:p w14:paraId="3F8827E1" w14:textId="77777777" w:rsidR="007F6037" w:rsidRDefault="00EE67DE" w:rsidP="00D16F9A">
            <w:pPr>
              <w:pStyle w:val="TableTextRight"/>
              <w:rPr>
                <w:rFonts w:eastAsia="Arial"/>
              </w:rPr>
            </w:pPr>
            <w:r>
              <w:rPr>
                <w:rFonts w:eastAsia="Arial"/>
                <w:spacing w:val="-5"/>
              </w:rPr>
              <w:t>31</w:t>
            </w:r>
          </w:p>
        </w:tc>
        <w:tc>
          <w:tcPr>
            <w:tcW w:w="907" w:type="dxa"/>
            <w:tcBorders>
              <w:top w:val="nil"/>
              <w:left w:val="nil"/>
              <w:bottom w:val="single" w:sz="8" w:space="0" w:color="FFFFFF"/>
              <w:right w:val="single" w:sz="8" w:space="0" w:color="FFFFFF"/>
            </w:tcBorders>
            <w:shd w:val="clear" w:color="auto" w:fill="E6E6EA"/>
          </w:tcPr>
          <w:p w14:paraId="656EAF63" w14:textId="77777777" w:rsidR="007F6037" w:rsidRDefault="00EE67DE" w:rsidP="00D16F9A">
            <w:pPr>
              <w:pStyle w:val="TableTextRight"/>
              <w:rPr>
                <w:rFonts w:eastAsia="Arial"/>
              </w:rPr>
            </w:pPr>
            <w:r>
              <w:rPr>
                <w:rFonts w:eastAsia="Arial"/>
              </w:rPr>
              <w:t>70</w:t>
            </w:r>
          </w:p>
        </w:tc>
        <w:tc>
          <w:tcPr>
            <w:tcW w:w="907" w:type="dxa"/>
            <w:tcBorders>
              <w:top w:val="nil"/>
              <w:left w:val="single" w:sz="8" w:space="0" w:color="FFFFFF"/>
              <w:bottom w:val="single" w:sz="8" w:space="0" w:color="FFFFFF"/>
              <w:right w:val="nil"/>
            </w:tcBorders>
            <w:shd w:val="clear" w:color="auto" w:fill="E6E6EA"/>
          </w:tcPr>
          <w:p w14:paraId="624B6232" w14:textId="77777777" w:rsidR="007F6037" w:rsidRDefault="00EE67DE" w:rsidP="00D16F9A">
            <w:pPr>
              <w:pStyle w:val="TableTextRight"/>
              <w:rPr>
                <w:rFonts w:eastAsia="Arial"/>
              </w:rPr>
            </w:pPr>
            <w:r>
              <w:rPr>
                <w:rFonts w:eastAsia="Arial"/>
                <w:spacing w:val="-10"/>
              </w:rPr>
              <w:t>1</w:t>
            </w:r>
            <w:r>
              <w:rPr>
                <w:rFonts w:eastAsia="Arial"/>
                <w:spacing w:val="-1"/>
              </w:rPr>
              <w:t>,</w:t>
            </w:r>
            <w:r>
              <w:rPr>
                <w:rFonts w:eastAsia="Arial"/>
                <w:spacing w:val="3"/>
              </w:rPr>
              <w:t>6</w:t>
            </w:r>
            <w:r>
              <w:rPr>
                <w:rFonts w:eastAsia="Arial"/>
                <w:spacing w:val="4"/>
              </w:rPr>
              <w:t>0</w:t>
            </w:r>
            <w:r>
              <w:rPr>
                <w:rFonts w:eastAsia="Arial"/>
              </w:rPr>
              <w:t>0</w:t>
            </w:r>
          </w:p>
        </w:tc>
      </w:tr>
      <w:tr w:rsidR="007F6037" w14:paraId="0C5B22E0" w14:textId="77777777" w:rsidTr="00D16F9A">
        <w:trPr>
          <w:trHeight w:val="20"/>
        </w:trPr>
        <w:tc>
          <w:tcPr>
            <w:tcW w:w="907" w:type="dxa"/>
            <w:tcBorders>
              <w:top w:val="single" w:sz="8" w:space="0" w:color="FFFFFF"/>
              <w:left w:val="nil"/>
              <w:bottom w:val="nil"/>
              <w:right w:val="single" w:sz="8" w:space="0" w:color="FFFFFF"/>
            </w:tcBorders>
            <w:shd w:val="clear" w:color="auto" w:fill="9A9EB0"/>
          </w:tcPr>
          <w:p w14:paraId="6E2F66CD" w14:textId="77777777" w:rsidR="007F6037" w:rsidRPr="00D16F9A" w:rsidRDefault="00EE67DE" w:rsidP="00D16F9A">
            <w:pPr>
              <w:pStyle w:val="TableTextLeft"/>
              <w:rPr>
                <w:rFonts w:eastAsia="Arial"/>
                <w:b/>
              </w:rPr>
            </w:pPr>
            <w:r w:rsidRPr="00D16F9A">
              <w:rPr>
                <w:rFonts w:eastAsia="Arial"/>
                <w:b/>
                <w:spacing w:val="-7"/>
              </w:rPr>
              <w:t>T</w:t>
            </w:r>
            <w:r w:rsidRPr="00D16F9A">
              <w:rPr>
                <w:rFonts w:eastAsia="Arial"/>
                <w:b/>
                <w:spacing w:val="2"/>
              </w:rPr>
              <w:t>o</w:t>
            </w:r>
            <w:r w:rsidRPr="00D16F9A">
              <w:rPr>
                <w:rFonts w:eastAsia="Arial"/>
                <w:b/>
                <w:spacing w:val="4"/>
              </w:rPr>
              <w:t>t</w:t>
            </w:r>
            <w:r w:rsidRPr="00D16F9A">
              <w:rPr>
                <w:rFonts w:eastAsia="Arial"/>
                <w:b/>
                <w:spacing w:val="2"/>
              </w:rPr>
              <w:t>a</w:t>
            </w:r>
            <w:r w:rsidRPr="00D16F9A">
              <w:rPr>
                <w:rFonts w:eastAsia="Arial"/>
                <w:b/>
              </w:rPr>
              <w:t>l</w:t>
            </w:r>
          </w:p>
        </w:tc>
        <w:tc>
          <w:tcPr>
            <w:tcW w:w="907" w:type="dxa"/>
            <w:tcBorders>
              <w:top w:val="single" w:sz="8" w:space="0" w:color="FFFFFF"/>
              <w:left w:val="single" w:sz="8" w:space="0" w:color="FFFFFF"/>
              <w:bottom w:val="nil"/>
              <w:right w:val="nil"/>
            </w:tcBorders>
            <w:shd w:val="clear" w:color="auto" w:fill="9A9EB0"/>
          </w:tcPr>
          <w:p w14:paraId="2B87BE96" w14:textId="77777777" w:rsidR="007F6037" w:rsidRDefault="00EE67DE" w:rsidP="00D16F9A">
            <w:pPr>
              <w:pStyle w:val="TableTextRight"/>
              <w:rPr>
                <w:rFonts w:eastAsia="Arial"/>
              </w:rPr>
            </w:pPr>
            <w:r>
              <w:rPr>
                <w:rFonts w:eastAsia="Arial"/>
                <w:b/>
                <w:bCs/>
                <w:spacing w:val="-6"/>
                <w:w w:val="106"/>
              </w:rPr>
              <w:t>1</w:t>
            </w:r>
            <w:r>
              <w:rPr>
                <w:rFonts w:eastAsia="Arial"/>
                <w:b/>
                <w:bCs/>
                <w:spacing w:val="-2"/>
                <w:w w:val="106"/>
              </w:rPr>
              <w:t>,7</w:t>
            </w:r>
            <w:r>
              <w:rPr>
                <w:rFonts w:eastAsia="Arial"/>
                <w:b/>
                <w:bCs/>
                <w:spacing w:val="-1"/>
                <w:w w:val="106"/>
              </w:rPr>
              <w:t>3</w:t>
            </w:r>
            <w:r>
              <w:rPr>
                <w:rFonts w:eastAsia="Arial"/>
                <w:b/>
                <w:bCs/>
                <w:w w:val="106"/>
              </w:rPr>
              <w:t>3</w:t>
            </w:r>
          </w:p>
        </w:tc>
        <w:tc>
          <w:tcPr>
            <w:tcW w:w="907" w:type="dxa"/>
            <w:tcBorders>
              <w:top w:val="single" w:sz="8" w:space="0" w:color="FFFFFF"/>
              <w:left w:val="nil"/>
              <w:bottom w:val="nil"/>
              <w:right w:val="single" w:sz="8" w:space="0" w:color="FFFFFF"/>
            </w:tcBorders>
            <w:shd w:val="clear" w:color="auto" w:fill="9A9EB0"/>
          </w:tcPr>
          <w:p w14:paraId="11A745F4" w14:textId="77777777" w:rsidR="007F6037" w:rsidRDefault="00EE67DE" w:rsidP="00D16F9A">
            <w:pPr>
              <w:pStyle w:val="TableTextRight"/>
              <w:rPr>
                <w:rFonts w:eastAsia="Arial"/>
              </w:rPr>
            </w:pPr>
            <w:r>
              <w:rPr>
                <w:rFonts w:eastAsia="Arial"/>
                <w:b/>
                <w:bCs/>
                <w:spacing w:val="-6"/>
                <w:w w:val="106"/>
              </w:rPr>
              <w:t>1</w:t>
            </w:r>
            <w:r>
              <w:rPr>
                <w:rFonts w:eastAsia="Arial"/>
                <w:b/>
                <w:bCs/>
                <w:spacing w:val="-2"/>
                <w:w w:val="106"/>
              </w:rPr>
              <w:t>,</w:t>
            </w:r>
            <w:r>
              <w:rPr>
                <w:rFonts w:eastAsia="Arial"/>
                <w:b/>
                <w:bCs/>
                <w:spacing w:val="2"/>
                <w:w w:val="106"/>
              </w:rPr>
              <w:t>6</w:t>
            </w:r>
            <w:r>
              <w:rPr>
                <w:rFonts w:eastAsia="Arial"/>
                <w:b/>
                <w:bCs/>
                <w:spacing w:val="-1"/>
                <w:w w:val="106"/>
              </w:rPr>
              <w:t>3</w:t>
            </w:r>
            <w:r>
              <w:rPr>
                <w:rFonts w:eastAsia="Arial"/>
                <w:b/>
                <w:bCs/>
                <w:w w:val="106"/>
              </w:rPr>
              <w:t>7</w:t>
            </w:r>
          </w:p>
        </w:tc>
        <w:tc>
          <w:tcPr>
            <w:tcW w:w="907" w:type="dxa"/>
            <w:tcBorders>
              <w:top w:val="single" w:sz="8" w:space="0" w:color="FFFFFF"/>
              <w:left w:val="single" w:sz="8" w:space="0" w:color="FFFFFF"/>
              <w:bottom w:val="nil"/>
              <w:right w:val="single" w:sz="8" w:space="0" w:color="FFFFFF"/>
            </w:tcBorders>
            <w:shd w:val="clear" w:color="auto" w:fill="9A9EB0"/>
          </w:tcPr>
          <w:p w14:paraId="593363BA" w14:textId="77777777" w:rsidR="007F6037" w:rsidRDefault="00EE67DE" w:rsidP="00D16F9A">
            <w:pPr>
              <w:pStyle w:val="TableTextRight"/>
              <w:rPr>
                <w:rFonts w:eastAsia="Arial"/>
              </w:rPr>
            </w:pPr>
            <w:r>
              <w:rPr>
                <w:rFonts w:eastAsia="Arial"/>
                <w:b/>
                <w:bCs/>
                <w:spacing w:val="-6"/>
                <w:w w:val="106"/>
              </w:rPr>
              <w:t>1</w:t>
            </w:r>
            <w:r>
              <w:rPr>
                <w:rFonts w:eastAsia="Arial"/>
                <w:b/>
                <w:bCs/>
                <w:spacing w:val="3"/>
                <w:w w:val="106"/>
              </w:rPr>
              <w:t>,</w:t>
            </w:r>
            <w:r>
              <w:rPr>
                <w:rFonts w:eastAsia="Arial"/>
                <w:b/>
                <w:bCs/>
                <w:spacing w:val="2"/>
                <w:w w:val="106"/>
              </w:rPr>
              <w:t>4</w:t>
            </w:r>
            <w:r>
              <w:rPr>
                <w:rFonts w:eastAsia="Arial"/>
                <w:b/>
                <w:bCs/>
                <w:spacing w:val="-1"/>
                <w:w w:val="106"/>
              </w:rPr>
              <w:t>5</w:t>
            </w:r>
            <w:r>
              <w:rPr>
                <w:rFonts w:eastAsia="Arial"/>
                <w:b/>
                <w:bCs/>
                <w:w w:val="106"/>
              </w:rPr>
              <w:t>5</w:t>
            </w:r>
          </w:p>
        </w:tc>
        <w:tc>
          <w:tcPr>
            <w:tcW w:w="1136" w:type="dxa"/>
            <w:tcBorders>
              <w:top w:val="single" w:sz="8" w:space="0" w:color="FFFFFF"/>
              <w:left w:val="single" w:sz="8" w:space="0" w:color="FFFFFF"/>
              <w:bottom w:val="nil"/>
              <w:right w:val="nil"/>
            </w:tcBorders>
            <w:shd w:val="clear" w:color="auto" w:fill="9A9EB0"/>
          </w:tcPr>
          <w:p w14:paraId="2385B85B" w14:textId="77777777" w:rsidR="007F6037" w:rsidRDefault="00EE67DE" w:rsidP="00D16F9A">
            <w:pPr>
              <w:pStyle w:val="TableTextRight"/>
              <w:rPr>
                <w:rFonts w:eastAsia="Arial"/>
              </w:rPr>
            </w:pPr>
            <w:r>
              <w:rPr>
                <w:rFonts w:eastAsia="Arial"/>
                <w:b/>
                <w:bCs/>
                <w:spacing w:val="1"/>
                <w:w w:val="106"/>
              </w:rPr>
              <w:t>38</w:t>
            </w:r>
            <w:r>
              <w:rPr>
                <w:rFonts w:eastAsia="Arial"/>
                <w:b/>
                <w:bCs/>
                <w:w w:val="106"/>
              </w:rPr>
              <w:t>2</w:t>
            </w:r>
          </w:p>
        </w:tc>
        <w:tc>
          <w:tcPr>
            <w:tcW w:w="678" w:type="dxa"/>
            <w:tcBorders>
              <w:top w:val="single" w:sz="8" w:space="0" w:color="FFFFFF"/>
              <w:left w:val="nil"/>
              <w:bottom w:val="nil"/>
              <w:right w:val="single" w:sz="8" w:space="0" w:color="FFFFFF"/>
            </w:tcBorders>
            <w:shd w:val="clear" w:color="auto" w:fill="9A9EB0"/>
          </w:tcPr>
          <w:p w14:paraId="5BFE301B" w14:textId="77777777" w:rsidR="007F6037" w:rsidRDefault="00EE67DE" w:rsidP="00D16F9A">
            <w:pPr>
              <w:pStyle w:val="TableTextRight"/>
              <w:rPr>
                <w:rFonts w:eastAsia="Arial"/>
              </w:rPr>
            </w:pPr>
            <w:r>
              <w:rPr>
                <w:rFonts w:eastAsia="Arial"/>
                <w:b/>
                <w:bCs/>
                <w:spacing w:val="5"/>
                <w:w w:val="106"/>
              </w:rPr>
              <w:t>6</w:t>
            </w:r>
            <w:r>
              <w:rPr>
                <w:rFonts w:eastAsia="Arial"/>
                <w:b/>
                <w:bCs/>
                <w:spacing w:val="2"/>
                <w:w w:val="106"/>
              </w:rPr>
              <w:t>4</w:t>
            </w:r>
            <w:r>
              <w:rPr>
                <w:rFonts w:eastAsia="Arial"/>
                <w:b/>
                <w:bCs/>
                <w:w w:val="106"/>
              </w:rPr>
              <w:t>2</w:t>
            </w:r>
          </w:p>
        </w:tc>
        <w:tc>
          <w:tcPr>
            <w:tcW w:w="907" w:type="dxa"/>
            <w:tcBorders>
              <w:top w:val="single" w:sz="8" w:space="0" w:color="FFFFFF"/>
              <w:left w:val="single" w:sz="8" w:space="0" w:color="FFFFFF"/>
              <w:bottom w:val="nil"/>
              <w:right w:val="single" w:sz="8" w:space="0" w:color="FFFFFF"/>
            </w:tcBorders>
            <w:shd w:val="clear" w:color="auto" w:fill="9A9EB0"/>
          </w:tcPr>
          <w:p w14:paraId="41886CBA" w14:textId="77777777" w:rsidR="007F6037" w:rsidRDefault="00EE67DE" w:rsidP="00D16F9A">
            <w:pPr>
              <w:pStyle w:val="TableTextRight"/>
              <w:rPr>
                <w:rFonts w:eastAsia="Arial"/>
              </w:rPr>
            </w:pPr>
            <w:r>
              <w:rPr>
                <w:rFonts w:eastAsia="Arial"/>
                <w:b/>
                <w:bCs/>
                <w:spacing w:val="1"/>
                <w:w w:val="106"/>
              </w:rPr>
              <w:t>2</w:t>
            </w:r>
            <w:r>
              <w:rPr>
                <w:rFonts w:eastAsia="Arial"/>
                <w:b/>
                <w:bCs/>
                <w:spacing w:val="-1"/>
                <w:w w:val="106"/>
              </w:rPr>
              <w:t>39</w:t>
            </w:r>
          </w:p>
        </w:tc>
        <w:tc>
          <w:tcPr>
            <w:tcW w:w="907" w:type="dxa"/>
            <w:tcBorders>
              <w:top w:val="single" w:sz="8" w:space="0" w:color="FFFFFF"/>
              <w:left w:val="single" w:sz="8" w:space="0" w:color="FFFFFF"/>
              <w:bottom w:val="nil"/>
              <w:right w:val="nil"/>
            </w:tcBorders>
            <w:shd w:val="clear" w:color="auto" w:fill="9A9EB0"/>
          </w:tcPr>
          <w:p w14:paraId="29BFEB25" w14:textId="77777777" w:rsidR="007F6037" w:rsidRDefault="00EE67DE" w:rsidP="00D16F9A">
            <w:pPr>
              <w:pStyle w:val="TableTextRight"/>
              <w:rPr>
                <w:rFonts w:eastAsia="Arial"/>
              </w:rPr>
            </w:pPr>
            <w:r>
              <w:rPr>
                <w:rFonts w:eastAsia="Arial"/>
                <w:b/>
                <w:bCs/>
                <w:spacing w:val="-9"/>
                <w:w w:val="106"/>
              </w:rPr>
              <w:t>1</w:t>
            </w:r>
            <w:r>
              <w:rPr>
                <w:rFonts w:eastAsia="Arial"/>
                <w:b/>
                <w:bCs/>
                <w:w w:val="106"/>
              </w:rPr>
              <w:t>28</w:t>
            </w:r>
          </w:p>
        </w:tc>
        <w:tc>
          <w:tcPr>
            <w:tcW w:w="907" w:type="dxa"/>
            <w:tcBorders>
              <w:top w:val="single" w:sz="8" w:space="0" w:color="FFFFFF"/>
              <w:left w:val="nil"/>
              <w:bottom w:val="nil"/>
              <w:right w:val="single" w:sz="8" w:space="0" w:color="FFFFFF"/>
            </w:tcBorders>
            <w:shd w:val="clear" w:color="auto" w:fill="9A9EB0"/>
          </w:tcPr>
          <w:p w14:paraId="42ACC089" w14:textId="77777777" w:rsidR="007F6037" w:rsidRDefault="00EE67DE" w:rsidP="00D16F9A">
            <w:pPr>
              <w:pStyle w:val="TableTextRight"/>
              <w:rPr>
                <w:rFonts w:eastAsia="Arial"/>
              </w:rPr>
            </w:pPr>
            <w:r>
              <w:rPr>
                <w:rFonts w:eastAsia="Arial"/>
                <w:b/>
                <w:bCs/>
                <w:w w:val="106"/>
              </w:rPr>
              <w:t>2</w:t>
            </w:r>
            <w:r>
              <w:rPr>
                <w:rFonts w:eastAsia="Arial"/>
                <w:b/>
                <w:bCs/>
                <w:spacing w:val="2"/>
                <w:w w:val="106"/>
              </w:rPr>
              <w:t>8</w:t>
            </w:r>
            <w:r>
              <w:rPr>
                <w:rFonts w:eastAsia="Arial"/>
                <w:b/>
                <w:bCs/>
                <w:w w:val="106"/>
              </w:rPr>
              <w:t>3</w:t>
            </w:r>
          </w:p>
        </w:tc>
        <w:tc>
          <w:tcPr>
            <w:tcW w:w="907" w:type="dxa"/>
            <w:tcBorders>
              <w:top w:val="single" w:sz="8" w:space="0" w:color="FFFFFF"/>
              <w:left w:val="single" w:sz="8" w:space="0" w:color="FFFFFF"/>
              <w:bottom w:val="nil"/>
              <w:right w:val="nil"/>
            </w:tcBorders>
            <w:shd w:val="clear" w:color="auto" w:fill="9A9EB0"/>
          </w:tcPr>
          <w:p w14:paraId="7863164B" w14:textId="77777777" w:rsidR="007F6037" w:rsidRDefault="00EE67DE" w:rsidP="00D16F9A">
            <w:pPr>
              <w:pStyle w:val="TableTextRight"/>
              <w:rPr>
                <w:rFonts w:eastAsia="Arial"/>
              </w:rPr>
            </w:pPr>
            <w:r>
              <w:rPr>
                <w:rFonts w:eastAsia="Arial"/>
                <w:b/>
                <w:bCs/>
                <w:spacing w:val="1"/>
                <w:w w:val="106"/>
              </w:rPr>
              <w:t>6</w:t>
            </w:r>
            <w:r>
              <w:rPr>
                <w:rFonts w:eastAsia="Arial"/>
                <w:b/>
                <w:bCs/>
                <w:spacing w:val="2"/>
                <w:w w:val="106"/>
              </w:rPr>
              <w:t>,5</w:t>
            </w:r>
            <w:r>
              <w:rPr>
                <w:rFonts w:eastAsia="Arial"/>
                <w:b/>
                <w:bCs/>
                <w:spacing w:val="4"/>
                <w:w w:val="106"/>
              </w:rPr>
              <w:t>0</w:t>
            </w:r>
            <w:r>
              <w:rPr>
                <w:rFonts w:eastAsia="Arial"/>
                <w:b/>
                <w:bCs/>
                <w:w w:val="106"/>
              </w:rPr>
              <w:t>0</w:t>
            </w:r>
          </w:p>
        </w:tc>
      </w:tr>
    </w:tbl>
    <w:p w14:paraId="1F55A6F2" w14:textId="77777777" w:rsidR="007F6037" w:rsidRPr="00D16F9A" w:rsidRDefault="00EE67DE" w:rsidP="00D16F9A">
      <w:pPr>
        <w:pStyle w:val="ChartorTableNote"/>
        <w:rPr>
          <w:rFonts w:eastAsia="Arial"/>
        </w:rPr>
      </w:pPr>
      <w:r w:rsidRPr="00D16F9A">
        <w:rPr>
          <w:rFonts w:eastAsia="Arial"/>
        </w:rPr>
        <w:t>Totals may not sum due to rounding.</w:t>
      </w:r>
    </w:p>
    <w:p w14:paraId="33F254E7" w14:textId="77777777" w:rsidR="007F6037" w:rsidRPr="00833DBC" w:rsidRDefault="00EE67DE" w:rsidP="00833DBC">
      <w:pPr>
        <w:pStyle w:val="ChartMainHeading"/>
        <w:rPr>
          <w:rFonts w:eastAsia="Arial"/>
        </w:rPr>
      </w:pPr>
      <w:r w:rsidRPr="00833DBC">
        <w:rPr>
          <w:rFonts w:eastAsia="Arial"/>
        </w:rPr>
        <w:lastRenderedPageBreak/>
        <w:t>Figure 2: Projected growth in the GST pool</w:t>
      </w:r>
    </w:p>
    <w:p w14:paraId="72AFE43A" w14:textId="77777777" w:rsidR="00D16F9A" w:rsidRPr="00D16F9A" w:rsidRDefault="00833DBC" w:rsidP="00D16F9A">
      <w:pPr>
        <w:pStyle w:val="ChartGraphic"/>
        <w:rPr>
          <w:rFonts w:eastAsia="Arial"/>
        </w:rPr>
      </w:pPr>
      <w:r>
        <w:rPr>
          <w:rFonts w:eastAsia="Arial"/>
          <w:noProof/>
        </w:rPr>
        <w:drawing>
          <wp:inline distT="0" distB="0" distL="0" distR="0" wp14:anchorId="550C1A59" wp14:editId="4C5B9F19">
            <wp:extent cx="5749026" cy="2853175"/>
            <wp:effectExtent l="0" t="0" r="4445" b="4445"/>
            <wp:docPr id="306" name="Picture 306" descr="This chart shows the expected GST pool each year from 2008-09 to 2028-29. In particular, it shows that the GST pool is expected to continue to grow into the future." title="Figure 2 : Projected growth in the GST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 the GST pie.png"/>
                    <pic:cNvPicPr/>
                  </pic:nvPicPr>
                  <pic:blipFill>
                    <a:blip r:embed="rId26">
                      <a:extLst>
                        <a:ext uri="{28A0092B-C50C-407E-A947-70E740481C1C}">
                          <a14:useLocalDpi xmlns:a14="http://schemas.microsoft.com/office/drawing/2010/main" val="0"/>
                        </a:ext>
                      </a:extLst>
                    </a:blip>
                    <a:stretch>
                      <a:fillRect/>
                    </a:stretch>
                  </pic:blipFill>
                  <pic:spPr>
                    <a:xfrm>
                      <a:off x="0" y="0"/>
                      <a:ext cx="5749026" cy="2853175"/>
                    </a:xfrm>
                    <a:prstGeom prst="rect">
                      <a:avLst/>
                    </a:prstGeom>
                  </pic:spPr>
                </pic:pic>
              </a:graphicData>
            </a:graphic>
          </wp:inline>
        </w:drawing>
      </w:r>
    </w:p>
    <w:p w14:paraId="60D37BC1" w14:textId="77777777" w:rsidR="007F6037" w:rsidRPr="00D16F9A" w:rsidRDefault="00EE67DE" w:rsidP="00D16F9A">
      <w:pPr>
        <w:pStyle w:val="ChartorTableNote"/>
        <w:rPr>
          <w:rFonts w:eastAsia="Arial"/>
        </w:rPr>
      </w:pPr>
      <w:r w:rsidRPr="00D16F9A">
        <w:rPr>
          <w:rFonts w:eastAsia="Arial"/>
        </w:rPr>
        <w:t>Note: GST pool estimates up to 2016-17 are the total GST cash payments made to the States. GST pool estimates beyond 2016</w:t>
      </w:r>
      <w:r w:rsidR="002C3EF2">
        <w:rPr>
          <w:rFonts w:eastAsia="Arial"/>
        </w:rPr>
        <w:noBreakHyphen/>
      </w:r>
      <w:r w:rsidRPr="00D16F9A">
        <w:rPr>
          <w:rFonts w:eastAsia="Arial"/>
        </w:rPr>
        <w:t>17 are projections based on Treasury projections of total GST cash receipts.</w:t>
      </w:r>
    </w:p>
    <w:p w14:paraId="2C3F9087" w14:textId="77777777" w:rsidR="007F6037" w:rsidRDefault="007F6037">
      <w:pPr>
        <w:spacing w:after="0"/>
        <w:sectPr w:rsidR="007F6037" w:rsidSect="00833DBC">
          <w:type w:val="continuous"/>
          <w:pgSz w:w="11920" w:h="16840"/>
          <w:pgMar w:top="1134" w:right="1418" w:bottom="1418" w:left="1134" w:header="709" w:footer="709" w:gutter="0"/>
          <w:cols w:space="720"/>
          <w:docGrid w:linePitch="299"/>
        </w:sectPr>
      </w:pPr>
    </w:p>
    <w:p w14:paraId="1D9856B9" w14:textId="77777777" w:rsidR="007F6037" w:rsidRPr="00D16F9A" w:rsidRDefault="00EE67DE" w:rsidP="00D16F9A">
      <w:pPr>
        <w:pStyle w:val="Heading1"/>
        <w:rPr>
          <w:rFonts w:eastAsia="Arial"/>
        </w:rPr>
      </w:pPr>
      <w:bookmarkStart w:id="4" w:name="_Toc518559009"/>
      <w:r w:rsidRPr="00D16F9A">
        <w:rPr>
          <w:rFonts w:eastAsia="Arial"/>
        </w:rPr>
        <w:lastRenderedPageBreak/>
        <w:t>How does HFE work?</w:t>
      </w:r>
      <w:bookmarkEnd w:id="4"/>
    </w:p>
    <w:p w14:paraId="7843BC36" w14:textId="77777777" w:rsidR="007F6037" w:rsidRPr="00D16F9A" w:rsidRDefault="00D16F9A" w:rsidP="00D16F9A">
      <w:r w:rsidRPr="00D16F9A">
        <w:rPr>
          <w:rFonts w:eastAsia="Arial"/>
        </w:rPr>
        <w:t>Since the GST was first introduced it has been distributed each year based on the independent recommendations of the CGC.</w:t>
      </w:r>
    </w:p>
    <w:p w14:paraId="59986EFC" w14:textId="77777777" w:rsidR="007F6037" w:rsidRPr="00D16F9A" w:rsidRDefault="00EE67DE" w:rsidP="00D16F9A">
      <w:pPr>
        <w:rPr>
          <w:rFonts w:eastAsia="Arial"/>
        </w:rPr>
      </w:pPr>
      <w:r w:rsidRPr="00D16F9A">
        <w:rPr>
          <w:rFonts w:eastAsia="Arial"/>
        </w:rPr>
        <w:t xml:space="preserve">The CGC develops its recommendations by assessing the ‘fiscal capacity’ of each State. The </w:t>
      </w:r>
      <w:r w:rsidRPr="00B2088B">
        <w:rPr>
          <w:rFonts w:eastAsia="Arial"/>
          <w:b/>
        </w:rPr>
        <w:t>fiscal capacity</w:t>
      </w:r>
      <w:r w:rsidRPr="00D16F9A">
        <w:rPr>
          <w:rFonts w:eastAsia="Arial"/>
        </w:rPr>
        <w:t xml:space="preserve"> of a State represents</w:t>
      </w:r>
      <w:r w:rsidR="00D16F9A">
        <w:rPr>
          <w:rFonts w:eastAsia="Arial"/>
        </w:rPr>
        <w:t xml:space="preserve"> </w:t>
      </w:r>
      <w:r w:rsidRPr="00D16F9A">
        <w:rPr>
          <w:rFonts w:eastAsia="Arial"/>
        </w:rPr>
        <w:t>its capacity to raise revenue and to deliver the services and associated infrastructure required in that State using that revenue raising capacity.</w:t>
      </w:r>
    </w:p>
    <w:p w14:paraId="47E68DB1" w14:textId="77777777" w:rsidR="007F6037" w:rsidRPr="00D16F9A" w:rsidRDefault="00EE67DE" w:rsidP="00D16F9A">
      <w:pPr>
        <w:rPr>
          <w:rFonts w:eastAsia="Arial"/>
        </w:rPr>
      </w:pPr>
      <w:r w:rsidRPr="00D16F9A">
        <w:rPr>
          <w:rFonts w:eastAsia="Arial"/>
        </w:rPr>
        <w:t xml:space="preserve">Put simply, the current system of HFE seeks to </w:t>
      </w:r>
      <w:r w:rsidRPr="00B2088B">
        <w:rPr>
          <w:rFonts w:eastAsia="Arial"/>
          <w:b/>
        </w:rPr>
        <w:t>‘fully equalise’</w:t>
      </w:r>
      <w:r w:rsidRPr="00D16F9A">
        <w:rPr>
          <w:rFonts w:eastAsia="Arial"/>
        </w:rPr>
        <w:t xml:space="preserve"> the fiscal capacity of all</w:t>
      </w:r>
      <w:r w:rsidR="00B2088B">
        <w:rPr>
          <w:rFonts w:eastAsia="Arial"/>
        </w:rPr>
        <w:t xml:space="preserve"> </w:t>
      </w:r>
      <w:r w:rsidRPr="00D16F9A">
        <w:rPr>
          <w:rFonts w:eastAsia="Arial"/>
        </w:rPr>
        <w:t>the States by bringing each of their fiscal capacities up to the standard that has been adopted by the CGC, which is to equalise</w:t>
      </w:r>
      <w:r w:rsidR="00B2088B">
        <w:rPr>
          <w:rFonts w:eastAsia="Arial"/>
        </w:rPr>
        <w:t xml:space="preserve"> </w:t>
      </w:r>
      <w:r w:rsidRPr="00D16F9A">
        <w:rPr>
          <w:rFonts w:eastAsia="Arial"/>
        </w:rPr>
        <w:t>to the fiscal capacity of the strongest</w:t>
      </w:r>
      <w:r w:rsidR="00C42F8F">
        <w:rPr>
          <w:rFonts w:eastAsia="Arial"/>
        </w:rPr>
        <w:t xml:space="preserve"> </w:t>
      </w:r>
      <w:r w:rsidRPr="00D16F9A">
        <w:rPr>
          <w:rFonts w:eastAsia="Arial"/>
        </w:rPr>
        <w:t>State (see Figure 3). This has typically been New South Wales (NSW) or Victoria, however as a result of the mining boom recently this has been WA. This effectively means that fiscally stronger States support those States with less fiscal capacity. This system of equalisation has not been updated since the GST was introduced.</w:t>
      </w:r>
    </w:p>
    <w:p w14:paraId="72D69876" w14:textId="77777777" w:rsidR="007F6037" w:rsidRPr="00B2088B" w:rsidRDefault="00EE67DE" w:rsidP="00B2088B">
      <w:pPr>
        <w:pStyle w:val="ChartMainHeading"/>
        <w:rPr>
          <w:rFonts w:eastAsia="Arial"/>
        </w:rPr>
      </w:pPr>
      <w:r w:rsidRPr="00B2088B">
        <w:rPr>
          <w:rFonts w:eastAsia="Arial"/>
        </w:rPr>
        <w:t>Figure 3: Stages of the HFE process</w:t>
      </w:r>
    </w:p>
    <w:p w14:paraId="2DA3ECEA" w14:textId="77777777" w:rsidR="00B2088B" w:rsidRPr="00B2088B" w:rsidRDefault="00833DBC" w:rsidP="00B2088B">
      <w:pPr>
        <w:pStyle w:val="ChartGraphic"/>
        <w:rPr>
          <w:rFonts w:eastAsia="Arial"/>
        </w:rPr>
      </w:pPr>
      <w:r>
        <w:rPr>
          <w:rFonts w:eastAsia="Arial"/>
          <w:noProof/>
        </w:rPr>
        <w:drawing>
          <wp:inline distT="0" distB="0" distL="0" distR="0" wp14:anchorId="71F368F5" wp14:editId="220E67E8">
            <wp:extent cx="5511262" cy="3316511"/>
            <wp:effectExtent l="0" t="0" r="0" b="0"/>
            <wp:docPr id="307" name="Picture 307" descr="This figure illustrates the cumulative stages of the HFE process. Firstly, each State’s fiscal capacity is raised to that of the strongest State; the remainder of the GST pool is then distributed among all States on an equal per capita basis. The figure also notes that the size of the equalisation task (ie the proportion of the GST pool needed to bring all States up to the level of the strongest State) has increased from around 14-17 per cent in 2000-01 to 2007-08, to 70 per cent in 2016-17." title="Figure 3: Stages of the HF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sation steps.png"/>
                    <pic:cNvPicPr/>
                  </pic:nvPicPr>
                  <pic:blipFill>
                    <a:blip r:embed="rId27">
                      <a:extLst>
                        <a:ext uri="{28A0092B-C50C-407E-A947-70E740481C1C}">
                          <a14:useLocalDpi xmlns:a14="http://schemas.microsoft.com/office/drawing/2010/main" val="0"/>
                        </a:ext>
                      </a:extLst>
                    </a:blip>
                    <a:stretch>
                      <a:fillRect/>
                    </a:stretch>
                  </pic:blipFill>
                  <pic:spPr>
                    <a:xfrm>
                      <a:off x="0" y="0"/>
                      <a:ext cx="5511262" cy="3316511"/>
                    </a:xfrm>
                    <a:prstGeom prst="rect">
                      <a:avLst/>
                    </a:prstGeom>
                  </pic:spPr>
                </pic:pic>
              </a:graphicData>
            </a:graphic>
          </wp:inline>
        </w:drawing>
      </w:r>
    </w:p>
    <w:p w14:paraId="04C4A534" w14:textId="77777777" w:rsidR="007F6037" w:rsidRPr="00B2088B" w:rsidRDefault="00EE67DE" w:rsidP="00B2088B">
      <w:pPr>
        <w:pStyle w:val="ChartorTableNote"/>
        <w:rPr>
          <w:rFonts w:eastAsia="Arial"/>
        </w:rPr>
      </w:pPr>
      <w:r w:rsidRPr="00B2088B">
        <w:rPr>
          <w:rFonts w:eastAsia="Arial"/>
        </w:rPr>
        <w:t xml:space="preserve">ST1-ST6 </w:t>
      </w:r>
      <w:proofErr w:type="gramStart"/>
      <w:r w:rsidRPr="00B2088B">
        <w:rPr>
          <w:rFonts w:eastAsia="Arial"/>
        </w:rPr>
        <w:t>represent</w:t>
      </w:r>
      <w:proofErr w:type="gramEnd"/>
      <w:r w:rsidRPr="00B2088B">
        <w:rPr>
          <w:rFonts w:eastAsia="Arial"/>
        </w:rPr>
        <w:t xml:space="preserve"> six hypothetical States.</w:t>
      </w:r>
    </w:p>
    <w:p w14:paraId="0702675A" w14:textId="77777777" w:rsidR="007F6037" w:rsidRPr="00B2088B" w:rsidRDefault="00EE67DE" w:rsidP="00B2088B">
      <w:pPr>
        <w:pStyle w:val="ChartorTableNote"/>
        <w:rPr>
          <w:rFonts w:eastAsia="Arial"/>
        </w:rPr>
      </w:pPr>
      <w:r w:rsidRPr="00B2088B">
        <w:rPr>
          <w:rFonts w:eastAsia="Arial"/>
        </w:rPr>
        <w:t>Source: based on Productivity Commission data, Horizontal Fiscal Equalisation, Report no. 88.</w:t>
      </w:r>
    </w:p>
    <w:p w14:paraId="78AA2160" w14:textId="77777777" w:rsidR="007F6037" w:rsidRPr="00B2088B" w:rsidRDefault="00EE67DE" w:rsidP="00B2088B">
      <w:pPr>
        <w:rPr>
          <w:rFonts w:eastAsia="Arial"/>
        </w:rPr>
      </w:pPr>
      <w:r w:rsidRPr="00B2088B">
        <w:rPr>
          <w:rFonts w:eastAsia="Arial"/>
        </w:rPr>
        <w:t>The CGC has developed a complex formula to assess each State’s fiscal capacity across a broad range of indicators – comprising</w:t>
      </w:r>
      <w:r w:rsidR="00B2088B">
        <w:rPr>
          <w:rFonts w:eastAsia="Arial"/>
        </w:rPr>
        <w:t xml:space="preserve"> </w:t>
      </w:r>
      <w:r w:rsidRPr="00B2088B">
        <w:rPr>
          <w:rFonts w:eastAsia="Arial"/>
        </w:rPr>
        <w:t>seven individual revenue sources and eleven expenditure categories – and then bring this all together to calculate each State’s overall relative fiscal capacity.</w:t>
      </w:r>
    </w:p>
    <w:p w14:paraId="31CF52BE" w14:textId="77777777" w:rsidR="00B2088B" w:rsidRPr="00B2088B" w:rsidRDefault="00EE67DE" w:rsidP="00B2088B">
      <w:pPr>
        <w:rPr>
          <w:rFonts w:eastAsia="Arial"/>
        </w:rPr>
      </w:pPr>
      <w:r w:rsidRPr="00B2088B">
        <w:rPr>
          <w:rFonts w:eastAsia="Arial"/>
        </w:rPr>
        <w:t xml:space="preserve">In assessing the States’ relative fiscal capacities, the CGC takes into account </w:t>
      </w:r>
      <w:r w:rsidRPr="00B2088B">
        <w:rPr>
          <w:rFonts w:eastAsia="Arial"/>
          <w:b/>
        </w:rPr>
        <w:t>material factors</w:t>
      </w:r>
      <w:r w:rsidRPr="00B2088B">
        <w:rPr>
          <w:rFonts w:eastAsia="Arial"/>
        </w:rPr>
        <w:t xml:space="preserve"> affecting each State’s revenue and expenses that are beyond an individual State’s control (e.g. socio-demographic factors, population size, remoteness, indigeneity and natural endowments such as mineral resources).</w:t>
      </w:r>
    </w:p>
    <w:p w14:paraId="79A61EF5" w14:textId="77777777" w:rsidR="007F6037" w:rsidRPr="00B2088B" w:rsidRDefault="00EE67DE" w:rsidP="00B2088B">
      <w:pPr>
        <w:rPr>
          <w:rFonts w:eastAsia="Arial"/>
        </w:rPr>
      </w:pPr>
      <w:r w:rsidRPr="00B2088B">
        <w:rPr>
          <w:rFonts w:eastAsia="Arial"/>
        </w:rPr>
        <w:t xml:space="preserve">The CGC then calculates how much GST each State would need to be able to deliver services and infrastructure to the </w:t>
      </w:r>
      <w:r w:rsidRPr="00B2088B">
        <w:rPr>
          <w:rFonts w:eastAsia="Arial"/>
          <w:b/>
        </w:rPr>
        <w:t>same standard</w:t>
      </w:r>
      <w:r w:rsidRPr="00B2088B">
        <w:rPr>
          <w:rFonts w:eastAsia="Arial"/>
        </w:rPr>
        <w:t xml:space="preserve"> as</w:t>
      </w:r>
      <w:r w:rsidR="00B2088B" w:rsidRPr="00B2088B">
        <w:rPr>
          <w:rFonts w:eastAsia="Arial"/>
        </w:rPr>
        <w:t xml:space="preserve"> </w:t>
      </w:r>
      <w:r w:rsidRPr="00B2088B">
        <w:rPr>
          <w:rFonts w:eastAsia="Arial"/>
        </w:rPr>
        <w:t xml:space="preserve">all other States, if each made the </w:t>
      </w:r>
      <w:r w:rsidRPr="00B2088B">
        <w:rPr>
          <w:rFonts w:eastAsia="Arial"/>
          <w:b/>
        </w:rPr>
        <w:t>same effort</w:t>
      </w:r>
      <w:r w:rsidRPr="00B2088B">
        <w:rPr>
          <w:rFonts w:eastAsia="Arial"/>
        </w:rPr>
        <w:t xml:space="preserve"> to raise revenue from its own sources and operated at the </w:t>
      </w:r>
      <w:r w:rsidRPr="00B2088B">
        <w:rPr>
          <w:rFonts w:eastAsia="Arial"/>
          <w:b/>
        </w:rPr>
        <w:t>same level of efficiency</w:t>
      </w:r>
      <w:r w:rsidRPr="00B2088B">
        <w:rPr>
          <w:rFonts w:eastAsia="Arial"/>
        </w:rPr>
        <w:t>.</w:t>
      </w:r>
    </w:p>
    <w:p w14:paraId="74FE9855" w14:textId="77777777" w:rsidR="007F6037" w:rsidRPr="00B2088B" w:rsidRDefault="00EE67DE" w:rsidP="00B2088B">
      <w:pPr>
        <w:rPr>
          <w:rFonts w:eastAsia="Arial"/>
        </w:rPr>
      </w:pPr>
      <w:r w:rsidRPr="00B2088B">
        <w:rPr>
          <w:rFonts w:eastAsia="Arial"/>
        </w:rPr>
        <w:t xml:space="preserve">The CGC’s recommendations are represented as per capita relativities. </w:t>
      </w:r>
      <w:proofErr w:type="gramStart"/>
      <w:r w:rsidRPr="00B2088B">
        <w:rPr>
          <w:rFonts w:eastAsia="Arial"/>
        </w:rPr>
        <w:t>A relativity</w:t>
      </w:r>
      <w:proofErr w:type="gramEnd"/>
      <w:r w:rsidRPr="00B2088B">
        <w:rPr>
          <w:rFonts w:eastAsia="Arial"/>
        </w:rPr>
        <w:t xml:space="preserve"> above one means that State is effectively subsidised because it receives more than its population share of GST. </w:t>
      </w:r>
      <w:proofErr w:type="gramStart"/>
      <w:r w:rsidRPr="00B2088B">
        <w:rPr>
          <w:rFonts w:eastAsia="Arial"/>
        </w:rPr>
        <w:t>A relativity</w:t>
      </w:r>
      <w:proofErr w:type="gramEnd"/>
      <w:r w:rsidRPr="00B2088B">
        <w:rPr>
          <w:rFonts w:eastAsia="Arial"/>
        </w:rPr>
        <w:t xml:space="preserve"> below one means that a State receives less than its population share of GST.</w:t>
      </w:r>
    </w:p>
    <w:p w14:paraId="6626F454" w14:textId="77777777" w:rsidR="007F6037" w:rsidRPr="00617872" w:rsidRDefault="00EE67DE" w:rsidP="00617872">
      <w:pPr>
        <w:rPr>
          <w:rFonts w:eastAsia="Arial"/>
        </w:rPr>
      </w:pPr>
      <w:r w:rsidRPr="00B2088B">
        <w:rPr>
          <w:rFonts w:eastAsia="Arial"/>
        </w:rPr>
        <w:lastRenderedPageBreak/>
        <w:t>While the CGC currently aims to ensure that each State has the capacity to deliver services to the same standard as other States, this does not mean that all States will actually deliver</w:t>
      </w:r>
      <w:r w:rsidR="00B2088B" w:rsidRPr="00B2088B">
        <w:rPr>
          <w:rFonts w:eastAsia="Arial"/>
        </w:rPr>
        <w:t xml:space="preserve"> </w:t>
      </w:r>
      <w:r w:rsidRPr="00B2088B">
        <w:rPr>
          <w:rFonts w:eastAsia="Arial"/>
        </w:rPr>
        <w:t>the same level of services. Since the GST is provided as an untied payment, each State retains the autonomy to determine actual expenditure and revenue policies.</w:t>
      </w:r>
    </w:p>
    <w:p w14:paraId="7F7839AA" w14:textId="77777777" w:rsidR="007F6037" w:rsidRPr="00B2088B" w:rsidRDefault="00EE67DE" w:rsidP="00B2088B">
      <w:pPr>
        <w:pStyle w:val="Heading1"/>
        <w:rPr>
          <w:rFonts w:eastAsia="Arial"/>
        </w:rPr>
      </w:pPr>
      <w:bookmarkStart w:id="5" w:name="_Toc518559010"/>
      <w:r w:rsidRPr="00B2088B">
        <w:rPr>
          <w:rFonts w:eastAsia="Arial"/>
        </w:rPr>
        <w:lastRenderedPageBreak/>
        <w:t>HFE has been part of our system</w:t>
      </w:r>
      <w:r w:rsidR="00B2088B" w:rsidRPr="00B2088B">
        <w:rPr>
          <w:rFonts w:eastAsia="Arial"/>
        </w:rPr>
        <w:t xml:space="preserve"> </w:t>
      </w:r>
      <w:r w:rsidRPr="00B2088B">
        <w:rPr>
          <w:rFonts w:eastAsia="Arial"/>
        </w:rPr>
        <w:t>since federation</w:t>
      </w:r>
      <w:bookmarkEnd w:id="5"/>
    </w:p>
    <w:p w14:paraId="42493854" w14:textId="77777777" w:rsidR="007F6037" w:rsidRPr="00B2088B" w:rsidRDefault="00EE67DE" w:rsidP="00B2088B">
      <w:pPr>
        <w:rPr>
          <w:rFonts w:eastAsia="Arial"/>
        </w:rPr>
      </w:pPr>
      <w:r w:rsidRPr="00B2088B">
        <w:rPr>
          <w:rFonts w:eastAsia="Arial"/>
        </w:rPr>
        <w:t>Since Federation, the Commonwealth has needed to provide assistance to various States to ensure the standard of government services was not significantly different across the Commonwealth. The way funding has been distributed to the States has evolved over time.</w:t>
      </w:r>
    </w:p>
    <w:p w14:paraId="0E02B4E0" w14:textId="77777777" w:rsidR="007F6037" w:rsidRPr="00B2088B" w:rsidRDefault="00EE67DE" w:rsidP="00B2088B">
      <w:pPr>
        <w:rPr>
          <w:rFonts w:eastAsia="Arial"/>
        </w:rPr>
      </w:pPr>
      <w:r w:rsidRPr="00B2088B">
        <w:rPr>
          <w:rFonts w:eastAsia="Arial"/>
        </w:rPr>
        <w:t>While the general concept of equalisation has been a critical component of our nation since Federation, the notion of ‘full’ equalisation</w:t>
      </w:r>
      <w:r w:rsidR="00B2088B" w:rsidRPr="00B2088B">
        <w:rPr>
          <w:rFonts w:eastAsia="Arial"/>
        </w:rPr>
        <w:t xml:space="preserve"> </w:t>
      </w:r>
      <w:r w:rsidRPr="00B2088B">
        <w:rPr>
          <w:rFonts w:eastAsia="Arial"/>
        </w:rPr>
        <w:t>is a much more recent development. Notably, much of Australia’s HFE history is more appropriately characterised as</w:t>
      </w:r>
      <w:r w:rsidR="00B2088B" w:rsidRPr="00B2088B">
        <w:rPr>
          <w:rFonts w:eastAsia="Arial"/>
        </w:rPr>
        <w:t xml:space="preserve"> </w:t>
      </w:r>
      <w:r w:rsidRPr="00B2088B">
        <w:rPr>
          <w:rFonts w:eastAsia="Arial"/>
        </w:rPr>
        <w:t>‘reasonable’ equalisation.</w:t>
      </w:r>
    </w:p>
    <w:p w14:paraId="18E1BE5C" w14:textId="77777777" w:rsidR="007F6037" w:rsidRPr="00B2088B" w:rsidRDefault="00EE67DE" w:rsidP="00B2088B">
      <w:pPr>
        <w:rPr>
          <w:rFonts w:eastAsia="Arial"/>
        </w:rPr>
      </w:pPr>
      <w:r w:rsidRPr="00B2088B">
        <w:rPr>
          <w:rFonts w:eastAsia="Arial"/>
        </w:rPr>
        <w:t>The introduction of the GST in 2000 marked the most recent development in the evolution to Australia’s current system of equalisation. From this point forward,</w:t>
      </w:r>
      <w:r w:rsidR="00B2088B">
        <w:rPr>
          <w:rFonts w:eastAsia="Arial"/>
        </w:rPr>
        <w:t xml:space="preserve"> </w:t>
      </w:r>
      <w:r w:rsidRPr="00B2088B">
        <w:rPr>
          <w:rFonts w:eastAsia="Arial"/>
        </w:rPr>
        <w:t>the sharing of all GST revenue amongst the States has meant that the weaker States are effectively subsidised by the stronger States, rather than entirely through grants from the Commonwealth Government.</w:t>
      </w:r>
    </w:p>
    <w:p w14:paraId="27507FC1" w14:textId="77777777" w:rsidR="007F6037" w:rsidRPr="00833DBC" w:rsidRDefault="00EE67DE" w:rsidP="00833DBC">
      <w:pPr>
        <w:pStyle w:val="ChartMainHeading"/>
        <w:rPr>
          <w:rFonts w:eastAsia="Arial"/>
        </w:rPr>
      </w:pPr>
      <w:r w:rsidRPr="00833DBC">
        <w:rPr>
          <w:rFonts w:eastAsia="Arial"/>
        </w:rPr>
        <w:t>Figure 4: HFE since Federation</w:t>
      </w:r>
    </w:p>
    <w:p w14:paraId="5641C8A8" w14:textId="77777777" w:rsidR="00B2088B" w:rsidRPr="00B2088B" w:rsidRDefault="00833DBC" w:rsidP="00B2088B">
      <w:pPr>
        <w:pStyle w:val="ChartGraphic"/>
        <w:rPr>
          <w:rFonts w:eastAsia="Arial"/>
        </w:rPr>
      </w:pPr>
      <w:r>
        <w:rPr>
          <w:rFonts w:eastAsia="Arial"/>
          <w:noProof/>
        </w:rPr>
        <w:drawing>
          <wp:inline distT="0" distB="0" distL="0" distR="0" wp14:anchorId="1DB4EE26" wp14:editId="4120EA7E">
            <wp:extent cx="5767316" cy="4291956"/>
            <wp:effectExtent l="0" t="0" r="5080" b="0"/>
            <wp:docPr id="308" name="Picture 308" descr="This graphic presents a chronological description of the major changes since 1901 in the mechanisms used to achieve HFE in Australia. Of note, prior to 1981 HFE strived for less-than-full equalisation, while since 1981 it has strived for full equalisation." title="Figure 4: HFE since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of HFE in Australia_final.png"/>
                    <pic:cNvPicPr/>
                  </pic:nvPicPr>
                  <pic:blipFill>
                    <a:blip r:embed="rId28">
                      <a:extLst>
                        <a:ext uri="{28A0092B-C50C-407E-A947-70E740481C1C}">
                          <a14:useLocalDpi xmlns:a14="http://schemas.microsoft.com/office/drawing/2010/main" val="0"/>
                        </a:ext>
                      </a:extLst>
                    </a:blip>
                    <a:stretch>
                      <a:fillRect/>
                    </a:stretch>
                  </pic:blipFill>
                  <pic:spPr>
                    <a:xfrm>
                      <a:off x="0" y="0"/>
                      <a:ext cx="5767316" cy="4291956"/>
                    </a:xfrm>
                    <a:prstGeom prst="rect">
                      <a:avLst/>
                    </a:prstGeom>
                  </pic:spPr>
                </pic:pic>
              </a:graphicData>
            </a:graphic>
          </wp:inline>
        </w:drawing>
      </w:r>
    </w:p>
    <w:p w14:paraId="34BBC20E" w14:textId="77777777" w:rsidR="007F6037" w:rsidRPr="00B2088B" w:rsidRDefault="00EE67DE" w:rsidP="00B2088B">
      <w:pPr>
        <w:pStyle w:val="ChartorTableNote"/>
        <w:rPr>
          <w:rFonts w:eastAsia="Arial"/>
        </w:rPr>
      </w:pPr>
      <w:r w:rsidRPr="00B2088B">
        <w:rPr>
          <w:rFonts w:eastAsia="Arial"/>
        </w:rPr>
        <w:t>Source: Treasury, Productivity Commission.</w:t>
      </w:r>
    </w:p>
    <w:p w14:paraId="22105194" w14:textId="77777777" w:rsidR="007F6037" w:rsidRPr="00B2088B" w:rsidRDefault="00EE67DE" w:rsidP="00B2088B">
      <w:pPr>
        <w:pStyle w:val="Heading1"/>
        <w:rPr>
          <w:rFonts w:eastAsia="Arial"/>
        </w:rPr>
      </w:pPr>
      <w:bookmarkStart w:id="6" w:name="_Toc518559011"/>
      <w:r w:rsidRPr="00B2088B">
        <w:rPr>
          <w:rFonts w:eastAsia="Arial"/>
        </w:rPr>
        <w:lastRenderedPageBreak/>
        <w:t>The current HFE system was not</w:t>
      </w:r>
      <w:r w:rsidR="00B2088B" w:rsidRPr="00B2088B">
        <w:rPr>
          <w:rFonts w:eastAsia="Arial"/>
        </w:rPr>
        <w:t xml:space="preserve"> </w:t>
      </w:r>
      <w:r w:rsidRPr="00B2088B">
        <w:rPr>
          <w:rFonts w:eastAsia="Arial"/>
        </w:rPr>
        <w:t>designed to deal with significant economic shocks</w:t>
      </w:r>
      <w:bookmarkEnd w:id="6"/>
    </w:p>
    <w:p w14:paraId="671660F9" w14:textId="77777777" w:rsidR="007F6037" w:rsidRPr="00B2088B" w:rsidRDefault="00EE67DE" w:rsidP="00B2088B">
      <w:pPr>
        <w:rPr>
          <w:rFonts w:eastAsia="Arial"/>
        </w:rPr>
      </w:pPr>
      <w:r w:rsidRPr="00B2088B">
        <w:rPr>
          <w:rFonts w:eastAsia="Arial"/>
        </w:rPr>
        <w:t>The PC’s report highlights how the GST distribution system can result in perverse outcomes when faced with economic shocks.</w:t>
      </w:r>
    </w:p>
    <w:p w14:paraId="609311DD" w14:textId="77777777" w:rsidR="007F6037" w:rsidRPr="00B2088B" w:rsidRDefault="00EE67DE" w:rsidP="00B2088B">
      <w:pPr>
        <w:rPr>
          <w:rFonts w:eastAsia="Arial"/>
        </w:rPr>
      </w:pPr>
      <w:r w:rsidRPr="00B2088B">
        <w:rPr>
          <w:rFonts w:eastAsia="Arial"/>
        </w:rPr>
        <w:t>In recent years, the effects of the mining boom have created extraordinary volatility in GST distribution outcomes, particularly for WA, undermining community faith in the current system of HFE. The resulting divergence in GST relativities remains in the system today (Figure 5).</w:t>
      </w:r>
    </w:p>
    <w:p w14:paraId="05212A39" w14:textId="77777777" w:rsidR="007F6037" w:rsidRPr="00B2088B" w:rsidRDefault="00EE67DE" w:rsidP="00B2088B">
      <w:r w:rsidRPr="00B2088B">
        <w:rPr>
          <w:rFonts w:eastAsia="Arial"/>
        </w:rPr>
        <w:t>As a result of the effects of the mining boom, WA’s relativity fell and eventually reached</w:t>
      </w:r>
      <w:r w:rsidR="00B2088B" w:rsidRPr="00B2088B">
        <w:rPr>
          <w:rFonts w:eastAsia="Arial"/>
        </w:rPr>
        <w:t xml:space="preserve"> </w:t>
      </w:r>
      <w:r w:rsidR="00833DBC">
        <w:rPr>
          <w:rFonts w:eastAsia="Arial"/>
        </w:rPr>
        <w:t>less than 30 </w:t>
      </w:r>
      <w:r w:rsidRPr="00B2088B">
        <w:rPr>
          <w:rFonts w:eastAsia="Arial"/>
        </w:rPr>
        <w:t>cents in the dollar per person of</w:t>
      </w:r>
      <w:r w:rsidR="00B2088B" w:rsidRPr="00B2088B">
        <w:rPr>
          <w:rFonts w:eastAsia="Arial"/>
        </w:rPr>
        <w:t xml:space="preserve"> </w:t>
      </w:r>
      <w:r w:rsidRPr="00B2088B">
        <w:rPr>
          <w:rFonts w:eastAsia="Arial"/>
        </w:rPr>
        <w:t>GST, compared to $1.13 in Queensland and</w:t>
      </w:r>
      <w:r w:rsidR="00B2088B" w:rsidRPr="00B2088B">
        <w:rPr>
          <w:rFonts w:eastAsia="Arial"/>
        </w:rPr>
        <w:t xml:space="preserve"> </w:t>
      </w:r>
      <w:r w:rsidRPr="00B2088B">
        <w:rPr>
          <w:rFonts w:eastAsia="Arial"/>
        </w:rPr>
        <w:t>95 cents in NSW (in 2015</w:t>
      </w:r>
      <w:r w:rsidR="00833DBC">
        <w:rPr>
          <w:rFonts w:eastAsia="Arial"/>
        </w:rPr>
        <w:noBreakHyphen/>
      </w:r>
      <w:r w:rsidRPr="00B2088B">
        <w:rPr>
          <w:rFonts w:eastAsia="Arial"/>
        </w:rPr>
        <w:t xml:space="preserve">16). A decade ago, before the mining boom, WA was receiving above a full dollar </w:t>
      </w:r>
      <w:r w:rsidRPr="00313002">
        <w:rPr>
          <w:rFonts w:eastAsia="Arial"/>
        </w:rPr>
        <w:t>per person of GST.</w:t>
      </w:r>
    </w:p>
    <w:p w14:paraId="645D8580" w14:textId="77777777" w:rsidR="007F6037" w:rsidRPr="00833DBC" w:rsidRDefault="00EE67DE" w:rsidP="00833DBC">
      <w:pPr>
        <w:pStyle w:val="ChartMainHeading"/>
        <w:rPr>
          <w:rFonts w:eastAsia="Arial"/>
        </w:rPr>
      </w:pPr>
      <w:r w:rsidRPr="00833DBC">
        <w:rPr>
          <w:rFonts w:eastAsia="Arial"/>
        </w:rPr>
        <w:t>Figure 5: Divergence in State per capita GST relativities</w:t>
      </w:r>
    </w:p>
    <w:p w14:paraId="72D77390" w14:textId="77777777" w:rsidR="00B2088B" w:rsidRPr="00B2088B" w:rsidRDefault="00833DBC" w:rsidP="00B2088B">
      <w:pPr>
        <w:pStyle w:val="ChartGraphic"/>
        <w:rPr>
          <w:rFonts w:eastAsia="Arial"/>
        </w:rPr>
      </w:pPr>
      <w:r>
        <w:rPr>
          <w:rFonts w:eastAsia="Arial"/>
          <w:noProof/>
        </w:rPr>
        <w:drawing>
          <wp:inline distT="0" distB="0" distL="0" distR="0" wp14:anchorId="26D0B094" wp14:editId="2F12D836">
            <wp:extent cx="5718544" cy="3462828"/>
            <wp:effectExtent l="0" t="0" r="0" b="4445"/>
            <wp:docPr id="309" name="Picture 309" descr="This chart shows each State’s GST relativity since 1981-82. In particular, it shows that States’ GST relativities have diverged over time, particularly since the GST was introduced." title="Figure 5: Divergence in State per capita GST rela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ities used for distribution of general revenue payments to the States.png"/>
                    <pic:cNvPicPr/>
                  </pic:nvPicPr>
                  <pic:blipFill>
                    <a:blip r:embed="rId29">
                      <a:extLst>
                        <a:ext uri="{28A0092B-C50C-407E-A947-70E740481C1C}">
                          <a14:useLocalDpi xmlns:a14="http://schemas.microsoft.com/office/drawing/2010/main" val="0"/>
                        </a:ext>
                      </a:extLst>
                    </a:blip>
                    <a:stretch>
                      <a:fillRect/>
                    </a:stretch>
                  </pic:blipFill>
                  <pic:spPr>
                    <a:xfrm>
                      <a:off x="0" y="0"/>
                      <a:ext cx="5718544" cy="3462828"/>
                    </a:xfrm>
                    <a:prstGeom prst="rect">
                      <a:avLst/>
                    </a:prstGeom>
                  </pic:spPr>
                </pic:pic>
              </a:graphicData>
            </a:graphic>
          </wp:inline>
        </w:drawing>
      </w:r>
    </w:p>
    <w:p w14:paraId="4E794303" w14:textId="77777777" w:rsidR="007F6037" w:rsidRPr="00B2088B" w:rsidRDefault="00EE67DE" w:rsidP="00B2088B">
      <w:pPr>
        <w:pStyle w:val="ChartorTableNote"/>
        <w:rPr>
          <w:rFonts w:eastAsia="Arial"/>
        </w:rPr>
      </w:pPr>
      <w:r w:rsidRPr="00B2088B">
        <w:rPr>
          <w:rFonts w:eastAsia="Arial"/>
        </w:rPr>
        <w:t>Source: Productivity Commission 2018, Horizontal Fiscal Equalisation, Report no. 88, Canberra.</w:t>
      </w:r>
    </w:p>
    <w:p w14:paraId="0B389945" w14:textId="77777777" w:rsidR="007F6037" w:rsidRPr="00B2088B" w:rsidRDefault="00EE67DE" w:rsidP="00B2088B">
      <w:pPr>
        <w:rPr>
          <w:rFonts w:eastAsia="Arial"/>
        </w:rPr>
      </w:pPr>
      <w:r>
        <w:rPr>
          <w:rFonts w:eastAsia="Arial"/>
          <w:spacing w:val="1"/>
          <w:w w:val="92"/>
        </w:rPr>
        <w:t>D</w:t>
      </w:r>
      <w:r>
        <w:rPr>
          <w:rFonts w:eastAsia="Arial"/>
          <w:spacing w:val="-1"/>
          <w:w w:val="92"/>
        </w:rPr>
        <w:t>u</w:t>
      </w:r>
      <w:r>
        <w:rPr>
          <w:rFonts w:eastAsia="Arial"/>
          <w:w w:val="92"/>
        </w:rPr>
        <w:t>e</w:t>
      </w:r>
      <w:r>
        <w:rPr>
          <w:rFonts w:eastAsia="Arial"/>
          <w:spacing w:val="5"/>
          <w:w w:val="92"/>
        </w:rPr>
        <w:t xml:space="preserve"> </w:t>
      </w:r>
      <w:r>
        <w:rPr>
          <w:rFonts w:eastAsia="Arial"/>
          <w:spacing w:val="-3"/>
        </w:rPr>
        <w:t>t</w:t>
      </w:r>
      <w:r>
        <w:rPr>
          <w:rFonts w:eastAsia="Arial"/>
        </w:rPr>
        <w:t>o</w:t>
      </w:r>
      <w:r>
        <w:rPr>
          <w:rFonts w:eastAsia="Arial"/>
          <w:spacing w:val="12"/>
        </w:rPr>
        <w:t xml:space="preserve"> </w:t>
      </w:r>
      <w:r>
        <w:rPr>
          <w:rFonts w:eastAsia="Arial"/>
          <w:spacing w:val="-1"/>
        </w:rPr>
        <w:t>t</w:t>
      </w:r>
      <w:r>
        <w:rPr>
          <w:rFonts w:eastAsia="Arial"/>
        </w:rPr>
        <w:t>he</w:t>
      </w:r>
      <w:r>
        <w:rPr>
          <w:rFonts w:eastAsia="Arial"/>
          <w:spacing w:val="-4"/>
        </w:rPr>
        <w:t xml:space="preserve"> </w:t>
      </w:r>
      <w:r w:rsidRPr="00B2088B">
        <w:rPr>
          <w:rFonts w:eastAsia="Arial"/>
        </w:rPr>
        <w:t>unavoidable timing lag in the GST system, this dramatic fall in WA’s relativity occurred well after the peak in the mining boom and as the WA economy was struggling to adjust to lower commodity prices. Between</w:t>
      </w:r>
      <w:r w:rsidR="00B2088B" w:rsidRPr="00B2088B">
        <w:rPr>
          <w:rFonts w:eastAsia="Arial"/>
        </w:rPr>
        <w:t xml:space="preserve"> </w:t>
      </w:r>
      <w:r w:rsidRPr="00B2088B">
        <w:rPr>
          <w:rFonts w:eastAsia="Arial"/>
        </w:rPr>
        <w:t>2006-07 and 2018-19, WA’s GST allocation</w:t>
      </w:r>
      <w:r w:rsidR="00B2088B" w:rsidRPr="00B2088B">
        <w:rPr>
          <w:rFonts w:eastAsia="Arial"/>
        </w:rPr>
        <w:t xml:space="preserve"> </w:t>
      </w:r>
      <w:r w:rsidRPr="00B2088B">
        <w:rPr>
          <w:rFonts w:eastAsia="Arial"/>
        </w:rPr>
        <w:t>fell from around 25 per cent of the WA Government’s total revenue to around just</w:t>
      </w:r>
      <w:r w:rsidR="00B2088B" w:rsidRPr="00B2088B">
        <w:rPr>
          <w:rFonts w:eastAsia="Arial"/>
        </w:rPr>
        <w:t xml:space="preserve"> </w:t>
      </w:r>
      <w:r w:rsidRPr="00B2088B">
        <w:rPr>
          <w:rFonts w:eastAsia="Arial"/>
        </w:rPr>
        <w:t>10 per cent. The performance of WA’s mineral sector was effectively subsidising the fiscal position of all other States, and continues</w:t>
      </w:r>
      <w:r w:rsidR="00B2088B" w:rsidRPr="00B2088B">
        <w:rPr>
          <w:rFonts w:eastAsia="Arial"/>
        </w:rPr>
        <w:t xml:space="preserve"> </w:t>
      </w:r>
      <w:r w:rsidRPr="00B2088B">
        <w:rPr>
          <w:rFonts w:eastAsia="Arial"/>
        </w:rPr>
        <w:t>to do so. Although WA’s share of the GST</w:t>
      </w:r>
      <w:r w:rsidR="00B2088B" w:rsidRPr="00B2088B">
        <w:rPr>
          <w:rFonts w:eastAsia="Arial"/>
        </w:rPr>
        <w:t xml:space="preserve"> </w:t>
      </w:r>
      <w:r w:rsidRPr="00B2088B">
        <w:rPr>
          <w:rFonts w:eastAsia="Arial"/>
        </w:rPr>
        <w:t>has started to increase again from extremely low levels and is likely to continue to slowly increase, it will not return to the levels seen previously in the foreseeable future.</w:t>
      </w:r>
    </w:p>
    <w:p w14:paraId="155CB2E0" w14:textId="77777777" w:rsidR="007F6037" w:rsidRPr="00B2088B" w:rsidRDefault="00EE67DE" w:rsidP="00B2088B">
      <w:pPr>
        <w:rPr>
          <w:rFonts w:eastAsia="Arial"/>
        </w:rPr>
      </w:pPr>
      <w:r w:rsidRPr="00B2088B">
        <w:rPr>
          <w:rFonts w:eastAsia="Arial"/>
        </w:rPr>
        <w:t>Given that the current HFE system attempts to equalise all States to the assessed fiscal capacity of the strongest State, the fiscal strength of WA meant that a greater proportion of the GST pool than ever before needed to be redistributed among the States, both in dollar terms and as a proportion of the GST pool (Figure</w:t>
      </w:r>
      <w:r w:rsidR="00B2088B">
        <w:rPr>
          <w:rFonts w:eastAsia="Arial"/>
        </w:rPr>
        <w:t> </w:t>
      </w:r>
      <w:r w:rsidRPr="00B2088B">
        <w:rPr>
          <w:rFonts w:eastAsia="Arial"/>
        </w:rPr>
        <w:t>6).</w:t>
      </w:r>
    </w:p>
    <w:p w14:paraId="204707CE" w14:textId="77777777" w:rsidR="007F6037" w:rsidRPr="00B2088B" w:rsidRDefault="00EE67DE" w:rsidP="00B2088B">
      <w:r w:rsidRPr="00B2088B">
        <w:rPr>
          <w:rFonts w:eastAsia="Arial"/>
        </w:rPr>
        <w:lastRenderedPageBreak/>
        <w:t>This level of volatility in the HFE system was not and could not have reasonably been foreseen when the GST was introduced at a time when the Australian economy looked very different to how it is today. For most of the first decade following the introduction</w:t>
      </w:r>
      <w:r w:rsidR="00833DBC">
        <w:rPr>
          <w:rFonts w:eastAsia="Arial"/>
        </w:rPr>
        <w:t xml:space="preserve"> </w:t>
      </w:r>
      <w:r w:rsidRPr="00B2088B">
        <w:rPr>
          <w:rFonts w:eastAsia="Arial"/>
        </w:rPr>
        <w:t>of the GST, the fiscally strongest State was either Victoria or NSW, as had historically been the case. The diverse and broad-based economies of these States provided a much more stable standard against which to equalise GST revenues, which limited volatility in GST relativities.</w:t>
      </w:r>
    </w:p>
    <w:p w14:paraId="600327CD" w14:textId="77777777" w:rsidR="007F6037" w:rsidRDefault="00EE67DE" w:rsidP="00B2088B">
      <w:pPr>
        <w:pStyle w:val="ChartMainHeading"/>
        <w:rPr>
          <w:rFonts w:eastAsia="Arial"/>
        </w:rPr>
      </w:pPr>
      <w:r w:rsidRPr="00B2088B">
        <w:rPr>
          <w:rFonts w:eastAsia="Arial"/>
        </w:rPr>
        <w:t>Figure 6: The equalisation task</w:t>
      </w:r>
    </w:p>
    <w:p w14:paraId="741AC5A0" w14:textId="77777777" w:rsidR="00B2088B" w:rsidRPr="00B2088B" w:rsidRDefault="00833DBC" w:rsidP="00B2088B">
      <w:pPr>
        <w:pStyle w:val="ChartGraphic"/>
        <w:rPr>
          <w:rFonts w:eastAsia="Arial"/>
        </w:rPr>
      </w:pPr>
      <w:r>
        <w:rPr>
          <w:rFonts w:eastAsia="Arial"/>
          <w:noProof/>
        </w:rPr>
        <w:drawing>
          <wp:inline distT="0" distB="0" distL="0" distR="0" wp14:anchorId="00FD5D2C" wp14:editId="12EC1463">
            <wp:extent cx="5706351" cy="2871465"/>
            <wp:effectExtent l="0" t="0" r="0" b="5715"/>
            <wp:docPr id="310" name="Picture 310" descr="This chart shows, from 2000-01 to 2022-23, how much of the GST pool (in both percentage and dollar terms) is used in the HFE process to raise all States’ fiscal capacities to that of the strongest State. Of note, the size of this equalisation task has increased significantly since 2009-10 peaking at around 70 per cent in 2016-17 and 2017-18; but is expected to decline again over the near-future." title="Figure 6: The equalisati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sation task.png"/>
                    <pic:cNvPicPr/>
                  </pic:nvPicPr>
                  <pic:blipFill>
                    <a:blip r:embed="rId30">
                      <a:extLst>
                        <a:ext uri="{28A0092B-C50C-407E-A947-70E740481C1C}">
                          <a14:useLocalDpi xmlns:a14="http://schemas.microsoft.com/office/drawing/2010/main" val="0"/>
                        </a:ext>
                      </a:extLst>
                    </a:blip>
                    <a:stretch>
                      <a:fillRect/>
                    </a:stretch>
                  </pic:blipFill>
                  <pic:spPr>
                    <a:xfrm>
                      <a:off x="0" y="0"/>
                      <a:ext cx="5706351" cy="2871465"/>
                    </a:xfrm>
                    <a:prstGeom prst="rect">
                      <a:avLst/>
                    </a:prstGeom>
                  </pic:spPr>
                </pic:pic>
              </a:graphicData>
            </a:graphic>
          </wp:inline>
        </w:drawing>
      </w:r>
    </w:p>
    <w:p w14:paraId="421C8961" w14:textId="77777777" w:rsidR="007F6037" w:rsidRDefault="00EE67DE" w:rsidP="00B2088B">
      <w:pPr>
        <w:pStyle w:val="ChartorTableNote"/>
        <w:rPr>
          <w:rFonts w:eastAsia="Arial"/>
        </w:rPr>
      </w:pPr>
      <w:r w:rsidRPr="00B2088B">
        <w:rPr>
          <w:rFonts w:eastAsia="Arial"/>
        </w:rPr>
        <w:t>Source: based on Productivity Commission data, Horizontal Fiscal Equalisation, Report no. 88.</w:t>
      </w:r>
    </w:p>
    <w:p w14:paraId="35A3148B" w14:textId="77777777" w:rsidR="007F6037" w:rsidRPr="00B2088B" w:rsidRDefault="00EE67DE" w:rsidP="00B2088B">
      <w:pPr>
        <w:rPr>
          <w:rFonts w:eastAsia="Arial"/>
        </w:rPr>
      </w:pPr>
      <w:r w:rsidRPr="00B2088B">
        <w:rPr>
          <w:rFonts w:eastAsia="Arial"/>
        </w:rPr>
        <w:t>At the other end of the GST spectrum, the NT is now also experiencing extreme outcomes from the current distribution system. The NT’s relativity has fallen by 19 per cent in just a</w:t>
      </w:r>
      <w:r w:rsidR="00B2088B" w:rsidRPr="00B2088B">
        <w:rPr>
          <w:rFonts w:eastAsia="Arial"/>
        </w:rPr>
        <w:t xml:space="preserve"> </w:t>
      </w:r>
      <w:r w:rsidRPr="00B2088B">
        <w:rPr>
          <w:rFonts w:eastAsia="Arial"/>
        </w:rPr>
        <w:t>two year period, from 5.3 in 2016-17 down</w:t>
      </w:r>
      <w:r w:rsidR="00B2088B" w:rsidRPr="00B2088B">
        <w:rPr>
          <w:rFonts w:eastAsia="Arial"/>
        </w:rPr>
        <w:t xml:space="preserve"> </w:t>
      </w:r>
      <w:r w:rsidRPr="00B2088B">
        <w:rPr>
          <w:rFonts w:eastAsia="Arial"/>
        </w:rPr>
        <w:t>to 4.3 in 2018-19. The high costs the NT faces in delivering services to a remote population, coupled with the challenges in raising its own revenue, means it needs a higher level of</w:t>
      </w:r>
      <w:r w:rsidR="00B2088B" w:rsidRPr="00B2088B">
        <w:rPr>
          <w:rFonts w:eastAsia="Arial"/>
        </w:rPr>
        <w:t xml:space="preserve"> </w:t>
      </w:r>
      <w:r w:rsidRPr="00B2088B">
        <w:rPr>
          <w:rFonts w:eastAsia="Arial"/>
        </w:rPr>
        <w:t>GST per person to deliver services at a similar standard to other States. The severity of the effects of volatility in the HFE system on the NT has been such that in this year’s Budget</w:t>
      </w:r>
      <w:r w:rsidR="00B2088B" w:rsidRPr="00B2088B">
        <w:rPr>
          <w:rFonts w:eastAsia="Arial"/>
        </w:rPr>
        <w:t xml:space="preserve"> </w:t>
      </w:r>
      <w:r w:rsidRPr="00B2088B">
        <w:rPr>
          <w:rFonts w:eastAsia="Arial"/>
        </w:rPr>
        <w:t>the Commonwealth Government stepped in to provide additional funding to ensure the NT Government was able to continue to</w:t>
      </w:r>
      <w:r w:rsidR="00B2088B" w:rsidRPr="00B2088B">
        <w:rPr>
          <w:rFonts w:eastAsia="Arial"/>
        </w:rPr>
        <w:t xml:space="preserve"> </w:t>
      </w:r>
      <w:r w:rsidRPr="00B2088B">
        <w:rPr>
          <w:rFonts w:eastAsia="Arial"/>
        </w:rPr>
        <w:t>deliver essential services and infrastructure to a reasonable standard.</w:t>
      </w:r>
    </w:p>
    <w:p w14:paraId="4C57D8DC" w14:textId="77777777" w:rsidR="007F6037" w:rsidRPr="0008082E" w:rsidRDefault="00EE67DE" w:rsidP="0008082E">
      <w:pPr>
        <w:pStyle w:val="Heading1"/>
        <w:rPr>
          <w:rFonts w:eastAsia="Arial"/>
        </w:rPr>
      </w:pPr>
      <w:bookmarkStart w:id="7" w:name="_Toc518559012"/>
      <w:r w:rsidRPr="0008082E">
        <w:rPr>
          <w:rFonts w:eastAsia="Arial"/>
        </w:rPr>
        <w:lastRenderedPageBreak/>
        <w:t>Updating the GST system means it</w:t>
      </w:r>
      <w:r w:rsidR="00B2088B" w:rsidRPr="0008082E">
        <w:rPr>
          <w:rFonts w:eastAsia="Arial"/>
        </w:rPr>
        <w:t xml:space="preserve"> </w:t>
      </w:r>
      <w:r w:rsidRPr="0008082E">
        <w:rPr>
          <w:rFonts w:eastAsia="Arial"/>
        </w:rPr>
        <w:t>can absorb future economic shocks</w:t>
      </w:r>
      <w:bookmarkEnd w:id="7"/>
    </w:p>
    <w:p w14:paraId="61274AE2" w14:textId="77777777" w:rsidR="007F6037" w:rsidRPr="00A05124" w:rsidRDefault="00EE67DE" w:rsidP="00A05124">
      <w:pPr>
        <w:rPr>
          <w:rFonts w:eastAsia="Arial"/>
        </w:rPr>
      </w:pPr>
      <w:r w:rsidRPr="00A05124">
        <w:rPr>
          <w:rFonts w:eastAsia="Arial"/>
        </w:rPr>
        <w:t>The</w:t>
      </w:r>
      <w:r>
        <w:rPr>
          <w:rFonts w:eastAsia="Arial"/>
          <w:spacing w:val="9"/>
          <w:w w:val="88"/>
        </w:rPr>
        <w:t xml:space="preserve"> </w:t>
      </w:r>
      <w:r w:rsidRPr="00A05124">
        <w:rPr>
          <w:rFonts w:eastAsia="Arial"/>
        </w:rPr>
        <w:t>way the GST is distributed has not been updated since it was introduced in 2000.</w:t>
      </w:r>
      <w:r w:rsidR="00B2088B" w:rsidRPr="00A05124">
        <w:rPr>
          <w:rFonts w:eastAsia="Arial"/>
        </w:rPr>
        <w:t xml:space="preserve"> </w:t>
      </w:r>
      <w:r w:rsidRPr="00A05124">
        <w:rPr>
          <w:rFonts w:eastAsia="Arial"/>
        </w:rPr>
        <w:t>After the economic shocks of the past decade, it is timely to look at how this system can</w:t>
      </w:r>
      <w:r w:rsidR="00B2088B" w:rsidRPr="00A05124">
        <w:rPr>
          <w:rFonts w:eastAsia="Arial"/>
        </w:rPr>
        <w:t xml:space="preserve"> </w:t>
      </w:r>
      <w:r w:rsidRPr="00A05124">
        <w:rPr>
          <w:rFonts w:eastAsia="Arial"/>
        </w:rPr>
        <w:t>be improved.</w:t>
      </w:r>
    </w:p>
    <w:p w14:paraId="3B70AD93" w14:textId="77777777" w:rsidR="007F6037" w:rsidRPr="00A05124" w:rsidRDefault="00EE67DE" w:rsidP="00A05124">
      <w:pPr>
        <w:rPr>
          <w:rFonts w:eastAsia="Arial"/>
        </w:rPr>
      </w:pPr>
      <w:r w:rsidRPr="00A05124">
        <w:rPr>
          <w:rFonts w:eastAsia="Arial"/>
        </w:rPr>
        <w:t>The current system of HFE was effective when the Australian economy and States’ economies were stable, and effectively meant that the</w:t>
      </w:r>
      <w:r w:rsidR="00B2088B" w:rsidRPr="00A05124">
        <w:rPr>
          <w:rFonts w:eastAsia="Arial"/>
        </w:rPr>
        <w:t xml:space="preserve"> </w:t>
      </w:r>
      <w:r w:rsidRPr="00A05124">
        <w:rPr>
          <w:rFonts w:eastAsia="Arial"/>
        </w:rPr>
        <w:t>GST was distributed so that all States had their fiscal capacities equalised to be the same as the broad-based, stable economies of either NSW or Victoria (whichever was strongest).</w:t>
      </w:r>
    </w:p>
    <w:p w14:paraId="6CBFA256" w14:textId="77777777" w:rsidR="007F6037" w:rsidRPr="00A05124" w:rsidRDefault="00EE67DE" w:rsidP="00A05124">
      <w:pPr>
        <w:rPr>
          <w:rFonts w:eastAsia="Arial"/>
        </w:rPr>
      </w:pPr>
      <w:r w:rsidRPr="00A05124">
        <w:rPr>
          <w:rFonts w:eastAsia="Arial"/>
        </w:rPr>
        <w:t>The mining boom was an unprecedented shock to the Australian economy that exposed weaknesses in our system of HFE that could not have been foreseen when the GST was introduced. This shock has affected the GST distribution since 2009-10, effectively covering around half of the period since the GST was introduced. It was in response to this volatility and declining community confidence in Australia’s HFE system that the Government tasked the independent Productivity Commission to undertake a thorough review</w:t>
      </w:r>
      <w:r w:rsidR="00B2088B" w:rsidRPr="00A05124">
        <w:rPr>
          <w:rFonts w:eastAsia="Arial"/>
        </w:rPr>
        <w:t xml:space="preserve"> </w:t>
      </w:r>
      <w:r w:rsidRPr="00A05124">
        <w:rPr>
          <w:rFonts w:eastAsia="Arial"/>
        </w:rPr>
        <w:t>of the strengths and weaknesses of the current</w:t>
      </w:r>
      <w:r w:rsidR="00B2088B" w:rsidRPr="00A05124">
        <w:rPr>
          <w:rFonts w:eastAsia="Arial"/>
        </w:rPr>
        <w:t xml:space="preserve"> </w:t>
      </w:r>
      <w:r w:rsidRPr="00A05124">
        <w:rPr>
          <w:rFonts w:eastAsia="Arial"/>
        </w:rPr>
        <w:t>HFE system.</w:t>
      </w:r>
    </w:p>
    <w:p w14:paraId="0EC3B774" w14:textId="77777777" w:rsidR="007F6037" w:rsidRPr="00A05124" w:rsidRDefault="00EE67DE" w:rsidP="00A05124">
      <w:pPr>
        <w:rPr>
          <w:rFonts w:eastAsia="Arial"/>
        </w:rPr>
      </w:pPr>
      <w:r w:rsidRPr="00A05124">
        <w:rPr>
          <w:rFonts w:eastAsia="Arial"/>
        </w:rPr>
        <w:t>In recent years, to minimise the effects of this extreme volatility in the HFE system, the Government has provided WA with additional</w:t>
      </w:r>
      <w:r w:rsidR="00B2088B" w:rsidRPr="00A05124">
        <w:rPr>
          <w:rFonts w:eastAsia="Arial"/>
        </w:rPr>
        <w:t xml:space="preserve"> </w:t>
      </w:r>
      <w:r w:rsidRPr="00A05124">
        <w:rPr>
          <w:rFonts w:eastAsia="Arial"/>
        </w:rPr>
        <w:t>funding for much needed road and rail projects that would otherwise have gone unfunded. This year, the Commonwealth also needed to provide the NT with additional funding to assist the NT Government to deliver essential services and infrastructure in response to an almost 20 per cent fall in NT’s share of the GST over just two years.</w:t>
      </w:r>
    </w:p>
    <w:p w14:paraId="05619A83" w14:textId="77777777" w:rsidR="007F6037" w:rsidRPr="00A05124" w:rsidRDefault="00EE67DE" w:rsidP="00A05124">
      <w:pPr>
        <w:rPr>
          <w:rFonts w:eastAsia="Arial"/>
        </w:rPr>
      </w:pPr>
      <w:r w:rsidRPr="00A05124">
        <w:rPr>
          <w:rFonts w:eastAsia="Arial"/>
        </w:rPr>
        <w:t>While these ‘top-up’ GST payments have provided vital short-term relief, they are not a sustainable solution to the volatility we have seen in the HFE system, nor a guard against future economic shocks. In order to reduce volatility in States’ shares of the GST and create certainty, Australia’s HFE system needs</w:t>
      </w:r>
      <w:r w:rsidR="00A05124" w:rsidRPr="00A05124">
        <w:rPr>
          <w:rFonts w:eastAsia="Arial"/>
        </w:rPr>
        <w:t xml:space="preserve"> </w:t>
      </w:r>
      <w:r w:rsidRPr="00A05124">
        <w:rPr>
          <w:rFonts w:eastAsia="Arial"/>
        </w:rPr>
        <w:t>to be updated to reflect the modern economy. Building on the invaluable insights provided</w:t>
      </w:r>
      <w:r w:rsidR="00A05124" w:rsidRPr="00A05124">
        <w:rPr>
          <w:rFonts w:eastAsia="Arial"/>
        </w:rPr>
        <w:t xml:space="preserve"> </w:t>
      </w:r>
      <w:r w:rsidRPr="00A05124">
        <w:rPr>
          <w:rFonts w:eastAsia="Arial"/>
        </w:rPr>
        <w:t>by the PC in its report, the Government is seeking to explore ways to do this that are fair, reasonable and sustainable. In particular, the Government is aiming to:</w:t>
      </w:r>
    </w:p>
    <w:p w14:paraId="0C713E01" w14:textId="77777777" w:rsidR="007F6037" w:rsidRPr="00A05124" w:rsidRDefault="00EE67DE" w:rsidP="00A05124">
      <w:pPr>
        <w:pStyle w:val="Bullet"/>
        <w:rPr>
          <w:rFonts w:eastAsia="Arial"/>
        </w:rPr>
      </w:pPr>
      <w:r w:rsidRPr="00A05124">
        <w:rPr>
          <w:rFonts w:eastAsia="Arial"/>
        </w:rPr>
        <w:t>Affirm our commitment to the ‘fair go’</w:t>
      </w:r>
      <w:r w:rsidR="00A05124" w:rsidRPr="00A05124">
        <w:rPr>
          <w:rFonts w:eastAsia="Arial"/>
        </w:rPr>
        <w:t xml:space="preserve"> </w:t>
      </w:r>
      <w:r w:rsidRPr="00A05124">
        <w:rPr>
          <w:rFonts w:eastAsia="Arial"/>
        </w:rPr>
        <w:t>principle of HFE;</w:t>
      </w:r>
    </w:p>
    <w:p w14:paraId="6F64587E" w14:textId="77777777" w:rsidR="007F6037" w:rsidRPr="00A05124" w:rsidRDefault="00A05124" w:rsidP="00A05124">
      <w:pPr>
        <w:pStyle w:val="Bullet"/>
        <w:rPr>
          <w:rFonts w:eastAsia="Arial"/>
        </w:rPr>
      </w:pPr>
      <w:r w:rsidRPr="00A05124">
        <w:rPr>
          <w:rFonts w:eastAsia="Arial"/>
        </w:rPr>
        <w:t>M</w:t>
      </w:r>
      <w:r w:rsidR="00EE67DE" w:rsidRPr="00A05124">
        <w:rPr>
          <w:rFonts w:eastAsia="Arial"/>
        </w:rPr>
        <w:t>aintain and improve HFE with minimal disruption, both now and in the future, to deliver essential services;</w:t>
      </w:r>
    </w:p>
    <w:p w14:paraId="77A3D973" w14:textId="77777777" w:rsidR="007F6037" w:rsidRPr="00A05124" w:rsidRDefault="00EE67DE" w:rsidP="00A05124">
      <w:pPr>
        <w:pStyle w:val="Bullet"/>
        <w:rPr>
          <w:rFonts w:eastAsia="Arial"/>
        </w:rPr>
      </w:pPr>
      <w:r w:rsidRPr="00A05124">
        <w:rPr>
          <w:rFonts w:eastAsia="Arial"/>
        </w:rPr>
        <w:t>Improve the stability of the system, reducing volatility for States’ revenue;</w:t>
      </w:r>
    </w:p>
    <w:p w14:paraId="63D9FE65" w14:textId="77777777" w:rsidR="007F6037" w:rsidRPr="0008082E" w:rsidRDefault="00EE67DE" w:rsidP="00A05124">
      <w:pPr>
        <w:pStyle w:val="Bullet"/>
        <w:rPr>
          <w:sz w:val="24"/>
          <w:szCs w:val="24"/>
        </w:rPr>
      </w:pPr>
      <w:r w:rsidRPr="00A05124">
        <w:rPr>
          <w:rFonts w:eastAsia="Arial"/>
        </w:rPr>
        <w:t>Ensure all States and Territories are in a better off position.</w:t>
      </w:r>
    </w:p>
    <w:p w14:paraId="3D015F01" w14:textId="77777777" w:rsidR="0008082E" w:rsidRDefault="0008082E" w:rsidP="0008082E">
      <w:pPr>
        <w:pStyle w:val="ChartGraphic"/>
      </w:pPr>
      <w:r>
        <w:rPr>
          <w:noProof/>
        </w:rPr>
        <w:drawing>
          <wp:inline distT="0" distB="0" distL="0" distR="0" wp14:anchorId="05D6E4AC" wp14:editId="200F5D23">
            <wp:extent cx="5718544" cy="2225233"/>
            <wp:effectExtent l="0" t="0" r="0" b="3810"/>
            <wp:docPr id="311" name="Picture 311" descr="This graphic outlines the four principles the Government is pursuing with its proposed change to the HFE system, being:&#10;1. Affirm our commitment to the ‘fair go’ principle of HFE;&#10;2. Maintain and improve HFE with minimal disruption, both now and in the future, to deliver essential services;&#10;3. Improve the stability of the system, reducing volatility for States’ revenue; and&#10;4. Ensure all States and Territories are in a better off po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rinciples.png"/>
                    <pic:cNvPicPr/>
                  </pic:nvPicPr>
                  <pic:blipFill>
                    <a:blip r:embed="rId31">
                      <a:extLst>
                        <a:ext uri="{28A0092B-C50C-407E-A947-70E740481C1C}">
                          <a14:useLocalDpi xmlns:a14="http://schemas.microsoft.com/office/drawing/2010/main" val="0"/>
                        </a:ext>
                      </a:extLst>
                    </a:blip>
                    <a:stretch>
                      <a:fillRect/>
                    </a:stretch>
                  </pic:blipFill>
                  <pic:spPr>
                    <a:xfrm>
                      <a:off x="0" y="0"/>
                      <a:ext cx="5718544" cy="2225233"/>
                    </a:xfrm>
                    <a:prstGeom prst="rect">
                      <a:avLst/>
                    </a:prstGeom>
                  </pic:spPr>
                </pic:pic>
              </a:graphicData>
            </a:graphic>
          </wp:inline>
        </w:drawing>
      </w:r>
    </w:p>
    <w:p w14:paraId="78A67BEE" w14:textId="77777777" w:rsidR="007F6037" w:rsidRPr="00A05124" w:rsidRDefault="00EE67DE" w:rsidP="00A05124">
      <w:pPr>
        <w:pStyle w:val="Heading1"/>
        <w:rPr>
          <w:rFonts w:eastAsia="Arial"/>
        </w:rPr>
      </w:pPr>
      <w:bookmarkStart w:id="8" w:name="_Toc518559013"/>
      <w:r w:rsidRPr="00A05124">
        <w:rPr>
          <w:rFonts w:eastAsia="Arial"/>
        </w:rPr>
        <w:lastRenderedPageBreak/>
        <w:t>PC recommendations that can and</w:t>
      </w:r>
      <w:r w:rsidR="00A05124" w:rsidRPr="00A05124">
        <w:rPr>
          <w:rFonts w:eastAsia="Arial"/>
        </w:rPr>
        <w:t xml:space="preserve"> </w:t>
      </w:r>
      <w:r w:rsidRPr="00A05124">
        <w:rPr>
          <w:rFonts w:eastAsia="Arial"/>
        </w:rPr>
        <w:t>should be pursued immediately</w:t>
      </w:r>
      <w:bookmarkEnd w:id="8"/>
    </w:p>
    <w:p w14:paraId="25ED601C" w14:textId="77777777" w:rsidR="007F6037" w:rsidRPr="00A05124" w:rsidRDefault="00EE67DE" w:rsidP="00A05124">
      <w:pPr>
        <w:rPr>
          <w:rFonts w:eastAsia="Arial"/>
        </w:rPr>
      </w:pPr>
      <w:r w:rsidRPr="00A05124">
        <w:rPr>
          <w:rFonts w:eastAsia="Arial"/>
        </w:rPr>
        <w:t>The PC mad</w:t>
      </w:r>
      <w:r w:rsidR="00A05124" w:rsidRPr="00A05124">
        <w:rPr>
          <w:rFonts w:eastAsia="Arial"/>
        </w:rPr>
        <w:t>e</w:t>
      </w:r>
      <w:r w:rsidRPr="00A05124">
        <w:rPr>
          <w:rFonts w:eastAsia="Arial"/>
        </w:rPr>
        <w:t xml:space="preserve"> a number of findings regarding Australia’s HFE system and recommendations to improve the HFE process and simplify</w:t>
      </w:r>
      <w:r w:rsidR="00A05124" w:rsidRPr="00A05124">
        <w:rPr>
          <w:rFonts w:eastAsia="Arial"/>
        </w:rPr>
        <w:t xml:space="preserve"> </w:t>
      </w:r>
      <w:r w:rsidRPr="00A05124">
        <w:rPr>
          <w:rFonts w:eastAsia="Arial"/>
        </w:rPr>
        <w:t>the formula to distribute the GST (see</w:t>
      </w:r>
      <w:r w:rsidR="00A05124" w:rsidRPr="00A05124">
        <w:rPr>
          <w:rFonts w:eastAsia="Arial"/>
        </w:rPr>
        <w:t xml:space="preserve"> </w:t>
      </w:r>
      <w:r w:rsidRPr="00A05124">
        <w:rPr>
          <w:rFonts w:eastAsia="Arial"/>
        </w:rPr>
        <w:t>Appendix A).</w:t>
      </w:r>
    </w:p>
    <w:p w14:paraId="1E8CD563" w14:textId="77777777" w:rsidR="007F6037" w:rsidRPr="00A05124" w:rsidRDefault="00EE67DE" w:rsidP="00A05124">
      <w:pPr>
        <w:rPr>
          <w:rFonts w:eastAsia="Arial"/>
        </w:rPr>
      </w:pPr>
      <w:r w:rsidRPr="00A05124">
        <w:rPr>
          <w:rFonts w:eastAsia="Arial"/>
        </w:rPr>
        <w:t>The Government has broadly accepted</w:t>
      </w:r>
      <w:r w:rsidR="00A05124" w:rsidRPr="00A05124">
        <w:rPr>
          <w:rFonts w:eastAsia="Arial"/>
        </w:rPr>
        <w:t xml:space="preserve"> </w:t>
      </w:r>
      <w:r w:rsidRPr="00A05124">
        <w:rPr>
          <w:rFonts w:eastAsia="Arial"/>
        </w:rPr>
        <w:t>all the PC’s findings and all but one of its recommendations in full or in principle. The recommendations outlined below propose sensible improvements to the system which</w:t>
      </w:r>
      <w:r w:rsidR="00A05124" w:rsidRPr="00A05124">
        <w:rPr>
          <w:rFonts w:eastAsia="Arial"/>
        </w:rPr>
        <w:t xml:space="preserve"> </w:t>
      </w:r>
      <w:r w:rsidRPr="00A05124">
        <w:rPr>
          <w:rFonts w:eastAsia="Arial"/>
        </w:rPr>
        <w:t>the Commonwealth will seek to implement as soon as possible, following consultation with the States. The Government is proposing an alternative way to progress the remaining PC recommendation, which is discussed further below.</w:t>
      </w:r>
    </w:p>
    <w:tbl>
      <w:tblPr>
        <w:tblW w:w="5000" w:type="pct"/>
        <w:shd w:val="clear" w:color="auto" w:fill="E3E7F0"/>
        <w:tblLook w:val="01E0" w:firstRow="1" w:lastRow="1" w:firstColumn="1" w:lastColumn="1" w:noHBand="0" w:noVBand="0"/>
      </w:tblPr>
      <w:tblGrid>
        <w:gridCol w:w="9584"/>
      </w:tblGrid>
      <w:tr w:rsidR="00A05124" w14:paraId="064D2A95" w14:textId="77777777" w:rsidTr="009E156C">
        <w:tc>
          <w:tcPr>
            <w:tcW w:w="5000" w:type="pct"/>
            <w:shd w:val="clear" w:color="auto" w:fill="E3E7F0"/>
          </w:tcPr>
          <w:p w14:paraId="1BE2E7D2" w14:textId="77777777" w:rsidR="00A05124" w:rsidRPr="00A05124" w:rsidRDefault="00A05124" w:rsidP="00A05124">
            <w:pPr>
              <w:pStyle w:val="Heading2"/>
              <w:rPr>
                <w:rFonts w:eastAsia="Arial"/>
              </w:rPr>
            </w:pPr>
            <w:r w:rsidRPr="00A05124">
              <w:rPr>
                <w:rFonts w:eastAsia="Arial"/>
              </w:rPr>
              <w:t>Changes to improve the HFE process</w:t>
            </w:r>
          </w:p>
          <w:p w14:paraId="6AE4273F" w14:textId="77777777" w:rsidR="00A05124" w:rsidRPr="00A05124" w:rsidRDefault="00A05124" w:rsidP="00A05124">
            <w:pPr>
              <w:rPr>
                <w:rFonts w:eastAsia="Arial"/>
              </w:rPr>
            </w:pPr>
            <w:r w:rsidRPr="00A05124">
              <w:rPr>
                <w:rFonts w:eastAsia="Arial"/>
              </w:rPr>
              <w:t>The PC finds that the independent and expert CGC is well placed to continue to recommend GST relativities and that it has well-established processes that involve consultation and regular methodology reviews.</w:t>
            </w:r>
          </w:p>
          <w:p w14:paraId="4DC2926C" w14:textId="77777777" w:rsidR="00A05124" w:rsidRPr="00A05124" w:rsidRDefault="00A05124" w:rsidP="00A05124">
            <w:pPr>
              <w:rPr>
                <w:rFonts w:eastAsia="Arial"/>
              </w:rPr>
            </w:pPr>
            <w:r w:rsidRPr="00A05124">
              <w:rPr>
                <w:rFonts w:eastAsia="Arial"/>
              </w:rPr>
              <w:t>However, the PC recommends changes that the Government and the CGC can make to improve the transparency, accountability and accuracy of the current HFE system.</w:t>
            </w:r>
          </w:p>
          <w:p w14:paraId="3C7820B6" w14:textId="77777777" w:rsidR="00A05124" w:rsidRPr="00A05124" w:rsidRDefault="00A05124" w:rsidP="00A05124">
            <w:pPr>
              <w:rPr>
                <w:rFonts w:eastAsia="Arial"/>
              </w:rPr>
            </w:pPr>
            <w:r w:rsidRPr="00A05124">
              <w:rPr>
                <w:rFonts w:eastAsia="Arial"/>
              </w:rPr>
              <w:t>In summary, the PC recommends that the CGC should:</w:t>
            </w:r>
          </w:p>
          <w:p w14:paraId="678BBA09" w14:textId="77777777" w:rsidR="00A05124" w:rsidRPr="00A05124" w:rsidRDefault="00A05124" w:rsidP="00A05124">
            <w:pPr>
              <w:pStyle w:val="Bullet"/>
              <w:rPr>
                <w:rFonts w:eastAsia="Arial"/>
              </w:rPr>
            </w:pPr>
            <w:r w:rsidRPr="00A05124">
              <w:rPr>
                <w:rFonts w:eastAsia="Arial"/>
              </w:rPr>
              <w:t>provide a stronger neutral voice to facilitate better informed public discourse on HFE (Recommendatio</w:t>
            </w:r>
            <w:r>
              <w:rPr>
                <w:rFonts w:eastAsia="Arial"/>
              </w:rPr>
              <w:t>n </w:t>
            </w:r>
            <w:r w:rsidRPr="00A05124">
              <w:rPr>
                <w:rFonts w:eastAsia="Arial"/>
              </w:rPr>
              <w:t>6.2)</w:t>
            </w:r>
          </w:p>
          <w:p w14:paraId="766CD5E4" w14:textId="77777777" w:rsidR="00A05124" w:rsidRPr="00A05124" w:rsidRDefault="00A05124" w:rsidP="00A05124">
            <w:pPr>
              <w:pStyle w:val="Bullet"/>
              <w:rPr>
                <w:rFonts w:eastAsia="Arial"/>
              </w:rPr>
            </w:pPr>
            <w:r w:rsidRPr="00A05124">
              <w:rPr>
                <w:rFonts w:eastAsia="Arial"/>
              </w:rPr>
              <w:t>strengthen its formal interactions with</w:t>
            </w:r>
            <w:r>
              <w:rPr>
                <w:rFonts w:eastAsia="Arial"/>
              </w:rPr>
              <w:t xml:space="preserve"> </w:t>
            </w:r>
            <w:r w:rsidRPr="00A05124">
              <w:rPr>
                <w:rFonts w:eastAsia="Arial"/>
              </w:rPr>
              <w:t>the Commonwealth and States, including through provisional draft rulings, to enable a more collaborative approach to HFE and more certainty for States and Territories about potential GST distribution changes (Recommendation 6.3)</w:t>
            </w:r>
          </w:p>
          <w:p w14:paraId="485677E0" w14:textId="77777777" w:rsidR="00A05124" w:rsidRPr="00A05124" w:rsidRDefault="00A05124" w:rsidP="00A05124">
            <w:pPr>
              <w:pStyle w:val="Bullet"/>
              <w:rPr>
                <w:rFonts w:eastAsia="Arial"/>
              </w:rPr>
            </w:pPr>
            <w:r w:rsidRPr="00A05124">
              <w:rPr>
                <w:rFonts w:eastAsia="Arial"/>
              </w:rPr>
              <w:t>make HFE calculations and the underlying data public to increase transparency and understanding of the system (Recommendation 6.6)</w:t>
            </w:r>
          </w:p>
          <w:p w14:paraId="3841A35E" w14:textId="77777777" w:rsidR="00A05124" w:rsidRPr="00A05124" w:rsidRDefault="00A05124" w:rsidP="00A05124">
            <w:pPr>
              <w:rPr>
                <w:rFonts w:eastAsia="Arial"/>
              </w:rPr>
            </w:pPr>
            <w:r w:rsidRPr="00A05124">
              <w:rPr>
                <w:rFonts w:eastAsia="Arial"/>
              </w:rPr>
              <w:t>The PC also recommends that the Government:</w:t>
            </w:r>
          </w:p>
          <w:p w14:paraId="49252291" w14:textId="77777777" w:rsidR="00A05124" w:rsidRPr="00A05124" w:rsidRDefault="00A05124" w:rsidP="00A05124">
            <w:pPr>
              <w:pStyle w:val="Bullet"/>
              <w:rPr>
                <w:rFonts w:eastAsia="Arial"/>
              </w:rPr>
            </w:pPr>
            <w:r>
              <w:rPr>
                <w:rFonts w:eastAsia="Arial"/>
              </w:rPr>
              <w:t>i</w:t>
            </w:r>
            <w:r w:rsidRPr="00A05124">
              <w:rPr>
                <w:rFonts w:eastAsia="Arial"/>
              </w:rPr>
              <w:t>n consultation with States and Territories, develop guidelines on the exclusion of payments from HFE calculations, to provide greater clarity about which payments are excluded and why (Recommendation 6.4)</w:t>
            </w:r>
          </w:p>
          <w:p w14:paraId="30ABF137" w14:textId="77777777" w:rsidR="00A05124" w:rsidRPr="00A05124" w:rsidRDefault="00A05124" w:rsidP="00A05124">
            <w:pPr>
              <w:pStyle w:val="Bullet"/>
              <w:rPr>
                <w:rFonts w:eastAsia="Arial"/>
              </w:rPr>
            </w:pPr>
            <w:r w:rsidRPr="00A05124">
              <w:rPr>
                <w:rFonts w:eastAsia="Arial"/>
              </w:rPr>
              <w:t>bring an enhanced strategic focus to the CGC’s decision-making framework by nominating specific areas of focus and providing formal input into five-yearly meth</w:t>
            </w:r>
            <w:r w:rsidR="0008082E">
              <w:rPr>
                <w:rFonts w:eastAsia="Arial"/>
              </w:rPr>
              <w:t>odology reviews (Recommendation </w:t>
            </w:r>
            <w:r w:rsidRPr="00A05124">
              <w:rPr>
                <w:rFonts w:eastAsia="Arial"/>
              </w:rPr>
              <w:t>6.5)</w:t>
            </w:r>
          </w:p>
          <w:p w14:paraId="4F518AF8" w14:textId="77777777" w:rsidR="00A05124" w:rsidRPr="00A05124" w:rsidRDefault="00A05124" w:rsidP="00A05124">
            <w:pPr>
              <w:rPr>
                <w:rFonts w:eastAsia="Arial"/>
              </w:rPr>
            </w:pPr>
            <w:r w:rsidRPr="00A05124">
              <w:rPr>
                <w:rFonts w:eastAsia="Arial"/>
              </w:rPr>
              <w:t>The Government supports each of these recommendations subject to further consultation with the States.</w:t>
            </w:r>
          </w:p>
        </w:tc>
      </w:tr>
    </w:tbl>
    <w:p w14:paraId="59674B7A" w14:textId="77777777" w:rsidR="007F6037" w:rsidRDefault="007F6037" w:rsidP="00A05124">
      <w:pPr>
        <w:pStyle w:val="SingleParagraph"/>
      </w:pPr>
    </w:p>
    <w:tbl>
      <w:tblPr>
        <w:tblW w:w="5000" w:type="pct"/>
        <w:shd w:val="clear" w:color="auto" w:fill="E3E7F0"/>
        <w:tblLook w:val="01E0" w:firstRow="1" w:lastRow="1" w:firstColumn="1" w:lastColumn="1" w:noHBand="0" w:noVBand="0"/>
      </w:tblPr>
      <w:tblGrid>
        <w:gridCol w:w="9584"/>
      </w:tblGrid>
      <w:tr w:rsidR="00A05124" w14:paraId="70625608" w14:textId="77777777" w:rsidTr="009E156C">
        <w:tc>
          <w:tcPr>
            <w:tcW w:w="5000" w:type="pct"/>
            <w:shd w:val="clear" w:color="auto" w:fill="E3E7F0"/>
          </w:tcPr>
          <w:p w14:paraId="6AC76DBF" w14:textId="77777777" w:rsidR="00A05124" w:rsidRPr="00A05124" w:rsidRDefault="00A05124" w:rsidP="00A05124">
            <w:pPr>
              <w:pStyle w:val="Heading2"/>
              <w:rPr>
                <w:rFonts w:eastAsia="Arial"/>
              </w:rPr>
            </w:pPr>
            <w:r w:rsidRPr="00A05124">
              <w:rPr>
                <w:rFonts w:eastAsia="Arial"/>
              </w:rPr>
              <w:lastRenderedPageBreak/>
              <w:t>Changes to improve the HFE calculation</w:t>
            </w:r>
          </w:p>
          <w:p w14:paraId="7FCA1DD6" w14:textId="77777777" w:rsidR="00A05124" w:rsidRPr="00A05124" w:rsidRDefault="00A05124" w:rsidP="00A05124">
            <w:pPr>
              <w:rPr>
                <w:rFonts w:eastAsia="Arial"/>
              </w:rPr>
            </w:pPr>
            <w:r w:rsidRPr="00A05124">
              <w:rPr>
                <w:rFonts w:eastAsia="Arial"/>
              </w:rPr>
              <w:t>The PC recommends changes to how the CGC calculates the distribution of the GST that would result in a simpler system and help reduce what the PC terms the ‘false precision’ that besets the current system.</w:t>
            </w:r>
          </w:p>
          <w:p w14:paraId="07E798B3" w14:textId="77777777" w:rsidR="00A05124" w:rsidRPr="00A05124" w:rsidRDefault="00A05124" w:rsidP="00A05124">
            <w:pPr>
              <w:rPr>
                <w:rFonts w:eastAsia="Arial"/>
              </w:rPr>
            </w:pPr>
            <w:r w:rsidRPr="00A05124">
              <w:rPr>
                <w:rFonts w:eastAsia="Arial"/>
              </w:rPr>
              <w:t>The PC recommends that the Treasurer direct the CGC to consider simpler and more efficient assessments of State and Territory financial positions (Recommendation 7.1). In particular, the PC recommends that the CGC should adopt significant increases in materiality thresholds and consider using more aggregated revenue and expenditure assessments. The Government supports this recommendation, subject to further consultation with the States.</w:t>
            </w:r>
          </w:p>
          <w:p w14:paraId="5AD9CB8A" w14:textId="77777777" w:rsidR="00A05124" w:rsidRPr="008950C5" w:rsidRDefault="00A05124" w:rsidP="00A05124">
            <w:r w:rsidRPr="00A05124">
              <w:rPr>
                <w:rFonts w:eastAsia="Arial"/>
              </w:rPr>
              <w:t>To further address the false precision in the current system reflected in the presentation of the States’ relativities, the Commonwealth Government also proposes to adopt Recommendation 3.2 of the 2012 GST Distribution Review to round the CGC’s relativities to two decimal places, subject to further consultation with the States.</w:t>
            </w:r>
          </w:p>
        </w:tc>
      </w:tr>
    </w:tbl>
    <w:p w14:paraId="078B5623" w14:textId="77777777" w:rsidR="007F6037" w:rsidRDefault="007F6037" w:rsidP="00A05124">
      <w:pPr>
        <w:pStyle w:val="SingleParagraph"/>
      </w:pPr>
    </w:p>
    <w:tbl>
      <w:tblPr>
        <w:tblW w:w="5000" w:type="pct"/>
        <w:shd w:val="clear" w:color="auto" w:fill="E3E7F0"/>
        <w:tblLook w:val="01E0" w:firstRow="1" w:lastRow="1" w:firstColumn="1" w:lastColumn="1" w:noHBand="0" w:noVBand="0"/>
      </w:tblPr>
      <w:tblGrid>
        <w:gridCol w:w="9584"/>
      </w:tblGrid>
      <w:tr w:rsidR="00A05124" w14:paraId="664B5DEB" w14:textId="77777777" w:rsidTr="009E156C">
        <w:tc>
          <w:tcPr>
            <w:tcW w:w="5000" w:type="pct"/>
            <w:shd w:val="clear" w:color="auto" w:fill="E3E7F0"/>
          </w:tcPr>
          <w:p w14:paraId="07743F7B" w14:textId="77777777" w:rsidR="00A05124" w:rsidRPr="00A05124" w:rsidRDefault="00A05124" w:rsidP="00A05124">
            <w:pPr>
              <w:pStyle w:val="Heading2"/>
              <w:rPr>
                <w:rFonts w:eastAsia="Arial"/>
              </w:rPr>
            </w:pPr>
            <w:r w:rsidRPr="00A05124">
              <w:rPr>
                <w:rFonts w:eastAsia="Arial"/>
              </w:rPr>
              <w:t>Broader consideration of issues relating to federal financial relations</w:t>
            </w:r>
          </w:p>
          <w:p w14:paraId="11B3FF18" w14:textId="77777777" w:rsidR="00A05124" w:rsidRPr="00A05124" w:rsidRDefault="00A05124" w:rsidP="00A05124">
            <w:pPr>
              <w:rPr>
                <w:rFonts w:eastAsia="Arial"/>
              </w:rPr>
            </w:pPr>
            <w:r w:rsidRPr="00A05124">
              <w:rPr>
                <w:rFonts w:eastAsia="Arial"/>
              </w:rPr>
              <w:t>The PC recommends that, in addition to updating Australia’s system of HFE, the Commonwealth and the States should explore further meaningful reform of the broader federal financial relations framework, including considering the roles and responsibilities of different levels of government and opportunities to address vertical fiscal imbalance (Recommendation 9.1).</w:t>
            </w:r>
          </w:p>
          <w:p w14:paraId="414DF20B" w14:textId="77777777" w:rsidR="00A05124" w:rsidRPr="008950C5" w:rsidRDefault="00A05124" w:rsidP="00A05124">
            <w:r w:rsidRPr="00A05124">
              <w:rPr>
                <w:rFonts w:eastAsia="Arial"/>
              </w:rPr>
              <w:t>The Commonwealth engages with the States regarding the federal financial relations framework through numerous forums, particularly the Council on Federal Financial Relations (CFFR). The States also discuss such issues through the recently formed Board of Treasurers. The Commonwealth looks forward to continuing constructive engagement with the States on financial issues following the examination of potential improvements to the HFE system.</w:t>
            </w:r>
          </w:p>
        </w:tc>
      </w:tr>
    </w:tbl>
    <w:p w14:paraId="745EFCF9" w14:textId="77777777" w:rsidR="007F6037" w:rsidRPr="00A05124" w:rsidRDefault="00EE67DE" w:rsidP="00A05124">
      <w:pPr>
        <w:pStyle w:val="Heading1"/>
        <w:rPr>
          <w:rFonts w:eastAsia="Arial"/>
        </w:rPr>
      </w:pPr>
      <w:bookmarkStart w:id="9" w:name="_Toc518559014"/>
      <w:r w:rsidRPr="00A05124">
        <w:rPr>
          <w:rFonts w:eastAsia="Arial"/>
        </w:rPr>
        <w:lastRenderedPageBreak/>
        <w:t>The PC also recommends a</w:t>
      </w:r>
      <w:r w:rsidR="00A05124" w:rsidRPr="00A05124">
        <w:rPr>
          <w:rFonts w:eastAsia="Arial"/>
        </w:rPr>
        <w:t xml:space="preserve"> </w:t>
      </w:r>
      <w:r w:rsidRPr="00A05124">
        <w:rPr>
          <w:rFonts w:eastAsia="Arial"/>
        </w:rPr>
        <w:t>significant change to the standard of HFE</w:t>
      </w:r>
      <w:bookmarkEnd w:id="9"/>
    </w:p>
    <w:p w14:paraId="7B1BDF47" w14:textId="77777777" w:rsidR="007F6037" w:rsidRPr="00D54F52" w:rsidRDefault="00EE67DE" w:rsidP="00A05124">
      <w:pPr>
        <w:pStyle w:val="Introductoryparagraph"/>
        <w:rPr>
          <w:b/>
        </w:rPr>
      </w:pPr>
      <w:r w:rsidRPr="00D54F52">
        <w:rPr>
          <w:b/>
        </w:rPr>
        <w:t>In making recommendations on ways to update Australia’s HFE system, the PC notes that no alternative benchmark for equalisation is unambiguously superior to any other.</w:t>
      </w:r>
    </w:p>
    <w:p w14:paraId="7751AC89" w14:textId="77777777" w:rsidR="007F6037" w:rsidRPr="00A05124" w:rsidRDefault="00EE67DE" w:rsidP="00A05124">
      <w:pPr>
        <w:rPr>
          <w:rFonts w:eastAsia="Arial"/>
        </w:rPr>
      </w:pPr>
      <w:r w:rsidRPr="00A05124">
        <w:rPr>
          <w:rFonts w:eastAsia="Arial"/>
        </w:rPr>
        <w:t>The PC notes that finding the right balance involves judgment about whether the perceived benefits – such as enhancing policy neutrality and reducing disincentives for reform – outweigh the potential impact on fiscal equality across the States.</w:t>
      </w:r>
    </w:p>
    <w:p w14:paraId="13550CD1" w14:textId="77777777" w:rsidR="007F6037" w:rsidRPr="00A05124" w:rsidRDefault="00EE67DE" w:rsidP="00A05124">
      <w:pPr>
        <w:rPr>
          <w:rFonts w:eastAsia="Arial"/>
        </w:rPr>
      </w:pPr>
      <w:r w:rsidRPr="00A05124">
        <w:rPr>
          <w:rFonts w:eastAsia="Arial"/>
        </w:rPr>
        <w:t>The PC considered a number of options to update HFE throughout its 12 month inquiry process. In its final report, the PC recommends moving to a new equalisation benchmark</w:t>
      </w:r>
      <w:r w:rsidR="00A05124" w:rsidRPr="00A05124">
        <w:rPr>
          <w:rFonts w:eastAsia="Arial"/>
        </w:rPr>
        <w:t xml:space="preserve"> </w:t>
      </w:r>
      <w:r w:rsidRPr="00A05124">
        <w:rPr>
          <w:rFonts w:eastAsia="Arial"/>
        </w:rPr>
        <w:t>of the ‘average of all States’ (ETA), instead of the current system of equalising to the strongest State.</w:t>
      </w:r>
    </w:p>
    <w:p w14:paraId="40D969F2" w14:textId="77777777" w:rsidR="007F6037" w:rsidRPr="00A05124" w:rsidRDefault="00EE67DE" w:rsidP="00A05124">
      <w:pPr>
        <w:rPr>
          <w:rFonts w:eastAsia="Arial"/>
        </w:rPr>
      </w:pPr>
      <w:r w:rsidRPr="00A05124">
        <w:rPr>
          <w:rFonts w:eastAsia="Arial"/>
        </w:rPr>
        <w:t>The Government has carefully considered the PC’s preferred option and formed the view that it is not the appropriate way forward</w:t>
      </w:r>
      <w:r w:rsidR="00A05124" w:rsidRPr="00A05124">
        <w:rPr>
          <w:rFonts w:eastAsia="Arial"/>
        </w:rPr>
        <w:t xml:space="preserve"> </w:t>
      </w:r>
      <w:r w:rsidRPr="00A05124">
        <w:rPr>
          <w:rFonts w:eastAsia="Arial"/>
        </w:rPr>
        <w:t>to update the way the GST is distributed. Implementing the PC’s preferred model of HFE would create a level of disruption with</w:t>
      </w:r>
      <w:r w:rsidR="00A05124" w:rsidRPr="00A05124">
        <w:rPr>
          <w:rFonts w:eastAsia="Arial"/>
        </w:rPr>
        <w:t xml:space="preserve"> </w:t>
      </w:r>
      <w:r w:rsidRPr="00A05124">
        <w:rPr>
          <w:rFonts w:eastAsia="Arial"/>
        </w:rPr>
        <w:t>unacceptable transition costs that most States would not be able to reasonably accept or absorb (see Table 3). This model would, in the Commonwealth’s view, move too far from the policy objective of HFE.</w:t>
      </w:r>
    </w:p>
    <w:p w14:paraId="6FC22F58" w14:textId="77777777" w:rsidR="007F6037" w:rsidRPr="00A05124" w:rsidRDefault="00EE67DE" w:rsidP="00A05124">
      <w:pPr>
        <w:rPr>
          <w:rFonts w:eastAsia="Arial"/>
        </w:rPr>
      </w:pPr>
      <w:r w:rsidRPr="00A05124">
        <w:rPr>
          <w:rFonts w:eastAsia="Arial"/>
        </w:rPr>
        <w:t>The PC’s recommendation to change the HFE standard to ETA is premised on analysis that this change would provide the greatest incentive for a small number of large States</w:t>
      </w:r>
      <w:r w:rsidR="00A05124" w:rsidRPr="00A05124">
        <w:rPr>
          <w:rFonts w:eastAsia="Arial"/>
        </w:rPr>
        <w:t xml:space="preserve"> </w:t>
      </w:r>
      <w:r w:rsidRPr="00A05124">
        <w:rPr>
          <w:rFonts w:eastAsia="Arial"/>
        </w:rPr>
        <w:t>to undertake efficiency-enhancing tax reform, particularly a ‘swap’ of stamp duty revenue</w:t>
      </w:r>
      <w:r w:rsidR="00A05124" w:rsidRPr="00A05124">
        <w:rPr>
          <w:rFonts w:eastAsia="Arial"/>
        </w:rPr>
        <w:t xml:space="preserve"> </w:t>
      </w:r>
      <w:r w:rsidRPr="00A05124">
        <w:rPr>
          <w:rFonts w:eastAsia="Arial"/>
        </w:rPr>
        <w:t>for increased land taxes. There are other significant obstacles to such a reform, and the limited scope for potential reform provided by the PC’s recommended model — by reducing disincentives to undertake it in only the three strongest States, with no change in the</w:t>
      </w:r>
      <w:r w:rsidR="00A05124" w:rsidRPr="00A05124">
        <w:rPr>
          <w:rFonts w:eastAsia="Arial"/>
        </w:rPr>
        <w:t xml:space="preserve"> </w:t>
      </w:r>
      <w:r w:rsidRPr="00A05124">
        <w:rPr>
          <w:rFonts w:eastAsia="Arial"/>
        </w:rPr>
        <w:t>other five States — does not outweigh the signific</w:t>
      </w:r>
      <w:r w:rsidR="0008082E">
        <w:rPr>
          <w:rFonts w:eastAsia="Arial"/>
        </w:rPr>
        <w:t>ant costs that the States would </w:t>
      </w:r>
      <w:r w:rsidRPr="00A05124">
        <w:rPr>
          <w:rFonts w:eastAsia="Arial"/>
        </w:rPr>
        <w:t>face.</w:t>
      </w:r>
    </w:p>
    <w:p w14:paraId="026551CE" w14:textId="235CAEA2" w:rsidR="003E3F5A" w:rsidRPr="00D06212" w:rsidRDefault="00EE67DE" w:rsidP="00D06212">
      <w:pPr>
        <w:rPr>
          <w:rFonts w:eastAsia="Arial"/>
        </w:rPr>
      </w:pPr>
      <w:r w:rsidRPr="00A05124">
        <w:rPr>
          <w:rFonts w:eastAsia="Arial"/>
        </w:rPr>
        <w:t>While the PC’s proposed model for HFE</w:t>
      </w:r>
      <w:r w:rsidR="00A05124" w:rsidRPr="00A05124">
        <w:rPr>
          <w:rFonts w:eastAsia="Arial"/>
        </w:rPr>
        <w:t xml:space="preserve"> </w:t>
      </w:r>
      <w:r w:rsidRPr="00A05124">
        <w:rPr>
          <w:rFonts w:eastAsia="Arial"/>
        </w:rPr>
        <w:t>would be less susceptible to economic shocks than the current system, other options could provide similar protection against volatility in GST revenues in a way that is fairer, reasonable and more sustainable.</w:t>
      </w:r>
      <w:r w:rsidR="003E3F5A">
        <w:rPr>
          <w:rFonts w:eastAsia="Arial"/>
        </w:rPr>
        <w:br w:type="page"/>
      </w:r>
    </w:p>
    <w:p w14:paraId="04000CBA" w14:textId="77777777" w:rsidR="007F6037" w:rsidRDefault="00EE67DE" w:rsidP="00D13F64">
      <w:pPr>
        <w:pStyle w:val="TableMainHeading"/>
        <w:rPr>
          <w:rFonts w:eastAsia="Arial"/>
        </w:rPr>
      </w:pPr>
      <w:r w:rsidRPr="00D13F64">
        <w:rPr>
          <w:rFonts w:eastAsia="Arial"/>
        </w:rPr>
        <w:lastRenderedPageBreak/>
        <w:t>Table 3: Comparison of relativities: Current system and the PC’s recommended option</w:t>
      </w:r>
    </w:p>
    <w:p w14:paraId="10F4FA97" w14:textId="77777777" w:rsidR="0008082E" w:rsidRDefault="0008082E" w:rsidP="003E3F5A">
      <w:pPr>
        <w:pStyle w:val="SingleParagraph"/>
        <w:rPr>
          <w:rFonts w:eastAsia="Arial"/>
        </w:rPr>
        <w:sectPr w:rsidR="0008082E" w:rsidSect="00833DBC">
          <w:pgSz w:w="11920" w:h="16840"/>
          <w:pgMar w:top="1134" w:right="1418" w:bottom="1418" w:left="1134" w:header="709" w:footer="709" w:gutter="0"/>
          <w:cols w:space="720"/>
          <w:docGrid w:linePitch="299"/>
        </w:sectPr>
      </w:pPr>
    </w:p>
    <w:p w14:paraId="213E341E" w14:textId="77777777" w:rsidR="003C28F6" w:rsidRDefault="003C28F6" w:rsidP="003E3F5A">
      <w:pPr>
        <w:pStyle w:val="SingleParagraph"/>
        <w:rPr>
          <w:rFonts w:eastAsia="Arial"/>
        </w:rPr>
      </w:pPr>
    </w:p>
    <w:tbl>
      <w:tblPr>
        <w:tblW w:w="0" w:type="auto"/>
        <w:tblInd w:w="117" w:type="dxa"/>
        <w:tblLayout w:type="fixed"/>
        <w:tblCellMar>
          <w:left w:w="57" w:type="dxa"/>
          <w:right w:w="57" w:type="dxa"/>
        </w:tblCellMar>
        <w:tblLook w:val="01E0" w:firstRow="1" w:lastRow="1" w:firstColumn="1" w:lastColumn="1" w:noHBand="0" w:noVBand="0"/>
      </w:tblPr>
      <w:tblGrid>
        <w:gridCol w:w="1361"/>
        <w:gridCol w:w="1587"/>
        <w:gridCol w:w="1474"/>
      </w:tblGrid>
      <w:tr w:rsidR="003E3F5A" w14:paraId="49965AF3" w14:textId="77777777" w:rsidTr="00931EC6">
        <w:trPr>
          <w:trHeight w:val="20"/>
        </w:trPr>
        <w:tc>
          <w:tcPr>
            <w:tcW w:w="1361" w:type="dxa"/>
            <w:tcBorders>
              <w:top w:val="nil"/>
              <w:left w:val="nil"/>
              <w:bottom w:val="single" w:sz="8" w:space="0" w:color="FFFFFF"/>
              <w:right w:val="single" w:sz="8" w:space="0" w:color="FFFFFF"/>
            </w:tcBorders>
            <w:shd w:val="clear" w:color="auto" w:fill="354866"/>
          </w:tcPr>
          <w:p w14:paraId="6A6216C4" w14:textId="77777777" w:rsidR="003E3F5A" w:rsidRDefault="003E3F5A" w:rsidP="00931EC6">
            <w:pPr>
              <w:pStyle w:val="TableColumnHeadingLeft"/>
              <w:rPr>
                <w:rFonts w:eastAsia="Arial"/>
              </w:rPr>
            </w:pPr>
            <w:r>
              <w:rPr>
                <w:rFonts w:eastAsia="Arial"/>
                <w:spacing w:val="2"/>
              </w:rPr>
              <w:t>N</w:t>
            </w:r>
            <w:r>
              <w:rPr>
                <w:rFonts w:eastAsia="Arial"/>
                <w:spacing w:val="3"/>
              </w:rPr>
              <w:t>S</w:t>
            </w:r>
            <w:r>
              <w:rPr>
                <w:rFonts w:eastAsia="Arial"/>
              </w:rPr>
              <w:t>W</w:t>
            </w:r>
          </w:p>
        </w:tc>
        <w:tc>
          <w:tcPr>
            <w:tcW w:w="1587" w:type="dxa"/>
            <w:tcBorders>
              <w:top w:val="nil"/>
              <w:left w:val="single" w:sz="8" w:space="0" w:color="FFFFFF"/>
              <w:bottom w:val="single" w:sz="8" w:space="0" w:color="FFFFFF"/>
              <w:right w:val="single" w:sz="8" w:space="0" w:color="FFFFFF"/>
            </w:tcBorders>
            <w:shd w:val="clear" w:color="auto" w:fill="007C59"/>
          </w:tcPr>
          <w:p w14:paraId="501049E3" w14:textId="77777777" w:rsidR="003E3F5A" w:rsidRPr="003C28F6" w:rsidRDefault="003E3F5A" w:rsidP="00931EC6">
            <w:pPr>
              <w:pStyle w:val="TableColumnHeadingRight"/>
              <w:rPr>
                <w:rFonts w:eastAsia="Arial"/>
              </w:rPr>
            </w:pPr>
            <w:r w:rsidRPr="003C28F6">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1BEF622F" w14:textId="77777777" w:rsidR="003E3F5A" w:rsidRPr="003C28F6" w:rsidRDefault="003E3F5A" w:rsidP="00931EC6">
            <w:pPr>
              <w:pStyle w:val="TableColumnHeadingRight"/>
              <w:rPr>
                <w:rFonts w:eastAsia="Arial"/>
              </w:rPr>
            </w:pPr>
            <w:r w:rsidRPr="003C28F6">
              <w:rPr>
                <w:rFonts w:eastAsia="Arial"/>
              </w:rPr>
              <w:t>PC option</w:t>
            </w:r>
          </w:p>
        </w:tc>
      </w:tr>
      <w:tr w:rsidR="003E3F5A" w14:paraId="15EE409F"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282BE6C2"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2"/>
                <w:w w:val="106"/>
              </w:rPr>
              <w:t>0</w:t>
            </w:r>
            <w:r w:rsidRPr="003C28F6">
              <w:rPr>
                <w:rFonts w:eastAsia="Arial"/>
                <w:b/>
                <w:spacing w:val="-7"/>
                <w:w w:val="106"/>
              </w:rPr>
              <w:t>1</w:t>
            </w:r>
            <w:r w:rsidRPr="003C28F6">
              <w:rPr>
                <w:rFonts w:eastAsia="Arial"/>
                <w:b/>
                <w:spacing w:val="6"/>
                <w:w w:val="106"/>
              </w:rPr>
              <w:t>9</w:t>
            </w:r>
            <w:r w:rsidRPr="003C28F6">
              <w:rPr>
                <w:rFonts w:eastAsia="Arial"/>
                <w:b/>
                <w:spacing w:val="-5"/>
                <w:w w:val="101"/>
              </w:rPr>
              <w:t>-</w:t>
            </w:r>
            <w:r w:rsidRPr="003C28F6">
              <w:rPr>
                <w:rFonts w:eastAsia="Arial"/>
                <w:b/>
                <w:w w:val="106"/>
              </w:rPr>
              <w:t>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7406915"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3D0C24D8"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5"/>
              </w:rPr>
              <w:t>8</w:t>
            </w:r>
            <w:r>
              <w:rPr>
                <w:rFonts w:eastAsia="Arial"/>
              </w:rPr>
              <w:t>4</w:t>
            </w:r>
          </w:p>
        </w:tc>
      </w:tr>
      <w:tr w:rsidR="003E3F5A" w14:paraId="77F40680"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7031D88B"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w w:val="106"/>
              </w:rPr>
              <w:t>2</w:t>
            </w:r>
            <w:r w:rsidRPr="003C28F6">
              <w:rPr>
                <w:rFonts w:eastAsia="Arial"/>
                <w:b/>
                <w:spacing w:val="7"/>
                <w:w w:val="106"/>
              </w:rPr>
              <w:t>0</w:t>
            </w:r>
            <w:r w:rsidRPr="003C28F6">
              <w:rPr>
                <w:rFonts w:eastAsia="Arial"/>
                <w:b/>
                <w:spacing w:val="-5"/>
                <w:w w:val="101"/>
              </w:rPr>
              <w:t>-</w:t>
            </w:r>
            <w:r w:rsidRPr="003C28F6">
              <w:rPr>
                <w:rFonts w:eastAsia="Arial"/>
                <w:b/>
                <w:spacing w:val="-3"/>
                <w:w w:val="106"/>
              </w:rPr>
              <w:t>2</w:t>
            </w:r>
            <w:r w:rsidRPr="003C28F6">
              <w:rPr>
                <w:rFonts w:eastAsia="Arial"/>
                <w:b/>
                <w:w w:val="106"/>
              </w:rPr>
              <w:t>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34D42F5"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060E9197"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5"/>
              </w:rPr>
              <w:t>8</w:t>
            </w:r>
            <w:r>
              <w:rPr>
                <w:rFonts w:eastAsia="Arial"/>
              </w:rPr>
              <w:t>4</w:t>
            </w:r>
          </w:p>
        </w:tc>
      </w:tr>
      <w:tr w:rsidR="003E3F5A" w14:paraId="3FD30E72"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67AA42A0"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spacing w:val="-3"/>
                <w:w w:val="106"/>
              </w:rPr>
              <w:t>2</w:t>
            </w:r>
            <w:r w:rsidRPr="003C28F6">
              <w:rPr>
                <w:rFonts w:eastAsia="Arial"/>
                <w:b/>
                <w:spacing w:val="-4"/>
                <w:w w:val="106"/>
              </w:rPr>
              <w:t>1</w:t>
            </w:r>
            <w:r w:rsidRPr="003C28F6">
              <w:rPr>
                <w:rFonts w:eastAsia="Arial"/>
                <w:b/>
                <w:spacing w:val="-5"/>
                <w:w w:val="101"/>
              </w:rPr>
              <w:t>-</w:t>
            </w:r>
            <w:r w:rsidRPr="003C28F6">
              <w:rPr>
                <w:rFonts w:eastAsia="Arial"/>
                <w:b/>
                <w:w w:val="106"/>
              </w:rPr>
              <w:t>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9CAE425"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479F281F" w14:textId="77777777" w:rsidR="003E3F5A" w:rsidRDefault="003E3F5A" w:rsidP="00931EC6">
            <w:pPr>
              <w:pStyle w:val="TableTextRight"/>
              <w:rPr>
                <w:rFonts w:eastAsia="Arial"/>
              </w:rPr>
            </w:pPr>
            <w:r>
              <w:rPr>
                <w:rFonts w:eastAsia="Arial"/>
                <w:spacing w:val="-1"/>
              </w:rPr>
              <w:t>0</w:t>
            </w:r>
            <w:r>
              <w:rPr>
                <w:rFonts w:eastAsia="Arial"/>
                <w:spacing w:val="2"/>
              </w:rPr>
              <w:t>.</w:t>
            </w:r>
            <w:r>
              <w:rPr>
                <w:rFonts w:eastAsia="Arial"/>
                <w:spacing w:val="-1"/>
              </w:rPr>
              <w:t>85</w:t>
            </w:r>
          </w:p>
        </w:tc>
      </w:tr>
      <w:tr w:rsidR="003E3F5A" w14:paraId="0D4B0317"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1EDDF572"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w w:val="106"/>
              </w:rPr>
              <w:t>2</w:t>
            </w:r>
            <w:r w:rsidRPr="003C28F6">
              <w:rPr>
                <w:rFonts w:eastAsia="Arial"/>
                <w:b/>
                <w:spacing w:val="-3"/>
                <w:w w:val="106"/>
              </w:rPr>
              <w:t>2</w:t>
            </w:r>
            <w:r w:rsidRPr="003C28F6">
              <w:rPr>
                <w:rFonts w:eastAsia="Arial"/>
                <w:b/>
                <w:spacing w:val="-5"/>
                <w:w w:val="101"/>
              </w:rPr>
              <w:t>-</w:t>
            </w:r>
            <w:r w:rsidRPr="003C28F6">
              <w:rPr>
                <w:rFonts w:eastAsia="Arial"/>
                <w:b/>
                <w:spacing w:val="1"/>
                <w:w w:val="106"/>
              </w:rPr>
              <w:t>2</w:t>
            </w:r>
            <w:r w:rsidRPr="003C28F6">
              <w:rPr>
                <w:rFonts w:eastAsia="Arial"/>
                <w:b/>
                <w:w w:val="106"/>
              </w:rPr>
              <w:t>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41DDB93" w14:textId="77777777" w:rsidR="003E3F5A" w:rsidRDefault="003E3F5A" w:rsidP="00931EC6">
            <w:pPr>
              <w:pStyle w:val="TableTextRight"/>
              <w:rPr>
                <w:rFonts w:eastAsia="Arial"/>
              </w:rPr>
            </w:pPr>
            <w:r>
              <w:rPr>
                <w:rFonts w:eastAsia="Arial"/>
                <w:spacing w:val="-1"/>
              </w:rPr>
              <w:t>0</w:t>
            </w:r>
            <w:r>
              <w:rPr>
                <w:rFonts w:eastAsia="Arial"/>
                <w:spacing w:val="2"/>
              </w:rPr>
              <w:t>.</w:t>
            </w:r>
            <w:r>
              <w:rPr>
                <w:rFonts w:eastAsia="Arial"/>
                <w:spacing w:val="-3"/>
              </w:rPr>
              <w:t>81</w:t>
            </w:r>
          </w:p>
        </w:tc>
        <w:tc>
          <w:tcPr>
            <w:tcW w:w="1474" w:type="dxa"/>
            <w:tcBorders>
              <w:top w:val="single" w:sz="8" w:space="0" w:color="FFFFFF"/>
              <w:left w:val="single" w:sz="8" w:space="0" w:color="FFFFFF"/>
              <w:bottom w:val="single" w:sz="8" w:space="0" w:color="FFFFFF"/>
              <w:right w:val="nil"/>
            </w:tcBorders>
            <w:shd w:val="clear" w:color="auto" w:fill="E1E8F2"/>
          </w:tcPr>
          <w:p w14:paraId="487D62FB" w14:textId="77777777" w:rsidR="003E3F5A" w:rsidRDefault="003E3F5A" w:rsidP="00931EC6">
            <w:pPr>
              <w:pStyle w:val="TableTextRight"/>
              <w:rPr>
                <w:rFonts w:eastAsia="Arial"/>
              </w:rPr>
            </w:pPr>
            <w:r>
              <w:rPr>
                <w:rFonts w:eastAsia="Arial"/>
                <w:spacing w:val="-1"/>
              </w:rPr>
              <w:t>0</w:t>
            </w:r>
            <w:r>
              <w:rPr>
                <w:rFonts w:eastAsia="Arial"/>
                <w:spacing w:val="2"/>
              </w:rPr>
              <w:t>.</w:t>
            </w:r>
            <w:r>
              <w:rPr>
                <w:rFonts w:eastAsia="Arial"/>
                <w:spacing w:val="-1"/>
              </w:rPr>
              <w:t>85</w:t>
            </w:r>
          </w:p>
        </w:tc>
      </w:tr>
      <w:tr w:rsidR="003E3F5A" w14:paraId="115A23F7"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11C23CE9"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spacing w:val="1"/>
                <w:w w:val="106"/>
              </w:rPr>
              <w:t>2</w:t>
            </w:r>
            <w:r w:rsidRPr="003C28F6">
              <w:rPr>
                <w:rFonts w:eastAsia="Arial"/>
                <w:b/>
                <w:spacing w:val="3"/>
                <w:w w:val="106"/>
              </w:rPr>
              <w:t>3</w:t>
            </w:r>
            <w:r w:rsidRPr="003C28F6">
              <w:rPr>
                <w:rFonts w:eastAsia="Arial"/>
                <w:b/>
                <w:spacing w:val="-5"/>
                <w:w w:val="104"/>
              </w:rPr>
              <w:t>-</w:t>
            </w:r>
            <w:r w:rsidRPr="003C28F6">
              <w:rPr>
                <w:rFonts w:eastAsia="Arial"/>
                <w:b/>
                <w:w w:val="104"/>
              </w:rPr>
              <w:t>2</w:t>
            </w:r>
            <w:r w:rsidRPr="003C28F6">
              <w:rPr>
                <w:rFonts w:eastAsia="Arial"/>
                <w:b/>
                <w:w w:val="106"/>
              </w:rPr>
              <w:t>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63A768EB" w14:textId="77777777" w:rsidR="003E3F5A" w:rsidRDefault="003E3F5A" w:rsidP="00931EC6">
            <w:pPr>
              <w:pStyle w:val="TableTextRight"/>
              <w:rPr>
                <w:rFonts w:eastAsia="Arial"/>
              </w:rPr>
            </w:pPr>
            <w:r>
              <w:rPr>
                <w:rFonts w:eastAsia="Arial"/>
                <w:spacing w:val="-1"/>
              </w:rPr>
              <w:t>0</w:t>
            </w:r>
            <w:r>
              <w:rPr>
                <w:rFonts w:eastAsia="Arial"/>
                <w:spacing w:val="2"/>
              </w:rPr>
              <w:t>.</w:t>
            </w:r>
            <w:r>
              <w:rPr>
                <w:rFonts w:eastAsia="Arial"/>
                <w:spacing w:val="-3"/>
              </w:rPr>
              <w:t>81</w:t>
            </w:r>
          </w:p>
        </w:tc>
        <w:tc>
          <w:tcPr>
            <w:tcW w:w="1474" w:type="dxa"/>
            <w:tcBorders>
              <w:top w:val="single" w:sz="8" w:space="0" w:color="FFFFFF"/>
              <w:left w:val="single" w:sz="8" w:space="0" w:color="FFFFFF"/>
              <w:bottom w:val="single" w:sz="8" w:space="0" w:color="FFFFFF"/>
              <w:right w:val="nil"/>
            </w:tcBorders>
            <w:shd w:val="clear" w:color="auto" w:fill="E1E8F2"/>
          </w:tcPr>
          <w:p w14:paraId="2870FB01" w14:textId="77777777" w:rsidR="003E3F5A" w:rsidRDefault="003E3F5A" w:rsidP="00931EC6">
            <w:pPr>
              <w:pStyle w:val="TableTextRight"/>
              <w:rPr>
                <w:rFonts w:eastAsia="Arial"/>
              </w:rPr>
            </w:pPr>
            <w:r>
              <w:rPr>
                <w:rFonts w:eastAsia="Arial"/>
              </w:rPr>
              <w:t>0</w:t>
            </w:r>
            <w:r>
              <w:rPr>
                <w:rFonts w:eastAsia="Arial"/>
                <w:spacing w:val="2"/>
              </w:rPr>
              <w:t>.8</w:t>
            </w:r>
            <w:r>
              <w:rPr>
                <w:rFonts w:eastAsia="Arial"/>
              </w:rPr>
              <w:t>6</w:t>
            </w:r>
          </w:p>
        </w:tc>
      </w:tr>
      <w:tr w:rsidR="003E3F5A" w14:paraId="123492CE"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4A2282F6"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w w:val="106"/>
              </w:rPr>
              <w:t>2</w:t>
            </w:r>
            <w:r w:rsidRPr="003C28F6">
              <w:rPr>
                <w:rFonts w:eastAsia="Arial"/>
                <w:b/>
                <w:spacing w:val="7"/>
                <w:w w:val="106"/>
              </w:rPr>
              <w:t>4</w:t>
            </w:r>
            <w:r w:rsidRPr="003C28F6">
              <w:rPr>
                <w:rFonts w:eastAsia="Arial"/>
                <w:b/>
                <w:spacing w:val="-5"/>
                <w:w w:val="104"/>
              </w:rPr>
              <w:t>-</w:t>
            </w:r>
            <w:r w:rsidRPr="003C28F6">
              <w:rPr>
                <w:rFonts w:eastAsia="Arial"/>
                <w:b/>
                <w:spacing w:val="-1"/>
                <w:w w:val="104"/>
              </w:rPr>
              <w:t>2</w:t>
            </w:r>
            <w:r w:rsidRPr="003C28F6">
              <w:rPr>
                <w:rFonts w:eastAsia="Arial"/>
                <w:b/>
                <w:w w:val="106"/>
              </w:rPr>
              <w:t>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2906F51B"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0AF5C934"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4"/>
              </w:rPr>
              <w:t>8</w:t>
            </w:r>
            <w:r>
              <w:rPr>
                <w:rFonts w:eastAsia="Arial"/>
              </w:rPr>
              <w:t>8</w:t>
            </w:r>
          </w:p>
        </w:tc>
      </w:tr>
      <w:tr w:rsidR="003E3F5A" w14:paraId="5E3BAE74" w14:textId="77777777" w:rsidTr="00931EC6">
        <w:trPr>
          <w:trHeight w:val="20"/>
        </w:trPr>
        <w:tc>
          <w:tcPr>
            <w:tcW w:w="1361" w:type="dxa"/>
            <w:tcBorders>
              <w:top w:val="single" w:sz="8" w:space="0" w:color="FFFFFF"/>
              <w:left w:val="nil"/>
              <w:bottom w:val="single" w:sz="8" w:space="0" w:color="FFFFFF"/>
              <w:right w:val="single" w:sz="8" w:space="0" w:color="FFFFFF"/>
            </w:tcBorders>
            <w:shd w:val="clear" w:color="auto" w:fill="DEDEE3"/>
          </w:tcPr>
          <w:p w14:paraId="05F0A42F"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02</w:t>
            </w:r>
            <w:r w:rsidRPr="003C28F6">
              <w:rPr>
                <w:rFonts w:eastAsia="Arial"/>
                <w:b/>
                <w:spacing w:val="5"/>
                <w:w w:val="106"/>
              </w:rPr>
              <w:t>5</w:t>
            </w:r>
            <w:r w:rsidRPr="003C28F6">
              <w:rPr>
                <w:rFonts w:eastAsia="Arial"/>
                <w:b/>
                <w:spacing w:val="-5"/>
                <w:w w:val="104"/>
              </w:rPr>
              <w:t>-</w:t>
            </w:r>
            <w:r w:rsidRPr="003C28F6">
              <w:rPr>
                <w:rFonts w:eastAsia="Arial"/>
                <w:b/>
                <w:spacing w:val="-2"/>
                <w:w w:val="104"/>
              </w:rPr>
              <w:t>2</w:t>
            </w:r>
            <w:r w:rsidRPr="003C28F6">
              <w:rPr>
                <w:rFonts w:eastAsia="Arial"/>
                <w:b/>
                <w:w w:val="106"/>
              </w:rPr>
              <w:t>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BD74D27"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0DB7C636" w14:textId="77777777" w:rsidR="003E3F5A" w:rsidRDefault="003E3F5A" w:rsidP="00931EC6">
            <w:pPr>
              <w:pStyle w:val="TableTextRight"/>
              <w:rPr>
                <w:rFonts w:eastAsia="Arial"/>
              </w:rPr>
            </w:pPr>
            <w:r>
              <w:rPr>
                <w:rFonts w:eastAsia="Arial"/>
              </w:rPr>
              <w:t>0</w:t>
            </w:r>
            <w:r>
              <w:rPr>
                <w:rFonts w:eastAsia="Arial"/>
                <w:spacing w:val="2"/>
              </w:rPr>
              <w:t>.</w:t>
            </w:r>
            <w:r>
              <w:rPr>
                <w:rFonts w:eastAsia="Arial"/>
                <w:spacing w:val="1"/>
              </w:rPr>
              <w:t>8</w:t>
            </w:r>
            <w:r>
              <w:rPr>
                <w:rFonts w:eastAsia="Arial"/>
              </w:rPr>
              <w:t>9</w:t>
            </w:r>
          </w:p>
        </w:tc>
      </w:tr>
      <w:tr w:rsidR="003E3F5A" w14:paraId="58579CE5" w14:textId="77777777" w:rsidTr="00931EC6">
        <w:trPr>
          <w:trHeight w:val="20"/>
        </w:trPr>
        <w:tc>
          <w:tcPr>
            <w:tcW w:w="1361" w:type="dxa"/>
            <w:tcBorders>
              <w:top w:val="single" w:sz="8" w:space="0" w:color="FFFFFF"/>
              <w:left w:val="nil"/>
              <w:bottom w:val="nil"/>
              <w:right w:val="single" w:sz="8" w:space="0" w:color="FFFFFF"/>
            </w:tcBorders>
            <w:shd w:val="clear" w:color="auto" w:fill="DEDEE3"/>
          </w:tcPr>
          <w:p w14:paraId="32A071C2" w14:textId="77777777" w:rsidR="003E3F5A" w:rsidRPr="003C28F6" w:rsidRDefault="003E3F5A" w:rsidP="00931EC6">
            <w:pPr>
              <w:pStyle w:val="TableTextLeft"/>
              <w:rPr>
                <w:rFonts w:eastAsia="Arial"/>
                <w:b/>
              </w:rPr>
            </w:pPr>
            <w:r w:rsidRPr="003C28F6">
              <w:rPr>
                <w:rFonts w:eastAsia="Arial"/>
                <w:b/>
                <w:w w:val="106"/>
              </w:rPr>
              <w:t>2</w:t>
            </w:r>
            <w:r w:rsidRPr="003C28F6">
              <w:rPr>
                <w:rFonts w:eastAsia="Arial"/>
                <w:b/>
                <w:spacing w:val="-1"/>
                <w:w w:val="106"/>
              </w:rPr>
              <w:t>0</w:t>
            </w:r>
            <w:r w:rsidRPr="003C28F6">
              <w:rPr>
                <w:rFonts w:eastAsia="Arial"/>
                <w:b/>
                <w:spacing w:val="-2"/>
                <w:w w:val="106"/>
              </w:rPr>
              <w:t>2</w:t>
            </w:r>
            <w:r w:rsidRPr="003C28F6">
              <w:rPr>
                <w:rFonts w:eastAsia="Arial"/>
                <w:b/>
                <w:spacing w:val="7"/>
                <w:w w:val="106"/>
              </w:rPr>
              <w:t>6</w:t>
            </w:r>
            <w:r w:rsidRPr="003C28F6">
              <w:rPr>
                <w:rFonts w:eastAsia="Arial"/>
                <w:b/>
                <w:spacing w:val="-5"/>
                <w:w w:val="104"/>
              </w:rPr>
              <w:t>-</w:t>
            </w:r>
            <w:r w:rsidRPr="003C28F6">
              <w:rPr>
                <w:rFonts w:eastAsia="Arial"/>
                <w:b/>
                <w:spacing w:val="-1"/>
                <w:w w:val="104"/>
              </w:rPr>
              <w:t>2</w:t>
            </w:r>
            <w:r w:rsidRPr="003C28F6">
              <w:rPr>
                <w:rFonts w:eastAsia="Arial"/>
                <w:b/>
                <w:w w:val="106"/>
              </w:rPr>
              <w:t>7</w:t>
            </w:r>
          </w:p>
        </w:tc>
        <w:tc>
          <w:tcPr>
            <w:tcW w:w="1587" w:type="dxa"/>
            <w:tcBorders>
              <w:top w:val="single" w:sz="8" w:space="0" w:color="FFFFFF"/>
              <w:left w:val="single" w:sz="8" w:space="0" w:color="FFFFFF"/>
              <w:bottom w:val="nil"/>
              <w:right w:val="single" w:sz="8" w:space="0" w:color="FFFFFF"/>
            </w:tcBorders>
            <w:shd w:val="clear" w:color="auto" w:fill="E1E7E3"/>
          </w:tcPr>
          <w:p w14:paraId="5038DC3E" w14:textId="77777777" w:rsidR="003E3F5A" w:rsidRDefault="003E3F5A" w:rsidP="00931EC6">
            <w:pPr>
              <w:pStyle w:val="TableTextRight"/>
              <w:rPr>
                <w:rFonts w:eastAsia="Arial"/>
              </w:rPr>
            </w:pPr>
            <w:r>
              <w:rPr>
                <w:rFonts w:eastAsia="Arial"/>
              </w:rPr>
              <w:t>0</w:t>
            </w:r>
            <w:r>
              <w:rPr>
                <w:rFonts w:eastAsia="Arial"/>
                <w:spacing w:val="2"/>
              </w:rPr>
              <w:t>.8</w:t>
            </w:r>
            <w:r>
              <w:rPr>
                <w:rFonts w:eastAsia="Arial"/>
              </w:rPr>
              <w:t>3</w:t>
            </w:r>
          </w:p>
        </w:tc>
        <w:tc>
          <w:tcPr>
            <w:tcW w:w="1474" w:type="dxa"/>
            <w:tcBorders>
              <w:top w:val="single" w:sz="8" w:space="0" w:color="FFFFFF"/>
              <w:left w:val="single" w:sz="8" w:space="0" w:color="FFFFFF"/>
              <w:bottom w:val="nil"/>
              <w:right w:val="nil"/>
            </w:tcBorders>
            <w:shd w:val="clear" w:color="auto" w:fill="E1E8F2"/>
          </w:tcPr>
          <w:p w14:paraId="30661C47" w14:textId="77777777" w:rsidR="003E3F5A" w:rsidRDefault="003E3F5A" w:rsidP="00931EC6">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0</w:t>
            </w:r>
          </w:p>
        </w:tc>
      </w:tr>
    </w:tbl>
    <w:p w14:paraId="342AD383" w14:textId="77777777" w:rsidR="003E3F5A" w:rsidRDefault="003E3F5A" w:rsidP="003E3F5A">
      <w:pPr>
        <w:pStyle w:val="SingleParagraph"/>
        <w:rPr>
          <w:rFonts w:eastAsia="Arial"/>
        </w:rPr>
      </w:pPr>
    </w:p>
    <w:tbl>
      <w:tblPr>
        <w:tblW w:w="0" w:type="auto"/>
        <w:tblInd w:w="117" w:type="dxa"/>
        <w:tblLayout w:type="fixed"/>
        <w:tblCellMar>
          <w:left w:w="57" w:type="dxa"/>
          <w:right w:w="57" w:type="dxa"/>
        </w:tblCellMar>
        <w:tblLook w:val="01E0" w:firstRow="1" w:lastRow="1" w:firstColumn="1" w:lastColumn="1" w:noHBand="0" w:noVBand="0"/>
      </w:tblPr>
      <w:tblGrid>
        <w:gridCol w:w="1361"/>
        <w:gridCol w:w="1587"/>
        <w:gridCol w:w="1474"/>
      </w:tblGrid>
      <w:tr w:rsidR="003C28F6" w14:paraId="614A89E2" w14:textId="77777777" w:rsidTr="002D0420">
        <w:trPr>
          <w:trHeight w:hRule="exact" w:val="289"/>
        </w:trPr>
        <w:tc>
          <w:tcPr>
            <w:tcW w:w="1361" w:type="dxa"/>
            <w:tcBorders>
              <w:top w:val="nil"/>
              <w:left w:val="nil"/>
              <w:bottom w:val="single" w:sz="8" w:space="0" w:color="FFFFFF"/>
              <w:right w:val="single" w:sz="8" w:space="0" w:color="FFFFFF"/>
            </w:tcBorders>
            <w:shd w:val="clear" w:color="auto" w:fill="354866"/>
          </w:tcPr>
          <w:p w14:paraId="6A0105A7" w14:textId="77777777" w:rsidR="003C28F6" w:rsidRDefault="003C28F6" w:rsidP="009E156C">
            <w:pPr>
              <w:pStyle w:val="TableColumnHeadingLeft"/>
              <w:rPr>
                <w:rFonts w:eastAsia="Arial"/>
              </w:rPr>
            </w:pPr>
            <w:r>
              <w:rPr>
                <w:rFonts w:eastAsia="Arial"/>
                <w:spacing w:val="4"/>
              </w:rPr>
              <w:t>V</w:t>
            </w:r>
            <w:r>
              <w:rPr>
                <w:rFonts w:eastAsia="Arial"/>
              </w:rPr>
              <w:t>IC</w:t>
            </w:r>
          </w:p>
        </w:tc>
        <w:tc>
          <w:tcPr>
            <w:tcW w:w="1587" w:type="dxa"/>
            <w:tcBorders>
              <w:top w:val="nil"/>
              <w:left w:val="single" w:sz="8" w:space="0" w:color="FFFFFF"/>
              <w:bottom w:val="single" w:sz="8" w:space="0" w:color="FFFFFF"/>
              <w:right w:val="single" w:sz="8" w:space="0" w:color="FFFFFF"/>
            </w:tcBorders>
            <w:shd w:val="clear" w:color="auto" w:fill="007C59"/>
          </w:tcPr>
          <w:p w14:paraId="4442D94B" w14:textId="77777777" w:rsidR="003C28F6" w:rsidRPr="003C28F6" w:rsidRDefault="003C28F6" w:rsidP="009E156C">
            <w:pPr>
              <w:pStyle w:val="TableColumnHeadingRight"/>
              <w:rPr>
                <w:rFonts w:eastAsia="Arial"/>
              </w:rPr>
            </w:pPr>
            <w:r w:rsidRPr="003C28F6">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5396F53A" w14:textId="77777777" w:rsidR="003C28F6" w:rsidRPr="003C28F6" w:rsidRDefault="003C28F6" w:rsidP="009E156C">
            <w:pPr>
              <w:pStyle w:val="TableColumnHeadingRight"/>
              <w:rPr>
                <w:rFonts w:eastAsia="Arial"/>
              </w:rPr>
            </w:pPr>
            <w:r w:rsidRPr="003C28F6">
              <w:rPr>
                <w:rFonts w:eastAsia="Arial"/>
              </w:rPr>
              <w:t>PC option</w:t>
            </w:r>
          </w:p>
        </w:tc>
      </w:tr>
      <w:tr w:rsidR="003C28F6" w14:paraId="23248FF6"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3989ED0" w14:textId="77777777" w:rsidR="003C28F6" w:rsidRPr="003C28F6" w:rsidRDefault="003C28F6" w:rsidP="009E156C">
            <w:pPr>
              <w:pStyle w:val="TableTextLeft"/>
              <w:rPr>
                <w:rFonts w:eastAsia="Arial"/>
                <w:b/>
              </w:rPr>
            </w:pPr>
            <w:r w:rsidRPr="003C28F6">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11140C5"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3"/>
              </w:rPr>
              <w:t>9</w:t>
            </w:r>
            <w:r>
              <w:rPr>
                <w:rFonts w:eastAsia="Arial"/>
              </w:rPr>
              <w:t>6</w:t>
            </w:r>
          </w:p>
        </w:tc>
        <w:tc>
          <w:tcPr>
            <w:tcW w:w="1474" w:type="dxa"/>
            <w:tcBorders>
              <w:top w:val="single" w:sz="8" w:space="0" w:color="FFFFFF"/>
              <w:left w:val="single" w:sz="8" w:space="0" w:color="FFFFFF"/>
              <w:bottom w:val="single" w:sz="8" w:space="0" w:color="FFFFFF"/>
              <w:right w:val="nil"/>
            </w:tcBorders>
            <w:shd w:val="clear" w:color="auto" w:fill="E1E8F2"/>
          </w:tcPr>
          <w:p w14:paraId="5DEE89AD"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rPr>
              <w:t>95</w:t>
            </w:r>
          </w:p>
        </w:tc>
      </w:tr>
      <w:tr w:rsidR="003C28F6" w14:paraId="4D2E1D6B"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4CB3893D" w14:textId="77777777" w:rsidR="003C28F6" w:rsidRPr="003C28F6" w:rsidRDefault="003C28F6" w:rsidP="009E156C">
            <w:pPr>
              <w:pStyle w:val="TableTextLeft"/>
              <w:rPr>
                <w:rFonts w:eastAsia="Arial"/>
                <w:b/>
              </w:rPr>
            </w:pPr>
            <w:r w:rsidRPr="003C28F6">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EA4BDD5"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rPr>
              <w:t>95</w:t>
            </w:r>
          </w:p>
        </w:tc>
        <w:tc>
          <w:tcPr>
            <w:tcW w:w="1474" w:type="dxa"/>
            <w:tcBorders>
              <w:top w:val="single" w:sz="8" w:space="0" w:color="FFFFFF"/>
              <w:left w:val="single" w:sz="8" w:space="0" w:color="FFFFFF"/>
              <w:bottom w:val="single" w:sz="8" w:space="0" w:color="FFFFFF"/>
              <w:right w:val="nil"/>
            </w:tcBorders>
            <w:shd w:val="clear" w:color="auto" w:fill="E1E8F2"/>
          </w:tcPr>
          <w:p w14:paraId="31135199"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4</w:t>
            </w:r>
          </w:p>
        </w:tc>
      </w:tr>
      <w:tr w:rsidR="003C28F6" w14:paraId="2AC24897"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D2B6C9B" w14:textId="77777777" w:rsidR="003C28F6" w:rsidRPr="003C28F6" w:rsidRDefault="003C28F6" w:rsidP="009E156C">
            <w:pPr>
              <w:pStyle w:val="TableTextLeft"/>
              <w:rPr>
                <w:rFonts w:eastAsia="Arial"/>
                <w:b/>
              </w:rPr>
            </w:pPr>
            <w:r w:rsidRPr="003C28F6">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5F2753E"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4</w:t>
            </w:r>
          </w:p>
        </w:tc>
        <w:tc>
          <w:tcPr>
            <w:tcW w:w="1474" w:type="dxa"/>
            <w:tcBorders>
              <w:top w:val="single" w:sz="8" w:space="0" w:color="FFFFFF"/>
              <w:left w:val="single" w:sz="8" w:space="0" w:color="FFFFFF"/>
              <w:bottom w:val="single" w:sz="8" w:space="0" w:color="FFFFFF"/>
              <w:right w:val="nil"/>
            </w:tcBorders>
            <w:shd w:val="clear" w:color="auto" w:fill="E1E8F2"/>
          </w:tcPr>
          <w:p w14:paraId="41887376"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2"/>
              </w:rPr>
              <w:t>9</w:t>
            </w:r>
            <w:r>
              <w:rPr>
                <w:rFonts w:eastAsia="Arial"/>
              </w:rPr>
              <w:t>2</w:t>
            </w:r>
          </w:p>
        </w:tc>
      </w:tr>
      <w:tr w:rsidR="003C28F6" w14:paraId="0A79487E"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A6790B5" w14:textId="77777777" w:rsidR="003C28F6" w:rsidRPr="003C28F6" w:rsidRDefault="003C28F6" w:rsidP="009E156C">
            <w:pPr>
              <w:pStyle w:val="TableTextLeft"/>
              <w:rPr>
                <w:rFonts w:eastAsia="Arial"/>
                <w:b/>
              </w:rPr>
            </w:pPr>
            <w:r w:rsidRPr="003C28F6">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227775F"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2"/>
              </w:rPr>
              <w:t>9</w:t>
            </w:r>
            <w:r>
              <w:rPr>
                <w:rFonts w:eastAsia="Arial"/>
              </w:rPr>
              <w:t>3</w:t>
            </w:r>
          </w:p>
        </w:tc>
        <w:tc>
          <w:tcPr>
            <w:tcW w:w="1474" w:type="dxa"/>
            <w:tcBorders>
              <w:top w:val="single" w:sz="8" w:space="0" w:color="FFFFFF"/>
              <w:left w:val="single" w:sz="8" w:space="0" w:color="FFFFFF"/>
              <w:bottom w:val="single" w:sz="8" w:space="0" w:color="FFFFFF"/>
              <w:right w:val="nil"/>
            </w:tcBorders>
            <w:shd w:val="clear" w:color="auto" w:fill="E1E8F2"/>
          </w:tcPr>
          <w:p w14:paraId="6F1B6EDF" w14:textId="77777777" w:rsidR="003C28F6" w:rsidRDefault="003C28F6" w:rsidP="009E156C">
            <w:pPr>
              <w:pStyle w:val="TableTextRight"/>
              <w:rPr>
                <w:rFonts w:eastAsia="Arial"/>
              </w:rPr>
            </w:pPr>
            <w:r>
              <w:rPr>
                <w:rFonts w:eastAsia="Arial"/>
                <w:spacing w:val="-1"/>
              </w:rPr>
              <w:t>0</w:t>
            </w:r>
            <w:r>
              <w:rPr>
                <w:rFonts w:eastAsia="Arial"/>
                <w:spacing w:val="-3"/>
              </w:rPr>
              <w:t>.91</w:t>
            </w:r>
          </w:p>
        </w:tc>
      </w:tr>
      <w:tr w:rsidR="003C28F6" w14:paraId="65E07E08"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9DEB767" w14:textId="77777777" w:rsidR="003C28F6" w:rsidRPr="003C28F6" w:rsidRDefault="003C28F6" w:rsidP="009E156C">
            <w:pPr>
              <w:pStyle w:val="TableTextLeft"/>
              <w:rPr>
                <w:rFonts w:eastAsia="Arial"/>
                <w:b/>
              </w:rPr>
            </w:pPr>
            <w:r w:rsidRPr="003C28F6">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202EDC03"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2"/>
              </w:rPr>
              <w:t>9</w:t>
            </w:r>
            <w:r>
              <w:rPr>
                <w:rFonts w:eastAsia="Arial"/>
              </w:rPr>
              <w:t>3</w:t>
            </w:r>
          </w:p>
        </w:tc>
        <w:tc>
          <w:tcPr>
            <w:tcW w:w="1474" w:type="dxa"/>
            <w:tcBorders>
              <w:top w:val="single" w:sz="8" w:space="0" w:color="FFFFFF"/>
              <w:left w:val="single" w:sz="8" w:space="0" w:color="FFFFFF"/>
              <w:bottom w:val="single" w:sz="8" w:space="0" w:color="FFFFFF"/>
              <w:right w:val="nil"/>
            </w:tcBorders>
            <w:shd w:val="clear" w:color="auto" w:fill="E1E8F2"/>
          </w:tcPr>
          <w:p w14:paraId="40BB20A7" w14:textId="77777777" w:rsidR="003C28F6" w:rsidRDefault="003C28F6" w:rsidP="009E156C">
            <w:pPr>
              <w:pStyle w:val="TableTextRight"/>
              <w:rPr>
                <w:rFonts w:eastAsia="Arial"/>
              </w:rPr>
            </w:pPr>
            <w:r>
              <w:rPr>
                <w:rFonts w:eastAsia="Arial"/>
                <w:spacing w:val="-1"/>
              </w:rPr>
              <w:t>0</w:t>
            </w:r>
            <w:r>
              <w:rPr>
                <w:rFonts w:eastAsia="Arial"/>
                <w:spacing w:val="-3"/>
              </w:rPr>
              <w:t>.91</w:t>
            </w:r>
          </w:p>
        </w:tc>
      </w:tr>
      <w:tr w:rsidR="003C28F6" w14:paraId="46D5C3A7"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04FF12A" w14:textId="77777777" w:rsidR="003C28F6" w:rsidRPr="003C28F6" w:rsidRDefault="003C28F6" w:rsidP="009E156C">
            <w:pPr>
              <w:pStyle w:val="TableTextLeft"/>
              <w:rPr>
                <w:rFonts w:eastAsia="Arial"/>
                <w:b/>
              </w:rPr>
            </w:pPr>
            <w:r w:rsidRPr="003C28F6">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5E3C68D"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2"/>
              </w:rPr>
              <w:t>9</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4E44F773"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0</w:t>
            </w:r>
          </w:p>
        </w:tc>
      </w:tr>
      <w:tr w:rsidR="003C28F6" w14:paraId="33E1A6DB"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1BFC572" w14:textId="77777777" w:rsidR="003C28F6" w:rsidRPr="003C28F6" w:rsidRDefault="003C28F6" w:rsidP="009E156C">
            <w:pPr>
              <w:pStyle w:val="TableTextLeft"/>
              <w:rPr>
                <w:rFonts w:eastAsia="Arial"/>
                <w:b/>
              </w:rPr>
            </w:pPr>
            <w:r w:rsidRPr="003C28F6">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5066FD9" w14:textId="77777777" w:rsidR="003C28F6" w:rsidRDefault="003C28F6" w:rsidP="009E156C">
            <w:pPr>
              <w:pStyle w:val="TableTextRight"/>
              <w:rPr>
                <w:rFonts w:eastAsia="Arial"/>
              </w:rPr>
            </w:pPr>
            <w:r>
              <w:rPr>
                <w:rFonts w:eastAsia="Arial"/>
                <w:spacing w:val="-1"/>
              </w:rPr>
              <w:t>0</w:t>
            </w:r>
            <w:r>
              <w:rPr>
                <w:rFonts w:eastAsia="Arial"/>
                <w:spacing w:val="-3"/>
              </w:rPr>
              <w:t>.91</w:t>
            </w:r>
          </w:p>
        </w:tc>
        <w:tc>
          <w:tcPr>
            <w:tcW w:w="1474" w:type="dxa"/>
            <w:tcBorders>
              <w:top w:val="single" w:sz="8" w:space="0" w:color="FFFFFF"/>
              <w:left w:val="single" w:sz="8" w:space="0" w:color="FFFFFF"/>
              <w:bottom w:val="single" w:sz="8" w:space="0" w:color="FFFFFF"/>
              <w:right w:val="nil"/>
            </w:tcBorders>
            <w:shd w:val="clear" w:color="auto" w:fill="E1E8F2"/>
          </w:tcPr>
          <w:p w14:paraId="62FD8B9B"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0</w:t>
            </w:r>
          </w:p>
        </w:tc>
      </w:tr>
      <w:tr w:rsidR="003C28F6" w14:paraId="14AEFCD8" w14:textId="77777777" w:rsidTr="002D0420">
        <w:trPr>
          <w:trHeight w:hRule="exact" w:val="289"/>
        </w:trPr>
        <w:tc>
          <w:tcPr>
            <w:tcW w:w="1361" w:type="dxa"/>
            <w:tcBorders>
              <w:top w:val="single" w:sz="8" w:space="0" w:color="FFFFFF"/>
              <w:left w:val="nil"/>
              <w:bottom w:val="nil"/>
              <w:right w:val="single" w:sz="8" w:space="0" w:color="FFFFFF"/>
            </w:tcBorders>
            <w:shd w:val="clear" w:color="auto" w:fill="DEDEE3"/>
          </w:tcPr>
          <w:p w14:paraId="72CAE876" w14:textId="77777777" w:rsidR="003C28F6" w:rsidRPr="003C28F6" w:rsidRDefault="003C28F6" w:rsidP="009E156C">
            <w:pPr>
              <w:pStyle w:val="TableTextLeft"/>
              <w:rPr>
                <w:rFonts w:eastAsia="Arial"/>
                <w:b/>
              </w:rPr>
            </w:pPr>
            <w:r w:rsidRPr="003C28F6">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6D44ECF4" w14:textId="77777777" w:rsidR="003C28F6" w:rsidRDefault="003C28F6" w:rsidP="009E156C">
            <w:pPr>
              <w:pStyle w:val="TableTextRight"/>
              <w:rPr>
                <w:rFonts w:eastAsia="Arial"/>
              </w:rPr>
            </w:pPr>
            <w:r>
              <w:rPr>
                <w:rFonts w:eastAsia="Arial"/>
                <w:spacing w:val="-1"/>
              </w:rPr>
              <w:t>0</w:t>
            </w:r>
            <w:r>
              <w:rPr>
                <w:rFonts w:eastAsia="Arial"/>
                <w:spacing w:val="-3"/>
              </w:rPr>
              <w:t>.91</w:t>
            </w:r>
          </w:p>
        </w:tc>
        <w:tc>
          <w:tcPr>
            <w:tcW w:w="1474" w:type="dxa"/>
            <w:tcBorders>
              <w:top w:val="single" w:sz="8" w:space="0" w:color="FFFFFF"/>
              <w:left w:val="single" w:sz="8" w:space="0" w:color="FFFFFF"/>
              <w:bottom w:val="nil"/>
              <w:right w:val="nil"/>
            </w:tcBorders>
            <w:shd w:val="clear" w:color="auto" w:fill="E1E8F2"/>
          </w:tcPr>
          <w:p w14:paraId="084330AC"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0</w:t>
            </w:r>
          </w:p>
        </w:tc>
      </w:tr>
    </w:tbl>
    <w:p w14:paraId="1826B374" w14:textId="77777777" w:rsidR="003C28F6" w:rsidRDefault="003C28F6" w:rsidP="003E3F5A">
      <w:pPr>
        <w:pStyle w:val="SingleParagraph"/>
        <w:rPr>
          <w:rFonts w:eastAsia="Arial"/>
        </w:rPr>
      </w:pPr>
    </w:p>
    <w:tbl>
      <w:tblPr>
        <w:tblW w:w="0" w:type="auto"/>
        <w:tblInd w:w="117" w:type="dxa"/>
        <w:tblLayout w:type="fixed"/>
        <w:tblCellMar>
          <w:left w:w="57" w:type="dxa"/>
          <w:right w:w="57" w:type="dxa"/>
        </w:tblCellMar>
        <w:tblLook w:val="01E0" w:firstRow="1" w:lastRow="1" w:firstColumn="1" w:lastColumn="1" w:noHBand="0" w:noVBand="0"/>
      </w:tblPr>
      <w:tblGrid>
        <w:gridCol w:w="1361"/>
        <w:gridCol w:w="1587"/>
        <w:gridCol w:w="1474"/>
      </w:tblGrid>
      <w:tr w:rsidR="003C28F6" w14:paraId="36F9122C" w14:textId="77777777" w:rsidTr="002D0420">
        <w:trPr>
          <w:trHeight w:hRule="exact" w:val="289"/>
        </w:trPr>
        <w:tc>
          <w:tcPr>
            <w:tcW w:w="1361" w:type="dxa"/>
            <w:tcBorders>
              <w:top w:val="nil"/>
              <w:left w:val="nil"/>
              <w:bottom w:val="single" w:sz="8" w:space="0" w:color="FFFFFF"/>
              <w:right w:val="single" w:sz="8" w:space="0" w:color="FFFFFF"/>
            </w:tcBorders>
            <w:shd w:val="clear" w:color="auto" w:fill="354866"/>
          </w:tcPr>
          <w:p w14:paraId="1FBF1979" w14:textId="77777777" w:rsidR="003C28F6" w:rsidRDefault="003C28F6" w:rsidP="009E156C">
            <w:pPr>
              <w:pStyle w:val="TableColumnHeadingLeft"/>
              <w:rPr>
                <w:rFonts w:eastAsia="Arial"/>
              </w:rPr>
            </w:pPr>
            <w:r>
              <w:rPr>
                <w:rFonts w:eastAsia="Arial"/>
              </w:rPr>
              <w:t>QLD</w:t>
            </w:r>
          </w:p>
        </w:tc>
        <w:tc>
          <w:tcPr>
            <w:tcW w:w="1587" w:type="dxa"/>
            <w:tcBorders>
              <w:top w:val="nil"/>
              <w:left w:val="single" w:sz="8" w:space="0" w:color="FFFFFF"/>
              <w:bottom w:val="single" w:sz="8" w:space="0" w:color="FFFFFF"/>
              <w:right w:val="single" w:sz="8" w:space="0" w:color="FFFFFF"/>
            </w:tcBorders>
            <w:shd w:val="clear" w:color="auto" w:fill="007C59"/>
          </w:tcPr>
          <w:p w14:paraId="0140F082" w14:textId="77777777" w:rsidR="003C28F6" w:rsidRPr="003C28F6" w:rsidRDefault="003C28F6" w:rsidP="009E156C">
            <w:pPr>
              <w:pStyle w:val="TableColumnHeadingRight"/>
              <w:rPr>
                <w:rFonts w:eastAsia="Arial"/>
              </w:rPr>
            </w:pPr>
            <w:r w:rsidRPr="003C28F6">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33574B86" w14:textId="77777777" w:rsidR="003C28F6" w:rsidRPr="003C28F6" w:rsidRDefault="003C28F6" w:rsidP="009E156C">
            <w:pPr>
              <w:pStyle w:val="TableColumnHeadingRight"/>
              <w:rPr>
                <w:rFonts w:eastAsia="Arial"/>
              </w:rPr>
            </w:pPr>
            <w:r w:rsidRPr="003C28F6">
              <w:rPr>
                <w:rFonts w:eastAsia="Arial"/>
              </w:rPr>
              <w:t>PC option</w:t>
            </w:r>
          </w:p>
        </w:tc>
      </w:tr>
      <w:tr w:rsidR="003C28F6" w14:paraId="2C4535AB"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C3AF3B2" w14:textId="77777777" w:rsidR="003C28F6" w:rsidRPr="003C28F6" w:rsidRDefault="003C28F6" w:rsidP="009E156C">
            <w:pPr>
              <w:pStyle w:val="TableTextLeft"/>
              <w:rPr>
                <w:rFonts w:eastAsia="Arial"/>
                <w:b/>
              </w:rPr>
            </w:pPr>
            <w:r w:rsidRPr="003C28F6">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CA3BD65"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1"/>
              </w:rPr>
              <w:t>1</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40A59B57"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5"/>
              </w:rPr>
              <w:t>11</w:t>
            </w:r>
          </w:p>
        </w:tc>
      </w:tr>
      <w:tr w:rsidR="003C28F6" w14:paraId="706288A2"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628AB86" w14:textId="77777777" w:rsidR="003C28F6" w:rsidRPr="003C28F6" w:rsidRDefault="003C28F6" w:rsidP="009E156C">
            <w:pPr>
              <w:pStyle w:val="TableTextLeft"/>
              <w:rPr>
                <w:rFonts w:eastAsia="Arial"/>
                <w:b/>
              </w:rPr>
            </w:pPr>
            <w:r w:rsidRPr="003C28F6">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1491BAF"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1"/>
              </w:rPr>
              <w:t>1</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3CB7C08C"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7"/>
              </w:rPr>
              <w:t>1</w:t>
            </w:r>
            <w:r>
              <w:rPr>
                <w:rFonts w:eastAsia="Arial"/>
              </w:rPr>
              <w:t>0</w:t>
            </w:r>
          </w:p>
        </w:tc>
      </w:tr>
      <w:tr w:rsidR="003C28F6" w14:paraId="05A2B152"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F209D86" w14:textId="77777777" w:rsidR="003C28F6" w:rsidRPr="003C28F6" w:rsidRDefault="003C28F6" w:rsidP="009E156C">
            <w:pPr>
              <w:pStyle w:val="TableTextLeft"/>
              <w:rPr>
                <w:rFonts w:eastAsia="Arial"/>
                <w:b/>
              </w:rPr>
            </w:pPr>
            <w:r w:rsidRPr="003C28F6">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147DC18"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8"/>
              </w:rPr>
              <w:t>1</w:t>
            </w:r>
            <w:r>
              <w:rPr>
                <w:rFonts w:eastAsia="Arial"/>
              </w:rPr>
              <w:t>4</w:t>
            </w:r>
          </w:p>
        </w:tc>
        <w:tc>
          <w:tcPr>
            <w:tcW w:w="1474" w:type="dxa"/>
            <w:tcBorders>
              <w:top w:val="single" w:sz="8" w:space="0" w:color="FFFFFF"/>
              <w:left w:val="single" w:sz="8" w:space="0" w:color="FFFFFF"/>
              <w:bottom w:val="single" w:sz="8" w:space="0" w:color="FFFFFF"/>
              <w:right w:val="nil"/>
            </w:tcBorders>
            <w:shd w:val="clear" w:color="auto" w:fill="E1E8F2"/>
          </w:tcPr>
          <w:p w14:paraId="6CD36A52"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7"/>
              </w:rPr>
              <w:t>1</w:t>
            </w:r>
            <w:r>
              <w:rPr>
                <w:rFonts w:eastAsia="Arial"/>
              </w:rPr>
              <w:t>0</w:t>
            </w:r>
          </w:p>
        </w:tc>
      </w:tr>
      <w:tr w:rsidR="003C28F6" w14:paraId="54B0DBE8"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4D794F0F" w14:textId="77777777" w:rsidR="003C28F6" w:rsidRPr="003C28F6" w:rsidRDefault="003C28F6" w:rsidP="009E156C">
            <w:pPr>
              <w:pStyle w:val="TableTextLeft"/>
              <w:rPr>
                <w:rFonts w:eastAsia="Arial"/>
                <w:b/>
              </w:rPr>
            </w:pPr>
            <w:r w:rsidRPr="003C28F6">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1DADC19"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0"/>
              </w:rPr>
              <w:t>1</w:t>
            </w:r>
            <w:r>
              <w:rPr>
                <w:rFonts w:eastAsia="Arial"/>
              </w:rPr>
              <w:t>5</w:t>
            </w:r>
          </w:p>
        </w:tc>
        <w:tc>
          <w:tcPr>
            <w:tcW w:w="1474" w:type="dxa"/>
            <w:tcBorders>
              <w:top w:val="single" w:sz="8" w:space="0" w:color="FFFFFF"/>
              <w:left w:val="single" w:sz="8" w:space="0" w:color="FFFFFF"/>
              <w:bottom w:val="single" w:sz="8" w:space="0" w:color="FFFFFF"/>
              <w:right w:val="nil"/>
            </w:tcBorders>
            <w:shd w:val="clear" w:color="auto" w:fill="E1E8F2"/>
          </w:tcPr>
          <w:p w14:paraId="043A8945"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7"/>
              </w:rPr>
              <w:t>1</w:t>
            </w:r>
            <w:r>
              <w:rPr>
                <w:rFonts w:eastAsia="Arial"/>
              </w:rPr>
              <w:t>0</w:t>
            </w:r>
          </w:p>
        </w:tc>
      </w:tr>
      <w:tr w:rsidR="003C28F6" w14:paraId="6CB97C10"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FF123D5" w14:textId="77777777" w:rsidR="003C28F6" w:rsidRPr="003C28F6" w:rsidRDefault="003C28F6" w:rsidP="009E156C">
            <w:pPr>
              <w:pStyle w:val="TableTextLeft"/>
              <w:rPr>
                <w:rFonts w:eastAsia="Arial"/>
                <w:b/>
              </w:rPr>
            </w:pPr>
            <w:r w:rsidRPr="003C28F6">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0F85FF9"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8"/>
              </w:rPr>
              <w:t>1</w:t>
            </w:r>
            <w:r>
              <w:rPr>
                <w:rFonts w:eastAsia="Arial"/>
              </w:rPr>
              <w:t>4</w:t>
            </w:r>
          </w:p>
        </w:tc>
        <w:tc>
          <w:tcPr>
            <w:tcW w:w="1474" w:type="dxa"/>
            <w:tcBorders>
              <w:top w:val="single" w:sz="8" w:space="0" w:color="FFFFFF"/>
              <w:left w:val="single" w:sz="8" w:space="0" w:color="FFFFFF"/>
              <w:bottom w:val="single" w:sz="8" w:space="0" w:color="FFFFFF"/>
              <w:right w:val="nil"/>
            </w:tcBorders>
            <w:shd w:val="clear" w:color="auto" w:fill="E1E8F2"/>
          </w:tcPr>
          <w:p w14:paraId="538692C5" w14:textId="77777777" w:rsidR="003C28F6" w:rsidRDefault="003C28F6" w:rsidP="009E156C">
            <w:pPr>
              <w:pStyle w:val="TableTextRight"/>
              <w:rPr>
                <w:rFonts w:eastAsia="Arial"/>
              </w:rPr>
            </w:pPr>
            <w:r>
              <w:rPr>
                <w:rFonts w:eastAsia="Arial"/>
                <w:spacing w:val="-9"/>
              </w:rPr>
              <w:t>1</w:t>
            </w:r>
            <w:r>
              <w:rPr>
                <w:rFonts w:eastAsia="Arial"/>
                <w:spacing w:val="-1"/>
              </w:rPr>
              <w:t>.</w:t>
            </w:r>
            <w:r>
              <w:rPr>
                <w:rFonts w:eastAsia="Arial"/>
                <w:spacing w:val="-3"/>
              </w:rPr>
              <w:t>0</w:t>
            </w:r>
            <w:r>
              <w:rPr>
                <w:rFonts w:eastAsia="Arial"/>
              </w:rPr>
              <w:t>7</w:t>
            </w:r>
          </w:p>
        </w:tc>
      </w:tr>
      <w:tr w:rsidR="003C28F6" w14:paraId="09299E83"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22D957B8" w14:textId="77777777" w:rsidR="003C28F6" w:rsidRPr="003C28F6" w:rsidRDefault="003C28F6" w:rsidP="009E156C">
            <w:pPr>
              <w:pStyle w:val="TableTextLeft"/>
              <w:rPr>
                <w:rFonts w:eastAsia="Arial"/>
                <w:b/>
              </w:rPr>
            </w:pPr>
            <w:r w:rsidRPr="003C28F6">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706E286"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1"/>
              </w:rPr>
              <w:t>1</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2E2CD665" w14:textId="77777777" w:rsidR="003C28F6" w:rsidRDefault="003C28F6" w:rsidP="009E156C">
            <w:pPr>
              <w:pStyle w:val="TableTextRight"/>
              <w:rPr>
                <w:rFonts w:eastAsia="Arial"/>
              </w:rPr>
            </w:pPr>
            <w:r>
              <w:rPr>
                <w:rFonts w:eastAsia="Arial"/>
                <w:spacing w:val="-9"/>
              </w:rPr>
              <w:t>1</w:t>
            </w:r>
            <w:r>
              <w:rPr>
                <w:rFonts w:eastAsia="Arial"/>
                <w:spacing w:val="-1"/>
              </w:rPr>
              <w:t>.</w:t>
            </w:r>
            <w:r>
              <w:rPr>
                <w:rFonts w:eastAsia="Arial"/>
              </w:rPr>
              <w:t>05</w:t>
            </w:r>
          </w:p>
        </w:tc>
      </w:tr>
      <w:tr w:rsidR="003C28F6" w14:paraId="0B77ABBA"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CB2B573" w14:textId="77777777" w:rsidR="003C28F6" w:rsidRPr="003C28F6" w:rsidRDefault="003C28F6" w:rsidP="009E156C">
            <w:pPr>
              <w:pStyle w:val="TableTextLeft"/>
              <w:rPr>
                <w:rFonts w:eastAsia="Arial"/>
                <w:b/>
              </w:rPr>
            </w:pPr>
            <w:r w:rsidRPr="003C28F6">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EE7B68D"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1"/>
              </w:rPr>
              <w:t>1</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6A52F46B" w14:textId="77777777" w:rsidR="003C28F6" w:rsidRDefault="003C28F6" w:rsidP="009E156C">
            <w:pPr>
              <w:pStyle w:val="TableTextRight"/>
              <w:rPr>
                <w:rFonts w:eastAsia="Arial"/>
              </w:rPr>
            </w:pPr>
            <w:r>
              <w:rPr>
                <w:rFonts w:eastAsia="Arial"/>
                <w:spacing w:val="-9"/>
              </w:rPr>
              <w:t>1</w:t>
            </w:r>
            <w:r>
              <w:rPr>
                <w:rFonts w:eastAsia="Arial"/>
                <w:spacing w:val="-1"/>
              </w:rPr>
              <w:t>.0</w:t>
            </w:r>
            <w:r>
              <w:rPr>
                <w:rFonts w:eastAsia="Arial"/>
              </w:rPr>
              <w:t>3</w:t>
            </w:r>
          </w:p>
        </w:tc>
      </w:tr>
      <w:tr w:rsidR="003C28F6" w14:paraId="203C1B92" w14:textId="77777777" w:rsidTr="002D0420">
        <w:trPr>
          <w:trHeight w:hRule="exact" w:val="289"/>
        </w:trPr>
        <w:tc>
          <w:tcPr>
            <w:tcW w:w="1361" w:type="dxa"/>
            <w:tcBorders>
              <w:top w:val="single" w:sz="8" w:space="0" w:color="FFFFFF"/>
              <w:left w:val="nil"/>
              <w:bottom w:val="nil"/>
              <w:right w:val="single" w:sz="8" w:space="0" w:color="FFFFFF"/>
            </w:tcBorders>
            <w:shd w:val="clear" w:color="auto" w:fill="DEDEE3"/>
          </w:tcPr>
          <w:p w14:paraId="0903C5E8" w14:textId="77777777" w:rsidR="003C28F6" w:rsidRPr="003C28F6" w:rsidRDefault="003C28F6" w:rsidP="009E156C">
            <w:pPr>
              <w:pStyle w:val="TableTextLeft"/>
              <w:rPr>
                <w:rFonts w:eastAsia="Arial"/>
                <w:b/>
              </w:rPr>
            </w:pPr>
            <w:r w:rsidRPr="003C28F6">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70CC05C2" w14:textId="77777777" w:rsidR="003C28F6" w:rsidRDefault="003C28F6" w:rsidP="009E156C">
            <w:pPr>
              <w:pStyle w:val="TableTextRight"/>
              <w:rPr>
                <w:rFonts w:eastAsia="Arial"/>
              </w:rPr>
            </w:pPr>
            <w:r>
              <w:rPr>
                <w:rFonts w:eastAsia="Arial"/>
                <w:spacing w:val="-9"/>
              </w:rPr>
              <w:t>1</w:t>
            </w:r>
            <w:r>
              <w:rPr>
                <w:rFonts w:eastAsia="Arial"/>
                <w:spacing w:val="-12"/>
              </w:rPr>
              <w:t>.</w:t>
            </w:r>
            <w:r>
              <w:rPr>
                <w:rFonts w:eastAsia="Arial"/>
                <w:spacing w:val="-15"/>
              </w:rPr>
              <w:t>11</w:t>
            </w:r>
          </w:p>
        </w:tc>
        <w:tc>
          <w:tcPr>
            <w:tcW w:w="1474" w:type="dxa"/>
            <w:tcBorders>
              <w:top w:val="single" w:sz="8" w:space="0" w:color="FFFFFF"/>
              <w:left w:val="single" w:sz="8" w:space="0" w:color="FFFFFF"/>
              <w:bottom w:val="nil"/>
              <w:right w:val="nil"/>
            </w:tcBorders>
            <w:shd w:val="clear" w:color="auto" w:fill="E1E8F2"/>
          </w:tcPr>
          <w:p w14:paraId="5E05D152" w14:textId="77777777" w:rsidR="003C28F6" w:rsidRDefault="003C28F6" w:rsidP="009E156C">
            <w:pPr>
              <w:pStyle w:val="TableTextRight"/>
              <w:rPr>
                <w:rFonts w:eastAsia="Arial"/>
              </w:rPr>
            </w:pPr>
            <w:r>
              <w:rPr>
                <w:rFonts w:eastAsia="Arial"/>
                <w:spacing w:val="-9"/>
              </w:rPr>
              <w:t>1</w:t>
            </w:r>
            <w:r>
              <w:rPr>
                <w:rFonts w:eastAsia="Arial"/>
                <w:spacing w:val="-1"/>
              </w:rPr>
              <w:t>.</w:t>
            </w:r>
            <w:r>
              <w:rPr>
                <w:rFonts w:eastAsia="Arial"/>
                <w:spacing w:val="-4"/>
              </w:rPr>
              <w:t>0</w:t>
            </w:r>
            <w:r>
              <w:rPr>
                <w:rFonts w:eastAsia="Arial"/>
              </w:rPr>
              <w:t>1</w:t>
            </w:r>
          </w:p>
        </w:tc>
      </w:tr>
    </w:tbl>
    <w:p w14:paraId="3CFA6F47" w14:textId="77777777" w:rsidR="003C28F6" w:rsidRDefault="003C28F6" w:rsidP="003E3F5A">
      <w:pPr>
        <w:pStyle w:val="SingleParagraph"/>
        <w:rPr>
          <w:rFonts w:eastAsia="Arial"/>
        </w:rPr>
      </w:pPr>
    </w:p>
    <w:tbl>
      <w:tblPr>
        <w:tblW w:w="0" w:type="auto"/>
        <w:tblInd w:w="117" w:type="dxa"/>
        <w:tblLayout w:type="fixed"/>
        <w:tblCellMar>
          <w:left w:w="57" w:type="dxa"/>
          <w:right w:w="57" w:type="dxa"/>
        </w:tblCellMar>
        <w:tblLook w:val="01E0" w:firstRow="1" w:lastRow="1" w:firstColumn="1" w:lastColumn="1" w:noHBand="0" w:noVBand="0"/>
      </w:tblPr>
      <w:tblGrid>
        <w:gridCol w:w="1361"/>
        <w:gridCol w:w="1587"/>
        <w:gridCol w:w="1474"/>
      </w:tblGrid>
      <w:tr w:rsidR="003C28F6" w:rsidRPr="003C28F6" w14:paraId="49EDBE65" w14:textId="77777777" w:rsidTr="002D0420">
        <w:trPr>
          <w:trHeight w:hRule="exact" w:val="289"/>
        </w:trPr>
        <w:tc>
          <w:tcPr>
            <w:tcW w:w="1361" w:type="dxa"/>
            <w:tcBorders>
              <w:top w:val="nil"/>
              <w:left w:val="nil"/>
              <w:bottom w:val="single" w:sz="8" w:space="0" w:color="FFFFFF"/>
              <w:right w:val="single" w:sz="8" w:space="0" w:color="FFFFFF"/>
            </w:tcBorders>
            <w:shd w:val="clear" w:color="auto" w:fill="354866"/>
          </w:tcPr>
          <w:p w14:paraId="6E8BDC51" w14:textId="77777777" w:rsidR="003C28F6" w:rsidRDefault="003C28F6" w:rsidP="009E156C">
            <w:pPr>
              <w:pStyle w:val="TableColumnHeadingLeft"/>
              <w:rPr>
                <w:rFonts w:eastAsia="Arial"/>
              </w:rPr>
            </w:pPr>
            <w:r>
              <w:rPr>
                <w:rFonts w:eastAsia="Arial"/>
              </w:rPr>
              <w:t>WA</w:t>
            </w:r>
          </w:p>
        </w:tc>
        <w:tc>
          <w:tcPr>
            <w:tcW w:w="1587" w:type="dxa"/>
            <w:tcBorders>
              <w:top w:val="nil"/>
              <w:left w:val="single" w:sz="8" w:space="0" w:color="FFFFFF"/>
              <w:bottom w:val="single" w:sz="8" w:space="0" w:color="FFFFFF"/>
              <w:right w:val="single" w:sz="8" w:space="0" w:color="FFFFFF"/>
            </w:tcBorders>
            <w:shd w:val="clear" w:color="auto" w:fill="007C59"/>
          </w:tcPr>
          <w:p w14:paraId="0690145A" w14:textId="77777777" w:rsidR="003C28F6" w:rsidRPr="003C28F6" w:rsidRDefault="003C28F6" w:rsidP="009E156C">
            <w:pPr>
              <w:pStyle w:val="TableColumnHeadingRight"/>
              <w:rPr>
                <w:rFonts w:eastAsia="Arial"/>
              </w:rPr>
            </w:pPr>
            <w:r w:rsidRPr="003C28F6">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60697D03" w14:textId="77777777" w:rsidR="003C28F6" w:rsidRPr="003C28F6" w:rsidRDefault="003C28F6" w:rsidP="009E156C">
            <w:pPr>
              <w:pStyle w:val="TableColumnHeadingRight"/>
              <w:rPr>
                <w:rFonts w:eastAsia="Arial"/>
              </w:rPr>
            </w:pPr>
            <w:r w:rsidRPr="003C28F6">
              <w:rPr>
                <w:rFonts w:eastAsia="Arial"/>
              </w:rPr>
              <w:t>PC option</w:t>
            </w:r>
          </w:p>
        </w:tc>
      </w:tr>
      <w:tr w:rsidR="003C28F6" w14:paraId="1157A8C7"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40AE0E85" w14:textId="77777777" w:rsidR="003C28F6" w:rsidRPr="002D0420" w:rsidRDefault="003C28F6" w:rsidP="002D0420">
            <w:pPr>
              <w:pStyle w:val="TableTextLeft"/>
              <w:rPr>
                <w:rFonts w:eastAsia="Arial"/>
                <w:b/>
              </w:rPr>
            </w:pPr>
            <w:r w:rsidRPr="002D0420">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06FD862" w14:textId="77777777" w:rsidR="003C28F6" w:rsidRDefault="003C28F6" w:rsidP="009E156C">
            <w:pPr>
              <w:pStyle w:val="TableTextRight"/>
              <w:rPr>
                <w:rFonts w:eastAsia="Arial"/>
              </w:rPr>
            </w:pPr>
            <w:r>
              <w:rPr>
                <w:rFonts w:eastAsia="Arial"/>
                <w:spacing w:val="-1"/>
              </w:rPr>
              <w:t>0</w:t>
            </w:r>
            <w:r>
              <w:rPr>
                <w:rFonts w:eastAsia="Arial"/>
              </w:rPr>
              <w:t>.</w:t>
            </w:r>
            <w:r>
              <w:rPr>
                <w:rFonts w:eastAsia="Arial"/>
                <w:spacing w:val="-3"/>
              </w:rPr>
              <w:t>59</w:t>
            </w:r>
          </w:p>
        </w:tc>
        <w:tc>
          <w:tcPr>
            <w:tcW w:w="1474" w:type="dxa"/>
            <w:tcBorders>
              <w:top w:val="single" w:sz="8" w:space="0" w:color="FFFFFF"/>
              <w:left w:val="single" w:sz="8" w:space="0" w:color="FFFFFF"/>
              <w:bottom w:val="single" w:sz="8" w:space="0" w:color="FFFFFF"/>
              <w:right w:val="nil"/>
            </w:tcBorders>
            <w:shd w:val="clear" w:color="auto" w:fill="E1E8F2"/>
          </w:tcPr>
          <w:p w14:paraId="0DCD202A" w14:textId="77777777" w:rsidR="003C28F6" w:rsidRDefault="003C28F6" w:rsidP="009E156C">
            <w:pPr>
              <w:pStyle w:val="TableTextRight"/>
              <w:rPr>
                <w:rFonts w:eastAsia="Arial"/>
              </w:rPr>
            </w:pPr>
            <w:r>
              <w:rPr>
                <w:rFonts w:eastAsia="Arial"/>
                <w:spacing w:val="-1"/>
              </w:rPr>
              <w:t>0.</w:t>
            </w:r>
            <w:r>
              <w:rPr>
                <w:rFonts w:eastAsia="Arial"/>
                <w:spacing w:val="2"/>
              </w:rPr>
              <w:t>6</w:t>
            </w:r>
            <w:r>
              <w:rPr>
                <w:rFonts w:eastAsia="Arial"/>
              </w:rPr>
              <w:t>3</w:t>
            </w:r>
          </w:p>
        </w:tc>
      </w:tr>
      <w:tr w:rsidR="003C28F6" w14:paraId="576E2592"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AF292A3" w14:textId="77777777" w:rsidR="003C28F6" w:rsidRPr="002D0420" w:rsidRDefault="003C28F6" w:rsidP="002D0420">
            <w:pPr>
              <w:pStyle w:val="TableTextLeft"/>
              <w:rPr>
                <w:rFonts w:eastAsia="Arial"/>
                <w:b/>
              </w:rPr>
            </w:pPr>
            <w:r w:rsidRPr="002D0420">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6F067D4" w14:textId="77777777" w:rsidR="003C28F6" w:rsidRDefault="003C28F6" w:rsidP="009E156C">
            <w:pPr>
              <w:pStyle w:val="TableTextRight"/>
              <w:rPr>
                <w:rFonts w:eastAsia="Arial"/>
              </w:rPr>
            </w:pPr>
            <w:r>
              <w:rPr>
                <w:rFonts w:eastAsia="Arial"/>
                <w:spacing w:val="-1"/>
              </w:rPr>
              <w:t>0.</w:t>
            </w:r>
            <w:r>
              <w:rPr>
                <w:rFonts w:eastAsia="Arial"/>
              </w:rPr>
              <w:t>62</w:t>
            </w:r>
          </w:p>
        </w:tc>
        <w:tc>
          <w:tcPr>
            <w:tcW w:w="1474" w:type="dxa"/>
            <w:tcBorders>
              <w:top w:val="single" w:sz="8" w:space="0" w:color="FFFFFF"/>
              <w:left w:val="single" w:sz="8" w:space="0" w:color="FFFFFF"/>
              <w:bottom w:val="single" w:sz="8" w:space="0" w:color="FFFFFF"/>
              <w:right w:val="nil"/>
            </w:tcBorders>
            <w:shd w:val="clear" w:color="auto" w:fill="E1E8F2"/>
          </w:tcPr>
          <w:p w14:paraId="7FCC3084" w14:textId="77777777" w:rsidR="003C28F6" w:rsidRDefault="003C28F6" w:rsidP="009E156C">
            <w:pPr>
              <w:pStyle w:val="TableTextRight"/>
              <w:rPr>
                <w:rFonts w:eastAsia="Arial"/>
              </w:rPr>
            </w:pPr>
            <w:r>
              <w:rPr>
                <w:rFonts w:eastAsia="Arial"/>
                <w:spacing w:val="-1"/>
              </w:rPr>
              <w:t>0.6</w:t>
            </w:r>
            <w:r>
              <w:rPr>
                <w:rFonts w:eastAsia="Arial"/>
              </w:rPr>
              <w:t>9</w:t>
            </w:r>
          </w:p>
        </w:tc>
      </w:tr>
      <w:tr w:rsidR="003C28F6" w14:paraId="4A63EC0C"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37A4485A" w14:textId="77777777" w:rsidR="003C28F6" w:rsidRPr="002D0420" w:rsidRDefault="003C28F6" w:rsidP="002D0420">
            <w:pPr>
              <w:pStyle w:val="TableTextLeft"/>
              <w:rPr>
                <w:rFonts w:eastAsia="Arial"/>
                <w:b/>
              </w:rPr>
            </w:pPr>
            <w:r w:rsidRPr="002D0420">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4787744" w14:textId="77777777" w:rsidR="003C28F6" w:rsidRDefault="003C28F6" w:rsidP="009E156C">
            <w:pPr>
              <w:pStyle w:val="TableTextRight"/>
              <w:rPr>
                <w:rFonts w:eastAsia="Arial"/>
              </w:rPr>
            </w:pPr>
            <w:r>
              <w:rPr>
                <w:rFonts w:eastAsia="Arial"/>
                <w:spacing w:val="-1"/>
              </w:rPr>
              <w:t>0.</w:t>
            </w:r>
            <w:r>
              <w:rPr>
                <w:rFonts w:eastAsia="Arial"/>
                <w:spacing w:val="2"/>
              </w:rPr>
              <w:t>6</w:t>
            </w:r>
            <w:r>
              <w:rPr>
                <w:rFonts w:eastAsia="Arial"/>
              </w:rPr>
              <w:t>3</w:t>
            </w:r>
          </w:p>
        </w:tc>
        <w:tc>
          <w:tcPr>
            <w:tcW w:w="1474" w:type="dxa"/>
            <w:tcBorders>
              <w:top w:val="single" w:sz="8" w:space="0" w:color="FFFFFF"/>
              <w:left w:val="single" w:sz="8" w:space="0" w:color="FFFFFF"/>
              <w:bottom w:val="single" w:sz="8" w:space="0" w:color="FFFFFF"/>
              <w:right w:val="nil"/>
            </w:tcBorders>
            <w:shd w:val="clear" w:color="auto" w:fill="E1E8F2"/>
          </w:tcPr>
          <w:p w14:paraId="0C844BFD"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1"/>
              </w:rPr>
              <w:t>7</w:t>
            </w:r>
            <w:r>
              <w:rPr>
                <w:rFonts w:eastAsia="Arial"/>
              </w:rPr>
              <w:t>3</w:t>
            </w:r>
          </w:p>
        </w:tc>
      </w:tr>
      <w:tr w:rsidR="003C28F6" w14:paraId="78B6E4A4"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663589B" w14:textId="77777777" w:rsidR="003C28F6" w:rsidRPr="002D0420" w:rsidRDefault="003C28F6" w:rsidP="002D0420">
            <w:pPr>
              <w:pStyle w:val="TableTextLeft"/>
              <w:rPr>
                <w:rFonts w:eastAsia="Arial"/>
                <w:b/>
              </w:rPr>
            </w:pPr>
            <w:r w:rsidRPr="002D0420">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5C4B20C0" w14:textId="77777777" w:rsidR="003C28F6" w:rsidRDefault="003C28F6" w:rsidP="009E156C">
            <w:pPr>
              <w:pStyle w:val="TableTextRight"/>
              <w:rPr>
                <w:rFonts w:eastAsia="Arial"/>
              </w:rPr>
            </w:pPr>
            <w:r>
              <w:rPr>
                <w:rFonts w:eastAsia="Arial"/>
                <w:spacing w:val="-1"/>
              </w:rPr>
              <w:t>0.</w:t>
            </w:r>
            <w:r>
              <w:rPr>
                <w:rFonts w:eastAsia="Arial"/>
                <w:spacing w:val="3"/>
              </w:rPr>
              <w:t>6</w:t>
            </w:r>
            <w:r>
              <w:rPr>
                <w:rFonts w:eastAsia="Arial"/>
              </w:rPr>
              <w:t>6</w:t>
            </w:r>
          </w:p>
        </w:tc>
        <w:tc>
          <w:tcPr>
            <w:tcW w:w="1474" w:type="dxa"/>
            <w:tcBorders>
              <w:top w:val="single" w:sz="8" w:space="0" w:color="FFFFFF"/>
              <w:left w:val="single" w:sz="8" w:space="0" w:color="FFFFFF"/>
              <w:bottom w:val="single" w:sz="8" w:space="0" w:color="FFFFFF"/>
              <w:right w:val="nil"/>
            </w:tcBorders>
            <w:shd w:val="clear" w:color="auto" w:fill="E1E8F2"/>
          </w:tcPr>
          <w:p w14:paraId="49345BE9"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2"/>
              </w:rPr>
              <w:t>7</w:t>
            </w:r>
            <w:r>
              <w:rPr>
                <w:rFonts w:eastAsia="Arial"/>
              </w:rPr>
              <w:t>8</w:t>
            </w:r>
          </w:p>
        </w:tc>
      </w:tr>
      <w:tr w:rsidR="003C28F6" w14:paraId="6654EC52"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B6E501B" w14:textId="77777777" w:rsidR="003C28F6" w:rsidRPr="002D0420" w:rsidRDefault="003C28F6" w:rsidP="002D0420">
            <w:pPr>
              <w:pStyle w:val="TableTextLeft"/>
              <w:rPr>
                <w:rFonts w:eastAsia="Arial"/>
                <w:b/>
              </w:rPr>
            </w:pPr>
            <w:r w:rsidRPr="002D0420">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203DE44"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3"/>
              </w:rPr>
              <w:t>7</w:t>
            </w:r>
            <w:r>
              <w:rPr>
                <w:rFonts w:eastAsia="Arial"/>
              </w:rPr>
              <w:t>0</w:t>
            </w:r>
          </w:p>
        </w:tc>
        <w:tc>
          <w:tcPr>
            <w:tcW w:w="1474" w:type="dxa"/>
            <w:tcBorders>
              <w:top w:val="single" w:sz="8" w:space="0" w:color="FFFFFF"/>
              <w:left w:val="single" w:sz="8" w:space="0" w:color="FFFFFF"/>
              <w:bottom w:val="single" w:sz="8" w:space="0" w:color="FFFFFF"/>
              <w:right w:val="nil"/>
            </w:tcBorders>
            <w:shd w:val="clear" w:color="auto" w:fill="E1E8F2"/>
          </w:tcPr>
          <w:p w14:paraId="1972DB54" w14:textId="77777777" w:rsidR="003C28F6" w:rsidRDefault="003C28F6" w:rsidP="009E156C">
            <w:pPr>
              <w:pStyle w:val="TableTextRight"/>
              <w:rPr>
                <w:rFonts w:eastAsia="Arial"/>
              </w:rPr>
            </w:pPr>
            <w:r>
              <w:rPr>
                <w:rFonts w:eastAsia="Arial"/>
              </w:rPr>
              <w:t>0</w:t>
            </w:r>
            <w:r>
              <w:rPr>
                <w:rFonts w:eastAsia="Arial"/>
                <w:spacing w:val="2"/>
              </w:rPr>
              <w:t>.</w:t>
            </w:r>
            <w:r>
              <w:rPr>
                <w:rFonts w:eastAsia="Arial"/>
                <w:spacing w:val="1"/>
              </w:rPr>
              <w:t>8</w:t>
            </w:r>
            <w:r>
              <w:rPr>
                <w:rFonts w:eastAsia="Arial"/>
              </w:rPr>
              <w:t>2</w:t>
            </w:r>
          </w:p>
        </w:tc>
      </w:tr>
      <w:tr w:rsidR="003C28F6" w14:paraId="6BC0B543"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2FAF894" w14:textId="77777777" w:rsidR="003C28F6" w:rsidRPr="002D0420" w:rsidRDefault="003C28F6" w:rsidP="002D0420">
            <w:pPr>
              <w:pStyle w:val="TableTextLeft"/>
              <w:rPr>
                <w:rFonts w:eastAsia="Arial"/>
                <w:b/>
              </w:rPr>
            </w:pPr>
            <w:r w:rsidRPr="002D0420">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511F2A18"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1"/>
              </w:rPr>
              <w:t>7</w:t>
            </w:r>
            <w:r>
              <w:rPr>
                <w:rFonts w:eastAsia="Arial"/>
              </w:rPr>
              <w:t>3</w:t>
            </w:r>
          </w:p>
        </w:tc>
        <w:tc>
          <w:tcPr>
            <w:tcW w:w="1474" w:type="dxa"/>
            <w:tcBorders>
              <w:top w:val="single" w:sz="8" w:space="0" w:color="FFFFFF"/>
              <w:left w:val="single" w:sz="8" w:space="0" w:color="FFFFFF"/>
              <w:bottom w:val="single" w:sz="8" w:space="0" w:color="FFFFFF"/>
              <w:right w:val="nil"/>
            </w:tcBorders>
            <w:shd w:val="clear" w:color="auto" w:fill="E1E8F2"/>
          </w:tcPr>
          <w:p w14:paraId="339EBCE0" w14:textId="77777777" w:rsidR="003C28F6" w:rsidRDefault="003C28F6" w:rsidP="009E156C">
            <w:pPr>
              <w:pStyle w:val="TableTextRight"/>
              <w:rPr>
                <w:rFonts w:eastAsia="Arial"/>
              </w:rPr>
            </w:pPr>
            <w:r>
              <w:rPr>
                <w:rFonts w:eastAsia="Arial"/>
                <w:spacing w:val="-1"/>
              </w:rPr>
              <w:t>0</w:t>
            </w:r>
            <w:r>
              <w:rPr>
                <w:rFonts w:eastAsia="Arial"/>
                <w:spacing w:val="2"/>
              </w:rPr>
              <w:t>.</w:t>
            </w:r>
            <w:r>
              <w:rPr>
                <w:rFonts w:eastAsia="Arial"/>
                <w:spacing w:val="-1"/>
              </w:rPr>
              <w:t>85</w:t>
            </w:r>
          </w:p>
        </w:tc>
      </w:tr>
      <w:tr w:rsidR="003C28F6" w14:paraId="206B2402" w14:textId="77777777" w:rsidTr="002D0420">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AF6CE03" w14:textId="77777777" w:rsidR="003C28F6" w:rsidRPr="002D0420" w:rsidRDefault="003C28F6" w:rsidP="002D0420">
            <w:pPr>
              <w:pStyle w:val="TableTextLeft"/>
              <w:rPr>
                <w:rFonts w:eastAsia="Arial"/>
                <w:b/>
              </w:rPr>
            </w:pPr>
            <w:r w:rsidRPr="002D0420">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94A40E6"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3"/>
              </w:rPr>
              <w:t>7</w:t>
            </w:r>
            <w:r>
              <w:rPr>
                <w:rFonts w:eastAsia="Arial"/>
              </w:rPr>
              <w:t>5</w:t>
            </w:r>
          </w:p>
        </w:tc>
        <w:tc>
          <w:tcPr>
            <w:tcW w:w="1474" w:type="dxa"/>
            <w:tcBorders>
              <w:top w:val="single" w:sz="8" w:space="0" w:color="FFFFFF"/>
              <w:left w:val="single" w:sz="8" w:space="0" w:color="FFFFFF"/>
              <w:bottom w:val="single" w:sz="8" w:space="0" w:color="FFFFFF"/>
              <w:right w:val="nil"/>
            </w:tcBorders>
            <w:shd w:val="clear" w:color="auto" w:fill="E1E8F2"/>
          </w:tcPr>
          <w:p w14:paraId="40A8A267" w14:textId="77777777" w:rsidR="003C28F6" w:rsidRDefault="003C28F6" w:rsidP="009E156C">
            <w:pPr>
              <w:pStyle w:val="TableTextRight"/>
              <w:rPr>
                <w:rFonts w:eastAsia="Arial"/>
              </w:rPr>
            </w:pPr>
            <w:r>
              <w:rPr>
                <w:rFonts w:eastAsia="Arial"/>
              </w:rPr>
              <w:t>0</w:t>
            </w:r>
            <w:r>
              <w:rPr>
                <w:rFonts w:eastAsia="Arial"/>
                <w:spacing w:val="2"/>
              </w:rPr>
              <w:t>.</w:t>
            </w:r>
            <w:r>
              <w:rPr>
                <w:rFonts w:eastAsia="Arial"/>
                <w:spacing w:val="4"/>
              </w:rPr>
              <w:t>8</w:t>
            </w:r>
            <w:r>
              <w:rPr>
                <w:rFonts w:eastAsia="Arial"/>
              </w:rPr>
              <w:t>8</w:t>
            </w:r>
          </w:p>
        </w:tc>
      </w:tr>
      <w:tr w:rsidR="003C28F6" w14:paraId="2E840F46" w14:textId="77777777" w:rsidTr="002D0420">
        <w:trPr>
          <w:trHeight w:hRule="exact" w:val="289"/>
        </w:trPr>
        <w:tc>
          <w:tcPr>
            <w:tcW w:w="1361" w:type="dxa"/>
            <w:tcBorders>
              <w:top w:val="single" w:sz="8" w:space="0" w:color="FFFFFF"/>
              <w:left w:val="nil"/>
              <w:bottom w:val="nil"/>
              <w:right w:val="single" w:sz="8" w:space="0" w:color="FFFFFF"/>
            </w:tcBorders>
            <w:shd w:val="clear" w:color="auto" w:fill="DEDEE3"/>
          </w:tcPr>
          <w:p w14:paraId="49512B5B" w14:textId="77777777" w:rsidR="003C28F6" w:rsidRPr="002D0420" w:rsidRDefault="003C28F6" w:rsidP="002D0420">
            <w:pPr>
              <w:pStyle w:val="TableTextLeft"/>
              <w:rPr>
                <w:rFonts w:eastAsia="Arial"/>
                <w:b/>
              </w:rPr>
            </w:pPr>
            <w:r w:rsidRPr="002D0420">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49F9189A" w14:textId="77777777" w:rsidR="003C28F6" w:rsidRDefault="003C28F6" w:rsidP="009E156C">
            <w:pPr>
              <w:pStyle w:val="TableTextRight"/>
              <w:rPr>
                <w:rFonts w:eastAsia="Arial"/>
              </w:rPr>
            </w:pPr>
            <w:r>
              <w:rPr>
                <w:rFonts w:eastAsia="Arial"/>
                <w:spacing w:val="-1"/>
              </w:rPr>
              <w:t>0</w:t>
            </w:r>
            <w:r>
              <w:rPr>
                <w:rFonts w:eastAsia="Arial"/>
                <w:spacing w:val="-4"/>
              </w:rPr>
              <w:t>.</w:t>
            </w:r>
            <w:r>
              <w:rPr>
                <w:rFonts w:eastAsia="Arial"/>
                <w:spacing w:val="-5"/>
              </w:rPr>
              <w:t>76</w:t>
            </w:r>
          </w:p>
        </w:tc>
        <w:tc>
          <w:tcPr>
            <w:tcW w:w="1474" w:type="dxa"/>
            <w:tcBorders>
              <w:top w:val="single" w:sz="8" w:space="0" w:color="FFFFFF"/>
              <w:left w:val="single" w:sz="8" w:space="0" w:color="FFFFFF"/>
              <w:bottom w:val="nil"/>
              <w:right w:val="nil"/>
            </w:tcBorders>
            <w:shd w:val="clear" w:color="auto" w:fill="E1E8F2"/>
          </w:tcPr>
          <w:p w14:paraId="74319DEA" w14:textId="77777777" w:rsidR="003C28F6" w:rsidRDefault="003C28F6" w:rsidP="009E156C">
            <w:pPr>
              <w:pStyle w:val="TableTextRight"/>
              <w:rPr>
                <w:rFonts w:eastAsia="Arial"/>
              </w:rPr>
            </w:pPr>
            <w:r>
              <w:rPr>
                <w:rFonts w:eastAsia="Arial"/>
                <w:spacing w:val="-1"/>
              </w:rPr>
              <w:t>0</w:t>
            </w:r>
            <w:r>
              <w:rPr>
                <w:rFonts w:eastAsia="Arial"/>
                <w:spacing w:val="-3"/>
              </w:rPr>
              <w:t>.</w:t>
            </w:r>
            <w:r>
              <w:rPr>
                <w:rFonts w:eastAsia="Arial"/>
                <w:spacing w:val="4"/>
              </w:rPr>
              <w:t>9</w:t>
            </w:r>
            <w:r>
              <w:rPr>
                <w:rFonts w:eastAsia="Arial"/>
              </w:rPr>
              <w:t>0</w:t>
            </w:r>
          </w:p>
        </w:tc>
      </w:tr>
    </w:tbl>
    <w:p w14:paraId="1B4AAE40" w14:textId="77777777" w:rsidR="002D0420" w:rsidRDefault="003E3F5A" w:rsidP="003E3F5A">
      <w:pPr>
        <w:pStyle w:val="SingleParagraph"/>
        <w:rPr>
          <w:rFonts w:eastAsia="Arial"/>
        </w:rPr>
      </w:pPr>
      <w:r>
        <w:rPr>
          <w:rFonts w:eastAsia="Arial"/>
        </w:rPr>
        <w:br w:type="column"/>
      </w:r>
    </w:p>
    <w:tbl>
      <w:tblPr>
        <w:tblW w:w="0" w:type="auto"/>
        <w:tblInd w:w="119" w:type="dxa"/>
        <w:tblLayout w:type="fixed"/>
        <w:tblCellMar>
          <w:left w:w="57" w:type="dxa"/>
          <w:right w:w="57" w:type="dxa"/>
        </w:tblCellMar>
        <w:tblLook w:val="01E0" w:firstRow="1" w:lastRow="1" w:firstColumn="1" w:lastColumn="1" w:noHBand="0" w:noVBand="0"/>
      </w:tblPr>
      <w:tblGrid>
        <w:gridCol w:w="1361"/>
        <w:gridCol w:w="1587"/>
        <w:gridCol w:w="1474"/>
      </w:tblGrid>
      <w:tr w:rsidR="003C28F6" w14:paraId="33EA9007" w14:textId="77777777" w:rsidTr="002D0420">
        <w:trPr>
          <w:cantSplit/>
          <w:trHeight w:val="289"/>
        </w:trPr>
        <w:tc>
          <w:tcPr>
            <w:tcW w:w="1361" w:type="dxa"/>
            <w:tcBorders>
              <w:top w:val="nil"/>
              <w:left w:val="nil"/>
              <w:bottom w:val="single" w:sz="8" w:space="0" w:color="FFFFFF"/>
              <w:right w:val="single" w:sz="8" w:space="0" w:color="FFFFFF"/>
            </w:tcBorders>
            <w:shd w:val="clear" w:color="auto" w:fill="354866"/>
          </w:tcPr>
          <w:p w14:paraId="1B0B7B1C" w14:textId="77777777" w:rsidR="003C28F6" w:rsidRDefault="002D0420" w:rsidP="002D0420">
            <w:pPr>
              <w:pStyle w:val="TableColumnHeadingLeft"/>
              <w:rPr>
                <w:rFonts w:eastAsia="Arial"/>
              </w:rPr>
            </w:pPr>
            <w:r>
              <w:rPr>
                <w:rFonts w:eastAsia="Arial"/>
              </w:rPr>
              <w:br w:type="column"/>
            </w:r>
            <w:r w:rsidR="003C28F6">
              <w:rPr>
                <w:rFonts w:eastAsia="Arial"/>
                <w:color w:val="FFFFFF"/>
                <w:spacing w:val="2"/>
              </w:rPr>
              <w:t>SA</w:t>
            </w:r>
          </w:p>
        </w:tc>
        <w:tc>
          <w:tcPr>
            <w:tcW w:w="1587" w:type="dxa"/>
            <w:tcBorders>
              <w:top w:val="nil"/>
              <w:left w:val="single" w:sz="8" w:space="0" w:color="FFFFFF"/>
              <w:bottom w:val="single" w:sz="8" w:space="0" w:color="FFFFFF"/>
              <w:right w:val="single" w:sz="8" w:space="0" w:color="FFFFFF"/>
            </w:tcBorders>
            <w:shd w:val="clear" w:color="auto" w:fill="007C59"/>
          </w:tcPr>
          <w:p w14:paraId="227E9AF2" w14:textId="77777777" w:rsidR="003C28F6" w:rsidRPr="002D0420" w:rsidRDefault="003C28F6" w:rsidP="002D0420">
            <w:pPr>
              <w:pStyle w:val="TableColumnHeadingRight"/>
              <w:rPr>
                <w:rFonts w:eastAsia="Arial"/>
              </w:rPr>
            </w:pPr>
            <w:r w:rsidRPr="002D0420">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6E0AEB1C" w14:textId="77777777" w:rsidR="003C28F6" w:rsidRPr="002D0420" w:rsidRDefault="003C28F6" w:rsidP="002D0420">
            <w:pPr>
              <w:pStyle w:val="TableColumnHeadingRight"/>
              <w:rPr>
                <w:rFonts w:eastAsia="Arial"/>
              </w:rPr>
            </w:pPr>
            <w:r w:rsidRPr="002D0420">
              <w:rPr>
                <w:rFonts w:eastAsia="Arial"/>
              </w:rPr>
              <w:t>PC option</w:t>
            </w:r>
          </w:p>
        </w:tc>
      </w:tr>
      <w:tr w:rsidR="003C28F6" w14:paraId="4B4FC9A2"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48A423F3" w14:textId="77777777" w:rsidR="003C28F6" w:rsidRPr="002D0420" w:rsidRDefault="003C28F6" w:rsidP="002D0420">
            <w:pPr>
              <w:pStyle w:val="TableTextLeft"/>
              <w:rPr>
                <w:rFonts w:eastAsia="Arial"/>
                <w:b/>
              </w:rPr>
            </w:pPr>
            <w:r w:rsidRPr="002D0420">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5C03FF16" w14:textId="77777777" w:rsidR="003C28F6" w:rsidRPr="002D0420" w:rsidRDefault="003C28F6" w:rsidP="002D0420">
            <w:pPr>
              <w:pStyle w:val="TableTextRight"/>
              <w:rPr>
                <w:rFonts w:eastAsia="Arial"/>
              </w:rPr>
            </w:pPr>
            <w:r w:rsidRPr="002D0420">
              <w:rPr>
                <w:rFonts w:eastAsia="Arial"/>
              </w:rPr>
              <w:t>1.43</w:t>
            </w:r>
          </w:p>
        </w:tc>
        <w:tc>
          <w:tcPr>
            <w:tcW w:w="1474" w:type="dxa"/>
            <w:tcBorders>
              <w:top w:val="single" w:sz="8" w:space="0" w:color="FFFFFF"/>
              <w:left w:val="single" w:sz="8" w:space="0" w:color="FFFFFF"/>
              <w:bottom w:val="single" w:sz="8" w:space="0" w:color="FFFFFF"/>
              <w:right w:val="nil"/>
            </w:tcBorders>
            <w:shd w:val="clear" w:color="auto" w:fill="E1E8F2"/>
          </w:tcPr>
          <w:p w14:paraId="205DD8B8" w14:textId="77777777" w:rsidR="003C28F6" w:rsidRPr="002D0420" w:rsidRDefault="003C28F6" w:rsidP="002D0420">
            <w:pPr>
              <w:pStyle w:val="TableTextRight"/>
              <w:rPr>
                <w:rFonts w:eastAsia="Arial"/>
              </w:rPr>
            </w:pPr>
            <w:r w:rsidRPr="002D0420">
              <w:rPr>
                <w:rFonts w:eastAsia="Arial"/>
              </w:rPr>
              <w:t>1.42</w:t>
            </w:r>
          </w:p>
        </w:tc>
      </w:tr>
      <w:tr w:rsidR="003C28F6" w14:paraId="3E20B670"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4EF72DEF" w14:textId="77777777" w:rsidR="003C28F6" w:rsidRPr="002D0420" w:rsidRDefault="003C28F6" w:rsidP="002D0420">
            <w:pPr>
              <w:pStyle w:val="TableTextLeft"/>
              <w:rPr>
                <w:rFonts w:eastAsia="Arial"/>
                <w:b/>
              </w:rPr>
            </w:pPr>
            <w:r w:rsidRPr="002D0420">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BA9FABE" w14:textId="77777777" w:rsidR="003C28F6" w:rsidRDefault="003C28F6" w:rsidP="002D0420">
            <w:pPr>
              <w:pStyle w:val="TableTextRight"/>
              <w:rPr>
                <w:rFonts w:eastAsia="Arial"/>
              </w:rPr>
            </w:pPr>
            <w:r>
              <w:rPr>
                <w:rFonts w:eastAsia="Arial"/>
                <w:spacing w:val="-9"/>
              </w:rPr>
              <w:t>1</w:t>
            </w:r>
            <w:r>
              <w:rPr>
                <w:rFonts w:eastAsia="Arial"/>
              </w:rPr>
              <w:t>.43</w:t>
            </w:r>
          </w:p>
        </w:tc>
        <w:tc>
          <w:tcPr>
            <w:tcW w:w="1474" w:type="dxa"/>
            <w:tcBorders>
              <w:top w:val="single" w:sz="8" w:space="0" w:color="FFFFFF"/>
              <w:left w:val="single" w:sz="8" w:space="0" w:color="FFFFFF"/>
              <w:bottom w:val="single" w:sz="8" w:space="0" w:color="FFFFFF"/>
              <w:right w:val="nil"/>
            </w:tcBorders>
            <w:shd w:val="clear" w:color="auto" w:fill="E1E8F2"/>
          </w:tcPr>
          <w:p w14:paraId="430551D2" w14:textId="77777777" w:rsidR="003C28F6" w:rsidRDefault="003C28F6" w:rsidP="002D0420">
            <w:pPr>
              <w:pStyle w:val="TableTextRight"/>
              <w:rPr>
                <w:rFonts w:eastAsia="Arial"/>
              </w:rPr>
            </w:pPr>
            <w:r>
              <w:rPr>
                <w:rFonts w:eastAsia="Arial"/>
                <w:spacing w:val="-9"/>
              </w:rPr>
              <w:t>1</w:t>
            </w:r>
            <w:r>
              <w:rPr>
                <w:rFonts w:eastAsia="Arial"/>
              </w:rPr>
              <w:t>.</w:t>
            </w:r>
            <w:r>
              <w:rPr>
                <w:rFonts w:eastAsia="Arial"/>
                <w:spacing w:val="4"/>
              </w:rPr>
              <w:t>4</w:t>
            </w:r>
            <w:r>
              <w:rPr>
                <w:rFonts w:eastAsia="Arial"/>
              </w:rPr>
              <w:t>0</w:t>
            </w:r>
          </w:p>
        </w:tc>
      </w:tr>
      <w:tr w:rsidR="003C28F6" w14:paraId="11B508D7"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0803B5AA" w14:textId="77777777" w:rsidR="003C28F6" w:rsidRPr="002D0420" w:rsidRDefault="003C28F6" w:rsidP="002D0420">
            <w:pPr>
              <w:pStyle w:val="TableTextLeft"/>
              <w:rPr>
                <w:rFonts w:eastAsia="Arial"/>
                <w:b/>
              </w:rPr>
            </w:pPr>
            <w:r w:rsidRPr="002D0420">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15CFF78" w14:textId="77777777" w:rsidR="003C28F6" w:rsidRDefault="003C28F6" w:rsidP="002D0420">
            <w:pPr>
              <w:pStyle w:val="TableTextRight"/>
              <w:rPr>
                <w:rFonts w:eastAsia="Arial"/>
              </w:rPr>
            </w:pPr>
            <w:r>
              <w:rPr>
                <w:rFonts w:eastAsia="Arial"/>
                <w:spacing w:val="-9"/>
              </w:rPr>
              <w:t>1</w:t>
            </w:r>
            <w:r>
              <w:rPr>
                <w:rFonts w:eastAsia="Arial"/>
              </w:rPr>
              <w:t>.</w:t>
            </w:r>
            <w:r>
              <w:rPr>
                <w:rFonts w:eastAsia="Arial"/>
                <w:spacing w:val="-2"/>
              </w:rPr>
              <w:t>4</w:t>
            </w:r>
            <w:r>
              <w:rPr>
                <w:rFonts w:eastAsia="Arial"/>
              </w:rPr>
              <w:t>2</w:t>
            </w:r>
          </w:p>
        </w:tc>
        <w:tc>
          <w:tcPr>
            <w:tcW w:w="1474" w:type="dxa"/>
            <w:tcBorders>
              <w:top w:val="single" w:sz="8" w:space="0" w:color="FFFFFF"/>
              <w:left w:val="single" w:sz="8" w:space="0" w:color="FFFFFF"/>
              <w:bottom w:val="single" w:sz="8" w:space="0" w:color="FFFFFF"/>
              <w:right w:val="nil"/>
            </w:tcBorders>
            <w:shd w:val="clear" w:color="auto" w:fill="E1E8F2"/>
          </w:tcPr>
          <w:p w14:paraId="37C167B9"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8</w:t>
            </w:r>
          </w:p>
        </w:tc>
      </w:tr>
      <w:tr w:rsidR="003C28F6" w14:paraId="0947AFA2"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6920D168" w14:textId="77777777" w:rsidR="003C28F6" w:rsidRPr="002D0420" w:rsidRDefault="003C28F6" w:rsidP="002D0420">
            <w:pPr>
              <w:pStyle w:val="TableTextLeft"/>
              <w:rPr>
                <w:rFonts w:eastAsia="Arial"/>
                <w:b/>
              </w:rPr>
            </w:pPr>
            <w:r w:rsidRPr="002D0420">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2B0E708E" w14:textId="77777777" w:rsidR="003C28F6" w:rsidRDefault="003C28F6" w:rsidP="002D0420">
            <w:pPr>
              <w:pStyle w:val="TableTextRight"/>
              <w:rPr>
                <w:rFonts w:eastAsia="Arial"/>
              </w:rPr>
            </w:pPr>
            <w:r>
              <w:rPr>
                <w:rFonts w:eastAsia="Arial"/>
                <w:spacing w:val="-9"/>
              </w:rPr>
              <w:t>1</w:t>
            </w:r>
            <w:r>
              <w:rPr>
                <w:rFonts w:eastAsia="Arial"/>
              </w:rPr>
              <w:t>.</w:t>
            </w:r>
            <w:r>
              <w:rPr>
                <w:rFonts w:eastAsia="Arial"/>
                <w:spacing w:val="4"/>
              </w:rPr>
              <w:t>4</w:t>
            </w:r>
            <w:r>
              <w:rPr>
                <w:rFonts w:eastAsia="Arial"/>
              </w:rPr>
              <w:t>0</w:t>
            </w:r>
          </w:p>
        </w:tc>
        <w:tc>
          <w:tcPr>
            <w:tcW w:w="1474" w:type="dxa"/>
            <w:tcBorders>
              <w:top w:val="single" w:sz="8" w:space="0" w:color="FFFFFF"/>
              <w:left w:val="single" w:sz="8" w:space="0" w:color="FFFFFF"/>
              <w:bottom w:val="single" w:sz="8" w:space="0" w:color="FFFFFF"/>
              <w:right w:val="nil"/>
            </w:tcBorders>
            <w:shd w:val="clear" w:color="auto" w:fill="E1E8F2"/>
          </w:tcPr>
          <w:p w14:paraId="6400AF08"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3"/>
              </w:rPr>
              <w:t>3</w:t>
            </w:r>
            <w:r>
              <w:rPr>
                <w:rFonts w:eastAsia="Arial"/>
              </w:rPr>
              <w:t>5</w:t>
            </w:r>
          </w:p>
        </w:tc>
      </w:tr>
      <w:tr w:rsidR="003C28F6" w14:paraId="41A5ECDC"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1E2998A5" w14:textId="77777777" w:rsidR="003C28F6" w:rsidRPr="002D0420" w:rsidRDefault="003C28F6" w:rsidP="002D0420">
            <w:pPr>
              <w:pStyle w:val="TableTextLeft"/>
              <w:rPr>
                <w:rFonts w:eastAsia="Arial"/>
                <w:b/>
              </w:rPr>
            </w:pPr>
            <w:r w:rsidRPr="002D0420">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CD1ADA9"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9</w:t>
            </w:r>
          </w:p>
        </w:tc>
        <w:tc>
          <w:tcPr>
            <w:tcW w:w="1474" w:type="dxa"/>
            <w:tcBorders>
              <w:top w:val="single" w:sz="8" w:space="0" w:color="FFFFFF"/>
              <w:left w:val="single" w:sz="8" w:space="0" w:color="FFFFFF"/>
              <w:bottom w:val="single" w:sz="8" w:space="0" w:color="FFFFFF"/>
              <w:right w:val="nil"/>
            </w:tcBorders>
            <w:shd w:val="clear" w:color="auto" w:fill="E1E8F2"/>
          </w:tcPr>
          <w:p w14:paraId="52FFFD51"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2"/>
              </w:rPr>
              <w:t>3</w:t>
            </w:r>
            <w:r>
              <w:rPr>
                <w:rFonts w:eastAsia="Arial"/>
              </w:rPr>
              <w:t>3</w:t>
            </w:r>
          </w:p>
        </w:tc>
      </w:tr>
      <w:tr w:rsidR="003C28F6" w14:paraId="0A34B0B0"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157C84FF" w14:textId="77777777" w:rsidR="003C28F6" w:rsidRPr="002D0420" w:rsidRDefault="003C28F6" w:rsidP="002D0420">
            <w:pPr>
              <w:pStyle w:val="TableTextLeft"/>
              <w:rPr>
                <w:rFonts w:eastAsia="Arial"/>
                <w:b/>
              </w:rPr>
            </w:pPr>
            <w:r w:rsidRPr="002D0420">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6506F2A4"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9</w:t>
            </w:r>
          </w:p>
        </w:tc>
        <w:tc>
          <w:tcPr>
            <w:tcW w:w="1474" w:type="dxa"/>
            <w:tcBorders>
              <w:top w:val="single" w:sz="8" w:space="0" w:color="FFFFFF"/>
              <w:left w:val="single" w:sz="8" w:space="0" w:color="FFFFFF"/>
              <w:bottom w:val="single" w:sz="8" w:space="0" w:color="FFFFFF"/>
              <w:right w:val="nil"/>
            </w:tcBorders>
            <w:shd w:val="clear" w:color="auto" w:fill="E1E8F2"/>
          </w:tcPr>
          <w:p w14:paraId="56976CC5"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3"/>
              </w:rPr>
              <w:t>3</w:t>
            </w:r>
            <w:r>
              <w:rPr>
                <w:rFonts w:eastAsia="Arial"/>
              </w:rPr>
              <w:t>2</w:t>
            </w:r>
          </w:p>
        </w:tc>
      </w:tr>
      <w:tr w:rsidR="003C28F6" w14:paraId="5B3CF366" w14:textId="77777777" w:rsidTr="002D0420">
        <w:trPr>
          <w:cantSplit/>
          <w:trHeight w:val="57"/>
        </w:trPr>
        <w:tc>
          <w:tcPr>
            <w:tcW w:w="1361" w:type="dxa"/>
            <w:tcBorders>
              <w:top w:val="single" w:sz="8" w:space="0" w:color="FFFFFF"/>
              <w:left w:val="nil"/>
              <w:bottom w:val="single" w:sz="8" w:space="0" w:color="FFFFFF"/>
              <w:right w:val="single" w:sz="8" w:space="0" w:color="FFFFFF"/>
            </w:tcBorders>
            <w:shd w:val="clear" w:color="auto" w:fill="DEDEE3"/>
          </w:tcPr>
          <w:p w14:paraId="226B11BA" w14:textId="77777777" w:rsidR="003C28F6" w:rsidRPr="002D0420" w:rsidRDefault="003C28F6" w:rsidP="002D0420">
            <w:pPr>
              <w:pStyle w:val="TableTextLeft"/>
              <w:rPr>
                <w:rFonts w:eastAsia="Arial"/>
                <w:b/>
              </w:rPr>
            </w:pPr>
            <w:r w:rsidRPr="002D0420">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093D27C"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9</w:t>
            </w:r>
          </w:p>
        </w:tc>
        <w:tc>
          <w:tcPr>
            <w:tcW w:w="1474" w:type="dxa"/>
            <w:tcBorders>
              <w:top w:val="single" w:sz="8" w:space="0" w:color="FFFFFF"/>
              <w:left w:val="single" w:sz="8" w:space="0" w:color="FFFFFF"/>
              <w:bottom w:val="single" w:sz="8" w:space="0" w:color="FFFFFF"/>
              <w:right w:val="nil"/>
            </w:tcBorders>
            <w:shd w:val="clear" w:color="auto" w:fill="E1E8F2"/>
          </w:tcPr>
          <w:p w14:paraId="41FE7E38"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0</w:t>
            </w:r>
          </w:p>
        </w:tc>
      </w:tr>
      <w:tr w:rsidR="003C28F6" w14:paraId="5B131E70" w14:textId="77777777" w:rsidTr="002D0420">
        <w:trPr>
          <w:cantSplit/>
          <w:trHeight w:val="57"/>
        </w:trPr>
        <w:tc>
          <w:tcPr>
            <w:tcW w:w="1361" w:type="dxa"/>
            <w:tcBorders>
              <w:top w:val="single" w:sz="8" w:space="0" w:color="FFFFFF"/>
              <w:left w:val="nil"/>
              <w:bottom w:val="nil"/>
              <w:right w:val="single" w:sz="8" w:space="0" w:color="FFFFFF"/>
            </w:tcBorders>
            <w:shd w:val="clear" w:color="auto" w:fill="DEDEE3"/>
          </w:tcPr>
          <w:p w14:paraId="4C52792E" w14:textId="77777777" w:rsidR="003C28F6" w:rsidRPr="002D0420" w:rsidRDefault="003C28F6" w:rsidP="002D0420">
            <w:pPr>
              <w:pStyle w:val="TableTextLeft"/>
              <w:rPr>
                <w:rFonts w:eastAsia="Arial"/>
                <w:b/>
              </w:rPr>
            </w:pPr>
            <w:r w:rsidRPr="002D0420">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12FFAD7C"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1"/>
              </w:rPr>
              <w:t>3</w:t>
            </w:r>
            <w:r>
              <w:rPr>
                <w:rFonts w:eastAsia="Arial"/>
              </w:rPr>
              <w:t>8</w:t>
            </w:r>
          </w:p>
        </w:tc>
        <w:tc>
          <w:tcPr>
            <w:tcW w:w="1474" w:type="dxa"/>
            <w:tcBorders>
              <w:top w:val="single" w:sz="8" w:space="0" w:color="FFFFFF"/>
              <w:left w:val="single" w:sz="8" w:space="0" w:color="FFFFFF"/>
              <w:bottom w:val="nil"/>
              <w:right w:val="nil"/>
            </w:tcBorders>
            <w:shd w:val="clear" w:color="auto" w:fill="E1E8F2"/>
          </w:tcPr>
          <w:p w14:paraId="75AF245E" w14:textId="77777777" w:rsidR="003C28F6" w:rsidRDefault="003C28F6" w:rsidP="002D0420">
            <w:pPr>
              <w:pStyle w:val="TableTextRight"/>
              <w:rPr>
                <w:rFonts w:eastAsia="Arial"/>
              </w:rPr>
            </w:pPr>
            <w:r>
              <w:rPr>
                <w:rFonts w:eastAsia="Arial"/>
                <w:spacing w:val="-9"/>
              </w:rPr>
              <w:t>1</w:t>
            </w:r>
            <w:r>
              <w:rPr>
                <w:rFonts w:eastAsia="Arial"/>
                <w:spacing w:val="3"/>
              </w:rPr>
              <w:t>.</w:t>
            </w:r>
            <w:r>
              <w:rPr>
                <w:rFonts w:eastAsia="Arial"/>
                <w:spacing w:val="-2"/>
              </w:rPr>
              <w:t>2</w:t>
            </w:r>
            <w:r>
              <w:rPr>
                <w:rFonts w:eastAsia="Arial"/>
              </w:rPr>
              <w:t>9</w:t>
            </w:r>
          </w:p>
        </w:tc>
      </w:tr>
    </w:tbl>
    <w:p w14:paraId="078384EF" w14:textId="77777777" w:rsidR="003C28F6" w:rsidRDefault="003C28F6" w:rsidP="003E3F5A">
      <w:pPr>
        <w:pStyle w:val="SingleParagraph"/>
        <w:rPr>
          <w:rFonts w:eastAsia="Arial"/>
        </w:rPr>
      </w:pPr>
    </w:p>
    <w:tbl>
      <w:tblPr>
        <w:tblW w:w="0" w:type="auto"/>
        <w:tblInd w:w="119" w:type="dxa"/>
        <w:tblLayout w:type="fixed"/>
        <w:tblCellMar>
          <w:left w:w="57" w:type="dxa"/>
          <w:right w:w="57" w:type="dxa"/>
        </w:tblCellMar>
        <w:tblLook w:val="01E0" w:firstRow="1" w:lastRow="1" w:firstColumn="1" w:lastColumn="1" w:noHBand="0" w:noVBand="0"/>
      </w:tblPr>
      <w:tblGrid>
        <w:gridCol w:w="1361"/>
        <w:gridCol w:w="1587"/>
        <w:gridCol w:w="1474"/>
      </w:tblGrid>
      <w:tr w:rsidR="009E156C" w14:paraId="6CDCB433" w14:textId="77777777" w:rsidTr="003E3F5A">
        <w:trPr>
          <w:trHeight w:hRule="exact" w:val="289"/>
        </w:trPr>
        <w:tc>
          <w:tcPr>
            <w:tcW w:w="1361" w:type="dxa"/>
            <w:tcBorders>
              <w:top w:val="nil"/>
              <w:left w:val="nil"/>
              <w:bottom w:val="single" w:sz="8" w:space="0" w:color="FFFFFF"/>
              <w:right w:val="single" w:sz="8" w:space="0" w:color="FFFFFF"/>
            </w:tcBorders>
            <w:shd w:val="clear" w:color="auto" w:fill="354866"/>
          </w:tcPr>
          <w:p w14:paraId="5B8F7AEC" w14:textId="77777777" w:rsidR="009E156C" w:rsidRPr="002D0420" w:rsidRDefault="009E156C" w:rsidP="002D0420">
            <w:pPr>
              <w:pStyle w:val="TableColumnHeadingLeft"/>
              <w:rPr>
                <w:rFonts w:eastAsia="Arial"/>
              </w:rPr>
            </w:pPr>
            <w:r w:rsidRPr="002D0420">
              <w:rPr>
                <w:rFonts w:eastAsia="Arial"/>
              </w:rPr>
              <w:t>TAS</w:t>
            </w:r>
          </w:p>
        </w:tc>
        <w:tc>
          <w:tcPr>
            <w:tcW w:w="1587" w:type="dxa"/>
            <w:tcBorders>
              <w:top w:val="nil"/>
              <w:left w:val="single" w:sz="8" w:space="0" w:color="FFFFFF"/>
              <w:bottom w:val="single" w:sz="8" w:space="0" w:color="FFFFFF"/>
              <w:right w:val="single" w:sz="8" w:space="0" w:color="FFFFFF"/>
            </w:tcBorders>
            <w:shd w:val="clear" w:color="auto" w:fill="007C59"/>
          </w:tcPr>
          <w:p w14:paraId="2A6B8F1F" w14:textId="77777777" w:rsidR="009E156C" w:rsidRPr="002D0420" w:rsidRDefault="009E156C" w:rsidP="002D0420">
            <w:pPr>
              <w:pStyle w:val="TableColumnHeadingRight"/>
              <w:rPr>
                <w:rFonts w:eastAsia="Arial"/>
              </w:rPr>
            </w:pPr>
            <w:r w:rsidRPr="002D0420">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7B5E5480" w14:textId="77777777" w:rsidR="009E156C" w:rsidRPr="002D0420" w:rsidRDefault="009E156C" w:rsidP="002D0420">
            <w:pPr>
              <w:pStyle w:val="TableColumnHeadingRight"/>
              <w:rPr>
                <w:rFonts w:eastAsia="Arial"/>
              </w:rPr>
            </w:pPr>
            <w:r w:rsidRPr="002D0420">
              <w:rPr>
                <w:rFonts w:eastAsia="Arial"/>
              </w:rPr>
              <w:t>PC option</w:t>
            </w:r>
          </w:p>
        </w:tc>
      </w:tr>
      <w:tr w:rsidR="009E156C" w14:paraId="530C2D20"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9F9F28C" w14:textId="77777777" w:rsidR="009E156C" w:rsidRPr="002D0420" w:rsidRDefault="009E156C" w:rsidP="002D0420">
            <w:pPr>
              <w:pStyle w:val="TableTextLeft"/>
              <w:rPr>
                <w:rFonts w:eastAsia="Arial"/>
                <w:b/>
              </w:rPr>
            </w:pPr>
            <w:r w:rsidRPr="002D0420">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4DAE5F6" w14:textId="77777777" w:rsidR="009E156C" w:rsidRPr="002D0420" w:rsidRDefault="009E156C" w:rsidP="002D0420">
            <w:pPr>
              <w:pStyle w:val="TableTextRight"/>
              <w:rPr>
                <w:rFonts w:eastAsia="Arial"/>
              </w:rPr>
            </w:pPr>
            <w:r w:rsidRPr="002D0420">
              <w:rPr>
                <w:rFonts w:eastAsia="Arial"/>
              </w:rPr>
              <w:t>1.81</w:t>
            </w:r>
          </w:p>
        </w:tc>
        <w:tc>
          <w:tcPr>
            <w:tcW w:w="1474" w:type="dxa"/>
            <w:tcBorders>
              <w:top w:val="single" w:sz="8" w:space="0" w:color="FFFFFF"/>
              <w:left w:val="single" w:sz="8" w:space="0" w:color="FFFFFF"/>
              <w:bottom w:val="single" w:sz="8" w:space="0" w:color="FFFFFF"/>
              <w:right w:val="nil"/>
            </w:tcBorders>
            <w:shd w:val="clear" w:color="auto" w:fill="E1E8F2"/>
          </w:tcPr>
          <w:p w14:paraId="4CB4E6EF" w14:textId="77777777" w:rsidR="009E156C" w:rsidRPr="002D0420" w:rsidRDefault="009E156C" w:rsidP="002D0420">
            <w:pPr>
              <w:pStyle w:val="TableTextRight"/>
              <w:rPr>
                <w:rFonts w:eastAsia="Arial"/>
              </w:rPr>
            </w:pPr>
            <w:r w:rsidRPr="002D0420">
              <w:rPr>
                <w:rFonts w:eastAsia="Arial"/>
              </w:rPr>
              <w:t>1.80</w:t>
            </w:r>
          </w:p>
        </w:tc>
      </w:tr>
      <w:tr w:rsidR="009E156C" w14:paraId="359968AA"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52BF759" w14:textId="77777777" w:rsidR="009E156C" w:rsidRPr="002D0420" w:rsidRDefault="009E156C" w:rsidP="002D0420">
            <w:pPr>
              <w:pStyle w:val="TableTextLeft"/>
              <w:rPr>
                <w:rFonts w:eastAsia="Arial"/>
                <w:b/>
              </w:rPr>
            </w:pPr>
            <w:r w:rsidRPr="002D0420">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52BCD930" w14:textId="77777777" w:rsidR="009E156C" w:rsidRPr="002D0420" w:rsidRDefault="009E156C" w:rsidP="002D0420">
            <w:pPr>
              <w:pStyle w:val="TableTextRight"/>
              <w:rPr>
                <w:rFonts w:eastAsia="Arial"/>
              </w:rPr>
            </w:pPr>
            <w:r w:rsidRPr="002D0420">
              <w:rPr>
                <w:rFonts w:eastAsia="Arial"/>
              </w:rPr>
              <w:t>1.80</w:t>
            </w:r>
          </w:p>
        </w:tc>
        <w:tc>
          <w:tcPr>
            <w:tcW w:w="1474" w:type="dxa"/>
            <w:tcBorders>
              <w:top w:val="single" w:sz="8" w:space="0" w:color="FFFFFF"/>
              <w:left w:val="single" w:sz="8" w:space="0" w:color="FFFFFF"/>
              <w:bottom w:val="single" w:sz="8" w:space="0" w:color="FFFFFF"/>
              <w:right w:val="nil"/>
            </w:tcBorders>
            <w:shd w:val="clear" w:color="auto" w:fill="E1E8F2"/>
          </w:tcPr>
          <w:p w14:paraId="31E4E7B2" w14:textId="77777777" w:rsidR="009E156C" w:rsidRPr="002D0420" w:rsidRDefault="009E156C" w:rsidP="002D0420">
            <w:pPr>
              <w:pStyle w:val="TableTextRight"/>
              <w:rPr>
                <w:rFonts w:eastAsia="Arial"/>
              </w:rPr>
            </w:pPr>
            <w:r w:rsidRPr="002D0420">
              <w:rPr>
                <w:rFonts w:eastAsia="Arial"/>
              </w:rPr>
              <w:t>1.77</w:t>
            </w:r>
          </w:p>
        </w:tc>
      </w:tr>
      <w:tr w:rsidR="009E156C" w14:paraId="19C19A7A"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95102CB" w14:textId="77777777" w:rsidR="009E156C" w:rsidRPr="002D0420" w:rsidRDefault="009E156C" w:rsidP="002D0420">
            <w:pPr>
              <w:pStyle w:val="TableTextLeft"/>
              <w:rPr>
                <w:rFonts w:eastAsia="Arial"/>
                <w:b/>
              </w:rPr>
            </w:pPr>
            <w:r w:rsidRPr="002D0420">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3E51910" w14:textId="77777777" w:rsidR="009E156C" w:rsidRPr="002D0420" w:rsidRDefault="009E156C" w:rsidP="002D0420">
            <w:pPr>
              <w:pStyle w:val="TableTextRight"/>
              <w:rPr>
                <w:rFonts w:eastAsia="Arial"/>
              </w:rPr>
            </w:pPr>
            <w:r w:rsidRPr="002D0420">
              <w:rPr>
                <w:rFonts w:eastAsia="Arial"/>
              </w:rPr>
              <w:t>1.78</w:t>
            </w:r>
          </w:p>
        </w:tc>
        <w:tc>
          <w:tcPr>
            <w:tcW w:w="1474" w:type="dxa"/>
            <w:tcBorders>
              <w:top w:val="single" w:sz="8" w:space="0" w:color="FFFFFF"/>
              <w:left w:val="single" w:sz="8" w:space="0" w:color="FFFFFF"/>
              <w:bottom w:val="single" w:sz="8" w:space="0" w:color="FFFFFF"/>
              <w:right w:val="nil"/>
            </w:tcBorders>
            <w:shd w:val="clear" w:color="auto" w:fill="E1E8F2"/>
          </w:tcPr>
          <w:p w14:paraId="56FF4331" w14:textId="77777777" w:rsidR="009E156C" w:rsidRPr="002D0420" w:rsidRDefault="009E156C" w:rsidP="002D0420">
            <w:pPr>
              <w:pStyle w:val="TableTextRight"/>
              <w:rPr>
                <w:rFonts w:eastAsia="Arial"/>
              </w:rPr>
            </w:pPr>
            <w:r w:rsidRPr="002D0420">
              <w:rPr>
                <w:rFonts w:eastAsia="Arial"/>
              </w:rPr>
              <w:t>1.74</w:t>
            </w:r>
          </w:p>
        </w:tc>
      </w:tr>
      <w:tr w:rsidR="009E156C" w14:paraId="75571268"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334FEE79" w14:textId="77777777" w:rsidR="009E156C" w:rsidRPr="002D0420" w:rsidRDefault="009E156C" w:rsidP="002D0420">
            <w:pPr>
              <w:pStyle w:val="TableTextLeft"/>
              <w:rPr>
                <w:rFonts w:eastAsia="Arial"/>
                <w:b/>
              </w:rPr>
            </w:pPr>
            <w:r w:rsidRPr="002D0420">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C7C5B9F" w14:textId="77777777" w:rsidR="009E156C" w:rsidRPr="002D0420" w:rsidRDefault="009E156C" w:rsidP="002D0420">
            <w:pPr>
              <w:pStyle w:val="TableTextRight"/>
              <w:rPr>
                <w:rFonts w:eastAsia="Arial"/>
              </w:rPr>
            </w:pPr>
            <w:r w:rsidRPr="002D0420">
              <w:rPr>
                <w:rFonts w:eastAsia="Arial"/>
              </w:rPr>
              <w:t>1.75</w:t>
            </w:r>
          </w:p>
        </w:tc>
        <w:tc>
          <w:tcPr>
            <w:tcW w:w="1474" w:type="dxa"/>
            <w:tcBorders>
              <w:top w:val="single" w:sz="8" w:space="0" w:color="FFFFFF"/>
              <w:left w:val="single" w:sz="8" w:space="0" w:color="FFFFFF"/>
              <w:bottom w:val="single" w:sz="8" w:space="0" w:color="FFFFFF"/>
              <w:right w:val="nil"/>
            </w:tcBorders>
            <w:shd w:val="clear" w:color="auto" w:fill="E1E8F2"/>
          </w:tcPr>
          <w:p w14:paraId="69D3970F" w14:textId="77777777" w:rsidR="009E156C" w:rsidRPr="002D0420" w:rsidRDefault="009E156C" w:rsidP="002D0420">
            <w:pPr>
              <w:pStyle w:val="TableTextRight"/>
              <w:rPr>
                <w:rFonts w:eastAsia="Arial"/>
              </w:rPr>
            </w:pPr>
            <w:r w:rsidRPr="002D0420">
              <w:rPr>
                <w:rFonts w:eastAsia="Arial"/>
              </w:rPr>
              <w:t>1.70</w:t>
            </w:r>
          </w:p>
        </w:tc>
      </w:tr>
      <w:tr w:rsidR="009E156C" w14:paraId="6F6DB772"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286A1891" w14:textId="77777777" w:rsidR="009E156C" w:rsidRPr="002D0420" w:rsidRDefault="009E156C" w:rsidP="002D0420">
            <w:pPr>
              <w:pStyle w:val="TableTextLeft"/>
              <w:rPr>
                <w:rFonts w:eastAsia="Arial"/>
                <w:b/>
              </w:rPr>
            </w:pPr>
            <w:r w:rsidRPr="002D0420">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93D4507" w14:textId="77777777" w:rsidR="009E156C" w:rsidRPr="002D0420" w:rsidRDefault="009E156C" w:rsidP="002D0420">
            <w:pPr>
              <w:pStyle w:val="TableTextRight"/>
              <w:rPr>
                <w:rFonts w:eastAsia="Arial"/>
              </w:rPr>
            </w:pPr>
            <w:r w:rsidRPr="002D0420">
              <w:rPr>
                <w:rFonts w:eastAsia="Arial"/>
              </w:rPr>
              <w:t>1.75</w:t>
            </w:r>
          </w:p>
        </w:tc>
        <w:tc>
          <w:tcPr>
            <w:tcW w:w="1474" w:type="dxa"/>
            <w:tcBorders>
              <w:top w:val="single" w:sz="8" w:space="0" w:color="FFFFFF"/>
              <w:left w:val="single" w:sz="8" w:space="0" w:color="FFFFFF"/>
              <w:bottom w:val="single" w:sz="8" w:space="0" w:color="FFFFFF"/>
              <w:right w:val="nil"/>
            </w:tcBorders>
            <w:shd w:val="clear" w:color="auto" w:fill="E1E8F2"/>
          </w:tcPr>
          <w:p w14:paraId="0E8DC290" w14:textId="77777777" w:rsidR="009E156C" w:rsidRPr="002D0420" w:rsidRDefault="009E156C" w:rsidP="002D0420">
            <w:pPr>
              <w:pStyle w:val="TableTextRight"/>
              <w:rPr>
                <w:rFonts w:eastAsia="Arial"/>
              </w:rPr>
            </w:pPr>
            <w:r w:rsidRPr="002D0420">
              <w:rPr>
                <w:rFonts w:eastAsia="Arial"/>
              </w:rPr>
              <w:t>1.69</w:t>
            </w:r>
          </w:p>
        </w:tc>
      </w:tr>
      <w:tr w:rsidR="009E156C" w14:paraId="3D73B1B1"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F2385E6" w14:textId="77777777" w:rsidR="009E156C" w:rsidRPr="002D0420" w:rsidRDefault="009E156C" w:rsidP="002D0420">
            <w:pPr>
              <w:pStyle w:val="TableTextLeft"/>
              <w:rPr>
                <w:rFonts w:eastAsia="Arial"/>
                <w:b/>
              </w:rPr>
            </w:pPr>
            <w:r w:rsidRPr="002D0420">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0D4C190" w14:textId="77777777" w:rsidR="009E156C" w:rsidRPr="002D0420" w:rsidRDefault="009E156C" w:rsidP="002D0420">
            <w:pPr>
              <w:pStyle w:val="TableTextRight"/>
              <w:rPr>
                <w:rFonts w:eastAsia="Arial"/>
              </w:rPr>
            </w:pPr>
            <w:r w:rsidRPr="002D0420">
              <w:rPr>
                <w:rFonts w:eastAsia="Arial"/>
              </w:rPr>
              <w:t>1.75</w:t>
            </w:r>
          </w:p>
        </w:tc>
        <w:tc>
          <w:tcPr>
            <w:tcW w:w="1474" w:type="dxa"/>
            <w:tcBorders>
              <w:top w:val="single" w:sz="8" w:space="0" w:color="FFFFFF"/>
              <w:left w:val="single" w:sz="8" w:space="0" w:color="FFFFFF"/>
              <w:bottom w:val="single" w:sz="8" w:space="0" w:color="FFFFFF"/>
              <w:right w:val="nil"/>
            </w:tcBorders>
            <w:shd w:val="clear" w:color="auto" w:fill="E1E8F2"/>
          </w:tcPr>
          <w:p w14:paraId="2D129891" w14:textId="77777777" w:rsidR="009E156C" w:rsidRPr="002D0420" w:rsidRDefault="009E156C" w:rsidP="002D0420">
            <w:pPr>
              <w:pStyle w:val="TableTextRight"/>
              <w:rPr>
                <w:rFonts w:eastAsia="Arial"/>
              </w:rPr>
            </w:pPr>
            <w:r w:rsidRPr="002D0420">
              <w:rPr>
                <w:rFonts w:eastAsia="Arial"/>
              </w:rPr>
              <w:t>1.68</w:t>
            </w:r>
          </w:p>
        </w:tc>
      </w:tr>
      <w:tr w:rsidR="009E156C" w14:paraId="50BA345D"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A74A3ED" w14:textId="77777777" w:rsidR="009E156C" w:rsidRPr="002D0420" w:rsidRDefault="009E156C" w:rsidP="002D0420">
            <w:pPr>
              <w:pStyle w:val="TableTextLeft"/>
              <w:rPr>
                <w:rFonts w:eastAsia="Arial"/>
                <w:b/>
              </w:rPr>
            </w:pPr>
            <w:r w:rsidRPr="002D0420">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7C17FA9" w14:textId="77777777" w:rsidR="009E156C" w:rsidRPr="002D0420" w:rsidRDefault="009E156C" w:rsidP="002D0420">
            <w:pPr>
              <w:pStyle w:val="TableTextRight"/>
              <w:rPr>
                <w:rFonts w:eastAsia="Arial"/>
              </w:rPr>
            </w:pPr>
            <w:r w:rsidRPr="002D0420">
              <w:rPr>
                <w:rFonts w:eastAsia="Arial"/>
              </w:rPr>
              <w:t>1.75</w:t>
            </w:r>
          </w:p>
        </w:tc>
        <w:tc>
          <w:tcPr>
            <w:tcW w:w="1474" w:type="dxa"/>
            <w:tcBorders>
              <w:top w:val="single" w:sz="8" w:space="0" w:color="FFFFFF"/>
              <w:left w:val="single" w:sz="8" w:space="0" w:color="FFFFFF"/>
              <w:bottom w:val="single" w:sz="8" w:space="0" w:color="FFFFFF"/>
              <w:right w:val="nil"/>
            </w:tcBorders>
            <w:shd w:val="clear" w:color="auto" w:fill="E1E8F2"/>
          </w:tcPr>
          <w:p w14:paraId="254B3197" w14:textId="77777777" w:rsidR="009E156C" w:rsidRPr="002D0420" w:rsidRDefault="009E156C" w:rsidP="002D0420">
            <w:pPr>
              <w:pStyle w:val="TableTextRight"/>
              <w:rPr>
                <w:rFonts w:eastAsia="Arial"/>
              </w:rPr>
            </w:pPr>
            <w:r w:rsidRPr="002D0420">
              <w:rPr>
                <w:rFonts w:eastAsia="Arial"/>
              </w:rPr>
              <w:t>1.67</w:t>
            </w:r>
          </w:p>
        </w:tc>
      </w:tr>
      <w:tr w:rsidR="009E156C" w14:paraId="4C6867D1" w14:textId="77777777" w:rsidTr="003E3F5A">
        <w:trPr>
          <w:trHeight w:hRule="exact" w:val="289"/>
        </w:trPr>
        <w:tc>
          <w:tcPr>
            <w:tcW w:w="1361" w:type="dxa"/>
            <w:tcBorders>
              <w:top w:val="single" w:sz="8" w:space="0" w:color="FFFFFF"/>
              <w:left w:val="nil"/>
              <w:bottom w:val="nil"/>
              <w:right w:val="single" w:sz="8" w:space="0" w:color="FFFFFF"/>
            </w:tcBorders>
            <w:shd w:val="clear" w:color="auto" w:fill="DEDEE3"/>
          </w:tcPr>
          <w:p w14:paraId="1277AAB5" w14:textId="77777777" w:rsidR="009E156C" w:rsidRPr="002D0420" w:rsidRDefault="009E156C" w:rsidP="002D0420">
            <w:pPr>
              <w:pStyle w:val="TableTextLeft"/>
              <w:rPr>
                <w:rFonts w:eastAsia="Arial"/>
                <w:b/>
              </w:rPr>
            </w:pPr>
            <w:r w:rsidRPr="002D0420">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13DC89D8" w14:textId="77777777" w:rsidR="009E156C" w:rsidRPr="002D0420" w:rsidRDefault="009E156C" w:rsidP="002D0420">
            <w:pPr>
              <w:pStyle w:val="TableTextRight"/>
              <w:rPr>
                <w:rFonts w:eastAsia="Arial"/>
              </w:rPr>
            </w:pPr>
            <w:r w:rsidRPr="002D0420">
              <w:rPr>
                <w:rFonts w:eastAsia="Arial"/>
              </w:rPr>
              <w:t>1.75</w:t>
            </w:r>
          </w:p>
        </w:tc>
        <w:tc>
          <w:tcPr>
            <w:tcW w:w="1474" w:type="dxa"/>
            <w:tcBorders>
              <w:top w:val="single" w:sz="8" w:space="0" w:color="FFFFFF"/>
              <w:left w:val="single" w:sz="8" w:space="0" w:color="FFFFFF"/>
              <w:bottom w:val="nil"/>
              <w:right w:val="nil"/>
            </w:tcBorders>
            <w:shd w:val="clear" w:color="auto" w:fill="E1E8F2"/>
          </w:tcPr>
          <w:p w14:paraId="0EA0DDC4" w14:textId="77777777" w:rsidR="009E156C" w:rsidRPr="002D0420" w:rsidRDefault="009E156C" w:rsidP="002D0420">
            <w:pPr>
              <w:pStyle w:val="TableTextRight"/>
              <w:rPr>
                <w:rFonts w:eastAsia="Arial"/>
              </w:rPr>
            </w:pPr>
            <w:r w:rsidRPr="002D0420">
              <w:rPr>
                <w:rFonts w:eastAsia="Arial"/>
              </w:rPr>
              <w:t>1.66</w:t>
            </w:r>
          </w:p>
        </w:tc>
      </w:tr>
    </w:tbl>
    <w:p w14:paraId="5C639EEE" w14:textId="77777777" w:rsidR="009E156C" w:rsidRDefault="009E156C" w:rsidP="003E3F5A">
      <w:pPr>
        <w:pStyle w:val="SingleParagraph"/>
        <w:rPr>
          <w:rFonts w:eastAsia="Arial"/>
        </w:rPr>
      </w:pPr>
    </w:p>
    <w:tbl>
      <w:tblPr>
        <w:tblW w:w="0" w:type="auto"/>
        <w:tblInd w:w="119" w:type="dxa"/>
        <w:tblLayout w:type="fixed"/>
        <w:tblCellMar>
          <w:left w:w="57" w:type="dxa"/>
          <w:right w:w="57" w:type="dxa"/>
        </w:tblCellMar>
        <w:tblLook w:val="01E0" w:firstRow="1" w:lastRow="1" w:firstColumn="1" w:lastColumn="1" w:noHBand="0" w:noVBand="0"/>
      </w:tblPr>
      <w:tblGrid>
        <w:gridCol w:w="1361"/>
        <w:gridCol w:w="1587"/>
        <w:gridCol w:w="1474"/>
      </w:tblGrid>
      <w:tr w:rsidR="003C28F6" w14:paraId="0C46F3F0" w14:textId="77777777" w:rsidTr="003E3F5A">
        <w:trPr>
          <w:trHeight w:hRule="exact" w:val="289"/>
        </w:trPr>
        <w:tc>
          <w:tcPr>
            <w:tcW w:w="1361" w:type="dxa"/>
            <w:tcBorders>
              <w:top w:val="nil"/>
              <w:left w:val="nil"/>
              <w:bottom w:val="single" w:sz="8" w:space="0" w:color="FFFFFF"/>
              <w:right w:val="single" w:sz="8" w:space="0" w:color="FFFFFF"/>
            </w:tcBorders>
            <w:shd w:val="clear" w:color="auto" w:fill="354866"/>
          </w:tcPr>
          <w:p w14:paraId="74D500C7" w14:textId="77777777" w:rsidR="003C28F6" w:rsidRPr="002D0420" w:rsidRDefault="003C28F6" w:rsidP="002D0420">
            <w:pPr>
              <w:pStyle w:val="TableColumnHeadingLeft"/>
              <w:rPr>
                <w:rFonts w:eastAsia="Arial"/>
              </w:rPr>
            </w:pPr>
            <w:r w:rsidRPr="002D0420">
              <w:rPr>
                <w:rFonts w:eastAsia="Arial"/>
              </w:rPr>
              <w:t>ACT</w:t>
            </w:r>
          </w:p>
        </w:tc>
        <w:tc>
          <w:tcPr>
            <w:tcW w:w="1587" w:type="dxa"/>
            <w:tcBorders>
              <w:top w:val="nil"/>
              <w:left w:val="single" w:sz="8" w:space="0" w:color="FFFFFF"/>
              <w:bottom w:val="single" w:sz="8" w:space="0" w:color="FFFFFF"/>
              <w:right w:val="single" w:sz="8" w:space="0" w:color="FFFFFF"/>
            </w:tcBorders>
            <w:shd w:val="clear" w:color="auto" w:fill="007C59"/>
          </w:tcPr>
          <w:p w14:paraId="2A8BB6D9" w14:textId="77777777" w:rsidR="003C28F6" w:rsidRPr="002D0420" w:rsidRDefault="003C28F6" w:rsidP="002D0420">
            <w:pPr>
              <w:pStyle w:val="TableColumnHeadingRight"/>
              <w:rPr>
                <w:rFonts w:eastAsia="Arial"/>
              </w:rPr>
            </w:pPr>
            <w:r w:rsidRPr="002D0420">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4CF27388" w14:textId="77777777" w:rsidR="003C28F6" w:rsidRPr="002D0420" w:rsidRDefault="003C28F6" w:rsidP="002D0420">
            <w:pPr>
              <w:pStyle w:val="TableColumnHeadingRight"/>
              <w:rPr>
                <w:rFonts w:eastAsia="Arial"/>
              </w:rPr>
            </w:pPr>
            <w:r w:rsidRPr="002D0420">
              <w:rPr>
                <w:rFonts w:eastAsia="Arial"/>
              </w:rPr>
              <w:t>PC option</w:t>
            </w:r>
          </w:p>
        </w:tc>
      </w:tr>
      <w:tr w:rsidR="003C28F6" w14:paraId="1593CDA8"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908F543" w14:textId="77777777" w:rsidR="003C28F6" w:rsidRPr="002D0420" w:rsidRDefault="003C28F6" w:rsidP="002D0420">
            <w:pPr>
              <w:pStyle w:val="TableTextLeft"/>
              <w:rPr>
                <w:rFonts w:eastAsia="Arial"/>
                <w:b/>
              </w:rPr>
            </w:pPr>
            <w:r w:rsidRPr="002D0420">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7B5D23A" w14:textId="77777777" w:rsidR="003C28F6" w:rsidRPr="002D0420" w:rsidRDefault="003C28F6" w:rsidP="002D0420">
            <w:pPr>
              <w:pStyle w:val="TableTextRight"/>
              <w:rPr>
                <w:rFonts w:eastAsia="Arial"/>
              </w:rPr>
            </w:pPr>
            <w:r w:rsidRPr="002D0420">
              <w:rPr>
                <w:rFonts w:eastAsia="Arial"/>
              </w:rPr>
              <w:t>1.19</w:t>
            </w:r>
          </w:p>
        </w:tc>
        <w:tc>
          <w:tcPr>
            <w:tcW w:w="1474" w:type="dxa"/>
            <w:tcBorders>
              <w:top w:val="single" w:sz="8" w:space="0" w:color="FFFFFF"/>
              <w:left w:val="single" w:sz="8" w:space="0" w:color="FFFFFF"/>
              <w:bottom w:val="single" w:sz="8" w:space="0" w:color="FFFFFF"/>
              <w:right w:val="nil"/>
            </w:tcBorders>
            <w:shd w:val="clear" w:color="auto" w:fill="E1E8F2"/>
          </w:tcPr>
          <w:p w14:paraId="654EA81A" w14:textId="77777777" w:rsidR="003C28F6" w:rsidRPr="002D0420" w:rsidRDefault="003C28F6" w:rsidP="002D0420">
            <w:pPr>
              <w:pStyle w:val="TableTextRight"/>
              <w:rPr>
                <w:rFonts w:eastAsia="Arial"/>
              </w:rPr>
            </w:pPr>
            <w:r w:rsidRPr="002D0420">
              <w:rPr>
                <w:rFonts w:eastAsia="Arial"/>
              </w:rPr>
              <w:t>1.18</w:t>
            </w:r>
          </w:p>
        </w:tc>
      </w:tr>
      <w:tr w:rsidR="003C28F6" w14:paraId="4C2FE2A9"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2456232" w14:textId="77777777" w:rsidR="003C28F6" w:rsidRPr="002D0420" w:rsidRDefault="003C28F6" w:rsidP="002D0420">
            <w:pPr>
              <w:pStyle w:val="TableTextLeft"/>
              <w:rPr>
                <w:rFonts w:eastAsia="Arial"/>
                <w:b/>
              </w:rPr>
            </w:pPr>
            <w:r w:rsidRPr="002D0420">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AD512E6" w14:textId="77777777" w:rsidR="003C28F6" w:rsidRPr="002D0420" w:rsidRDefault="003C28F6" w:rsidP="002D0420">
            <w:pPr>
              <w:pStyle w:val="TableTextRight"/>
              <w:rPr>
                <w:rFonts w:eastAsia="Arial"/>
              </w:rPr>
            </w:pPr>
            <w:r w:rsidRPr="002D0420">
              <w:rPr>
                <w:rFonts w:eastAsia="Arial"/>
              </w:rPr>
              <w:t>1.18</w:t>
            </w:r>
          </w:p>
        </w:tc>
        <w:tc>
          <w:tcPr>
            <w:tcW w:w="1474" w:type="dxa"/>
            <w:tcBorders>
              <w:top w:val="single" w:sz="8" w:space="0" w:color="FFFFFF"/>
              <w:left w:val="single" w:sz="8" w:space="0" w:color="FFFFFF"/>
              <w:bottom w:val="single" w:sz="8" w:space="0" w:color="FFFFFF"/>
              <w:right w:val="nil"/>
            </w:tcBorders>
            <w:shd w:val="clear" w:color="auto" w:fill="E1E8F2"/>
          </w:tcPr>
          <w:p w14:paraId="7B42C942" w14:textId="77777777" w:rsidR="003C28F6" w:rsidRPr="002D0420" w:rsidRDefault="003C28F6" w:rsidP="002D0420">
            <w:pPr>
              <w:pStyle w:val="TableTextRight"/>
              <w:rPr>
                <w:rFonts w:eastAsia="Arial"/>
              </w:rPr>
            </w:pPr>
            <w:r w:rsidRPr="002D0420">
              <w:rPr>
                <w:rFonts w:eastAsia="Arial"/>
              </w:rPr>
              <w:t>1.16</w:t>
            </w:r>
          </w:p>
        </w:tc>
      </w:tr>
      <w:tr w:rsidR="003C28F6" w14:paraId="6659FE39"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641746A2" w14:textId="77777777" w:rsidR="003C28F6" w:rsidRPr="002D0420" w:rsidRDefault="003C28F6" w:rsidP="002D0420">
            <w:pPr>
              <w:pStyle w:val="TableTextLeft"/>
              <w:rPr>
                <w:rFonts w:eastAsia="Arial"/>
                <w:b/>
              </w:rPr>
            </w:pPr>
            <w:r w:rsidRPr="002D0420">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6BFD9B80" w14:textId="77777777" w:rsidR="003C28F6" w:rsidRPr="002D0420" w:rsidRDefault="003C28F6" w:rsidP="002D0420">
            <w:pPr>
              <w:pStyle w:val="TableTextRight"/>
              <w:rPr>
                <w:rFonts w:eastAsia="Arial"/>
              </w:rPr>
            </w:pPr>
            <w:r w:rsidRPr="002D0420">
              <w:rPr>
                <w:rFonts w:eastAsia="Arial"/>
              </w:rPr>
              <w:t>1.16</w:t>
            </w:r>
          </w:p>
        </w:tc>
        <w:tc>
          <w:tcPr>
            <w:tcW w:w="1474" w:type="dxa"/>
            <w:tcBorders>
              <w:top w:val="single" w:sz="8" w:space="0" w:color="FFFFFF"/>
              <w:left w:val="single" w:sz="8" w:space="0" w:color="FFFFFF"/>
              <w:bottom w:val="single" w:sz="8" w:space="0" w:color="FFFFFF"/>
              <w:right w:val="nil"/>
            </w:tcBorders>
            <w:shd w:val="clear" w:color="auto" w:fill="E1E8F2"/>
          </w:tcPr>
          <w:p w14:paraId="7B4377DB" w14:textId="77777777" w:rsidR="003C28F6" w:rsidRPr="002D0420" w:rsidRDefault="003C28F6" w:rsidP="002D0420">
            <w:pPr>
              <w:pStyle w:val="TableTextRight"/>
              <w:rPr>
                <w:rFonts w:eastAsia="Arial"/>
              </w:rPr>
            </w:pPr>
            <w:r w:rsidRPr="002D0420">
              <w:rPr>
                <w:rFonts w:eastAsia="Arial"/>
              </w:rPr>
              <w:t>1.12</w:t>
            </w:r>
          </w:p>
        </w:tc>
      </w:tr>
      <w:tr w:rsidR="003C28F6" w14:paraId="2A444997"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257ABFAE" w14:textId="77777777" w:rsidR="003C28F6" w:rsidRPr="002D0420" w:rsidRDefault="003C28F6" w:rsidP="002D0420">
            <w:pPr>
              <w:pStyle w:val="TableTextLeft"/>
              <w:rPr>
                <w:rFonts w:eastAsia="Arial"/>
                <w:b/>
              </w:rPr>
            </w:pPr>
            <w:r w:rsidRPr="002D0420">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1182A0F" w14:textId="77777777" w:rsidR="003C28F6" w:rsidRPr="002D0420" w:rsidRDefault="003C28F6" w:rsidP="002D0420">
            <w:pPr>
              <w:pStyle w:val="TableTextRight"/>
              <w:rPr>
                <w:rFonts w:eastAsia="Arial"/>
              </w:rPr>
            </w:pPr>
            <w:r w:rsidRPr="002D0420">
              <w:rPr>
                <w:rFonts w:eastAsia="Arial"/>
              </w:rPr>
              <w:t>1.15</w:t>
            </w:r>
          </w:p>
        </w:tc>
        <w:tc>
          <w:tcPr>
            <w:tcW w:w="1474" w:type="dxa"/>
            <w:tcBorders>
              <w:top w:val="single" w:sz="8" w:space="0" w:color="FFFFFF"/>
              <w:left w:val="single" w:sz="8" w:space="0" w:color="FFFFFF"/>
              <w:bottom w:val="single" w:sz="8" w:space="0" w:color="FFFFFF"/>
              <w:right w:val="nil"/>
            </w:tcBorders>
            <w:shd w:val="clear" w:color="auto" w:fill="E1E8F2"/>
          </w:tcPr>
          <w:p w14:paraId="471275F6" w14:textId="77777777" w:rsidR="003C28F6" w:rsidRPr="002D0420" w:rsidRDefault="003C28F6" w:rsidP="002D0420">
            <w:pPr>
              <w:pStyle w:val="TableTextRight"/>
              <w:rPr>
                <w:rFonts w:eastAsia="Arial"/>
              </w:rPr>
            </w:pPr>
            <w:r w:rsidRPr="002D0420">
              <w:rPr>
                <w:rFonts w:eastAsia="Arial"/>
              </w:rPr>
              <w:t>1.10</w:t>
            </w:r>
          </w:p>
        </w:tc>
      </w:tr>
      <w:tr w:rsidR="003C28F6" w14:paraId="2F86B293"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18C7FCED" w14:textId="77777777" w:rsidR="003C28F6" w:rsidRPr="002D0420" w:rsidRDefault="003C28F6" w:rsidP="002D0420">
            <w:pPr>
              <w:pStyle w:val="TableTextLeft"/>
              <w:rPr>
                <w:rFonts w:eastAsia="Arial"/>
                <w:b/>
              </w:rPr>
            </w:pPr>
            <w:r w:rsidRPr="002D0420">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B3EC61F" w14:textId="77777777" w:rsidR="003C28F6" w:rsidRPr="002D0420" w:rsidRDefault="003C28F6" w:rsidP="002D0420">
            <w:pPr>
              <w:pStyle w:val="TableTextRight"/>
              <w:rPr>
                <w:rFonts w:eastAsia="Arial"/>
              </w:rPr>
            </w:pPr>
            <w:r w:rsidRPr="002D0420">
              <w:rPr>
                <w:rFonts w:eastAsia="Arial"/>
              </w:rPr>
              <w:t>1.16</w:t>
            </w:r>
          </w:p>
        </w:tc>
        <w:tc>
          <w:tcPr>
            <w:tcW w:w="1474" w:type="dxa"/>
            <w:tcBorders>
              <w:top w:val="single" w:sz="8" w:space="0" w:color="FFFFFF"/>
              <w:left w:val="single" w:sz="8" w:space="0" w:color="FFFFFF"/>
              <w:bottom w:val="single" w:sz="8" w:space="0" w:color="FFFFFF"/>
              <w:right w:val="nil"/>
            </w:tcBorders>
            <w:shd w:val="clear" w:color="auto" w:fill="E1E8F2"/>
          </w:tcPr>
          <w:p w14:paraId="42436BAD" w14:textId="77777777" w:rsidR="003C28F6" w:rsidRPr="002D0420" w:rsidRDefault="003C28F6" w:rsidP="002D0420">
            <w:pPr>
              <w:pStyle w:val="TableTextRight"/>
              <w:rPr>
                <w:rFonts w:eastAsia="Arial"/>
              </w:rPr>
            </w:pPr>
            <w:r w:rsidRPr="002D0420">
              <w:rPr>
                <w:rFonts w:eastAsia="Arial"/>
              </w:rPr>
              <w:t>1.09</w:t>
            </w:r>
          </w:p>
        </w:tc>
      </w:tr>
      <w:tr w:rsidR="003C28F6" w14:paraId="1BFC16DB"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D7D8C5D" w14:textId="77777777" w:rsidR="003C28F6" w:rsidRPr="002D0420" w:rsidRDefault="003C28F6" w:rsidP="002D0420">
            <w:pPr>
              <w:pStyle w:val="TableTextLeft"/>
              <w:rPr>
                <w:rFonts w:eastAsia="Arial"/>
                <w:b/>
              </w:rPr>
            </w:pPr>
            <w:r w:rsidRPr="002D0420">
              <w:rPr>
                <w:rFonts w:eastAsia="Arial"/>
                <w:b/>
              </w:rPr>
              <w:t>2024-25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47EB942" w14:textId="77777777" w:rsidR="003C28F6" w:rsidRPr="002D0420" w:rsidRDefault="003C28F6" w:rsidP="002D0420">
            <w:pPr>
              <w:pStyle w:val="TableTextRight"/>
              <w:rPr>
                <w:rFonts w:eastAsia="Arial"/>
              </w:rPr>
            </w:pPr>
            <w:r w:rsidRPr="002D0420">
              <w:rPr>
                <w:rFonts w:eastAsia="Arial"/>
              </w:rPr>
              <w:t>1.16</w:t>
            </w:r>
          </w:p>
        </w:tc>
        <w:tc>
          <w:tcPr>
            <w:tcW w:w="1474" w:type="dxa"/>
            <w:tcBorders>
              <w:top w:val="single" w:sz="8" w:space="0" w:color="FFFFFF"/>
              <w:left w:val="single" w:sz="8" w:space="0" w:color="FFFFFF"/>
              <w:bottom w:val="single" w:sz="8" w:space="0" w:color="FFFFFF"/>
              <w:right w:val="nil"/>
            </w:tcBorders>
            <w:shd w:val="clear" w:color="auto" w:fill="E1E8F2"/>
          </w:tcPr>
          <w:p w14:paraId="7C95DAE9" w14:textId="77777777" w:rsidR="003C28F6" w:rsidRPr="002D0420" w:rsidRDefault="003C28F6" w:rsidP="002D0420">
            <w:pPr>
              <w:pStyle w:val="TableTextRight"/>
              <w:rPr>
                <w:rFonts w:eastAsia="Arial"/>
              </w:rPr>
            </w:pPr>
            <w:r w:rsidRPr="002D0420">
              <w:rPr>
                <w:rFonts w:eastAsia="Arial"/>
              </w:rPr>
              <w:t>1.09</w:t>
            </w:r>
          </w:p>
        </w:tc>
      </w:tr>
      <w:tr w:rsidR="003C28F6" w14:paraId="396C2D8B"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31058CED" w14:textId="77777777" w:rsidR="003C28F6" w:rsidRPr="002D0420" w:rsidRDefault="003C28F6" w:rsidP="002D0420">
            <w:pPr>
              <w:pStyle w:val="TableTextLeft"/>
              <w:rPr>
                <w:rFonts w:eastAsia="Arial"/>
                <w:b/>
              </w:rPr>
            </w:pPr>
            <w:r w:rsidRPr="002D0420">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3CFC30DF" w14:textId="77777777" w:rsidR="003C28F6" w:rsidRPr="002D0420" w:rsidRDefault="003C28F6" w:rsidP="002D0420">
            <w:pPr>
              <w:pStyle w:val="TableTextRight"/>
              <w:rPr>
                <w:rFonts w:eastAsia="Arial"/>
              </w:rPr>
            </w:pPr>
            <w:r w:rsidRPr="002D0420">
              <w:rPr>
                <w:rFonts w:eastAsia="Arial"/>
              </w:rPr>
              <w:t>1.17</w:t>
            </w:r>
          </w:p>
        </w:tc>
        <w:tc>
          <w:tcPr>
            <w:tcW w:w="1474" w:type="dxa"/>
            <w:tcBorders>
              <w:top w:val="single" w:sz="8" w:space="0" w:color="FFFFFF"/>
              <w:left w:val="single" w:sz="8" w:space="0" w:color="FFFFFF"/>
              <w:bottom w:val="single" w:sz="8" w:space="0" w:color="FFFFFF"/>
              <w:right w:val="nil"/>
            </w:tcBorders>
            <w:shd w:val="clear" w:color="auto" w:fill="E1E8F2"/>
          </w:tcPr>
          <w:p w14:paraId="31EBAD82" w14:textId="77777777" w:rsidR="003C28F6" w:rsidRPr="002D0420" w:rsidRDefault="003C28F6" w:rsidP="002D0420">
            <w:pPr>
              <w:pStyle w:val="TableTextRight"/>
              <w:rPr>
                <w:rFonts w:eastAsia="Arial"/>
              </w:rPr>
            </w:pPr>
            <w:r w:rsidRPr="002D0420">
              <w:rPr>
                <w:rFonts w:eastAsia="Arial"/>
              </w:rPr>
              <w:t>1.09</w:t>
            </w:r>
          </w:p>
        </w:tc>
      </w:tr>
      <w:tr w:rsidR="003C28F6" w14:paraId="3C68DE12" w14:textId="77777777" w:rsidTr="003E3F5A">
        <w:trPr>
          <w:trHeight w:hRule="exact" w:val="289"/>
        </w:trPr>
        <w:tc>
          <w:tcPr>
            <w:tcW w:w="1361" w:type="dxa"/>
            <w:tcBorders>
              <w:top w:val="single" w:sz="8" w:space="0" w:color="FFFFFF"/>
              <w:left w:val="nil"/>
              <w:bottom w:val="nil"/>
              <w:right w:val="single" w:sz="8" w:space="0" w:color="FFFFFF"/>
            </w:tcBorders>
            <w:shd w:val="clear" w:color="auto" w:fill="DEDEE3"/>
          </w:tcPr>
          <w:p w14:paraId="061BF4C2" w14:textId="77777777" w:rsidR="003C28F6" w:rsidRPr="002D0420" w:rsidRDefault="003C28F6" w:rsidP="002D0420">
            <w:pPr>
              <w:pStyle w:val="TableTextLeft"/>
              <w:rPr>
                <w:rFonts w:eastAsia="Arial"/>
                <w:b/>
              </w:rPr>
            </w:pPr>
            <w:r w:rsidRPr="002D0420">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79895FFC" w14:textId="77777777" w:rsidR="003C28F6" w:rsidRPr="002D0420" w:rsidRDefault="003C28F6" w:rsidP="002D0420">
            <w:pPr>
              <w:pStyle w:val="TableTextRight"/>
              <w:rPr>
                <w:rFonts w:eastAsia="Arial"/>
              </w:rPr>
            </w:pPr>
            <w:r w:rsidRPr="002D0420">
              <w:rPr>
                <w:rFonts w:eastAsia="Arial"/>
              </w:rPr>
              <w:t>1.18</w:t>
            </w:r>
          </w:p>
        </w:tc>
        <w:tc>
          <w:tcPr>
            <w:tcW w:w="1474" w:type="dxa"/>
            <w:tcBorders>
              <w:top w:val="single" w:sz="8" w:space="0" w:color="FFFFFF"/>
              <w:left w:val="single" w:sz="8" w:space="0" w:color="FFFFFF"/>
              <w:bottom w:val="nil"/>
              <w:right w:val="nil"/>
            </w:tcBorders>
            <w:shd w:val="clear" w:color="auto" w:fill="E1E8F2"/>
          </w:tcPr>
          <w:p w14:paraId="26343884" w14:textId="77777777" w:rsidR="003C28F6" w:rsidRPr="002D0420" w:rsidRDefault="003C28F6" w:rsidP="002D0420">
            <w:pPr>
              <w:pStyle w:val="TableTextRight"/>
              <w:rPr>
                <w:rFonts w:eastAsia="Arial"/>
              </w:rPr>
            </w:pPr>
            <w:r w:rsidRPr="002D0420">
              <w:rPr>
                <w:rFonts w:eastAsia="Arial"/>
              </w:rPr>
              <w:t>1.08</w:t>
            </w:r>
          </w:p>
        </w:tc>
      </w:tr>
    </w:tbl>
    <w:p w14:paraId="1E1C2245" w14:textId="77777777" w:rsidR="003C28F6" w:rsidRDefault="003C28F6" w:rsidP="003E3F5A">
      <w:pPr>
        <w:pStyle w:val="SingleParagraph"/>
        <w:rPr>
          <w:rFonts w:eastAsia="Arial"/>
        </w:rPr>
      </w:pPr>
    </w:p>
    <w:tbl>
      <w:tblPr>
        <w:tblW w:w="0" w:type="auto"/>
        <w:tblInd w:w="119" w:type="dxa"/>
        <w:tblLayout w:type="fixed"/>
        <w:tblCellMar>
          <w:left w:w="57" w:type="dxa"/>
          <w:right w:w="57" w:type="dxa"/>
        </w:tblCellMar>
        <w:tblLook w:val="01E0" w:firstRow="1" w:lastRow="1" w:firstColumn="1" w:lastColumn="1" w:noHBand="0" w:noVBand="0"/>
      </w:tblPr>
      <w:tblGrid>
        <w:gridCol w:w="1361"/>
        <w:gridCol w:w="1587"/>
        <w:gridCol w:w="1474"/>
      </w:tblGrid>
      <w:tr w:rsidR="003C28F6" w14:paraId="1129968F" w14:textId="77777777" w:rsidTr="003E3F5A">
        <w:trPr>
          <w:trHeight w:hRule="exact" w:val="289"/>
        </w:trPr>
        <w:tc>
          <w:tcPr>
            <w:tcW w:w="1361" w:type="dxa"/>
            <w:tcBorders>
              <w:top w:val="nil"/>
              <w:left w:val="nil"/>
              <w:bottom w:val="single" w:sz="8" w:space="0" w:color="FFFFFF"/>
              <w:right w:val="single" w:sz="8" w:space="0" w:color="FFFFFF"/>
            </w:tcBorders>
            <w:shd w:val="clear" w:color="auto" w:fill="354866"/>
          </w:tcPr>
          <w:p w14:paraId="385B80B7" w14:textId="77777777" w:rsidR="003C28F6" w:rsidRDefault="003C28F6" w:rsidP="009E156C">
            <w:pPr>
              <w:spacing w:before="59" w:after="0"/>
              <w:ind w:left="80" w:right="-20"/>
              <w:rPr>
                <w:rFonts w:ascii="Arial" w:eastAsia="Arial" w:hAnsi="Arial" w:cs="Arial"/>
                <w:sz w:val="16"/>
                <w:szCs w:val="16"/>
              </w:rPr>
            </w:pPr>
            <w:r>
              <w:rPr>
                <w:rFonts w:ascii="Arial" w:eastAsia="Arial" w:hAnsi="Arial" w:cs="Arial"/>
                <w:b/>
                <w:bCs/>
                <w:color w:val="FFFFFF"/>
                <w:spacing w:val="3"/>
                <w:sz w:val="16"/>
                <w:szCs w:val="16"/>
              </w:rPr>
              <w:t>NT</w:t>
            </w:r>
          </w:p>
        </w:tc>
        <w:tc>
          <w:tcPr>
            <w:tcW w:w="1587" w:type="dxa"/>
            <w:tcBorders>
              <w:top w:val="nil"/>
              <w:left w:val="single" w:sz="8" w:space="0" w:color="FFFFFF"/>
              <w:bottom w:val="single" w:sz="8" w:space="0" w:color="FFFFFF"/>
              <w:right w:val="single" w:sz="8" w:space="0" w:color="FFFFFF"/>
            </w:tcBorders>
            <w:shd w:val="clear" w:color="auto" w:fill="007C59"/>
          </w:tcPr>
          <w:p w14:paraId="2965C98B" w14:textId="77777777" w:rsidR="003C28F6" w:rsidRPr="002D0420" w:rsidRDefault="003C28F6" w:rsidP="002D0420">
            <w:pPr>
              <w:pStyle w:val="TableColumnHeadingRight"/>
              <w:rPr>
                <w:rFonts w:eastAsia="Arial"/>
              </w:rPr>
            </w:pPr>
            <w:r w:rsidRPr="002D0420">
              <w:rPr>
                <w:rFonts w:eastAsia="Arial"/>
              </w:rPr>
              <w:t>Current system*</w:t>
            </w:r>
          </w:p>
        </w:tc>
        <w:tc>
          <w:tcPr>
            <w:tcW w:w="1474" w:type="dxa"/>
            <w:tcBorders>
              <w:top w:val="nil"/>
              <w:left w:val="single" w:sz="8" w:space="0" w:color="FFFFFF"/>
              <w:bottom w:val="single" w:sz="8" w:space="0" w:color="FFFFFF"/>
              <w:right w:val="nil"/>
            </w:tcBorders>
            <w:shd w:val="clear" w:color="auto" w:fill="0071AE"/>
          </w:tcPr>
          <w:p w14:paraId="40F1A3E6" w14:textId="77777777" w:rsidR="003C28F6" w:rsidRPr="002D0420" w:rsidRDefault="003C28F6" w:rsidP="002D0420">
            <w:pPr>
              <w:pStyle w:val="TableColumnHeadingRight"/>
              <w:rPr>
                <w:rFonts w:eastAsia="Arial"/>
              </w:rPr>
            </w:pPr>
            <w:r w:rsidRPr="002D0420">
              <w:rPr>
                <w:rFonts w:eastAsia="Arial"/>
              </w:rPr>
              <w:t>PC option</w:t>
            </w:r>
          </w:p>
        </w:tc>
      </w:tr>
      <w:tr w:rsidR="003C28F6" w14:paraId="74FC4CE4"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381A3ED" w14:textId="77777777" w:rsidR="003C28F6" w:rsidRPr="002D0420" w:rsidRDefault="003C28F6" w:rsidP="002D0420">
            <w:pPr>
              <w:pStyle w:val="TableTextLeft"/>
              <w:rPr>
                <w:rFonts w:eastAsia="Arial"/>
                <w:b/>
              </w:rPr>
            </w:pPr>
            <w:r w:rsidRPr="002D0420">
              <w:rPr>
                <w:rFonts w:eastAsia="Arial"/>
                <w:b/>
              </w:rPr>
              <w:t>2019-20</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F7A6283" w14:textId="77777777" w:rsidR="003C28F6" w:rsidRPr="002D0420" w:rsidRDefault="003C28F6" w:rsidP="002D0420">
            <w:pPr>
              <w:pStyle w:val="TableTextRight"/>
              <w:rPr>
                <w:rFonts w:eastAsia="Arial"/>
              </w:rPr>
            </w:pPr>
            <w:r w:rsidRPr="002D0420">
              <w:rPr>
                <w:rFonts w:eastAsia="Arial"/>
              </w:rPr>
              <w:t>4.55</w:t>
            </w:r>
          </w:p>
        </w:tc>
        <w:tc>
          <w:tcPr>
            <w:tcW w:w="1474" w:type="dxa"/>
            <w:tcBorders>
              <w:top w:val="single" w:sz="8" w:space="0" w:color="FFFFFF"/>
              <w:left w:val="single" w:sz="8" w:space="0" w:color="FFFFFF"/>
              <w:bottom w:val="single" w:sz="8" w:space="0" w:color="FFFFFF"/>
              <w:right w:val="nil"/>
            </w:tcBorders>
            <w:shd w:val="clear" w:color="auto" w:fill="E1E8F2"/>
          </w:tcPr>
          <w:p w14:paraId="352203E6" w14:textId="77777777" w:rsidR="003C28F6" w:rsidRPr="002D0420" w:rsidRDefault="003C28F6" w:rsidP="002D0420">
            <w:pPr>
              <w:pStyle w:val="TableTextRight"/>
              <w:rPr>
                <w:rFonts w:eastAsia="Arial"/>
              </w:rPr>
            </w:pPr>
            <w:r w:rsidRPr="002D0420">
              <w:rPr>
                <w:rFonts w:eastAsia="Arial"/>
              </w:rPr>
              <w:t>4.54</w:t>
            </w:r>
          </w:p>
        </w:tc>
      </w:tr>
      <w:tr w:rsidR="003C28F6" w14:paraId="5537D5A0"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E1ECBD4" w14:textId="77777777" w:rsidR="003C28F6" w:rsidRPr="002D0420" w:rsidRDefault="003C28F6" w:rsidP="002D0420">
            <w:pPr>
              <w:pStyle w:val="TableTextLeft"/>
              <w:rPr>
                <w:rFonts w:eastAsia="Arial"/>
                <w:b/>
              </w:rPr>
            </w:pPr>
            <w:r w:rsidRPr="002D0420">
              <w:rPr>
                <w:rFonts w:eastAsia="Arial"/>
                <w:b/>
              </w:rPr>
              <w:t>2020-21</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4E7E4760" w14:textId="77777777" w:rsidR="003C28F6" w:rsidRPr="002D0420" w:rsidRDefault="003C28F6" w:rsidP="002D0420">
            <w:pPr>
              <w:pStyle w:val="TableTextRight"/>
              <w:rPr>
                <w:rFonts w:eastAsia="Arial"/>
              </w:rPr>
            </w:pPr>
            <w:r w:rsidRPr="002D0420">
              <w:rPr>
                <w:rFonts w:eastAsia="Arial"/>
              </w:rPr>
              <w:t>4.75</w:t>
            </w:r>
          </w:p>
        </w:tc>
        <w:tc>
          <w:tcPr>
            <w:tcW w:w="1474" w:type="dxa"/>
            <w:tcBorders>
              <w:top w:val="single" w:sz="8" w:space="0" w:color="FFFFFF"/>
              <w:left w:val="single" w:sz="8" w:space="0" w:color="FFFFFF"/>
              <w:bottom w:val="single" w:sz="8" w:space="0" w:color="FFFFFF"/>
              <w:right w:val="nil"/>
            </w:tcBorders>
            <w:shd w:val="clear" w:color="auto" w:fill="E1E8F2"/>
          </w:tcPr>
          <w:p w14:paraId="5D851307" w14:textId="77777777" w:rsidR="003C28F6" w:rsidRPr="002D0420" w:rsidRDefault="003C28F6" w:rsidP="002D0420">
            <w:pPr>
              <w:pStyle w:val="TableTextRight"/>
              <w:rPr>
                <w:rFonts w:eastAsia="Arial"/>
              </w:rPr>
            </w:pPr>
            <w:r w:rsidRPr="002D0420">
              <w:rPr>
                <w:rFonts w:eastAsia="Arial"/>
              </w:rPr>
              <w:t>4.74</w:t>
            </w:r>
          </w:p>
        </w:tc>
      </w:tr>
      <w:tr w:rsidR="003C28F6" w14:paraId="0CE1F44C"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A0B2C0C" w14:textId="77777777" w:rsidR="003C28F6" w:rsidRPr="002D0420" w:rsidRDefault="003C28F6" w:rsidP="002D0420">
            <w:pPr>
              <w:pStyle w:val="TableTextLeft"/>
              <w:rPr>
                <w:rFonts w:eastAsia="Arial"/>
                <w:b/>
              </w:rPr>
            </w:pPr>
            <w:r w:rsidRPr="002D0420">
              <w:rPr>
                <w:rFonts w:eastAsia="Arial"/>
                <w:b/>
              </w:rPr>
              <w:t>2021-22</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9A5A8CA" w14:textId="77777777" w:rsidR="003C28F6" w:rsidRPr="002D0420" w:rsidRDefault="003C28F6" w:rsidP="002D0420">
            <w:pPr>
              <w:pStyle w:val="TableTextRight"/>
              <w:rPr>
                <w:rFonts w:eastAsia="Arial"/>
              </w:rPr>
            </w:pPr>
            <w:r w:rsidRPr="002D0420">
              <w:rPr>
                <w:rFonts w:eastAsia="Arial"/>
              </w:rPr>
              <w:t>4.67</w:t>
            </w:r>
          </w:p>
        </w:tc>
        <w:tc>
          <w:tcPr>
            <w:tcW w:w="1474" w:type="dxa"/>
            <w:tcBorders>
              <w:top w:val="single" w:sz="8" w:space="0" w:color="FFFFFF"/>
              <w:left w:val="single" w:sz="8" w:space="0" w:color="FFFFFF"/>
              <w:bottom w:val="single" w:sz="8" w:space="0" w:color="FFFFFF"/>
              <w:right w:val="nil"/>
            </w:tcBorders>
            <w:shd w:val="clear" w:color="auto" w:fill="E1E8F2"/>
          </w:tcPr>
          <w:p w14:paraId="634944D1" w14:textId="77777777" w:rsidR="003C28F6" w:rsidRPr="002D0420" w:rsidRDefault="003C28F6" w:rsidP="002D0420">
            <w:pPr>
              <w:pStyle w:val="TableTextRight"/>
              <w:rPr>
                <w:rFonts w:eastAsia="Arial"/>
              </w:rPr>
            </w:pPr>
            <w:r w:rsidRPr="002D0420">
              <w:rPr>
                <w:rFonts w:eastAsia="Arial"/>
              </w:rPr>
              <w:t>4.64</w:t>
            </w:r>
          </w:p>
        </w:tc>
      </w:tr>
      <w:tr w:rsidR="003C28F6" w14:paraId="586A5CD1"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5365D070" w14:textId="77777777" w:rsidR="003C28F6" w:rsidRPr="002D0420" w:rsidRDefault="003C28F6" w:rsidP="002D0420">
            <w:pPr>
              <w:pStyle w:val="TableTextLeft"/>
              <w:rPr>
                <w:rFonts w:eastAsia="Arial"/>
                <w:b/>
              </w:rPr>
            </w:pPr>
            <w:r w:rsidRPr="002D0420">
              <w:rPr>
                <w:rFonts w:eastAsia="Arial"/>
                <w:b/>
              </w:rPr>
              <w:t>2022-23</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03FA47CF" w14:textId="77777777" w:rsidR="003C28F6" w:rsidRPr="002D0420" w:rsidRDefault="003C28F6" w:rsidP="002D0420">
            <w:pPr>
              <w:pStyle w:val="TableTextRight"/>
              <w:rPr>
                <w:rFonts w:eastAsia="Arial"/>
              </w:rPr>
            </w:pPr>
            <w:r w:rsidRPr="002D0420">
              <w:rPr>
                <w:rFonts w:eastAsia="Arial"/>
              </w:rPr>
              <w:t>4.84</w:t>
            </w:r>
          </w:p>
        </w:tc>
        <w:tc>
          <w:tcPr>
            <w:tcW w:w="1474" w:type="dxa"/>
            <w:tcBorders>
              <w:top w:val="single" w:sz="8" w:space="0" w:color="FFFFFF"/>
              <w:left w:val="single" w:sz="8" w:space="0" w:color="FFFFFF"/>
              <w:bottom w:val="single" w:sz="8" w:space="0" w:color="FFFFFF"/>
              <w:right w:val="nil"/>
            </w:tcBorders>
            <w:shd w:val="clear" w:color="auto" w:fill="E1E8F2"/>
          </w:tcPr>
          <w:p w14:paraId="33A191FD" w14:textId="77777777" w:rsidR="003C28F6" w:rsidRPr="002D0420" w:rsidRDefault="003C28F6" w:rsidP="002D0420">
            <w:pPr>
              <w:pStyle w:val="TableTextRight"/>
              <w:rPr>
                <w:rFonts w:eastAsia="Arial"/>
              </w:rPr>
            </w:pPr>
            <w:r w:rsidRPr="002D0420">
              <w:rPr>
                <w:rFonts w:eastAsia="Arial"/>
              </w:rPr>
              <w:t>4.80</w:t>
            </w:r>
          </w:p>
        </w:tc>
      </w:tr>
      <w:tr w:rsidR="003C28F6" w14:paraId="3777D34C"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377A9D4" w14:textId="77777777" w:rsidR="003C28F6" w:rsidRPr="002D0420" w:rsidRDefault="003C28F6" w:rsidP="002D0420">
            <w:pPr>
              <w:pStyle w:val="TableTextLeft"/>
              <w:rPr>
                <w:rFonts w:eastAsia="Arial"/>
                <w:b/>
              </w:rPr>
            </w:pPr>
            <w:r w:rsidRPr="002D0420">
              <w:rPr>
                <w:rFonts w:eastAsia="Arial"/>
                <w:b/>
              </w:rPr>
              <w:t>2023-24</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20BACCB6" w14:textId="77777777" w:rsidR="003C28F6" w:rsidRPr="002D0420" w:rsidRDefault="003C28F6" w:rsidP="002D0420">
            <w:pPr>
              <w:pStyle w:val="TableTextRight"/>
              <w:rPr>
                <w:rFonts w:eastAsia="Arial"/>
              </w:rPr>
            </w:pPr>
            <w:r w:rsidRPr="002D0420">
              <w:rPr>
                <w:rFonts w:eastAsia="Arial"/>
              </w:rPr>
              <w:t>4.86</w:t>
            </w:r>
          </w:p>
        </w:tc>
        <w:tc>
          <w:tcPr>
            <w:tcW w:w="1474" w:type="dxa"/>
            <w:tcBorders>
              <w:top w:val="single" w:sz="8" w:space="0" w:color="FFFFFF"/>
              <w:left w:val="single" w:sz="8" w:space="0" w:color="FFFFFF"/>
              <w:bottom w:val="single" w:sz="8" w:space="0" w:color="FFFFFF"/>
              <w:right w:val="nil"/>
            </w:tcBorders>
            <w:shd w:val="clear" w:color="auto" w:fill="E1E8F2"/>
          </w:tcPr>
          <w:p w14:paraId="394C196A" w14:textId="77777777" w:rsidR="003C28F6" w:rsidRPr="002D0420" w:rsidRDefault="003C28F6" w:rsidP="002D0420">
            <w:pPr>
              <w:pStyle w:val="TableTextRight"/>
              <w:rPr>
                <w:rFonts w:eastAsia="Arial"/>
              </w:rPr>
            </w:pPr>
            <w:r w:rsidRPr="002D0420">
              <w:rPr>
                <w:rFonts w:eastAsia="Arial"/>
              </w:rPr>
              <w:t>4.81</w:t>
            </w:r>
          </w:p>
        </w:tc>
      </w:tr>
      <w:tr w:rsidR="003C28F6" w14:paraId="7A56E6F3"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0AF1D1A5" w14:textId="77777777" w:rsidR="003C28F6" w:rsidRPr="002D0420" w:rsidRDefault="002D0420" w:rsidP="002D0420">
            <w:pPr>
              <w:pStyle w:val="TableTextLeft"/>
              <w:rPr>
                <w:rFonts w:eastAsia="Arial"/>
                <w:b/>
              </w:rPr>
            </w:pPr>
            <w:r w:rsidRPr="002D0420">
              <w:rPr>
                <w:rFonts w:eastAsia="Arial"/>
                <w:b/>
              </w:rPr>
              <w:t>20</w:t>
            </w:r>
            <w:r w:rsidR="003C28F6" w:rsidRPr="002D0420">
              <w:rPr>
                <w:rFonts w:eastAsia="Arial"/>
                <w:b/>
              </w:rPr>
              <w:t>24-25</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7A0461E8" w14:textId="77777777" w:rsidR="003C28F6" w:rsidRPr="002D0420" w:rsidRDefault="003C28F6" w:rsidP="002D0420">
            <w:pPr>
              <w:pStyle w:val="TableTextRight"/>
              <w:rPr>
                <w:rFonts w:eastAsia="Arial"/>
              </w:rPr>
            </w:pPr>
            <w:r w:rsidRPr="002D0420">
              <w:rPr>
                <w:rFonts w:eastAsia="Arial"/>
              </w:rPr>
              <w:t>4.88</w:t>
            </w:r>
          </w:p>
        </w:tc>
        <w:tc>
          <w:tcPr>
            <w:tcW w:w="1474" w:type="dxa"/>
            <w:tcBorders>
              <w:top w:val="single" w:sz="8" w:space="0" w:color="FFFFFF"/>
              <w:left w:val="single" w:sz="8" w:space="0" w:color="FFFFFF"/>
              <w:bottom w:val="single" w:sz="8" w:space="0" w:color="FFFFFF"/>
              <w:right w:val="nil"/>
            </w:tcBorders>
            <w:shd w:val="clear" w:color="auto" w:fill="E1E8F2"/>
          </w:tcPr>
          <w:p w14:paraId="152CFF9D" w14:textId="77777777" w:rsidR="003C28F6" w:rsidRPr="002D0420" w:rsidRDefault="003C28F6" w:rsidP="002D0420">
            <w:pPr>
              <w:pStyle w:val="TableTextRight"/>
              <w:rPr>
                <w:rFonts w:eastAsia="Arial"/>
              </w:rPr>
            </w:pPr>
            <w:r w:rsidRPr="002D0420">
              <w:rPr>
                <w:rFonts w:eastAsia="Arial"/>
              </w:rPr>
              <w:t>4.82</w:t>
            </w:r>
          </w:p>
        </w:tc>
      </w:tr>
      <w:tr w:rsidR="003C28F6" w14:paraId="716BBC02" w14:textId="77777777" w:rsidTr="003E3F5A">
        <w:trPr>
          <w:trHeight w:hRule="exact" w:val="289"/>
        </w:trPr>
        <w:tc>
          <w:tcPr>
            <w:tcW w:w="1361" w:type="dxa"/>
            <w:tcBorders>
              <w:top w:val="single" w:sz="8" w:space="0" w:color="FFFFFF"/>
              <w:left w:val="nil"/>
              <w:bottom w:val="single" w:sz="8" w:space="0" w:color="FFFFFF"/>
              <w:right w:val="single" w:sz="8" w:space="0" w:color="FFFFFF"/>
            </w:tcBorders>
            <w:shd w:val="clear" w:color="auto" w:fill="DEDEE3"/>
          </w:tcPr>
          <w:p w14:paraId="72E6EBF7" w14:textId="77777777" w:rsidR="003C28F6" w:rsidRPr="002D0420" w:rsidRDefault="003C28F6" w:rsidP="002D0420">
            <w:pPr>
              <w:pStyle w:val="TableTextLeft"/>
              <w:rPr>
                <w:rFonts w:eastAsia="Arial"/>
                <w:b/>
              </w:rPr>
            </w:pPr>
            <w:r w:rsidRPr="002D0420">
              <w:rPr>
                <w:rFonts w:eastAsia="Arial"/>
                <w:b/>
              </w:rPr>
              <w:t>2025-26</w:t>
            </w:r>
          </w:p>
        </w:tc>
        <w:tc>
          <w:tcPr>
            <w:tcW w:w="1587" w:type="dxa"/>
            <w:tcBorders>
              <w:top w:val="single" w:sz="8" w:space="0" w:color="FFFFFF"/>
              <w:left w:val="single" w:sz="8" w:space="0" w:color="FFFFFF"/>
              <w:bottom w:val="single" w:sz="8" w:space="0" w:color="FFFFFF"/>
              <w:right w:val="single" w:sz="8" w:space="0" w:color="FFFFFF"/>
            </w:tcBorders>
            <w:shd w:val="clear" w:color="auto" w:fill="E1E7E3"/>
          </w:tcPr>
          <w:p w14:paraId="1FF74DF5" w14:textId="77777777" w:rsidR="003C28F6" w:rsidRPr="002D0420" w:rsidRDefault="003C28F6" w:rsidP="002D0420">
            <w:pPr>
              <w:pStyle w:val="TableTextRight"/>
              <w:rPr>
                <w:rFonts w:eastAsia="Arial"/>
              </w:rPr>
            </w:pPr>
            <w:r w:rsidRPr="002D0420">
              <w:rPr>
                <w:rFonts w:eastAsia="Arial"/>
              </w:rPr>
              <w:t>4.90</w:t>
            </w:r>
          </w:p>
        </w:tc>
        <w:tc>
          <w:tcPr>
            <w:tcW w:w="1474" w:type="dxa"/>
            <w:tcBorders>
              <w:top w:val="single" w:sz="8" w:space="0" w:color="FFFFFF"/>
              <w:left w:val="single" w:sz="8" w:space="0" w:color="FFFFFF"/>
              <w:bottom w:val="single" w:sz="8" w:space="0" w:color="FFFFFF"/>
              <w:right w:val="nil"/>
            </w:tcBorders>
            <w:shd w:val="clear" w:color="auto" w:fill="E1E8F2"/>
          </w:tcPr>
          <w:p w14:paraId="6D7660C8" w14:textId="77777777" w:rsidR="003C28F6" w:rsidRPr="002D0420" w:rsidRDefault="003C28F6" w:rsidP="002D0420">
            <w:pPr>
              <w:pStyle w:val="TableTextRight"/>
              <w:rPr>
                <w:rFonts w:eastAsia="Arial"/>
              </w:rPr>
            </w:pPr>
            <w:r w:rsidRPr="002D0420">
              <w:rPr>
                <w:rFonts w:eastAsia="Arial"/>
              </w:rPr>
              <w:t>4.83</w:t>
            </w:r>
          </w:p>
        </w:tc>
      </w:tr>
      <w:tr w:rsidR="003C28F6" w14:paraId="3D836323" w14:textId="77777777" w:rsidTr="003E3F5A">
        <w:trPr>
          <w:trHeight w:hRule="exact" w:val="289"/>
        </w:trPr>
        <w:tc>
          <w:tcPr>
            <w:tcW w:w="1361" w:type="dxa"/>
            <w:tcBorders>
              <w:top w:val="single" w:sz="8" w:space="0" w:color="FFFFFF"/>
              <w:left w:val="nil"/>
              <w:bottom w:val="nil"/>
              <w:right w:val="single" w:sz="8" w:space="0" w:color="FFFFFF"/>
            </w:tcBorders>
            <w:shd w:val="clear" w:color="auto" w:fill="DEDEE3"/>
          </w:tcPr>
          <w:p w14:paraId="4D189362" w14:textId="77777777" w:rsidR="003C28F6" w:rsidRPr="002D0420" w:rsidRDefault="003C28F6" w:rsidP="002D0420">
            <w:pPr>
              <w:pStyle w:val="TableTextLeft"/>
              <w:rPr>
                <w:rFonts w:eastAsia="Arial"/>
                <w:b/>
              </w:rPr>
            </w:pPr>
            <w:r w:rsidRPr="002D0420">
              <w:rPr>
                <w:rFonts w:eastAsia="Arial"/>
                <w:b/>
              </w:rPr>
              <w:t>2026-27</w:t>
            </w:r>
          </w:p>
        </w:tc>
        <w:tc>
          <w:tcPr>
            <w:tcW w:w="1587" w:type="dxa"/>
            <w:tcBorders>
              <w:top w:val="single" w:sz="8" w:space="0" w:color="FFFFFF"/>
              <w:left w:val="single" w:sz="8" w:space="0" w:color="FFFFFF"/>
              <w:bottom w:val="nil"/>
              <w:right w:val="single" w:sz="8" w:space="0" w:color="FFFFFF"/>
            </w:tcBorders>
            <w:shd w:val="clear" w:color="auto" w:fill="E1E7E3"/>
          </w:tcPr>
          <w:p w14:paraId="42DAFDC7" w14:textId="77777777" w:rsidR="003C28F6" w:rsidRPr="002D0420" w:rsidRDefault="003C28F6" w:rsidP="002D0420">
            <w:pPr>
              <w:pStyle w:val="TableTextRight"/>
              <w:rPr>
                <w:rFonts w:eastAsia="Arial"/>
              </w:rPr>
            </w:pPr>
            <w:r w:rsidRPr="002D0420">
              <w:rPr>
                <w:rFonts w:eastAsia="Arial"/>
              </w:rPr>
              <w:t>4.91</w:t>
            </w:r>
          </w:p>
        </w:tc>
        <w:tc>
          <w:tcPr>
            <w:tcW w:w="1474" w:type="dxa"/>
            <w:tcBorders>
              <w:top w:val="single" w:sz="8" w:space="0" w:color="FFFFFF"/>
              <w:left w:val="single" w:sz="8" w:space="0" w:color="FFFFFF"/>
              <w:bottom w:val="nil"/>
              <w:right w:val="nil"/>
            </w:tcBorders>
            <w:shd w:val="clear" w:color="auto" w:fill="E1E8F2"/>
          </w:tcPr>
          <w:p w14:paraId="664699B3" w14:textId="77777777" w:rsidR="003C28F6" w:rsidRPr="002D0420" w:rsidRDefault="003C28F6" w:rsidP="002D0420">
            <w:pPr>
              <w:pStyle w:val="TableTextRight"/>
              <w:rPr>
                <w:rFonts w:eastAsia="Arial"/>
              </w:rPr>
            </w:pPr>
            <w:r w:rsidRPr="002D0420">
              <w:rPr>
                <w:rFonts w:eastAsia="Arial"/>
              </w:rPr>
              <w:t>4.84</w:t>
            </w:r>
          </w:p>
        </w:tc>
      </w:tr>
    </w:tbl>
    <w:p w14:paraId="747EF9E6" w14:textId="77777777" w:rsidR="0008082E" w:rsidRDefault="0008082E" w:rsidP="003E3F5A">
      <w:pPr>
        <w:pStyle w:val="SingleParagraph"/>
        <w:rPr>
          <w:rFonts w:eastAsia="Arial"/>
        </w:rPr>
        <w:sectPr w:rsidR="0008082E" w:rsidSect="0008082E">
          <w:type w:val="continuous"/>
          <w:pgSz w:w="11920" w:h="16840"/>
          <w:pgMar w:top="1134" w:right="1418" w:bottom="1418" w:left="1134" w:header="709" w:footer="709" w:gutter="0"/>
          <w:cols w:num="2" w:space="284"/>
          <w:docGrid w:linePitch="299"/>
        </w:sectPr>
      </w:pPr>
    </w:p>
    <w:p w14:paraId="7F880F09" w14:textId="77777777" w:rsidR="007F6037" w:rsidRPr="003E3F5A" w:rsidRDefault="00EE67DE" w:rsidP="00D06212">
      <w:pPr>
        <w:pStyle w:val="ChartorTableNote"/>
        <w:spacing w:before="120"/>
        <w:rPr>
          <w:rFonts w:eastAsia="Arial"/>
        </w:rPr>
      </w:pPr>
      <w:r w:rsidRPr="003E3F5A">
        <w:rPr>
          <w:rFonts w:eastAsia="Arial"/>
        </w:rPr>
        <w:lastRenderedPageBreak/>
        <w:t>*Current system shows nominal relativities, as presented in the PC final report, based on State and Territory Treasury estimates. All other options are presented as effective relativities, calculated by comparing the proposed nominal GST payments to an equal per capita (EPC) distribution.</w:t>
      </w:r>
    </w:p>
    <w:p w14:paraId="21B5CEA6" w14:textId="77777777" w:rsidR="007F6037" w:rsidRDefault="00EE67DE" w:rsidP="003E3F5A">
      <w:pPr>
        <w:pStyle w:val="ChartorTableNote"/>
        <w:rPr>
          <w:rFonts w:eastAsia="Arial"/>
        </w:rPr>
      </w:pPr>
      <w:r w:rsidRPr="003E3F5A">
        <w:rPr>
          <w:rFonts w:eastAsia="Arial"/>
        </w:rPr>
        <w:t>Source: Treasury and Productivity Commission projections.</w:t>
      </w:r>
    </w:p>
    <w:p w14:paraId="56C56BE1" w14:textId="77777777" w:rsidR="007F6037" w:rsidRPr="0008082E" w:rsidRDefault="00EE67DE" w:rsidP="0008082E">
      <w:pPr>
        <w:pStyle w:val="Heading1"/>
        <w:rPr>
          <w:rFonts w:eastAsia="Arial"/>
        </w:rPr>
      </w:pPr>
      <w:bookmarkStart w:id="10" w:name="_Toc518559015"/>
      <w:r w:rsidRPr="0008082E">
        <w:rPr>
          <w:rFonts w:eastAsia="Arial"/>
        </w:rPr>
        <w:lastRenderedPageBreak/>
        <w:t>A fairer, reasonable and more</w:t>
      </w:r>
      <w:r w:rsidR="003E3F5A" w:rsidRPr="0008082E">
        <w:rPr>
          <w:rFonts w:eastAsia="Arial"/>
        </w:rPr>
        <w:t xml:space="preserve"> </w:t>
      </w:r>
      <w:r w:rsidRPr="0008082E">
        <w:rPr>
          <w:rFonts w:eastAsia="Arial"/>
        </w:rPr>
        <w:t>sustainable way to distribute the GST</w:t>
      </w:r>
      <w:bookmarkEnd w:id="10"/>
    </w:p>
    <w:p w14:paraId="6EC86BB4" w14:textId="77777777" w:rsidR="007F6037" w:rsidRPr="003E3F5A" w:rsidRDefault="00EE67DE" w:rsidP="003E3F5A">
      <w:pPr>
        <w:rPr>
          <w:rFonts w:eastAsia="Arial"/>
        </w:rPr>
      </w:pPr>
      <w:r w:rsidRPr="003E3F5A">
        <w:rPr>
          <w:rFonts w:eastAsia="Arial"/>
        </w:rPr>
        <w:t>The Government is proposing a plan to update the way the GST is distributed to reflect changes to the economy since the GST was introduced almost 20 years ago. This plan would improve the resilience of the HFE system against economic shocks and reduce volatility</w:t>
      </w:r>
      <w:r w:rsidR="003E3F5A" w:rsidRPr="003E3F5A">
        <w:rPr>
          <w:rFonts w:eastAsia="Arial"/>
        </w:rPr>
        <w:t xml:space="preserve"> </w:t>
      </w:r>
      <w:r w:rsidRPr="003E3F5A">
        <w:rPr>
          <w:rFonts w:eastAsia="Arial"/>
        </w:rPr>
        <w:t>in GST relativities amongst the States.</w:t>
      </w:r>
    </w:p>
    <w:p w14:paraId="19D8D7D9" w14:textId="77777777" w:rsidR="007F6037" w:rsidRPr="003E3F5A" w:rsidRDefault="00EE67DE" w:rsidP="003E3F5A">
      <w:pPr>
        <w:rPr>
          <w:rFonts w:eastAsia="Arial"/>
        </w:rPr>
      </w:pPr>
      <w:r w:rsidRPr="003E3F5A">
        <w:rPr>
          <w:rFonts w:eastAsia="Arial"/>
        </w:rPr>
        <w:t>The Government’s plan involves transitioning to a new HFE system over eight years from</w:t>
      </w:r>
      <w:r w:rsidR="003E3F5A" w:rsidRPr="003E3F5A">
        <w:rPr>
          <w:rFonts w:eastAsia="Arial"/>
        </w:rPr>
        <w:t xml:space="preserve"> </w:t>
      </w:r>
      <w:r w:rsidRPr="003E3F5A">
        <w:rPr>
          <w:rFonts w:eastAsia="Arial"/>
        </w:rPr>
        <w:t>2019-20 in a way that is fair, reasonable and sustainable and that would ensure all States are better off.</w:t>
      </w:r>
    </w:p>
    <w:p w14:paraId="2EDD5243" w14:textId="77777777" w:rsidR="007F6037" w:rsidRPr="003E3F5A" w:rsidRDefault="00EE67DE" w:rsidP="003E3F5A">
      <w:pPr>
        <w:rPr>
          <w:rFonts w:eastAsia="Arial"/>
        </w:rPr>
      </w:pPr>
      <w:r w:rsidRPr="003E3F5A">
        <w:rPr>
          <w:rFonts w:eastAsia="Arial"/>
        </w:rPr>
        <w:t xml:space="preserve">The Government will commence discussions with the States on its plan and place it on the agenda of a special CFFR meeting in September, at the latest, with a view to coming to a final agreement on transition arrangements by the end of this year. </w:t>
      </w:r>
      <w:proofErr w:type="gramStart"/>
      <w:r w:rsidRPr="003E3F5A">
        <w:rPr>
          <w:rFonts w:eastAsia="Arial"/>
        </w:rPr>
        <w:t>To ensure that the process is as robust as possible, the Government will welcome, and consider, additional information provided by States during this time.</w:t>
      </w:r>
      <w:proofErr w:type="gramEnd"/>
    </w:p>
    <w:p w14:paraId="7BA9912E" w14:textId="77777777" w:rsidR="007F6037" w:rsidRPr="003E3F5A" w:rsidRDefault="00EE67DE" w:rsidP="003E3F5A">
      <w:pPr>
        <w:pStyle w:val="Heading2"/>
        <w:rPr>
          <w:rFonts w:eastAsia="Arial"/>
        </w:rPr>
      </w:pPr>
      <w:r w:rsidRPr="003E3F5A">
        <w:rPr>
          <w:rFonts w:eastAsia="Arial"/>
        </w:rPr>
        <w:t>A new reasonable equalisation standard</w:t>
      </w:r>
    </w:p>
    <w:p w14:paraId="33337E6F" w14:textId="77777777" w:rsidR="007F6037" w:rsidRPr="003E3F5A" w:rsidRDefault="00EE67DE" w:rsidP="003E3F5A">
      <w:pPr>
        <w:rPr>
          <w:rFonts w:eastAsia="Arial"/>
        </w:rPr>
      </w:pPr>
      <w:r w:rsidRPr="003E3F5A">
        <w:rPr>
          <w:rFonts w:eastAsia="Arial"/>
        </w:rPr>
        <w:t>The Government proposes to accept the PC’s recommendation to move to an updated ‘reasonable’ equalisation standard (Recommendation 6.1). Instead of the PC’s proposed model of equalising States to the average of all States (Recommendation 8.1), the Government’s preferred model involves</w:t>
      </w:r>
      <w:r w:rsidR="003E3F5A" w:rsidRPr="003E3F5A">
        <w:rPr>
          <w:rFonts w:eastAsia="Arial"/>
        </w:rPr>
        <w:t xml:space="preserve"> </w:t>
      </w:r>
      <w:r w:rsidRPr="003E3F5A">
        <w:rPr>
          <w:rFonts w:eastAsia="Arial"/>
        </w:rPr>
        <w:t>moving to a benchmark that would ensure the fiscal capacity of all States is at least the equal of NSW or Victoria (whichever is higher).</w:t>
      </w:r>
    </w:p>
    <w:p w14:paraId="59863161" w14:textId="77777777" w:rsidR="007F6037" w:rsidRPr="003E3F5A" w:rsidRDefault="00EE67DE" w:rsidP="003E3F5A">
      <w:pPr>
        <w:rPr>
          <w:rFonts w:eastAsia="Arial"/>
        </w:rPr>
      </w:pPr>
      <w:r w:rsidRPr="003E3F5A">
        <w:rPr>
          <w:rFonts w:eastAsia="Arial"/>
        </w:rPr>
        <w:t>For much of HFE’s history in Australia, NSW and Victoria have been the fiscally strongest States, due to their broad-based, diverse</w:t>
      </w:r>
      <w:r w:rsidR="00D54F52">
        <w:rPr>
          <w:rFonts w:eastAsia="Arial"/>
        </w:rPr>
        <w:t xml:space="preserve"> </w:t>
      </w:r>
      <w:r w:rsidRPr="003E3F5A">
        <w:rPr>
          <w:rFonts w:eastAsia="Arial"/>
        </w:rPr>
        <w:t>and stable economies (Figure 7). As a result, these States have historically served as the benchmarks for equalisation. It is only recently that the benchmark has shifted to WA as a result of the mining boom, which, with its reliance on one particular sector, has led to substantial volatility in the HFE system.</w:t>
      </w:r>
    </w:p>
    <w:p w14:paraId="0C2133E7" w14:textId="77777777" w:rsidR="007F6037" w:rsidRPr="003E3F5A" w:rsidRDefault="00EE67DE" w:rsidP="003E3F5A">
      <w:pPr>
        <w:rPr>
          <w:rFonts w:eastAsia="Arial"/>
        </w:rPr>
      </w:pPr>
      <w:r w:rsidRPr="003E3F5A">
        <w:rPr>
          <w:rFonts w:eastAsia="Arial"/>
        </w:rPr>
        <w:t>Benchmarking all States to the economies of the two largest States would remove the effects of extreme circumstances, like the mining boom, from Australia’s GST distribution system.</w:t>
      </w:r>
    </w:p>
    <w:p w14:paraId="70D0DA57" w14:textId="77777777" w:rsidR="007F6037" w:rsidRDefault="00EE67DE" w:rsidP="003E3F5A">
      <w:pPr>
        <w:pStyle w:val="ChartMainHeading"/>
        <w:rPr>
          <w:rFonts w:eastAsia="Arial"/>
        </w:rPr>
      </w:pPr>
      <w:r w:rsidRPr="003E3F5A">
        <w:rPr>
          <w:rFonts w:eastAsia="Arial"/>
        </w:rPr>
        <w:lastRenderedPageBreak/>
        <w:t xml:space="preserve">Figure 7: Cumulative distribution of all Commonwealth grants to </w:t>
      </w:r>
      <w:proofErr w:type="gramStart"/>
      <w:r w:rsidRPr="003E3F5A">
        <w:rPr>
          <w:rFonts w:eastAsia="Arial"/>
        </w:rPr>
        <w:t>States</w:t>
      </w:r>
      <w:r w:rsidRPr="003E3F5A">
        <w:rPr>
          <w:rFonts w:eastAsia="Arial"/>
          <w:vertAlign w:val="superscript"/>
        </w:rPr>
        <w:t>(</w:t>
      </w:r>
      <w:proofErr w:type="gramEnd"/>
      <w:r w:rsidRPr="003E3F5A">
        <w:rPr>
          <w:rFonts w:eastAsia="Arial"/>
          <w:vertAlign w:val="superscript"/>
        </w:rPr>
        <w:t>a),(b)</w:t>
      </w:r>
      <w:r w:rsidR="009E48E0">
        <w:rPr>
          <w:rFonts w:eastAsia="Arial"/>
        </w:rPr>
        <w:t xml:space="preserve"> </w:t>
      </w:r>
      <w:r w:rsidRPr="003E3F5A">
        <w:rPr>
          <w:rFonts w:eastAsia="Arial"/>
        </w:rPr>
        <w:t>Difference from EPC distribution of grants, excluding Territories; $2015</w:t>
      </w:r>
    </w:p>
    <w:p w14:paraId="17552901" w14:textId="77777777" w:rsidR="003E3F5A" w:rsidRPr="003E3F5A" w:rsidRDefault="0008082E" w:rsidP="003E3F5A">
      <w:pPr>
        <w:pStyle w:val="ChartGraphic"/>
        <w:rPr>
          <w:rFonts w:eastAsia="Arial"/>
        </w:rPr>
      </w:pPr>
      <w:r>
        <w:rPr>
          <w:rFonts w:eastAsia="Arial"/>
          <w:noProof/>
        </w:rPr>
        <w:drawing>
          <wp:inline distT="0" distB="0" distL="0" distR="0" wp14:anchorId="0874BDDB" wp14:editId="01A423E3">
            <wp:extent cx="5060119" cy="3889585"/>
            <wp:effectExtent l="0" t="0" r="7620" b="0"/>
            <wp:docPr id="312" name="Picture 312" descr="This chart shows the cumulative effect of all Commonwealth grants to the States (excluding Territories) since federation, compared to an EPC distribution. Of note, by 2015, NSW and Vic have received $85-$95 billion less than an EPC distribution, while Qld, WA, SA and Tas have received $20-$50 billion more than an EPC distribution." title="Figure 7 : Cumulative distribution of all Commonwealth grants to States(a),(b) Difference from EPC distribution of grants, excluding Territori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 general revenue chart.png"/>
                    <pic:cNvPicPr/>
                  </pic:nvPicPr>
                  <pic:blipFill>
                    <a:blip r:embed="rId32">
                      <a:extLst>
                        <a:ext uri="{28A0092B-C50C-407E-A947-70E740481C1C}">
                          <a14:useLocalDpi xmlns:a14="http://schemas.microsoft.com/office/drawing/2010/main" val="0"/>
                        </a:ext>
                      </a:extLst>
                    </a:blip>
                    <a:stretch>
                      <a:fillRect/>
                    </a:stretch>
                  </pic:blipFill>
                  <pic:spPr>
                    <a:xfrm>
                      <a:off x="0" y="0"/>
                      <a:ext cx="5060119" cy="3889585"/>
                    </a:xfrm>
                    <a:prstGeom prst="rect">
                      <a:avLst/>
                    </a:prstGeom>
                  </pic:spPr>
                </pic:pic>
              </a:graphicData>
            </a:graphic>
          </wp:inline>
        </w:drawing>
      </w:r>
    </w:p>
    <w:p w14:paraId="3912C655" w14:textId="77777777" w:rsidR="007F6037" w:rsidRPr="003E3F5A" w:rsidRDefault="00EE67DE" w:rsidP="003E3F5A">
      <w:pPr>
        <w:pStyle w:val="ChartandTableFootnoteAlpha"/>
        <w:numPr>
          <w:ilvl w:val="0"/>
          <w:numId w:val="18"/>
        </w:numPr>
        <w:rPr>
          <w:rFonts w:eastAsia="Arial"/>
        </w:rPr>
      </w:pPr>
      <w:r w:rsidRPr="003E3F5A">
        <w:rPr>
          <w:rFonts w:eastAsia="Arial"/>
        </w:rPr>
        <w:t>‘Commonwealth grants’ includes general revenue assistance (primarily equalisation payments), Specific Purpose Payments</w:t>
      </w:r>
      <w:r w:rsidR="003E3F5A" w:rsidRPr="003E3F5A">
        <w:rPr>
          <w:rFonts w:eastAsia="Arial"/>
        </w:rPr>
        <w:t xml:space="preserve"> </w:t>
      </w:r>
      <w:r w:rsidRPr="003E3F5A">
        <w:rPr>
          <w:rFonts w:eastAsia="Arial"/>
        </w:rPr>
        <w:t>(SPPs), National Partnership (NP) payments, and capital grants.</w:t>
      </w:r>
    </w:p>
    <w:p w14:paraId="204F82D9" w14:textId="77777777" w:rsidR="007F6037" w:rsidRPr="003E3F5A" w:rsidRDefault="00EE67DE" w:rsidP="00D06212">
      <w:pPr>
        <w:pStyle w:val="ChartandTableFootnoteAlpha"/>
        <w:spacing w:after="0"/>
        <w:rPr>
          <w:rFonts w:eastAsia="Arial"/>
        </w:rPr>
      </w:pPr>
      <w:r w:rsidRPr="003E3F5A">
        <w:rPr>
          <w:rFonts w:eastAsia="Arial"/>
        </w:rPr>
        <w:t>The years 1994-95 and 1995-96 used estimates (not actual data) for NP and SPP data. No data were available for the</w:t>
      </w:r>
      <w:r w:rsidR="003E3F5A" w:rsidRPr="003E3F5A">
        <w:rPr>
          <w:rFonts w:eastAsia="Arial"/>
        </w:rPr>
        <w:t xml:space="preserve"> </w:t>
      </w:r>
      <w:r w:rsidRPr="003E3F5A">
        <w:rPr>
          <w:rFonts w:eastAsia="Arial"/>
        </w:rPr>
        <w:t>1996</w:t>
      </w:r>
      <w:r w:rsidR="004A335F">
        <w:rPr>
          <w:rFonts w:eastAsia="Arial"/>
        </w:rPr>
        <w:noBreakHyphen/>
      </w:r>
      <w:r w:rsidRPr="003E3F5A">
        <w:rPr>
          <w:rFonts w:eastAsia="Arial"/>
        </w:rPr>
        <w:t>97 SPP and NP components so the averages of past and future years were used.</w:t>
      </w:r>
    </w:p>
    <w:p w14:paraId="255B7BC0" w14:textId="77777777" w:rsidR="007F6037" w:rsidRPr="009E48E0" w:rsidRDefault="00EE67DE" w:rsidP="009E48E0">
      <w:pPr>
        <w:pStyle w:val="ChartorTableNote"/>
        <w:rPr>
          <w:rFonts w:eastAsia="Arial"/>
        </w:rPr>
      </w:pPr>
      <w:r w:rsidRPr="003E3F5A">
        <w:rPr>
          <w:rFonts w:eastAsia="Arial"/>
        </w:rPr>
        <w:t>Source: Productivity Commission 2018, Horizontal Fiscal Equalisation, Report no. 88, Canberra.</w:t>
      </w:r>
    </w:p>
    <w:p w14:paraId="41A74214" w14:textId="77777777" w:rsidR="007F6037" w:rsidRPr="003E3F5A" w:rsidRDefault="00EE67DE" w:rsidP="003E3F5A">
      <w:pPr>
        <w:pStyle w:val="Heading2"/>
        <w:rPr>
          <w:rFonts w:eastAsia="Arial"/>
        </w:rPr>
      </w:pPr>
      <w:r w:rsidRPr="003E3F5A">
        <w:rPr>
          <w:rFonts w:eastAsia="Arial"/>
        </w:rPr>
        <w:t>A GST relativity floor safety net</w:t>
      </w:r>
    </w:p>
    <w:p w14:paraId="489EBE20" w14:textId="77777777" w:rsidR="007F6037" w:rsidRPr="003E3F5A" w:rsidRDefault="00EE67DE" w:rsidP="003E3F5A">
      <w:pPr>
        <w:rPr>
          <w:rFonts w:eastAsia="Arial"/>
        </w:rPr>
      </w:pPr>
      <w:r w:rsidRPr="003E3F5A">
        <w:rPr>
          <w:rFonts w:eastAsia="Arial"/>
        </w:rPr>
        <w:t>In addition to moving to an updated, more stable equalisation standard, the Government proposes to put in place a ‘floor’ below</w:t>
      </w:r>
      <w:r w:rsidR="003E3F5A" w:rsidRPr="003E3F5A">
        <w:rPr>
          <w:rFonts w:eastAsia="Arial"/>
        </w:rPr>
        <w:t xml:space="preserve"> </w:t>
      </w:r>
      <w:r w:rsidRPr="003E3F5A">
        <w:rPr>
          <w:rFonts w:eastAsia="Arial"/>
        </w:rPr>
        <w:t xml:space="preserve">which no </w:t>
      </w:r>
      <w:proofErr w:type="gramStart"/>
      <w:r w:rsidRPr="003E3F5A">
        <w:rPr>
          <w:rFonts w:eastAsia="Arial"/>
        </w:rPr>
        <w:t>State’s relativity can fall</w:t>
      </w:r>
      <w:proofErr w:type="gramEnd"/>
      <w:r w:rsidRPr="003E3F5A">
        <w:rPr>
          <w:rFonts w:eastAsia="Arial"/>
        </w:rPr>
        <w:t xml:space="preserve">. The GST relativity floor would be set </w:t>
      </w:r>
      <w:r w:rsidRPr="003E3F5A">
        <w:rPr>
          <w:rFonts w:eastAsia="Arial"/>
          <w:i/>
        </w:rPr>
        <w:t>within</w:t>
      </w:r>
      <w:r w:rsidRPr="003E3F5A">
        <w:rPr>
          <w:rFonts w:eastAsia="Arial"/>
        </w:rPr>
        <w:t xml:space="preserve"> the GST distribution system, rather than by an external ex-gratia payment.</w:t>
      </w:r>
    </w:p>
    <w:p w14:paraId="0CF0A8B2" w14:textId="77777777" w:rsidR="003E3F5A" w:rsidRDefault="00EE67DE" w:rsidP="003E3F5A">
      <w:pPr>
        <w:rPr>
          <w:rFonts w:eastAsia="Arial"/>
        </w:rPr>
      </w:pPr>
      <w:r w:rsidRPr="003E3F5A">
        <w:rPr>
          <w:rFonts w:eastAsia="Arial"/>
        </w:rPr>
        <w:t>A GST relativity floor would provide an additional safety net to guard against the unlikely event of an economic shock that</w:t>
      </w:r>
      <w:r w:rsidR="003E3F5A" w:rsidRPr="003E3F5A">
        <w:rPr>
          <w:rFonts w:eastAsia="Arial"/>
        </w:rPr>
        <w:t xml:space="preserve"> </w:t>
      </w:r>
      <w:r w:rsidRPr="003E3F5A">
        <w:rPr>
          <w:rFonts w:eastAsia="Arial"/>
        </w:rPr>
        <w:t>is extreme enough to introduce significant volatility into the HFE system, even under a new equalisation standard.</w:t>
      </w:r>
      <w:r w:rsidR="003E3F5A">
        <w:rPr>
          <w:rFonts w:eastAsia="Arial"/>
        </w:rPr>
        <w:t xml:space="preserve"> </w:t>
      </w:r>
    </w:p>
    <w:p w14:paraId="07846AB1" w14:textId="77777777" w:rsidR="007F6037" w:rsidRPr="003E3F5A" w:rsidRDefault="00EE67DE" w:rsidP="003E3F5A">
      <w:pPr>
        <w:rPr>
          <w:rFonts w:eastAsia="Arial"/>
        </w:rPr>
      </w:pPr>
      <w:r w:rsidRPr="003E3F5A">
        <w:rPr>
          <w:rFonts w:eastAsia="Arial"/>
        </w:rPr>
        <w:t>The Government is proposing to implement a ratcheting floor over the course of the transition to a new equalisation standard.</w:t>
      </w:r>
      <w:r w:rsidR="003E3F5A">
        <w:rPr>
          <w:rFonts w:eastAsia="Arial"/>
        </w:rPr>
        <w:t xml:space="preserve"> </w:t>
      </w:r>
      <w:r w:rsidRPr="003E3F5A">
        <w:rPr>
          <w:rFonts w:eastAsia="Arial"/>
        </w:rPr>
        <w:t>The floor would initially be set at a relativity of</w:t>
      </w:r>
      <w:r w:rsidR="003E3F5A" w:rsidRPr="003E3F5A">
        <w:rPr>
          <w:rFonts w:eastAsia="Arial"/>
        </w:rPr>
        <w:t xml:space="preserve"> </w:t>
      </w:r>
      <w:r w:rsidRPr="003E3F5A">
        <w:rPr>
          <w:rFonts w:eastAsia="Arial"/>
        </w:rPr>
        <w:t>0.70, before moving up to 0.75. Since these floors are only intended as an additional safety net, they would be implemented at a time where the relativities of all States are expected to be (and remain) above these relativities on current projections.</w:t>
      </w:r>
    </w:p>
    <w:p w14:paraId="7DFDBA59" w14:textId="77777777" w:rsidR="007F6037" w:rsidRPr="003E3F5A" w:rsidRDefault="00EE67DE" w:rsidP="003E3F5A">
      <w:pPr>
        <w:pStyle w:val="Heading2"/>
        <w:rPr>
          <w:rFonts w:eastAsia="Arial"/>
        </w:rPr>
      </w:pPr>
      <w:r w:rsidRPr="003E3F5A">
        <w:rPr>
          <w:rFonts w:eastAsia="Arial"/>
        </w:rPr>
        <w:t>All States and Territories would be better off</w:t>
      </w:r>
    </w:p>
    <w:p w14:paraId="09E2F56D" w14:textId="77777777" w:rsidR="007F6037" w:rsidRPr="003E3F5A" w:rsidRDefault="00EE67DE" w:rsidP="003E3F5A">
      <w:pPr>
        <w:rPr>
          <w:rFonts w:eastAsia="Arial"/>
        </w:rPr>
      </w:pPr>
      <w:r w:rsidRPr="003E3F5A">
        <w:rPr>
          <w:rFonts w:eastAsia="Arial"/>
        </w:rPr>
        <w:t>Since all GST revenue is distributed to the States, any change to the distribution such as that being proposed by the Government now, without additional measures, would result</w:t>
      </w:r>
      <w:r w:rsidR="003E3F5A" w:rsidRPr="003E3F5A">
        <w:rPr>
          <w:rFonts w:eastAsia="Arial"/>
        </w:rPr>
        <w:t xml:space="preserve"> </w:t>
      </w:r>
      <w:r w:rsidRPr="003E3F5A">
        <w:rPr>
          <w:rFonts w:eastAsia="Arial"/>
        </w:rPr>
        <w:t>in some States being worse off than they otherwise would have been.</w:t>
      </w:r>
    </w:p>
    <w:p w14:paraId="62EE0B45" w14:textId="77777777" w:rsidR="007F6037" w:rsidRPr="003E3F5A" w:rsidRDefault="00EE67DE" w:rsidP="003E3F5A">
      <w:pPr>
        <w:rPr>
          <w:rFonts w:eastAsia="Arial"/>
        </w:rPr>
      </w:pPr>
      <w:r w:rsidRPr="003E3F5A">
        <w:rPr>
          <w:rFonts w:eastAsia="Arial"/>
        </w:rPr>
        <w:lastRenderedPageBreak/>
        <w:t>While this may be the case in relative terms, in actual dollars received all States are considerably better off than they would have been as a result of measures the Government has taken to enhance the integrity of the</w:t>
      </w:r>
      <w:r w:rsidR="003E3F5A" w:rsidRPr="003E3F5A">
        <w:rPr>
          <w:rFonts w:eastAsia="Arial"/>
        </w:rPr>
        <w:t xml:space="preserve"> </w:t>
      </w:r>
      <w:r w:rsidRPr="003E3F5A">
        <w:rPr>
          <w:rFonts w:eastAsia="Arial"/>
        </w:rPr>
        <w:t>GST and increase the size of the GST pool in recent years. To ensure a fair and sustainable transition to a new equalisation standard, the Government would provide an additional, direct boost to the GST pool. This boost would expand the size of the GST pool on a permanent basis.</w:t>
      </w:r>
    </w:p>
    <w:p w14:paraId="07BE1B0C" w14:textId="001F61D9" w:rsidR="003E3F5A" w:rsidRPr="00044C10" w:rsidRDefault="00EE67DE" w:rsidP="00044C10">
      <w:pPr>
        <w:rPr>
          <w:rFonts w:eastAsia="Arial"/>
        </w:rPr>
      </w:pPr>
      <w:r w:rsidRPr="003E3F5A">
        <w:rPr>
          <w:rFonts w:eastAsia="Arial"/>
        </w:rPr>
        <w:t>The size of the boost to the GST pool would be set at a level that ensures no State is worse off as a result of the move to a new equalisation benchmark.  This would provide ongoing untied funding for the States to use as they see fit on services such as schools, hospitals and law enforcement.</w:t>
      </w:r>
      <w:r w:rsidR="003E3F5A">
        <w:rPr>
          <w:sz w:val="14"/>
          <w:szCs w:val="14"/>
        </w:rPr>
        <w:br w:type="page"/>
      </w:r>
    </w:p>
    <w:p w14:paraId="23204938" w14:textId="77777777" w:rsidR="007F6037" w:rsidRDefault="00EE67DE" w:rsidP="003E3F5A">
      <w:pPr>
        <w:pStyle w:val="TableMainHeading"/>
        <w:rPr>
          <w:rFonts w:eastAsia="Arial"/>
        </w:rPr>
      </w:pPr>
      <w:r w:rsidRPr="003E3F5A">
        <w:rPr>
          <w:rFonts w:eastAsia="Arial"/>
        </w:rPr>
        <w:lastRenderedPageBreak/>
        <w:t>Table 4: Comparison of State relativities: Current system, the Government’s preferred option and the PC’s recommended option</w:t>
      </w:r>
    </w:p>
    <w:p w14:paraId="28A5A31D" w14:textId="77777777" w:rsidR="005C3E95" w:rsidRDefault="005C3E95" w:rsidP="00E16DB5">
      <w:pPr>
        <w:pStyle w:val="SingleParagraph"/>
        <w:rPr>
          <w:rFonts w:eastAsia="Arial"/>
        </w:rPr>
        <w:sectPr w:rsidR="005C3E95" w:rsidSect="0008082E">
          <w:type w:val="continuous"/>
          <w:pgSz w:w="11920" w:h="16840"/>
          <w:pgMar w:top="1134" w:right="1418" w:bottom="1418" w:left="1134" w:header="709" w:footer="709" w:gutter="0"/>
          <w:cols w:space="720"/>
          <w:docGrid w:linePitch="299"/>
        </w:sectPr>
      </w:pPr>
    </w:p>
    <w:p w14:paraId="756F6B18" w14:textId="77777777" w:rsidR="004B2FF4" w:rsidRPr="001266EC" w:rsidRDefault="004B2FF4" w:rsidP="00E16DB5">
      <w:pPr>
        <w:pStyle w:val="SingleParagraph"/>
        <w:rPr>
          <w:rFonts w:eastAsia="Arial"/>
          <w:sz w:val="16"/>
        </w:rPr>
      </w:pPr>
    </w:p>
    <w:tbl>
      <w:tblPr>
        <w:tblW w:w="0" w:type="auto"/>
        <w:tblInd w:w="117"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14:paraId="6A9F55EE"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4E6C7692" w14:textId="77777777" w:rsidR="004B2FF4" w:rsidRDefault="004B2FF4" w:rsidP="00E16DB5">
            <w:pPr>
              <w:pStyle w:val="TableColumnHeadingLeft"/>
              <w:spacing w:before="20" w:after="20"/>
              <w:rPr>
                <w:rFonts w:eastAsia="Arial"/>
              </w:rPr>
            </w:pPr>
            <w:r>
              <w:rPr>
                <w:rFonts w:eastAsia="Arial"/>
                <w:spacing w:val="2"/>
              </w:rPr>
              <w:t>N</w:t>
            </w:r>
            <w:r>
              <w:rPr>
                <w:rFonts w:eastAsia="Arial"/>
                <w:spacing w:val="3"/>
              </w:rPr>
              <w:t>S</w:t>
            </w:r>
            <w:r>
              <w:rPr>
                <w:rFonts w:eastAsia="Arial"/>
              </w:rPr>
              <w:t>W</w:t>
            </w:r>
          </w:p>
        </w:tc>
        <w:tc>
          <w:tcPr>
            <w:tcW w:w="1162" w:type="dxa"/>
            <w:tcBorders>
              <w:top w:val="nil"/>
              <w:left w:val="single" w:sz="8" w:space="0" w:color="FFFFFF"/>
              <w:bottom w:val="single" w:sz="8" w:space="0" w:color="FFFFFF"/>
              <w:right w:val="single" w:sz="8" w:space="0" w:color="FFFFFF"/>
            </w:tcBorders>
            <w:shd w:val="clear" w:color="auto" w:fill="007C59"/>
          </w:tcPr>
          <w:p w14:paraId="320DACCF"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51AB5F02"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3668B974"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14:paraId="17586806"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7DB06D8A" w14:textId="77777777" w:rsidR="004B2FF4" w:rsidRPr="004B2FF4" w:rsidRDefault="004B2FF4" w:rsidP="00E16DB5">
            <w:pPr>
              <w:pStyle w:val="TableTextLeft"/>
              <w:spacing w:before="20" w:after="20"/>
              <w:rPr>
                <w:rFonts w:eastAsia="Arial"/>
                <w:b/>
              </w:rPr>
            </w:pPr>
            <w:r w:rsidRPr="004B2FF4">
              <w:rPr>
                <w:rFonts w:eastAsia="Arial"/>
                <w:b/>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4673E6A"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7D26F4E" w14:textId="77777777" w:rsidR="004B2FF4" w:rsidRDefault="004B2FF4" w:rsidP="00E16DB5">
            <w:pPr>
              <w:pStyle w:val="TableTextRight"/>
              <w:spacing w:before="20" w:after="20"/>
              <w:rPr>
                <w:rFonts w:eastAsia="Arial"/>
              </w:rPr>
            </w:pPr>
            <w:r>
              <w:rPr>
                <w:rFonts w:eastAsia="Arial"/>
              </w:rPr>
              <w:t>0</w:t>
            </w:r>
            <w:r>
              <w:rPr>
                <w:rFonts w:eastAsia="Arial"/>
                <w:spacing w:val="2"/>
              </w:rPr>
              <w:t>.8</w:t>
            </w:r>
            <w:r>
              <w:rPr>
                <w:rFonts w:eastAsia="Arial"/>
              </w:rPr>
              <w:t>3</w:t>
            </w:r>
          </w:p>
        </w:tc>
        <w:tc>
          <w:tcPr>
            <w:tcW w:w="1162" w:type="dxa"/>
            <w:tcBorders>
              <w:top w:val="single" w:sz="8" w:space="0" w:color="FFFFFF"/>
              <w:left w:val="single" w:sz="8" w:space="0" w:color="FFFFFF"/>
              <w:bottom w:val="single" w:sz="8" w:space="0" w:color="FFFFFF"/>
              <w:right w:val="nil"/>
            </w:tcBorders>
            <w:shd w:val="clear" w:color="auto" w:fill="E1E8F2"/>
          </w:tcPr>
          <w:p w14:paraId="1F04D47C"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5"/>
              </w:rPr>
              <w:t>8</w:t>
            </w:r>
            <w:r>
              <w:rPr>
                <w:rFonts w:eastAsia="Arial"/>
              </w:rPr>
              <w:t>4</w:t>
            </w:r>
          </w:p>
        </w:tc>
      </w:tr>
      <w:tr w:rsidR="004B2FF4" w14:paraId="25FB1FBA"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59B72E4" w14:textId="77777777" w:rsidR="004B2FF4" w:rsidRPr="004B2FF4" w:rsidRDefault="004B2FF4" w:rsidP="00E16DB5">
            <w:pPr>
              <w:pStyle w:val="TableTextLeft"/>
              <w:spacing w:before="20" w:after="20"/>
              <w:rPr>
                <w:rFonts w:eastAsia="Arial"/>
                <w:b/>
              </w:rPr>
            </w:pPr>
            <w:r w:rsidRPr="004B2FF4">
              <w:rPr>
                <w:rFonts w:eastAsia="Arial"/>
                <w:b/>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7935DF6"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B8864A2"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1A897285"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5"/>
              </w:rPr>
              <w:t>8</w:t>
            </w:r>
            <w:r>
              <w:rPr>
                <w:rFonts w:eastAsia="Arial"/>
              </w:rPr>
              <w:t>4</w:t>
            </w:r>
          </w:p>
        </w:tc>
      </w:tr>
      <w:tr w:rsidR="004B2FF4" w14:paraId="2CAA790E"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DFCDA05" w14:textId="77777777" w:rsidR="004B2FF4" w:rsidRPr="004B2FF4" w:rsidRDefault="004B2FF4" w:rsidP="00E16DB5">
            <w:pPr>
              <w:pStyle w:val="TableTextLeft"/>
              <w:spacing w:before="20" w:after="20"/>
              <w:rPr>
                <w:rFonts w:eastAsia="Arial"/>
                <w:b/>
              </w:rPr>
            </w:pPr>
            <w:r w:rsidRPr="004B2FF4">
              <w:rPr>
                <w:rFonts w:eastAsia="Arial"/>
                <w:b/>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844B52D"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EE76480"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6E076494"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1"/>
              </w:rPr>
              <w:t>85</w:t>
            </w:r>
          </w:p>
        </w:tc>
      </w:tr>
      <w:tr w:rsidR="004B2FF4" w14:paraId="15AF4DBC"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2F2C828" w14:textId="77777777" w:rsidR="004B2FF4" w:rsidRPr="004B2FF4" w:rsidRDefault="004B2FF4" w:rsidP="00E16DB5">
            <w:pPr>
              <w:pStyle w:val="TableTextLeft"/>
              <w:spacing w:before="20" w:after="20"/>
              <w:rPr>
                <w:rFonts w:eastAsia="Arial"/>
                <w:b/>
              </w:rPr>
            </w:pPr>
            <w:r w:rsidRPr="004B2FF4">
              <w:rPr>
                <w:rFonts w:eastAsia="Arial"/>
                <w:b/>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6F5779A"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3"/>
              </w:rPr>
              <w:t>81</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1FA3D51"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3"/>
              </w:rPr>
              <w:t>81</w:t>
            </w:r>
          </w:p>
        </w:tc>
        <w:tc>
          <w:tcPr>
            <w:tcW w:w="1162" w:type="dxa"/>
            <w:tcBorders>
              <w:top w:val="single" w:sz="8" w:space="0" w:color="FFFFFF"/>
              <w:left w:val="single" w:sz="8" w:space="0" w:color="FFFFFF"/>
              <w:bottom w:val="single" w:sz="8" w:space="0" w:color="FFFFFF"/>
              <w:right w:val="nil"/>
            </w:tcBorders>
            <w:shd w:val="clear" w:color="auto" w:fill="E1E8F2"/>
          </w:tcPr>
          <w:p w14:paraId="180F1542"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1"/>
              </w:rPr>
              <w:t>85</w:t>
            </w:r>
          </w:p>
        </w:tc>
      </w:tr>
      <w:tr w:rsidR="004B2FF4" w14:paraId="440D4DE9"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0145E717" w14:textId="77777777" w:rsidR="004B2FF4" w:rsidRPr="004B2FF4" w:rsidRDefault="004B2FF4" w:rsidP="00E16DB5">
            <w:pPr>
              <w:pStyle w:val="TableTextLeft"/>
              <w:spacing w:before="20" w:after="20"/>
              <w:rPr>
                <w:rFonts w:eastAsia="Arial"/>
                <w:b/>
              </w:rPr>
            </w:pPr>
            <w:r w:rsidRPr="004B2FF4">
              <w:rPr>
                <w:rFonts w:eastAsia="Arial"/>
                <w:b/>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1BEFCE6"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3"/>
              </w:rPr>
              <w:t>81</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6F8EF74" w14:textId="77777777" w:rsidR="004B2FF4" w:rsidRDefault="004B2FF4" w:rsidP="00E16DB5">
            <w:pPr>
              <w:pStyle w:val="TableTextRight"/>
              <w:spacing w:before="20" w:after="20"/>
              <w:rPr>
                <w:rFonts w:eastAsia="Arial"/>
              </w:rPr>
            </w:pPr>
            <w:r>
              <w:rPr>
                <w:rFonts w:eastAsia="Arial"/>
                <w:spacing w:val="-1"/>
              </w:rPr>
              <w:t>0</w:t>
            </w:r>
            <w:r>
              <w:rPr>
                <w:rFonts w:eastAsia="Arial"/>
                <w:spacing w:val="2"/>
              </w:rPr>
              <w:t>.</w:t>
            </w:r>
            <w:r>
              <w:rPr>
                <w:rFonts w:eastAsia="Arial"/>
                <w:spacing w:val="-3"/>
              </w:rPr>
              <w:t>81</w:t>
            </w:r>
          </w:p>
        </w:tc>
        <w:tc>
          <w:tcPr>
            <w:tcW w:w="1162" w:type="dxa"/>
            <w:tcBorders>
              <w:top w:val="single" w:sz="8" w:space="0" w:color="FFFFFF"/>
              <w:left w:val="single" w:sz="8" w:space="0" w:color="FFFFFF"/>
              <w:bottom w:val="single" w:sz="8" w:space="0" w:color="FFFFFF"/>
              <w:right w:val="nil"/>
            </w:tcBorders>
            <w:shd w:val="clear" w:color="auto" w:fill="E1E8F2"/>
          </w:tcPr>
          <w:p w14:paraId="570709BC" w14:textId="77777777" w:rsidR="004B2FF4" w:rsidRDefault="004B2FF4" w:rsidP="00E16DB5">
            <w:pPr>
              <w:pStyle w:val="TableTextRight"/>
              <w:spacing w:before="20" w:after="20"/>
              <w:rPr>
                <w:rFonts w:eastAsia="Arial"/>
              </w:rPr>
            </w:pPr>
            <w:r>
              <w:rPr>
                <w:rFonts w:eastAsia="Arial"/>
              </w:rPr>
              <w:t>0</w:t>
            </w:r>
            <w:r>
              <w:rPr>
                <w:rFonts w:eastAsia="Arial"/>
                <w:spacing w:val="2"/>
              </w:rPr>
              <w:t>.8</w:t>
            </w:r>
            <w:r>
              <w:rPr>
                <w:rFonts w:eastAsia="Arial"/>
              </w:rPr>
              <w:t>6</w:t>
            </w:r>
          </w:p>
        </w:tc>
      </w:tr>
      <w:tr w:rsidR="004B2FF4" w14:paraId="0C69E3F3"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D72AA9A" w14:textId="77777777" w:rsidR="004B2FF4" w:rsidRPr="004B2FF4" w:rsidRDefault="004B2FF4" w:rsidP="00E16DB5">
            <w:pPr>
              <w:pStyle w:val="TableTextLeft"/>
              <w:spacing w:before="20" w:after="20"/>
              <w:rPr>
                <w:rFonts w:eastAsia="Arial"/>
                <w:b/>
              </w:rPr>
            </w:pPr>
            <w:r w:rsidRPr="004B2FF4">
              <w:rPr>
                <w:rFonts w:eastAsia="Arial"/>
                <w:b/>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4307B04F"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903A2CA"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3B88DBED"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4"/>
              </w:rPr>
              <w:t>8</w:t>
            </w:r>
            <w:r>
              <w:rPr>
                <w:rFonts w:eastAsia="Arial"/>
              </w:rPr>
              <w:t>8</w:t>
            </w:r>
          </w:p>
        </w:tc>
      </w:tr>
      <w:tr w:rsidR="004B2FF4" w14:paraId="309D326C"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555A9461" w14:textId="77777777" w:rsidR="004B2FF4" w:rsidRPr="004B2FF4" w:rsidRDefault="004B2FF4" w:rsidP="00E16DB5">
            <w:pPr>
              <w:pStyle w:val="TableTextLeft"/>
              <w:spacing w:before="20" w:after="20"/>
              <w:rPr>
                <w:rFonts w:eastAsia="Arial"/>
                <w:b/>
              </w:rPr>
            </w:pPr>
            <w:r w:rsidRPr="004B2FF4">
              <w:rPr>
                <w:rFonts w:eastAsia="Arial"/>
                <w:b/>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EFB226F"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364C3F4"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5BBE5A5B" w14:textId="77777777" w:rsidR="004B2FF4" w:rsidRDefault="004B2FF4" w:rsidP="00E16DB5">
            <w:pPr>
              <w:pStyle w:val="TableTextRight"/>
              <w:spacing w:before="20" w:after="20"/>
              <w:rPr>
                <w:rFonts w:eastAsia="Arial"/>
              </w:rPr>
            </w:pPr>
            <w:r>
              <w:rPr>
                <w:rFonts w:eastAsia="Arial"/>
              </w:rPr>
              <w:t>0</w:t>
            </w:r>
            <w:r>
              <w:rPr>
                <w:rFonts w:eastAsia="Arial"/>
                <w:spacing w:val="2"/>
              </w:rPr>
              <w:t>.</w:t>
            </w:r>
            <w:r>
              <w:rPr>
                <w:rFonts w:eastAsia="Arial"/>
                <w:spacing w:val="1"/>
              </w:rPr>
              <w:t>8</w:t>
            </w:r>
            <w:r>
              <w:rPr>
                <w:rFonts w:eastAsia="Arial"/>
              </w:rPr>
              <w:t>9</w:t>
            </w:r>
          </w:p>
        </w:tc>
      </w:tr>
      <w:tr w:rsidR="004B2FF4" w14:paraId="5E6B9089"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19A41927" w14:textId="77777777" w:rsidR="004B2FF4" w:rsidRPr="004B2FF4" w:rsidRDefault="004B2FF4" w:rsidP="00E16DB5">
            <w:pPr>
              <w:pStyle w:val="TableTextLeft"/>
              <w:spacing w:before="20" w:after="20"/>
              <w:rPr>
                <w:rFonts w:eastAsia="Arial"/>
                <w:b/>
              </w:rPr>
            </w:pPr>
            <w:r w:rsidRPr="004B2FF4">
              <w:rPr>
                <w:rFonts w:eastAsia="Arial"/>
                <w:b/>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47659E52" w14:textId="77777777" w:rsidR="004B2FF4" w:rsidRDefault="004B2FF4" w:rsidP="00E16DB5">
            <w:pPr>
              <w:pStyle w:val="TableTextRight"/>
              <w:spacing w:before="20" w:after="20"/>
              <w:rPr>
                <w:rFonts w:eastAsia="Arial"/>
              </w:rPr>
            </w:pPr>
            <w:r>
              <w:rPr>
                <w:rFonts w:eastAsia="Arial"/>
              </w:rPr>
              <w:t>0</w:t>
            </w:r>
            <w:r>
              <w:rPr>
                <w:rFonts w:eastAsia="Arial"/>
                <w:spacing w:val="2"/>
              </w:rPr>
              <w:t>.8</w:t>
            </w:r>
            <w:r>
              <w:rPr>
                <w:rFonts w:eastAsia="Arial"/>
              </w:rPr>
              <w:t>3</w:t>
            </w:r>
          </w:p>
        </w:tc>
        <w:tc>
          <w:tcPr>
            <w:tcW w:w="1162" w:type="dxa"/>
            <w:tcBorders>
              <w:top w:val="single" w:sz="8" w:space="0" w:color="FFFFFF"/>
              <w:left w:val="single" w:sz="8" w:space="0" w:color="FFFFFF"/>
              <w:bottom w:val="nil"/>
              <w:right w:val="single" w:sz="8" w:space="0" w:color="FFFFFF"/>
            </w:tcBorders>
            <w:shd w:val="clear" w:color="auto" w:fill="F7E4DE"/>
          </w:tcPr>
          <w:p w14:paraId="20778FA0" w14:textId="77777777" w:rsidR="004B2FF4" w:rsidRDefault="004B2FF4" w:rsidP="00E16DB5">
            <w:pPr>
              <w:pStyle w:val="TableTextRight"/>
              <w:spacing w:before="20" w:after="20"/>
              <w:rPr>
                <w:rFonts w:eastAsia="Arial"/>
              </w:rPr>
            </w:pPr>
            <w:r>
              <w:rPr>
                <w:rFonts w:eastAsia="Arial"/>
              </w:rPr>
              <w:t>0</w:t>
            </w:r>
            <w:r>
              <w:rPr>
                <w:rFonts w:eastAsia="Arial"/>
                <w:spacing w:val="2"/>
              </w:rPr>
              <w:t>.8</w:t>
            </w:r>
            <w:r>
              <w:rPr>
                <w:rFonts w:eastAsia="Arial"/>
              </w:rPr>
              <w:t>3</w:t>
            </w:r>
          </w:p>
        </w:tc>
        <w:tc>
          <w:tcPr>
            <w:tcW w:w="1162" w:type="dxa"/>
            <w:tcBorders>
              <w:top w:val="single" w:sz="8" w:space="0" w:color="FFFFFF"/>
              <w:left w:val="single" w:sz="8" w:space="0" w:color="FFFFFF"/>
              <w:bottom w:val="nil"/>
              <w:right w:val="nil"/>
            </w:tcBorders>
            <w:shd w:val="clear" w:color="auto" w:fill="E1E8F2"/>
          </w:tcPr>
          <w:p w14:paraId="25CDACD1"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0</w:t>
            </w:r>
          </w:p>
        </w:tc>
      </w:tr>
    </w:tbl>
    <w:p w14:paraId="5F94C3F7" w14:textId="77777777" w:rsidR="004B2FF4" w:rsidRPr="001266EC" w:rsidRDefault="004B2FF4" w:rsidP="00E16DB5">
      <w:pPr>
        <w:pStyle w:val="SingleParagraph"/>
        <w:rPr>
          <w:rFonts w:eastAsia="Arial"/>
          <w:sz w:val="16"/>
          <w:szCs w:val="16"/>
        </w:rPr>
      </w:pPr>
    </w:p>
    <w:tbl>
      <w:tblPr>
        <w:tblW w:w="0" w:type="auto"/>
        <w:tblInd w:w="117"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14:paraId="2A58FA82"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692EBFA8" w14:textId="77777777" w:rsidR="004B2FF4" w:rsidRPr="004B2FF4" w:rsidRDefault="004B2FF4" w:rsidP="00E16DB5">
            <w:pPr>
              <w:pStyle w:val="TableColumnHeadingLeft"/>
              <w:spacing w:before="20" w:after="20"/>
              <w:rPr>
                <w:rFonts w:eastAsia="Arial"/>
              </w:rPr>
            </w:pPr>
            <w:r w:rsidRPr="004B2FF4">
              <w:rPr>
                <w:rFonts w:eastAsia="Arial"/>
              </w:rPr>
              <w:t>VIC</w:t>
            </w:r>
          </w:p>
        </w:tc>
        <w:tc>
          <w:tcPr>
            <w:tcW w:w="1162" w:type="dxa"/>
            <w:tcBorders>
              <w:top w:val="nil"/>
              <w:left w:val="single" w:sz="8" w:space="0" w:color="FFFFFF"/>
              <w:bottom w:val="single" w:sz="8" w:space="0" w:color="FFFFFF"/>
              <w:right w:val="single" w:sz="8" w:space="0" w:color="FFFFFF"/>
            </w:tcBorders>
            <w:shd w:val="clear" w:color="auto" w:fill="007C59"/>
          </w:tcPr>
          <w:p w14:paraId="417B8392"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3A735553"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759D3075"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14:paraId="389C3DB2"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28F0666" w14:textId="77777777" w:rsidR="004B2FF4" w:rsidRPr="004B2FF4" w:rsidRDefault="004B2FF4" w:rsidP="00E16DB5">
            <w:pPr>
              <w:pStyle w:val="TableTextLeft"/>
              <w:spacing w:before="20" w:after="20"/>
              <w:rPr>
                <w:rFonts w:eastAsia="Arial"/>
                <w:b/>
              </w:rPr>
            </w:pPr>
            <w:r w:rsidRPr="004B2FF4">
              <w:rPr>
                <w:rFonts w:eastAsia="Arial"/>
                <w:b/>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3F5413C"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3"/>
              </w:rPr>
              <w:t>9</w:t>
            </w:r>
            <w:r>
              <w:rPr>
                <w:rFonts w:eastAsia="Arial"/>
              </w:rPr>
              <w:t>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2D46DE4"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3"/>
              </w:rPr>
              <w:t>9</w:t>
            </w:r>
            <w:r>
              <w:rPr>
                <w:rFonts w:eastAsia="Arial"/>
              </w:rPr>
              <w:t>6</w:t>
            </w:r>
          </w:p>
        </w:tc>
        <w:tc>
          <w:tcPr>
            <w:tcW w:w="1162" w:type="dxa"/>
            <w:tcBorders>
              <w:top w:val="single" w:sz="8" w:space="0" w:color="FFFFFF"/>
              <w:left w:val="single" w:sz="8" w:space="0" w:color="FFFFFF"/>
              <w:bottom w:val="single" w:sz="8" w:space="0" w:color="FFFFFF"/>
              <w:right w:val="nil"/>
            </w:tcBorders>
            <w:shd w:val="clear" w:color="auto" w:fill="E1E8F2"/>
          </w:tcPr>
          <w:p w14:paraId="0A88AE88"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rPr>
              <w:t>95</w:t>
            </w:r>
          </w:p>
        </w:tc>
      </w:tr>
      <w:tr w:rsidR="004B2FF4" w14:paraId="0E5940B3"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5CF7A889" w14:textId="77777777" w:rsidR="004B2FF4" w:rsidRPr="004B2FF4" w:rsidRDefault="004B2FF4" w:rsidP="00E16DB5">
            <w:pPr>
              <w:pStyle w:val="TableTextLeft"/>
              <w:spacing w:before="20" w:after="20"/>
              <w:rPr>
                <w:rFonts w:eastAsia="Arial"/>
                <w:b/>
              </w:rPr>
            </w:pPr>
            <w:r w:rsidRPr="004B2FF4">
              <w:rPr>
                <w:rFonts w:eastAsia="Arial"/>
                <w:b/>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4096591"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rPr>
              <w:t>95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78A1E55"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rPr>
              <w:t>95</w:t>
            </w:r>
          </w:p>
        </w:tc>
        <w:tc>
          <w:tcPr>
            <w:tcW w:w="1162" w:type="dxa"/>
            <w:tcBorders>
              <w:top w:val="single" w:sz="8" w:space="0" w:color="FFFFFF"/>
              <w:left w:val="single" w:sz="8" w:space="0" w:color="FFFFFF"/>
              <w:bottom w:val="single" w:sz="8" w:space="0" w:color="FFFFFF"/>
              <w:right w:val="nil"/>
            </w:tcBorders>
            <w:shd w:val="clear" w:color="auto" w:fill="E1E8F2"/>
          </w:tcPr>
          <w:p w14:paraId="28BA4E44"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4</w:t>
            </w:r>
          </w:p>
        </w:tc>
      </w:tr>
      <w:tr w:rsidR="004B2FF4" w14:paraId="00B55675"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113DD22" w14:textId="77777777" w:rsidR="004B2FF4" w:rsidRPr="004B2FF4" w:rsidRDefault="004B2FF4" w:rsidP="00E16DB5">
            <w:pPr>
              <w:pStyle w:val="TableTextLeft"/>
              <w:spacing w:before="20" w:after="20"/>
              <w:rPr>
                <w:rFonts w:eastAsia="Arial"/>
                <w:b/>
              </w:rPr>
            </w:pPr>
            <w:r w:rsidRPr="004B2FF4">
              <w:rPr>
                <w:rFonts w:eastAsia="Arial"/>
                <w:b/>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42172D7B"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4</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0E389025"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4</w:t>
            </w:r>
          </w:p>
        </w:tc>
        <w:tc>
          <w:tcPr>
            <w:tcW w:w="1162" w:type="dxa"/>
            <w:tcBorders>
              <w:top w:val="single" w:sz="8" w:space="0" w:color="FFFFFF"/>
              <w:left w:val="single" w:sz="8" w:space="0" w:color="FFFFFF"/>
              <w:bottom w:val="single" w:sz="8" w:space="0" w:color="FFFFFF"/>
              <w:right w:val="nil"/>
            </w:tcBorders>
            <w:shd w:val="clear" w:color="auto" w:fill="E1E8F2"/>
          </w:tcPr>
          <w:p w14:paraId="2AFE815B"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2</w:t>
            </w:r>
          </w:p>
        </w:tc>
      </w:tr>
      <w:tr w:rsidR="004B2FF4" w14:paraId="194E5A83"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7C2642D" w14:textId="77777777" w:rsidR="004B2FF4" w:rsidRPr="004B2FF4" w:rsidRDefault="004B2FF4" w:rsidP="00E16DB5">
            <w:pPr>
              <w:pStyle w:val="TableTextLeft"/>
              <w:spacing w:before="20" w:after="20"/>
              <w:rPr>
                <w:rFonts w:eastAsia="Arial"/>
                <w:b/>
              </w:rPr>
            </w:pPr>
            <w:r w:rsidRPr="004B2FF4">
              <w:rPr>
                <w:rFonts w:eastAsia="Arial"/>
                <w:b/>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789E97F"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0CF4F3A"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3</w:t>
            </w:r>
          </w:p>
        </w:tc>
        <w:tc>
          <w:tcPr>
            <w:tcW w:w="1162" w:type="dxa"/>
            <w:tcBorders>
              <w:top w:val="single" w:sz="8" w:space="0" w:color="FFFFFF"/>
              <w:left w:val="single" w:sz="8" w:space="0" w:color="FFFFFF"/>
              <w:bottom w:val="single" w:sz="8" w:space="0" w:color="FFFFFF"/>
              <w:right w:val="nil"/>
            </w:tcBorders>
            <w:shd w:val="clear" w:color="auto" w:fill="E1E8F2"/>
          </w:tcPr>
          <w:p w14:paraId="3C1F56B6"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.91</w:t>
            </w:r>
          </w:p>
        </w:tc>
      </w:tr>
      <w:tr w:rsidR="004B2FF4" w14:paraId="55554104"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DF3179F" w14:textId="77777777" w:rsidR="004B2FF4" w:rsidRPr="004B2FF4" w:rsidRDefault="004B2FF4" w:rsidP="00E16DB5">
            <w:pPr>
              <w:pStyle w:val="TableTextLeft"/>
              <w:spacing w:before="20" w:after="20"/>
              <w:rPr>
                <w:rFonts w:eastAsia="Arial"/>
                <w:b/>
              </w:rPr>
            </w:pPr>
            <w:r w:rsidRPr="004B2FF4">
              <w:rPr>
                <w:rFonts w:eastAsia="Arial"/>
                <w:b/>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1DE2C45"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3551022"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5158C39D"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.91</w:t>
            </w:r>
          </w:p>
        </w:tc>
      </w:tr>
      <w:tr w:rsidR="004B2FF4" w14:paraId="4D4511F7"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2AC0E45" w14:textId="77777777" w:rsidR="004B2FF4" w:rsidRPr="004B2FF4" w:rsidRDefault="004B2FF4" w:rsidP="00E16DB5">
            <w:pPr>
              <w:pStyle w:val="TableTextLeft"/>
              <w:spacing w:before="20" w:after="20"/>
              <w:rPr>
                <w:rFonts w:eastAsia="Arial"/>
                <w:b/>
              </w:rPr>
            </w:pPr>
            <w:r w:rsidRPr="004B2FF4">
              <w:rPr>
                <w:rFonts w:eastAsia="Arial"/>
                <w:b/>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DAC4269"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47C8BB7"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2"/>
              </w:rPr>
              <w:t>9</w:t>
            </w:r>
            <w:r>
              <w:rPr>
                <w:rFonts w:eastAsia="Arial"/>
              </w:rPr>
              <w:t>2</w:t>
            </w:r>
          </w:p>
        </w:tc>
        <w:tc>
          <w:tcPr>
            <w:tcW w:w="1162" w:type="dxa"/>
            <w:tcBorders>
              <w:top w:val="single" w:sz="8" w:space="0" w:color="FFFFFF"/>
              <w:left w:val="single" w:sz="8" w:space="0" w:color="FFFFFF"/>
              <w:bottom w:val="single" w:sz="8" w:space="0" w:color="FFFFFF"/>
              <w:right w:val="nil"/>
            </w:tcBorders>
            <w:shd w:val="clear" w:color="auto" w:fill="E1E8F2"/>
          </w:tcPr>
          <w:p w14:paraId="2908AF98"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0</w:t>
            </w:r>
          </w:p>
        </w:tc>
      </w:tr>
      <w:tr w:rsidR="004B2FF4" w14:paraId="3C194076"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DCF0FF6" w14:textId="77777777" w:rsidR="004B2FF4" w:rsidRPr="004B2FF4" w:rsidRDefault="004B2FF4" w:rsidP="00E16DB5">
            <w:pPr>
              <w:pStyle w:val="TableTextLeft"/>
              <w:spacing w:before="20" w:after="20"/>
              <w:rPr>
                <w:rFonts w:eastAsia="Arial"/>
                <w:b/>
              </w:rPr>
            </w:pPr>
            <w:r w:rsidRPr="004B2FF4">
              <w:rPr>
                <w:rFonts w:eastAsia="Arial"/>
                <w:b/>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BA44B66"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.91</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8ED6BA3"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.91</w:t>
            </w:r>
          </w:p>
        </w:tc>
        <w:tc>
          <w:tcPr>
            <w:tcW w:w="1162" w:type="dxa"/>
            <w:tcBorders>
              <w:top w:val="single" w:sz="8" w:space="0" w:color="FFFFFF"/>
              <w:left w:val="single" w:sz="8" w:space="0" w:color="FFFFFF"/>
              <w:bottom w:val="single" w:sz="8" w:space="0" w:color="FFFFFF"/>
              <w:right w:val="nil"/>
            </w:tcBorders>
            <w:shd w:val="clear" w:color="auto" w:fill="E1E8F2"/>
          </w:tcPr>
          <w:p w14:paraId="37470F0D"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0</w:t>
            </w:r>
          </w:p>
        </w:tc>
      </w:tr>
      <w:tr w:rsidR="004B2FF4" w14:paraId="3414B032"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2FCAC76F" w14:textId="77777777" w:rsidR="004B2FF4" w:rsidRPr="004B2FF4" w:rsidRDefault="004B2FF4" w:rsidP="00E16DB5">
            <w:pPr>
              <w:pStyle w:val="TableTextLeft"/>
              <w:spacing w:before="20" w:after="20"/>
              <w:rPr>
                <w:rFonts w:eastAsia="Arial"/>
                <w:b/>
              </w:rPr>
            </w:pPr>
            <w:r w:rsidRPr="004B2FF4">
              <w:rPr>
                <w:rFonts w:eastAsia="Arial"/>
                <w:b/>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1151BBA1"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.91</w:t>
            </w:r>
          </w:p>
        </w:tc>
        <w:tc>
          <w:tcPr>
            <w:tcW w:w="1162" w:type="dxa"/>
            <w:tcBorders>
              <w:top w:val="single" w:sz="8" w:space="0" w:color="FFFFFF"/>
              <w:left w:val="single" w:sz="8" w:space="0" w:color="FFFFFF"/>
              <w:bottom w:val="nil"/>
              <w:right w:val="single" w:sz="8" w:space="0" w:color="FFFFFF"/>
            </w:tcBorders>
            <w:shd w:val="clear" w:color="auto" w:fill="F7E4DE"/>
          </w:tcPr>
          <w:p w14:paraId="0797BBD9"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0</w:t>
            </w:r>
          </w:p>
        </w:tc>
        <w:tc>
          <w:tcPr>
            <w:tcW w:w="1162" w:type="dxa"/>
            <w:tcBorders>
              <w:top w:val="single" w:sz="8" w:space="0" w:color="FFFFFF"/>
              <w:left w:val="single" w:sz="8" w:space="0" w:color="FFFFFF"/>
              <w:bottom w:val="nil"/>
              <w:right w:val="nil"/>
            </w:tcBorders>
            <w:shd w:val="clear" w:color="auto" w:fill="E1E8F2"/>
          </w:tcPr>
          <w:p w14:paraId="630E3BB0" w14:textId="77777777" w:rsidR="004B2FF4" w:rsidRDefault="004B2FF4" w:rsidP="00E16DB5">
            <w:pPr>
              <w:pStyle w:val="TableTextRight"/>
              <w:spacing w:before="20" w:after="20"/>
              <w:rPr>
                <w:rFonts w:eastAsia="Arial"/>
              </w:rPr>
            </w:pPr>
            <w:r>
              <w:rPr>
                <w:rFonts w:eastAsia="Arial"/>
                <w:spacing w:val="-1"/>
              </w:rPr>
              <w:t>0</w:t>
            </w:r>
            <w:r>
              <w:rPr>
                <w:rFonts w:eastAsia="Arial"/>
                <w:spacing w:val="-3"/>
              </w:rPr>
              <w:t>.</w:t>
            </w:r>
            <w:r>
              <w:rPr>
                <w:rFonts w:eastAsia="Arial"/>
                <w:spacing w:val="4"/>
              </w:rPr>
              <w:t>9</w:t>
            </w:r>
            <w:r>
              <w:rPr>
                <w:rFonts w:eastAsia="Arial"/>
              </w:rPr>
              <w:t>0</w:t>
            </w:r>
          </w:p>
        </w:tc>
      </w:tr>
    </w:tbl>
    <w:p w14:paraId="18B83F2A" w14:textId="77777777" w:rsidR="004B2FF4" w:rsidRPr="001266EC" w:rsidRDefault="004B2FF4" w:rsidP="00E16DB5">
      <w:pPr>
        <w:pStyle w:val="SingleParagraph"/>
        <w:rPr>
          <w:rFonts w:eastAsia="Arial"/>
          <w:sz w:val="16"/>
          <w:szCs w:val="16"/>
        </w:rPr>
      </w:pPr>
    </w:p>
    <w:tbl>
      <w:tblPr>
        <w:tblW w:w="0" w:type="auto"/>
        <w:tblInd w:w="117"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55A8ECDC"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6F5BEF4B" w14:textId="77777777" w:rsidR="004B2FF4" w:rsidRPr="004B2FF4" w:rsidRDefault="004B2FF4" w:rsidP="00E16DB5">
            <w:pPr>
              <w:pStyle w:val="TableColumnHeadingLeft"/>
              <w:spacing w:before="20" w:after="20"/>
              <w:rPr>
                <w:rFonts w:eastAsia="Arial"/>
              </w:rPr>
            </w:pPr>
            <w:r w:rsidRPr="004B2FF4">
              <w:rPr>
                <w:rFonts w:eastAsia="Arial"/>
              </w:rPr>
              <w:t>QLD</w:t>
            </w:r>
          </w:p>
        </w:tc>
        <w:tc>
          <w:tcPr>
            <w:tcW w:w="1162" w:type="dxa"/>
            <w:tcBorders>
              <w:top w:val="nil"/>
              <w:left w:val="single" w:sz="8" w:space="0" w:color="FFFFFF"/>
              <w:bottom w:val="single" w:sz="8" w:space="0" w:color="FFFFFF"/>
              <w:right w:val="single" w:sz="8" w:space="0" w:color="FFFFFF"/>
            </w:tcBorders>
            <w:shd w:val="clear" w:color="auto" w:fill="007C59"/>
          </w:tcPr>
          <w:p w14:paraId="34F80390"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29AD73C5"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7E3F18D7"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242F43D1"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C939E65" w14:textId="77777777" w:rsidR="004B2FF4" w:rsidRPr="004B2FF4" w:rsidRDefault="004B2FF4" w:rsidP="00E16DB5">
            <w:pPr>
              <w:pStyle w:val="TableTextLeft"/>
              <w:spacing w:before="20" w:after="20"/>
              <w:rPr>
                <w:rFonts w:eastAsia="Arial"/>
                <w:b/>
              </w:rPr>
            </w:pPr>
            <w:r w:rsidRPr="004B2FF4">
              <w:rPr>
                <w:rFonts w:eastAsia="Arial"/>
                <w:b/>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63066CD"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9E4A5B6"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nil"/>
            </w:tcBorders>
            <w:shd w:val="clear" w:color="auto" w:fill="E1E8F2"/>
          </w:tcPr>
          <w:p w14:paraId="73B5E56C" w14:textId="77777777" w:rsidR="004B2FF4" w:rsidRPr="004B2FF4" w:rsidRDefault="004B2FF4" w:rsidP="00E16DB5">
            <w:pPr>
              <w:pStyle w:val="TableTextRight"/>
              <w:spacing w:before="20" w:after="20"/>
              <w:rPr>
                <w:rFonts w:eastAsia="Arial"/>
              </w:rPr>
            </w:pPr>
            <w:r w:rsidRPr="004B2FF4">
              <w:rPr>
                <w:rFonts w:eastAsia="Arial"/>
              </w:rPr>
              <w:t>1.11</w:t>
            </w:r>
          </w:p>
        </w:tc>
      </w:tr>
      <w:tr w:rsidR="004B2FF4" w:rsidRPr="004B2FF4" w14:paraId="22337DCE"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4496BD6" w14:textId="77777777" w:rsidR="004B2FF4" w:rsidRPr="004B2FF4" w:rsidRDefault="004B2FF4" w:rsidP="00E16DB5">
            <w:pPr>
              <w:pStyle w:val="TableTextLeft"/>
              <w:spacing w:before="20" w:after="20"/>
              <w:rPr>
                <w:rFonts w:eastAsia="Arial"/>
                <w:b/>
              </w:rPr>
            </w:pPr>
            <w:r w:rsidRPr="004B2FF4">
              <w:rPr>
                <w:rFonts w:eastAsia="Arial"/>
                <w:b/>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4FBAD273"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D285A39"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nil"/>
            </w:tcBorders>
            <w:shd w:val="clear" w:color="auto" w:fill="E1E8F2"/>
          </w:tcPr>
          <w:p w14:paraId="201A0B62" w14:textId="77777777" w:rsidR="004B2FF4" w:rsidRPr="004B2FF4" w:rsidRDefault="004B2FF4" w:rsidP="00E16DB5">
            <w:pPr>
              <w:pStyle w:val="TableTextRight"/>
              <w:spacing w:before="20" w:after="20"/>
              <w:rPr>
                <w:rFonts w:eastAsia="Arial"/>
              </w:rPr>
            </w:pPr>
            <w:r w:rsidRPr="004B2FF4">
              <w:rPr>
                <w:rFonts w:eastAsia="Arial"/>
              </w:rPr>
              <w:t>1.10</w:t>
            </w:r>
          </w:p>
        </w:tc>
      </w:tr>
      <w:tr w:rsidR="004B2FF4" w:rsidRPr="004B2FF4" w14:paraId="245924E8"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C6DFB17" w14:textId="77777777" w:rsidR="004B2FF4" w:rsidRPr="004B2FF4" w:rsidRDefault="004B2FF4" w:rsidP="00E16DB5">
            <w:pPr>
              <w:pStyle w:val="TableTextLeft"/>
              <w:spacing w:before="20" w:after="20"/>
              <w:rPr>
                <w:rFonts w:eastAsia="Arial"/>
                <w:b/>
              </w:rPr>
            </w:pPr>
            <w:r w:rsidRPr="004B2FF4">
              <w:rPr>
                <w:rFonts w:eastAsia="Arial"/>
                <w:b/>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2465E20" w14:textId="77777777" w:rsidR="004B2FF4" w:rsidRPr="004B2FF4" w:rsidRDefault="004B2FF4" w:rsidP="00E16DB5">
            <w:pPr>
              <w:pStyle w:val="TableTextRight"/>
              <w:spacing w:before="20" w:after="20"/>
              <w:rPr>
                <w:rFonts w:eastAsia="Arial"/>
              </w:rPr>
            </w:pPr>
            <w:r w:rsidRPr="004B2FF4">
              <w:rPr>
                <w:rFonts w:eastAsia="Arial"/>
              </w:rPr>
              <w:t>1.14</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095B104" w14:textId="77777777" w:rsidR="004B2FF4" w:rsidRPr="004B2FF4" w:rsidRDefault="004B2FF4" w:rsidP="00E16DB5">
            <w:pPr>
              <w:pStyle w:val="TableTextRight"/>
              <w:spacing w:before="20" w:after="20"/>
              <w:rPr>
                <w:rFonts w:eastAsia="Arial"/>
              </w:rPr>
            </w:pPr>
            <w:r w:rsidRPr="004B2FF4">
              <w:rPr>
                <w:rFonts w:eastAsia="Arial"/>
              </w:rPr>
              <w:t>1.14</w:t>
            </w:r>
          </w:p>
        </w:tc>
        <w:tc>
          <w:tcPr>
            <w:tcW w:w="1162" w:type="dxa"/>
            <w:tcBorders>
              <w:top w:val="single" w:sz="8" w:space="0" w:color="FFFFFF"/>
              <w:left w:val="single" w:sz="8" w:space="0" w:color="FFFFFF"/>
              <w:bottom w:val="single" w:sz="8" w:space="0" w:color="FFFFFF"/>
              <w:right w:val="nil"/>
            </w:tcBorders>
            <w:shd w:val="clear" w:color="auto" w:fill="E1E8F2"/>
          </w:tcPr>
          <w:p w14:paraId="79B4B38D" w14:textId="77777777" w:rsidR="004B2FF4" w:rsidRPr="004B2FF4" w:rsidRDefault="004B2FF4" w:rsidP="00E16DB5">
            <w:pPr>
              <w:pStyle w:val="TableTextRight"/>
              <w:spacing w:before="20" w:after="20"/>
              <w:rPr>
                <w:rFonts w:eastAsia="Arial"/>
              </w:rPr>
            </w:pPr>
            <w:r w:rsidRPr="004B2FF4">
              <w:rPr>
                <w:rFonts w:eastAsia="Arial"/>
              </w:rPr>
              <w:t>1.10</w:t>
            </w:r>
          </w:p>
        </w:tc>
      </w:tr>
      <w:tr w:rsidR="004B2FF4" w:rsidRPr="004B2FF4" w14:paraId="59E62550"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0AE9955A" w14:textId="77777777" w:rsidR="004B2FF4" w:rsidRPr="004B2FF4" w:rsidRDefault="004B2FF4" w:rsidP="00E16DB5">
            <w:pPr>
              <w:pStyle w:val="TableTextLeft"/>
              <w:spacing w:before="20" w:after="20"/>
              <w:rPr>
                <w:rFonts w:eastAsia="Arial"/>
                <w:b/>
              </w:rPr>
            </w:pPr>
            <w:r w:rsidRPr="004B2FF4">
              <w:rPr>
                <w:rFonts w:eastAsia="Arial"/>
                <w:b/>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E135298" w14:textId="77777777" w:rsidR="004B2FF4" w:rsidRPr="004B2FF4" w:rsidRDefault="004B2FF4" w:rsidP="00E16DB5">
            <w:pPr>
              <w:pStyle w:val="TableTextRight"/>
              <w:spacing w:before="20" w:after="20"/>
              <w:rPr>
                <w:rFonts w:eastAsia="Arial"/>
              </w:rPr>
            </w:pPr>
            <w:r w:rsidRPr="004B2FF4">
              <w:rPr>
                <w:rFonts w:eastAsia="Arial"/>
              </w:rPr>
              <w:t>1.15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06547434" w14:textId="77777777" w:rsidR="004B2FF4" w:rsidRPr="004B2FF4" w:rsidRDefault="004B2FF4" w:rsidP="00E16DB5">
            <w:pPr>
              <w:pStyle w:val="TableTextRight"/>
              <w:spacing w:before="20" w:after="20"/>
              <w:rPr>
                <w:rFonts w:eastAsia="Arial"/>
              </w:rPr>
            </w:pPr>
            <w:r w:rsidRPr="004B2FF4">
              <w:rPr>
                <w:rFonts w:eastAsia="Arial"/>
              </w:rPr>
              <w:t>1.15</w:t>
            </w:r>
          </w:p>
        </w:tc>
        <w:tc>
          <w:tcPr>
            <w:tcW w:w="1162" w:type="dxa"/>
            <w:tcBorders>
              <w:top w:val="single" w:sz="8" w:space="0" w:color="FFFFFF"/>
              <w:left w:val="single" w:sz="8" w:space="0" w:color="FFFFFF"/>
              <w:bottom w:val="single" w:sz="8" w:space="0" w:color="FFFFFF"/>
              <w:right w:val="nil"/>
            </w:tcBorders>
            <w:shd w:val="clear" w:color="auto" w:fill="E1E8F2"/>
          </w:tcPr>
          <w:p w14:paraId="70FAA057" w14:textId="77777777" w:rsidR="004B2FF4" w:rsidRPr="004B2FF4" w:rsidRDefault="004B2FF4" w:rsidP="00E16DB5">
            <w:pPr>
              <w:pStyle w:val="TableTextRight"/>
              <w:spacing w:before="20" w:after="20"/>
              <w:rPr>
                <w:rFonts w:eastAsia="Arial"/>
              </w:rPr>
            </w:pPr>
            <w:r w:rsidRPr="004B2FF4">
              <w:rPr>
                <w:rFonts w:eastAsia="Arial"/>
              </w:rPr>
              <w:t>1.10</w:t>
            </w:r>
          </w:p>
        </w:tc>
      </w:tr>
      <w:tr w:rsidR="004B2FF4" w:rsidRPr="004B2FF4" w14:paraId="267FD6A0"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D3243B4" w14:textId="77777777" w:rsidR="004B2FF4" w:rsidRPr="004B2FF4" w:rsidRDefault="004B2FF4" w:rsidP="00E16DB5">
            <w:pPr>
              <w:pStyle w:val="TableTextLeft"/>
              <w:spacing w:before="20" w:after="20"/>
              <w:rPr>
                <w:rFonts w:eastAsia="Arial"/>
                <w:b/>
              </w:rPr>
            </w:pPr>
            <w:r w:rsidRPr="004B2FF4">
              <w:rPr>
                <w:rFonts w:eastAsia="Arial"/>
                <w:b/>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C5C41D5" w14:textId="77777777" w:rsidR="004B2FF4" w:rsidRPr="004B2FF4" w:rsidRDefault="004B2FF4" w:rsidP="00E16DB5">
            <w:pPr>
              <w:pStyle w:val="TableTextRight"/>
              <w:spacing w:before="20" w:after="20"/>
              <w:rPr>
                <w:rFonts w:eastAsia="Arial"/>
              </w:rPr>
            </w:pPr>
            <w:r w:rsidRPr="004B2FF4">
              <w:rPr>
                <w:rFonts w:eastAsia="Arial"/>
              </w:rPr>
              <w:t>1.14</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A56625E" w14:textId="77777777" w:rsidR="004B2FF4" w:rsidRPr="004B2FF4" w:rsidRDefault="004B2FF4" w:rsidP="00E16DB5">
            <w:pPr>
              <w:pStyle w:val="TableTextRight"/>
              <w:spacing w:before="20" w:after="20"/>
              <w:rPr>
                <w:rFonts w:eastAsia="Arial"/>
              </w:rPr>
            </w:pPr>
            <w:r w:rsidRPr="004B2FF4">
              <w:rPr>
                <w:rFonts w:eastAsia="Arial"/>
              </w:rPr>
              <w:t>1.13</w:t>
            </w:r>
          </w:p>
        </w:tc>
        <w:tc>
          <w:tcPr>
            <w:tcW w:w="1162" w:type="dxa"/>
            <w:tcBorders>
              <w:top w:val="single" w:sz="8" w:space="0" w:color="FFFFFF"/>
              <w:left w:val="single" w:sz="8" w:space="0" w:color="FFFFFF"/>
              <w:bottom w:val="single" w:sz="8" w:space="0" w:color="FFFFFF"/>
              <w:right w:val="nil"/>
            </w:tcBorders>
            <w:shd w:val="clear" w:color="auto" w:fill="E1E8F2"/>
          </w:tcPr>
          <w:p w14:paraId="1F088FC2" w14:textId="77777777" w:rsidR="004B2FF4" w:rsidRPr="004B2FF4" w:rsidRDefault="004B2FF4" w:rsidP="00E16DB5">
            <w:pPr>
              <w:pStyle w:val="TableTextRight"/>
              <w:spacing w:before="20" w:after="20"/>
              <w:rPr>
                <w:rFonts w:eastAsia="Arial"/>
              </w:rPr>
            </w:pPr>
            <w:r w:rsidRPr="004B2FF4">
              <w:rPr>
                <w:rFonts w:eastAsia="Arial"/>
              </w:rPr>
              <w:t>1.07</w:t>
            </w:r>
          </w:p>
        </w:tc>
      </w:tr>
      <w:tr w:rsidR="004B2FF4" w:rsidRPr="004B2FF4" w14:paraId="7574DDD8"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159871A" w14:textId="77777777" w:rsidR="004B2FF4" w:rsidRPr="004B2FF4" w:rsidRDefault="004B2FF4" w:rsidP="00E16DB5">
            <w:pPr>
              <w:pStyle w:val="TableTextLeft"/>
              <w:spacing w:before="20" w:after="20"/>
              <w:rPr>
                <w:rFonts w:eastAsia="Arial"/>
                <w:b/>
              </w:rPr>
            </w:pPr>
            <w:r w:rsidRPr="004B2FF4">
              <w:rPr>
                <w:rFonts w:eastAsia="Arial"/>
                <w:b/>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2A0B528"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A5288A9"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nil"/>
            </w:tcBorders>
            <w:shd w:val="clear" w:color="auto" w:fill="E1E8F2"/>
          </w:tcPr>
          <w:p w14:paraId="2B51A006" w14:textId="77777777" w:rsidR="004B2FF4" w:rsidRPr="004B2FF4" w:rsidRDefault="004B2FF4" w:rsidP="00E16DB5">
            <w:pPr>
              <w:pStyle w:val="TableTextRight"/>
              <w:spacing w:before="20" w:after="20"/>
              <w:rPr>
                <w:rFonts w:eastAsia="Arial"/>
              </w:rPr>
            </w:pPr>
            <w:r w:rsidRPr="004B2FF4">
              <w:rPr>
                <w:rFonts w:eastAsia="Arial"/>
              </w:rPr>
              <w:t>1.05</w:t>
            </w:r>
          </w:p>
        </w:tc>
      </w:tr>
      <w:tr w:rsidR="004B2FF4" w:rsidRPr="004B2FF4" w14:paraId="472FC1A0"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F6F953E" w14:textId="77777777" w:rsidR="004B2FF4" w:rsidRPr="004B2FF4" w:rsidRDefault="004B2FF4" w:rsidP="00E16DB5">
            <w:pPr>
              <w:pStyle w:val="TableTextLeft"/>
              <w:spacing w:before="20" w:after="20"/>
              <w:rPr>
                <w:rFonts w:eastAsia="Arial"/>
                <w:b/>
              </w:rPr>
            </w:pPr>
            <w:r w:rsidRPr="004B2FF4">
              <w:rPr>
                <w:rFonts w:eastAsia="Arial"/>
                <w:b/>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6BD230C"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0F64DB0" w14:textId="77777777" w:rsidR="004B2FF4" w:rsidRPr="004B2FF4" w:rsidRDefault="004B2FF4" w:rsidP="00E16DB5">
            <w:pPr>
              <w:pStyle w:val="TableTextRight"/>
              <w:spacing w:before="20" w:after="20"/>
              <w:rPr>
                <w:rFonts w:eastAsia="Arial"/>
              </w:rPr>
            </w:pPr>
            <w:r w:rsidRPr="004B2FF4">
              <w:rPr>
                <w:rFonts w:eastAsia="Arial"/>
              </w:rPr>
              <w:t>1.12</w:t>
            </w:r>
          </w:p>
        </w:tc>
        <w:tc>
          <w:tcPr>
            <w:tcW w:w="1162" w:type="dxa"/>
            <w:tcBorders>
              <w:top w:val="single" w:sz="8" w:space="0" w:color="FFFFFF"/>
              <w:left w:val="single" w:sz="8" w:space="0" w:color="FFFFFF"/>
              <w:bottom w:val="single" w:sz="8" w:space="0" w:color="FFFFFF"/>
              <w:right w:val="nil"/>
            </w:tcBorders>
            <w:shd w:val="clear" w:color="auto" w:fill="E1E8F2"/>
          </w:tcPr>
          <w:p w14:paraId="340F39F8" w14:textId="77777777" w:rsidR="004B2FF4" w:rsidRPr="004B2FF4" w:rsidRDefault="004B2FF4" w:rsidP="00E16DB5">
            <w:pPr>
              <w:pStyle w:val="TableTextRight"/>
              <w:spacing w:before="20" w:after="20"/>
              <w:rPr>
                <w:rFonts w:eastAsia="Arial"/>
              </w:rPr>
            </w:pPr>
            <w:r w:rsidRPr="004B2FF4">
              <w:rPr>
                <w:rFonts w:eastAsia="Arial"/>
              </w:rPr>
              <w:t>1.03</w:t>
            </w:r>
          </w:p>
        </w:tc>
      </w:tr>
      <w:tr w:rsidR="004B2FF4" w:rsidRPr="004B2FF4" w14:paraId="0021FF6B"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0E23EB7F" w14:textId="77777777" w:rsidR="004B2FF4" w:rsidRPr="004B2FF4" w:rsidRDefault="004B2FF4" w:rsidP="00E16DB5">
            <w:pPr>
              <w:pStyle w:val="TableTextLeft"/>
              <w:spacing w:before="20" w:after="20"/>
              <w:rPr>
                <w:rFonts w:eastAsia="Arial"/>
                <w:b/>
              </w:rPr>
            </w:pPr>
            <w:r w:rsidRPr="004B2FF4">
              <w:rPr>
                <w:rFonts w:eastAsia="Arial"/>
                <w:b/>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130E2ED9" w14:textId="77777777" w:rsidR="004B2FF4" w:rsidRPr="004B2FF4" w:rsidRDefault="004B2FF4" w:rsidP="00E16DB5">
            <w:pPr>
              <w:pStyle w:val="TableTextRight"/>
              <w:spacing w:before="20" w:after="20"/>
              <w:rPr>
                <w:rFonts w:eastAsia="Arial"/>
              </w:rPr>
            </w:pPr>
            <w:r w:rsidRPr="004B2FF4">
              <w:rPr>
                <w:rFonts w:eastAsia="Arial"/>
              </w:rPr>
              <w:t>1.11</w:t>
            </w:r>
          </w:p>
        </w:tc>
        <w:tc>
          <w:tcPr>
            <w:tcW w:w="1162" w:type="dxa"/>
            <w:tcBorders>
              <w:top w:val="single" w:sz="8" w:space="0" w:color="FFFFFF"/>
              <w:left w:val="single" w:sz="8" w:space="0" w:color="FFFFFF"/>
              <w:bottom w:val="nil"/>
              <w:right w:val="single" w:sz="8" w:space="0" w:color="FFFFFF"/>
            </w:tcBorders>
            <w:shd w:val="clear" w:color="auto" w:fill="F7E4DE"/>
          </w:tcPr>
          <w:p w14:paraId="2227E7CB" w14:textId="77777777" w:rsidR="004B2FF4" w:rsidRPr="004B2FF4" w:rsidRDefault="004B2FF4" w:rsidP="00E16DB5">
            <w:pPr>
              <w:pStyle w:val="TableTextRight"/>
              <w:spacing w:before="20" w:after="20"/>
              <w:rPr>
                <w:rFonts w:eastAsia="Arial"/>
              </w:rPr>
            </w:pPr>
            <w:r w:rsidRPr="004B2FF4">
              <w:rPr>
                <w:rFonts w:eastAsia="Arial"/>
              </w:rPr>
              <w:t>1.11</w:t>
            </w:r>
          </w:p>
        </w:tc>
        <w:tc>
          <w:tcPr>
            <w:tcW w:w="1162" w:type="dxa"/>
            <w:tcBorders>
              <w:top w:val="single" w:sz="8" w:space="0" w:color="FFFFFF"/>
              <w:left w:val="single" w:sz="8" w:space="0" w:color="FFFFFF"/>
              <w:bottom w:val="nil"/>
              <w:right w:val="nil"/>
            </w:tcBorders>
            <w:shd w:val="clear" w:color="auto" w:fill="E1E8F2"/>
          </w:tcPr>
          <w:p w14:paraId="6FF4099F" w14:textId="77777777" w:rsidR="004B2FF4" w:rsidRPr="004B2FF4" w:rsidRDefault="004B2FF4" w:rsidP="00E16DB5">
            <w:pPr>
              <w:pStyle w:val="TableTextRight"/>
              <w:spacing w:before="20" w:after="20"/>
              <w:rPr>
                <w:rFonts w:eastAsia="Arial"/>
              </w:rPr>
            </w:pPr>
            <w:r w:rsidRPr="004B2FF4">
              <w:rPr>
                <w:rFonts w:eastAsia="Arial"/>
              </w:rPr>
              <w:t>1.01</w:t>
            </w:r>
          </w:p>
        </w:tc>
      </w:tr>
    </w:tbl>
    <w:p w14:paraId="33505981" w14:textId="77777777" w:rsidR="004B2FF4" w:rsidRPr="001266EC" w:rsidRDefault="004B2FF4" w:rsidP="00E16DB5">
      <w:pPr>
        <w:pStyle w:val="SingleParagraph"/>
        <w:rPr>
          <w:rFonts w:eastAsia="Arial"/>
          <w:sz w:val="16"/>
          <w:szCs w:val="16"/>
        </w:rPr>
      </w:pPr>
    </w:p>
    <w:tbl>
      <w:tblPr>
        <w:tblW w:w="0" w:type="auto"/>
        <w:tblInd w:w="117"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365B5AA1"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2C867518" w14:textId="77777777" w:rsidR="004B2FF4" w:rsidRPr="004B2FF4" w:rsidRDefault="004B2FF4" w:rsidP="00E16DB5">
            <w:pPr>
              <w:pStyle w:val="TableColumnHeadingLeft"/>
              <w:spacing w:before="20" w:after="20"/>
              <w:rPr>
                <w:rFonts w:eastAsia="Arial"/>
              </w:rPr>
            </w:pPr>
            <w:r w:rsidRPr="004B2FF4">
              <w:rPr>
                <w:rFonts w:eastAsia="Arial"/>
              </w:rPr>
              <w:t>WA</w:t>
            </w:r>
          </w:p>
        </w:tc>
        <w:tc>
          <w:tcPr>
            <w:tcW w:w="1162" w:type="dxa"/>
            <w:tcBorders>
              <w:top w:val="nil"/>
              <w:left w:val="single" w:sz="8" w:space="0" w:color="FFFFFF"/>
              <w:bottom w:val="single" w:sz="8" w:space="0" w:color="FFFFFF"/>
              <w:right w:val="single" w:sz="8" w:space="0" w:color="FFFFFF"/>
            </w:tcBorders>
            <w:shd w:val="clear" w:color="auto" w:fill="007C59"/>
          </w:tcPr>
          <w:p w14:paraId="3D46E9AB"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647F17B1"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7ABCC195"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42FB1C0B"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9B0A2BC" w14:textId="77777777" w:rsidR="004B2FF4" w:rsidRPr="004B2FF4" w:rsidRDefault="004B2FF4" w:rsidP="00E16DB5">
            <w:pPr>
              <w:pStyle w:val="TableTextLeft"/>
              <w:spacing w:before="20" w:after="20"/>
              <w:rPr>
                <w:rFonts w:eastAsia="Arial"/>
              </w:rPr>
            </w:pPr>
            <w:r w:rsidRPr="004B2FF4">
              <w:rPr>
                <w:rFonts w:eastAsia="Arial"/>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85FF4BE" w14:textId="77777777" w:rsidR="004B2FF4" w:rsidRPr="004B2FF4" w:rsidRDefault="004B2FF4" w:rsidP="00E16DB5">
            <w:pPr>
              <w:pStyle w:val="TableTextRight"/>
              <w:spacing w:before="20" w:after="20"/>
              <w:rPr>
                <w:rFonts w:eastAsia="Arial"/>
              </w:rPr>
            </w:pPr>
            <w:r w:rsidRPr="004B2FF4">
              <w:rPr>
                <w:rFonts w:eastAsia="Arial"/>
              </w:rPr>
              <w:t>0.59</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43CECD2" w14:textId="77777777" w:rsidR="004B2FF4" w:rsidRPr="004B2FF4" w:rsidRDefault="004B2FF4" w:rsidP="00E16DB5">
            <w:pPr>
              <w:pStyle w:val="TableTextRight"/>
              <w:spacing w:before="20" w:after="20"/>
              <w:rPr>
                <w:rFonts w:eastAsia="Arial"/>
              </w:rPr>
            </w:pPr>
            <w:r w:rsidRPr="004B2FF4">
              <w:rPr>
                <w:rFonts w:eastAsia="Arial"/>
              </w:rPr>
              <w:t>0.70</w:t>
            </w:r>
          </w:p>
        </w:tc>
        <w:tc>
          <w:tcPr>
            <w:tcW w:w="1162" w:type="dxa"/>
            <w:tcBorders>
              <w:top w:val="single" w:sz="8" w:space="0" w:color="FFFFFF"/>
              <w:left w:val="single" w:sz="8" w:space="0" w:color="FFFFFF"/>
              <w:bottom w:val="single" w:sz="8" w:space="0" w:color="FFFFFF"/>
              <w:right w:val="nil"/>
            </w:tcBorders>
            <w:shd w:val="clear" w:color="auto" w:fill="E1E8F2"/>
          </w:tcPr>
          <w:p w14:paraId="40561F49" w14:textId="77777777" w:rsidR="004B2FF4" w:rsidRPr="004B2FF4" w:rsidRDefault="004B2FF4" w:rsidP="00E16DB5">
            <w:pPr>
              <w:pStyle w:val="TableTextRight"/>
              <w:spacing w:before="20" w:after="20"/>
              <w:rPr>
                <w:rFonts w:eastAsia="Arial"/>
              </w:rPr>
            </w:pPr>
            <w:r w:rsidRPr="004B2FF4">
              <w:rPr>
                <w:rFonts w:eastAsia="Arial"/>
              </w:rPr>
              <w:t>0.63</w:t>
            </w:r>
          </w:p>
        </w:tc>
      </w:tr>
      <w:tr w:rsidR="004B2FF4" w:rsidRPr="004B2FF4" w14:paraId="1C6A1CD7"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66FBABF" w14:textId="77777777" w:rsidR="004B2FF4" w:rsidRPr="004B2FF4" w:rsidRDefault="004B2FF4" w:rsidP="00E16DB5">
            <w:pPr>
              <w:pStyle w:val="TableTextLeft"/>
              <w:spacing w:before="20" w:after="20"/>
              <w:rPr>
                <w:rFonts w:eastAsia="Arial"/>
              </w:rPr>
            </w:pPr>
            <w:r w:rsidRPr="004B2FF4">
              <w:rPr>
                <w:rFonts w:eastAsia="Arial"/>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75C08AD" w14:textId="77777777" w:rsidR="004B2FF4" w:rsidRPr="004B2FF4" w:rsidRDefault="004B2FF4" w:rsidP="00E16DB5">
            <w:pPr>
              <w:pStyle w:val="TableTextRight"/>
              <w:spacing w:before="20" w:after="20"/>
              <w:rPr>
                <w:rFonts w:eastAsia="Arial"/>
              </w:rPr>
            </w:pPr>
            <w:r w:rsidRPr="004B2FF4">
              <w:rPr>
                <w:rFonts w:eastAsia="Arial"/>
              </w:rPr>
              <w:t>0.62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0C5C624" w14:textId="77777777" w:rsidR="004B2FF4" w:rsidRPr="004B2FF4" w:rsidRDefault="004B2FF4" w:rsidP="00E16DB5">
            <w:pPr>
              <w:pStyle w:val="TableTextRight"/>
              <w:spacing w:before="20" w:after="20"/>
              <w:rPr>
                <w:rFonts w:eastAsia="Arial"/>
              </w:rPr>
            </w:pPr>
            <w:r w:rsidRPr="004B2FF4">
              <w:rPr>
                <w:rFonts w:eastAsia="Arial"/>
              </w:rPr>
              <w:t>0.70</w:t>
            </w:r>
          </w:p>
        </w:tc>
        <w:tc>
          <w:tcPr>
            <w:tcW w:w="1162" w:type="dxa"/>
            <w:tcBorders>
              <w:top w:val="single" w:sz="8" w:space="0" w:color="FFFFFF"/>
              <w:left w:val="single" w:sz="8" w:space="0" w:color="FFFFFF"/>
              <w:bottom w:val="single" w:sz="8" w:space="0" w:color="FFFFFF"/>
              <w:right w:val="nil"/>
            </w:tcBorders>
            <w:shd w:val="clear" w:color="auto" w:fill="E1E8F2"/>
          </w:tcPr>
          <w:p w14:paraId="5E4F1F21" w14:textId="77777777" w:rsidR="004B2FF4" w:rsidRPr="004B2FF4" w:rsidRDefault="004B2FF4" w:rsidP="00E16DB5">
            <w:pPr>
              <w:pStyle w:val="TableTextRight"/>
              <w:spacing w:before="20" w:after="20"/>
              <w:rPr>
                <w:rFonts w:eastAsia="Arial"/>
              </w:rPr>
            </w:pPr>
            <w:r w:rsidRPr="004B2FF4">
              <w:rPr>
                <w:rFonts w:eastAsia="Arial"/>
              </w:rPr>
              <w:t>0.69</w:t>
            </w:r>
          </w:p>
        </w:tc>
      </w:tr>
      <w:tr w:rsidR="004B2FF4" w:rsidRPr="004B2FF4" w14:paraId="593A3EC6"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DE13481" w14:textId="77777777" w:rsidR="004B2FF4" w:rsidRPr="004B2FF4" w:rsidRDefault="004B2FF4" w:rsidP="00E16DB5">
            <w:pPr>
              <w:pStyle w:val="TableTextLeft"/>
              <w:spacing w:before="20" w:after="20"/>
              <w:rPr>
                <w:rFonts w:eastAsia="Arial"/>
              </w:rPr>
            </w:pPr>
            <w:r w:rsidRPr="004B2FF4">
              <w:rPr>
                <w:rFonts w:eastAsia="Arial"/>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3A80EE2" w14:textId="77777777" w:rsidR="004B2FF4" w:rsidRPr="004B2FF4" w:rsidRDefault="004B2FF4" w:rsidP="00E16DB5">
            <w:pPr>
              <w:pStyle w:val="TableTextRight"/>
              <w:spacing w:before="20" w:after="20"/>
              <w:rPr>
                <w:rFonts w:eastAsia="Arial"/>
              </w:rPr>
            </w:pPr>
            <w:r w:rsidRPr="004B2FF4">
              <w:rPr>
                <w:rFonts w:eastAsia="Arial"/>
              </w:rPr>
              <w:t>0.63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14FBBA8" w14:textId="77777777" w:rsidR="004B2FF4" w:rsidRPr="004B2FF4" w:rsidRDefault="004B2FF4" w:rsidP="00E16DB5">
            <w:pPr>
              <w:pStyle w:val="TableTextRight"/>
              <w:spacing w:before="20" w:after="20"/>
              <w:rPr>
                <w:rFonts w:eastAsia="Arial"/>
              </w:rPr>
            </w:pPr>
            <w:r w:rsidRPr="004B2FF4">
              <w:rPr>
                <w:rFonts w:eastAsia="Arial"/>
              </w:rPr>
              <w:t>0.70</w:t>
            </w:r>
          </w:p>
        </w:tc>
        <w:tc>
          <w:tcPr>
            <w:tcW w:w="1162" w:type="dxa"/>
            <w:tcBorders>
              <w:top w:val="single" w:sz="8" w:space="0" w:color="FFFFFF"/>
              <w:left w:val="single" w:sz="8" w:space="0" w:color="FFFFFF"/>
              <w:bottom w:val="single" w:sz="8" w:space="0" w:color="FFFFFF"/>
              <w:right w:val="nil"/>
            </w:tcBorders>
            <w:shd w:val="clear" w:color="auto" w:fill="E1E8F2"/>
          </w:tcPr>
          <w:p w14:paraId="7ADF07C6" w14:textId="77777777" w:rsidR="004B2FF4" w:rsidRPr="004B2FF4" w:rsidRDefault="004B2FF4" w:rsidP="00E16DB5">
            <w:pPr>
              <w:pStyle w:val="TableTextRight"/>
              <w:spacing w:before="20" w:after="20"/>
              <w:rPr>
                <w:rFonts w:eastAsia="Arial"/>
              </w:rPr>
            </w:pPr>
            <w:r w:rsidRPr="004B2FF4">
              <w:rPr>
                <w:rFonts w:eastAsia="Arial"/>
              </w:rPr>
              <w:t>0.73</w:t>
            </w:r>
          </w:p>
        </w:tc>
      </w:tr>
      <w:tr w:rsidR="004B2FF4" w:rsidRPr="004B2FF4" w14:paraId="3339774F"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A8717E9" w14:textId="77777777" w:rsidR="004B2FF4" w:rsidRPr="004B2FF4" w:rsidRDefault="004B2FF4" w:rsidP="00E16DB5">
            <w:pPr>
              <w:pStyle w:val="TableTextLeft"/>
              <w:spacing w:before="20" w:after="20"/>
              <w:rPr>
                <w:rFonts w:eastAsia="Arial"/>
              </w:rPr>
            </w:pPr>
            <w:r w:rsidRPr="004B2FF4">
              <w:rPr>
                <w:rFonts w:eastAsia="Arial"/>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BAD014A" w14:textId="77777777" w:rsidR="004B2FF4" w:rsidRPr="004B2FF4" w:rsidRDefault="004B2FF4" w:rsidP="00E16DB5">
            <w:pPr>
              <w:pStyle w:val="TableTextRight"/>
              <w:spacing w:before="20" w:after="20"/>
              <w:rPr>
                <w:rFonts w:eastAsia="Arial"/>
              </w:rPr>
            </w:pPr>
            <w:r w:rsidRPr="004B2FF4">
              <w:rPr>
                <w:rFonts w:eastAsia="Arial"/>
              </w:rPr>
              <w:t>0.66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7173DD6" w14:textId="77777777" w:rsidR="004B2FF4" w:rsidRPr="004B2FF4" w:rsidRDefault="004B2FF4" w:rsidP="00E16DB5">
            <w:pPr>
              <w:pStyle w:val="TableTextRight"/>
              <w:spacing w:before="20" w:after="20"/>
              <w:rPr>
                <w:rFonts w:eastAsia="Arial"/>
              </w:rPr>
            </w:pPr>
            <w:r w:rsidRPr="004B2FF4">
              <w:rPr>
                <w:rFonts w:eastAsia="Arial"/>
              </w:rPr>
              <w:t>0.71</w:t>
            </w:r>
          </w:p>
        </w:tc>
        <w:tc>
          <w:tcPr>
            <w:tcW w:w="1162" w:type="dxa"/>
            <w:tcBorders>
              <w:top w:val="single" w:sz="8" w:space="0" w:color="FFFFFF"/>
              <w:left w:val="single" w:sz="8" w:space="0" w:color="FFFFFF"/>
              <w:bottom w:val="single" w:sz="8" w:space="0" w:color="FFFFFF"/>
              <w:right w:val="nil"/>
            </w:tcBorders>
            <w:shd w:val="clear" w:color="auto" w:fill="E1E8F2"/>
          </w:tcPr>
          <w:p w14:paraId="31AC1F4C" w14:textId="77777777" w:rsidR="004B2FF4" w:rsidRPr="004B2FF4" w:rsidRDefault="004B2FF4" w:rsidP="00E16DB5">
            <w:pPr>
              <w:pStyle w:val="TableTextRight"/>
              <w:spacing w:before="20" w:after="20"/>
              <w:rPr>
                <w:rFonts w:eastAsia="Arial"/>
              </w:rPr>
            </w:pPr>
            <w:r w:rsidRPr="004B2FF4">
              <w:rPr>
                <w:rFonts w:eastAsia="Arial"/>
              </w:rPr>
              <w:t>0.78</w:t>
            </w:r>
          </w:p>
        </w:tc>
      </w:tr>
      <w:tr w:rsidR="004B2FF4" w:rsidRPr="004B2FF4" w14:paraId="045A70F6"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EA2DD3A" w14:textId="77777777" w:rsidR="004B2FF4" w:rsidRPr="004B2FF4" w:rsidRDefault="004B2FF4" w:rsidP="00E16DB5">
            <w:pPr>
              <w:pStyle w:val="TableTextLeft"/>
              <w:spacing w:before="20" w:after="20"/>
              <w:rPr>
                <w:rFonts w:eastAsia="Arial"/>
              </w:rPr>
            </w:pPr>
            <w:r w:rsidRPr="004B2FF4">
              <w:rPr>
                <w:rFonts w:eastAsia="Arial"/>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90DD782" w14:textId="77777777" w:rsidR="004B2FF4" w:rsidRPr="004B2FF4" w:rsidRDefault="004B2FF4" w:rsidP="00E16DB5">
            <w:pPr>
              <w:pStyle w:val="TableTextRight"/>
              <w:spacing w:before="20" w:after="20"/>
              <w:rPr>
                <w:rFonts w:eastAsia="Arial"/>
              </w:rPr>
            </w:pPr>
            <w:r w:rsidRPr="004B2FF4">
              <w:rPr>
                <w:rFonts w:eastAsia="Arial"/>
              </w:rPr>
              <w:t>0.70</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3115D1B" w14:textId="77777777" w:rsidR="004B2FF4" w:rsidRPr="004B2FF4" w:rsidRDefault="004B2FF4" w:rsidP="00E16DB5">
            <w:pPr>
              <w:pStyle w:val="TableTextRight"/>
              <w:spacing w:before="20" w:after="20"/>
              <w:rPr>
                <w:rFonts w:eastAsia="Arial"/>
              </w:rPr>
            </w:pPr>
            <w:r w:rsidRPr="004B2FF4">
              <w:rPr>
                <w:rFonts w:eastAsia="Arial"/>
              </w:rPr>
              <w:t>0.75</w:t>
            </w:r>
          </w:p>
        </w:tc>
        <w:tc>
          <w:tcPr>
            <w:tcW w:w="1162" w:type="dxa"/>
            <w:tcBorders>
              <w:top w:val="single" w:sz="8" w:space="0" w:color="FFFFFF"/>
              <w:left w:val="single" w:sz="8" w:space="0" w:color="FFFFFF"/>
              <w:bottom w:val="single" w:sz="8" w:space="0" w:color="FFFFFF"/>
              <w:right w:val="nil"/>
            </w:tcBorders>
            <w:shd w:val="clear" w:color="auto" w:fill="E1E8F2"/>
          </w:tcPr>
          <w:p w14:paraId="7C2DCE90" w14:textId="77777777" w:rsidR="004B2FF4" w:rsidRPr="004B2FF4" w:rsidRDefault="004B2FF4" w:rsidP="00E16DB5">
            <w:pPr>
              <w:pStyle w:val="TableTextRight"/>
              <w:spacing w:before="20" w:after="20"/>
              <w:rPr>
                <w:rFonts w:eastAsia="Arial"/>
              </w:rPr>
            </w:pPr>
            <w:r w:rsidRPr="004B2FF4">
              <w:rPr>
                <w:rFonts w:eastAsia="Arial"/>
              </w:rPr>
              <w:t>0.82</w:t>
            </w:r>
          </w:p>
        </w:tc>
      </w:tr>
      <w:tr w:rsidR="004B2FF4" w:rsidRPr="004B2FF4" w14:paraId="0DFCD289"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CAC5095" w14:textId="77777777" w:rsidR="004B2FF4" w:rsidRPr="004B2FF4" w:rsidRDefault="004B2FF4" w:rsidP="00E16DB5">
            <w:pPr>
              <w:pStyle w:val="TableTextLeft"/>
              <w:spacing w:before="20" w:after="20"/>
              <w:rPr>
                <w:rFonts w:eastAsia="Arial"/>
              </w:rPr>
            </w:pPr>
            <w:r w:rsidRPr="004B2FF4">
              <w:rPr>
                <w:rFonts w:eastAsia="Arial"/>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99C14FC" w14:textId="77777777" w:rsidR="004B2FF4" w:rsidRPr="004B2FF4" w:rsidRDefault="004B2FF4" w:rsidP="00E16DB5">
            <w:pPr>
              <w:pStyle w:val="TableTextRight"/>
              <w:spacing w:before="20" w:after="20"/>
              <w:rPr>
                <w:rFonts w:eastAsia="Arial"/>
              </w:rPr>
            </w:pPr>
            <w:r w:rsidRPr="004B2FF4">
              <w:rPr>
                <w:rFonts w:eastAsia="Arial"/>
              </w:rPr>
              <w:t>0.73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3DDCB83" w14:textId="77777777" w:rsidR="004B2FF4" w:rsidRPr="004B2FF4" w:rsidRDefault="004B2FF4" w:rsidP="00E16DB5">
            <w:pPr>
              <w:pStyle w:val="TableTextRight"/>
              <w:spacing w:before="20" w:after="20"/>
              <w:rPr>
                <w:rFonts w:eastAsia="Arial"/>
              </w:rPr>
            </w:pPr>
            <w:r w:rsidRPr="004B2FF4">
              <w:rPr>
                <w:rFonts w:eastAsia="Arial"/>
              </w:rPr>
              <w:t>0.79</w:t>
            </w:r>
          </w:p>
        </w:tc>
        <w:tc>
          <w:tcPr>
            <w:tcW w:w="1162" w:type="dxa"/>
            <w:tcBorders>
              <w:top w:val="single" w:sz="8" w:space="0" w:color="FFFFFF"/>
              <w:left w:val="single" w:sz="8" w:space="0" w:color="FFFFFF"/>
              <w:bottom w:val="single" w:sz="8" w:space="0" w:color="FFFFFF"/>
              <w:right w:val="nil"/>
            </w:tcBorders>
            <w:shd w:val="clear" w:color="auto" w:fill="E1E8F2"/>
          </w:tcPr>
          <w:p w14:paraId="3ED50A66" w14:textId="77777777" w:rsidR="004B2FF4" w:rsidRPr="004B2FF4" w:rsidRDefault="004B2FF4" w:rsidP="00E16DB5">
            <w:pPr>
              <w:pStyle w:val="TableTextRight"/>
              <w:spacing w:before="20" w:after="20"/>
              <w:rPr>
                <w:rFonts w:eastAsia="Arial"/>
              </w:rPr>
            </w:pPr>
            <w:r w:rsidRPr="004B2FF4">
              <w:rPr>
                <w:rFonts w:eastAsia="Arial"/>
              </w:rPr>
              <w:t>0.85</w:t>
            </w:r>
          </w:p>
        </w:tc>
      </w:tr>
      <w:tr w:rsidR="004B2FF4" w:rsidRPr="004B2FF4" w14:paraId="624FFA0E"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7257F54" w14:textId="77777777" w:rsidR="004B2FF4" w:rsidRPr="004B2FF4" w:rsidRDefault="004B2FF4" w:rsidP="00E16DB5">
            <w:pPr>
              <w:pStyle w:val="TableTextLeft"/>
              <w:spacing w:before="20" w:after="20"/>
              <w:rPr>
                <w:rFonts w:eastAsia="Arial"/>
              </w:rPr>
            </w:pPr>
            <w:r w:rsidRPr="004B2FF4">
              <w:rPr>
                <w:rFonts w:eastAsia="Arial"/>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4927DC7" w14:textId="77777777" w:rsidR="004B2FF4" w:rsidRPr="004B2FF4" w:rsidRDefault="004B2FF4" w:rsidP="00E16DB5">
            <w:pPr>
              <w:pStyle w:val="TableTextRight"/>
              <w:spacing w:before="20" w:after="20"/>
              <w:rPr>
                <w:rFonts w:eastAsia="Arial"/>
              </w:rPr>
            </w:pPr>
            <w:r w:rsidRPr="004B2FF4">
              <w:rPr>
                <w:rFonts w:eastAsia="Arial"/>
              </w:rPr>
              <w:t>0.75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2F000F9" w14:textId="77777777" w:rsidR="004B2FF4" w:rsidRPr="004B2FF4" w:rsidRDefault="004B2FF4" w:rsidP="00E16DB5">
            <w:pPr>
              <w:pStyle w:val="TableTextRight"/>
              <w:spacing w:before="20" w:after="20"/>
              <w:rPr>
                <w:rFonts w:eastAsia="Arial"/>
              </w:rPr>
            </w:pPr>
            <w:r w:rsidRPr="004B2FF4">
              <w:rPr>
                <w:rFonts w:eastAsia="Arial"/>
              </w:rPr>
              <w:t>0.81</w:t>
            </w:r>
          </w:p>
        </w:tc>
        <w:tc>
          <w:tcPr>
            <w:tcW w:w="1162" w:type="dxa"/>
            <w:tcBorders>
              <w:top w:val="single" w:sz="8" w:space="0" w:color="FFFFFF"/>
              <w:left w:val="single" w:sz="8" w:space="0" w:color="FFFFFF"/>
              <w:bottom w:val="single" w:sz="8" w:space="0" w:color="FFFFFF"/>
              <w:right w:val="nil"/>
            </w:tcBorders>
            <w:shd w:val="clear" w:color="auto" w:fill="E1E8F2"/>
          </w:tcPr>
          <w:p w14:paraId="7C624DCF" w14:textId="77777777" w:rsidR="004B2FF4" w:rsidRPr="004B2FF4" w:rsidRDefault="004B2FF4" w:rsidP="00E16DB5">
            <w:pPr>
              <w:pStyle w:val="TableTextRight"/>
              <w:spacing w:before="20" w:after="20"/>
              <w:rPr>
                <w:rFonts w:eastAsia="Arial"/>
              </w:rPr>
            </w:pPr>
            <w:r w:rsidRPr="004B2FF4">
              <w:rPr>
                <w:rFonts w:eastAsia="Arial"/>
              </w:rPr>
              <w:t>0.88</w:t>
            </w:r>
          </w:p>
        </w:tc>
      </w:tr>
      <w:tr w:rsidR="004B2FF4" w:rsidRPr="004B2FF4" w14:paraId="50B8AD1A"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3138CEAB" w14:textId="77777777" w:rsidR="004B2FF4" w:rsidRPr="004B2FF4" w:rsidRDefault="004B2FF4" w:rsidP="00E16DB5">
            <w:pPr>
              <w:pStyle w:val="TableTextLeft"/>
              <w:spacing w:before="20" w:after="20"/>
              <w:rPr>
                <w:rFonts w:eastAsia="Arial"/>
              </w:rPr>
            </w:pPr>
            <w:r w:rsidRPr="004B2FF4">
              <w:rPr>
                <w:rFonts w:eastAsia="Arial"/>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6B5D38F4" w14:textId="77777777" w:rsidR="004B2FF4" w:rsidRPr="004B2FF4" w:rsidRDefault="004B2FF4" w:rsidP="00E16DB5">
            <w:pPr>
              <w:pStyle w:val="TableTextRight"/>
              <w:spacing w:before="20" w:after="20"/>
              <w:rPr>
                <w:rFonts w:eastAsia="Arial"/>
              </w:rPr>
            </w:pPr>
            <w:r w:rsidRPr="004B2FF4">
              <w:rPr>
                <w:rFonts w:eastAsia="Arial"/>
              </w:rPr>
              <w:t>0.76</w:t>
            </w:r>
          </w:p>
        </w:tc>
        <w:tc>
          <w:tcPr>
            <w:tcW w:w="1162" w:type="dxa"/>
            <w:tcBorders>
              <w:top w:val="single" w:sz="8" w:space="0" w:color="FFFFFF"/>
              <w:left w:val="single" w:sz="8" w:space="0" w:color="FFFFFF"/>
              <w:bottom w:val="nil"/>
              <w:right w:val="single" w:sz="8" w:space="0" w:color="FFFFFF"/>
            </w:tcBorders>
            <w:shd w:val="clear" w:color="auto" w:fill="F7E4DE"/>
          </w:tcPr>
          <w:p w14:paraId="725EE9BD" w14:textId="77777777" w:rsidR="004B2FF4" w:rsidRPr="004B2FF4" w:rsidRDefault="004B2FF4" w:rsidP="00E16DB5">
            <w:pPr>
              <w:pStyle w:val="TableTextRight"/>
              <w:spacing w:before="20" w:after="20"/>
              <w:rPr>
                <w:rFonts w:eastAsia="Arial"/>
              </w:rPr>
            </w:pPr>
            <w:r w:rsidRPr="004B2FF4">
              <w:rPr>
                <w:rFonts w:eastAsia="Arial"/>
              </w:rPr>
              <w:t>0.83</w:t>
            </w:r>
          </w:p>
        </w:tc>
        <w:tc>
          <w:tcPr>
            <w:tcW w:w="1162" w:type="dxa"/>
            <w:tcBorders>
              <w:top w:val="single" w:sz="8" w:space="0" w:color="FFFFFF"/>
              <w:left w:val="single" w:sz="8" w:space="0" w:color="FFFFFF"/>
              <w:bottom w:val="nil"/>
              <w:right w:val="nil"/>
            </w:tcBorders>
            <w:shd w:val="clear" w:color="auto" w:fill="E1E8F2"/>
          </w:tcPr>
          <w:p w14:paraId="3E39F6AA" w14:textId="77777777" w:rsidR="004B2FF4" w:rsidRPr="004B2FF4" w:rsidRDefault="004B2FF4" w:rsidP="00E16DB5">
            <w:pPr>
              <w:pStyle w:val="TableTextRight"/>
              <w:spacing w:before="20" w:after="20"/>
              <w:rPr>
                <w:rFonts w:eastAsia="Arial"/>
              </w:rPr>
            </w:pPr>
            <w:r w:rsidRPr="004B2FF4">
              <w:rPr>
                <w:rFonts w:eastAsia="Arial"/>
              </w:rPr>
              <w:t>0.90</w:t>
            </w:r>
          </w:p>
        </w:tc>
      </w:tr>
    </w:tbl>
    <w:p w14:paraId="57D59403" w14:textId="77777777" w:rsidR="004B2FF4" w:rsidRPr="001266EC" w:rsidRDefault="00E16DB5" w:rsidP="00E16DB5">
      <w:pPr>
        <w:pStyle w:val="SingleParagraph"/>
        <w:rPr>
          <w:rFonts w:eastAsia="Arial"/>
          <w:sz w:val="16"/>
          <w:szCs w:val="16"/>
        </w:rPr>
      </w:pPr>
      <w:r>
        <w:rPr>
          <w:rFonts w:eastAsia="Arial"/>
        </w:rPr>
        <w:br w:type="column"/>
      </w:r>
    </w:p>
    <w:tbl>
      <w:tblPr>
        <w:tblW w:w="0" w:type="auto"/>
        <w:tblInd w:w="119"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75CB86CA"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379C2190" w14:textId="77777777" w:rsidR="004B2FF4" w:rsidRPr="004B2FF4" w:rsidRDefault="004B2FF4" w:rsidP="00E16DB5">
            <w:pPr>
              <w:pStyle w:val="TableColumnHeadingLeft"/>
              <w:spacing w:before="20" w:after="20"/>
              <w:rPr>
                <w:rFonts w:eastAsia="Arial"/>
              </w:rPr>
            </w:pPr>
            <w:r w:rsidRPr="004B2FF4">
              <w:rPr>
                <w:rFonts w:eastAsia="Arial"/>
              </w:rPr>
              <w:t>SA</w:t>
            </w:r>
          </w:p>
        </w:tc>
        <w:tc>
          <w:tcPr>
            <w:tcW w:w="1162" w:type="dxa"/>
            <w:tcBorders>
              <w:top w:val="nil"/>
              <w:left w:val="single" w:sz="8" w:space="0" w:color="FFFFFF"/>
              <w:bottom w:val="single" w:sz="8" w:space="0" w:color="FFFFFF"/>
              <w:right w:val="single" w:sz="8" w:space="0" w:color="FFFFFF"/>
            </w:tcBorders>
            <w:shd w:val="clear" w:color="auto" w:fill="007C59"/>
          </w:tcPr>
          <w:p w14:paraId="7BC06F6B"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207F6178"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51CB0D56"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01164ACA"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BFED877" w14:textId="77777777" w:rsidR="004B2FF4" w:rsidRPr="004B2FF4" w:rsidRDefault="004B2FF4" w:rsidP="00E16DB5">
            <w:pPr>
              <w:pStyle w:val="TableTextRight"/>
              <w:spacing w:before="20" w:after="20"/>
              <w:rPr>
                <w:rFonts w:eastAsia="Arial"/>
              </w:rPr>
            </w:pPr>
            <w:r w:rsidRPr="004B2FF4">
              <w:rPr>
                <w:rFonts w:eastAsia="Arial"/>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AC3020F" w14:textId="77777777" w:rsidR="004B2FF4" w:rsidRPr="004B2FF4" w:rsidRDefault="004B2FF4" w:rsidP="00E16DB5">
            <w:pPr>
              <w:pStyle w:val="TableTextRight"/>
              <w:spacing w:before="20" w:after="20"/>
              <w:rPr>
                <w:rFonts w:eastAsia="Arial"/>
              </w:rPr>
            </w:pPr>
            <w:r w:rsidRPr="004B2FF4">
              <w:rPr>
                <w:rFonts w:eastAsia="Arial"/>
              </w:rPr>
              <w:t>1.43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632AF19" w14:textId="77777777" w:rsidR="004B2FF4" w:rsidRPr="004B2FF4" w:rsidRDefault="004B2FF4" w:rsidP="00E16DB5">
            <w:pPr>
              <w:pStyle w:val="TableTextRight"/>
              <w:spacing w:before="20" w:after="20"/>
              <w:rPr>
                <w:rFonts w:eastAsia="Arial"/>
              </w:rPr>
            </w:pPr>
            <w:r w:rsidRPr="004B2FF4">
              <w:rPr>
                <w:rFonts w:eastAsia="Arial"/>
              </w:rPr>
              <w:t>1.43</w:t>
            </w:r>
          </w:p>
        </w:tc>
        <w:tc>
          <w:tcPr>
            <w:tcW w:w="1162" w:type="dxa"/>
            <w:tcBorders>
              <w:top w:val="single" w:sz="8" w:space="0" w:color="FFFFFF"/>
              <w:left w:val="single" w:sz="8" w:space="0" w:color="FFFFFF"/>
              <w:bottom w:val="single" w:sz="8" w:space="0" w:color="FFFFFF"/>
              <w:right w:val="nil"/>
            </w:tcBorders>
            <w:shd w:val="clear" w:color="auto" w:fill="E1E8F2"/>
          </w:tcPr>
          <w:p w14:paraId="21742E05" w14:textId="77777777" w:rsidR="004B2FF4" w:rsidRPr="004B2FF4" w:rsidRDefault="004B2FF4" w:rsidP="00E16DB5">
            <w:pPr>
              <w:pStyle w:val="TableTextRight"/>
              <w:spacing w:before="20" w:after="20"/>
              <w:rPr>
                <w:rFonts w:eastAsia="Arial"/>
              </w:rPr>
            </w:pPr>
            <w:r w:rsidRPr="004B2FF4">
              <w:rPr>
                <w:rFonts w:eastAsia="Arial"/>
              </w:rPr>
              <w:t>1.42</w:t>
            </w:r>
          </w:p>
        </w:tc>
      </w:tr>
      <w:tr w:rsidR="004B2FF4" w:rsidRPr="004B2FF4" w14:paraId="13D15FF7"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F3FDA1C" w14:textId="77777777" w:rsidR="004B2FF4" w:rsidRPr="004B2FF4" w:rsidRDefault="004B2FF4" w:rsidP="00E16DB5">
            <w:pPr>
              <w:pStyle w:val="TableTextRight"/>
              <w:spacing w:before="20" w:after="20"/>
              <w:rPr>
                <w:rFonts w:eastAsia="Arial"/>
              </w:rPr>
            </w:pPr>
            <w:r w:rsidRPr="004B2FF4">
              <w:rPr>
                <w:rFonts w:eastAsia="Arial"/>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F9F3CE3" w14:textId="77777777" w:rsidR="004B2FF4" w:rsidRPr="004B2FF4" w:rsidRDefault="004B2FF4" w:rsidP="00E16DB5">
            <w:pPr>
              <w:pStyle w:val="TableTextRight"/>
              <w:spacing w:before="20" w:after="20"/>
              <w:rPr>
                <w:rFonts w:eastAsia="Arial"/>
              </w:rPr>
            </w:pPr>
            <w:r w:rsidRPr="004B2FF4">
              <w:rPr>
                <w:rFonts w:eastAsia="Arial"/>
              </w:rPr>
              <w:t>1.43</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AEFB82A" w14:textId="77777777" w:rsidR="004B2FF4" w:rsidRPr="004B2FF4" w:rsidRDefault="004B2FF4" w:rsidP="00E16DB5">
            <w:pPr>
              <w:pStyle w:val="TableTextRight"/>
              <w:spacing w:before="20" w:after="20"/>
              <w:rPr>
                <w:rFonts w:eastAsia="Arial"/>
              </w:rPr>
            </w:pPr>
            <w:r w:rsidRPr="004B2FF4">
              <w:rPr>
                <w:rFonts w:eastAsia="Arial"/>
              </w:rPr>
              <w:t>1.43</w:t>
            </w:r>
          </w:p>
        </w:tc>
        <w:tc>
          <w:tcPr>
            <w:tcW w:w="1162" w:type="dxa"/>
            <w:tcBorders>
              <w:top w:val="single" w:sz="8" w:space="0" w:color="FFFFFF"/>
              <w:left w:val="single" w:sz="8" w:space="0" w:color="FFFFFF"/>
              <w:bottom w:val="single" w:sz="8" w:space="0" w:color="FFFFFF"/>
              <w:right w:val="nil"/>
            </w:tcBorders>
            <w:shd w:val="clear" w:color="auto" w:fill="E1E8F2"/>
          </w:tcPr>
          <w:p w14:paraId="59790C15" w14:textId="77777777" w:rsidR="004B2FF4" w:rsidRPr="004B2FF4" w:rsidRDefault="004B2FF4" w:rsidP="00E16DB5">
            <w:pPr>
              <w:pStyle w:val="TableTextRight"/>
              <w:spacing w:before="20" w:after="20"/>
              <w:rPr>
                <w:rFonts w:eastAsia="Arial"/>
              </w:rPr>
            </w:pPr>
            <w:r w:rsidRPr="004B2FF4">
              <w:rPr>
                <w:rFonts w:eastAsia="Arial"/>
              </w:rPr>
              <w:t>1.40</w:t>
            </w:r>
          </w:p>
        </w:tc>
      </w:tr>
      <w:tr w:rsidR="004B2FF4" w:rsidRPr="004B2FF4" w14:paraId="10E1717D"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25B5481" w14:textId="77777777" w:rsidR="004B2FF4" w:rsidRPr="004B2FF4" w:rsidRDefault="004B2FF4" w:rsidP="00E16DB5">
            <w:pPr>
              <w:pStyle w:val="TableTextRight"/>
              <w:spacing w:before="20" w:after="20"/>
              <w:rPr>
                <w:rFonts w:eastAsia="Arial"/>
              </w:rPr>
            </w:pPr>
            <w:r w:rsidRPr="004B2FF4">
              <w:rPr>
                <w:rFonts w:eastAsia="Arial"/>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64C5C788" w14:textId="77777777" w:rsidR="004B2FF4" w:rsidRPr="004B2FF4" w:rsidRDefault="004B2FF4" w:rsidP="00E16DB5">
            <w:pPr>
              <w:pStyle w:val="TableTextRight"/>
              <w:spacing w:before="20" w:after="20"/>
              <w:rPr>
                <w:rFonts w:eastAsia="Arial"/>
              </w:rPr>
            </w:pPr>
            <w:r w:rsidRPr="004B2FF4">
              <w:rPr>
                <w:rFonts w:eastAsia="Arial"/>
              </w:rPr>
              <w:t>1.42</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284911D" w14:textId="77777777" w:rsidR="004B2FF4" w:rsidRPr="004B2FF4" w:rsidRDefault="004B2FF4" w:rsidP="00E16DB5">
            <w:pPr>
              <w:pStyle w:val="TableTextRight"/>
              <w:spacing w:before="20" w:after="20"/>
              <w:rPr>
                <w:rFonts w:eastAsia="Arial"/>
              </w:rPr>
            </w:pPr>
            <w:r w:rsidRPr="004B2FF4">
              <w:rPr>
                <w:rFonts w:eastAsia="Arial"/>
              </w:rPr>
              <w:t>1.42</w:t>
            </w:r>
          </w:p>
        </w:tc>
        <w:tc>
          <w:tcPr>
            <w:tcW w:w="1162" w:type="dxa"/>
            <w:tcBorders>
              <w:top w:val="single" w:sz="8" w:space="0" w:color="FFFFFF"/>
              <w:left w:val="single" w:sz="8" w:space="0" w:color="FFFFFF"/>
              <w:bottom w:val="single" w:sz="8" w:space="0" w:color="FFFFFF"/>
              <w:right w:val="nil"/>
            </w:tcBorders>
            <w:shd w:val="clear" w:color="auto" w:fill="E1E8F2"/>
          </w:tcPr>
          <w:p w14:paraId="02BFBDCF" w14:textId="77777777" w:rsidR="004B2FF4" w:rsidRPr="004B2FF4" w:rsidRDefault="004B2FF4" w:rsidP="00E16DB5">
            <w:pPr>
              <w:pStyle w:val="TableTextRight"/>
              <w:spacing w:before="20" w:after="20"/>
              <w:rPr>
                <w:rFonts w:eastAsia="Arial"/>
              </w:rPr>
            </w:pPr>
            <w:r w:rsidRPr="004B2FF4">
              <w:rPr>
                <w:rFonts w:eastAsia="Arial"/>
              </w:rPr>
              <w:t>1.38</w:t>
            </w:r>
          </w:p>
        </w:tc>
      </w:tr>
      <w:tr w:rsidR="004B2FF4" w:rsidRPr="004B2FF4" w14:paraId="7321C1AC"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3CB803C" w14:textId="77777777" w:rsidR="004B2FF4" w:rsidRPr="004B2FF4" w:rsidRDefault="004B2FF4" w:rsidP="00E16DB5">
            <w:pPr>
              <w:pStyle w:val="TableTextRight"/>
              <w:spacing w:before="20" w:after="20"/>
              <w:rPr>
                <w:rFonts w:eastAsia="Arial"/>
              </w:rPr>
            </w:pPr>
            <w:r w:rsidRPr="004B2FF4">
              <w:rPr>
                <w:rFonts w:eastAsia="Arial"/>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10354A4" w14:textId="77777777" w:rsidR="004B2FF4" w:rsidRPr="004B2FF4" w:rsidRDefault="004B2FF4" w:rsidP="00E16DB5">
            <w:pPr>
              <w:pStyle w:val="TableTextRight"/>
              <w:spacing w:before="20" w:after="20"/>
              <w:rPr>
                <w:rFonts w:eastAsia="Arial"/>
              </w:rPr>
            </w:pPr>
            <w:r w:rsidRPr="004B2FF4">
              <w:rPr>
                <w:rFonts w:eastAsia="Arial"/>
              </w:rPr>
              <w:t>1.40</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7D2DF10" w14:textId="77777777" w:rsidR="004B2FF4" w:rsidRPr="004B2FF4" w:rsidRDefault="004B2FF4" w:rsidP="00E16DB5">
            <w:pPr>
              <w:pStyle w:val="TableTextRight"/>
              <w:spacing w:before="20" w:after="20"/>
              <w:rPr>
                <w:rFonts w:eastAsia="Arial"/>
              </w:rPr>
            </w:pPr>
            <w:r w:rsidRPr="004B2FF4">
              <w:rPr>
                <w:rFonts w:eastAsia="Arial"/>
              </w:rPr>
              <w:t>1.40</w:t>
            </w:r>
          </w:p>
        </w:tc>
        <w:tc>
          <w:tcPr>
            <w:tcW w:w="1162" w:type="dxa"/>
            <w:tcBorders>
              <w:top w:val="single" w:sz="8" w:space="0" w:color="FFFFFF"/>
              <w:left w:val="single" w:sz="8" w:space="0" w:color="FFFFFF"/>
              <w:bottom w:val="single" w:sz="8" w:space="0" w:color="FFFFFF"/>
              <w:right w:val="nil"/>
            </w:tcBorders>
            <w:shd w:val="clear" w:color="auto" w:fill="E1E8F2"/>
          </w:tcPr>
          <w:p w14:paraId="0FC4273B" w14:textId="77777777" w:rsidR="004B2FF4" w:rsidRPr="004B2FF4" w:rsidRDefault="004B2FF4" w:rsidP="00E16DB5">
            <w:pPr>
              <w:pStyle w:val="TableTextRight"/>
              <w:spacing w:before="20" w:after="20"/>
              <w:rPr>
                <w:rFonts w:eastAsia="Arial"/>
              </w:rPr>
            </w:pPr>
            <w:r w:rsidRPr="004B2FF4">
              <w:rPr>
                <w:rFonts w:eastAsia="Arial"/>
              </w:rPr>
              <w:t>1.35</w:t>
            </w:r>
          </w:p>
        </w:tc>
      </w:tr>
      <w:tr w:rsidR="004B2FF4" w:rsidRPr="004B2FF4" w14:paraId="5AD03C1D"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710FC902" w14:textId="77777777" w:rsidR="004B2FF4" w:rsidRPr="004B2FF4" w:rsidRDefault="004B2FF4" w:rsidP="00E16DB5">
            <w:pPr>
              <w:pStyle w:val="TableTextRight"/>
              <w:spacing w:before="20" w:after="20"/>
              <w:rPr>
                <w:rFonts w:eastAsia="Arial"/>
              </w:rPr>
            </w:pPr>
            <w:r w:rsidRPr="004B2FF4">
              <w:rPr>
                <w:rFonts w:eastAsia="Arial"/>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59F56BA"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CCEE0EE"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nil"/>
            </w:tcBorders>
            <w:shd w:val="clear" w:color="auto" w:fill="E1E8F2"/>
          </w:tcPr>
          <w:p w14:paraId="3797EF9D" w14:textId="77777777" w:rsidR="004B2FF4" w:rsidRPr="004B2FF4" w:rsidRDefault="004B2FF4" w:rsidP="00E16DB5">
            <w:pPr>
              <w:pStyle w:val="TableTextRight"/>
              <w:spacing w:before="20" w:after="20"/>
              <w:rPr>
                <w:rFonts w:eastAsia="Arial"/>
              </w:rPr>
            </w:pPr>
            <w:r w:rsidRPr="004B2FF4">
              <w:rPr>
                <w:rFonts w:eastAsia="Arial"/>
              </w:rPr>
              <w:t>1.33</w:t>
            </w:r>
          </w:p>
        </w:tc>
      </w:tr>
      <w:tr w:rsidR="004B2FF4" w:rsidRPr="004B2FF4" w14:paraId="161D074E"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019F1BD3" w14:textId="77777777" w:rsidR="004B2FF4" w:rsidRPr="004B2FF4" w:rsidRDefault="004B2FF4" w:rsidP="00E16DB5">
            <w:pPr>
              <w:pStyle w:val="TableTextRight"/>
              <w:spacing w:before="20" w:after="20"/>
              <w:rPr>
                <w:rFonts w:eastAsia="Arial"/>
              </w:rPr>
            </w:pPr>
            <w:r w:rsidRPr="004B2FF4">
              <w:rPr>
                <w:rFonts w:eastAsia="Arial"/>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4FFB27B9"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12FB547"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nil"/>
            </w:tcBorders>
            <w:shd w:val="clear" w:color="auto" w:fill="E1E8F2"/>
          </w:tcPr>
          <w:p w14:paraId="4E4A5EA0" w14:textId="77777777" w:rsidR="004B2FF4" w:rsidRPr="004B2FF4" w:rsidRDefault="004B2FF4" w:rsidP="00E16DB5">
            <w:pPr>
              <w:pStyle w:val="TableTextRight"/>
              <w:spacing w:before="20" w:after="20"/>
              <w:rPr>
                <w:rFonts w:eastAsia="Arial"/>
              </w:rPr>
            </w:pPr>
            <w:r w:rsidRPr="004B2FF4">
              <w:rPr>
                <w:rFonts w:eastAsia="Arial"/>
              </w:rPr>
              <w:t>1.32</w:t>
            </w:r>
          </w:p>
        </w:tc>
      </w:tr>
      <w:tr w:rsidR="004B2FF4" w:rsidRPr="004B2FF4" w14:paraId="0003B1EA"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72ADF361" w14:textId="77777777" w:rsidR="004B2FF4" w:rsidRPr="004B2FF4" w:rsidRDefault="004B2FF4" w:rsidP="00E16DB5">
            <w:pPr>
              <w:pStyle w:val="TableTextRight"/>
              <w:spacing w:before="20" w:after="20"/>
              <w:rPr>
                <w:rFonts w:eastAsia="Arial"/>
              </w:rPr>
            </w:pPr>
            <w:r w:rsidRPr="004B2FF4">
              <w:rPr>
                <w:rFonts w:eastAsia="Arial"/>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65ECB59"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DABD997" w14:textId="77777777" w:rsidR="004B2FF4" w:rsidRPr="004B2FF4" w:rsidRDefault="004B2FF4" w:rsidP="00E16DB5">
            <w:pPr>
              <w:pStyle w:val="TableTextRight"/>
              <w:spacing w:before="20" w:after="20"/>
              <w:rPr>
                <w:rFonts w:eastAsia="Arial"/>
              </w:rPr>
            </w:pPr>
            <w:r w:rsidRPr="004B2FF4">
              <w:rPr>
                <w:rFonts w:eastAsia="Arial"/>
              </w:rPr>
              <w:t>1.39</w:t>
            </w:r>
          </w:p>
        </w:tc>
        <w:tc>
          <w:tcPr>
            <w:tcW w:w="1162" w:type="dxa"/>
            <w:tcBorders>
              <w:top w:val="single" w:sz="8" w:space="0" w:color="FFFFFF"/>
              <w:left w:val="single" w:sz="8" w:space="0" w:color="FFFFFF"/>
              <w:bottom w:val="single" w:sz="8" w:space="0" w:color="FFFFFF"/>
              <w:right w:val="nil"/>
            </w:tcBorders>
            <w:shd w:val="clear" w:color="auto" w:fill="E1E8F2"/>
          </w:tcPr>
          <w:p w14:paraId="54C761E7" w14:textId="77777777" w:rsidR="004B2FF4" w:rsidRPr="004B2FF4" w:rsidRDefault="004B2FF4" w:rsidP="00E16DB5">
            <w:pPr>
              <w:pStyle w:val="TableTextRight"/>
              <w:spacing w:before="20" w:after="20"/>
              <w:rPr>
                <w:rFonts w:eastAsia="Arial"/>
              </w:rPr>
            </w:pPr>
            <w:r w:rsidRPr="004B2FF4">
              <w:rPr>
                <w:rFonts w:eastAsia="Arial"/>
              </w:rPr>
              <w:t>1.30</w:t>
            </w:r>
          </w:p>
        </w:tc>
      </w:tr>
      <w:tr w:rsidR="004B2FF4" w:rsidRPr="004B2FF4" w14:paraId="71F796EC"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28CD0D11" w14:textId="77777777" w:rsidR="004B2FF4" w:rsidRPr="004B2FF4" w:rsidRDefault="004B2FF4" w:rsidP="00E16DB5">
            <w:pPr>
              <w:pStyle w:val="TableTextRight"/>
              <w:spacing w:before="20" w:after="20"/>
              <w:rPr>
                <w:rFonts w:eastAsia="Arial"/>
              </w:rPr>
            </w:pPr>
            <w:r w:rsidRPr="004B2FF4">
              <w:rPr>
                <w:rFonts w:eastAsia="Arial"/>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5D7AFB59" w14:textId="77777777" w:rsidR="004B2FF4" w:rsidRPr="004B2FF4" w:rsidRDefault="004B2FF4" w:rsidP="00E16DB5">
            <w:pPr>
              <w:pStyle w:val="TableTextRight"/>
              <w:spacing w:before="20" w:after="20"/>
              <w:rPr>
                <w:rFonts w:eastAsia="Arial"/>
              </w:rPr>
            </w:pPr>
            <w:r w:rsidRPr="004B2FF4">
              <w:rPr>
                <w:rFonts w:eastAsia="Arial"/>
              </w:rPr>
              <w:t>1.38</w:t>
            </w:r>
          </w:p>
        </w:tc>
        <w:tc>
          <w:tcPr>
            <w:tcW w:w="1162" w:type="dxa"/>
            <w:tcBorders>
              <w:top w:val="single" w:sz="8" w:space="0" w:color="FFFFFF"/>
              <w:left w:val="single" w:sz="8" w:space="0" w:color="FFFFFF"/>
              <w:bottom w:val="nil"/>
              <w:right w:val="single" w:sz="8" w:space="0" w:color="FFFFFF"/>
            </w:tcBorders>
            <w:shd w:val="clear" w:color="auto" w:fill="F7E4DE"/>
          </w:tcPr>
          <w:p w14:paraId="52097982" w14:textId="77777777" w:rsidR="004B2FF4" w:rsidRPr="004B2FF4" w:rsidRDefault="004B2FF4" w:rsidP="00E16DB5">
            <w:pPr>
              <w:pStyle w:val="TableTextRight"/>
              <w:spacing w:before="20" w:after="20"/>
              <w:rPr>
                <w:rFonts w:eastAsia="Arial"/>
              </w:rPr>
            </w:pPr>
            <w:r w:rsidRPr="004B2FF4">
              <w:rPr>
                <w:rFonts w:eastAsia="Arial"/>
              </w:rPr>
              <w:t>1.38</w:t>
            </w:r>
          </w:p>
        </w:tc>
        <w:tc>
          <w:tcPr>
            <w:tcW w:w="1162" w:type="dxa"/>
            <w:tcBorders>
              <w:top w:val="single" w:sz="8" w:space="0" w:color="FFFFFF"/>
              <w:left w:val="single" w:sz="8" w:space="0" w:color="FFFFFF"/>
              <w:bottom w:val="nil"/>
              <w:right w:val="nil"/>
            </w:tcBorders>
            <w:shd w:val="clear" w:color="auto" w:fill="E1E8F2"/>
          </w:tcPr>
          <w:p w14:paraId="50874F3C" w14:textId="77777777" w:rsidR="004B2FF4" w:rsidRPr="004B2FF4" w:rsidRDefault="004B2FF4" w:rsidP="00E16DB5">
            <w:pPr>
              <w:pStyle w:val="TableTextRight"/>
              <w:spacing w:before="20" w:after="20"/>
              <w:rPr>
                <w:rFonts w:eastAsia="Arial"/>
              </w:rPr>
            </w:pPr>
            <w:r w:rsidRPr="004B2FF4">
              <w:rPr>
                <w:rFonts w:eastAsia="Arial"/>
              </w:rPr>
              <w:t>1.29</w:t>
            </w:r>
          </w:p>
        </w:tc>
      </w:tr>
    </w:tbl>
    <w:p w14:paraId="4265CBAD" w14:textId="77777777" w:rsidR="004B2FF4" w:rsidRPr="001266EC" w:rsidRDefault="004B2FF4" w:rsidP="00E16DB5">
      <w:pPr>
        <w:pStyle w:val="SingleParagraph"/>
        <w:rPr>
          <w:rFonts w:eastAsia="Arial"/>
          <w:sz w:val="16"/>
          <w:szCs w:val="16"/>
        </w:rPr>
      </w:pPr>
    </w:p>
    <w:tbl>
      <w:tblPr>
        <w:tblW w:w="0" w:type="auto"/>
        <w:tblInd w:w="119"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31A0FB71"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564393EC" w14:textId="77777777" w:rsidR="004B2FF4" w:rsidRPr="004B2FF4" w:rsidRDefault="004B2FF4" w:rsidP="00E16DB5">
            <w:pPr>
              <w:pStyle w:val="TableColumnHeadingLeft"/>
              <w:spacing w:before="20" w:after="20"/>
              <w:rPr>
                <w:rFonts w:eastAsia="Arial"/>
              </w:rPr>
            </w:pPr>
            <w:r w:rsidRPr="004B2FF4">
              <w:rPr>
                <w:rFonts w:eastAsia="Arial"/>
              </w:rPr>
              <w:t>TAS</w:t>
            </w:r>
          </w:p>
        </w:tc>
        <w:tc>
          <w:tcPr>
            <w:tcW w:w="1162" w:type="dxa"/>
            <w:tcBorders>
              <w:top w:val="nil"/>
              <w:left w:val="single" w:sz="8" w:space="0" w:color="FFFFFF"/>
              <w:bottom w:val="single" w:sz="8" w:space="0" w:color="FFFFFF"/>
              <w:right w:val="single" w:sz="8" w:space="0" w:color="FFFFFF"/>
            </w:tcBorders>
            <w:shd w:val="clear" w:color="auto" w:fill="007C59"/>
          </w:tcPr>
          <w:p w14:paraId="798EAA09"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711E0B49"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28A3DEA4"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77A3E100"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07DAEAEE" w14:textId="77777777" w:rsidR="004B2FF4" w:rsidRPr="004B2FF4" w:rsidRDefault="004B2FF4" w:rsidP="00E16DB5">
            <w:pPr>
              <w:pStyle w:val="TableTextLeft"/>
              <w:spacing w:before="20" w:after="20"/>
              <w:rPr>
                <w:rFonts w:eastAsia="Arial"/>
              </w:rPr>
            </w:pPr>
            <w:r w:rsidRPr="004B2FF4">
              <w:rPr>
                <w:rFonts w:eastAsia="Arial"/>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4736DDF" w14:textId="77777777" w:rsidR="004B2FF4" w:rsidRPr="004B2FF4" w:rsidRDefault="004B2FF4" w:rsidP="00E16DB5">
            <w:pPr>
              <w:pStyle w:val="TableTextRight"/>
              <w:spacing w:before="20" w:after="20"/>
              <w:rPr>
                <w:rFonts w:eastAsia="Arial"/>
              </w:rPr>
            </w:pPr>
            <w:r w:rsidRPr="004B2FF4">
              <w:rPr>
                <w:rFonts w:eastAsia="Arial"/>
              </w:rPr>
              <w:t>1.81</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0B4AF3CF" w14:textId="77777777" w:rsidR="004B2FF4" w:rsidRPr="004B2FF4" w:rsidRDefault="004B2FF4" w:rsidP="00E16DB5">
            <w:pPr>
              <w:pStyle w:val="TableTextRight"/>
              <w:spacing w:before="20" w:after="20"/>
              <w:rPr>
                <w:rFonts w:eastAsia="Arial"/>
              </w:rPr>
            </w:pPr>
            <w:r w:rsidRPr="004B2FF4">
              <w:rPr>
                <w:rFonts w:eastAsia="Arial"/>
              </w:rPr>
              <w:t>1.81</w:t>
            </w:r>
          </w:p>
        </w:tc>
        <w:tc>
          <w:tcPr>
            <w:tcW w:w="1162" w:type="dxa"/>
            <w:tcBorders>
              <w:top w:val="single" w:sz="8" w:space="0" w:color="FFFFFF"/>
              <w:left w:val="single" w:sz="8" w:space="0" w:color="FFFFFF"/>
              <w:bottom w:val="single" w:sz="8" w:space="0" w:color="FFFFFF"/>
              <w:right w:val="nil"/>
            </w:tcBorders>
            <w:shd w:val="clear" w:color="auto" w:fill="E1E8F2"/>
          </w:tcPr>
          <w:p w14:paraId="5577FFF9" w14:textId="77777777" w:rsidR="004B2FF4" w:rsidRPr="004B2FF4" w:rsidRDefault="004B2FF4" w:rsidP="00E16DB5">
            <w:pPr>
              <w:pStyle w:val="TableTextRight"/>
              <w:spacing w:before="20" w:after="20"/>
              <w:rPr>
                <w:rFonts w:eastAsia="Arial"/>
              </w:rPr>
            </w:pPr>
            <w:r w:rsidRPr="004B2FF4">
              <w:rPr>
                <w:rFonts w:eastAsia="Arial"/>
              </w:rPr>
              <w:t>1.80</w:t>
            </w:r>
          </w:p>
        </w:tc>
      </w:tr>
      <w:tr w:rsidR="004B2FF4" w:rsidRPr="004B2FF4" w14:paraId="24C7E0F6"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4FBAC44" w14:textId="77777777" w:rsidR="004B2FF4" w:rsidRPr="004B2FF4" w:rsidRDefault="004B2FF4" w:rsidP="00E16DB5">
            <w:pPr>
              <w:pStyle w:val="TableTextLeft"/>
              <w:spacing w:before="20" w:after="20"/>
              <w:rPr>
                <w:rFonts w:eastAsia="Arial"/>
              </w:rPr>
            </w:pPr>
            <w:r w:rsidRPr="004B2FF4">
              <w:rPr>
                <w:rFonts w:eastAsia="Arial"/>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60CA2DE" w14:textId="77777777" w:rsidR="004B2FF4" w:rsidRPr="004B2FF4" w:rsidRDefault="004B2FF4" w:rsidP="00E16DB5">
            <w:pPr>
              <w:pStyle w:val="TableTextRight"/>
              <w:spacing w:before="20" w:after="20"/>
              <w:rPr>
                <w:rFonts w:eastAsia="Arial"/>
              </w:rPr>
            </w:pPr>
            <w:r w:rsidRPr="004B2FF4">
              <w:rPr>
                <w:rFonts w:eastAsia="Arial"/>
              </w:rPr>
              <w:t>1.80</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DD0E348" w14:textId="77777777" w:rsidR="004B2FF4" w:rsidRPr="004B2FF4" w:rsidRDefault="004B2FF4" w:rsidP="00E16DB5">
            <w:pPr>
              <w:pStyle w:val="TableTextRight"/>
              <w:spacing w:before="20" w:after="20"/>
              <w:rPr>
                <w:rFonts w:eastAsia="Arial"/>
              </w:rPr>
            </w:pPr>
            <w:r w:rsidRPr="004B2FF4">
              <w:rPr>
                <w:rFonts w:eastAsia="Arial"/>
              </w:rPr>
              <w:t>1.80</w:t>
            </w:r>
          </w:p>
        </w:tc>
        <w:tc>
          <w:tcPr>
            <w:tcW w:w="1162" w:type="dxa"/>
            <w:tcBorders>
              <w:top w:val="single" w:sz="8" w:space="0" w:color="FFFFFF"/>
              <w:left w:val="single" w:sz="8" w:space="0" w:color="FFFFFF"/>
              <w:bottom w:val="single" w:sz="8" w:space="0" w:color="FFFFFF"/>
              <w:right w:val="nil"/>
            </w:tcBorders>
            <w:shd w:val="clear" w:color="auto" w:fill="E1E8F2"/>
          </w:tcPr>
          <w:p w14:paraId="61AC29AE" w14:textId="77777777" w:rsidR="004B2FF4" w:rsidRPr="004B2FF4" w:rsidRDefault="004B2FF4" w:rsidP="00E16DB5">
            <w:pPr>
              <w:pStyle w:val="TableTextRight"/>
              <w:spacing w:before="20" w:after="20"/>
              <w:rPr>
                <w:rFonts w:eastAsia="Arial"/>
              </w:rPr>
            </w:pPr>
            <w:r w:rsidRPr="004B2FF4">
              <w:rPr>
                <w:rFonts w:eastAsia="Arial"/>
              </w:rPr>
              <w:t>1.77</w:t>
            </w:r>
          </w:p>
        </w:tc>
      </w:tr>
      <w:tr w:rsidR="004B2FF4" w:rsidRPr="004B2FF4" w14:paraId="01F1D95F"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30E14A9" w14:textId="77777777" w:rsidR="004B2FF4" w:rsidRPr="004B2FF4" w:rsidRDefault="004B2FF4" w:rsidP="00E16DB5">
            <w:pPr>
              <w:pStyle w:val="TableTextLeft"/>
              <w:spacing w:before="20" w:after="20"/>
              <w:rPr>
                <w:rFonts w:eastAsia="Arial"/>
              </w:rPr>
            </w:pPr>
            <w:r w:rsidRPr="004B2FF4">
              <w:rPr>
                <w:rFonts w:eastAsia="Arial"/>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6E3B6252" w14:textId="77777777" w:rsidR="004B2FF4" w:rsidRPr="004B2FF4" w:rsidRDefault="004B2FF4" w:rsidP="00E16DB5">
            <w:pPr>
              <w:pStyle w:val="TableTextRight"/>
              <w:spacing w:before="20" w:after="20"/>
              <w:rPr>
                <w:rFonts w:eastAsia="Arial"/>
              </w:rPr>
            </w:pPr>
            <w:r w:rsidRPr="004B2FF4">
              <w:rPr>
                <w:rFonts w:eastAsia="Arial"/>
              </w:rPr>
              <w:t>1.78</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737D634" w14:textId="77777777" w:rsidR="004B2FF4" w:rsidRPr="004B2FF4" w:rsidRDefault="004B2FF4" w:rsidP="00E16DB5">
            <w:pPr>
              <w:pStyle w:val="TableTextRight"/>
              <w:spacing w:before="20" w:after="20"/>
              <w:rPr>
                <w:rFonts w:eastAsia="Arial"/>
              </w:rPr>
            </w:pPr>
            <w:r w:rsidRPr="004B2FF4">
              <w:rPr>
                <w:rFonts w:eastAsia="Arial"/>
              </w:rPr>
              <w:t>1.78</w:t>
            </w:r>
          </w:p>
        </w:tc>
        <w:tc>
          <w:tcPr>
            <w:tcW w:w="1162" w:type="dxa"/>
            <w:tcBorders>
              <w:top w:val="single" w:sz="8" w:space="0" w:color="FFFFFF"/>
              <w:left w:val="single" w:sz="8" w:space="0" w:color="FFFFFF"/>
              <w:bottom w:val="single" w:sz="8" w:space="0" w:color="FFFFFF"/>
              <w:right w:val="nil"/>
            </w:tcBorders>
            <w:shd w:val="clear" w:color="auto" w:fill="E1E8F2"/>
          </w:tcPr>
          <w:p w14:paraId="342170D1" w14:textId="77777777" w:rsidR="004B2FF4" w:rsidRPr="004B2FF4" w:rsidRDefault="004B2FF4" w:rsidP="00E16DB5">
            <w:pPr>
              <w:pStyle w:val="TableTextRight"/>
              <w:spacing w:before="20" w:after="20"/>
              <w:rPr>
                <w:rFonts w:eastAsia="Arial"/>
              </w:rPr>
            </w:pPr>
            <w:r w:rsidRPr="004B2FF4">
              <w:rPr>
                <w:rFonts w:eastAsia="Arial"/>
              </w:rPr>
              <w:t>1.74</w:t>
            </w:r>
          </w:p>
        </w:tc>
      </w:tr>
      <w:tr w:rsidR="004B2FF4" w:rsidRPr="004B2FF4" w14:paraId="1C8BD8C2"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62CC404" w14:textId="77777777" w:rsidR="004B2FF4" w:rsidRPr="004B2FF4" w:rsidRDefault="004B2FF4" w:rsidP="00E16DB5">
            <w:pPr>
              <w:pStyle w:val="TableTextLeft"/>
              <w:spacing w:before="20" w:after="20"/>
              <w:rPr>
                <w:rFonts w:eastAsia="Arial"/>
              </w:rPr>
            </w:pPr>
            <w:r w:rsidRPr="004B2FF4">
              <w:rPr>
                <w:rFonts w:eastAsia="Arial"/>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6E689143"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C99B6F1"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nil"/>
            </w:tcBorders>
            <w:shd w:val="clear" w:color="auto" w:fill="E1E8F2"/>
          </w:tcPr>
          <w:p w14:paraId="700C2246" w14:textId="77777777" w:rsidR="004B2FF4" w:rsidRPr="004B2FF4" w:rsidRDefault="004B2FF4" w:rsidP="00E16DB5">
            <w:pPr>
              <w:pStyle w:val="TableTextRight"/>
              <w:spacing w:before="20" w:after="20"/>
              <w:rPr>
                <w:rFonts w:eastAsia="Arial"/>
              </w:rPr>
            </w:pPr>
            <w:r w:rsidRPr="004B2FF4">
              <w:rPr>
                <w:rFonts w:eastAsia="Arial"/>
              </w:rPr>
              <w:t>1.70</w:t>
            </w:r>
          </w:p>
        </w:tc>
      </w:tr>
      <w:tr w:rsidR="004B2FF4" w:rsidRPr="004B2FF4" w14:paraId="6D4A5972"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3C075196" w14:textId="77777777" w:rsidR="004B2FF4" w:rsidRPr="004B2FF4" w:rsidRDefault="004B2FF4" w:rsidP="00E16DB5">
            <w:pPr>
              <w:pStyle w:val="TableTextLeft"/>
              <w:spacing w:before="20" w:after="20"/>
              <w:rPr>
                <w:rFonts w:eastAsia="Arial"/>
              </w:rPr>
            </w:pPr>
            <w:r w:rsidRPr="004B2FF4">
              <w:rPr>
                <w:rFonts w:eastAsia="Arial"/>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FD1A96D"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95DB4CF"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nil"/>
            </w:tcBorders>
            <w:shd w:val="clear" w:color="auto" w:fill="E1E8F2"/>
          </w:tcPr>
          <w:p w14:paraId="0AEE2692" w14:textId="77777777" w:rsidR="004B2FF4" w:rsidRPr="004B2FF4" w:rsidRDefault="004B2FF4" w:rsidP="00E16DB5">
            <w:pPr>
              <w:pStyle w:val="TableTextRight"/>
              <w:spacing w:before="20" w:after="20"/>
              <w:rPr>
                <w:rFonts w:eastAsia="Arial"/>
              </w:rPr>
            </w:pPr>
            <w:r w:rsidRPr="004B2FF4">
              <w:rPr>
                <w:rFonts w:eastAsia="Arial"/>
              </w:rPr>
              <w:t>1.69</w:t>
            </w:r>
          </w:p>
        </w:tc>
      </w:tr>
      <w:tr w:rsidR="004B2FF4" w:rsidRPr="004B2FF4" w14:paraId="7040C9BB"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58566346" w14:textId="77777777" w:rsidR="004B2FF4" w:rsidRPr="004B2FF4" w:rsidRDefault="004B2FF4" w:rsidP="00E16DB5">
            <w:pPr>
              <w:pStyle w:val="TableTextLeft"/>
              <w:spacing w:before="20" w:after="20"/>
              <w:rPr>
                <w:rFonts w:eastAsia="Arial"/>
              </w:rPr>
            </w:pPr>
            <w:r w:rsidRPr="004B2FF4">
              <w:rPr>
                <w:rFonts w:eastAsia="Arial"/>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52B4DD3"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9553F83"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nil"/>
            </w:tcBorders>
            <w:shd w:val="clear" w:color="auto" w:fill="E1E8F2"/>
          </w:tcPr>
          <w:p w14:paraId="067276B6" w14:textId="77777777" w:rsidR="004B2FF4" w:rsidRPr="004B2FF4" w:rsidRDefault="004B2FF4" w:rsidP="00E16DB5">
            <w:pPr>
              <w:pStyle w:val="TableTextRight"/>
              <w:spacing w:before="20" w:after="20"/>
              <w:rPr>
                <w:rFonts w:eastAsia="Arial"/>
              </w:rPr>
            </w:pPr>
            <w:r w:rsidRPr="004B2FF4">
              <w:rPr>
                <w:rFonts w:eastAsia="Arial"/>
              </w:rPr>
              <w:t>1.68</w:t>
            </w:r>
          </w:p>
        </w:tc>
      </w:tr>
      <w:tr w:rsidR="004B2FF4" w:rsidRPr="004B2FF4" w14:paraId="3C27CF52"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0087EBD2" w14:textId="77777777" w:rsidR="004B2FF4" w:rsidRPr="004B2FF4" w:rsidRDefault="004B2FF4" w:rsidP="00E16DB5">
            <w:pPr>
              <w:pStyle w:val="TableTextLeft"/>
              <w:spacing w:before="20" w:after="20"/>
              <w:rPr>
                <w:rFonts w:eastAsia="Arial"/>
              </w:rPr>
            </w:pPr>
            <w:r w:rsidRPr="004B2FF4">
              <w:rPr>
                <w:rFonts w:eastAsia="Arial"/>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96E8584"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0051BEE" w14:textId="77777777" w:rsidR="004B2FF4" w:rsidRPr="004B2FF4" w:rsidRDefault="004B2FF4" w:rsidP="00E16DB5">
            <w:pPr>
              <w:pStyle w:val="TableTextRight"/>
              <w:spacing w:before="20" w:after="20"/>
              <w:rPr>
                <w:rFonts w:eastAsia="Arial"/>
              </w:rPr>
            </w:pPr>
            <w:r w:rsidRPr="004B2FF4">
              <w:rPr>
                <w:rFonts w:eastAsia="Arial"/>
              </w:rPr>
              <w:t>1.76</w:t>
            </w:r>
          </w:p>
        </w:tc>
        <w:tc>
          <w:tcPr>
            <w:tcW w:w="1162" w:type="dxa"/>
            <w:tcBorders>
              <w:top w:val="single" w:sz="8" w:space="0" w:color="FFFFFF"/>
              <w:left w:val="single" w:sz="8" w:space="0" w:color="FFFFFF"/>
              <w:bottom w:val="single" w:sz="8" w:space="0" w:color="FFFFFF"/>
              <w:right w:val="nil"/>
            </w:tcBorders>
            <w:shd w:val="clear" w:color="auto" w:fill="E1E8F2"/>
          </w:tcPr>
          <w:p w14:paraId="7F0D4BF4" w14:textId="77777777" w:rsidR="004B2FF4" w:rsidRPr="004B2FF4" w:rsidRDefault="004B2FF4" w:rsidP="00E16DB5">
            <w:pPr>
              <w:pStyle w:val="TableTextRight"/>
              <w:spacing w:before="20" w:after="20"/>
              <w:rPr>
                <w:rFonts w:eastAsia="Arial"/>
              </w:rPr>
            </w:pPr>
            <w:r w:rsidRPr="004B2FF4">
              <w:rPr>
                <w:rFonts w:eastAsia="Arial"/>
              </w:rPr>
              <w:t>1.67</w:t>
            </w:r>
          </w:p>
        </w:tc>
      </w:tr>
      <w:tr w:rsidR="004B2FF4" w:rsidRPr="004B2FF4" w14:paraId="6CDE2BA0"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5E49440B" w14:textId="77777777" w:rsidR="004B2FF4" w:rsidRPr="004B2FF4" w:rsidRDefault="004B2FF4" w:rsidP="00E16DB5">
            <w:pPr>
              <w:pStyle w:val="TableTextLeft"/>
              <w:spacing w:before="20" w:after="20"/>
              <w:rPr>
                <w:rFonts w:eastAsia="Arial"/>
              </w:rPr>
            </w:pPr>
            <w:r w:rsidRPr="004B2FF4">
              <w:rPr>
                <w:rFonts w:eastAsia="Arial"/>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3BC4503C" w14:textId="77777777" w:rsidR="004B2FF4" w:rsidRPr="004B2FF4" w:rsidRDefault="004B2FF4" w:rsidP="00E16DB5">
            <w:pPr>
              <w:pStyle w:val="TableTextRight"/>
              <w:spacing w:before="20" w:after="20"/>
              <w:rPr>
                <w:rFonts w:eastAsia="Arial"/>
              </w:rPr>
            </w:pPr>
            <w:r w:rsidRPr="004B2FF4">
              <w:rPr>
                <w:rFonts w:eastAsia="Arial"/>
              </w:rPr>
              <w:t>1.75</w:t>
            </w:r>
          </w:p>
        </w:tc>
        <w:tc>
          <w:tcPr>
            <w:tcW w:w="1162" w:type="dxa"/>
            <w:tcBorders>
              <w:top w:val="single" w:sz="8" w:space="0" w:color="FFFFFF"/>
              <w:left w:val="single" w:sz="8" w:space="0" w:color="FFFFFF"/>
              <w:bottom w:val="nil"/>
              <w:right w:val="single" w:sz="8" w:space="0" w:color="FFFFFF"/>
            </w:tcBorders>
            <w:shd w:val="clear" w:color="auto" w:fill="F7E4DE"/>
          </w:tcPr>
          <w:p w14:paraId="7546D966" w14:textId="77777777" w:rsidR="004B2FF4" w:rsidRPr="004B2FF4" w:rsidRDefault="004B2FF4" w:rsidP="00E16DB5">
            <w:pPr>
              <w:pStyle w:val="TableTextRight"/>
              <w:spacing w:before="20" w:after="20"/>
              <w:rPr>
                <w:rFonts w:eastAsia="Arial"/>
              </w:rPr>
            </w:pPr>
            <w:r w:rsidRPr="004B2FF4">
              <w:rPr>
                <w:rFonts w:eastAsia="Arial"/>
              </w:rPr>
              <w:t>1.76</w:t>
            </w:r>
          </w:p>
        </w:tc>
        <w:tc>
          <w:tcPr>
            <w:tcW w:w="1162" w:type="dxa"/>
            <w:tcBorders>
              <w:top w:val="single" w:sz="8" w:space="0" w:color="FFFFFF"/>
              <w:left w:val="single" w:sz="8" w:space="0" w:color="FFFFFF"/>
              <w:bottom w:val="nil"/>
              <w:right w:val="nil"/>
            </w:tcBorders>
            <w:shd w:val="clear" w:color="auto" w:fill="E1E8F2"/>
          </w:tcPr>
          <w:p w14:paraId="3A0F0276" w14:textId="77777777" w:rsidR="004B2FF4" w:rsidRPr="004B2FF4" w:rsidRDefault="004B2FF4" w:rsidP="00E16DB5">
            <w:pPr>
              <w:pStyle w:val="TableTextRight"/>
              <w:spacing w:before="20" w:after="20"/>
              <w:rPr>
                <w:rFonts w:eastAsia="Arial"/>
              </w:rPr>
            </w:pPr>
            <w:r w:rsidRPr="004B2FF4">
              <w:rPr>
                <w:rFonts w:eastAsia="Arial"/>
              </w:rPr>
              <w:t>1.66</w:t>
            </w:r>
          </w:p>
        </w:tc>
      </w:tr>
    </w:tbl>
    <w:p w14:paraId="223C9343" w14:textId="77777777" w:rsidR="004B2FF4" w:rsidRPr="001266EC" w:rsidRDefault="004B2FF4" w:rsidP="00E16DB5">
      <w:pPr>
        <w:pStyle w:val="SingleParagraph"/>
        <w:rPr>
          <w:rFonts w:eastAsia="Arial"/>
          <w:sz w:val="16"/>
          <w:szCs w:val="16"/>
        </w:rPr>
      </w:pPr>
    </w:p>
    <w:tbl>
      <w:tblPr>
        <w:tblW w:w="0" w:type="auto"/>
        <w:tblInd w:w="119"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32CC6C5A" w14:textId="77777777" w:rsidTr="00E16DB5">
        <w:trPr>
          <w:trHeight w:val="113"/>
        </w:trPr>
        <w:tc>
          <w:tcPr>
            <w:tcW w:w="907" w:type="dxa"/>
            <w:tcBorders>
              <w:top w:val="nil"/>
              <w:left w:val="nil"/>
              <w:bottom w:val="single" w:sz="8" w:space="0" w:color="FFFFFF"/>
              <w:right w:val="single" w:sz="8" w:space="0" w:color="FFFFFF"/>
            </w:tcBorders>
            <w:shd w:val="clear" w:color="auto" w:fill="354866"/>
          </w:tcPr>
          <w:p w14:paraId="08EA27AB" w14:textId="77777777" w:rsidR="004B2FF4" w:rsidRPr="004B2FF4" w:rsidRDefault="004B2FF4" w:rsidP="00E16DB5">
            <w:pPr>
              <w:pStyle w:val="TableColumnHeadingLeft"/>
              <w:spacing w:before="20" w:after="20"/>
              <w:rPr>
                <w:rFonts w:eastAsia="Arial"/>
              </w:rPr>
            </w:pPr>
            <w:r w:rsidRPr="004B2FF4">
              <w:rPr>
                <w:rFonts w:eastAsia="Arial"/>
              </w:rPr>
              <w:t>ACT</w:t>
            </w:r>
          </w:p>
        </w:tc>
        <w:tc>
          <w:tcPr>
            <w:tcW w:w="1162" w:type="dxa"/>
            <w:tcBorders>
              <w:top w:val="nil"/>
              <w:left w:val="single" w:sz="8" w:space="0" w:color="FFFFFF"/>
              <w:bottom w:val="single" w:sz="8" w:space="0" w:color="FFFFFF"/>
              <w:right w:val="single" w:sz="8" w:space="0" w:color="FFFFFF"/>
            </w:tcBorders>
            <w:shd w:val="clear" w:color="auto" w:fill="007C59"/>
          </w:tcPr>
          <w:p w14:paraId="1A0072B0"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1E3C79D2"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111A2364"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1BA9C0CB"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76574F0" w14:textId="77777777" w:rsidR="004B2FF4" w:rsidRPr="004B2FF4" w:rsidRDefault="004B2FF4" w:rsidP="00E16DB5">
            <w:pPr>
              <w:pStyle w:val="TableTextLeft"/>
              <w:spacing w:before="20" w:after="20"/>
              <w:rPr>
                <w:rFonts w:eastAsia="Arial"/>
                <w:b/>
              </w:rPr>
            </w:pPr>
            <w:r w:rsidRPr="004B2FF4">
              <w:rPr>
                <w:rFonts w:eastAsia="Arial"/>
                <w:b/>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A43F687" w14:textId="77777777" w:rsidR="004B2FF4" w:rsidRPr="004B2FF4" w:rsidRDefault="004B2FF4" w:rsidP="00E16DB5">
            <w:pPr>
              <w:pStyle w:val="TableTextRight"/>
              <w:spacing w:before="20" w:after="20"/>
              <w:rPr>
                <w:rFonts w:eastAsia="Arial"/>
              </w:rPr>
            </w:pPr>
            <w:r w:rsidRPr="004B2FF4">
              <w:rPr>
                <w:rFonts w:eastAsia="Arial"/>
              </w:rPr>
              <w:t>1.19</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C555CA0" w14:textId="77777777" w:rsidR="004B2FF4" w:rsidRPr="004B2FF4" w:rsidRDefault="004B2FF4" w:rsidP="00E16DB5">
            <w:pPr>
              <w:pStyle w:val="TableTextRight"/>
              <w:spacing w:before="20" w:after="20"/>
              <w:rPr>
                <w:rFonts w:eastAsia="Arial"/>
              </w:rPr>
            </w:pPr>
            <w:r w:rsidRPr="004B2FF4">
              <w:rPr>
                <w:rFonts w:eastAsia="Arial"/>
              </w:rPr>
              <w:t>1.20</w:t>
            </w:r>
          </w:p>
        </w:tc>
        <w:tc>
          <w:tcPr>
            <w:tcW w:w="1162" w:type="dxa"/>
            <w:tcBorders>
              <w:top w:val="single" w:sz="8" w:space="0" w:color="FFFFFF"/>
              <w:left w:val="single" w:sz="8" w:space="0" w:color="FFFFFF"/>
              <w:bottom w:val="single" w:sz="8" w:space="0" w:color="FFFFFF"/>
              <w:right w:val="nil"/>
            </w:tcBorders>
            <w:shd w:val="clear" w:color="auto" w:fill="E1E8F2"/>
          </w:tcPr>
          <w:p w14:paraId="51CF602F" w14:textId="77777777" w:rsidR="004B2FF4" w:rsidRPr="004B2FF4" w:rsidRDefault="004B2FF4" w:rsidP="00E16DB5">
            <w:pPr>
              <w:pStyle w:val="TableTextRight"/>
              <w:spacing w:before="20" w:after="20"/>
              <w:rPr>
                <w:rFonts w:eastAsia="Arial"/>
              </w:rPr>
            </w:pPr>
            <w:r w:rsidRPr="004B2FF4">
              <w:rPr>
                <w:rFonts w:eastAsia="Arial"/>
              </w:rPr>
              <w:t>1.18</w:t>
            </w:r>
          </w:p>
        </w:tc>
      </w:tr>
      <w:tr w:rsidR="004B2FF4" w:rsidRPr="004B2FF4" w14:paraId="5936B9C8"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5A55FDCB" w14:textId="77777777" w:rsidR="004B2FF4" w:rsidRPr="004B2FF4" w:rsidRDefault="004B2FF4" w:rsidP="00E16DB5">
            <w:pPr>
              <w:pStyle w:val="TableTextLeft"/>
              <w:spacing w:before="20" w:after="20"/>
              <w:rPr>
                <w:rFonts w:eastAsia="Arial"/>
                <w:b/>
              </w:rPr>
            </w:pPr>
            <w:r w:rsidRPr="004B2FF4">
              <w:rPr>
                <w:rFonts w:eastAsia="Arial"/>
                <w:b/>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2FF62A9D" w14:textId="77777777" w:rsidR="004B2FF4" w:rsidRPr="004B2FF4" w:rsidRDefault="004B2FF4" w:rsidP="00E16DB5">
            <w:pPr>
              <w:pStyle w:val="TableTextRight"/>
              <w:spacing w:before="20" w:after="20"/>
              <w:rPr>
                <w:rFonts w:eastAsia="Arial"/>
              </w:rPr>
            </w:pPr>
            <w:r w:rsidRPr="004B2FF4">
              <w:rPr>
                <w:rFonts w:eastAsia="Arial"/>
              </w:rPr>
              <w:t>1.18</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1CDA905" w14:textId="77777777" w:rsidR="004B2FF4" w:rsidRPr="004B2FF4" w:rsidRDefault="004B2FF4" w:rsidP="00E16DB5">
            <w:pPr>
              <w:pStyle w:val="TableTextRight"/>
              <w:spacing w:before="20" w:after="20"/>
              <w:rPr>
                <w:rFonts w:eastAsia="Arial"/>
              </w:rPr>
            </w:pPr>
            <w:r w:rsidRPr="004B2FF4">
              <w:rPr>
                <w:rFonts w:eastAsia="Arial"/>
              </w:rPr>
              <w:t>1.18</w:t>
            </w:r>
          </w:p>
        </w:tc>
        <w:tc>
          <w:tcPr>
            <w:tcW w:w="1162" w:type="dxa"/>
            <w:tcBorders>
              <w:top w:val="single" w:sz="8" w:space="0" w:color="FFFFFF"/>
              <w:left w:val="single" w:sz="8" w:space="0" w:color="FFFFFF"/>
              <w:bottom w:val="single" w:sz="8" w:space="0" w:color="FFFFFF"/>
              <w:right w:val="nil"/>
            </w:tcBorders>
            <w:shd w:val="clear" w:color="auto" w:fill="E1E8F2"/>
          </w:tcPr>
          <w:p w14:paraId="19D9F272" w14:textId="77777777" w:rsidR="004B2FF4" w:rsidRPr="004B2FF4" w:rsidRDefault="004B2FF4" w:rsidP="00E16DB5">
            <w:pPr>
              <w:pStyle w:val="TableTextRight"/>
              <w:spacing w:before="20" w:after="20"/>
              <w:rPr>
                <w:rFonts w:eastAsia="Arial"/>
              </w:rPr>
            </w:pPr>
            <w:r w:rsidRPr="004B2FF4">
              <w:rPr>
                <w:rFonts w:eastAsia="Arial"/>
              </w:rPr>
              <w:t>1.16</w:t>
            </w:r>
          </w:p>
        </w:tc>
      </w:tr>
      <w:tr w:rsidR="004B2FF4" w:rsidRPr="004B2FF4" w14:paraId="20170D7A"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3821A9B" w14:textId="77777777" w:rsidR="004B2FF4" w:rsidRPr="004B2FF4" w:rsidRDefault="004B2FF4" w:rsidP="00E16DB5">
            <w:pPr>
              <w:pStyle w:val="TableTextLeft"/>
              <w:spacing w:before="20" w:after="20"/>
              <w:rPr>
                <w:rFonts w:eastAsia="Arial"/>
                <w:b/>
              </w:rPr>
            </w:pPr>
            <w:r w:rsidRPr="004B2FF4">
              <w:rPr>
                <w:rFonts w:eastAsia="Arial"/>
                <w:b/>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14363D4"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2159ACB6"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nil"/>
            </w:tcBorders>
            <w:shd w:val="clear" w:color="auto" w:fill="E1E8F2"/>
          </w:tcPr>
          <w:p w14:paraId="08437CCA" w14:textId="77777777" w:rsidR="004B2FF4" w:rsidRPr="004B2FF4" w:rsidRDefault="004B2FF4" w:rsidP="00E16DB5">
            <w:pPr>
              <w:pStyle w:val="TableTextRight"/>
              <w:spacing w:before="20" w:after="20"/>
              <w:rPr>
                <w:rFonts w:eastAsia="Arial"/>
              </w:rPr>
            </w:pPr>
            <w:r w:rsidRPr="004B2FF4">
              <w:rPr>
                <w:rFonts w:eastAsia="Arial"/>
              </w:rPr>
              <w:t>1.12</w:t>
            </w:r>
          </w:p>
        </w:tc>
      </w:tr>
      <w:tr w:rsidR="004B2FF4" w:rsidRPr="004B2FF4" w14:paraId="29B7F2CA"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2F6CCEB9" w14:textId="77777777" w:rsidR="004B2FF4" w:rsidRPr="004B2FF4" w:rsidRDefault="004B2FF4" w:rsidP="00E16DB5">
            <w:pPr>
              <w:pStyle w:val="TableTextLeft"/>
              <w:spacing w:before="20" w:after="20"/>
              <w:rPr>
                <w:rFonts w:eastAsia="Arial"/>
                <w:b/>
              </w:rPr>
            </w:pPr>
            <w:r w:rsidRPr="004B2FF4">
              <w:rPr>
                <w:rFonts w:eastAsia="Arial"/>
                <w:b/>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C435B08" w14:textId="77777777" w:rsidR="004B2FF4" w:rsidRPr="004B2FF4" w:rsidRDefault="004B2FF4" w:rsidP="00E16DB5">
            <w:pPr>
              <w:pStyle w:val="TableTextRight"/>
              <w:spacing w:before="20" w:after="20"/>
              <w:rPr>
                <w:rFonts w:eastAsia="Arial"/>
              </w:rPr>
            </w:pPr>
            <w:r w:rsidRPr="004B2FF4">
              <w:rPr>
                <w:rFonts w:eastAsia="Arial"/>
              </w:rPr>
              <w:t>1.15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3F083B37" w14:textId="77777777" w:rsidR="004B2FF4" w:rsidRPr="004B2FF4" w:rsidRDefault="004B2FF4" w:rsidP="00E16DB5">
            <w:pPr>
              <w:pStyle w:val="TableTextRight"/>
              <w:spacing w:before="20" w:after="20"/>
              <w:rPr>
                <w:rFonts w:eastAsia="Arial"/>
              </w:rPr>
            </w:pPr>
            <w:r w:rsidRPr="004B2FF4">
              <w:rPr>
                <w:rFonts w:eastAsia="Arial"/>
              </w:rPr>
              <w:t>1.15</w:t>
            </w:r>
          </w:p>
        </w:tc>
        <w:tc>
          <w:tcPr>
            <w:tcW w:w="1162" w:type="dxa"/>
            <w:tcBorders>
              <w:top w:val="single" w:sz="8" w:space="0" w:color="FFFFFF"/>
              <w:left w:val="single" w:sz="8" w:space="0" w:color="FFFFFF"/>
              <w:bottom w:val="single" w:sz="8" w:space="0" w:color="FFFFFF"/>
              <w:right w:val="nil"/>
            </w:tcBorders>
            <w:shd w:val="clear" w:color="auto" w:fill="E1E8F2"/>
          </w:tcPr>
          <w:p w14:paraId="39D489D1" w14:textId="77777777" w:rsidR="004B2FF4" w:rsidRPr="004B2FF4" w:rsidRDefault="004B2FF4" w:rsidP="00E16DB5">
            <w:pPr>
              <w:pStyle w:val="TableTextRight"/>
              <w:spacing w:before="20" w:after="20"/>
              <w:rPr>
                <w:rFonts w:eastAsia="Arial"/>
              </w:rPr>
            </w:pPr>
            <w:r w:rsidRPr="004B2FF4">
              <w:rPr>
                <w:rFonts w:eastAsia="Arial"/>
              </w:rPr>
              <w:t>1.10</w:t>
            </w:r>
          </w:p>
        </w:tc>
      </w:tr>
      <w:tr w:rsidR="004B2FF4" w:rsidRPr="004B2FF4" w14:paraId="1D79B8CE"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10E9FD63" w14:textId="77777777" w:rsidR="004B2FF4" w:rsidRPr="004B2FF4" w:rsidRDefault="004B2FF4" w:rsidP="00E16DB5">
            <w:pPr>
              <w:pStyle w:val="TableTextLeft"/>
              <w:spacing w:before="20" w:after="20"/>
              <w:rPr>
                <w:rFonts w:eastAsia="Arial"/>
                <w:b/>
              </w:rPr>
            </w:pPr>
            <w:r w:rsidRPr="004B2FF4">
              <w:rPr>
                <w:rFonts w:eastAsia="Arial"/>
                <w:b/>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BAA75CF"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557684E7"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nil"/>
            </w:tcBorders>
            <w:shd w:val="clear" w:color="auto" w:fill="E1E8F2"/>
          </w:tcPr>
          <w:p w14:paraId="3ED571C0" w14:textId="77777777" w:rsidR="004B2FF4" w:rsidRPr="004B2FF4" w:rsidRDefault="004B2FF4" w:rsidP="00E16DB5">
            <w:pPr>
              <w:pStyle w:val="TableTextRight"/>
              <w:spacing w:before="20" w:after="20"/>
              <w:rPr>
                <w:rFonts w:eastAsia="Arial"/>
              </w:rPr>
            </w:pPr>
            <w:r w:rsidRPr="004B2FF4">
              <w:rPr>
                <w:rFonts w:eastAsia="Arial"/>
              </w:rPr>
              <w:t>1.09</w:t>
            </w:r>
          </w:p>
        </w:tc>
      </w:tr>
      <w:tr w:rsidR="004B2FF4" w:rsidRPr="004B2FF4" w14:paraId="407E3A8C"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61B37972" w14:textId="77777777" w:rsidR="004B2FF4" w:rsidRPr="004B2FF4" w:rsidRDefault="004B2FF4" w:rsidP="00E16DB5">
            <w:pPr>
              <w:pStyle w:val="TableTextLeft"/>
              <w:spacing w:before="20" w:after="20"/>
              <w:rPr>
                <w:rFonts w:eastAsia="Arial"/>
                <w:b/>
              </w:rPr>
            </w:pPr>
            <w:r w:rsidRPr="004B2FF4">
              <w:rPr>
                <w:rFonts w:eastAsia="Arial"/>
                <w:b/>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3D46F69C"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66FA399" w14:textId="77777777" w:rsidR="004B2FF4" w:rsidRPr="004B2FF4" w:rsidRDefault="004B2FF4" w:rsidP="00E16DB5">
            <w:pPr>
              <w:pStyle w:val="TableTextRight"/>
              <w:spacing w:before="20" w:after="20"/>
              <w:rPr>
                <w:rFonts w:eastAsia="Arial"/>
              </w:rPr>
            </w:pPr>
            <w:r w:rsidRPr="004B2FF4">
              <w:rPr>
                <w:rFonts w:eastAsia="Arial"/>
              </w:rPr>
              <w:t>1.16</w:t>
            </w:r>
          </w:p>
        </w:tc>
        <w:tc>
          <w:tcPr>
            <w:tcW w:w="1162" w:type="dxa"/>
            <w:tcBorders>
              <w:top w:val="single" w:sz="8" w:space="0" w:color="FFFFFF"/>
              <w:left w:val="single" w:sz="8" w:space="0" w:color="FFFFFF"/>
              <w:bottom w:val="single" w:sz="8" w:space="0" w:color="FFFFFF"/>
              <w:right w:val="nil"/>
            </w:tcBorders>
            <w:shd w:val="clear" w:color="auto" w:fill="E1E8F2"/>
          </w:tcPr>
          <w:p w14:paraId="63E4181F" w14:textId="77777777" w:rsidR="004B2FF4" w:rsidRPr="004B2FF4" w:rsidRDefault="004B2FF4" w:rsidP="00E16DB5">
            <w:pPr>
              <w:pStyle w:val="TableTextRight"/>
              <w:spacing w:before="20" w:after="20"/>
              <w:rPr>
                <w:rFonts w:eastAsia="Arial"/>
              </w:rPr>
            </w:pPr>
            <w:r w:rsidRPr="004B2FF4">
              <w:rPr>
                <w:rFonts w:eastAsia="Arial"/>
              </w:rPr>
              <w:t>1.09</w:t>
            </w:r>
          </w:p>
        </w:tc>
      </w:tr>
      <w:tr w:rsidR="004B2FF4" w:rsidRPr="004B2FF4" w14:paraId="52B815D8" w14:textId="77777777" w:rsidTr="00E16DB5">
        <w:trPr>
          <w:trHeight w:val="113"/>
        </w:trPr>
        <w:tc>
          <w:tcPr>
            <w:tcW w:w="907" w:type="dxa"/>
            <w:tcBorders>
              <w:top w:val="single" w:sz="8" w:space="0" w:color="FFFFFF"/>
              <w:left w:val="nil"/>
              <w:bottom w:val="single" w:sz="8" w:space="0" w:color="FFFFFF"/>
              <w:right w:val="single" w:sz="8" w:space="0" w:color="FFFFFF"/>
            </w:tcBorders>
            <w:shd w:val="clear" w:color="auto" w:fill="DEDEE3"/>
          </w:tcPr>
          <w:p w14:paraId="4598EC2B" w14:textId="77777777" w:rsidR="004B2FF4" w:rsidRPr="004B2FF4" w:rsidRDefault="004B2FF4" w:rsidP="00E16DB5">
            <w:pPr>
              <w:pStyle w:val="TableTextLeft"/>
              <w:spacing w:before="20" w:after="20"/>
              <w:rPr>
                <w:rFonts w:eastAsia="Arial"/>
                <w:b/>
              </w:rPr>
            </w:pPr>
            <w:r w:rsidRPr="004B2FF4">
              <w:rPr>
                <w:rFonts w:eastAsia="Arial"/>
                <w:b/>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16A90943" w14:textId="77777777" w:rsidR="004B2FF4" w:rsidRPr="004B2FF4" w:rsidRDefault="004B2FF4" w:rsidP="00E16DB5">
            <w:pPr>
              <w:pStyle w:val="TableTextRight"/>
              <w:spacing w:before="20" w:after="20"/>
              <w:rPr>
                <w:rFonts w:eastAsia="Arial"/>
              </w:rPr>
            </w:pPr>
            <w:r w:rsidRPr="004B2FF4">
              <w:rPr>
                <w:rFonts w:eastAsia="Arial"/>
              </w:rPr>
              <w:t>1.17</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DD5086F" w14:textId="77777777" w:rsidR="004B2FF4" w:rsidRPr="004B2FF4" w:rsidRDefault="004B2FF4" w:rsidP="00E16DB5">
            <w:pPr>
              <w:pStyle w:val="TableTextRight"/>
              <w:spacing w:before="20" w:after="20"/>
              <w:rPr>
                <w:rFonts w:eastAsia="Arial"/>
              </w:rPr>
            </w:pPr>
            <w:r w:rsidRPr="004B2FF4">
              <w:rPr>
                <w:rFonts w:eastAsia="Arial"/>
              </w:rPr>
              <w:t>1.17</w:t>
            </w:r>
          </w:p>
        </w:tc>
        <w:tc>
          <w:tcPr>
            <w:tcW w:w="1162" w:type="dxa"/>
            <w:tcBorders>
              <w:top w:val="single" w:sz="8" w:space="0" w:color="FFFFFF"/>
              <w:left w:val="single" w:sz="8" w:space="0" w:color="FFFFFF"/>
              <w:bottom w:val="single" w:sz="8" w:space="0" w:color="FFFFFF"/>
              <w:right w:val="nil"/>
            </w:tcBorders>
            <w:shd w:val="clear" w:color="auto" w:fill="E1E8F2"/>
          </w:tcPr>
          <w:p w14:paraId="20B173E7" w14:textId="77777777" w:rsidR="004B2FF4" w:rsidRPr="004B2FF4" w:rsidRDefault="004B2FF4" w:rsidP="00E16DB5">
            <w:pPr>
              <w:pStyle w:val="TableTextRight"/>
              <w:spacing w:before="20" w:after="20"/>
              <w:rPr>
                <w:rFonts w:eastAsia="Arial"/>
              </w:rPr>
            </w:pPr>
            <w:r w:rsidRPr="004B2FF4">
              <w:rPr>
                <w:rFonts w:eastAsia="Arial"/>
              </w:rPr>
              <w:t>1.09</w:t>
            </w:r>
          </w:p>
        </w:tc>
      </w:tr>
      <w:tr w:rsidR="004B2FF4" w:rsidRPr="004B2FF4" w14:paraId="2E0C3D95" w14:textId="77777777" w:rsidTr="00E16DB5">
        <w:trPr>
          <w:trHeight w:val="113"/>
        </w:trPr>
        <w:tc>
          <w:tcPr>
            <w:tcW w:w="907" w:type="dxa"/>
            <w:tcBorders>
              <w:top w:val="single" w:sz="8" w:space="0" w:color="FFFFFF"/>
              <w:left w:val="nil"/>
              <w:bottom w:val="nil"/>
              <w:right w:val="single" w:sz="8" w:space="0" w:color="FFFFFF"/>
            </w:tcBorders>
            <w:shd w:val="clear" w:color="auto" w:fill="DEDEE3"/>
          </w:tcPr>
          <w:p w14:paraId="7B2AF0C2" w14:textId="77777777" w:rsidR="004B2FF4" w:rsidRPr="004B2FF4" w:rsidRDefault="004B2FF4" w:rsidP="00E16DB5">
            <w:pPr>
              <w:pStyle w:val="TableTextLeft"/>
              <w:spacing w:before="20" w:after="20"/>
              <w:rPr>
                <w:rFonts w:eastAsia="Arial"/>
                <w:b/>
              </w:rPr>
            </w:pPr>
            <w:r w:rsidRPr="004B2FF4">
              <w:rPr>
                <w:rFonts w:eastAsia="Arial"/>
                <w:b/>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396334E5" w14:textId="77777777" w:rsidR="004B2FF4" w:rsidRPr="004B2FF4" w:rsidRDefault="004B2FF4" w:rsidP="00E16DB5">
            <w:pPr>
              <w:pStyle w:val="TableTextRight"/>
              <w:spacing w:before="20" w:after="20"/>
              <w:rPr>
                <w:rFonts w:eastAsia="Arial"/>
              </w:rPr>
            </w:pPr>
            <w:r w:rsidRPr="004B2FF4">
              <w:rPr>
                <w:rFonts w:eastAsia="Arial"/>
              </w:rPr>
              <w:t>1.18</w:t>
            </w:r>
          </w:p>
        </w:tc>
        <w:tc>
          <w:tcPr>
            <w:tcW w:w="1162" w:type="dxa"/>
            <w:tcBorders>
              <w:top w:val="single" w:sz="8" w:space="0" w:color="FFFFFF"/>
              <w:left w:val="single" w:sz="8" w:space="0" w:color="FFFFFF"/>
              <w:bottom w:val="nil"/>
              <w:right w:val="single" w:sz="8" w:space="0" w:color="FFFFFF"/>
            </w:tcBorders>
            <w:shd w:val="clear" w:color="auto" w:fill="F7E4DE"/>
          </w:tcPr>
          <w:p w14:paraId="2DF0F6C1" w14:textId="77777777" w:rsidR="004B2FF4" w:rsidRPr="004B2FF4" w:rsidRDefault="004B2FF4" w:rsidP="00E16DB5">
            <w:pPr>
              <w:pStyle w:val="TableTextRight"/>
              <w:spacing w:before="20" w:after="20"/>
              <w:rPr>
                <w:rFonts w:eastAsia="Arial"/>
              </w:rPr>
            </w:pPr>
            <w:r w:rsidRPr="004B2FF4">
              <w:rPr>
                <w:rFonts w:eastAsia="Arial"/>
              </w:rPr>
              <w:t>1.18</w:t>
            </w:r>
          </w:p>
        </w:tc>
        <w:tc>
          <w:tcPr>
            <w:tcW w:w="1162" w:type="dxa"/>
            <w:tcBorders>
              <w:top w:val="single" w:sz="8" w:space="0" w:color="FFFFFF"/>
              <w:left w:val="single" w:sz="8" w:space="0" w:color="FFFFFF"/>
              <w:bottom w:val="nil"/>
              <w:right w:val="nil"/>
            </w:tcBorders>
            <w:shd w:val="clear" w:color="auto" w:fill="E1E8F2"/>
          </w:tcPr>
          <w:p w14:paraId="1037217C" w14:textId="77777777" w:rsidR="004B2FF4" w:rsidRPr="004B2FF4" w:rsidRDefault="004B2FF4" w:rsidP="00E16DB5">
            <w:pPr>
              <w:pStyle w:val="TableTextRight"/>
              <w:spacing w:before="20" w:after="20"/>
              <w:rPr>
                <w:rFonts w:eastAsia="Arial"/>
              </w:rPr>
            </w:pPr>
            <w:r w:rsidRPr="004B2FF4">
              <w:rPr>
                <w:rFonts w:eastAsia="Arial"/>
              </w:rPr>
              <w:t>1.08</w:t>
            </w:r>
          </w:p>
        </w:tc>
      </w:tr>
    </w:tbl>
    <w:p w14:paraId="26A34510" w14:textId="77777777" w:rsidR="004B2FF4" w:rsidRPr="001266EC" w:rsidRDefault="004B2FF4" w:rsidP="00E16DB5">
      <w:pPr>
        <w:pStyle w:val="SingleParagraph"/>
        <w:rPr>
          <w:rFonts w:eastAsia="Arial"/>
          <w:sz w:val="16"/>
          <w:szCs w:val="16"/>
        </w:rPr>
      </w:pPr>
    </w:p>
    <w:tbl>
      <w:tblPr>
        <w:tblW w:w="0" w:type="auto"/>
        <w:tblInd w:w="119" w:type="dxa"/>
        <w:tblLayout w:type="fixed"/>
        <w:tblCellMar>
          <w:left w:w="57" w:type="dxa"/>
          <w:right w:w="57" w:type="dxa"/>
        </w:tblCellMar>
        <w:tblLook w:val="01E0" w:firstRow="1" w:lastRow="1" w:firstColumn="1" w:lastColumn="1" w:noHBand="0" w:noVBand="0"/>
      </w:tblPr>
      <w:tblGrid>
        <w:gridCol w:w="907"/>
        <w:gridCol w:w="1162"/>
        <w:gridCol w:w="1162"/>
        <w:gridCol w:w="1162"/>
      </w:tblGrid>
      <w:tr w:rsidR="004B2FF4" w:rsidRPr="004B2FF4" w14:paraId="138921F6" w14:textId="77777777" w:rsidTr="00E16DB5">
        <w:trPr>
          <w:trHeight w:val="57"/>
        </w:trPr>
        <w:tc>
          <w:tcPr>
            <w:tcW w:w="907" w:type="dxa"/>
            <w:tcBorders>
              <w:top w:val="nil"/>
              <w:left w:val="nil"/>
              <w:bottom w:val="single" w:sz="8" w:space="0" w:color="FFFFFF"/>
              <w:right w:val="single" w:sz="8" w:space="0" w:color="FFFFFF"/>
            </w:tcBorders>
            <w:shd w:val="clear" w:color="auto" w:fill="354866"/>
          </w:tcPr>
          <w:p w14:paraId="609D38AC" w14:textId="77777777" w:rsidR="004B2FF4" w:rsidRPr="004B2FF4" w:rsidRDefault="004B2FF4" w:rsidP="00E16DB5">
            <w:pPr>
              <w:pStyle w:val="TableColumnHeadingLeft"/>
              <w:spacing w:before="20" w:after="20"/>
              <w:rPr>
                <w:rFonts w:eastAsia="Arial"/>
              </w:rPr>
            </w:pPr>
            <w:r w:rsidRPr="004B2FF4">
              <w:rPr>
                <w:rFonts w:eastAsia="Arial"/>
              </w:rPr>
              <w:t>NT</w:t>
            </w:r>
          </w:p>
        </w:tc>
        <w:tc>
          <w:tcPr>
            <w:tcW w:w="1162" w:type="dxa"/>
            <w:tcBorders>
              <w:top w:val="nil"/>
              <w:left w:val="single" w:sz="8" w:space="0" w:color="FFFFFF"/>
              <w:bottom w:val="single" w:sz="8" w:space="0" w:color="FFFFFF"/>
              <w:right w:val="single" w:sz="8" w:space="0" w:color="FFFFFF"/>
            </w:tcBorders>
            <w:shd w:val="clear" w:color="auto" w:fill="007C59"/>
          </w:tcPr>
          <w:p w14:paraId="0A9411BA" w14:textId="77777777" w:rsidR="004B2FF4" w:rsidRPr="004B2FF4" w:rsidRDefault="004B2FF4" w:rsidP="00E16DB5">
            <w:pPr>
              <w:pStyle w:val="TableColumnHeadingRight"/>
              <w:spacing w:before="20" w:after="20"/>
              <w:rPr>
                <w:rFonts w:eastAsia="Arial"/>
              </w:rPr>
            </w:pPr>
            <w:r w:rsidRPr="004B2FF4">
              <w:rPr>
                <w:rFonts w:eastAsia="Arial"/>
              </w:rPr>
              <w:t>Current system*</w:t>
            </w:r>
          </w:p>
        </w:tc>
        <w:tc>
          <w:tcPr>
            <w:tcW w:w="1162" w:type="dxa"/>
            <w:tcBorders>
              <w:top w:val="nil"/>
              <w:left w:val="single" w:sz="8" w:space="0" w:color="FFFFFF"/>
              <w:bottom w:val="single" w:sz="8" w:space="0" w:color="FFFFFF"/>
              <w:right w:val="single" w:sz="8" w:space="0" w:color="FFFFFF"/>
            </w:tcBorders>
            <w:shd w:val="clear" w:color="auto" w:fill="C53341"/>
          </w:tcPr>
          <w:p w14:paraId="6D78CDFB" w14:textId="77777777" w:rsidR="004B2FF4" w:rsidRPr="004B2FF4" w:rsidRDefault="004B2FF4" w:rsidP="00E16DB5">
            <w:pPr>
              <w:pStyle w:val="TableColumnHeadingRight"/>
              <w:spacing w:before="20" w:after="20"/>
              <w:rPr>
                <w:rFonts w:eastAsia="Arial"/>
              </w:rPr>
            </w:pPr>
            <w:proofErr w:type="spellStart"/>
            <w:r w:rsidRPr="004B2FF4">
              <w:rPr>
                <w:rFonts w:eastAsia="Arial"/>
              </w:rPr>
              <w:t>Govt</w:t>
            </w:r>
            <w:proofErr w:type="spellEnd"/>
            <w:r w:rsidRPr="004B2FF4">
              <w:rPr>
                <w:rFonts w:eastAsia="Arial"/>
              </w:rPr>
              <w:t xml:space="preserve"> preferred</w:t>
            </w:r>
          </w:p>
        </w:tc>
        <w:tc>
          <w:tcPr>
            <w:tcW w:w="1162" w:type="dxa"/>
            <w:tcBorders>
              <w:top w:val="nil"/>
              <w:left w:val="single" w:sz="8" w:space="0" w:color="FFFFFF"/>
              <w:bottom w:val="single" w:sz="8" w:space="0" w:color="FFFFFF"/>
              <w:right w:val="nil"/>
            </w:tcBorders>
            <w:shd w:val="clear" w:color="auto" w:fill="0071AE"/>
          </w:tcPr>
          <w:p w14:paraId="4E8305FA" w14:textId="77777777" w:rsidR="004B2FF4" w:rsidRPr="004B2FF4" w:rsidRDefault="004B2FF4" w:rsidP="00E16DB5">
            <w:pPr>
              <w:pStyle w:val="TableColumnHeadingRight"/>
              <w:spacing w:before="20" w:after="20"/>
              <w:rPr>
                <w:rFonts w:eastAsia="Arial"/>
              </w:rPr>
            </w:pPr>
            <w:r w:rsidRPr="004B2FF4">
              <w:rPr>
                <w:rFonts w:eastAsia="Arial"/>
              </w:rPr>
              <w:t>PC option</w:t>
            </w:r>
          </w:p>
        </w:tc>
      </w:tr>
      <w:tr w:rsidR="004B2FF4" w:rsidRPr="004B2FF4" w14:paraId="137F4617"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0EE8A18D" w14:textId="77777777" w:rsidR="004B2FF4" w:rsidRPr="004B2FF4" w:rsidRDefault="004B2FF4" w:rsidP="00E16DB5">
            <w:pPr>
              <w:pStyle w:val="TableTextLeft"/>
              <w:spacing w:before="20" w:after="20"/>
              <w:rPr>
                <w:rFonts w:eastAsia="Arial"/>
                <w:b/>
              </w:rPr>
            </w:pPr>
            <w:r w:rsidRPr="004B2FF4">
              <w:rPr>
                <w:rFonts w:eastAsia="Arial"/>
                <w:b/>
              </w:rPr>
              <w:t>2019-20^</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D8A6722" w14:textId="77777777" w:rsidR="004B2FF4" w:rsidRPr="004B2FF4" w:rsidRDefault="004B2FF4" w:rsidP="00E16DB5">
            <w:pPr>
              <w:pStyle w:val="TableTextRight"/>
              <w:spacing w:before="20" w:after="20"/>
              <w:rPr>
                <w:rFonts w:eastAsia="Arial"/>
              </w:rPr>
            </w:pPr>
            <w:r w:rsidRPr="004B2FF4">
              <w:rPr>
                <w:rFonts w:eastAsia="Arial"/>
              </w:rPr>
              <w:t>4.55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1A32CB7" w14:textId="77777777" w:rsidR="004B2FF4" w:rsidRPr="004B2FF4" w:rsidRDefault="004B2FF4" w:rsidP="00E16DB5">
            <w:pPr>
              <w:pStyle w:val="TableTextRight"/>
              <w:spacing w:before="20" w:after="20"/>
              <w:rPr>
                <w:rFonts w:eastAsia="Arial"/>
              </w:rPr>
            </w:pPr>
            <w:r w:rsidRPr="004B2FF4">
              <w:rPr>
                <w:rFonts w:eastAsia="Arial"/>
              </w:rPr>
              <w:t>4.66</w:t>
            </w:r>
          </w:p>
        </w:tc>
        <w:tc>
          <w:tcPr>
            <w:tcW w:w="1162" w:type="dxa"/>
            <w:tcBorders>
              <w:top w:val="single" w:sz="8" w:space="0" w:color="FFFFFF"/>
              <w:left w:val="single" w:sz="8" w:space="0" w:color="FFFFFF"/>
              <w:bottom w:val="single" w:sz="8" w:space="0" w:color="FFFFFF"/>
              <w:right w:val="nil"/>
            </w:tcBorders>
            <w:shd w:val="clear" w:color="auto" w:fill="E1E8F2"/>
          </w:tcPr>
          <w:p w14:paraId="3BF72626" w14:textId="77777777" w:rsidR="004B2FF4" w:rsidRPr="004B2FF4" w:rsidRDefault="004B2FF4" w:rsidP="00E16DB5">
            <w:pPr>
              <w:pStyle w:val="TableTextRight"/>
              <w:spacing w:before="20" w:after="20"/>
              <w:rPr>
                <w:rFonts w:eastAsia="Arial"/>
              </w:rPr>
            </w:pPr>
            <w:r w:rsidRPr="004B2FF4">
              <w:rPr>
                <w:rFonts w:eastAsia="Arial"/>
              </w:rPr>
              <w:t>4.54</w:t>
            </w:r>
          </w:p>
        </w:tc>
      </w:tr>
      <w:tr w:rsidR="004B2FF4" w:rsidRPr="004B2FF4" w14:paraId="72FAE82D"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14B0A25F" w14:textId="77777777" w:rsidR="004B2FF4" w:rsidRPr="004B2FF4" w:rsidRDefault="004B2FF4" w:rsidP="00E16DB5">
            <w:pPr>
              <w:pStyle w:val="TableTextLeft"/>
              <w:spacing w:before="20" w:after="20"/>
              <w:rPr>
                <w:rFonts w:eastAsia="Arial"/>
                <w:b/>
              </w:rPr>
            </w:pPr>
            <w:r w:rsidRPr="004B2FF4">
              <w:rPr>
                <w:rFonts w:eastAsia="Arial"/>
                <w:b/>
              </w:rPr>
              <w:t>2020-21</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751CAF6" w14:textId="77777777" w:rsidR="004B2FF4" w:rsidRPr="004B2FF4" w:rsidRDefault="004B2FF4" w:rsidP="00E16DB5">
            <w:pPr>
              <w:pStyle w:val="TableTextRight"/>
              <w:spacing w:before="20" w:after="20"/>
              <w:rPr>
                <w:rFonts w:eastAsia="Arial"/>
              </w:rPr>
            </w:pPr>
            <w:r w:rsidRPr="004B2FF4">
              <w:rPr>
                <w:rFonts w:eastAsia="Arial"/>
              </w:rPr>
              <w:t>4.75</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7E41EE6" w14:textId="77777777" w:rsidR="004B2FF4" w:rsidRPr="004B2FF4" w:rsidRDefault="004B2FF4" w:rsidP="00E16DB5">
            <w:pPr>
              <w:pStyle w:val="TableTextRight"/>
              <w:spacing w:before="20" w:after="20"/>
              <w:rPr>
                <w:rFonts w:eastAsia="Arial"/>
              </w:rPr>
            </w:pPr>
            <w:r w:rsidRPr="004B2FF4">
              <w:rPr>
                <w:rFonts w:eastAsia="Arial"/>
              </w:rPr>
              <w:t>4.76</w:t>
            </w:r>
          </w:p>
        </w:tc>
        <w:tc>
          <w:tcPr>
            <w:tcW w:w="1162" w:type="dxa"/>
            <w:tcBorders>
              <w:top w:val="single" w:sz="8" w:space="0" w:color="FFFFFF"/>
              <w:left w:val="single" w:sz="8" w:space="0" w:color="FFFFFF"/>
              <w:bottom w:val="single" w:sz="8" w:space="0" w:color="FFFFFF"/>
              <w:right w:val="nil"/>
            </w:tcBorders>
            <w:shd w:val="clear" w:color="auto" w:fill="E1E8F2"/>
          </w:tcPr>
          <w:p w14:paraId="05824E1A" w14:textId="77777777" w:rsidR="004B2FF4" w:rsidRPr="004B2FF4" w:rsidRDefault="004B2FF4" w:rsidP="00E16DB5">
            <w:pPr>
              <w:pStyle w:val="TableTextRight"/>
              <w:spacing w:before="20" w:after="20"/>
              <w:rPr>
                <w:rFonts w:eastAsia="Arial"/>
              </w:rPr>
            </w:pPr>
            <w:r w:rsidRPr="004B2FF4">
              <w:rPr>
                <w:rFonts w:eastAsia="Arial"/>
              </w:rPr>
              <w:t>4.74</w:t>
            </w:r>
          </w:p>
        </w:tc>
      </w:tr>
      <w:tr w:rsidR="004B2FF4" w:rsidRPr="004B2FF4" w14:paraId="7394EFFB"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1EA9F10C" w14:textId="77777777" w:rsidR="004B2FF4" w:rsidRPr="004B2FF4" w:rsidRDefault="004B2FF4" w:rsidP="00E16DB5">
            <w:pPr>
              <w:pStyle w:val="TableTextLeft"/>
              <w:spacing w:before="20" w:after="20"/>
              <w:rPr>
                <w:rFonts w:eastAsia="Arial"/>
                <w:b/>
              </w:rPr>
            </w:pPr>
            <w:r w:rsidRPr="004B2FF4">
              <w:rPr>
                <w:rFonts w:eastAsia="Arial"/>
                <w:b/>
              </w:rPr>
              <w:t>2021-22</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8912602" w14:textId="77777777" w:rsidR="004B2FF4" w:rsidRPr="004B2FF4" w:rsidRDefault="004B2FF4" w:rsidP="00E16DB5">
            <w:pPr>
              <w:pStyle w:val="TableTextRight"/>
              <w:spacing w:before="20" w:after="20"/>
              <w:rPr>
                <w:rFonts w:eastAsia="Arial"/>
              </w:rPr>
            </w:pPr>
            <w:r w:rsidRPr="004B2FF4">
              <w:rPr>
                <w:rFonts w:eastAsia="Arial"/>
              </w:rPr>
              <w:t>4.67</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736C13F5" w14:textId="77777777" w:rsidR="004B2FF4" w:rsidRPr="004B2FF4" w:rsidRDefault="004B2FF4" w:rsidP="00E16DB5">
            <w:pPr>
              <w:pStyle w:val="TableTextRight"/>
              <w:spacing w:before="20" w:after="20"/>
              <w:rPr>
                <w:rFonts w:eastAsia="Arial"/>
              </w:rPr>
            </w:pPr>
            <w:r w:rsidRPr="004B2FF4">
              <w:rPr>
                <w:rFonts w:eastAsia="Arial"/>
              </w:rPr>
              <w:t>4.68</w:t>
            </w:r>
          </w:p>
        </w:tc>
        <w:tc>
          <w:tcPr>
            <w:tcW w:w="1162" w:type="dxa"/>
            <w:tcBorders>
              <w:top w:val="single" w:sz="8" w:space="0" w:color="FFFFFF"/>
              <w:left w:val="single" w:sz="8" w:space="0" w:color="FFFFFF"/>
              <w:bottom w:val="single" w:sz="8" w:space="0" w:color="FFFFFF"/>
              <w:right w:val="nil"/>
            </w:tcBorders>
            <w:shd w:val="clear" w:color="auto" w:fill="E1E8F2"/>
          </w:tcPr>
          <w:p w14:paraId="14469A2A" w14:textId="77777777" w:rsidR="004B2FF4" w:rsidRPr="004B2FF4" w:rsidRDefault="004B2FF4" w:rsidP="00E16DB5">
            <w:pPr>
              <w:pStyle w:val="TableTextRight"/>
              <w:spacing w:before="20" w:after="20"/>
              <w:rPr>
                <w:rFonts w:eastAsia="Arial"/>
              </w:rPr>
            </w:pPr>
            <w:r w:rsidRPr="004B2FF4">
              <w:rPr>
                <w:rFonts w:eastAsia="Arial"/>
              </w:rPr>
              <w:t>4.64</w:t>
            </w:r>
          </w:p>
        </w:tc>
      </w:tr>
      <w:tr w:rsidR="004B2FF4" w:rsidRPr="004B2FF4" w14:paraId="46D245FD"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33C76F43" w14:textId="77777777" w:rsidR="004B2FF4" w:rsidRPr="004B2FF4" w:rsidRDefault="004B2FF4" w:rsidP="00E16DB5">
            <w:pPr>
              <w:pStyle w:val="TableTextLeft"/>
              <w:spacing w:before="20" w:after="20"/>
              <w:rPr>
                <w:rFonts w:eastAsia="Arial"/>
                <w:b/>
              </w:rPr>
            </w:pPr>
            <w:r w:rsidRPr="004B2FF4">
              <w:rPr>
                <w:rFonts w:eastAsia="Arial"/>
                <w:b/>
              </w:rPr>
              <w:t>2022-23</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5043995" w14:textId="77777777" w:rsidR="004B2FF4" w:rsidRPr="004B2FF4" w:rsidRDefault="004B2FF4" w:rsidP="00E16DB5">
            <w:pPr>
              <w:pStyle w:val="TableTextRight"/>
              <w:spacing w:before="20" w:after="20"/>
              <w:rPr>
                <w:rFonts w:eastAsia="Arial"/>
              </w:rPr>
            </w:pPr>
            <w:r w:rsidRPr="004B2FF4">
              <w:rPr>
                <w:rFonts w:eastAsia="Arial"/>
              </w:rPr>
              <w:t>4.84</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0E21AD3F" w14:textId="77777777" w:rsidR="004B2FF4" w:rsidRPr="004B2FF4" w:rsidRDefault="004B2FF4" w:rsidP="00E16DB5">
            <w:pPr>
              <w:pStyle w:val="TableTextRight"/>
              <w:spacing w:before="20" w:after="20"/>
              <w:rPr>
                <w:rFonts w:eastAsia="Arial"/>
              </w:rPr>
            </w:pPr>
            <w:r w:rsidRPr="004B2FF4">
              <w:rPr>
                <w:rFonts w:eastAsia="Arial"/>
              </w:rPr>
              <w:t>4.85</w:t>
            </w:r>
          </w:p>
        </w:tc>
        <w:tc>
          <w:tcPr>
            <w:tcW w:w="1162" w:type="dxa"/>
            <w:tcBorders>
              <w:top w:val="single" w:sz="8" w:space="0" w:color="FFFFFF"/>
              <w:left w:val="single" w:sz="8" w:space="0" w:color="FFFFFF"/>
              <w:bottom w:val="single" w:sz="8" w:space="0" w:color="FFFFFF"/>
              <w:right w:val="nil"/>
            </w:tcBorders>
            <w:shd w:val="clear" w:color="auto" w:fill="E1E8F2"/>
          </w:tcPr>
          <w:p w14:paraId="3D00127E" w14:textId="77777777" w:rsidR="004B2FF4" w:rsidRPr="004B2FF4" w:rsidRDefault="004B2FF4" w:rsidP="00E16DB5">
            <w:pPr>
              <w:pStyle w:val="TableTextRight"/>
              <w:spacing w:before="20" w:after="20"/>
              <w:rPr>
                <w:rFonts w:eastAsia="Arial"/>
              </w:rPr>
            </w:pPr>
            <w:r w:rsidRPr="004B2FF4">
              <w:rPr>
                <w:rFonts w:eastAsia="Arial"/>
              </w:rPr>
              <w:t>4.80</w:t>
            </w:r>
          </w:p>
        </w:tc>
      </w:tr>
      <w:tr w:rsidR="004B2FF4" w:rsidRPr="004B2FF4" w14:paraId="70DB01E2"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0BD3C910" w14:textId="77777777" w:rsidR="004B2FF4" w:rsidRPr="004B2FF4" w:rsidRDefault="004B2FF4" w:rsidP="00E16DB5">
            <w:pPr>
              <w:pStyle w:val="TableTextLeft"/>
              <w:spacing w:before="20" w:after="20"/>
              <w:rPr>
                <w:rFonts w:eastAsia="Arial"/>
                <w:b/>
              </w:rPr>
            </w:pPr>
            <w:r w:rsidRPr="004B2FF4">
              <w:rPr>
                <w:rFonts w:eastAsia="Arial"/>
                <w:b/>
              </w:rPr>
              <w:t>2023-24</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56D52F98" w14:textId="77777777" w:rsidR="004B2FF4" w:rsidRPr="004B2FF4" w:rsidRDefault="004B2FF4" w:rsidP="00E16DB5">
            <w:pPr>
              <w:pStyle w:val="TableTextRight"/>
              <w:spacing w:before="20" w:after="20"/>
              <w:rPr>
                <w:rFonts w:eastAsia="Arial"/>
              </w:rPr>
            </w:pPr>
            <w:r w:rsidRPr="004B2FF4">
              <w:rPr>
                <w:rFonts w:eastAsia="Arial"/>
              </w:rPr>
              <w:t>4.86</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4B8FD0AE" w14:textId="77777777" w:rsidR="004B2FF4" w:rsidRPr="004B2FF4" w:rsidRDefault="004B2FF4" w:rsidP="00E16DB5">
            <w:pPr>
              <w:pStyle w:val="TableTextRight"/>
              <w:spacing w:before="20" w:after="20"/>
              <w:rPr>
                <w:rFonts w:eastAsia="Arial"/>
              </w:rPr>
            </w:pPr>
            <w:r w:rsidRPr="004B2FF4">
              <w:rPr>
                <w:rFonts w:eastAsia="Arial"/>
              </w:rPr>
              <w:t>4.87</w:t>
            </w:r>
          </w:p>
        </w:tc>
        <w:tc>
          <w:tcPr>
            <w:tcW w:w="1162" w:type="dxa"/>
            <w:tcBorders>
              <w:top w:val="single" w:sz="8" w:space="0" w:color="FFFFFF"/>
              <w:left w:val="single" w:sz="8" w:space="0" w:color="FFFFFF"/>
              <w:bottom w:val="single" w:sz="8" w:space="0" w:color="FFFFFF"/>
              <w:right w:val="nil"/>
            </w:tcBorders>
            <w:shd w:val="clear" w:color="auto" w:fill="E1E8F2"/>
          </w:tcPr>
          <w:p w14:paraId="674583B7" w14:textId="77777777" w:rsidR="004B2FF4" w:rsidRPr="004B2FF4" w:rsidRDefault="004B2FF4" w:rsidP="00E16DB5">
            <w:pPr>
              <w:pStyle w:val="TableTextRight"/>
              <w:spacing w:before="20" w:after="20"/>
              <w:rPr>
                <w:rFonts w:eastAsia="Arial"/>
              </w:rPr>
            </w:pPr>
            <w:r w:rsidRPr="004B2FF4">
              <w:rPr>
                <w:rFonts w:eastAsia="Arial"/>
              </w:rPr>
              <w:t>4.81</w:t>
            </w:r>
          </w:p>
        </w:tc>
      </w:tr>
      <w:tr w:rsidR="004B2FF4" w:rsidRPr="004B2FF4" w14:paraId="552E9C43"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1CE4255A" w14:textId="77777777" w:rsidR="004B2FF4" w:rsidRPr="004B2FF4" w:rsidRDefault="004B2FF4" w:rsidP="00E16DB5">
            <w:pPr>
              <w:pStyle w:val="TableTextLeft"/>
              <w:spacing w:before="20" w:after="20"/>
              <w:rPr>
                <w:rFonts w:eastAsia="Arial"/>
                <w:b/>
              </w:rPr>
            </w:pPr>
            <w:r w:rsidRPr="004B2FF4">
              <w:rPr>
                <w:rFonts w:eastAsia="Arial"/>
                <w:b/>
              </w:rPr>
              <w:t>2024-25</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7779B6E6" w14:textId="77777777" w:rsidR="004B2FF4" w:rsidRPr="004B2FF4" w:rsidRDefault="004B2FF4" w:rsidP="00E16DB5">
            <w:pPr>
              <w:pStyle w:val="TableTextRight"/>
              <w:spacing w:before="20" w:after="20"/>
              <w:rPr>
                <w:rFonts w:eastAsia="Arial"/>
              </w:rPr>
            </w:pPr>
            <w:r w:rsidRPr="004B2FF4">
              <w:rPr>
                <w:rFonts w:eastAsia="Arial"/>
              </w:rPr>
              <w:t>4.88</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136A8128" w14:textId="77777777" w:rsidR="004B2FF4" w:rsidRPr="004B2FF4" w:rsidRDefault="004B2FF4" w:rsidP="00E16DB5">
            <w:pPr>
              <w:pStyle w:val="TableTextRight"/>
              <w:spacing w:before="20" w:after="20"/>
              <w:rPr>
                <w:rFonts w:eastAsia="Arial"/>
              </w:rPr>
            </w:pPr>
            <w:r w:rsidRPr="004B2FF4">
              <w:rPr>
                <w:rFonts w:eastAsia="Arial"/>
              </w:rPr>
              <w:t>4.89</w:t>
            </w:r>
          </w:p>
        </w:tc>
        <w:tc>
          <w:tcPr>
            <w:tcW w:w="1162" w:type="dxa"/>
            <w:tcBorders>
              <w:top w:val="single" w:sz="8" w:space="0" w:color="FFFFFF"/>
              <w:left w:val="single" w:sz="8" w:space="0" w:color="FFFFFF"/>
              <w:bottom w:val="single" w:sz="8" w:space="0" w:color="FFFFFF"/>
              <w:right w:val="nil"/>
            </w:tcBorders>
            <w:shd w:val="clear" w:color="auto" w:fill="E1E8F2"/>
          </w:tcPr>
          <w:p w14:paraId="77E988B6" w14:textId="77777777" w:rsidR="004B2FF4" w:rsidRPr="004B2FF4" w:rsidRDefault="004B2FF4" w:rsidP="00E16DB5">
            <w:pPr>
              <w:pStyle w:val="TableTextRight"/>
              <w:spacing w:before="20" w:after="20"/>
              <w:rPr>
                <w:rFonts w:eastAsia="Arial"/>
              </w:rPr>
            </w:pPr>
            <w:r w:rsidRPr="004B2FF4">
              <w:rPr>
                <w:rFonts w:eastAsia="Arial"/>
              </w:rPr>
              <w:t>4.82</w:t>
            </w:r>
          </w:p>
        </w:tc>
      </w:tr>
      <w:tr w:rsidR="004B2FF4" w:rsidRPr="004B2FF4" w14:paraId="270E9278" w14:textId="77777777" w:rsidTr="00E16DB5">
        <w:trPr>
          <w:trHeight w:val="57"/>
        </w:trPr>
        <w:tc>
          <w:tcPr>
            <w:tcW w:w="907" w:type="dxa"/>
            <w:tcBorders>
              <w:top w:val="single" w:sz="8" w:space="0" w:color="FFFFFF"/>
              <w:left w:val="nil"/>
              <w:bottom w:val="single" w:sz="8" w:space="0" w:color="FFFFFF"/>
              <w:right w:val="single" w:sz="8" w:space="0" w:color="FFFFFF"/>
            </w:tcBorders>
            <w:shd w:val="clear" w:color="auto" w:fill="DEDEE3"/>
          </w:tcPr>
          <w:p w14:paraId="782D90A0" w14:textId="77777777" w:rsidR="004B2FF4" w:rsidRPr="004B2FF4" w:rsidRDefault="004B2FF4" w:rsidP="00E16DB5">
            <w:pPr>
              <w:pStyle w:val="TableTextLeft"/>
              <w:spacing w:before="20" w:after="20"/>
              <w:rPr>
                <w:rFonts w:eastAsia="Arial"/>
                <w:b/>
              </w:rPr>
            </w:pPr>
            <w:r w:rsidRPr="004B2FF4">
              <w:rPr>
                <w:rFonts w:eastAsia="Arial"/>
                <w:b/>
              </w:rPr>
              <w:t>2025-26</w:t>
            </w:r>
          </w:p>
        </w:tc>
        <w:tc>
          <w:tcPr>
            <w:tcW w:w="1162" w:type="dxa"/>
            <w:tcBorders>
              <w:top w:val="single" w:sz="8" w:space="0" w:color="FFFFFF"/>
              <w:left w:val="single" w:sz="8" w:space="0" w:color="FFFFFF"/>
              <w:bottom w:val="single" w:sz="8" w:space="0" w:color="FFFFFF"/>
              <w:right w:val="single" w:sz="8" w:space="0" w:color="FFFFFF"/>
            </w:tcBorders>
            <w:shd w:val="clear" w:color="auto" w:fill="E1E7E3"/>
          </w:tcPr>
          <w:p w14:paraId="0712459C" w14:textId="77777777" w:rsidR="004B2FF4" w:rsidRPr="004B2FF4" w:rsidRDefault="004B2FF4" w:rsidP="00E16DB5">
            <w:pPr>
              <w:pStyle w:val="TableTextRight"/>
              <w:spacing w:before="20" w:after="20"/>
              <w:rPr>
                <w:rFonts w:eastAsia="Arial"/>
              </w:rPr>
            </w:pPr>
            <w:r w:rsidRPr="004B2FF4">
              <w:rPr>
                <w:rFonts w:eastAsia="Arial"/>
              </w:rPr>
              <w:t>4.90</w:t>
            </w:r>
          </w:p>
        </w:tc>
        <w:tc>
          <w:tcPr>
            <w:tcW w:w="1162" w:type="dxa"/>
            <w:tcBorders>
              <w:top w:val="single" w:sz="8" w:space="0" w:color="FFFFFF"/>
              <w:left w:val="single" w:sz="8" w:space="0" w:color="FFFFFF"/>
              <w:bottom w:val="single" w:sz="8" w:space="0" w:color="FFFFFF"/>
              <w:right w:val="single" w:sz="8" w:space="0" w:color="FFFFFF"/>
            </w:tcBorders>
            <w:shd w:val="clear" w:color="auto" w:fill="F7E4DE"/>
          </w:tcPr>
          <w:p w14:paraId="63053255" w14:textId="77777777" w:rsidR="004B2FF4" w:rsidRPr="004B2FF4" w:rsidRDefault="004B2FF4" w:rsidP="00E16DB5">
            <w:pPr>
              <w:pStyle w:val="TableTextRight"/>
              <w:spacing w:before="20" w:after="20"/>
              <w:rPr>
                <w:rFonts w:eastAsia="Arial"/>
              </w:rPr>
            </w:pPr>
            <w:r w:rsidRPr="004B2FF4">
              <w:rPr>
                <w:rFonts w:eastAsia="Arial"/>
              </w:rPr>
              <w:t>4.91</w:t>
            </w:r>
          </w:p>
        </w:tc>
        <w:tc>
          <w:tcPr>
            <w:tcW w:w="1162" w:type="dxa"/>
            <w:tcBorders>
              <w:top w:val="single" w:sz="8" w:space="0" w:color="FFFFFF"/>
              <w:left w:val="single" w:sz="8" w:space="0" w:color="FFFFFF"/>
              <w:bottom w:val="single" w:sz="8" w:space="0" w:color="FFFFFF"/>
              <w:right w:val="nil"/>
            </w:tcBorders>
            <w:shd w:val="clear" w:color="auto" w:fill="E1E8F2"/>
          </w:tcPr>
          <w:p w14:paraId="5968DDB7" w14:textId="77777777" w:rsidR="004B2FF4" w:rsidRPr="004B2FF4" w:rsidRDefault="004B2FF4" w:rsidP="00E16DB5">
            <w:pPr>
              <w:pStyle w:val="TableTextRight"/>
              <w:spacing w:before="20" w:after="20"/>
              <w:rPr>
                <w:rFonts w:eastAsia="Arial"/>
              </w:rPr>
            </w:pPr>
            <w:r w:rsidRPr="004B2FF4">
              <w:rPr>
                <w:rFonts w:eastAsia="Arial"/>
              </w:rPr>
              <w:t>4.83</w:t>
            </w:r>
          </w:p>
        </w:tc>
      </w:tr>
      <w:tr w:rsidR="004B2FF4" w:rsidRPr="004B2FF4" w14:paraId="41E03FE1" w14:textId="77777777" w:rsidTr="00E16DB5">
        <w:trPr>
          <w:trHeight w:val="57"/>
        </w:trPr>
        <w:tc>
          <w:tcPr>
            <w:tcW w:w="907" w:type="dxa"/>
            <w:tcBorders>
              <w:top w:val="single" w:sz="8" w:space="0" w:color="FFFFFF"/>
              <w:left w:val="nil"/>
              <w:bottom w:val="nil"/>
              <w:right w:val="single" w:sz="8" w:space="0" w:color="FFFFFF"/>
            </w:tcBorders>
            <w:shd w:val="clear" w:color="auto" w:fill="DEDEE3"/>
          </w:tcPr>
          <w:p w14:paraId="7515C907" w14:textId="77777777" w:rsidR="004B2FF4" w:rsidRPr="004B2FF4" w:rsidRDefault="004B2FF4" w:rsidP="00E16DB5">
            <w:pPr>
              <w:pStyle w:val="TableTextLeft"/>
              <w:spacing w:before="20" w:after="20"/>
              <w:rPr>
                <w:rFonts w:eastAsia="Arial"/>
                <w:b/>
              </w:rPr>
            </w:pPr>
            <w:r w:rsidRPr="004B2FF4">
              <w:rPr>
                <w:rFonts w:eastAsia="Arial"/>
                <w:b/>
              </w:rPr>
              <w:t>2026-27</w:t>
            </w:r>
          </w:p>
        </w:tc>
        <w:tc>
          <w:tcPr>
            <w:tcW w:w="1162" w:type="dxa"/>
            <w:tcBorders>
              <w:top w:val="single" w:sz="8" w:space="0" w:color="FFFFFF"/>
              <w:left w:val="single" w:sz="8" w:space="0" w:color="FFFFFF"/>
              <w:bottom w:val="nil"/>
              <w:right w:val="single" w:sz="8" w:space="0" w:color="FFFFFF"/>
            </w:tcBorders>
            <w:shd w:val="clear" w:color="auto" w:fill="E1E7E3"/>
          </w:tcPr>
          <w:p w14:paraId="5FCDFDAA" w14:textId="77777777" w:rsidR="004B2FF4" w:rsidRPr="004B2FF4" w:rsidRDefault="004B2FF4" w:rsidP="00E16DB5">
            <w:pPr>
              <w:pStyle w:val="TableTextRight"/>
              <w:spacing w:before="20" w:after="20"/>
              <w:rPr>
                <w:rFonts w:eastAsia="Arial"/>
              </w:rPr>
            </w:pPr>
            <w:r w:rsidRPr="004B2FF4">
              <w:rPr>
                <w:rFonts w:eastAsia="Arial"/>
              </w:rPr>
              <w:t>4.91</w:t>
            </w:r>
          </w:p>
        </w:tc>
        <w:tc>
          <w:tcPr>
            <w:tcW w:w="1162" w:type="dxa"/>
            <w:tcBorders>
              <w:top w:val="single" w:sz="8" w:space="0" w:color="FFFFFF"/>
              <w:left w:val="single" w:sz="8" w:space="0" w:color="FFFFFF"/>
              <w:bottom w:val="nil"/>
              <w:right w:val="single" w:sz="8" w:space="0" w:color="FFFFFF"/>
            </w:tcBorders>
            <w:shd w:val="clear" w:color="auto" w:fill="F7E4DE"/>
          </w:tcPr>
          <w:p w14:paraId="7C8940CA" w14:textId="77777777" w:rsidR="004B2FF4" w:rsidRPr="004B2FF4" w:rsidRDefault="004B2FF4" w:rsidP="00E16DB5">
            <w:pPr>
              <w:pStyle w:val="TableTextRight"/>
              <w:spacing w:before="20" w:after="20"/>
              <w:rPr>
                <w:rFonts w:eastAsia="Arial"/>
              </w:rPr>
            </w:pPr>
            <w:r w:rsidRPr="004B2FF4">
              <w:rPr>
                <w:rFonts w:eastAsia="Arial"/>
              </w:rPr>
              <w:t>4.93</w:t>
            </w:r>
          </w:p>
        </w:tc>
        <w:tc>
          <w:tcPr>
            <w:tcW w:w="1162" w:type="dxa"/>
            <w:tcBorders>
              <w:top w:val="single" w:sz="8" w:space="0" w:color="FFFFFF"/>
              <w:left w:val="single" w:sz="8" w:space="0" w:color="FFFFFF"/>
              <w:bottom w:val="nil"/>
              <w:right w:val="nil"/>
            </w:tcBorders>
            <w:shd w:val="clear" w:color="auto" w:fill="E1E8F2"/>
          </w:tcPr>
          <w:p w14:paraId="38878403" w14:textId="77777777" w:rsidR="004B2FF4" w:rsidRPr="004B2FF4" w:rsidRDefault="004B2FF4" w:rsidP="00E16DB5">
            <w:pPr>
              <w:pStyle w:val="TableTextRight"/>
              <w:spacing w:before="20" w:after="20"/>
              <w:rPr>
                <w:rFonts w:eastAsia="Arial"/>
              </w:rPr>
            </w:pPr>
            <w:r w:rsidRPr="004B2FF4">
              <w:rPr>
                <w:rFonts w:eastAsia="Arial"/>
              </w:rPr>
              <w:t>4.84</w:t>
            </w:r>
          </w:p>
        </w:tc>
      </w:tr>
    </w:tbl>
    <w:p w14:paraId="52FF7DF1" w14:textId="77777777" w:rsidR="005C3E95" w:rsidRDefault="005C3E95" w:rsidP="004B2FF4">
      <w:pPr>
        <w:rPr>
          <w:rFonts w:eastAsia="Arial"/>
        </w:rPr>
        <w:sectPr w:rsidR="005C3E95" w:rsidSect="00833DBC">
          <w:type w:val="continuous"/>
          <w:pgSz w:w="11920" w:h="16840"/>
          <w:pgMar w:top="1134" w:right="1418" w:bottom="1418" w:left="1134" w:header="709" w:footer="709" w:gutter="0"/>
          <w:cols w:num="2" w:space="284"/>
          <w:docGrid w:linePitch="299"/>
        </w:sectPr>
      </w:pPr>
    </w:p>
    <w:p w14:paraId="50460D69" w14:textId="77777777" w:rsidR="007F6037" w:rsidRPr="00E16DB5" w:rsidRDefault="00EE67DE" w:rsidP="00044C10">
      <w:pPr>
        <w:pStyle w:val="ChartorTableNote"/>
        <w:spacing w:before="240"/>
        <w:rPr>
          <w:rFonts w:eastAsia="Arial"/>
        </w:rPr>
      </w:pPr>
      <w:r w:rsidRPr="00E16DB5">
        <w:rPr>
          <w:rFonts w:eastAsia="Arial"/>
        </w:rPr>
        <w:lastRenderedPageBreak/>
        <w:t>*Current system shows nominal relativities, as presented in the PC final report, based on State and Territory Treasury estimates. All other options are presented as effective relativities, calculated by comparing the proposed nominal GST payments to an</w:t>
      </w:r>
      <w:r w:rsidR="00E16DB5" w:rsidRPr="00E16DB5">
        <w:rPr>
          <w:rFonts w:eastAsia="Arial"/>
        </w:rPr>
        <w:t xml:space="preserve"> </w:t>
      </w:r>
      <w:r w:rsidRPr="00E16DB5">
        <w:rPr>
          <w:rFonts w:eastAsia="Arial"/>
        </w:rPr>
        <w:t>EPC distribution.</w:t>
      </w:r>
    </w:p>
    <w:p w14:paraId="2A7D4BD7" w14:textId="77777777" w:rsidR="007F6037" w:rsidRDefault="00EE67DE" w:rsidP="00E16DB5">
      <w:pPr>
        <w:pStyle w:val="ChartorTableNote"/>
        <w:rPr>
          <w:rFonts w:eastAsia="Arial"/>
        </w:rPr>
      </w:pPr>
      <w:r w:rsidRPr="00E16DB5">
        <w:rPr>
          <w:rFonts w:eastAsia="Arial"/>
        </w:rPr>
        <w:t>^These years include top up payments from the Commonwealth to WA and/or NT under the Government’s preferred option. Source: Treasury and Productivity Commission projections.</w:t>
      </w:r>
    </w:p>
    <w:p w14:paraId="23D330A7" w14:textId="77777777" w:rsidR="007F6037" w:rsidRPr="00E16DB5" w:rsidRDefault="00EE67DE" w:rsidP="00E16DB5">
      <w:pPr>
        <w:pStyle w:val="Heading1"/>
        <w:rPr>
          <w:rFonts w:eastAsia="Arial"/>
        </w:rPr>
      </w:pPr>
      <w:bookmarkStart w:id="11" w:name="_Toc518559016"/>
      <w:r w:rsidRPr="00E16DB5">
        <w:rPr>
          <w:rFonts w:eastAsia="Arial"/>
        </w:rPr>
        <w:lastRenderedPageBreak/>
        <w:t>The Government’s plan has</w:t>
      </w:r>
      <w:r w:rsidR="00E16DB5" w:rsidRPr="00E16DB5">
        <w:rPr>
          <w:rFonts w:eastAsia="Arial"/>
        </w:rPr>
        <w:t xml:space="preserve"> </w:t>
      </w:r>
      <w:r w:rsidRPr="00E16DB5">
        <w:rPr>
          <w:rFonts w:eastAsia="Arial"/>
        </w:rPr>
        <w:t>three steps</w:t>
      </w:r>
      <w:bookmarkEnd w:id="11"/>
    </w:p>
    <w:p w14:paraId="77FE3D52" w14:textId="77777777" w:rsidR="007F6037" w:rsidRPr="00E16DB5" w:rsidRDefault="00EE67DE" w:rsidP="00E16DB5">
      <w:pPr>
        <w:rPr>
          <w:rFonts w:eastAsia="Arial"/>
        </w:rPr>
      </w:pPr>
      <w:r w:rsidRPr="00E16DB5">
        <w:rPr>
          <w:rFonts w:eastAsia="Arial"/>
        </w:rPr>
        <w:t>The GST distribution system cannot be moved to an updated equalisation standard overnight. The Government’s plan seeks to transition Australia’s HFE system over eight years in</w:t>
      </w:r>
      <w:r w:rsidR="00E16DB5" w:rsidRPr="00E16DB5">
        <w:rPr>
          <w:rFonts w:eastAsia="Arial"/>
        </w:rPr>
        <w:t xml:space="preserve"> </w:t>
      </w:r>
      <w:r w:rsidRPr="00E16DB5">
        <w:rPr>
          <w:rFonts w:eastAsia="Arial"/>
        </w:rPr>
        <w:t>a fair, reasonable and sustainable way that leaves no State worse off. At the end of this eight year period in 2026-27, Australia would have a HFE system that better protects against economic shocks and provides a more stable and predictable source of revenue for all States going forward.</w:t>
      </w:r>
    </w:p>
    <w:p w14:paraId="6F837E01" w14:textId="77777777" w:rsidR="007F6037" w:rsidRPr="00E16DB5" w:rsidRDefault="00EE67DE" w:rsidP="00E16DB5">
      <w:pPr>
        <w:pStyle w:val="Heading2"/>
        <w:rPr>
          <w:rFonts w:eastAsia="Arial"/>
        </w:rPr>
      </w:pPr>
      <w:r w:rsidRPr="00E16DB5">
        <w:rPr>
          <w:rFonts w:eastAsia="Arial"/>
        </w:rPr>
        <w:t>Step one: short-term transition payments</w:t>
      </w:r>
    </w:p>
    <w:p w14:paraId="2285D8F0" w14:textId="77777777" w:rsidR="007F6037" w:rsidRPr="00E16DB5" w:rsidRDefault="00E16DB5" w:rsidP="00E16DB5">
      <w:pPr>
        <w:rPr>
          <w:rFonts w:eastAsia="Arial"/>
        </w:rPr>
      </w:pPr>
      <w:r w:rsidRPr="00E16DB5">
        <w:rPr>
          <w:rFonts w:eastAsia="Arial"/>
        </w:rPr>
        <w:t>T</w:t>
      </w:r>
      <w:r w:rsidR="00EE67DE" w:rsidRPr="00E16DB5">
        <w:rPr>
          <w:rFonts w:eastAsia="Arial"/>
        </w:rPr>
        <w:t>he States’ GST relativities are likely to remain volatile for the next few years, as the system rebalances and WA’s relativity improves</w:t>
      </w:r>
      <w:r w:rsidRPr="00E16DB5">
        <w:rPr>
          <w:rFonts w:eastAsia="Arial"/>
        </w:rPr>
        <w:t xml:space="preserve"> </w:t>
      </w:r>
      <w:r w:rsidR="00EE67DE" w:rsidRPr="00E16DB5">
        <w:rPr>
          <w:rFonts w:eastAsia="Arial"/>
        </w:rPr>
        <w:t>from its current very low levels. Beginning to transition the HFE system to a new standard during this period would only add to volatility and create a level of disruption that would not be acceptable.</w:t>
      </w:r>
    </w:p>
    <w:p w14:paraId="03E02A4F" w14:textId="77777777" w:rsidR="007F6037" w:rsidRPr="00E16DB5" w:rsidRDefault="00EE67DE" w:rsidP="00E16DB5">
      <w:pPr>
        <w:rPr>
          <w:rFonts w:eastAsia="Arial"/>
        </w:rPr>
      </w:pPr>
      <w:r w:rsidRPr="00E16DB5">
        <w:rPr>
          <w:rFonts w:eastAsia="Arial"/>
        </w:rPr>
        <w:t>To assist with the transition to the new system, the Commonwealth would provide short-term funding over the three years from 2019-20</w:t>
      </w:r>
      <w:r w:rsidR="00E16DB5" w:rsidRPr="00E16DB5">
        <w:rPr>
          <w:rFonts w:eastAsia="Arial"/>
        </w:rPr>
        <w:t xml:space="preserve"> </w:t>
      </w:r>
      <w:r w:rsidRPr="00E16DB5">
        <w:rPr>
          <w:rFonts w:eastAsia="Arial"/>
        </w:rPr>
        <w:t xml:space="preserve">to 2021-22 to ensure that no State receives less than 70 cents per person per dollar of GST. This funding would be </w:t>
      </w:r>
      <w:proofErr w:type="gramStart"/>
      <w:r w:rsidRPr="00E16DB5">
        <w:rPr>
          <w:rFonts w:eastAsia="Arial"/>
        </w:rPr>
        <w:t>untied,</w:t>
      </w:r>
      <w:proofErr w:type="gramEnd"/>
      <w:r w:rsidRPr="00E16DB5">
        <w:rPr>
          <w:rFonts w:eastAsia="Arial"/>
        </w:rPr>
        <w:t xml:space="preserve"> meaning recipient State Governments would be able to spend it as they see fit to deliver services in their State, including schools, hospitals and infrastructure. WA is expected to be the</w:t>
      </w:r>
      <w:r w:rsidR="00E16DB5" w:rsidRPr="00E16DB5">
        <w:rPr>
          <w:rFonts w:eastAsia="Arial"/>
        </w:rPr>
        <w:t xml:space="preserve"> </w:t>
      </w:r>
      <w:r w:rsidRPr="00E16DB5">
        <w:rPr>
          <w:rFonts w:eastAsia="Arial"/>
        </w:rPr>
        <w:t xml:space="preserve">only State with </w:t>
      </w:r>
      <w:proofErr w:type="gramStart"/>
      <w:r w:rsidRPr="00E16DB5">
        <w:rPr>
          <w:rFonts w:eastAsia="Arial"/>
        </w:rPr>
        <w:t>a relativity</w:t>
      </w:r>
      <w:proofErr w:type="gramEnd"/>
      <w:r w:rsidRPr="00E16DB5">
        <w:rPr>
          <w:rFonts w:eastAsia="Arial"/>
        </w:rPr>
        <w:t xml:space="preserve"> below 0.70 during this time.</w:t>
      </w:r>
    </w:p>
    <w:p w14:paraId="49C3D83D" w14:textId="77777777" w:rsidR="007F6037" w:rsidRPr="00E16DB5" w:rsidRDefault="00EE67DE" w:rsidP="00E16DB5">
      <w:pPr>
        <w:rPr>
          <w:rFonts w:eastAsia="Arial"/>
        </w:rPr>
      </w:pPr>
      <w:r w:rsidRPr="00E16DB5">
        <w:rPr>
          <w:rFonts w:eastAsia="Arial"/>
        </w:rPr>
        <w:t>Over the same period, the Government would also ensure that the NT keeps at least their current share of GST, as it did in this year’s Budget. This recognises the unique circumstances faced by the NT in dealing with the current volatility in the GST distribution</w:t>
      </w:r>
      <w:r w:rsidR="00E16DB5" w:rsidRPr="00E16DB5">
        <w:rPr>
          <w:rFonts w:eastAsia="Arial"/>
        </w:rPr>
        <w:t xml:space="preserve"> </w:t>
      </w:r>
      <w:r w:rsidRPr="00E16DB5">
        <w:rPr>
          <w:rFonts w:eastAsia="Arial"/>
        </w:rPr>
        <w:t>given their small size, remoteness and relatively large Indigenous population.</w:t>
      </w:r>
    </w:p>
    <w:p w14:paraId="794B7732" w14:textId="77777777" w:rsidR="007F6037" w:rsidRPr="00E16DB5" w:rsidRDefault="00EE67DE" w:rsidP="00E16DB5">
      <w:pPr>
        <w:pStyle w:val="Heading2"/>
        <w:rPr>
          <w:rFonts w:eastAsia="Arial"/>
        </w:rPr>
      </w:pPr>
      <w:r w:rsidRPr="00E16DB5">
        <w:rPr>
          <w:rFonts w:eastAsia="Arial"/>
        </w:rPr>
        <w:t>Step two: phasing in a new</w:t>
      </w:r>
      <w:r w:rsidR="00E16DB5" w:rsidRPr="00E16DB5">
        <w:rPr>
          <w:rFonts w:eastAsia="Arial"/>
        </w:rPr>
        <w:t xml:space="preserve"> </w:t>
      </w:r>
      <w:r w:rsidRPr="00E16DB5">
        <w:rPr>
          <w:rFonts w:eastAsia="Arial"/>
        </w:rPr>
        <w:t>HFE system</w:t>
      </w:r>
    </w:p>
    <w:p w14:paraId="5F28AD9A" w14:textId="77777777" w:rsidR="007F6037" w:rsidRPr="00E16DB5" w:rsidRDefault="00EE67DE" w:rsidP="00E16DB5">
      <w:pPr>
        <w:rPr>
          <w:rFonts w:eastAsia="Arial"/>
        </w:rPr>
      </w:pPr>
      <w:r w:rsidRPr="00E16DB5">
        <w:rPr>
          <w:rFonts w:eastAsia="Arial"/>
        </w:rPr>
        <w:t>Under the Government’s plan, the HFE system would begin transitioning to an updated equalisation standard — the stronger of NSW or Victoria — over six years from 2021-22 to</w:t>
      </w:r>
      <w:r w:rsidR="00E16DB5" w:rsidRPr="00E16DB5">
        <w:rPr>
          <w:rFonts w:eastAsia="Arial"/>
        </w:rPr>
        <w:t xml:space="preserve"> </w:t>
      </w:r>
      <w:r w:rsidRPr="00E16DB5">
        <w:rPr>
          <w:rFonts w:eastAsia="Arial"/>
        </w:rPr>
        <w:t>2026-27.</w:t>
      </w:r>
    </w:p>
    <w:p w14:paraId="3698D120" w14:textId="77777777" w:rsidR="007F6037" w:rsidRPr="00E16DB5" w:rsidRDefault="00EE67DE" w:rsidP="00E16DB5">
      <w:pPr>
        <w:rPr>
          <w:rFonts w:eastAsia="Arial"/>
        </w:rPr>
      </w:pPr>
      <w:r w:rsidRPr="00E16DB5">
        <w:rPr>
          <w:rFonts w:eastAsia="Arial"/>
        </w:rPr>
        <w:t>In 2022-23, a within-system GST floor would be introduced to ensure no State can receive any less than 70 cents per person per dollar of GST for their State. No State’s relativity is expected to fall below 0.70 after 2022-23 on</w:t>
      </w:r>
      <w:r w:rsidR="00E16DB5" w:rsidRPr="00E16DB5">
        <w:rPr>
          <w:rFonts w:eastAsia="Arial"/>
        </w:rPr>
        <w:t xml:space="preserve"> </w:t>
      </w:r>
      <w:r w:rsidRPr="00E16DB5">
        <w:rPr>
          <w:rFonts w:eastAsia="Arial"/>
        </w:rPr>
        <w:t>current projections under the new equalisation benchmark. Two years later, in 2024</w:t>
      </w:r>
      <w:r w:rsidR="005D7755">
        <w:rPr>
          <w:rFonts w:eastAsia="Arial"/>
        </w:rPr>
        <w:noBreakHyphen/>
      </w:r>
      <w:r w:rsidRPr="00E16DB5">
        <w:rPr>
          <w:rFonts w:eastAsia="Arial"/>
        </w:rPr>
        <w:t>25, this floor would be raised to 75 cents per person per dollar of GST. No State’s relativity is expected to fall below 0.75 after 2024-25 on current projections under the new equalisation benchmark.</w:t>
      </w:r>
    </w:p>
    <w:p w14:paraId="1F9B8CD9" w14:textId="77777777" w:rsidR="007F6037" w:rsidRPr="00E16DB5" w:rsidRDefault="00EE67DE" w:rsidP="00E16DB5">
      <w:pPr>
        <w:rPr>
          <w:rFonts w:eastAsia="Arial"/>
        </w:rPr>
      </w:pPr>
      <w:r w:rsidRPr="00E16DB5">
        <w:rPr>
          <w:rFonts w:eastAsia="Arial"/>
        </w:rPr>
        <w:t>To ensure all States are better off both during and following the transition to the new equalisation standard, the Government would permanently boost the GST pool in addition</w:t>
      </w:r>
      <w:r w:rsidR="00E16DB5" w:rsidRPr="00E16DB5">
        <w:rPr>
          <w:rFonts w:eastAsia="Arial"/>
        </w:rPr>
        <w:t xml:space="preserve"> </w:t>
      </w:r>
      <w:r w:rsidRPr="00E16DB5">
        <w:rPr>
          <w:rFonts w:eastAsia="Arial"/>
        </w:rPr>
        <w:t>to GST collections by making supplementary untied payments sourced from its other revenues. The Government’s preferred method for this expanded GST pool is outlined in</w:t>
      </w:r>
      <w:r w:rsidR="00E16DB5" w:rsidRPr="00E16DB5">
        <w:rPr>
          <w:rFonts w:eastAsia="Arial"/>
        </w:rPr>
        <w:t xml:space="preserve"> </w:t>
      </w:r>
      <w:r w:rsidRPr="00E16DB5">
        <w:rPr>
          <w:rFonts w:eastAsia="Arial"/>
        </w:rPr>
        <w:t>Box 1.</w:t>
      </w:r>
    </w:p>
    <w:p w14:paraId="2D771A9A" w14:textId="77777777" w:rsidR="007F6037" w:rsidRPr="00E16DB5" w:rsidRDefault="00EE67DE" w:rsidP="00E16DB5">
      <w:pPr>
        <w:rPr>
          <w:rFonts w:eastAsia="Arial"/>
        </w:rPr>
      </w:pPr>
      <w:r w:rsidRPr="00E16DB5">
        <w:rPr>
          <w:rFonts w:eastAsia="Arial"/>
        </w:rPr>
        <w:t>Boosting the GST pool with additional Commonwealth payments, moving to a new equalisation benchmark and inserting</w:t>
      </w:r>
      <w:r w:rsidR="00E16DB5" w:rsidRPr="00E16DB5">
        <w:rPr>
          <w:rFonts w:eastAsia="Arial"/>
        </w:rPr>
        <w:t xml:space="preserve"> </w:t>
      </w:r>
      <w:r w:rsidRPr="00E16DB5">
        <w:rPr>
          <w:rFonts w:eastAsia="Arial"/>
        </w:rPr>
        <w:t>a relativity floor in the HFE system would be brought together in a new Intergovernmental Agreement between the Commonwealth and the States. The Government will be consulting with the States on this agreement and any alternative transition arrangements that may be proposed.</w:t>
      </w:r>
    </w:p>
    <w:tbl>
      <w:tblPr>
        <w:tblStyle w:val="TableGrid"/>
        <w:tblW w:w="5000" w:type="pct"/>
        <w:shd w:val="clear" w:color="auto" w:fill="FFF8EA"/>
        <w:tblLook w:val="04A0" w:firstRow="1" w:lastRow="0" w:firstColumn="1" w:lastColumn="0" w:noHBand="0" w:noVBand="1"/>
      </w:tblPr>
      <w:tblGrid>
        <w:gridCol w:w="9584"/>
      </w:tblGrid>
      <w:tr w:rsidR="00E16DB5" w14:paraId="7D1B1E1D" w14:textId="77777777" w:rsidTr="00931EC6">
        <w:trPr>
          <w:trHeight w:hRule="exact" w:val="14175"/>
        </w:trPr>
        <w:tc>
          <w:tcPr>
            <w:tcW w:w="5000" w:type="pct"/>
            <w:shd w:val="clear" w:color="auto" w:fill="FFF8EA"/>
          </w:tcPr>
          <w:p w14:paraId="4D446182" w14:textId="77777777" w:rsidR="00E16DB5" w:rsidRPr="00931EC6" w:rsidRDefault="00E16DB5" w:rsidP="00931EC6">
            <w:pPr>
              <w:pStyle w:val="Heading2"/>
              <w:spacing w:before="240"/>
              <w:outlineLvl w:val="1"/>
              <w:rPr>
                <w:rFonts w:eastAsia="Arial"/>
                <w:sz w:val="34"/>
                <w:szCs w:val="34"/>
              </w:rPr>
            </w:pPr>
            <w:r w:rsidRPr="00931EC6">
              <w:rPr>
                <w:rFonts w:eastAsia="Arial"/>
                <w:sz w:val="34"/>
                <w:szCs w:val="34"/>
              </w:rPr>
              <w:lastRenderedPageBreak/>
              <w:t>Box 1: Government preferred approach for boosting the GST pool</w:t>
            </w:r>
          </w:p>
          <w:p w14:paraId="535D90B7" w14:textId="77777777" w:rsidR="00E16DB5" w:rsidRPr="00E16DB5" w:rsidRDefault="00E16DB5" w:rsidP="00E16DB5">
            <w:pPr>
              <w:rPr>
                <w:rFonts w:eastAsia="Arial"/>
              </w:rPr>
            </w:pPr>
            <w:r w:rsidRPr="00E16DB5">
              <w:rPr>
                <w:rFonts w:eastAsia="Arial"/>
              </w:rPr>
              <w:t>The Commonwealth Government would inject an additional $600 million into the GST distribution in 2021-22, the first year of transition to the new equalisation standard. The Commonwealth’s contributions in the following years would be equivalent to indexing this injection at the same rate of growth as GST collections in those years. That is, the expanded GST pool would continue to grow at the same rate as the GST collections each year.</w:t>
            </w:r>
          </w:p>
          <w:p w14:paraId="4785AA2D" w14:textId="77777777" w:rsidR="00E16DB5" w:rsidRPr="00E16DB5" w:rsidRDefault="00E16DB5" w:rsidP="00E16DB5">
            <w:pPr>
              <w:rPr>
                <w:rFonts w:eastAsia="Arial"/>
              </w:rPr>
            </w:pPr>
            <w:r w:rsidRPr="00E16DB5">
              <w:rPr>
                <w:rFonts w:eastAsia="Arial"/>
              </w:rPr>
              <w:t>This would be followed by a second injection of $250 million in 2024-25. At this point, the HFE system would be over half way through the transition to the new equalisation standard and the Government would have introduced a within-system 0.75 relativity floor. Future Commonwealth payments into the pool would then be indexed to grow in line with GST collections on a permanent basis.</w:t>
            </w:r>
          </w:p>
          <w:p w14:paraId="6DDE5730" w14:textId="77777777" w:rsidR="00E16DB5" w:rsidRPr="00E16DB5" w:rsidRDefault="00E16DB5" w:rsidP="00E16DB5">
            <w:pPr>
              <w:rPr>
                <w:rFonts w:eastAsia="Arial"/>
              </w:rPr>
            </w:pPr>
            <w:r w:rsidRPr="00E16DB5">
              <w:rPr>
                <w:rFonts w:eastAsia="Arial"/>
              </w:rPr>
              <w:t>This arrangement would increase the size of the untied GST distribution by $7.2 billion from 2021-22 to 2028</w:t>
            </w:r>
            <w:r w:rsidR="00931EC6">
              <w:rPr>
                <w:rFonts w:eastAsia="Arial"/>
              </w:rPr>
              <w:noBreakHyphen/>
            </w:r>
            <w:r w:rsidRPr="00E16DB5">
              <w:rPr>
                <w:rFonts w:eastAsia="Arial"/>
              </w:rPr>
              <w:t>29. This would leave all States and Territories better off under a new, more stable equalisation standard, with additional funding that State Governments can use to deliver essential services.</w:t>
            </w:r>
          </w:p>
          <w:p w14:paraId="05C3BA49" w14:textId="77777777" w:rsidR="005C3E95" w:rsidRDefault="005C3E95" w:rsidP="00931EC6">
            <w:pPr>
              <w:pStyle w:val="TableMainHeading"/>
              <w:spacing w:after="0"/>
              <w:rPr>
                <w:rFonts w:eastAsia="Arial"/>
              </w:rPr>
            </w:pPr>
            <w:r w:rsidRPr="00E16DB5">
              <w:rPr>
                <w:rFonts w:eastAsia="Arial"/>
              </w:rPr>
              <w:t>Table 5: Every State and Territory will be better off</w:t>
            </w:r>
          </w:p>
          <w:p w14:paraId="40CE40EF" w14:textId="77777777" w:rsidR="005C3E95" w:rsidRPr="00E16DB5" w:rsidRDefault="005C3E95" w:rsidP="00931EC6">
            <w:pPr>
              <w:pStyle w:val="TableSecondHeading"/>
              <w:spacing w:after="0"/>
              <w:rPr>
                <w:rFonts w:eastAsia="Arial"/>
              </w:rPr>
            </w:pPr>
            <w:r w:rsidRPr="00E16DB5">
              <w:rPr>
                <w:rFonts w:eastAsia="Arial"/>
              </w:rPr>
              <w:t>Additional Top-ups</w:t>
            </w:r>
          </w:p>
          <w:p w14:paraId="439DF66D" w14:textId="77777777" w:rsidR="005C3E95" w:rsidRDefault="005C3E95" w:rsidP="005C3E95">
            <w:pPr>
              <w:spacing w:before="1" w:after="0" w:line="40" w:lineRule="exact"/>
              <w:rPr>
                <w:sz w:val="4"/>
                <w:szCs w:val="4"/>
              </w:rPr>
            </w:pPr>
          </w:p>
          <w:tbl>
            <w:tblPr>
              <w:tblW w:w="0" w:type="auto"/>
              <w:tblInd w:w="117" w:type="dxa"/>
              <w:tblCellMar>
                <w:left w:w="57" w:type="dxa"/>
                <w:right w:w="57" w:type="dxa"/>
              </w:tblCellMar>
              <w:tblLook w:val="01E0" w:firstRow="1" w:lastRow="1" w:firstColumn="1" w:lastColumn="1" w:noHBand="0" w:noVBand="0"/>
            </w:tblPr>
            <w:tblGrid>
              <w:gridCol w:w="907"/>
              <w:gridCol w:w="907"/>
              <w:gridCol w:w="907"/>
              <w:gridCol w:w="907"/>
              <w:gridCol w:w="907"/>
              <w:gridCol w:w="907"/>
              <w:gridCol w:w="907"/>
              <w:gridCol w:w="907"/>
              <w:gridCol w:w="907"/>
              <w:gridCol w:w="907"/>
            </w:tblGrid>
            <w:tr w:rsidR="005C3E95" w:rsidRPr="00E16DB5" w14:paraId="7C702AEE" w14:textId="77777777" w:rsidTr="005C3E95">
              <w:trPr>
                <w:trHeight w:hRule="exact" w:val="289"/>
              </w:trPr>
              <w:tc>
                <w:tcPr>
                  <w:tcW w:w="907" w:type="dxa"/>
                  <w:tcBorders>
                    <w:top w:val="nil"/>
                    <w:left w:val="nil"/>
                    <w:bottom w:val="single" w:sz="8" w:space="0" w:color="FFFFFF"/>
                    <w:right w:val="single" w:sz="8" w:space="0" w:color="FFFFFF"/>
                  </w:tcBorders>
                  <w:shd w:val="clear" w:color="auto" w:fill="354866"/>
                </w:tcPr>
                <w:p w14:paraId="1E039921" w14:textId="77777777" w:rsidR="005C3E95" w:rsidRPr="00E16DB5" w:rsidRDefault="005C3E95" w:rsidP="00931EC6">
                  <w:pPr>
                    <w:pStyle w:val="TableColumnHeadingLeft"/>
                    <w:rPr>
                      <w:rFonts w:eastAsia="Arial"/>
                    </w:rPr>
                  </w:pPr>
                  <w:r w:rsidRPr="00E16DB5">
                    <w:rPr>
                      <w:rFonts w:eastAsia="Arial"/>
                    </w:rPr>
                    <w:t>$m</w:t>
                  </w:r>
                </w:p>
              </w:tc>
              <w:tc>
                <w:tcPr>
                  <w:tcW w:w="907" w:type="dxa"/>
                  <w:tcBorders>
                    <w:top w:val="nil"/>
                    <w:left w:val="single" w:sz="8" w:space="0" w:color="FFFFFF"/>
                    <w:bottom w:val="single" w:sz="8" w:space="0" w:color="FFFFFF"/>
                    <w:right w:val="single" w:sz="8" w:space="0" w:color="FFFFFF"/>
                  </w:tcBorders>
                  <w:shd w:val="clear" w:color="auto" w:fill="354866"/>
                </w:tcPr>
                <w:p w14:paraId="0B163F30" w14:textId="77777777" w:rsidR="005C3E95" w:rsidRPr="00E16DB5" w:rsidRDefault="005C3E95" w:rsidP="00931EC6">
                  <w:pPr>
                    <w:pStyle w:val="TableColumnHeadingRight"/>
                    <w:rPr>
                      <w:rFonts w:eastAsia="Arial"/>
                    </w:rPr>
                  </w:pPr>
                  <w:r w:rsidRPr="00E16DB5">
                    <w:rPr>
                      <w:rFonts w:eastAsia="Arial"/>
                    </w:rPr>
                    <w:t>NSW</w:t>
                  </w:r>
                </w:p>
              </w:tc>
              <w:tc>
                <w:tcPr>
                  <w:tcW w:w="907" w:type="dxa"/>
                  <w:tcBorders>
                    <w:top w:val="nil"/>
                    <w:left w:val="single" w:sz="8" w:space="0" w:color="FFFFFF"/>
                    <w:bottom w:val="single" w:sz="8" w:space="0" w:color="FFFFFF"/>
                    <w:right w:val="single" w:sz="8" w:space="0" w:color="FFFFFF"/>
                  </w:tcBorders>
                  <w:shd w:val="clear" w:color="auto" w:fill="354866"/>
                </w:tcPr>
                <w:p w14:paraId="6F82D0C1" w14:textId="77777777" w:rsidR="005C3E95" w:rsidRPr="00E16DB5" w:rsidRDefault="005C3E95" w:rsidP="00931EC6">
                  <w:pPr>
                    <w:pStyle w:val="TableColumnHeadingRight"/>
                    <w:rPr>
                      <w:rFonts w:eastAsia="Arial"/>
                    </w:rPr>
                  </w:pPr>
                  <w:r w:rsidRPr="00E16DB5">
                    <w:rPr>
                      <w:rFonts w:eastAsia="Arial"/>
                    </w:rPr>
                    <w:t>VIC</w:t>
                  </w:r>
                </w:p>
              </w:tc>
              <w:tc>
                <w:tcPr>
                  <w:tcW w:w="907" w:type="dxa"/>
                  <w:tcBorders>
                    <w:top w:val="nil"/>
                    <w:left w:val="single" w:sz="8" w:space="0" w:color="FFFFFF"/>
                    <w:bottom w:val="single" w:sz="8" w:space="0" w:color="FFFFFF"/>
                    <w:right w:val="single" w:sz="8" w:space="0" w:color="FFFFFF"/>
                  </w:tcBorders>
                  <w:shd w:val="clear" w:color="auto" w:fill="354866"/>
                </w:tcPr>
                <w:p w14:paraId="088F5E6C" w14:textId="77777777" w:rsidR="005C3E95" w:rsidRPr="00E16DB5" w:rsidRDefault="005C3E95" w:rsidP="00931EC6">
                  <w:pPr>
                    <w:pStyle w:val="TableColumnHeadingRight"/>
                    <w:rPr>
                      <w:rFonts w:eastAsia="Arial"/>
                    </w:rPr>
                  </w:pPr>
                  <w:r w:rsidRPr="00E16DB5">
                    <w:rPr>
                      <w:rFonts w:eastAsia="Arial"/>
                    </w:rPr>
                    <w:t>QLD</w:t>
                  </w:r>
                </w:p>
              </w:tc>
              <w:tc>
                <w:tcPr>
                  <w:tcW w:w="907" w:type="dxa"/>
                  <w:tcBorders>
                    <w:top w:val="nil"/>
                    <w:left w:val="single" w:sz="8" w:space="0" w:color="FFFFFF"/>
                    <w:bottom w:val="single" w:sz="8" w:space="0" w:color="FFFFFF"/>
                    <w:right w:val="single" w:sz="8" w:space="0" w:color="FFFFFF"/>
                  </w:tcBorders>
                  <w:shd w:val="clear" w:color="auto" w:fill="354866"/>
                </w:tcPr>
                <w:p w14:paraId="7F2614B2" w14:textId="77777777" w:rsidR="005C3E95" w:rsidRPr="00E16DB5" w:rsidRDefault="005C3E95" w:rsidP="00931EC6">
                  <w:pPr>
                    <w:pStyle w:val="TableColumnHeadingRight"/>
                    <w:rPr>
                      <w:rFonts w:eastAsia="Arial"/>
                    </w:rPr>
                  </w:pPr>
                  <w:r w:rsidRPr="00E16DB5">
                    <w:rPr>
                      <w:rFonts w:eastAsia="Arial"/>
                    </w:rPr>
                    <w:t>WA</w:t>
                  </w:r>
                </w:p>
              </w:tc>
              <w:tc>
                <w:tcPr>
                  <w:tcW w:w="907" w:type="dxa"/>
                  <w:tcBorders>
                    <w:top w:val="nil"/>
                    <w:left w:val="single" w:sz="8" w:space="0" w:color="FFFFFF"/>
                    <w:bottom w:val="single" w:sz="8" w:space="0" w:color="FFFFFF"/>
                    <w:right w:val="single" w:sz="8" w:space="0" w:color="FFFFFF"/>
                  </w:tcBorders>
                  <w:shd w:val="clear" w:color="auto" w:fill="354866"/>
                </w:tcPr>
                <w:p w14:paraId="72F4EB18" w14:textId="77777777" w:rsidR="005C3E95" w:rsidRPr="00E16DB5" w:rsidRDefault="005C3E95" w:rsidP="00931EC6">
                  <w:pPr>
                    <w:pStyle w:val="TableColumnHeadingRight"/>
                    <w:rPr>
                      <w:rFonts w:eastAsia="Arial"/>
                    </w:rPr>
                  </w:pPr>
                  <w:r w:rsidRPr="00E16DB5">
                    <w:rPr>
                      <w:rFonts w:eastAsia="Arial"/>
                    </w:rPr>
                    <w:t>SA</w:t>
                  </w:r>
                </w:p>
              </w:tc>
              <w:tc>
                <w:tcPr>
                  <w:tcW w:w="907" w:type="dxa"/>
                  <w:tcBorders>
                    <w:top w:val="nil"/>
                    <w:left w:val="single" w:sz="8" w:space="0" w:color="FFFFFF"/>
                    <w:bottom w:val="single" w:sz="8" w:space="0" w:color="FFFFFF"/>
                    <w:right w:val="single" w:sz="8" w:space="0" w:color="FFFFFF"/>
                  </w:tcBorders>
                  <w:shd w:val="clear" w:color="auto" w:fill="354866"/>
                </w:tcPr>
                <w:p w14:paraId="38EBF047" w14:textId="77777777" w:rsidR="005C3E95" w:rsidRPr="00E16DB5" w:rsidRDefault="005C3E95" w:rsidP="00931EC6">
                  <w:pPr>
                    <w:pStyle w:val="TableColumnHeadingRight"/>
                    <w:rPr>
                      <w:rFonts w:eastAsia="Arial"/>
                    </w:rPr>
                  </w:pPr>
                  <w:r w:rsidRPr="00E16DB5">
                    <w:rPr>
                      <w:rFonts w:eastAsia="Arial"/>
                    </w:rPr>
                    <w:t>TAS</w:t>
                  </w:r>
                </w:p>
              </w:tc>
              <w:tc>
                <w:tcPr>
                  <w:tcW w:w="907" w:type="dxa"/>
                  <w:tcBorders>
                    <w:top w:val="nil"/>
                    <w:left w:val="single" w:sz="8" w:space="0" w:color="FFFFFF"/>
                    <w:bottom w:val="single" w:sz="8" w:space="0" w:color="FFFFFF"/>
                    <w:right w:val="single" w:sz="8" w:space="0" w:color="FFFFFF"/>
                  </w:tcBorders>
                  <w:shd w:val="clear" w:color="auto" w:fill="354866"/>
                </w:tcPr>
                <w:p w14:paraId="4E6DB7AC" w14:textId="77777777" w:rsidR="005C3E95" w:rsidRPr="00E16DB5" w:rsidRDefault="005C3E95" w:rsidP="00931EC6">
                  <w:pPr>
                    <w:pStyle w:val="TableColumnHeadingRight"/>
                    <w:rPr>
                      <w:rFonts w:eastAsia="Arial"/>
                    </w:rPr>
                  </w:pPr>
                  <w:r w:rsidRPr="00E16DB5">
                    <w:rPr>
                      <w:rFonts w:eastAsia="Arial"/>
                    </w:rPr>
                    <w:t>ACT</w:t>
                  </w:r>
                </w:p>
              </w:tc>
              <w:tc>
                <w:tcPr>
                  <w:tcW w:w="907" w:type="dxa"/>
                  <w:tcBorders>
                    <w:top w:val="nil"/>
                    <w:left w:val="single" w:sz="8" w:space="0" w:color="FFFFFF"/>
                    <w:bottom w:val="single" w:sz="8" w:space="0" w:color="FFFFFF"/>
                    <w:right w:val="single" w:sz="8" w:space="0" w:color="FFFFFF"/>
                  </w:tcBorders>
                  <w:shd w:val="clear" w:color="auto" w:fill="354866"/>
                </w:tcPr>
                <w:p w14:paraId="622C2031" w14:textId="77777777" w:rsidR="005C3E95" w:rsidRPr="00E16DB5" w:rsidRDefault="005C3E95" w:rsidP="00931EC6">
                  <w:pPr>
                    <w:pStyle w:val="TableColumnHeadingRight"/>
                    <w:rPr>
                      <w:rFonts w:eastAsia="Arial"/>
                    </w:rPr>
                  </w:pPr>
                  <w:r w:rsidRPr="00E16DB5">
                    <w:rPr>
                      <w:rFonts w:eastAsia="Arial"/>
                    </w:rPr>
                    <w:t>NT</w:t>
                  </w:r>
                </w:p>
              </w:tc>
              <w:tc>
                <w:tcPr>
                  <w:tcW w:w="907" w:type="dxa"/>
                  <w:tcBorders>
                    <w:top w:val="nil"/>
                    <w:left w:val="single" w:sz="8" w:space="0" w:color="FFFFFF"/>
                    <w:bottom w:val="single" w:sz="8" w:space="0" w:color="FFFFFF"/>
                    <w:right w:val="nil"/>
                  </w:tcBorders>
                  <w:shd w:val="clear" w:color="auto" w:fill="354866"/>
                </w:tcPr>
                <w:p w14:paraId="51DBE86B" w14:textId="77777777" w:rsidR="005C3E95" w:rsidRPr="00E16DB5" w:rsidRDefault="005C3E95" w:rsidP="00931EC6">
                  <w:pPr>
                    <w:pStyle w:val="TableColumnHeadingRight"/>
                    <w:rPr>
                      <w:rFonts w:eastAsia="Arial"/>
                    </w:rPr>
                  </w:pPr>
                  <w:r w:rsidRPr="00E16DB5">
                    <w:rPr>
                      <w:rFonts w:eastAsia="Arial"/>
                    </w:rPr>
                    <w:t>Total</w:t>
                  </w:r>
                </w:p>
              </w:tc>
            </w:tr>
            <w:tr w:rsidR="005C3E95" w:rsidRPr="00E16DB5" w14:paraId="558E87E1"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6E6EA"/>
                </w:tcPr>
                <w:p w14:paraId="762BF966" w14:textId="77777777" w:rsidR="005C3E95" w:rsidRPr="00E16DB5" w:rsidRDefault="005C3E95" w:rsidP="00931EC6">
                  <w:pPr>
                    <w:pStyle w:val="TableTextLeft"/>
                    <w:rPr>
                      <w:rFonts w:eastAsia="Arial"/>
                    </w:rPr>
                  </w:pPr>
                  <w:r w:rsidRPr="00E16DB5">
                    <w:rPr>
                      <w:rFonts w:eastAsia="Arial"/>
                    </w:rPr>
                    <w:t>2019-20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100BB186"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2BA611B6"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1D023728"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790AAA4E" w14:textId="77777777" w:rsidR="005C3E95" w:rsidRPr="00E16DB5" w:rsidRDefault="005C3E95" w:rsidP="00931EC6">
                  <w:pPr>
                    <w:pStyle w:val="TableTextRight"/>
                    <w:rPr>
                      <w:rFonts w:eastAsia="Arial"/>
                    </w:rPr>
                  </w:pPr>
                  <w:r w:rsidRPr="00E16DB5">
                    <w:rPr>
                      <w:rFonts w:eastAsia="Arial"/>
                    </w:rPr>
                    <w:t>814</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29347C0E"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5D87F961"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4476E557"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2049120D" w14:textId="77777777" w:rsidR="005C3E95" w:rsidRPr="00E16DB5" w:rsidRDefault="005C3E95" w:rsidP="00931EC6">
                  <w:pPr>
                    <w:pStyle w:val="TableTextRight"/>
                    <w:rPr>
                      <w:rFonts w:eastAsia="Arial"/>
                    </w:rPr>
                  </w:pPr>
                  <w:r w:rsidRPr="00E16DB5">
                    <w:rPr>
                      <w:rFonts w:eastAsia="Arial"/>
                    </w:rPr>
                    <w:t>69</w:t>
                  </w:r>
                </w:p>
              </w:tc>
              <w:tc>
                <w:tcPr>
                  <w:tcW w:w="907" w:type="dxa"/>
                  <w:tcBorders>
                    <w:top w:val="single" w:sz="8" w:space="0" w:color="FFFFFF"/>
                    <w:left w:val="single" w:sz="8" w:space="0" w:color="FFFFFF"/>
                    <w:bottom w:val="single" w:sz="8" w:space="0" w:color="FFFFFF"/>
                    <w:right w:val="nil"/>
                  </w:tcBorders>
                  <w:shd w:val="clear" w:color="auto" w:fill="E6E6EA"/>
                </w:tcPr>
                <w:p w14:paraId="2E462F3A" w14:textId="77777777" w:rsidR="005C3E95" w:rsidRPr="00E16DB5" w:rsidRDefault="005C3E95" w:rsidP="00931EC6">
                  <w:pPr>
                    <w:pStyle w:val="TableTextRight"/>
                    <w:rPr>
                      <w:rFonts w:eastAsia="Arial"/>
                    </w:rPr>
                  </w:pPr>
                  <w:r w:rsidRPr="00E16DB5">
                    <w:rPr>
                      <w:rFonts w:eastAsia="Arial"/>
                    </w:rPr>
                    <w:t>883</w:t>
                  </w:r>
                </w:p>
              </w:tc>
            </w:tr>
            <w:tr w:rsidR="005C3E95" w:rsidRPr="00E16DB5" w14:paraId="72C4E7A3"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6E6EA"/>
                </w:tcPr>
                <w:p w14:paraId="57FFAB56" w14:textId="77777777" w:rsidR="005C3E95" w:rsidRPr="00E16DB5" w:rsidRDefault="005C3E95" w:rsidP="00931EC6">
                  <w:pPr>
                    <w:pStyle w:val="TableTextLeft"/>
                    <w:rPr>
                      <w:rFonts w:eastAsia="Arial"/>
                    </w:rPr>
                  </w:pPr>
                  <w:r w:rsidRPr="00E16DB5">
                    <w:rPr>
                      <w:rFonts w:eastAsia="Arial"/>
                    </w:rPr>
                    <w:t>2020-21</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65CF1F7"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36BB3D8A"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4834A270"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26486B38" w14:textId="77777777" w:rsidR="005C3E95" w:rsidRPr="00E16DB5" w:rsidRDefault="005C3E95" w:rsidP="00931EC6">
                  <w:pPr>
                    <w:pStyle w:val="TableTextRight"/>
                    <w:rPr>
                      <w:rFonts w:eastAsia="Arial"/>
                    </w:rPr>
                  </w:pPr>
                  <w:r w:rsidRPr="00E16DB5">
                    <w:rPr>
                      <w:rFonts w:eastAsia="Arial"/>
                    </w:rPr>
                    <w:t>585</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43461697"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72DD7120"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3449C366"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single" w:sz="8" w:space="0" w:color="FFFFFF"/>
                  </w:tcBorders>
                  <w:shd w:val="clear" w:color="auto" w:fill="E6E6EA"/>
                </w:tcPr>
                <w:p w14:paraId="0CD9F3C1" w14:textId="77777777" w:rsidR="005C3E95" w:rsidRPr="00E16DB5" w:rsidRDefault="005C3E95" w:rsidP="00931EC6">
                  <w:pPr>
                    <w:pStyle w:val="TableTextRight"/>
                    <w:rPr>
                      <w:rFonts w:eastAsia="Arial"/>
                    </w:rPr>
                  </w:pPr>
                  <w:r w:rsidRPr="00E16DB5">
                    <w:rPr>
                      <w:rFonts w:eastAsia="Arial"/>
                    </w:rPr>
                    <w:t>0</w:t>
                  </w:r>
                </w:p>
              </w:tc>
              <w:tc>
                <w:tcPr>
                  <w:tcW w:w="907" w:type="dxa"/>
                  <w:tcBorders>
                    <w:top w:val="single" w:sz="8" w:space="0" w:color="FFFFFF"/>
                    <w:left w:val="single" w:sz="8" w:space="0" w:color="FFFFFF"/>
                    <w:bottom w:val="single" w:sz="8" w:space="0" w:color="FFFFFF"/>
                    <w:right w:val="nil"/>
                  </w:tcBorders>
                  <w:shd w:val="clear" w:color="auto" w:fill="E6E6EA"/>
                </w:tcPr>
                <w:p w14:paraId="2068E278" w14:textId="77777777" w:rsidR="005C3E95" w:rsidRPr="00E16DB5" w:rsidRDefault="005C3E95" w:rsidP="00931EC6">
                  <w:pPr>
                    <w:pStyle w:val="TableTextRight"/>
                    <w:rPr>
                      <w:rFonts w:eastAsia="Arial"/>
                    </w:rPr>
                  </w:pPr>
                  <w:r w:rsidRPr="00E16DB5">
                    <w:rPr>
                      <w:rFonts w:eastAsia="Arial"/>
                    </w:rPr>
                    <w:t>585</w:t>
                  </w:r>
                </w:p>
              </w:tc>
            </w:tr>
            <w:tr w:rsidR="005C3E95" w:rsidRPr="005C3E95" w14:paraId="5FEAB265" w14:textId="77777777" w:rsidTr="005C3E95">
              <w:trPr>
                <w:trHeight w:hRule="exact" w:val="289"/>
              </w:trPr>
              <w:tc>
                <w:tcPr>
                  <w:tcW w:w="907" w:type="dxa"/>
                  <w:tcBorders>
                    <w:top w:val="single" w:sz="8" w:space="0" w:color="FFFFFF"/>
                    <w:left w:val="nil"/>
                    <w:bottom w:val="nil"/>
                    <w:right w:val="single" w:sz="8" w:space="0" w:color="FFFFFF"/>
                  </w:tcBorders>
                  <w:shd w:val="clear" w:color="auto" w:fill="9A9EB0"/>
                </w:tcPr>
                <w:p w14:paraId="06F75473" w14:textId="77777777" w:rsidR="005C3E95" w:rsidRPr="005C3E95" w:rsidRDefault="005C3E95" w:rsidP="00931EC6">
                  <w:pPr>
                    <w:pStyle w:val="TableTextLeft"/>
                    <w:rPr>
                      <w:rFonts w:eastAsia="Arial"/>
                      <w:b/>
                    </w:rPr>
                  </w:pPr>
                  <w:r w:rsidRPr="005C3E95">
                    <w:rPr>
                      <w:rFonts w:eastAsia="Arial"/>
                      <w:b/>
                    </w:rPr>
                    <w:t>Total</w:t>
                  </w:r>
                </w:p>
              </w:tc>
              <w:tc>
                <w:tcPr>
                  <w:tcW w:w="907" w:type="dxa"/>
                  <w:tcBorders>
                    <w:top w:val="single" w:sz="8" w:space="0" w:color="FFFFFF"/>
                    <w:left w:val="single" w:sz="8" w:space="0" w:color="FFFFFF"/>
                    <w:bottom w:val="nil"/>
                    <w:right w:val="single" w:sz="8" w:space="0" w:color="FFFFFF"/>
                  </w:tcBorders>
                  <w:shd w:val="clear" w:color="auto" w:fill="9A9EB0"/>
                </w:tcPr>
                <w:p w14:paraId="596F7965"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24910BAF"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6B79F2F1"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4069F47F" w14:textId="77777777" w:rsidR="005C3E95" w:rsidRPr="005C3E95" w:rsidRDefault="005C3E95" w:rsidP="00931EC6">
                  <w:pPr>
                    <w:pStyle w:val="TableTextRight"/>
                    <w:rPr>
                      <w:rFonts w:eastAsia="Arial"/>
                      <w:b/>
                    </w:rPr>
                  </w:pPr>
                  <w:r w:rsidRPr="005C3E95">
                    <w:rPr>
                      <w:rFonts w:eastAsia="Arial"/>
                      <w:b/>
                    </w:rPr>
                    <w:t>1,399</w:t>
                  </w:r>
                </w:p>
              </w:tc>
              <w:tc>
                <w:tcPr>
                  <w:tcW w:w="907" w:type="dxa"/>
                  <w:tcBorders>
                    <w:top w:val="single" w:sz="8" w:space="0" w:color="FFFFFF"/>
                    <w:left w:val="single" w:sz="8" w:space="0" w:color="FFFFFF"/>
                    <w:bottom w:val="nil"/>
                    <w:right w:val="single" w:sz="8" w:space="0" w:color="FFFFFF"/>
                  </w:tcBorders>
                  <w:shd w:val="clear" w:color="auto" w:fill="9A9EB0"/>
                </w:tcPr>
                <w:p w14:paraId="3BD58A06"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0A1CD283"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0EC4A643" w14:textId="77777777" w:rsidR="005C3E95" w:rsidRPr="005C3E95" w:rsidRDefault="005C3E95" w:rsidP="00931EC6">
                  <w:pPr>
                    <w:pStyle w:val="TableTextRight"/>
                    <w:rPr>
                      <w:rFonts w:eastAsia="Arial"/>
                      <w:b/>
                    </w:rPr>
                  </w:pPr>
                  <w:r w:rsidRPr="005C3E95">
                    <w:rPr>
                      <w:rFonts w:eastAsia="Arial"/>
                      <w:b/>
                    </w:rPr>
                    <w:t>0</w:t>
                  </w:r>
                </w:p>
              </w:tc>
              <w:tc>
                <w:tcPr>
                  <w:tcW w:w="907" w:type="dxa"/>
                  <w:tcBorders>
                    <w:top w:val="single" w:sz="8" w:space="0" w:color="FFFFFF"/>
                    <w:left w:val="single" w:sz="8" w:space="0" w:color="FFFFFF"/>
                    <w:bottom w:val="nil"/>
                    <w:right w:val="single" w:sz="8" w:space="0" w:color="FFFFFF"/>
                  </w:tcBorders>
                  <w:shd w:val="clear" w:color="auto" w:fill="9A9EB0"/>
                </w:tcPr>
                <w:p w14:paraId="292B146F" w14:textId="77777777" w:rsidR="005C3E95" w:rsidRPr="005C3E95" w:rsidRDefault="005C3E95" w:rsidP="00931EC6">
                  <w:pPr>
                    <w:pStyle w:val="TableTextRight"/>
                    <w:rPr>
                      <w:rFonts w:eastAsia="Arial"/>
                      <w:b/>
                    </w:rPr>
                  </w:pPr>
                  <w:r w:rsidRPr="005C3E95">
                    <w:rPr>
                      <w:rFonts w:eastAsia="Arial"/>
                      <w:b/>
                    </w:rPr>
                    <w:t>69</w:t>
                  </w:r>
                </w:p>
              </w:tc>
              <w:tc>
                <w:tcPr>
                  <w:tcW w:w="907" w:type="dxa"/>
                  <w:tcBorders>
                    <w:top w:val="single" w:sz="8" w:space="0" w:color="FFFFFF"/>
                    <w:left w:val="single" w:sz="8" w:space="0" w:color="FFFFFF"/>
                    <w:bottom w:val="nil"/>
                    <w:right w:val="nil"/>
                  </w:tcBorders>
                  <w:shd w:val="clear" w:color="auto" w:fill="9A9EB0"/>
                </w:tcPr>
                <w:p w14:paraId="74BBB3B9" w14:textId="77777777" w:rsidR="005C3E95" w:rsidRPr="005C3E95" w:rsidRDefault="005C3E95" w:rsidP="00931EC6">
                  <w:pPr>
                    <w:pStyle w:val="TableTextRight"/>
                    <w:rPr>
                      <w:rFonts w:eastAsia="Arial"/>
                      <w:b/>
                    </w:rPr>
                  </w:pPr>
                  <w:r w:rsidRPr="005C3E95">
                    <w:rPr>
                      <w:rFonts w:eastAsia="Arial"/>
                      <w:b/>
                    </w:rPr>
                    <w:t>1,468</w:t>
                  </w:r>
                </w:p>
              </w:tc>
            </w:tr>
          </w:tbl>
          <w:p w14:paraId="49CAC600" w14:textId="77777777" w:rsidR="005C3E95" w:rsidRPr="00E16DB5" w:rsidRDefault="005C3E95" w:rsidP="00931EC6">
            <w:pPr>
              <w:pStyle w:val="TableSecondHeading"/>
              <w:spacing w:after="0"/>
              <w:rPr>
                <w:rFonts w:eastAsia="Arial"/>
              </w:rPr>
            </w:pPr>
            <w:r w:rsidRPr="00E16DB5">
              <w:rPr>
                <w:rFonts w:eastAsia="Arial"/>
              </w:rPr>
              <w:t>Impact of boost to GST Distribution Pool^</w:t>
            </w:r>
          </w:p>
          <w:p w14:paraId="031ACAC4" w14:textId="77777777" w:rsidR="005C3E95" w:rsidRDefault="005C3E95" w:rsidP="005C3E95">
            <w:pPr>
              <w:spacing w:before="1" w:after="0" w:line="40" w:lineRule="exact"/>
              <w:rPr>
                <w:sz w:val="4"/>
                <w:szCs w:val="4"/>
              </w:rPr>
            </w:pPr>
          </w:p>
          <w:tbl>
            <w:tblPr>
              <w:tblW w:w="0" w:type="auto"/>
              <w:tblInd w:w="107" w:type="dxa"/>
              <w:tblCellMar>
                <w:left w:w="57" w:type="dxa"/>
                <w:right w:w="57" w:type="dxa"/>
              </w:tblCellMar>
              <w:tblLook w:val="01E0" w:firstRow="1" w:lastRow="1" w:firstColumn="1" w:lastColumn="1" w:noHBand="0" w:noVBand="0"/>
            </w:tblPr>
            <w:tblGrid>
              <w:gridCol w:w="907"/>
              <w:gridCol w:w="907"/>
              <w:gridCol w:w="907"/>
              <w:gridCol w:w="907"/>
              <w:gridCol w:w="907"/>
              <w:gridCol w:w="907"/>
              <w:gridCol w:w="907"/>
              <w:gridCol w:w="907"/>
              <w:gridCol w:w="907"/>
              <w:gridCol w:w="907"/>
            </w:tblGrid>
            <w:tr w:rsidR="005C3E95" w:rsidRPr="005C3E95" w14:paraId="3D57F1CF"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35E16FBC" w14:textId="77777777" w:rsidR="005C3E95" w:rsidRPr="005C3E95" w:rsidRDefault="005C3E95" w:rsidP="00931EC6">
                  <w:pPr>
                    <w:pStyle w:val="TableTextLeft"/>
                    <w:rPr>
                      <w:rFonts w:eastAsia="Arial"/>
                    </w:rPr>
                  </w:pPr>
                  <w:r w:rsidRPr="005C3E95">
                    <w:rPr>
                      <w:rFonts w:eastAsia="Arial"/>
                    </w:rPr>
                    <w:t>2021-22</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2488516C" w14:textId="77777777" w:rsidR="005C3E95" w:rsidRPr="005C3E95" w:rsidRDefault="005C3E95" w:rsidP="00931EC6">
                  <w:pPr>
                    <w:pStyle w:val="TableTextRight"/>
                    <w:rPr>
                      <w:rFonts w:eastAsia="Arial"/>
                    </w:rPr>
                  </w:pPr>
                  <w:r w:rsidRPr="005C3E95">
                    <w:rPr>
                      <w:rFonts w:eastAsia="Arial"/>
                    </w:rPr>
                    <w:t>78</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CA869B6" w14:textId="77777777" w:rsidR="005C3E95" w:rsidRPr="005C3E95" w:rsidRDefault="005C3E95" w:rsidP="00931EC6">
                  <w:pPr>
                    <w:pStyle w:val="TableTextRight"/>
                    <w:rPr>
                      <w:rFonts w:eastAsia="Arial"/>
                    </w:rPr>
                  </w:pPr>
                  <w:r w:rsidRPr="005C3E95">
                    <w:rPr>
                      <w:rFonts w:eastAsia="Arial"/>
                    </w:rPr>
                    <w:t>84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3EC3DEB" w14:textId="77777777" w:rsidR="005C3E95" w:rsidRPr="005C3E95" w:rsidRDefault="005C3E95" w:rsidP="00931EC6">
                  <w:pPr>
                    <w:pStyle w:val="TableTextRight"/>
                    <w:rPr>
                      <w:rFonts w:eastAsia="Arial"/>
                    </w:rPr>
                  </w:pPr>
                  <w:r w:rsidRPr="005C3E95">
                    <w:rPr>
                      <w:rFonts w:eastAsia="Arial"/>
                    </w:rPr>
                    <w:t>87</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91008D6" w14:textId="77777777" w:rsidR="005C3E95" w:rsidRPr="005C3E95" w:rsidRDefault="005C3E95" w:rsidP="00931EC6">
                  <w:pPr>
                    <w:pStyle w:val="TableTextRight"/>
                    <w:rPr>
                      <w:rFonts w:eastAsia="Arial"/>
                    </w:rPr>
                  </w:pPr>
                  <w:r w:rsidRPr="005C3E95">
                    <w:rPr>
                      <w:rFonts w:eastAsia="Arial"/>
                    </w:rPr>
                    <w:t>568*</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72FB085" w14:textId="77777777" w:rsidR="005C3E95" w:rsidRPr="005C3E95" w:rsidRDefault="005C3E95" w:rsidP="00931EC6">
                  <w:pPr>
                    <w:pStyle w:val="TableTextRight"/>
                    <w:rPr>
                      <w:rFonts w:eastAsia="Arial"/>
                    </w:rPr>
                  </w:pPr>
                  <w:r w:rsidRPr="005C3E95">
                    <w:rPr>
                      <w:rFonts w:eastAsia="Arial"/>
                    </w:rPr>
                    <w:t>41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B938954" w14:textId="77777777" w:rsidR="005C3E95" w:rsidRPr="005C3E95" w:rsidRDefault="005C3E95" w:rsidP="00931EC6">
                  <w:pPr>
                    <w:pStyle w:val="TableTextRight"/>
                    <w:rPr>
                      <w:rFonts w:eastAsia="Arial"/>
                    </w:rPr>
                  </w:pPr>
                  <w:r w:rsidRPr="005C3E95">
                    <w:rPr>
                      <w:rFonts w:eastAsia="Arial"/>
                    </w:rPr>
                    <w:t>17</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6081909" w14:textId="77777777" w:rsidR="005C3E95" w:rsidRPr="005C3E95" w:rsidRDefault="005C3E95" w:rsidP="00931EC6">
                  <w:pPr>
                    <w:pStyle w:val="TableTextRight"/>
                    <w:rPr>
                      <w:rFonts w:eastAsia="Arial"/>
                    </w:rPr>
                  </w:pPr>
                  <w:r w:rsidRPr="005C3E95">
                    <w:rPr>
                      <w:rFonts w:eastAsia="Arial"/>
                    </w:rPr>
                    <w:t>7</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FB5269D" w14:textId="77777777" w:rsidR="005C3E95" w:rsidRPr="005C3E95" w:rsidRDefault="005C3E95" w:rsidP="00931EC6">
                  <w:pPr>
                    <w:pStyle w:val="TableTextRight"/>
                    <w:rPr>
                      <w:rFonts w:eastAsia="Arial"/>
                    </w:rPr>
                  </w:pPr>
                  <w:r w:rsidRPr="005C3E95">
                    <w:rPr>
                      <w:rFonts w:eastAsia="Arial"/>
                    </w:rPr>
                    <w:t>24</w:t>
                  </w:r>
                </w:p>
              </w:tc>
              <w:tc>
                <w:tcPr>
                  <w:tcW w:w="907" w:type="dxa"/>
                  <w:tcBorders>
                    <w:top w:val="single" w:sz="8" w:space="0" w:color="FFFFFF"/>
                    <w:left w:val="single" w:sz="8" w:space="0" w:color="FFFFFF"/>
                    <w:bottom w:val="single" w:sz="8" w:space="0" w:color="FFFFFF"/>
                    <w:right w:val="nil"/>
                  </w:tcBorders>
                  <w:shd w:val="clear" w:color="auto" w:fill="E9EDEA"/>
                </w:tcPr>
                <w:p w14:paraId="639745A7" w14:textId="77777777" w:rsidR="005C3E95" w:rsidRPr="005C3E95" w:rsidRDefault="005C3E95" w:rsidP="00931EC6">
                  <w:pPr>
                    <w:pStyle w:val="TableTextRight"/>
                    <w:rPr>
                      <w:rFonts w:eastAsia="Arial"/>
                    </w:rPr>
                  </w:pPr>
                  <w:r w:rsidRPr="005C3E95">
                    <w:rPr>
                      <w:rFonts w:eastAsia="Arial"/>
                    </w:rPr>
                    <w:t>905*</w:t>
                  </w:r>
                </w:p>
              </w:tc>
            </w:tr>
            <w:tr w:rsidR="005C3E95" w:rsidRPr="005C3E95" w14:paraId="293C6C35"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71E45961" w14:textId="77777777" w:rsidR="005C3E95" w:rsidRPr="005C3E95" w:rsidRDefault="005C3E95" w:rsidP="00931EC6">
                  <w:pPr>
                    <w:pStyle w:val="TableTextLeft"/>
                    <w:rPr>
                      <w:rFonts w:eastAsia="Arial"/>
                    </w:rPr>
                  </w:pPr>
                  <w:r w:rsidRPr="005C3E95">
                    <w:rPr>
                      <w:rFonts w:eastAsia="Arial"/>
                    </w:rPr>
                    <w:t>2022-23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6045CD81" w14:textId="77777777" w:rsidR="005C3E95" w:rsidRPr="005C3E95" w:rsidRDefault="005C3E95" w:rsidP="00931EC6">
                  <w:pPr>
                    <w:pStyle w:val="TableTextRight"/>
                    <w:rPr>
                      <w:rFonts w:eastAsia="Arial"/>
                    </w:rPr>
                  </w:pPr>
                  <w:r w:rsidRPr="005C3E95">
                    <w:rPr>
                      <w:rFonts w:eastAsia="Arial"/>
                    </w:rPr>
                    <w:t>30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0E9C406" w14:textId="77777777" w:rsidR="005C3E95" w:rsidRPr="005C3E95" w:rsidRDefault="005C3E95" w:rsidP="00931EC6">
                  <w:pPr>
                    <w:pStyle w:val="TableTextRight"/>
                    <w:rPr>
                      <w:rFonts w:eastAsia="Arial"/>
                    </w:rPr>
                  </w:pPr>
                  <w:r w:rsidRPr="005C3E95">
                    <w:rPr>
                      <w:rFonts w:eastAsia="Arial"/>
                    </w:rPr>
                    <w:t>45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5312052D" w14:textId="77777777" w:rsidR="005C3E95" w:rsidRPr="005C3E95" w:rsidRDefault="005C3E95" w:rsidP="00931EC6">
                  <w:pPr>
                    <w:pStyle w:val="TableTextRight"/>
                    <w:rPr>
                      <w:rFonts w:eastAsia="Arial"/>
                    </w:rPr>
                  </w:pPr>
                  <w:r w:rsidRPr="005C3E95">
                    <w:rPr>
                      <w:rFonts w:eastAsia="Arial"/>
                    </w:rPr>
                    <w:t>61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55D77DF" w14:textId="77777777" w:rsidR="005C3E95" w:rsidRPr="005C3E95" w:rsidRDefault="005C3E95" w:rsidP="00931EC6">
                  <w:pPr>
                    <w:pStyle w:val="TableTextRight"/>
                    <w:rPr>
                      <w:rFonts w:eastAsia="Arial"/>
                    </w:rPr>
                  </w:pPr>
                  <w:r w:rsidRPr="005C3E95">
                    <w:rPr>
                      <w:rFonts w:eastAsia="Arial"/>
                    </w:rPr>
                    <w:t>421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DCC8EC4" w14:textId="77777777" w:rsidR="005C3E95" w:rsidRPr="005C3E95" w:rsidRDefault="005C3E95" w:rsidP="00931EC6">
                  <w:pPr>
                    <w:pStyle w:val="TableTextRight"/>
                    <w:rPr>
                      <w:rFonts w:eastAsia="Arial"/>
                    </w:rPr>
                  </w:pPr>
                  <w:r w:rsidRPr="005C3E95">
                    <w:rPr>
                      <w:rFonts w:eastAsia="Arial"/>
                    </w:rPr>
                    <w:t>31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4B8DA622" w14:textId="77777777" w:rsidR="005C3E95" w:rsidRPr="005C3E95" w:rsidRDefault="005C3E95" w:rsidP="00931EC6">
                  <w:pPr>
                    <w:pStyle w:val="TableTextRight"/>
                    <w:rPr>
                      <w:rFonts w:eastAsia="Arial"/>
                    </w:rPr>
                  </w:pPr>
                  <w:r w:rsidRPr="005C3E95">
                    <w:rPr>
                      <w:rFonts w:eastAsia="Arial"/>
                    </w:rPr>
                    <w:t>14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42B3148" w14:textId="77777777" w:rsidR="005C3E95" w:rsidRPr="005C3E95" w:rsidRDefault="005C3E95" w:rsidP="00931EC6">
                  <w:pPr>
                    <w:pStyle w:val="TableTextRight"/>
                    <w:rPr>
                      <w:rFonts w:eastAsia="Arial"/>
                    </w:rPr>
                  </w:pPr>
                  <w:r w:rsidRPr="005C3E95">
                    <w:rPr>
                      <w:rFonts w:eastAsia="Arial"/>
                    </w:rPr>
                    <w:t>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580E6335" w14:textId="77777777" w:rsidR="005C3E95" w:rsidRPr="005C3E95" w:rsidRDefault="005C3E95" w:rsidP="00931EC6">
                  <w:pPr>
                    <w:pStyle w:val="TableTextRight"/>
                    <w:rPr>
                      <w:rFonts w:eastAsia="Arial"/>
                    </w:rPr>
                  </w:pPr>
                  <w:r w:rsidRPr="005C3E95">
                    <w:rPr>
                      <w:rFonts w:eastAsia="Arial"/>
                    </w:rPr>
                    <w:t>24</w:t>
                  </w:r>
                </w:p>
              </w:tc>
              <w:tc>
                <w:tcPr>
                  <w:tcW w:w="907" w:type="dxa"/>
                  <w:tcBorders>
                    <w:top w:val="single" w:sz="8" w:space="0" w:color="FFFFFF"/>
                    <w:left w:val="single" w:sz="8" w:space="0" w:color="FFFFFF"/>
                    <w:bottom w:val="single" w:sz="8" w:space="0" w:color="FFFFFF"/>
                    <w:right w:val="nil"/>
                  </w:tcBorders>
                  <w:shd w:val="clear" w:color="auto" w:fill="E9EDEA"/>
                </w:tcPr>
                <w:p w14:paraId="3B00D01B" w14:textId="77777777" w:rsidR="005C3E95" w:rsidRPr="005C3E95" w:rsidRDefault="005C3E95" w:rsidP="00931EC6">
                  <w:pPr>
                    <w:pStyle w:val="TableTextRight"/>
                    <w:rPr>
                      <w:rFonts w:eastAsia="Arial"/>
                    </w:rPr>
                  </w:pPr>
                  <w:r w:rsidRPr="005C3E95">
                    <w:rPr>
                      <w:rFonts w:eastAsia="Arial"/>
                    </w:rPr>
                    <w:t>631</w:t>
                  </w:r>
                </w:p>
              </w:tc>
            </w:tr>
            <w:tr w:rsidR="005C3E95" w:rsidRPr="005C3E95" w14:paraId="7B1C5753"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0E100346" w14:textId="77777777" w:rsidR="005C3E95" w:rsidRPr="005C3E95" w:rsidRDefault="005C3E95" w:rsidP="00931EC6">
                  <w:pPr>
                    <w:pStyle w:val="TableTextLeft"/>
                    <w:rPr>
                      <w:rFonts w:eastAsia="Arial"/>
                    </w:rPr>
                  </w:pPr>
                  <w:r w:rsidRPr="005C3E95">
                    <w:rPr>
                      <w:rFonts w:eastAsia="Arial"/>
                    </w:rPr>
                    <w:t>2023-24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75A5BFD" w14:textId="77777777" w:rsidR="005C3E95" w:rsidRPr="005C3E95" w:rsidRDefault="005C3E95" w:rsidP="00931EC6">
                  <w:pPr>
                    <w:pStyle w:val="TableTextRight"/>
                    <w:rPr>
                      <w:rFonts w:eastAsia="Arial"/>
                    </w:rPr>
                  </w:pPr>
                  <w:r w:rsidRPr="005C3E95">
                    <w:rPr>
                      <w:rFonts w:eastAsia="Arial"/>
                    </w:rPr>
                    <w:t>14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087BE4C" w14:textId="77777777" w:rsidR="005C3E95" w:rsidRPr="005C3E95" w:rsidRDefault="005C3E95" w:rsidP="00931EC6">
                  <w:pPr>
                    <w:pStyle w:val="TableTextRight"/>
                    <w:rPr>
                      <w:rFonts w:eastAsia="Arial"/>
                    </w:rPr>
                  </w:pPr>
                  <w:r w:rsidRPr="005C3E95">
                    <w:rPr>
                      <w:rFonts w:eastAsia="Arial"/>
                    </w:rPr>
                    <w:t>32</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29C24BA" w14:textId="77777777" w:rsidR="005C3E95" w:rsidRPr="005C3E95" w:rsidRDefault="005C3E95" w:rsidP="00931EC6">
                  <w:pPr>
                    <w:pStyle w:val="TableTextRight"/>
                    <w:rPr>
                      <w:rFonts w:eastAsia="Arial"/>
                    </w:rPr>
                  </w:pPr>
                  <w:r w:rsidRPr="005C3E95">
                    <w:rPr>
                      <w:rFonts w:eastAsia="Arial"/>
                    </w:rPr>
                    <w:t>51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6B39D979" w14:textId="77777777" w:rsidR="005C3E95" w:rsidRPr="005C3E95" w:rsidRDefault="005C3E95" w:rsidP="00931EC6">
                  <w:pPr>
                    <w:pStyle w:val="TableTextRight"/>
                    <w:rPr>
                      <w:rFonts w:eastAsia="Arial"/>
                    </w:rPr>
                  </w:pPr>
                  <w:r w:rsidRPr="005C3E95">
                    <w:rPr>
                      <w:rFonts w:eastAsia="Arial"/>
                    </w:rPr>
                    <w:t>495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2558DD89" w14:textId="77777777" w:rsidR="005C3E95" w:rsidRPr="005C3E95" w:rsidRDefault="005C3E95" w:rsidP="00931EC6">
                  <w:pPr>
                    <w:pStyle w:val="TableTextRight"/>
                    <w:rPr>
                      <w:rFonts w:eastAsia="Arial"/>
                    </w:rPr>
                  </w:pPr>
                  <w:r w:rsidRPr="005C3E95">
                    <w:rPr>
                      <w:rFonts w:eastAsia="Arial"/>
                    </w:rPr>
                    <w:t>28</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5D379DDF" w14:textId="77777777" w:rsidR="005C3E95" w:rsidRPr="005C3E95" w:rsidRDefault="005C3E95" w:rsidP="00931EC6">
                  <w:pPr>
                    <w:pStyle w:val="TableTextRight"/>
                    <w:rPr>
                      <w:rFonts w:eastAsia="Arial"/>
                    </w:rPr>
                  </w:pPr>
                  <w:r w:rsidRPr="005C3E95">
                    <w:rPr>
                      <w:rFonts w:eastAsia="Arial"/>
                    </w:rPr>
                    <w:t>13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9B04A54" w14:textId="77777777" w:rsidR="005C3E95" w:rsidRPr="005C3E95" w:rsidRDefault="005C3E95" w:rsidP="00931EC6">
                  <w:pPr>
                    <w:pStyle w:val="TableTextRight"/>
                    <w:rPr>
                      <w:rFonts w:eastAsia="Arial"/>
                    </w:rPr>
                  </w:pPr>
                  <w:r w:rsidRPr="005C3E95">
                    <w:rPr>
                      <w:rFonts w:eastAsia="Arial"/>
                    </w:rPr>
                    <w:t>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B205BF2" w14:textId="77777777" w:rsidR="005C3E95" w:rsidRPr="005C3E95" w:rsidRDefault="005C3E95" w:rsidP="00931EC6">
                  <w:pPr>
                    <w:pStyle w:val="TableTextRight"/>
                    <w:rPr>
                      <w:rFonts w:eastAsia="Arial"/>
                    </w:rPr>
                  </w:pPr>
                  <w:r w:rsidRPr="005C3E95">
                    <w:rPr>
                      <w:rFonts w:eastAsia="Arial"/>
                    </w:rPr>
                    <w:t>25</w:t>
                  </w:r>
                </w:p>
              </w:tc>
              <w:tc>
                <w:tcPr>
                  <w:tcW w:w="907" w:type="dxa"/>
                  <w:tcBorders>
                    <w:top w:val="single" w:sz="8" w:space="0" w:color="FFFFFF"/>
                    <w:left w:val="single" w:sz="8" w:space="0" w:color="FFFFFF"/>
                    <w:bottom w:val="single" w:sz="8" w:space="0" w:color="FFFFFF"/>
                    <w:right w:val="nil"/>
                  </w:tcBorders>
                  <w:shd w:val="clear" w:color="auto" w:fill="E9EDEA"/>
                </w:tcPr>
                <w:p w14:paraId="63742E2D" w14:textId="77777777" w:rsidR="005C3E95" w:rsidRPr="005C3E95" w:rsidRDefault="005C3E95" w:rsidP="00931EC6">
                  <w:pPr>
                    <w:pStyle w:val="TableTextRight"/>
                    <w:rPr>
                      <w:rFonts w:eastAsia="Arial"/>
                    </w:rPr>
                  </w:pPr>
                  <w:r w:rsidRPr="005C3E95">
                    <w:rPr>
                      <w:rFonts w:eastAsia="Arial"/>
                    </w:rPr>
                    <w:t>664</w:t>
                  </w:r>
                </w:p>
              </w:tc>
            </w:tr>
            <w:tr w:rsidR="005C3E95" w:rsidRPr="005C3E95" w14:paraId="6514C85D"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094F0956" w14:textId="77777777" w:rsidR="005C3E95" w:rsidRPr="005C3E95" w:rsidRDefault="005C3E95" w:rsidP="00931EC6">
                  <w:pPr>
                    <w:pStyle w:val="TableTextLeft"/>
                    <w:rPr>
                      <w:rFonts w:eastAsia="Arial"/>
                    </w:rPr>
                  </w:pPr>
                  <w:r w:rsidRPr="005C3E95">
                    <w:rPr>
                      <w:rFonts w:eastAsia="Arial"/>
                    </w:rPr>
                    <w:t>2024-25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825D739" w14:textId="77777777" w:rsidR="005C3E95" w:rsidRPr="005C3E95" w:rsidRDefault="005C3E95" w:rsidP="00931EC6">
                  <w:pPr>
                    <w:pStyle w:val="TableTextRight"/>
                    <w:rPr>
                      <w:rFonts w:eastAsia="Arial"/>
                    </w:rPr>
                  </w:pPr>
                  <w:r w:rsidRPr="005C3E95">
                    <w:rPr>
                      <w:rFonts w:eastAsia="Arial"/>
                    </w:rPr>
                    <w:t>70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1EBE7B47" w14:textId="77777777" w:rsidR="005C3E95" w:rsidRPr="005C3E95" w:rsidRDefault="005C3E95" w:rsidP="00931EC6">
                  <w:pPr>
                    <w:pStyle w:val="TableTextRight"/>
                    <w:rPr>
                      <w:rFonts w:eastAsia="Arial"/>
                    </w:rPr>
                  </w:pPr>
                  <w:r w:rsidRPr="005C3E95">
                    <w:rPr>
                      <w:rFonts w:eastAsia="Arial"/>
                    </w:rPr>
                    <w:t>84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C8C16E8" w14:textId="77777777" w:rsidR="005C3E95" w:rsidRPr="005C3E95" w:rsidRDefault="005C3E95" w:rsidP="00931EC6">
                  <w:pPr>
                    <w:pStyle w:val="TableTextRight"/>
                    <w:rPr>
                      <w:rFonts w:eastAsia="Arial"/>
                    </w:rPr>
                  </w:pPr>
                  <w:r w:rsidRPr="005C3E95">
                    <w:rPr>
                      <w:rFonts w:eastAsia="Arial"/>
                    </w:rPr>
                    <w:t>101</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5577A06" w14:textId="77777777" w:rsidR="005C3E95" w:rsidRPr="005C3E95" w:rsidRDefault="005C3E95" w:rsidP="00931EC6">
                  <w:pPr>
                    <w:pStyle w:val="TableTextRight"/>
                    <w:rPr>
                      <w:rFonts w:eastAsia="Arial"/>
                    </w:rPr>
                  </w:pPr>
                  <w:r w:rsidRPr="005C3E95">
                    <w:rPr>
                      <w:rFonts w:eastAsia="Arial"/>
                    </w:rPr>
                    <w:t>575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7F13DC7" w14:textId="77777777" w:rsidR="005C3E95" w:rsidRPr="005C3E95" w:rsidRDefault="005C3E95" w:rsidP="00931EC6">
                  <w:pPr>
                    <w:pStyle w:val="TableTextRight"/>
                    <w:rPr>
                      <w:rFonts w:eastAsia="Arial"/>
                    </w:rPr>
                  </w:pPr>
                  <w:r w:rsidRPr="005C3E95">
                    <w:rPr>
                      <w:rFonts w:eastAsia="Arial"/>
                    </w:rPr>
                    <w:t>50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CDBD00A" w14:textId="77777777" w:rsidR="005C3E95" w:rsidRPr="005C3E95" w:rsidRDefault="005C3E95" w:rsidP="00931EC6">
                  <w:pPr>
                    <w:pStyle w:val="TableTextRight"/>
                    <w:rPr>
                      <w:rFonts w:eastAsia="Arial"/>
                    </w:rPr>
                  </w:pPr>
                  <w:r w:rsidRPr="005C3E95">
                    <w:rPr>
                      <w:rFonts w:eastAsia="Arial"/>
                    </w:rPr>
                    <w:t>22</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57C8D3D1" w14:textId="77777777" w:rsidR="005C3E95" w:rsidRPr="005C3E95" w:rsidRDefault="005C3E95" w:rsidP="00931EC6">
                  <w:pPr>
                    <w:pStyle w:val="TableTextRight"/>
                    <w:rPr>
                      <w:rFonts w:eastAsia="Arial"/>
                    </w:rPr>
                  </w:pPr>
                  <w:r w:rsidRPr="005C3E95">
                    <w:rPr>
                      <w:rFonts w:eastAsia="Arial"/>
                    </w:rPr>
                    <w:t>9</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4E72DE01" w14:textId="77777777" w:rsidR="005C3E95" w:rsidRPr="005C3E95" w:rsidRDefault="005C3E95" w:rsidP="00931EC6">
                  <w:pPr>
                    <w:pStyle w:val="TableTextRight"/>
                    <w:rPr>
                      <w:rFonts w:eastAsia="Arial"/>
                    </w:rPr>
                  </w:pPr>
                  <w:r w:rsidRPr="005C3E95">
                    <w:rPr>
                      <w:rFonts w:eastAsia="Arial"/>
                    </w:rPr>
                    <w:t>37</w:t>
                  </w:r>
                </w:p>
              </w:tc>
              <w:tc>
                <w:tcPr>
                  <w:tcW w:w="907" w:type="dxa"/>
                  <w:tcBorders>
                    <w:top w:val="single" w:sz="8" w:space="0" w:color="FFFFFF"/>
                    <w:left w:val="single" w:sz="8" w:space="0" w:color="FFFFFF"/>
                    <w:bottom w:val="single" w:sz="8" w:space="0" w:color="FFFFFF"/>
                    <w:right w:val="nil"/>
                  </w:tcBorders>
                  <w:shd w:val="clear" w:color="auto" w:fill="E9EDEA"/>
                </w:tcPr>
                <w:p w14:paraId="27BBA77A" w14:textId="77777777" w:rsidR="005C3E95" w:rsidRPr="005C3E95" w:rsidRDefault="005C3E95" w:rsidP="00931EC6">
                  <w:pPr>
                    <w:pStyle w:val="TableTextRight"/>
                    <w:rPr>
                      <w:rFonts w:eastAsia="Arial"/>
                    </w:rPr>
                  </w:pPr>
                  <w:r w:rsidRPr="005C3E95">
                    <w:rPr>
                      <w:rFonts w:eastAsia="Arial"/>
                    </w:rPr>
                    <w:t>948</w:t>
                  </w:r>
                </w:p>
              </w:tc>
            </w:tr>
            <w:tr w:rsidR="005C3E95" w:rsidRPr="005C3E95" w14:paraId="17353270"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695777D7" w14:textId="77777777" w:rsidR="005C3E95" w:rsidRPr="005C3E95" w:rsidRDefault="005C3E95" w:rsidP="00931EC6">
                  <w:pPr>
                    <w:pStyle w:val="TableTextLeft"/>
                    <w:rPr>
                      <w:rFonts w:eastAsia="Arial"/>
                    </w:rPr>
                  </w:pPr>
                  <w:r w:rsidRPr="005C3E95">
                    <w:rPr>
                      <w:rFonts w:eastAsia="Arial"/>
                    </w:rPr>
                    <w:t>2025-26</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5B9D6E10" w14:textId="77777777" w:rsidR="005C3E95" w:rsidRPr="005C3E95" w:rsidRDefault="005C3E95" w:rsidP="00931EC6">
                  <w:pPr>
                    <w:pStyle w:val="TableTextRight"/>
                    <w:rPr>
                      <w:rFonts w:eastAsia="Arial"/>
                    </w:rPr>
                  </w:pPr>
                  <w:r w:rsidRPr="005C3E95">
                    <w:rPr>
                      <w:rFonts w:eastAsia="Arial"/>
                    </w:rPr>
                    <w:t>85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4194386D" w14:textId="77777777" w:rsidR="005C3E95" w:rsidRPr="005C3E95" w:rsidRDefault="005C3E95" w:rsidP="00931EC6">
                  <w:pPr>
                    <w:pStyle w:val="TableTextRight"/>
                    <w:rPr>
                      <w:rFonts w:eastAsia="Arial"/>
                    </w:rPr>
                  </w:pPr>
                  <w:r w:rsidRPr="005C3E95">
                    <w:rPr>
                      <w:rFonts w:eastAsia="Arial"/>
                    </w:rPr>
                    <w:t>96</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6E45748D" w14:textId="77777777" w:rsidR="005C3E95" w:rsidRPr="005C3E95" w:rsidRDefault="005C3E95" w:rsidP="00931EC6">
                  <w:pPr>
                    <w:pStyle w:val="TableTextRight"/>
                    <w:rPr>
                      <w:rFonts w:eastAsia="Arial"/>
                    </w:rPr>
                  </w:pPr>
                  <w:r w:rsidRPr="005C3E95">
                    <w:rPr>
                      <w:rFonts w:eastAsia="Arial"/>
                    </w:rPr>
                    <w:t>112</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99545F2" w14:textId="77777777" w:rsidR="005C3E95" w:rsidRPr="005C3E95" w:rsidRDefault="005C3E95" w:rsidP="00931EC6">
                  <w:pPr>
                    <w:pStyle w:val="TableTextRight"/>
                    <w:rPr>
                      <w:rFonts w:eastAsia="Arial"/>
                    </w:rPr>
                  </w:pPr>
                  <w:r w:rsidRPr="005C3E95">
                    <w:rPr>
                      <w:rFonts w:eastAsia="Arial"/>
                    </w:rPr>
                    <w:t>580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6EA9575D" w14:textId="77777777" w:rsidR="005C3E95" w:rsidRPr="005C3E95" w:rsidRDefault="005C3E95" w:rsidP="00931EC6">
                  <w:pPr>
                    <w:pStyle w:val="TableTextRight"/>
                    <w:rPr>
                      <w:rFonts w:eastAsia="Arial"/>
                    </w:rPr>
                  </w:pPr>
                  <w:r w:rsidRPr="005C3E95">
                    <w:rPr>
                      <w:rFonts w:eastAsia="Arial"/>
                    </w:rPr>
                    <w:t>54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71896DC3" w14:textId="77777777" w:rsidR="005C3E95" w:rsidRPr="005C3E95" w:rsidRDefault="005C3E95" w:rsidP="00931EC6">
                  <w:pPr>
                    <w:pStyle w:val="TableTextRight"/>
                    <w:rPr>
                      <w:rFonts w:eastAsia="Arial"/>
                    </w:rPr>
                  </w:pPr>
                  <w:r w:rsidRPr="005C3E95">
                    <w:rPr>
                      <w:rFonts w:eastAsia="Arial"/>
                    </w:rPr>
                    <w:t>23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4044D018" w14:textId="77777777" w:rsidR="005C3E95" w:rsidRPr="005C3E95" w:rsidRDefault="005C3E95" w:rsidP="00931EC6">
                  <w:pPr>
                    <w:pStyle w:val="TableTextRight"/>
                    <w:rPr>
                      <w:rFonts w:eastAsia="Arial"/>
                    </w:rPr>
                  </w:pPr>
                  <w:r w:rsidRPr="005C3E95">
                    <w:rPr>
                      <w:rFonts w:eastAsia="Arial"/>
                    </w:rPr>
                    <w:t>10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2AF0051B" w14:textId="77777777" w:rsidR="005C3E95" w:rsidRPr="005C3E95" w:rsidRDefault="005C3E95" w:rsidP="00931EC6">
                  <w:pPr>
                    <w:pStyle w:val="TableTextRight"/>
                    <w:rPr>
                      <w:rFonts w:eastAsia="Arial"/>
                    </w:rPr>
                  </w:pPr>
                  <w:r w:rsidRPr="005C3E95">
                    <w:rPr>
                      <w:rFonts w:eastAsia="Arial"/>
                    </w:rPr>
                    <w:t>39</w:t>
                  </w:r>
                </w:p>
              </w:tc>
              <w:tc>
                <w:tcPr>
                  <w:tcW w:w="907" w:type="dxa"/>
                  <w:tcBorders>
                    <w:top w:val="single" w:sz="8" w:space="0" w:color="FFFFFF"/>
                    <w:left w:val="single" w:sz="8" w:space="0" w:color="FFFFFF"/>
                    <w:bottom w:val="single" w:sz="8" w:space="0" w:color="FFFFFF"/>
                    <w:right w:val="nil"/>
                  </w:tcBorders>
                  <w:shd w:val="clear" w:color="auto" w:fill="E9EDEA"/>
                </w:tcPr>
                <w:p w14:paraId="5500B539" w14:textId="77777777" w:rsidR="005C3E95" w:rsidRPr="005C3E95" w:rsidRDefault="005C3E95" w:rsidP="00931EC6">
                  <w:pPr>
                    <w:pStyle w:val="TableTextRight"/>
                    <w:rPr>
                      <w:rFonts w:eastAsia="Arial"/>
                    </w:rPr>
                  </w:pPr>
                  <w:r w:rsidRPr="005C3E95">
                    <w:rPr>
                      <w:rFonts w:eastAsia="Arial"/>
                    </w:rPr>
                    <w:t>999</w:t>
                  </w:r>
                </w:p>
              </w:tc>
            </w:tr>
            <w:tr w:rsidR="005C3E95" w:rsidRPr="005C3E95" w14:paraId="1B012E83" w14:textId="77777777" w:rsidTr="005C3E95">
              <w:trPr>
                <w:trHeight w:hRule="exact" w:val="289"/>
              </w:trPr>
              <w:tc>
                <w:tcPr>
                  <w:tcW w:w="907" w:type="dxa"/>
                  <w:tcBorders>
                    <w:top w:val="single" w:sz="8" w:space="0" w:color="FFFFFF"/>
                    <w:left w:val="nil"/>
                    <w:bottom w:val="single" w:sz="8" w:space="0" w:color="FFFFFF"/>
                    <w:right w:val="single" w:sz="8" w:space="0" w:color="FFFFFF"/>
                  </w:tcBorders>
                  <w:shd w:val="clear" w:color="auto" w:fill="E9EDEA"/>
                </w:tcPr>
                <w:p w14:paraId="6EDCA749" w14:textId="77777777" w:rsidR="005C3E95" w:rsidRPr="005C3E95" w:rsidRDefault="005C3E95" w:rsidP="00931EC6">
                  <w:pPr>
                    <w:pStyle w:val="TableTextLeft"/>
                    <w:rPr>
                      <w:rFonts w:eastAsia="Arial"/>
                    </w:rPr>
                  </w:pPr>
                  <w:r w:rsidRPr="005C3E95">
                    <w:rPr>
                      <w:rFonts w:eastAsia="Arial"/>
                    </w:rPr>
                    <w:t>2026-27</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220A88FE" w14:textId="77777777" w:rsidR="005C3E95" w:rsidRPr="005C3E95" w:rsidRDefault="005C3E95" w:rsidP="00931EC6">
                  <w:pPr>
                    <w:pStyle w:val="TableTextRight"/>
                    <w:rPr>
                      <w:rFonts w:eastAsia="Arial"/>
                    </w:rPr>
                  </w:pPr>
                  <w:r w:rsidRPr="005C3E95">
                    <w:rPr>
                      <w:rFonts w:eastAsia="Arial"/>
                    </w:rPr>
                    <w:t>74</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9363A4A" w14:textId="77777777" w:rsidR="005C3E95" w:rsidRPr="005C3E95" w:rsidRDefault="005C3E95" w:rsidP="00931EC6">
                  <w:pPr>
                    <w:pStyle w:val="TableTextRight"/>
                    <w:rPr>
                      <w:rFonts w:eastAsia="Arial"/>
                    </w:rPr>
                  </w:pPr>
                  <w:r w:rsidRPr="005C3E95">
                    <w:rPr>
                      <w:rFonts w:eastAsia="Arial"/>
                    </w:rPr>
                    <w:t>85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066DD56" w14:textId="77777777" w:rsidR="005C3E95" w:rsidRPr="005C3E95" w:rsidRDefault="005C3E95" w:rsidP="00931EC6">
                  <w:pPr>
                    <w:pStyle w:val="TableTextRight"/>
                    <w:rPr>
                      <w:rFonts w:eastAsia="Arial"/>
                    </w:rPr>
                  </w:pPr>
                  <w:r w:rsidRPr="005C3E95">
                    <w:rPr>
                      <w:rFonts w:eastAsia="Arial"/>
                    </w:rPr>
                    <w:t>105</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545E56B" w14:textId="77777777" w:rsidR="005C3E95" w:rsidRPr="005C3E95" w:rsidRDefault="005C3E95" w:rsidP="00931EC6">
                  <w:pPr>
                    <w:pStyle w:val="TableTextRight"/>
                    <w:rPr>
                      <w:rFonts w:eastAsia="Arial"/>
                    </w:rPr>
                  </w:pPr>
                  <w:r w:rsidRPr="005C3E95">
                    <w:rPr>
                      <w:rFonts w:eastAsia="Arial"/>
                    </w:rPr>
                    <w:t>663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657EDDB0" w14:textId="77777777" w:rsidR="005C3E95" w:rsidRPr="005C3E95" w:rsidRDefault="005C3E95" w:rsidP="00931EC6">
                  <w:pPr>
                    <w:pStyle w:val="TableTextRight"/>
                    <w:rPr>
                      <w:rFonts w:eastAsia="Arial"/>
                    </w:rPr>
                  </w:pPr>
                  <w:r w:rsidRPr="005C3E95">
                    <w:rPr>
                      <w:rFonts w:eastAsia="Arial"/>
                    </w:rPr>
                    <w:t>53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4F0B8A68" w14:textId="77777777" w:rsidR="005C3E95" w:rsidRPr="005C3E95" w:rsidRDefault="005C3E95" w:rsidP="00931EC6">
                  <w:pPr>
                    <w:pStyle w:val="TableTextRight"/>
                    <w:rPr>
                      <w:rFonts w:eastAsia="Arial"/>
                    </w:rPr>
                  </w:pPr>
                  <w:r w:rsidRPr="005C3E95">
                    <w:rPr>
                      <w:rFonts w:eastAsia="Arial"/>
                    </w:rPr>
                    <w:t>23</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08C986D6" w14:textId="77777777" w:rsidR="005C3E95" w:rsidRPr="005C3E95" w:rsidRDefault="005C3E95" w:rsidP="00931EC6">
                  <w:pPr>
                    <w:pStyle w:val="TableTextRight"/>
                    <w:rPr>
                      <w:rFonts w:eastAsia="Arial"/>
                    </w:rPr>
                  </w:pPr>
                  <w:r w:rsidRPr="005C3E95">
                    <w:rPr>
                      <w:rFonts w:eastAsia="Arial"/>
                    </w:rPr>
                    <w:t>10</w:t>
                  </w:r>
                </w:p>
              </w:tc>
              <w:tc>
                <w:tcPr>
                  <w:tcW w:w="907" w:type="dxa"/>
                  <w:tcBorders>
                    <w:top w:val="single" w:sz="8" w:space="0" w:color="FFFFFF"/>
                    <w:left w:val="single" w:sz="8" w:space="0" w:color="FFFFFF"/>
                    <w:bottom w:val="single" w:sz="8" w:space="0" w:color="FFFFFF"/>
                    <w:right w:val="single" w:sz="8" w:space="0" w:color="FFFFFF"/>
                  </w:tcBorders>
                  <w:shd w:val="clear" w:color="auto" w:fill="E9EDEA"/>
                </w:tcPr>
                <w:p w14:paraId="3646650F" w14:textId="77777777" w:rsidR="005C3E95" w:rsidRPr="005C3E95" w:rsidRDefault="005C3E95" w:rsidP="00931EC6">
                  <w:pPr>
                    <w:pStyle w:val="TableTextRight"/>
                    <w:rPr>
                      <w:rFonts w:eastAsia="Arial"/>
                    </w:rPr>
                  </w:pPr>
                  <w:r w:rsidRPr="005C3E95">
                    <w:rPr>
                      <w:rFonts w:eastAsia="Arial"/>
                    </w:rPr>
                    <w:t>40</w:t>
                  </w:r>
                </w:p>
              </w:tc>
              <w:tc>
                <w:tcPr>
                  <w:tcW w:w="907" w:type="dxa"/>
                  <w:tcBorders>
                    <w:top w:val="single" w:sz="8" w:space="0" w:color="FFFFFF"/>
                    <w:left w:val="single" w:sz="8" w:space="0" w:color="FFFFFF"/>
                    <w:bottom w:val="single" w:sz="8" w:space="0" w:color="FFFFFF"/>
                    <w:right w:val="nil"/>
                  </w:tcBorders>
                  <w:shd w:val="clear" w:color="auto" w:fill="E9EDEA"/>
                </w:tcPr>
                <w:p w14:paraId="459FB575" w14:textId="77777777" w:rsidR="005C3E95" w:rsidRPr="005C3E95" w:rsidRDefault="005C3E95" w:rsidP="00931EC6">
                  <w:pPr>
                    <w:pStyle w:val="TableTextRight"/>
                    <w:rPr>
                      <w:rFonts w:eastAsia="Arial"/>
                    </w:rPr>
                  </w:pPr>
                  <w:r w:rsidRPr="005C3E95">
                    <w:rPr>
                      <w:rFonts w:eastAsia="Arial"/>
                    </w:rPr>
                    <w:t>1,053</w:t>
                  </w:r>
                </w:p>
              </w:tc>
            </w:tr>
            <w:tr w:rsidR="005C3E95" w:rsidRPr="005C3E95" w14:paraId="1A376B37" w14:textId="77777777" w:rsidTr="005C3E95">
              <w:trPr>
                <w:trHeight w:hRule="exact" w:val="289"/>
              </w:trPr>
              <w:tc>
                <w:tcPr>
                  <w:tcW w:w="907" w:type="dxa"/>
                  <w:tcBorders>
                    <w:top w:val="single" w:sz="8" w:space="0" w:color="FFFFFF"/>
                    <w:left w:val="nil"/>
                    <w:bottom w:val="nil"/>
                    <w:right w:val="single" w:sz="8" w:space="0" w:color="FFFFFF"/>
                  </w:tcBorders>
                  <w:shd w:val="clear" w:color="auto" w:fill="9A9EB0"/>
                </w:tcPr>
                <w:p w14:paraId="17620560" w14:textId="77777777" w:rsidR="005C3E95" w:rsidRPr="005C3E95" w:rsidRDefault="005C3E95" w:rsidP="00931EC6">
                  <w:pPr>
                    <w:pStyle w:val="TableTextLeft"/>
                    <w:rPr>
                      <w:rFonts w:eastAsia="Arial"/>
                      <w:b/>
                    </w:rPr>
                  </w:pPr>
                  <w:r w:rsidRPr="005C3E95">
                    <w:rPr>
                      <w:rFonts w:eastAsia="Arial"/>
                      <w:b/>
                    </w:rPr>
                    <w:t>Total</w:t>
                  </w:r>
                </w:p>
              </w:tc>
              <w:tc>
                <w:tcPr>
                  <w:tcW w:w="907" w:type="dxa"/>
                  <w:tcBorders>
                    <w:top w:val="single" w:sz="8" w:space="0" w:color="FFFFFF"/>
                    <w:left w:val="single" w:sz="8" w:space="0" w:color="FFFFFF"/>
                    <w:bottom w:val="nil"/>
                    <w:right w:val="single" w:sz="8" w:space="0" w:color="FFFFFF"/>
                  </w:tcBorders>
                  <w:shd w:val="clear" w:color="auto" w:fill="9A9EB0"/>
                </w:tcPr>
                <w:p w14:paraId="2674E6AE" w14:textId="77777777" w:rsidR="005C3E95" w:rsidRPr="005C3E95" w:rsidRDefault="005C3E95" w:rsidP="00931EC6">
                  <w:pPr>
                    <w:pStyle w:val="TableTextRight"/>
                    <w:rPr>
                      <w:rFonts w:eastAsia="Arial"/>
                      <w:b/>
                    </w:rPr>
                  </w:pPr>
                  <w:r w:rsidRPr="005C3E95">
                    <w:rPr>
                      <w:rFonts w:eastAsia="Arial"/>
                      <w:b/>
                    </w:rPr>
                    <w:t>351</w:t>
                  </w:r>
                </w:p>
              </w:tc>
              <w:tc>
                <w:tcPr>
                  <w:tcW w:w="907" w:type="dxa"/>
                  <w:tcBorders>
                    <w:top w:val="single" w:sz="8" w:space="0" w:color="FFFFFF"/>
                    <w:left w:val="single" w:sz="8" w:space="0" w:color="FFFFFF"/>
                    <w:bottom w:val="nil"/>
                    <w:right w:val="single" w:sz="8" w:space="0" w:color="FFFFFF"/>
                  </w:tcBorders>
                  <w:shd w:val="clear" w:color="auto" w:fill="9A9EB0"/>
                </w:tcPr>
                <w:p w14:paraId="6DC25A87" w14:textId="77777777" w:rsidR="005C3E95" w:rsidRPr="005C3E95" w:rsidRDefault="005C3E95" w:rsidP="00931EC6">
                  <w:pPr>
                    <w:pStyle w:val="TableTextRight"/>
                    <w:rPr>
                      <w:rFonts w:eastAsia="Arial"/>
                      <w:b/>
                    </w:rPr>
                  </w:pPr>
                  <w:r w:rsidRPr="005C3E95">
                    <w:rPr>
                      <w:rFonts w:eastAsia="Arial"/>
                      <w:b/>
                    </w:rPr>
                    <w:t>425</w:t>
                  </w:r>
                </w:p>
              </w:tc>
              <w:tc>
                <w:tcPr>
                  <w:tcW w:w="907" w:type="dxa"/>
                  <w:tcBorders>
                    <w:top w:val="single" w:sz="8" w:space="0" w:color="FFFFFF"/>
                    <w:left w:val="single" w:sz="8" w:space="0" w:color="FFFFFF"/>
                    <w:bottom w:val="nil"/>
                    <w:right w:val="single" w:sz="8" w:space="0" w:color="FFFFFF"/>
                  </w:tcBorders>
                  <w:shd w:val="clear" w:color="auto" w:fill="9A9EB0"/>
                </w:tcPr>
                <w:p w14:paraId="5417EB85" w14:textId="77777777" w:rsidR="005C3E95" w:rsidRPr="005C3E95" w:rsidRDefault="005C3E95" w:rsidP="00931EC6">
                  <w:pPr>
                    <w:pStyle w:val="TableTextRight"/>
                    <w:rPr>
                      <w:rFonts w:eastAsia="Arial"/>
                      <w:b/>
                    </w:rPr>
                  </w:pPr>
                  <w:r w:rsidRPr="005C3E95">
                    <w:rPr>
                      <w:rFonts w:eastAsia="Arial"/>
                      <w:b/>
                    </w:rPr>
                    <w:t>518</w:t>
                  </w:r>
                </w:p>
              </w:tc>
              <w:tc>
                <w:tcPr>
                  <w:tcW w:w="907" w:type="dxa"/>
                  <w:tcBorders>
                    <w:top w:val="single" w:sz="8" w:space="0" w:color="FFFFFF"/>
                    <w:left w:val="single" w:sz="8" w:space="0" w:color="FFFFFF"/>
                    <w:bottom w:val="nil"/>
                    <w:right w:val="single" w:sz="8" w:space="0" w:color="FFFFFF"/>
                  </w:tcBorders>
                  <w:shd w:val="clear" w:color="auto" w:fill="9A9EB0"/>
                </w:tcPr>
                <w:p w14:paraId="34B33E89" w14:textId="77777777" w:rsidR="005C3E95" w:rsidRPr="005C3E95" w:rsidRDefault="005C3E95" w:rsidP="00931EC6">
                  <w:pPr>
                    <w:pStyle w:val="TableTextRight"/>
                    <w:rPr>
                      <w:rFonts w:eastAsia="Arial"/>
                      <w:b/>
                    </w:rPr>
                  </w:pPr>
                  <w:r w:rsidRPr="005C3E95">
                    <w:rPr>
                      <w:rFonts w:eastAsia="Arial"/>
                      <w:b/>
                    </w:rPr>
                    <w:t>3,303*</w:t>
                  </w:r>
                </w:p>
              </w:tc>
              <w:tc>
                <w:tcPr>
                  <w:tcW w:w="907" w:type="dxa"/>
                  <w:tcBorders>
                    <w:top w:val="single" w:sz="8" w:space="0" w:color="FFFFFF"/>
                    <w:left w:val="single" w:sz="8" w:space="0" w:color="FFFFFF"/>
                    <w:bottom w:val="nil"/>
                    <w:right w:val="single" w:sz="8" w:space="0" w:color="FFFFFF"/>
                  </w:tcBorders>
                  <w:shd w:val="clear" w:color="auto" w:fill="9A9EB0"/>
                </w:tcPr>
                <w:p w14:paraId="5B72D2DA" w14:textId="77777777" w:rsidR="005C3E95" w:rsidRPr="005C3E95" w:rsidRDefault="005C3E95" w:rsidP="00931EC6">
                  <w:pPr>
                    <w:pStyle w:val="TableTextRight"/>
                    <w:rPr>
                      <w:rFonts w:eastAsia="Arial"/>
                      <w:b/>
                    </w:rPr>
                  </w:pPr>
                  <w:r w:rsidRPr="005C3E95">
                    <w:rPr>
                      <w:rFonts w:eastAsia="Arial"/>
                      <w:b/>
                    </w:rPr>
                    <w:t>257</w:t>
                  </w:r>
                </w:p>
              </w:tc>
              <w:tc>
                <w:tcPr>
                  <w:tcW w:w="907" w:type="dxa"/>
                  <w:tcBorders>
                    <w:top w:val="single" w:sz="8" w:space="0" w:color="FFFFFF"/>
                    <w:left w:val="single" w:sz="8" w:space="0" w:color="FFFFFF"/>
                    <w:bottom w:val="nil"/>
                    <w:right w:val="single" w:sz="8" w:space="0" w:color="FFFFFF"/>
                  </w:tcBorders>
                  <w:shd w:val="clear" w:color="auto" w:fill="9A9EB0"/>
                </w:tcPr>
                <w:p w14:paraId="5F0FE12A" w14:textId="77777777" w:rsidR="005C3E95" w:rsidRPr="005C3E95" w:rsidRDefault="005C3E95" w:rsidP="00931EC6">
                  <w:pPr>
                    <w:pStyle w:val="TableTextRight"/>
                    <w:rPr>
                      <w:rFonts w:eastAsia="Arial"/>
                      <w:b/>
                    </w:rPr>
                  </w:pPr>
                  <w:r w:rsidRPr="005C3E95">
                    <w:rPr>
                      <w:rFonts w:eastAsia="Arial"/>
                      <w:b/>
                    </w:rPr>
                    <w:t>112</w:t>
                  </w:r>
                </w:p>
              </w:tc>
              <w:tc>
                <w:tcPr>
                  <w:tcW w:w="907" w:type="dxa"/>
                  <w:tcBorders>
                    <w:top w:val="single" w:sz="8" w:space="0" w:color="FFFFFF"/>
                    <w:left w:val="single" w:sz="8" w:space="0" w:color="FFFFFF"/>
                    <w:bottom w:val="nil"/>
                    <w:right w:val="single" w:sz="8" w:space="0" w:color="FFFFFF"/>
                  </w:tcBorders>
                  <w:shd w:val="clear" w:color="auto" w:fill="9A9EB0"/>
                </w:tcPr>
                <w:p w14:paraId="7F3DFEA4" w14:textId="77777777" w:rsidR="005C3E95" w:rsidRPr="005C3E95" w:rsidRDefault="005C3E95" w:rsidP="00931EC6">
                  <w:pPr>
                    <w:pStyle w:val="TableTextRight"/>
                    <w:rPr>
                      <w:rFonts w:eastAsia="Arial"/>
                      <w:b/>
                    </w:rPr>
                  </w:pPr>
                  <w:r w:rsidRPr="005C3E95">
                    <w:rPr>
                      <w:rFonts w:eastAsia="Arial"/>
                      <w:b/>
                    </w:rPr>
                    <w:t>46</w:t>
                  </w:r>
                </w:p>
              </w:tc>
              <w:tc>
                <w:tcPr>
                  <w:tcW w:w="907" w:type="dxa"/>
                  <w:tcBorders>
                    <w:top w:val="single" w:sz="8" w:space="0" w:color="FFFFFF"/>
                    <w:left w:val="single" w:sz="8" w:space="0" w:color="FFFFFF"/>
                    <w:bottom w:val="nil"/>
                    <w:right w:val="single" w:sz="8" w:space="0" w:color="FFFFFF"/>
                  </w:tcBorders>
                  <w:shd w:val="clear" w:color="auto" w:fill="9A9EB0"/>
                </w:tcPr>
                <w:p w14:paraId="085ED97C" w14:textId="77777777" w:rsidR="005C3E95" w:rsidRPr="005C3E95" w:rsidRDefault="005C3E95" w:rsidP="00931EC6">
                  <w:pPr>
                    <w:pStyle w:val="TableTextRight"/>
                    <w:rPr>
                      <w:rFonts w:eastAsia="Arial"/>
                      <w:b/>
                    </w:rPr>
                  </w:pPr>
                  <w:r w:rsidRPr="005C3E95">
                    <w:rPr>
                      <w:rFonts w:eastAsia="Arial"/>
                      <w:b/>
                    </w:rPr>
                    <w:t>189</w:t>
                  </w:r>
                </w:p>
              </w:tc>
              <w:tc>
                <w:tcPr>
                  <w:tcW w:w="907" w:type="dxa"/>
                  <w:tcBorders>
                    <w:top w:val="single" w:sz="8" w:space="0" w:color="FFFFFF"/>
                    <w:left w:val="single" w:sz="8" w:space="0" w:color="FFFFFF"/>
                    <w:bottom w:val="nil"/>
                    <w:right w:val="nil"/>
                  </w:tcBorders>
                  <w:shd w:val="clear" w:color="auto" w:fill="9A9EB0"/>
                </w:tcPr>
                <w:p w14:paraId="39CA1FEC" w14:textId="77777777" w:rsidR="005C3E95" w:rsidRPr="005C3E95" w:rsidRDefault="005C3E95" w:rsidP="00931EC6">
                  <w:pPr>
                    <w:pStyle w:val="TableTextRight"/>
                    <w:rPr>
                      <w:rFonts w:eastAsia="Arial"/>
                      <w:b/>
                    </w:rPr>
                  </w:pPr>
                  <w:r w:rsidRPr="005C3E95">
                    <w:rPr>
                      <w:rFonts w:eastAsia="Arial"/>
                      <w:b/>
                    </w:rPr>
                    <w:t>5,201*</w:t>
                  </w:r>
                </w:p>
              </w:tc>
            </w:tr>
          </w:tbl>
          <w:p w14:paraId="5B18E596" w14:textId="77777777" w:rsidR="005C3E95" w:rsidRDefault="005C3E95" w:rsidP="005C3E95">
            <w:pPr>
              <w:spacing w:before="2" w:after="0" w:line="120" w:lineRule="exact"/>
              <w:rPr>
                <w:sz w:val="12"/>
                <w:szCs w:val="12"/>
              </w:rPr>
            </w:pPr>
          </w:p>
          <w:p w14:paraId="652C85B4" w14:textId="77777777" w:rsidR="005C3E95" w:rsidRPr="005C3E95" w:rsidRDefault="005C3E95" w:rsidP="005C3E95">
            <w:pPr>
              <w:pStyle w:val="ChartorTableNote"/>
              <w:rPr>
                <w:rFonts w:eastAsia="Arial"/>
              </w:rPr>
            </w:pPr>
            <w:r w:rsidRPr="005C3E95">
              <w:rPr>
                <w:rFonts w:eastAsia="Arial"/>
              </w:rPr>
              <w:t>^This includes the impact of moving to the updated equalisation benchmark.</w:t>
            </w:r>
          </w:p>
          <w:p w14:paraId="78123EE7" w14:textId="77777777" w:rsidR="005C3E95" w:rsidRPr="005C3E95" w:rsidRDefault="005C3E95" w:rsidP="005C3E95">
            <w:pPr>
              <w:pStyle w:val="ChartorTableNote"/>
              <w:rPr>
                <w:rFonts w:eastAsia="Arial"/>
              </w:rPr>
            </w:pPr>
            <w:r w:rsidRPr="005C3E95">
              <w:rPr>
                <w:rFonts w:eastAsia="Arial"/>
              </w:rPr>
              <w:t>* This includes a further top up payment of $305 million in 2021-22 to ensure WA’s relativity of 0.70 is maintained. Totals may not sum due to rounding.</w:t>
            </w:r>
          </w:p>
          <w:p w14:paraId="6F040F10" w14:textId="77777777" w:rsidR="005C3E95" w:rsidRPr="005C3E95" w:rsidRDefault="005C3E95" w:rsidP="005C3E95">
            <w:pPr>
              <w:pStyle w:val="TableMainHeading"/>
              <w:rPr>
                <w:rFonts w:eastAsia="Arial"/>
              </w:rPr>
            </w:pPr>
            <w:r w:rsidRPr="005C3E95">
              <w:rPr>
                <w:rFonts w:eastAsia="Arial"/>
              </w:rPr>
              <w:t>Table 6: Expanding the base</w:t>
            </w:r>
          </w:p>
          <w:tbl>
            <w:tblPr>
              <w:tblW w:w="0" w:type="auto"/>
              <w:tblInd w:w="122" w:type="dxa"/>
              <w:tblCellMar>
                <w:left w:w="57" w:type="dxa"/>
                <w:right w:w="57" w:type="dxa"/>
              </w:tblCellMar>
              <w:tblLook w:val="01E0" w:firstRow="1" w:lastRow="1" w:firstColumn="1" w:lastColumn="1" w:noHBand="0" w:noVBand="0"/>
            </w:tblPr>
            <w:tblGrid>
              <w:gridCol w:w="1812"/>
              <w:gridCol w:w="1812"/>
              <w:gridCol w:w="1812"/>
              <w:gridCol w:w="1812"/>
              <w:gridCol w:w="1812"/>
            </w:tblGrid>
            <w:tr w:rsidR="005C3E95" w:rsidRPr="005C3E95" w14:paraId="4B0326E2" w14:textId="77777777" w:rsidTr="00931EC6">
              <w:trPr>
                <w:trHeight w:val="482"/>
              </w:trPr>
              <w:tc>
                <w:tcPr>
                  <w:tcW w:w="1812" w:type="dxa"/>
                  <w:tcBorders>
                    <w:top w:val="nil"/>
                    <w:left w:val="nil"/>
                    <w:bottom w:val="single" w:sz="8" w:space="0" w:color="FFFFFF"/>
                    <w:right w:val="single" w:sz="8" w:space="0" w:color="FFFFFF"/>
                  </w:tcBorders>
                  <w:shd w:val="clear" w:color="auto" w:fill="354866"/>
                </w:tcPr>
                <w:p w14:paraId="09C2CF47" w14:textId="77777777" w:rsidR="005C3E95" w:rsidRPr="005C3E95" w:rsidRDefault="005C3E95" w:rsidP="00931EC6">
                  <w:pPr>
                    <w:pStyle w:val="TableColumnHeadingLeft"/>
                    <w:rPr>
                      <w:rFonts w:eastAsia="Arial"/>
                    </w:rPr>
                  </w:pPr>
                  <w:r w:rsidRPr="005C3E95">
                    <w:rPr>
                      <w:rFonts w:eastAsia="Arial"/>
                    </w:rPr>
                    <w:t>$m</w:t>
                  </w:r>
                </w:p>
              </w:tc>
              <w:tc>
                <w:tcPr>
                  <w:tcW w:w="1812" w:type="dxa"/>
                  <w:tcBorders>
                    <w:top w:val="nil"/>
                    <w:left w:val="single" w:sz="8" w:space="0" w:color="FFFFFF"/>
                    <w:bottom w:val="single" w:sz="8" w:space="0" w:color="FFFFFF"/>
                    <w:right w:val="single" w:sz="8" w:space="0" w:color="FFFFFF"/>
                  </w:tcBorders>
                  <w:shd w:val="clear" w:color="auto" w:fill="354866"/>
                </w:tcPr>
                <w:p w14:paraId="11969104" w14:textId="77777777" w:rsidR="005C3E95" w:rsidRPr="005C3E95" w:rsidRDefault="005C3E95" w:rsidP="00931EC6">
                  <w:pPr>
                    <w:pStyle w:val="TableColumnHeadingRight"/>
                    <w:rPr>
                      <w:rFonts w:eastAsia="Arial"/>
                    </w:rPr>
                  </w:pPr>
                  <w:r w:rsidRPr="005C3E95">
                    <w:rPr>
                      <w:rFonts w:eastAsia="Arial"/>
                    </w:rPr>
                    <w:t>Estimated GST Pool</w:t>
                  </w:r>
                </w:p>
              </w:tc>
              <w:tc>
                <w:tcPr>
                  <w:tcW w:w="1812" w:type="dxa"/>
                  <w:tcBorders>
                    <w:top w:val="nil"/>
                    <w:left w:val="single" w:sz="8" w:space="0" w:color="FFFFFF"/>
                    <w:bottom w:val="single" w:sz="8" w:space="0" w:color="FFFFFF"/>
                    <w:right w:val="single" w:sz="8" w:space="0" w:color="FFFFFF"/>
                  </w:tcBorders>
                  <w:shd w:val="clear" w:color="auto" w:fill="354866"/>
                </w:tcPr>
                <w:p w14:paraId="5845FF19" w14:textId="77777777" w:rsidR="005C3E95" w:rsidRPr="005C3E95" w:rsidRDefault="005C3E95" w:rsidP="00931EC6">
                  <w:pPr>
                    <w:pStyle w:val="TableColumnHeadingRight"/>
                    <w:rPr>
                      <w:rFonts w:eastAsia="Arial"/>
                    </w:rPr>
                  </w:pPr>
                  <w:r w:rsidRPr="005C3E95">
                    <w:rPr>
                      <w:rFonts w:eastAsia="Arial"/>
                    </w:rPr>
                    <w:t>Commonwealth</w:t>
                  </w:r>
                </w:p>
                <w:p w14:paraId="10584836" w14:textId="77777777" w:rsidR="005C3E95" w:rsidRPr="005C3E95" w:rsidRDefault="005C3E95" w:rsidP="00931EC6">
                  <w:pPr>
                    <w:pStyle w:val="TableColumnHeadingRight"/>
                    <w:rPr>
                      <w:rFonts w:eastAsia="Arial"/>
                    </w:rPr>
                  </w:pPr>
                  <w:r w:rsidRPr="005C3E95">
                    <w:rPr>
                      <w:rFonts w:eastAsia="Arial"/>
                    </w:rPr>
                    <w:t>Boost</w:t>
                  </w:r>
                </w:p>
              </w:tc>
              <w:tc>
                <w:tcPr>
                  <w:tcW w:w="1812" w:type="dxa"/>
                  <w:tcBorders>
                    <w:top w:val="nil"/>
                    <w:left w:val="single" w:sz="8" w:space="0" w:color="FFFFFF"/>
                    <w:bottom w:val="single" w:sz="8" w:space="0" w:color="FFFFFF"/>
                    <w:right w:val="single" w:sz="8" w:space="0" w:color="FFFFFF"/>
                  </w:tcBorders>
                  <w:shd w:val="clear" w:color="auto" w:fill="354866"/>
                </w:tcPr>
                <w:p w14:paraId="25D70933" w14:textId="77777777" w:rsidR="005C3E95" w:rsidRPr="005C3E95" w:rsidRDefault="005C3E95" w:rsidP="00931EC6">
                  <w:pPr>
                    <w:pStyle w:val="TableColumnHeadingRight"/>
                    <w:rPr>
                      <w:rFonts w:eastAsia="Arial"/>
                    </w:rPr>
                  </w:pPr>
                  <w:r w:rsidRPr="005C3E95">
                    <w:rPr>
                      <w:rFonts w:eastAsia="Arial"/>
                    </w:rPr>
                    <w:t>Boosted GST Pool</w:t>
                  </w:r>
                </w:p>
              </w:tc>
              <w:tc>
                <w:tcPr>
                  <w:tcW w:w="1812" w:type="dxa"/>
                  <w:tcBorders>
                    <w:top w:val="nil"/>
                    <w:left w:val="single" w:sz="8" w:space="0" w:color="FFFFFF"/>
                    <w:bottom w:val="single" w:sz="8" w:space="0" w:color="FFFFFF"/>
                    <w:right w:val="nil"/>
                  </w:tcBorders>
                  <w:shd w:val="clear" w:color="auto" w:fill="354866"/>
                </w:tcPr>
                <w:p w14:paraId="4588AB3D" w14:textId="77777777" w:rsidR="005C3E95" w:rsidRPr="005C3E95" w:rsidRDefault="005C3E95" w:rsidP="00931EC6">
                  <w:pPr>
                    <w:pStyle w:val="TableColumnHeadingRight"/>
                    <w:rPr>
                      <w:rFonts w:eastAsia="Arial"/>
                    </w:rPr>
                  </w:pPr>
                  <w:r w:rsidRPr="005C3E95">
                    <w:rPr>
                      <w:rFonts w:eastAsia="Arial"/>
                    </w:rPr>
                    <w:t>Additional Funding</w:t>
                  </w:r>
                </w:p>
                <w:p w14:paraId="271E2877" w14:textId="77777777" w:rsidR="005C3E95" w:rsidRPr="005C3E95" w:rsidRDefault="005C3E95" w:rsidP="00931EC6">
                  <w:pPr>
                    <w:pStyle w:val="TableColumnHeadingRight"/>
                    <w:rPr>
                      <w:rFonts w:eastAsia="Arial"/>
                    </w:rPr>
                  </w:pPr>
                  <w:r w:rsidRPr="005C3E95">
                    <w:rPr>
                      <w:rFonts w:eastAsia="Arial"/>
                    </w:rPr>
                    <w:t>Due to Boost</w:t>
                  </w:r>
                </w:p>
              </w:tc>
            </w:tr>
            <w:tr w:rsidR="005C3E95" w:rsidRPr="005C3E95" w14:paraId="38C5101B"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6E6EA"/>
                </w:tcPr>
                <w:p w14:paraId="52F79B25" w14:textId="77777777" w:rsidR="005C3E95" w:rsidRPr="005C3E95" w:rsidRDefault="005C3E95" w:rsidP="00931EC6">
                  <w:pPr>
                    <w:pStyle w:val="TableTextLeft"/>
                    <w:rPr>
                      <w:rFonts w:eastAsia="Arial"/>
                      <w:b/>
                    </w:rPr>
                  </w:pPr>
                  <w:r w:rsidRPr="005C3E95">
                    <w:rPr>
                      <w:rFonts w:eastAsia="Arial"/>
                      <w:b/>
                    </w:rPr>
                    <w:t>2018-19</w:t>
                  </w: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0007BBA1" w14:textId="77777777" w:rsidR="005C3E95" w:rsidRPr="005C3E95" w:rsidRDefault="005C3E95" w:rsidP="00931EC6">
                  <w:pPr>
                    <w:pStyle w:val="TableTextRight"/>
                    <w:rPr>
                      <w:rFonts w:eastAsia="Arial"/>
                    </w:rPr>
                  </w:pPr>
                  <w:r w:rsidRPr="005C3E95">
                    <w:rPr>
                      <w:rFonts w:eastAsia="Arial"/>
                    </w:rPr>
                    <w:t>67,320</w:t>
                  </w: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43B5B327"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2CA6CAB1" w14:textId="77777777" w:rsidR="005C3E95" w:rsidRPr="005C3E95" w:rsidRDefault="005C3E95" w:rsidP="00931EC6">
                  <w:pPr>
                    <w:pStyle w:val="TableTextRight"/>
                    <w:rPr>
                      <w:rFonts w:eastAsia="Arial"/>
                    </w:rPr>
                  </w:pPr>
                  <w:r w:rsidRPr="005C3E95">
                    <w:rPr>
                      <w:rFonts w:eastAsia="Arial"/>
                    </w:rPr>
                    <w:t>67,320</w:t>
                  </w:r>
                </w:p>
              </w:tc>
              <w:tc>
                <w:tcPr>
                  <w:tcW w:w="1812" w:type="dxa"/>
                  <w:tcBorders>
                    <w:top w:val="single" w:sz="8" w:space="0" w:color="FFFFFF"/>
                    <w:left w:val="single" w:sz="8" w:space="0" w:color="FFFFFF"/>
                    <w:bottom w:val="single" w:sz="8" w:space="0" w:color="FFFFFF"/>
                    <w:right w:val="nil"/>
                  </w:tcBorders>
                  <w:shd w:val="clear" w:color="auto" w:fill="E6E6EA"/>
                </w:tcPr>
                <w:p w14:paraId="15BAC284" w14:textId="77777777" w:rsidR="005C3E95" w:rsidRPr="005C3E95" w:rsidRDefault="005C3E95" w:rsidP="00931EC6">
                  <w:pPr>
                    <w:pStyle w:val="TableTextRight"/>
                    <w:rPr>
                      <w:rFonts w:eastAsia="Arial"/>
                    </w:rPr>
                  </w:pPr>
                  <w:r w:rsidRPr="005C3E95">
                    <w:rPr>
                      <w:rFonts w:eastAsia="Arial"/>
                    </w:rPr>
                    <w:t>0</w:t>
                  </w:r>
                </w:p>
              </w:tc>
            </w:tr>
            <w:tr w:rsidR="005C3E95" w:rsidRPr="005C3E95" w14:paraId="030C5112"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6E6EA"/>
                </w:tcPr>
                <w:p w14:paraId="7B07A097" w14:textId="77777777" w:rsidR="005C3E95" w:rsidRPr="005C3E95" w:rsidRDefault="005C3E95" w:rsidP="00931EC6">
                  <w:pPr>
                    <w:pStyle w:val="TableTextLeft"/>
                    <w:rPr>
                      <w:rFonts w:eastAsia="Arial"/>
                      <w:b/>
                    </w:rPr>
                  </w:pPr>
                  <w:r w:rsidRPr="005C3E95">
                    <w:rPr>
                      <w:rFonts w:eastAsia="Arial"/>
                      <w:b/>
                    </w:rPr>
                    <w:t>2019-20</w:t>
                  </w: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6EA8B751" w14:textId="77777777" w:rsidR="005C3E95" w:rsidRPr="005C3E95" w:rsidRDefault="005C3E95" w:rsidP="00931EC6">
                  <w:pPr>
                    <w:pStyle w:val="TableTextRight"/>
                    <w:rPr>
                      <w:rFonts w:eastAsia="Arial"/>
                    </w:rPr>
                  </w:pPr>
                  <w:r w:rsidRPr="005C3E95">
                    <w:rPr>
                      <w:rFonts w:eastAsia="Arial"/>
                    </w:rPr>
                    <w:t>69,790</w:t>
                  </w: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598D7F02"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8" w:space="0" w:color="FFFFFF"/>
                    <w:right w:val="single" w:sz="8" w:space="0" w:color="FFFFFF"/>
                  </w:tcBorders>
                  <w:shd w:val="clear" w:color="auto" w:fill="E6E6EA"/>
                </w:tcPr>
                <w:p w14:paraId="244E4ED0" w14:textId="77777777" w:rsidR="005C3E95" w:rsidRPr="005C3E95" w:rsidRDefault="005C3E95" w:rsidP="00931EC6">
                  <w:pPr>
                    <w:pStyle w:val="TableTextRight"/>
                    <w:rPr>
                      <w:rFonts w:eastAsia="Arial"/>
                    </w:rPr>
                  </w:pPr>
                  <w:r w:rsidRPr="005C3E95">
                    <w:rPr>
                      <w:rFonts w:eastAsia="Arial"/>
                    </w:rPr>
                    <w:t>69,790</w:t>
                  </w:r>
                </w:p>
              </w:tc>
              <w:tc>
                <w:tcPr>
                  <w:tcW w:w="1812" w:type="dxa"/>
                  <w:tcBorders>
                    <w:top w:val="single" w:sz="8" w:space="0" w:color="FFFFFF"/>
                    <w:left w:val="single" w:sz="8" w:space="0" w:color="FFFFFF"/>
                    <w:bottom w:val="single" w:sz="8" w:space="0" w:color="FFFFFF"/>
                    <w:right w:val="nil"/>
                  </w:tcBorders>
                  <w:shd w:val="clear" w:color="auto" w:fill="E6E6EA"/>
                </w:tcPr>
                <w:p w14:paraId="6B32484B" w14:textId="77777777" w:rsidR="005C3E95" w:rsidRPr="005C3E95" w:rsidRDefault="005C3E95" w:rsidP="00931EC6">
                  <w:pPr>
                    <w:pStyle w:val="TableTextRight"/>
                    <w:rPr>
                      <w:rFonts w:eastAsia="Arial"/>
                    </w:rPr>
                  </w:pPr>
                  <w:r w:rsidRPr="005C3E95">
                    <w:rPr>
                      <w:rFonts w:eastAsia="Arial"/>
                    </w:rPr>
                    <w:t>0</w:t>
                  </w:r>
                </w:p>
              </w:tc>
            </w:tr>
            <w:tr w:rsidR="005C3E95" w:rsidRPr="005C3E95" w14:paraId="1772EADF" w14:textId="77777777" w:rsidTr="00931EC6">
              <w:trPr>
                <w:trHeight w:hRule="exact" w:val="289"/>
              </w:trPr>
              <w:tc>
                <w:tcPr>
                  <w:tcW w:w="1812" w:type="dxa"/>
                  <w:tcBorders>
                    <w:top w:val="single" w:sz="8" w:space="0" w:color="FFFFFF"/>
                    <w:left w:val="nil"/>
                    <w:bottom w:val="single" w:sz="24" w:space="0" w:color="FFFFFF"/>
                    <w:right w:val="single" w:sz="8" w:space="0" w:color="FFFFFF"/>
                  </w:tcBorders>
                  <w:shd w:val="clear" w:color="auto" w:fill="E6E6EA"/>
                </w:tcPr>
                <w:p w14:paraId="0A8EE1B4" w14:textId="77777777" w:rsidR="005C3E95" w:rsidRPr="005C3E95" w:rsidRDefault="005C3E95" w:rsidP="00931EC6">
                  <w:pPr>
                    <w:pStyle w:val="TableTextLeft"/>
                    <w:rPr>
                      <w:rFonts w:eastAsia="Arial"/>
                      <w:b/>
                    </w:rPr>
                  </w:pPr>
                  <w:r w:rsidRPr="005C3E95">
                    <w:rPr>
                      <w:rFonts w:eastAsia="Arial"/>
                      <w:b/>
                    </w:rPr>
                    <w:t>2020-21</w:t>
                  </w:r>
                </w:p>
              </w:tc>
              <w:tc>
                <w:tcPr>
                  <w:tcW w:w="1812" w:type="dxa"/>
                  <w:tcBorders>
                    <w:top w:val="single" w:sz="8" w:space="0" w:color="FFFFFF"/>
                    <w:left w:val="single" w:sz="8" w:space="0" w:color="FFFFFF"/>
                    <w:bottom w:val="single" w:sz="24" w:space="0" w:color="FFFFFF"/>
                    <w:right w:val="single" w:sz="8" w:space="0" w:color="FFFFFF"/>
                  </w:tcBorders>
                  <w:shd w:val="clear" w:color="auto" w:fill="E6E6EA"/>
                </w:tcPr>
                <w:p w14:paraId="267578C8" w14:textId="77777777" w:rsidR="005C3E95" w:rsidRPr="005C3E95" w:rsidRDefault="005C3E95" w:rsidP="00931EC6">
                  <w:pPr>
                    <w:pStyle w:val="TableTextRight"/>
                    <w:rPr>
                      <w:rFonts w:eastAsia="Arial"/>
                    </w:rPr>
                  </w:pPr>
                  <w:r w:rsidRPr="005C3E95">
                    <w:rPr>
                      <w:rFonts w:eastAsia="Arial"/>
                    </w:rPr>
                    <w:t>73,510</w:t>
                  </w:r>
                </w:p>
              </w:tc>
              <w:tc>
                <w:tcPr>
                  <w:tcW w:w="1812" w:type="dxa"/>
                  <w:tcBorders>
                    <w:top w:val="single" w:sz="8" w:space="0" w:color="FFFFFF"/>
                    <w:left w:val="single" w:sz="8" w:space="0" w:color="FFFFFF"/>
                    <w:bottom w:val="single" w:sz="24" w:space="0" w:color="FFFFFF"/>
                    <w:right w:val="single" w:sz="8" w:space="0" w:color="FFFFFF"/>
                  </w:tcBorders>
                  <w:shd w:val="clear" w:color="auto" w:fill="E6E6EA"/>
                </w:tcPr>
                <w:p w14:paraId="03A75895"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24" w:space="0" w:color="FFFFFF"/>
                    <w:right w:val="single" w:sz="8" w:space="0" w:color="FFFFFF"/>
                  </w:tcBorders>
                  <w:shd w:val="clear" w:color="auto" w:fill="E6E6EA"/>
                </w:tcPr>
                <w:p w14:paraId="45FDFEBE" w14:textId="77777777" w:rsidR="005C3E95" w:rsidRPr="005C3E95" w:rsidRDefault="005C3E95" w:rsidP="00931EC6">
                  <w:pPr>
                    <w:pStyle w:val="TableTextRight"/>
                    <w:rPr>
                      <w:rFonts w:eastAsia="Arial"/>
                    </w:rPr>
                  </w:pPr>
                  <w:r w:rsidRPr="005C3E95">
                    <w:rPr>
                      <w:rFonts w:eastAsia="Arial"/>
                    </w:rPr>
                    <w:t>73,510</w:t>
                  </w:r>
                </w:p>
              </w:tc>
              <w:tc>
                <w:tcPr>
                  <w:tcW w:w="1812" w:type="dxa"/>
                  <w:tcBorders>
                    <w:top w:val="single" w:sz="8" w:space="0" w:color="FFFFFF"/>
                    <w:left w:val="single" w:sz="8" w:space="0" w:color="FFFFFF"/>
                    <w:bottom w:val="single" w:sz="24" w:space="0" w:color="FFFFFF"/>
                    <w:right w:val="nil"/>
                  </w:tcBorders>
                  <w:shd w:val="clear" w:color="auto" w:fill="E6E6EA"/>
                </w:tcPr>
                <w:p w14:paraId="3C22A078" w14:textId="77777777" w:rsidR="005C3E95" w:rsidRPr="005C3E95" w:rsidRDefault="005C3E95" w:rsidP="00931EC6">
                  <w:pPr>
                    <w:pStyle w:val="TableTextRight"/>
                    <w:rPr>
                      <w:rFonts w:eastAsia="Arial"/>
                    </w:rPr>
                  </w:pPr>
                  <w:r w:rsidRPr="005C3E95">
                    <w:rPr>
                      <w:rFonts w:eastAsia="Arial"/>
                    </w:rPr>
                    <w:t>0</w:t>
                  </w:r>
                </w:p>
              </w:tc>
            </w:tr>
            <w:tr w:rsidR="005C3E95" w:rsidRPr="005C3E95" w14:paraId="09B45A50" w14:textId="77777777" w:rsidTr="00931EC6">
              <w:trPr>
                <w:trHeight w:hRule="exact" w:val="289"/>
              </w:trPr>
              <w:tc>
                <w:tcPr>
                  <w:tcW w:w="1812" w:type="dxa"/>
                  <w:tcBorders>
                    <w:top w:val="single" w:sz="24" w:space="0" w:color="FFFFFF"/>
                    <w:left w:val="nil"/>
                    <w:bottom w:val="single" w:sz="8" w:space="0" w:color="FFFFFF"/>
                    <w:right w:val="single" w:sz="8" w:space="0" w:color="FFFFFF"/>
                  </w:tcBorders>
                  <w:shd w:val="clear" w:color="auto" w:fill="E1E7E3"/>
                </w:tcPr>
                <w:p w14:paraId="2EA9273B" w14:textId="77777777" w:rsidR="005C3E95" w:rsidRPr="005C3E95" w:rsidRDefault="005C3E95" w:rsidP="00931EC6">
                  <w:pPr>
                    <w:pStyle w:val="TableTextLeft"/>
                    <w:rPr>
                      <w:rFonts w:eastAsia="Arial"/>
                      <w:b/>
                    </w:rPr>
                  </w:pPr>
                  <w:r w:rsidRPr="005C3E95">
                    <w:rPr>
                      <w:rFonts w:eastAsia="Arial"/>
                      <w:b/>
                    </w:rPr>
                    <w:t>2021-22</w:t>
                  </w:r>
                </w:p>
              </w:tc>
              <w:tc>
                <w:tcPr>
                  <w:tcW w:w="1812" w:type="dxa"/>
                  <w:tcBorders>
                    <w:top w:val="single" w:sz="24" w:space="0" w:color="FFFFFF"/>
                    <w:left w:val="single" w:sz="8" w:space="0" w:color="FFFFFF"/>
                    <w:bottom w:val="single" w:sz="8" w:space="0" w:color="FFFFFF"/>
                    <w:right w:val="single" w:sz="8" w:space="0" w:color="FFFFFF"/>
                  </w:tcBorders>
                  <w:shd w:val="clear" w:color="auto" w:fill="E1E7E3"/>
                </w:tcPr>
                <w:p w14:paraId="2A52E172" w14:textId="77777777" w:rsidR="005C3E95" w:rsidRPr="005C3E95" w:rsidRDefault="005C3E95" w:rsidP="00931EC6">
                  <w:pPr>
                    <w:pStyle w:val="TableTextRight"/>
                    <w:rPr>
                      <w:rFonts w:eastAsia="Arial"/>
                    </w:rPr>
                  </w:pPr>
                  <w:r w:rsidRPr="005C3E95">
                    <w:rPr>
                      <w:rFonts w:eastAsia="Arial"/>
                    </w:rPr>
                    <w:t>77,270</w:t>
                  </w:r>
                </w:p>
              </w:tc>
              <w:tc>
                <w:tcPr>
                  <w:tcW w:w="1812" w:type="dxa"/>
                  <w:tcBorders>
                    <w:top w:val="single" w:sz="24" w:space="0" w:color="FFFFFF"/>
                    <w:left w:val="single" w:sz="8" w:space="0" w:color="FFFFFF"/>
                    <w:bottom w:val="single" w:sz="8" w:space="0" w:color="FFFFFF"/>
                    <w:right w:val="single" w:sz="8" w:space="0" w:color="FFFFFF"/>
                  </w:tcBorders>
                  <w:shd w:val="clear" w:color="auto" w:fill="E1E7E3"/>
                </w:tcPr>
                <w:p w14:paraId="489F922E" w14:textId="77777777" w:rsidR="005C3E95" w:rsidRPr="005C3E95" w:rsidRDefault="005C3E95" w:rsidP="00931EC6">
                  <w:pPr>
                    <w:pStyle w:val="TableTextRight"/>
                    <w:rPr>
                      <w:rFonts w:eastAsia="Arial"/>
                    </w:rPr>
                  </w:pPr>
                  <w:r w:rsidRPr="005C3E95">
                    <w:rPr>
                      <w:rFonts w:eastAsia="Arial"/>
                    </w:rPr>
                    <w:t>600</w:t>
                  </w:r>
                </w:p>
              </w:tc>
              <w:tc>
                <w:tcPr>
                  <w:tcW w:w="1812" w:type="dxa"/>
                  <w:tcBorders>
                    <w:top w:val="single" w:sz="24" w:space="0" w:color="FFFFFF"/>
                    <w:left w:val="single" w:sz="8" w:space="0" w:color="FFFFFF"/>
                    <w:bottom w:val="single" w:sz="8" w:space="0" w:color="FFFFFF"/>
                    <w:right w:val="single" w:sz="8" w:space="0" w:color="FFFFFF"/>
                  </w:tcBorders>
                  <w:shd w:val="clear" w:color="auto" w:fill="E1E7E3"/>
                </w:tcPr>
                <w:p w14:paraId="2CB7B84B" w14:textId="77777777" w:rsidR="005C3E95" w:rsidRPr="005C3E95" w:rsidRDefault="005C3E95" w:rsidP="00931EC6">
                  <w:pPr>
                    <w:pStyle w:val="TableTextRight"/>
                    <w:rPr>
                      <w:rFonts w:eastAsia="Arial"/>
                    </w:rPr>
                  </w:pPr>
                  <w:r w:rsidRPr="005C3E95">
                    <w:rPr>
                      <w:rFonts w:eastAsia="Arial"/>
                    </w:rPr>
                    <w:t>77,870</w:t>
                  </w:r>
                </w:p>
              </w:tc>
              <w:tc>
                <w:tcPr>
                  <w:tcW w:w="1812" w:type="dxa"/>
                  <w:tcBorders>
                    <w:top w:val="single" w:sz="24" w:space="0" w:color="FFFFFF"/>
                    <w:left w:val="single" w:sz="8" w:space="0" w:color="FFFFFF"/>
                    <w:bottom w:val="single" w:sz="8" w:space="0" w:color="FFFFFF"/>
                    <w:right w:val="nil"/>
                  </w:tcBorders>
                  <w:shd w:val="clear" w:color="auto" w:fill="E1E7E3"/>
                </w:tcPr>
                <w:p w14:paraId="1F25D6F6" w14:textId="77777777" w:rsidR="005C3E95" w:rsidRPr="005C3E95" w:rsidRDefault="005C3E95" w:rsidP="00931EC6">
                  <w:pPr>
                    <w:pStyle w:val="TableTextRight"/>
                    <w:rPr>
                      <w:rFonts w:eastAsia="Arial"/>
                    </w:rPr>
                  </w:pPr>
                  <w:r w:rsidRPr="005C3E95">
                    <w:rPr>
                      <w:rFonts w:eastAsia="Arial"/>
                    </w:rPr>
                    <w:t>600</w:t>
                  </w:r>
                </w:p>
              </w:tc>
            </w:tr>
            <w:tr w:rsidR="005C3E95" w:rsidRPr="005C3E95" w14:paraId="441D12F9"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1E7E3"/>
                </w:tcPr>
                <w:p w14:paraId="66F9525A" w14:textId="77777777" w:rsidR="005C3E95" w:rsidRPr="005C3E95" w:rsidRDefault="005C3E95" w:rsidP="00931EC6">
                  <w:pPr>
                    <w:pStyle w:val="TableTextLeft"/>
                    <w:rPr>
                      <w:rFonts w:eastAsia="Arial"/>
                      <w:b/>
                    </w:rPr>
                  </w:pPr>
                  <w:r w:rsidRPr="005C3E95">
                    <w:rPr>
                      <w:rFonts w:eastAsia="Arial"/>
                      <w:b/>
                    </w:rPr>
                    <w:t>2022-23</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05D935BE" w14:textId="77777777" w:rsidR="005C3E95" w:rsidRPr="005C3E95" w:rsidRDefault="005C3E95" w:rsidP="00931EC6">
                  <w:pPr>
                    <w:pStyle w:val="TableTextRight"/>
                    <w:rPr>
                      <w:rFonts w:eastAsia="Arial"/>
                    </w:rPr>
                  </w:pPr>
                  <w:r w:rsidRPr="005C3E95">
                    <w:rPr>
                      <w:rFonts w:eastAsia="Arial"/>
                    </w:rPr>
                    <w:t>81,250</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78EF74D7"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15624C80" w14:textId="77777777" w:rsidR="005C3E95" w:rsidRPr="005C3E95" w:rsidRDefault="005C3E95" w:rsidP="00931EC6">
                  <w:pPr>
                    <w:pStyle w:val="TableTextRight"/>
                    <w:rPr>
                      <w:rFonts w:eastAsia="Arial"/>
                    </w:rPr>
                  </w:pPr>
                  <w:r w:rsidRPr="005C3E95">
                    <w:rPr>
                      <w:rFonts w:eastAsia="Arial"/>
                    </w:rPr>
                    <w:t>81,881</w:t>
                  </w:r>
                </w:p>
              </w:tc>
              <w:tc>
                <w:tcPr>
                  <w:tcW w:w="1812" w:type="dxa"/>
                  <w:tcBorders>
                    <w:top w:val="single" w:sz="8" w:space="0" w:color="FFFFFF"/>
                    <w:left w:val="single" w:sz="8" w:space="0" w:color="FFFFFF"/>
                    <w:bottom w:val="single" w:sz="8" w:space="0" w:color="FFFFFF"/>
                    <w:right w:val="nil"/>
                  </w:tcBorders>
                  <w:shd w:val="clear" w:color="auto" w:fill="E1E7E3"/>
                </w:tcPr>
                <w:p w14:paraId="771D8FA8" w14:textId="77777777" w:rsidR="005C3E95" w:rsidRPr="005C3E95" w:rsidRDefault="005C3E95" w:rsidP="00931EC6">
                  <w:pPr>
                    <w:pStyle w:val="TableTextRight"/>
                    <w:rPr>
                      <w:rFonts w:eastAsia="Arial"/>
                    </w:rPr>
                  </w:pPr>
                  <w:r w:rsidRPr="005C3E95">
                    <w:rPr>
                      <w:rFonts w:eastAsia="Arial"/>
                    </w:rPr>
                    <w:t>631</w:t>
                  </w:r>
                </w:p>
              </w:tc>
            </w:tr>
            <w:tr w:rsidR="005C3E95" w:rsidRPr="005C3E95" w14:paraId="72AF12C3"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1E7E3"/>
                </w:tcPr>
                <w:p w14:paraId="2A6DA65C" w14:textId="77777777" w:rsidR="005C3E95" w:rsidRPr="005C3E95" w:rsidRDefault="005C3E95" w:rsidP="00931EC6">
                  <w:pPr>
                    <w:pStyle w:val="TableTextLeft"/>
                    <w:rPr>
                      <w:rFonts w:eastAsia="Arial"/>
                      <w:b/>
                    </w:rPr>
                  </w:pPr>
                  <w:r w:rsidRPr="005C3E95">
                    <w:rPr>
                      <w:rFonts w:eastAsia="Arial"/>
                      <w:b/>
                    </w:rPr>
                    <w:t>2023-24</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4B93F156" w14:textId="77777777" w:rsidR="005C3E95" w:rsidRPr="005C3E95" w:rsidRDefault="005C3E95" w:rsidP="00931EC6">
                  <w:pPr>
                    <w:pStyle w:val="TableTextRight"/>
                    <w:rPr>
                      <w:rFonts w:eastAsia="Arial"/>
                    </w:rPr>
                  </w:pPr>
                  <w:r w:rsidRPr="005C3E95">
                    <w:rPr>
                      <w:rFonts w:eastAsia="Arial"/>
                    </w:rPr>
                    <w:t>85,450</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059E48E3"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245EDB5F" w14:textId="77777777" w:rsidR="005C3E95" w:rsidRPr="005C3E95" w:rsidRDefault="005C3E95" w:rsidP="00931EC6">
                  <w:pPr>
                    <w:pStyle w:val="TableTextRight"/>
                    <w:rPr>
                      <w:rFonts w:eastAsia="Arial"/>
                    </w:rPr>
                  </w:pPr>
                  <w:r w:rsidRPr="005C3E95">
                    <w:rPr>
                      <w:rFonts w:eastAsia="Arial"/>
                    </w:rPr>
                    <w:t>86,114</w:t>
                  </w:r>
                </w:p>
              </w:tc>
              <w:tc>
                <w:tcPr>
                  <w:tcW w:w="1812" w:type="dxa"/>
                  <w:tcBorders>
                    <w:top w:val="single" w:sz="8" w:space="0" w:color="FFFFFF"/>
                    <w:left w:val="single" w:sz="8" w:space="0" w:color="FFFFFF"/>
                    <w:bottom w:val="single" w:sz="8" w:space="0" w:color="FFFFFF"/>
                    <w:right w:val="nil"/>
                  </w:tcBorders>
                  <w:shd w:val="clear" w:color="auto" w:fill="E1E7E3"/>
                </w:tcPr>
                <w:p w14:paraId="66129A1C" w14:textId="77777777" w:rsidR="005C3E95" w:rsidRPr="005C3E95" w:rsidRDefault="005C3E95" w:rsidP="00931EC6">
                  <w:pPr>
                    <w:pStyle w:val="TableTextRight"/>
                    <w:rPr>
                      <w:rFonts w:eastAsia="Arial"/>
                    </w:rPr>
                  </w:pPr>
                  <w:r w:rsidRPr="005C3E95">
                    <w:rPr>
                      <w:rFonts w:eastAsia="Arial"/>
                    </w:rPr>
                    <w:t>664</w:t>
                  </w:r>
                </w:p>
              </w:tc>
            </w:tr>
            <w:tr w:rsidR="005C3E95" w:rsidRPr="005C3E95" w14:paraId="1CF008B2"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1E7E3"/>
                </w:tcPr>
                <w:p w14:paraId="416FC6F0" w14:textId="77777777" w:rsidR="005C3E95" w:rsidRPr="005C3E95" w:rsidRDefault="005C3E95" w:rsidP="00931EC6">
                  <w:pPr>
                    <w:pStyle w:val="TableTextLeft"/>
                    <w:rPr>
                      <w:rFonts w:eastAsia="Arial"/>
                      <w:b/>
                    </w:rPr>
                  </w:pPr>
                  <w:r w:rsidRPr="005C3E95">
                    <w:rPr>
                      <w:rFonts w:eastAsia="Arial"/>
                      <w:b/>
                    </w:rPr>
                    <w:t>2024-25</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782FC804" w14:textId="77777777" w:rsidR="005C3E95" w:rsidRPr="005C3E95" w:rsidRDefault="005C3E95" w:rsidP="00931EC6">
                  <w:pPr>
                    <w:pStyle w:val="TableTextRight"/>
                    <w:rPr>
                      <w:rFonts w:eastAsia="Arial"/>
                    </w:rPr>
                  </w:pPr>
                  <w:r w:rsidRPr="005C3E95">
                    <w:rPr>
                      <w:rFonts w:eastAsia="Arial"/>
                    </w:rPr>
                    <w:t>89,950</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5C1931B2" w14:textId="77777777" w:rsidR="005C3E95" w:rsidRPr="005C3E95" w:rsidRDefault="005C3E95" w:rsidP="00931EC6">
                  <w:pPr>
                    <w:pStyle w:val="TableTextRight"/>
                    <w:rPr>
                      <w:rFonts w:eastAsia="Arial"/>
                    </w:rPr>
                  </w:pPr>
                  <w:r w:rsidRPr="005C3E95">
                    <w:rPr>
                      <w:rFonts w:eastAsia="Arial"/>
                    </w:rPr>
                    <w:t>250</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4D945740" w14:textId="77777777" w:rsidR="005C3E95" w:rsidRPr="005C3E95" w:rsidRDefault="005C3E95" w:rsidP="00931EC6">
                  <w:pPr>
                    <w:pStyle w:val="TableTextRight"/>
                    <w:rPr>
                      <w:rFonts w:eastAsia="Arial"/>
                    </w:rPr>
                  </w:pPr>
                  <w:r w:rsidRPr="005C3E95">
                    <w:rPr>
                      <w:rFonts w:eastAsia="Arial"/>
                    </w:rPr>
                    <w:t>90,898</w:t>
                  </w:r>
                </w:p>
              </w:tc>
              <w:tc>
                <w:tcPr>
                  <w:tcW w:w="1812" w:type="dxa"/>
                  <w:tcBorders>
                    <w:top w:val="single" w:sz="8" w:space="0" w:color="FFFFFF"/>
                    <w:left w:val="single" w:sz="8" w:space="0" w:color="FFFFFF"/>
                    <w:bottom w:val="single" w:sz="8" w:space="0" w:color="FFFFFF"/>
                    <w:right w:val="nil"/>
                  </w:tcBorders>
                  <w:shd w:val="clear" w:color="auto" w:fill="E1E7E3"/>
                </w:tcPr>
                <w:p w14:paraId="4EE40711" w14:textId="77777777" w:rsidR="005C3E95" w:rsidRPr="005C3E95" w:rsidRDefault="005C3E95" w:rsidP="00931EC6">
                  <w:pPr>
                    <w:pStyle w:val="TableTextRight"/>
                    <w:rPr>
                      <w:rFonts w:eastAsia="Arial"/>
                    </w:rPr>
                  </w:pPr>
                  <w:r w:rsidRPr="005C3E95">
                    <w:rPr>
                      <w:rFonts w:eastAsia="Arial"/>
                    </w:rPr>
                    <w:t>948</w:t>
                  </w:r>
                </w:p>
              </w:tc>
            </w:tr>
            <w:tr w:rsidR="005C3E95" w:rsidRPr="005C3E95" w14:paraId="47C60272" w14:textId="77777777" w:rsidTr="00931EC6">
              <w:trPr>
                <w:trHeight w:hRule="exact" w:val="289"/>
              </w:trPr>
              <w:tc>
                <w:tcPr>
                  <w:tcW w:w="1812" w:type="dxa"/>
                  <w:tcBorders>
                    <w:top w:val="single" w:sz="8" w:space="0" w:color="FFFFFF"/>
                    <w:left w:val="nil"/>
                    <w:bottom w:val="single" w:sz="8" w:space="0" w:color="FFFFFF"/>
                    <w:right w:val="single" w:sz="8" w:space="0" w:color="FFFFFF"/>
                  </w:tcBorders>
                  <w:shd w:val="clear" w:color="auto" w:fill="E1E7E3"/>
                </w:tcPr>
                <w:p w14:paraId="3F8A4F42" w14:textId="77777777" w:rsidR="005C3E95" w:rsidRPr="005C3E95" w:rsidRDefault="005C3E95" w:rsidP="00931EC6">
                  <w:pPr>
                    <w:pStyle w:val="TableTextLeft"/>
                    <w:rPr>
                      <w:rFonts w:eastAsia="Arial"/>
                      <w:b/>
                    </w:rPr>
                  </w:pPr>
                  <w:r w:rsidRPr="005C3E95">
                    <w:rPr>
                      <w:rFonts w:eastAsia="Arial"/>
                      <w:b/>
                    </w:rPr>
                    <w:t>2025-26</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380F7277" w14:textId="77777777" w:rsidR="005C3E95" w:rsidRPr="005C3E95" w:rsidRDefault="005C3E95" w:rsidP="00931EC6">
                  <w:pPr>
                    <w:pStyle w:val="TableTextRight"/>
                    <w:rPr>
                      <w:rFonts w:eastAsia="Arial"/>
                    </w:rPr>
                  </w:pPr>
                  <w:r w:rsidRPr="005C3E95">
                    <w:rPr>
                      <w:rFonts w:eastAsia="Arial"/>
                    </w:rPr>
                    <w:t>94,770</w:t>
                  </w: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43A710C1"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8" w:space="0" w:color="FFFFFF"/>
                    <w:right w:val="single" w:sz="8" w:space="0" w:color="FFFFFF"/>
                  </w:tcBorders>
                  <w:shd w:val="clear" w:color="auto" w:fill="E1E7E3"/>
                </w:tcPr>
                <w:p w14:paraId="7B3A8790" w14:textId="77777777" w:rsidR="005C3E95" w:rsidRPr="005C3E95" w:rsidRDefault="005C3E95" w:rsidP="00931EC6">
                  <w:pPr>
                    <w:pStyle w:val="TableTextRight"/>
                    <w:rPr>
                      <w:rFonts w:eastAsia="Arial"/>
                    </w:rPr>
                  </w:pPr>
                  <w:r w:rsidRPr="005C3E95">
                    <w:rPr>
                      <w:rFonts w:eastAsia="Arial"/>
                    </w:rPr>
                    <w:t>95,769</w:t>
                  </w:r>
                </w:p>
              </w:tc>
              <w:tc>
                <w:tcPr>
                  <w:tcW w:w="1812" w:type="dxa"/>
                  <w:tcBorders>
                    <w:top w:val="single" w:sz="8" w:space="0" w:color="FFFFFF"/>
                    <w:left w:val="single" w:sz="8" w:space="0" w:color="FFFFFF"/>
                    <w:bottom w:val="single" w:sz="8" w:space="0" w:color="FFFFFF"/>
                    <w:right w:val="nil"/>
                  </w:tcBorders>
                  <w:shd w:val="clear" w:color="auto" w:fill="E1E7E3"/>
                </w:tcPr>
                <w:p w14:paraId="0F6F9C25" w14:textId="77777777" w:rsidR="005C3E95" w:rsidRPr="005C3E95" w:rsidRDefault="005C3E95" w:rsidP="00931EC6">
                  <w:pPr>
                    <w:pStyle w:val="TableTextRight"/>
                    <w:rPr>
                      <w:rFonts w:eastAsia="Arial"/>
                    </w:rPr>
                  </w:pPr>
                  <w:r w:rsidRPr="005C3E95">
                    <w:rPr>
                      <w:rFonts w:eastAsia="Arial"/>
                    </w:rPr>
                    <w:t>999</w:t>
                  </w:r>
                </w:p>
              </w:tc>
            </w:tr>
            <w:tr w:rsidR="005C3E95" w:rsidRPr="005C3E95" w14:paraId="449099B2" w14:textId="77777777" w:rsidTr="00931EC6">
              <w:trPr>
                <w:trHeight w:hRule="exact" w:val="289"/>
              </w:trPr>
              <w:tc>
                <w:tcPr>
                  <w:tcW w:w="1812" w:type="dxa"/>
                  <w:tcBorders>
                    <w:top w:val="single" w:sz="8" w:space="0" w:color="FFFFFF"/>
                    <w:left w:val="nil"/>
                    <w:bottom w:val="single" w:sz="24" w:space="0" w:color="FFFFFF"/>
                    <w:right w:val="single" w:sz="8" w:space="0" w:color="FFFFFF"/>
                  </w:tcBorders>
                  <w:shd w:val="clear" w:color="auto" w:fill="E1E7E3"/>
                </w:tcPr>
                <w:p w14:paraId="1258A270" w14:textId="77777777" w:rsidR="005C3E95" w:rsidRPr="005C3E95" w:rsidRDefault="005C3E95" w:rsidP="00931EC6">
                  <w:pPr>
                    <w:pStyle w:val="TableTextLeft"/>
                    <w:rPr>
                      <w:rFonts w:eastAsia="Arial"/>
                      <w:b/>
                    </w:rPr>
                  </w:pPr>
                  <w:r w:rsidRPr="005C3E95">
                    <w:rPr>
                      <w:rFonts w:eastAsia="Arial"/>
                      <w:b/>
                    </w:rPr>
                    <w:t>2026-27</w:t>
                  </w:r>
                </w:p>
              </w:tc>
              <w:tc>
                <w:tcPr>
                  <w:tcW w:w="1812" w:type="dxa"/>
                  <w:tcBorders>
                    <w:top w:val="single" w:sz="8" w:space="0" w:color="FFFFFF"/>
                    <w:left w:val="single" w:sz="8" w:space="0" w:color="FFFFFF"/>
                    <w:bottom w:val="single" w:sz="24" w:space="0" w:color="FFFFFF"/>
                    <w:right w:val="single" w:sz="8" w:space="0" w:color="FFFFFF"/>
                  </w:tcBorders>
                  <w:shd w:val="clear" w:color="auto" w:fill="E1E7E3"/>
                </w:tcPr>
                <w:p w14:paraId="6D5C600D" w14:textId="77777777" w:rsidR="005C3E95" w:rsidRPr="005C3E95" w:rsidRDefault="005C3E95" w:rsidP="00931EC6">
                  <w:pPr>
                    <w:pStyle w:val="TableTextRight"/>
                    <w:rPr>
                      <w:rFonts w:eastAsia="Arial"/>
                    </w:rPr>
                  </w:pPr>
                  <w:r w:rsidRPr="005C3E95">
                    <w:rPr>
                      <w:rFonts w:eastAsia="Arial"/>
                    </w:rPr>
                    <w:t>99,900</w:t>
                  </w:r>
                </w:p>
              </w:tc>
              <w:tc>
                <w:tcPr>
                  <w:tcW w:w="1812" w:type="dxa"/>
                  <w:tcBorders>
                    <w:top w:val="single" w:sz="8" w:space="0" w:color="FFFFFF"/>
                    <w:left w:val="single" w:sz="8" w:space="0" w:color="FFFFFF"/>
                    <w:bottom w:val="single" w:sz="24" w:space="0" w:color="FFFFFF"/>
                    <w:right w:val="single" w:sz="8" w:space="0" w:color="FFFFFF"/>
                  </w:tcBorders>
                  <w:shd w:val="clear" w:color="auto" w:fill="E1E7E3"/>
                </w:tcPr>
                <w:p w14:paraId="0BDDC9DD" w14:textId="77777777" w:rsidR="005C3E95" w:rsidRPr="005C3E95" w:rsidRDefault="005C3E95" w:rsidP="00931EC6">
                  <w:pPr>
                    <w:pStyle w:val="TableTextRight"/>
                  </w:pPr>
                </w:p>
              </w:tc>
              <w:tc>
                <w:tcPr>
                  <w:tcW w:w="1812" w:type="dxa"/>
                  <w:tcBorders>
                    <w:top w:val="single" w:sz="8" w:space="0" w:color="FFFFFF"/>
                    <w:left w:val="single" w:sz="8" w:space="0" w:color="FFFFFF"/>
                    <w:bottom w:val="single" w:sz="24" w:space="0" w:color="FFFFFF"/>
                    <w:right w:val="single" w:sz="8" w:space="0" w:color="FFFFFF"/>
                  </w:tcBorders>
                  <w:shd w:val="clear" w:color="auto" w:fill="E1E7E3"/>
                </w:tcPr>
                <w:p w14:paraId="5695CF6B" w14:textId="77777777" w:rsidR="005C3E95" w:rsidRPr="005C3E95" w:rsidRDefault="005C3E95" w:rsidP="00931EC6">
                  <w:pPr>
                    <w:pStyle w:val="TableTextRight"/>
                    <w:rPr>
                      <w:rFonts w:eastAsia="Arial"/>
                    </w:rPr>
                  </w:pPr>
                  <w:r w:rsidRPr="005C3E95">
                    <w:rPr>
                      <w:rFonts w:eastAsia="Arial"/>
                    </w:rPr>
                    <w:t>100,953</w:t>
                  </w:r>
                </w:p>
              </w:tc>
              <w:tc>
                <w:tcPr>
                  <w:tcW w:w="1812" w:type="dxa"/>
                  <w:tcBorders>
                    <w:top w:val="single" w:sz="8" w:space="0" w:color="FFFFFF"/>
                    <w:left w:val="single" w:sz="8" w:space="0" w:color="FFFFFF"/>
                    <w:bottom w:val="single" w:sz="24" w:space="0" w:color="FFFFFF"/>
                    <w:right w:val="nil"/>
                  </w:tcBorders>
                  <w:shd w:val="clear" w:color="auto" w:fill="E1E7E3"/>
                </w:tcPr>
                <w:p w14:paraId="4C43152F" w14:textId="77777777" w:rsidR="005C3E95" w:rsidRPr="005C3E95" w:rsidRDefault="005C3E95" w:rsidP="00931EC6">
                  <w:pPr>
                    <w:pStyle w:val="TableTextRight"/>
                    <w:rPr>
                      <w:rFonts w:eastAsia="Arial"/>
                    </w:rPr>
                  </w:pPr>
                  <w:r w:rsidRPr="005C3E95">
                    <w:rPr>
                      <w:rFonts w:eastAsia="Arial"/>
                    </w:rPr>
                    <w:t>1,053</w:t>
                  </w:r>
                </w:p>
              </w:tc>
            </w:tr>
            <w:tr w:rsidR="005C3E95" w:rsidRPr="005C3E95" w14:paraId="4602B514" w14:textId="77777777" w:rsidTr="00931EC6">
              <w:trPr>
                <w:trHeight w:hRule="exact" w:val="289"/>
              </w:trPr>
              <w:tc>
                <w:tcPr>
                  <w:tcW w:w="1812" w:type="dxa"/>
                  <w:tcBorders>
                    <w:top w:val="single" w:sz="24" w:space="0" w:color="FFFFFF"/>
                    <w:left w:val="nil"/>
                    <w:bottom w:val="single" w:sz="8" w:space="0" w:color="FFFFFF"/>
                    <w:right w:val="single" w:sz="8" w:space="0" w:color="FFFFFF"/>
                  </w:tcBorders>
                  <w:shd w:val="clear" w:color="auto" w:fill="E6E6EA"/>
                </w:tcPr>
                <w:p w14:paraId="7A651189" w14:textId="77777777" w:rsidR="005C3E95" w:rsidRPr="005C3E95" w:rsidRDefault="005C3E95" w:rsidP="00931EC6">
                  <w:pPr>
                    <w:pStyle w:val="TableTextLeft"/>
                    <w:rPr>
                      <w:rFonts w:eastAsia="Arial"/>
                      <w:b/>
                    </w:rPr>
                  </w:pPr>
                  <w:r w:rsidRPr="005C3E95">
                    <w:rPr>
                      <w:rFonts w:eastAsia="Arial"/>
                      <w:b/>
                    </w:rPr>
                    <w:t>2027-28</w:t>
                  </w:r>
                </w:p>
              </w:tc>
              <w:tc>
                <w:tcPr>
                  <w:tcW w:w="1812" w:type="dxa"/>
                  <w:tcBorders>
                    <w:top w:val="single" w:sz="24" w:space="0" w:color="FFFFFF"/>
                    <w:left w:val="single" w:sz="8" w:space="0" w:color="FFFFFF"/>
                    <w:bottom w:val="single" w:sz="8" w:space="0" w:color="FFFFFF"/>
                    <w:right w:val="single" w:sz="8" w:space="0" w:color="FFFFFF"/>
                  </w:tcBorders>
                  <w:shd w:val="clear" w:color="auto" w:fill="E6E6EA"/>
                </w:tcPr>
                <w:p w14:paraId="125EA6BD" w14:textId="77777777" w:rsidR="005C3E95" w:rsidRPr="005C3E95" w:rsidRDefault="005C3E95" w:rsidP="00931EC6">
                  <w:pPr>
                    <w:pStyle w:val="TableTextRight"/>
                    <w:rPr>
                      <w:rFonts w:eastAsia="Arial"/>
                    </w:rPr>
                  </w:pPr>
                  <w:r w:rsidRPr="005C3E95">
                    <w:rPr>
                      <w:rFonts w:eastAsia="Arial"/>
                    </w:rPr>
                    <w:t>105,340</w:t>
                  </w:r>
                </w:p>
              </w:tc>
              <w:tc>
                <w:tcPr>
                  <w:tcW w:w="1812" w:type="dxa"/>
                  <w:tcBorders>
                    <w:top w:val="single" w:sz="24" w:space="0" w:color="FFFFFF"/>
                    <w:left w:val="single" w:sz="8" w:space="0" w:color="FFFFFF"/>
                    <w:bottom w:val="single" w:sz="8" w:space="0" w:color="FFFFFF"/>
                    <w:right w:val="single" w:sz="8" w:space="0" w:color="FFFFFF"/>
                  </w:tcBorders>
                  <w:shd w:val="clear" w:color="auto" w:fill="E6E6EA"/>
                </w:tcPr>
                <w:p w14:paraId="542F5EC6" w14:textId="77777777" w:rsidR="005C3E95" w:rsidRPr="005C3E95" w:rsidRDefault="005C3E95" w:rsidP="00931EC6">
                  <w:pPr>
                    <w:pStyle w:val="TableTextRight"/>
                  </w:pPr>
                </w:p>
              </w:tc>
              <w:tc>
                <w:tcPr>
                  <w:tcW w:w="1812" w:type="dxa"/>
                  <w:tcBorders>
                    <w:top w:val="single" w:sz="24" w:space="0" w:color="FFFFFF"/>
                    <w:left w:val="single" w:sz="8" w:space="0" w:color="FFFFFF"/>
                    <w:bottom w:val="single" w:sz="8" w:space="0" w:color="FFFFFF"/>
                    <w:right w:val="single" w:sz="8" w:space="0" w:color="FFFFFF"/>
                  </w:tcBorders>
                  <w:shd w:val="clear" w:color="auto" w:fill="E6E6EA"/>
                </w:tcPr>
                <w:p w14:paraId="3853C206" w14:textId="77777777" w:rsidR="005C3E95" w:rsidRPr="005C3E95" w:rsidRDefault="005C3E95" w:rsidP="00931EC6">
                  <w:pPr>
                    <w:pStyle w:val="TableTextRight"/>
                    <w:rPr>
                      <w:rFonts w:eastAsia="Arial"/>
                    </w:rPr>
                  </w:pPr>
                  <w:r w:rsidRPr="005C3E95">
                    <w:rPr>
                      <w:rFonts w:eastAsia="Arial"/>
                    </w:rPr>
                    <w:t>106,451</w:t>
                  </w:r>
                </w:p>
              </w:tc>
              <w:tc>
                <w:tcPr>
                  <w:tcW w:w="1812" w:type="dxa"/>
                  <w:tcBorders>
                    <w:top w:val="single" w:sz="24" w:space="0" w:color="FFFFFF"/>
                    <w:left w:val="single" w:sz="8" w:space="0" w:color="FFFFFF"/>
                    <w:bottom w:val="single" w:sz="8" w:space="0" w:color="FFFFFF"/>
                    <w:right w:val="nil"/>
                  </w:tcBorders>
                  <w:shd w:val="clear" w:color="auto" w:fill="E6E6EA"/>
                </w:tcPr>
                <w:p w14:paraId="00472FD5" w14:textId="77777777" w:rsidR="005C3E95" w:rsidRPr="005C3E95" w:rsidRDefault="005C3E95" w:rsidP="00931EC6">
                  <w:pPr>
                    <w:pStyle w:val="TableTextRight"/>
                    <w:rPr>
                      <w:rFonts w:eastAsia="Arial"/>
                    </w:rPr>
                  </w:pPr>
                  <w:r w:rsidRPr="005C3E95">
                    <w:rPr>
                      <w:rFonts w:eastAsia="Arial"/>
                    </w:rPr>
                    <w:t>1,111</w:t>
                  </w:r>
                </w:p>
              </w:tc>
            </w:tr>
            <w:tr w:rsidR="005C3E95" w:rsidRPr="005C3E95" w14:paraId="427D241F" w14:textId="77777777" w:rsidTr="00931EC6">
              <w:trPr>
                <w:trHeight w:hRule="exact" w:val="289"/>
              </w:trPr>
              <w:tc>
                <w:tcPr>
                  <w:tcW w:w="1812" w:type="dxa"/>
                  <w:tcBorders>
                    <w:top w:val="single" w:sz="8" w:space="0" w:color="FFFFFF"/>
                    <w:left w:val="nil"/>
                    <w:bottom w:val="nil"/>
                    <w:right w:val="single" w:sz="8" w:space="0" w:color="FFFFFF"/>
                  </w:tcBorders>
                  <w:shd w:val="clear" w:color="auto" w:fill="E6E6EA"/>
                </w:tcPr>
                <w:p w14:paraId="70E98AAB" w14:textId="77777777" w:rsidR="005C3E95" w:rsidRPr="005C3E95" w:rsidRDefault="005C3E95" w:rsidP="00931EC6">
                  <w:pPr>
                    <w:pStyle w:val="TableTextLeft"/>
                    <w:rPr>
                      <w:rFonts w:eastAsia="Arial"/>
                      <w:b/>
                    </w:rPr>
                  </w:pPr>
                  <w:r w:rsidRPr="005C3E95">
                    <w:rPr>
                      <w:rFonts w:eastAsia="Arial"/>
                      <w:b/>
                    </w:rPr>
                    <w:t>2028-29</w:t>
                  </w:r>
                </w:p>
              </w:tc>
              <w:tc>
                <w:tcPr>
                  <w:tcW w:w="1812" w:type="dxa"/>
                  <w:tcBorders>
                    <w:top w:val="single" w:sz="8" w:space="0" w:color="FFFFFF"/>
                    <w:left w:val="single" w:sz="8" w:space="0" w:color="FFFFFF"/>
                    <w:bottom w:val="nil"/>
                    <w:right w:val="single" w:sz="8" w:space="0" w:color="FFFFFF"/>
                  </w:tcBorders>
                  <w:shd w:val="clear" w:color="auto" w:fill="E6E6EA"/>
                </w:tcPr>
                <w:p w14:paraId="4A79B882" w14:textId="77777777" w:rsidR="005C3E95" w:rsidRPr="005C3E95" w:rsidRDefault="005C3E95" w:rsidP="00931EC6">
                  <w:pPr>
                    <w:pStyle w:val="TableTextRight"/>
                    <w:rPr>
                      <w:rFonts w:eastAsia="Arial"/>
                    </w:rPr>
                  </w:pPr>
                  <w:r w:rsidRPr="005C3E95">
                    <w:rPr>
                      <w:rFonts w:eastAsia="Arial"/>
                    </w:rPr>
                    <w:t>111,080</w:t>
                  </w:r>
                </w:p>
              </w:tc>
              <w:tc>
                <w:tcPr>
                  <w:tcW w:w="1812" w:type="dxa"/>
                  <w:tcBorders>
                    <w:top w:val="single" w:sz="8" w:space="0" w:color="FFFFFF"/>
                    <w:left w:val="single" w:sz="8" w:space="0" w:color="FFFFFF"/>
                    <w:bottom w:val="nil"/>
                    <w:right w:val="single" w:sz="8" w:space="0" w:color="FFFFFF"/>
                  </w:tcBorders>
                  <w:shd w:val="clear" w:color="auto" w:fill="E6E6EA"/>
                </w:tcPr>
                <w:p w14:paraId="3AA82CC4" w14:textId="77777777" w:rsidR="005C3E95" w:rsidRPr="005C3E95" w:rsidRDefault="005C3E95" w:rsidP="00931EC6">
                  <w:pPr>
                    <w:pStyle w:val="TableTextRight"/>
                  </w:pPr>
                </w:p>
              </w:tc>
              <w:tc>
                <w:tcPr>
                  <w:tcW w:w="1812" w:type="dxa"/>
                  <w:tcBorders>
                    <w:top w:val="single" w:sz="8" w:space="0" w:color="FFFFFF"/>
                    <w:left w:val="single" w:sz="8" w:space="0" w:color="FFFFFF"/>
                    <w:bottom w:val="nil"/>
                    <w:right w:val="single" w:sz="8" w:space="0" w:color="FFFFFF"/>
                  </w:tcBorders>
                  <w:shd w:val="clear" w:color="auto" w:fill="E6E6EA"/>
                </w:tcPr>
                <w:p w14:paraId="60CA375D" w14:textId="77777777" w:rsidR="005C3E95" w:rsidRPr="005C3E95" w:rsidRDefault="005C3E95" w:rsidP="00931EC6">
                  <w:pPr>
                    <w:pStyle w:val="TableTextRight"/>
                    <w:rPr>
                      <w:rFonts w:eastAsia="Arial"/>
                    </w:rPr>
                  </w:pPr>
                  <w:r w:rsidRPr="005C3E95">
                    <w:rPr>
                      <w:rFonts w:eastAsia="Arial"/>
                    </w:rPr>
                    <w:t>112,251</w:t>
                  </w:r>
                </w:p>
              </w:tc>
              <w:tc>
                <w:tcPr>
                  <w:tcW w:w="1812" w:type="dxa"/>
                  <w:tcBorders>
                    <w:top w:val="single" w:sz="8" w:space="0" w:color="FFFFFF"/>
                    <w:left w:val="single" w:sz="8" w:space="0" w:color="FFFFFF"/>
                    <w:bottom w:val="nil"/>
                    <w:right w:val="nil"/>
                  </w:tcBorders>
                  <w:shd w:val="clear" w:color="auto" w:fill="E6E6EA"/>
                </w:tcPr>
                <w:p w14:paraId="48BAD4A9" w14:textId="77777777" w:rsidR="005C3E95" w:rsidRPr="005C3E95" w:rsidRDefault="005C3E95" w:rsidP="00931EC6">
                  <w:pPr>
                    <w:pStyle w:val="TableTextRight"/>
                    <w:rPr>
                      <w:rFonts w:eastAsia="Arial"/>
                    </w:rPr>
                  </w:pPr>
                  <w:r w:rsidRPr="005C3E95">
                    <w:rPr>
                      <w:rFonts w:eastAsia="Arial"/>
                    </w:rPr>
                    <w:t>1,171</w:t>
                  </w:r>
                </w:p>
              </w:tc>
            </w:tr>
          </w:tbl>
          <w:p w14:paraId="55DF931A" w14:textId="77777777" w:rsidR="005C3E95" w:rsidRDefault="005C3E95" w:rsidP="00931EC6">
            <w:pPr>
              <w:pStyle w:val="BoxText"/>
            </w:pPr>
          </w:p>
        </w:tc>
      </w:tr>
    </w:tbl>
    <w:p w14:paraId="145F3E4A" w14:textId="77777777" w:rsidR="007F6037" w:rsidRDefault="007F6037">
      <w:pPr>
        <w:spacing w:after="0"/>
        <w:sectPr w:rsidR="007F6037" w:rsidSect="00833DBC">
          <w:type w:val="continuous"/>
          <w:pgSz w:w="11920" w:h="16840"/>
          <w:pgMar w:top="1134" w:right="1418" w:bottom="1418" w:left="1134" w:header="709" w:footer="709" w:gutter="0"/>
          <w:cols w:space="720"/>
          <w:docGrid w:linePitch="299"/>
        </w:sectPr>
      </w:pPr>
    </w:p>
    <w:p w14:paraId="24E56B2F" w14:textId="77777777" w:rsidR="007F6037" w:rsidRDefault="00EE67DE" w:rsidP="005C3E95">
      <w:pPr>
        <w:pStyle w:val="ChartMainHeading"/>
        <w:rPr>
          <w:rFonts w:eastAsia="Arial"/>
        </w:rPr>
      </w:pPr>
      <w:r w:rsidRPr="005C3E95">
        <w:rPr>
          <w:rFonts w:eastAsia="Arial"/>
        </w:rPr>
        <w:lastRenderedPageBreak/>
        <w:t>Figure 8: Projected GST distribution pool</w:t>
      </w:r>
    </w:p>
    <w:p w14:paraId="104DBCCC" w14:textId="77777777" w:rsidR="005C3E95" w:rsidRPr="005C3E95" w:rsidRDefault="0008082E" w:rsidP="005C3E95">
      <w:pPr>
        <w:pStyle w:val="ChartGraphic"/>
        <w:rPr>
          <w:rFonts w:eastAsia="Arial"/>
        </w:rPr>
      </w:pPr>
      <w:r>
        <w:rPr>
          <w:rFonts w:eastAsia="Arial"/>
          <w:noProof/>
        </w:rPr>
        <w:drawing>
          <wp:inline distT="0" distB="0" distL="0" distR="0" wp14:anchorId="11016278" wp14:editId="7D2B4AC1">
            <wp:extent cx="5590517" cy="3164098"/>
            <wp:effectExtent l="0" t="0" r="0" b="0"/>
            <wp:docPr id="313" name="Picture 313" descr="This graph shows the estimated total GST pool growing from 2019-20 to 2028-29, including the ongoing impact of the Commonwealth’s planned boosts to the pool. Of note, the impact of the initial Commonwealth boost of $600m in 2021-22 and the second boost of $250m in 2024-25, grows to an annual boost of $1.171billion by 2028-29." title="Figure 8: Projected GST distributio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s of GST pool with boost.png"/>
                    <pic:cNvPicPr/>
                  </pic:nvPicPr>
                  <pic:blipFill>
                    <a:blip r:embed="rId33">
                      <a:extLst>
                        <a:ext uri="{28A0092B-C50C-407E-A947-70E740481C1C}">
                          <a14:useLocalDpi xmlns:a14="http://schemas.microsoft.com/office/drawing/2010/main" val="0"/>
                        </a:ext>
                      </a:extLst>
                    </a:blip>
                    <a:stretch>
                      <a:fillRect/>
                    </a:stretch>
                  </pic:blipFill>
                  <pic:spPr>
                    <a:xfrm>
                      <a:off x="0" y="0"/>
                      <a:ext cx="5590517" cy="3164098"/>
                    </a:xfrm>
                    <a:prstGeom prst="rect">
                      <a:avLst/>
                    </a:prstGeom>
                  </pic:spPr>
                </pic:pic>
              </a:graphicData>
            </a:graphic>
          </wp:inline>
        </w:drawing>
      </w:r>
    </w:p>
    <w:p w14:paraId="5DFBD5FC" w14:textId="77777777" w:rsidR="007F6037" w:rsidRPr="005C3E95" w:rsidRDefault="00EE67DE" w:rsidP="005C3E95">
      <w:pPr>
        <w:pStyle w:val="Heading2"/>
        <w:rPr>
          <w:rFonts w:eastAsia="Arial"/>
        </w:rPr>
      </w:pPr>
      <w:r w:rsidRPr="005C3E95">
        <w:rPr>
          <w:rFonts w:eastAsia="Arial"/>
        </w:rPr>
        <w:t>Step three: completing the transition to a</w:t>
      </w:r>
      <w:r w:rsidR="005C3E95" w:rsidRPr="005C3E95">
        <w:rPr>
          <w:rFonts w:eastAsia="Arial"/>
        </w:rPr>
        <w:t xml:space="preserve"> </w:t>
      </w:r>
      <w:r w:rsidRPr="005C3E95">
        <w:rPr>
          <w:rFonts w:eastAsia="Arial"/>
        </w:rPr>
        <w:t>new, more stable equalisation standard</w:t>
      </w:r>
    </w:p>
    <w:p w14:paraId="214D1BE9" w14:textId="77777777" w:rsidR="007F6037" w:rsidRPr="005C3E95" w:rsidRDefault="005C3E95" w:rsidP="0008082E">
      <w:pPr>
        <w:spacing w:after="480"/>
        <w:rPr>
          <w:rFonts w:eastAsia="Arial"/>
        </w:rPr>
      </w:pPr>
      <w:r w:rsidRPr="005C3E95">
        <w:rPr>
          <w:rFonts w:eastAsia="Arial"/>
        </w:rPr>
        <w:t>B</w:t>
      </w:r>
      <w:r w:rsidR="00EE67DE" w:rsidRPr="005C3E95">
        <w:rPr>
          <w:rFonts w:eastAsia="Arial"/>
        </w:rPr>
        <w:t>y 2026-27, the system would have fully transitioned to the new, more stable benchmark in a way that is fair, reasonable and sustainable for all States and Territories. The</w:t>
      </w:r>
      <w:r w:rsidRPr="005C3E95">
        <w:rPr>
          <w:rFonts w:eastAsia="Arial"/>
        </w:rPr>
        <w:t xml:space="preserve"> </w:t>
      </w:r>
      <w:r w:rsidR="00EE67DE" w:rsidRPr="005C3E95">
        <w:rPr>
          <w:rFonts w:eastAsia="Arial"/>
        </w:rPr>
        <w:t>Commonwealth Government would continue to boost the GST pool to ensure that all States and Territories would be better off, with additional funding every year from 2021-22 to deliver essential services. A 0.75 within-system relativity floor would be a permanent feature of the HFE system.</w:t>
      </w:r>
    </w:p>
    <w:p w14:paraId="26347AAF" w14:textId="77777777" w:rsidR="007F6037" w:rsidRDefault="0008082E" w:rsidP="005C3E95">
      <w:pPr>
        <w:pStyle w:val="ChartGraphic"/>
      </w:pPr>
      <w:r>
        <w:rPr>
          <w:noProof/>
        </w:rPr>
        <w:drawing>
          <wp:inline distT="0" distB="0" distL="0" distR="0" wp14:anchorId="00DFC1CF" wp14:editId="231AC0B2">
            <wp:extent cx="5762445" cy="2493034"/>
            <wp:effectExtent l="0" t="0" r="0" b="2540"/>
            <wp:docPr id="314" name="Picture 314" descr="This graphic shows the three stages of transition to the Government’s proposed new HFE system, being: &#10;Step one: short term transition payments from 2019-20 until 2021-22, including Commonwealth top-ups to WA and NT.&#10;Step two: phasing in a new HFE system from 2021-22 to 2026-27, including: a six year transition to the new NSW/VIC benchmark; indexed Commonwealth funding injections to grow the GST pool; and a relativity floor of 0.70 from 2022-23 lifting to 0.75 from 2024-25.&#10;Step three: completing the transition to a new, more stable equalisation standard from 2026-27 onward, including: the new NSW/VIC benchmark being fully implemented; permanent Commonwealth supplementary funding to grow the GST pool; and a relativity floor of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pathway.png"/>
                    <pic:cNvPicPr/>
                  </pic:nvPicPr>
                  <pic:blipFill>
                    <a:blip r:embed="rId34">
                      <a:extLst>
                        <a:ext uri="{28A0092B-C50C-407E-A947-70E740481C1C}">
                          <a14:useLocalDpi xmlns:a14="http://schemas.microsoft.com/office/drawing/2010/main" val="0"/>
                        </a:ext>
                      </a:extLst>
                    </a:blip>
                    <a:stretch>
                      <a:fillRect/>
                    </a:stretch>
                  </pic:blipFill>
                  <pic:spPr>
                    <a:xfrm>
                      <a:off x="0" y="0"/>
                      <a:ext cx="5762445" cy="2493034"/>
                    </a:xfrm>
                    <a:prstGeom prst="rect">
                      <a:avLst/>
                    </a:prstGeom>
                  </pic:spPr>
                </pic:pic>
              </a:graphicData>
            </a:graphic>
          </wp:inline>
        </w:drawing>
      </w:r>
    </w:p>
    <w:p w14:paraId="46535887" w14:textId="77777777" w:rsidR="0008082E" w:rsidRDefault="0008082E" w:rsidP="005C3E95">
      <w:pPr>
        <w:pStyle w:val="Heading2"/>
        <w:rPr>
          <w:rFonts w:eastAsia="Arial"/>
        </w:rPr>
      </w:pPr>
      <w:r>
        <w:rPr>
          <w:rFonts w:eastAsia="Arial"/>
        </w:rPr>
        <w:br w:type="page"/>
      </w:r>
    </w:p>
    <w:p w14:paraId="0677FB6D" w14:textId="77777777" w:rsidR="007F6037" w:rsidRPr="005C3E95" w:rsidRDefault="00EE67DE" w:rsidP="005C3E95">
      <w:pPr>
        <w:pStyle w:val="Heading2"/>
        <w:rPr>
          <w:rFonts w:eastAsia="Arial"/>
        </w:rPr>
      </w:pPr>
      <w:r w:rsidRPr="005C3E95">
        <w:rPr>
          <w:rFonts w:eastAsia="Arial"/>
        </w:rPr>
        <w:lastRenderedPageBreak/>
        <w:t>Consultation with the</w:t>
      </w:r>
      <w:r w:rsidR="005C3E95" w:rsidRPr="005C3E95">
        <w:rPr>
          <w:rFonts w:eastAsia="Arial"/>
        </w:rPr>
        <w:t xml:space="preserve"> </w:t>
      </w:r>
      <w:r w:rsidRPr="005C3E95">
        <w:rPr>
          <w:rFonts w:eastAsia="Arial"/>
        </w:rPr>
        <w:t>States</w:t>
      </w:r>
    </w:p>
    <w:p w14:paraId="43F549E8" w14:textId="77777777" w:rsidR="007F6037" w:rsidRPr="005C3E95" w:rsidRDefault="00EE67DE" w:rsidP="005C3E95">
      <w:pPr>
        <w:rPr>
          <w:rFonts w:eastAsia="Arial"/>
        </w:rPr>
      </w:pPr>
      <w:r w:rsidRPr="005C3E95">
        <w:rPr>
          <w:rFonts w:eastAsia="Arial"/>
        </w:rPr>
        <w:t>Consultation with the States is an important part of our Federal Financial Framework. The Government will be consulting with all States and Territories on its plan to transition the HFE system to a new equalisation standard in the coming months.</w:t>
      </w:r>
    </w:p>
    <w:p w14:paraId="342123CC" w14:textId="77777777" w:rsidR="007F6037" w:rsidRPr="005C3E95" w:rsidRDefault="00EE67DE" w:rsidP="005C3E95">
      <w:pPr>
        <w:rPr>
          <w:rFonts w:eastAsia="Arial"/>
        </w:rPr>
      </w:pPr>
      <w:r w:rsidRPr="005C3E95">
        <w:rPr>
          <w:rFonts w:eastAsia="Arial"/>
        </w:rPr>
        <w:t>These consultations will be progressed through CFFR. The Government will convene a special meeting of CFFR to discuss this proposal no later than September this year.</w:t>
      </w:r>
    </w:p>
    <w:p w14:paraId="76670CC4" w14:textId="77777777" w:rsidR="007F6037" w:rsidRPr="005C3E95" w:rsidRDefault="00EE67DE" w:rsidP="005C3E95">
      <w:pPr>
        <w:rPr>
          <w:rFonts w:eastAsia="Arial"/>
        </w:rPr>
      </w:pPr>
      <w:r w:rsidRPr="005C3E95">
        <w:rPr>
          <w:rFonts w:eastAsia="Arial"/>
        </w:rPr>
        <w:t>As a first step, the Government will seek agreement to implement the majority of the PC’s recommendations that can and should be implemented immediately. The Government hopes to agree details of the new HFE benchmark and boosted GST pool by the end of 2018.</w:t>
      </w:r>
    </w:p>
    <w:p w14:paraId="6A61BC3A" w14:textId="77777777" w:rsidR="007F6037" w:rsidRDefault="00EE67DE" w:rsidP="005C3E95">
      <w:pPr>
        <w:pStyle w:val="Heading1"/>
        <w:rPr>
          <w:rFonts w:eastAsia="Arial"/>
        </w:rPr>
      </w:pPr>
      <w:bookmarkStart w:id="12" w:name="_Toc518559017"/>
      <w:r>
        <w:rPr>
          <w:rFonts w:eastAsia="Arial"/>
          <w:spacing w:val="4"/>
        </w:rPr>
        <w:lastRenderedPageBreak/>
        <w:t>A</w:t>
      </w:r>
      <w:r>
        <w:rPr>
          <w:rFonts w:eastAsia="Arial"/>
          <w:spacing w:val="-7"/>
        </w:rPr>
        <w:t>p</w:t>
      </w:r>
      <w:r>
        <w:rPr>
          <w:rFonts w:eastAsia="Arial"/>
          <w:spacing w:val="-3"/>
        </w:rPr>
        <w:t>p</w:t>
      </w:r>
      <w:r>
        <w:rPr>
          <w:rFonts w:eastAsia="Arial"/>
        </w:rPr>
        <w:t>e</w:t>
      </w:r>
      <w:r>
        <w:rPr>
          <w:rFonts w:eastAsia="Arial"/>
          <w:spacing w:val="-6"/>
        </w:rPr>
        <w:t>n</w:t>
      </w:r>
      <w:r>
        <w:rPr>
          <w:rFonts w:eastAsia="Arial"/>
          <w:spacing w:val="-11"/>
        </w:rPr>
        <w:t>d</w:t>
      </w:r>
      <w:r>
        <w:rPr>
          <w:rFonts w:eastAsia="Arial"/>
        </w:rPr>
        <w:t>ix</w:t>
      </w:r>
      <w:r>
        <w:rPr>
          <w:rFonts w:eastAsia="Arial"/>
          <w:spacing w:val="49"/>
        </w:rPr>
        <w:t xml:space="preserve"> </w:t>
      </w:r>
      <w:r>
        <w:rPr>
          <w:rFonts w:eastAsia="Arial"/>
        </w:rPr>
        <w:t>A</w:t>
      </w:r>
      <w:bookmarkEnd w:id="12"/>
    </w:p>
    <w:p w14:paraId="427EF508" w14:textId="77777777" w:rsidR="007F6037" w:rsidRPr="005C3E95" w:rsidRDefault="00EE67DE" w:rsidP="005C3E95">
      <w:pPr>
        <w:pStyle w:val="Heading2"/>
        <w:rPr>
          <w:rFonts w:eastAsia="Arial"/>
        </w:rPr>
      </w:pPr>
      <w:r w:rsidRPr="005C3E95">
        <w:rPr>
          <w:rFonts w:eastAsia="Arial"/>
        </w:rPr>
        <w:t>Productivity Commission’s Final Report: Recommendations</w:t>
      </w:r>
    </w:p>
    <w:tbl>
      <w:tblPr>
        <w:tblStyle w:val="Style1"/>
        <w:tblW w:w="9605" w:type="dxa"/>
        <w:tblBorders>
          <w:bottom w:val="single" w:sz="4" w:space="0" w:color="1F497D" w:themeColor="text2"/>
        </w:tblBorders>
        <w:tblLayout w:type="fixed"/>
        <w:tblLook w:val="01E0" w:firstRow="1" w:lastRow="1" w:firstColumn="1" w:lastColumn="1" w:noHBand="0" w:noVBand="0"/>
      </w:tblPr>
      <w:tblGrid>
        <w:gridCol w:w="4802"/>
        <w:gridCol w:w="4803"/>
      </w:tblGrid>
      <w:tr w:rsidR="007F6037" w:rsidRPr="00931EC6" w14:paraId="766E67A9" w14:textId="77777777" w:rsidTr="0008082E">
        <w:trPr>
          <w:cnfStyle w:val="100000000000" w:firstRow="1" w:lastRow="0" w:firstColumn="0" w:lastColumn="0" w:oddVBand="0" w:evenVBand="0" w:oddHBand="0" w:evenHBand="0" w:firstRowFirstColumn="0" w:firstRowLastColumn="0" w:lastRowFirstColumn="0" w:lastRowLastColumn="0"/>
          <w:cantSplit/>
          <w:trHeight w:val="113"/>
        </w:trPr>
        <w:tc>
          <w:tcPr>
            <w:tcW w:w="4802" w:type="dxa"/>
          </w:tcPr>
          <w:p w14:paraId="1B8B0654" w14:textId="77777777" w:rsidR="007F6037" w:rsidRPr="00931EC6" w:rsidRDefault="00EE67DE" w:rsidP="00931EC6">
            <w:pPr>
              <w:pStyle w:val="TableColumnHeadingLeft"/>
              <w:spacing w:before="120" w:after="120"/>
              <w:rPr>
                <w:rFonts w:asciiTheme="minorHAnsi" w:eastAsia="Arial" w:hAnsiTheme="minorHAnsi" w:cs="Arial"/>
                <w:sz w:val="24"/>
              </w:rPr>
            </w:pPr>
            <w:r w:rsidRPr="00931EC6">
              <w:rPr>
                <w:rFonts w:asciiTheme="minorHAnsi" w:eastAsia="Arial" w:hAnsiTheme="minorHAnsi" w:cs="Arial"/>
                <w:bCs/>
                <w:color w:val="FFFFFF"/>
                <w:spacing w:val="1"/>
                <w:w w:val="84"/>
                <w:sz w:val="24"/>
              </w:rPr>
              <w:t>R</w:t>
            </w:r>
            <w:r w:rsidRPr="00931EC6">
              <w:rPr>
                <w:rFonts w:asciiTheme="minorHAnsi" w:eastAsia="Arial" w:hAnsiTheme="minorHAnsi" w:cs="Arial"/>
                <w:bCs/>
                <w:color w:val="FFFFFF"/>
                <w:spacing w:val="3"/>
                <w:w w:val="99"/>
                <w:sz w:val="24"/>
              </w:rPr>
              <w:t>e</w:t>
            </w:r>
            <w:r w:rsidRPr="00931EC6">
              <w:rPr>
                <w:rFonts w:asciiTheme="minorHAnsi" w:eastAsia="Arial" w:hAnsiTheme="minorHAnsi" w:cs="Arial"/>
                <w:bCs/>
                <w:color w:val="FFFFFF"/>
                <w:w w:val="88"/>
                <w:sz w:val="24"/>
              </w:rPr>
              <w:t>c</w:t>
            </w:r>
            <w:r w:rsidRPr="00931EC6">
              <w:rPr>
                <w:rFonts w:asciiTheme="minorHAnsi" w:eastAsia="Arial" w:hAnsiTheme="minorHAnsi" w:cs="Arial"/>
                <w:bCs/>
                <w:color w:val="FFFFFF"/>
                <w:spacing w:val="1"/>
                <w:w w:val="101"/>
                <w:sz w:val="24"/>
              </w:rPr>
              <w:t>o</w:t>
            </w:r>
            <w:r w:rsidRPr="00931EC6">
              <w:rPr>
                <w:rFonts w:asciiTheme="minorHAnsi" w:eastAsia="Arial" w:hAnsiTheme="minorHAnsi" w:cs="Arial"/>
                <w:bCs/>
                <w:color w:val="FFFFFF"/>
                <w:spacing w:val="1"/>
                <w:w w:val="105"/>
                <w:sz w:val="24"/>
              </w:rPr>
              <w:t>m</w:t>
            </w:r>
            <w:r w:rsidRPr="00931EC6">
              <w:rPr>
                <w:rFonts w:asciiTheme="minorHAnsi" w:eastAsia="Arial" w:hAnsiTheme="minorHAnsi" w:cs="Arial"/>
                <w:bCs/>
                <w:color w:val="FFFFFF"/>
                <w:spacing w:val="2"/>
                <w:w w:val="105"/>
                <w:sz w:val="24"/>
              </w:rPr>
              <w:t>m</w:t>
            </w:r>
            <w:r w:rsidRPr="00931EC6">
              <w:rPr>
                <w:rFonts w:asciiTheme="minorHAnsi" w:eastAsia="Arial" w:hAnsiTheme="minorHAnsi" w:cs="Arial"/>
                <w:bCs/>
                <w:color w:val="FFFFFF"/>
                <w:spacing w:val="3"/>
                <w:w w:val="99"/>
                <w:sz w:val="24"/>
              </w:rPr>
              <w:t>e</w:t>
            </w:r>
            <w:r w:rsidRPr="00931EC6">
              <w:rPr>
                <w:rFonts w:asciiTheme="minorHAnsi" w:eastAsia="Arial" w:hAnsiTheme="minorHAnsi" w:cs="Arial"/>
                <w:bCs/>
                <w:color w:val="FFFFFF"/>
                <w:spacing w:val="1"/>
                <w:w w:val="101"/>
                <w:sz w:val="24"/>
              </w:rPr>
              <w:t>n</w:t>
            </w:r>
            <w:r w:rsidRPr="00931EC6">
              <w:rPr>
                <w:rFonts w:asciiTheme="minorHAnsi" w:eastAsia="Arial" w:hAnsiTheme="minorHAnsi" w:cs="Arial"/>
                <w:bCs/>
                <w:color w:val="FFFFFF"/>
                <w:spacing w:val="1"/>
                <w:w w:val="102"/>
                <w:sz w:val="24"/>
              </w:rPr>
              <w:t>d</w:t>
            </w:r>
            <w:r w:rsidRPr="00931EC6">
              <w:rPr>
                <w:rFonts w:asciiTheme="minorHAnsi" w:eastAsia="Arial" w:hAnsiTheme="minorHAnsi" w:cs="Arial"/>
                <w:bCs/>
                <w:color w:val="FFFFFF"/>
                <w:w w:val="102"/>
                <w:sz w:val="24"/>
              </w:rPr>
              <w:t>a</w:t>
            </w:r>
            <w:r w:rsidRPr="00931EC6">
              <w:rPr>
                <w:rFonts w:asciiTheme="minorHAnsi" w:eastAsia="Arial" w:hAnsiTheme="minorHAnsi" w:cs="Arial"/>
                <w:bCs/>
                <w:color w:val="FFFFFF"/>
                <w:spacing w:val="1"/>
                <w:w w:val="106"/>
                <w:sz w:val="24"/>
              </w:rPr>
              <w:t>tio</w:t>
            </w:r>
            <w:r w:rsidRPr="00931EC6">
              <w:rPr>
                <w:rFonts w:asciiTheme="minorHAnsi" w:eastAsia="Arial" w:hAnsiTheme="minorHAnsi" w:cs="Arial"/>
                <w:bCs/>
                <w:color w:val="FFFFFF"/>
                <w:w w:val="101"/>
                <w:sz w:val="24"/>
              </w:rPr>
              <w:t>n</w:t>
            </w:r>
          </w:p>
        </w:tc>
        <w:tc>
          <w:tcPr>
            <w:tcW w:w="4803" w:type="dxa"/>
          </w:tcPr>
          <w:p w14:paraId="3F7E96DD" w14:textId="77777777" w:rsidR="007F6037" w:rsidRPr="00931EC6" w:rsidRDefault="00EE67DE" w:rsidP="00931EC6">
            <w:pPr>
              <w:pStyle w:val="TableColumnHeadingLeft"/>
              <w:spacing w:before="120" w:after="120"/>
              <w:rPr>
                <w:rFonts w:asciiTheme="minorHAnsi" w:eastAsia="Arial" w:hAnsiTheme="minorHAnsi" w:cs="Arial"/>
                <w:sz w:val="24"/>
              </w:rPr>
            </w:pPr>
            <w:r w:rsidRPr="00931EC6">
              <w:rPr>
                <w:rFonts w:asciiTheme="minorHAnsi" w:eastAsia="Arial" w:hAnsiTheme="minorHAnsi" w:cs="Arial"/>
                <w:bCs/>
                <w:color w:val="FFFFFF"/>
                <w:spacing w:val="1"/>
                <w:sz w:val="24"/>
              </w:rPr>
              <w:t>I</w:t>
            </w:r>
            <w:r w:rsidRPr="00931EC6">
              <w:rPr>
                <w:rFonts w:asciiTheme="minorHAnsi" w:eastAsia="Arial" w:hAnsiTheme="minorHAnsi" w:cs="Arial"/>
                <w:bCs/>
                <w:color w:val="FFFFFF"/>
                <w:sz w:val="24"/>
              </w:rPr>
              <w:t>nt</w:t>
            </w:r>
            <w:r w:rsidRPr="00931EC6">
              <w:rPr>
                <w:rFonts w:asciiTheme="minorHAnsi" w:eastAsia="Arial" w:hAnsiTheme="minorHAnsi" w:cs="Arial"/>
                <w:bCs/>
                <w:color w:val="FFFFFF"/>
                <w:spacing w:val="3"/>
                <w:sz w:val="24"/>
              </w:rPr>
              <w:t>e</w:t>
            </w:r>
            <w:r w:rsidRPr="00931EC6">
              <w:rPr>
                <w:rFonts w:asciiTheme="minorHAnsi" w:eastAsia="Arial" w:hAnsiTheme="minorHAnsi" w:cs="Arial"/>
                <w:bCs/>
                <w:color w:val="FFFFFF"/>
                <w:spacing w:val="2"/>
                <w:sz w:val="24"/>
              </w:rPr>
              <w:t>r</w:t>
            </w:r>
            <w:r w:rsidRPr="00931EC6">
              <w:rPr>
                <w:rFonts w:asciiTheme="minorHAnsi" w:eastAsia="Arial" w:hAnsiTheme="minorHAnsi" w:cs="Arial"/>
                <w:bCs/>
                <w:color w:val="FFFFFF"/>
                <w:sz w:val="24"/>
              </w:rPr>
              <w:t>im</w:t>
            </w:r>
            <w:r w:rsidRPr="00931EC6">
              <w:rPr>
                <w:rFonts w:asciiTheme="minorHAnsi" w:eastAsia="Arial" w:hAnsiTheme="minorHAnsi" w:cs="Arial"/>
                <w:bCs/>
                <w:color w:val="FFFFFF"/>
                <w:spacing w:val="30"/>
                <w:sz w:val="24"/>
              </w:rPr>
              <w:t xml:space="preserve"> </w:t>
            </w:r>
            <w:r w:rsidRPr="00931EC6">
              <w:rPr>
                <w:rFonts w:asciiTheme="minorHAnsi" w:eastAsia="Arial" w:hAnsiTheme="minorHAnsi" w:cs="Arial"/>
                <w:bCs/>
                <w:color w:val="FFFFFF"/>
                <w:spacing w:val="2"/>
                <w:w w:val="101"/>
                <w:sz w:val="24"/>
              </w:rPr>
              <w:t>r</w:t>
            </w:r>
            <w:r w:rsidRPr="00931EC6">
              <w:rPr>
                <w:rFonts w:asciiTheme="minorHAnsi" w:eastAsia="Arial" w:hAnsiTheme="minorHAnsi" w:cs="Arial"/>
                <w:bCs/>
                <w:color w:val="FFFFFF"/>
                <w:spacing w:val="2"/>
                <w:w w:val="99"/>
                <w:sz w:val="24"/>
              </w:rPr>
              <w:t>e</w:t>
            </w:r>
            <w:r w:rsidRPr="00931EC6">
              <w:rPr>
                <w:rFonts w:asciiTheme="minorHAnsi" w:eastAsia="Arial" w:hAnsiTheme="minorHAnsi" w:cs="Arial"/>
                <w:bCs/>
                <w:color w:val="FFFFFF"/>
                <w:spacing w:val="1"/>
                <w:w w:val="82"/>
                <w:sz w:val="24"/>
              </w:rPr>
              <w:t>s</w:t>
            </w:r>
            <w:r w:rsidRPr="00931EC6">
              <w:rPr>
                <w:rFonts w:asciiTheme="minorHAnsi" w:eastAsia="Arial" w:hAnsiTheme="minorHAnsi" w:cs="Arial"/>
                <w:bCs/>
                <w:color w:val="FFFFFF"/>
                <w:spacing w:val="2"/>
                <w:w w:val="103"/>
                <w:sz w:val="24"/>
              </w:rPr>
              <w:t>p</w:t>
            </w:r>
            <w:r w:rsidRPr="00931EC6">
              <w:rPr>
                <w:rFonts w:asciiTheme="minorHAnsi" w:eastAsia="Arial" w:hAnsiTheme="minorHAnsi" w:cs="Arial"/>
                <w:bCs/>
                <w:color w:val="FFFFFF"/>
                <w:spacing w:val="1"/>
                <w:w w:val="101"/>
                <w:sz w:val="24"/>
              </w:rPr>
              <w:t>on</w:t>
            </w:r>
            <w:r w:rsidRPr="00931EC6">
              <w:rPr>
                <w:rFonts w:asciiTheme="minorHAnsi" w:eastAsia="Arial" w:hAnsiTheme="minorHAnsi" w:cs="Arial"/>
                <w:bCs/>
                <w:color w:val="FFFFFF"/>
                <w:spacing w:val="1"/>
                <w:w w:val="82"/>
                <w:sz w:val="24"/>
              </w:rPr>
              <w:t>s</w:t>
            </w:r>
            <w:r w:rsidRPr="00931EC6">
              <w:rPr>
                <w:rFonts w:asciiTheme="minorHAnsi" w:eastAsia="Arial" w:hAnsiTheme="minorHAnsi" w:cs="Arial"/>
                <w:bCs/>
                <w:color w:val="FFFFFF"/>
                <w:w w:val="99"/>
                <w:sz w:val="24"/>
              </w:rPr>
              <w:t>e</w:t>
            </w:r>
          </w:p>
        </w:tc>
      </w:tr>
      <w:tr w:rsidR="007F6037" w:rsidRPr="005C630C" w14:paraId="27747098" w14:textId="77777777" w:rsidTr="0008082E">
        <w:trPr>
          <w:cnfStyle w:val="000000100000" w:firstRow="0" w:lastRow="0" w:firstColumn="0" w:lastColumn="0" w:oddVBand="0" w:evenVBand="0" w:oddHBand="1" w:evenHBand="0" w:firstRowFirstColumn="0" w:firstRowLastColumn="0" w:lastRowFirstColumn="0" w:lastRowLastColumn="0"/>
          <w:cantSplit/>
          <w:trHeight w:val="113"/>
        </w:trPr>
        <w:tc>
          <w:tcPr>
            <w:tcW w:w="4802" w:type="dxa"/>
          </w:tcPr>
          <w:p w14:paraId="048BB443" w14:textId="77777777" w:rsidR="007F6037" w:rsidRPr="005C630C" w:rsidRDefault="00EE67DE" w:rsidP="005C630C">
            <w:pPr>
              <w:rPr>
                <w:rFonts w:eastAsia="Arial"/>
              </w:rPr>
            </w:pPr>
            <w:r w:rsidRPr="005C630C">
              <w:rPr>
                <w:rFonts w:eastAsia="Arial"/>
                <w:b/>
              </w:rPr>
              <w:t>Recommendation 6.1:</w:t>
            </w:r>
            <w:r w:rsidRPr="005C630C">
              <w:rPr>
                <w:rFonts w:eastAsia="Arial"/>
              </w:rPr>
              <w:t xml:space="preserve"> The objective of the HFE system should be refocused to provide the States with the fiscal capacity to provide services and associated infrastructure of a reasonable (rather than the same) standard.</w:t>
            </w:r>
          </w:p>
          <w:p w14:paraId="7E8F172C" w14:textId="77777777" w:rsidR="007F6037" w:rsidRPr="005C630C" w:rsidRDefault="00EE67DE" w:rsidP="005C630C">
            <w:pPr>
              <w:rPr>
                <w:rFonts w:eastAsia="Arial"/>
              </w:rPr>
            </w:pPr>
            <w:r w:rsidRPr="005C630C">
              <w:rPr>
                <w:rFonts w:eastAsia="Arial"/>
              </w:rPr>
              <w:t>The Commonwealth Government should set this revised objective of HFE.</w:t>
            </w:r>
          </w:p>
          <w:p w14:paraId="5278F2F6" w14:textId="77777777" w:rsidR="007F6037" w:rsidRPr="005C630C" w:rsidRDefault="00EE67DE" w:rsidP="005C630C">
            <w:pPr>
              <w:rPr>
                <w:rFonts w:eastAsia="Arial"/>
              </w:rPr>
            </w:pPr>
            <w:r w:rsidRPr="005C630C">
              <w:rPr>
                <w:rFonts w:eastAsia="Arial"/>
              </w:rPr>
              <w:t>The Treasurer should present the revised objective to the Council on Federal Financial Relations.</w:t>
            </w:r>
          </w:p>
          <w:p w14:paraId="050DAA80" w14:textId="77777777" w:rsidR="007F6037" w:rsidRPr="005C630C" w:rsidRDefault="00EE67DE" w:rsidP="005C630C">
            <w:pPr>
              <w:rPr>
                <w:rFonts w:eastAsia="Arial"/>
              </w:rPr>
            </w:pPr>
            <w:r w:rsidRPr="005C630C">
              <w:rPr>
                <w:rFonts w:eastAsia="Arial"/>
              </w:rPr>
              <w:t xml:space="preserve">Following this, the Treasurer should reissue </w:t>
            </w:r>
            <w:r w:rsidR="00A203AA">
              <w:rPr>
                <w:rFonts w:eastAsia="Arial"/>
              </w:rPr>
              <w:br w:type="textWrapping" w:clear="all"/>
            </w:r>
            <w:r w:rsidRPr="005C630C">
              <w:rPr>
                <w:rFonts w:eastAsia="Arial"/>
              </w:rPr>
              <w:t>the terms of reference to the CGC for the</w:t>
            </w:r>
            <w:r w:rsidR="00A203AA">
              <w:rPr>
                <w:rFonts w:eastAsia="Arial"/>
              </w:rPr>
              <w:t xml:space="preserve"> </w:t>
            </w:r>
            <w:r w:rsidRPr="005C630C">
              <w:rPr>
                <w:rFonts w:eastAsia="Arial"/>
              </w:rPr>
              <w:t>2020</w:t>
            </w:r>
            <w:r w:rsidR="00A203AA">
              <w:rPr>
                <w:rFonts w:eastAsia="Arial"/>
              </w:rPr>
              <w:t> </w:t>
            </w:r>
            <w:r w:rsidRPr="005C630C">
              <w:rPr>
                <w:rFonts w:eastAsia="Arial"/>
              </w:rPr>
              <w:t>methodology review to reflect the new objective.</w:t>
            </w:r>
          </w:p>
          <w:p w14:paraId="7852AFE3" w14:textId="77777777" w:rsidR="007F6037" w:rsidRPr="005C630C" w:rsidRDefault="00EE67DE" w:rsidP="005C630C">
            <w:pPr>
              <w:rPr>
                <w:rFonts w:eastAsia="Arial"/>
              </w:rPr>
            </w:pPr>
            <w:r w:rsidRPr="005C630C">
              <w:rPr>
                <w:rFonts w:eastAsia="Arial"/>
              </w:rPr>
              <w:t>The terms of reference for all future relativity updates and five-yearly methodology reviews should reflect this revised objective.</w:t>
            </w:r>
          </w:p>
          <w:p w14:paraId="17328AEF" w14:textId="77777777" w:rsidR="007F6037" w:rsidRPr="005C630C" w:rsidRDefault="00EE67DE" w:rsidP="005C630C">
            <w:pPr>
              <w:rPr>
                <w:rFonts w:eastAsia="Arial"/>
              </w:rPr>
            </w:pPr>
            <w:r w:rsidRPr="005C630C">
              <w:rPr>
                <w:rFonts w:eastAsia="Arial"/>
              </w:rPr>
              <w:t xml:space="preserve">The Intergovernmental Agreement on Federal Financial Relations and the </w:t>
            </w:r>
            <w:r w:rsidRPr="00A203AA">
              <w:rPr>
                <w:rFonts w:eastAsia="Arial"/>
                <w:i/>
              </w:rPr>
              <w:t>Commonwealth Grants Commission Act 1973</w:t>
            </w:r>
            <w:r w:rsidRPr="005C630C">
              <w:rPr>
                <w:rFonts w:eastAsia="Arial"/>
              </w:rPr>
              <w:t xml:space="preserve"> (</w:t>
            </w:r>
            <w:proofErr w:type="spellStart"/>
            <w:r w:rsidRPr="005C630C">
              <w:rPr>
                <w:rFonts w:eastAsia="Arial"/>
              </w:rPr>
              <w:t>Cwlth</w:t>
            </w:r>
            <w:proofErr w:type="spellEnd"/>
            <w:r w:rsidRPr="005C630C">
              <w:rPr>
                <w:rFonts w:eastAsia="Arial"/>
              </w:rPr>
              <w:t>) should also be amended to reflect the revised objective.</w:t>
            </w:r>
          </w:p>
        </w:tc>
        <w:tc>
          <w:tcPr>
            <w:tcW w:w="4803" w:type="dxa"/>
          </w:tcPr>
          <w:p w14:paraId="0908A2DB" w14:textId="77777777" w:rsidR="00A203AA" w:rsidRDefault="00EE67DE" w:rsidP="005C630C">
            <w:pPr>
              <w:rPr>
                <w:rFonts w:eastAsia="Arial"/>
              </w:rPr>
            </w:pPr>
            <w:r w:rsidRPr="005C630C">
              <w:rPr>
                <w:rFonts w:eastAsia="Arial"/>
                <w:b/>
              </w:rPr>
              <w:t>Accept</w:t>
            </w:r>
            <w:r w:rsidRPr="005C630C">
              <w:rPr>
                <w:rFonts w:eastAsia="Arial"/>
              </w:rPr>
              <w:t>, subject to consultation with the States.</w:t>
            </w:r>
          </w:p>
          <w:p w14:paraId="2B5C6F98" w14:textId="77777777" w:rsidR="007F6037" w:rsidRPr="005C630C" w:rsidRDefault="00EE67DE" w:rsidP="005C630C">
            <w:pPr>
              <w:rPr>
                <w:rFonts w:eastAsia="Arial"/>
              </w:rPr>
            </w:pPr>
            <w:r w:rsidRPr="005C630C">
              <w:rPr>
                <w:rFonts w:eastAsia="Arial"/>
              </w:rPr>
              <w:t>The Government agrees the HFE objective should</w:t>
            </w:r>
            <w:r w:rsidR="005C630C">
              <w:rPr>
                <w:rFonts w:eastAsia="Arial"/>
              </w:rPr>
              <w:t xml:space="preserve"> </w:t>
            </w:r>
            <w:r w:rsidRPr="005C630C">
              <w:rPr>
                <w:rFonts w:eastAsia="Arial"/>
              </w:rPr>
              <w:t xml:space="preserve">be refocused to provide States with the fiscal capacity to provide services and associated infrastructure at a </w:t>
            </w:r>
            <w:r w:rsidRPr="00A203AA">
              <w:rPr>
                <w:rFonts w:eastAsia="Arial"/>
                <w:i/>
              </w:rPr>
              <w:t>reasonable</w:t>
            </w:r>
            <w:r w:rsidRPr="005C630C">
              <w:rPr>
                <w:rFonts w:eastAsia="Arial"/>
              </w:rPr>
              <w:t xml:space="preserve"> standard, rather than the </w:t>
            </w:r>
            <w:r w:rsidRPr="00A203AA">
              <w:rPr>
                <w:rFonts w:eastAsia="Arial"/>
                <w:i/>
              </w:rPr>
              <w:t>same</w:t>
            </w:r>
            <w:r w:rsidRPr="005C630C">
              <w:rPr>
                <w:rFonts w:eastAsia="Arial"/>
              </w:rPr>
              <w:t xml:space="preserve"> standard.</w:t>
            </w:r>
          </w:p>
          <w:p w14:paraId="1431F15D" w14:textId="77777777" w:rsidR="007F6037" w:rsidRPr="005C630C" w:rsidRDefault="00EE67DE" w:rsidP="005C630C">
            <w:pPr>
              <w:rPr>
                <w:rFonts w:eastAsia="Arial"/>
              </w:rPr>
            </w:pPr>
            <w:r w:rsidRPr="005C630C">
              <w:rPr>
                <w:rFonts w:eastAsia="Arial"/>
              </w:rPr>
              <w:t>Defining the HFE objective in this way would recognise that there is false precision in the current system. The current system does not actually achieve full equalisation due to data limitations, time lags, and other anomalies. Importantly, reasonable equalisation would reduce volatility</w:t>
            </w:r>
            <w:r w:rsidR="005C630C">
              <w:rPr>
                <w:rFonts w:eastAsia="Arial"/>
              </w:rPr>
              <w:t xml:space="preserve"> </w:t>
            </w:r>
            <w:r w:rsidRPr="005C630C">
              <w:rPr>
                <w:rFonts w:eastAsia="Arial"/>
              </w:rPr>
              <w:t>in the GST system, which has been greatly exacerbated by the mining boom.</w:t>
            </w:r>
          </w:p>
          <w:p w14:paraId="5B0539C7" w14:textId="77777777" w:rsidR="007F6037" w:rsidRPr="005C630C" w:rsidRDefault="00EE67DE" w:rsidP="005C630C">
            <w:pPr>
              <w:rPr>
                <w:rFonts w:eastAsia="Arial"/>
              </w:rPr>
            </w:pPr>
            <w:r w:rsidRPr="005C630C">
              <w:rPr>
                <w:rFonts w:eastAsia="Arial"/>
              </w:rPr>
              <w:t>The Government agrees that the objective of HFE should be defined in consultation with the States, and included in the terms of reference issued to the CGC for calculating the GST relativities.</w:t>
            </w:r>
          </w:p>
          <w:p w14:paraId="72865B96" w14:textId="77777777" w:rsidR="007F6037" w:rsidRPr="005C630C" w:rsidRDefault="00EE67DE" w:rsidP="005C630C">
            <w:pPr>
              <w:rPr>
                <w:rFonts w:eastAsia="Arial"/>
              </w:rPr>
            </w:pPr>
            <w:r w:rsidRPr="005C630C">
              <w:rPr>
                <w:rFonts w:eastAsia="Arial"/>
              </w:rPr>
              <w:t>The Government notes that while the Intergovernmental Agreement on Federal Financial Relations and legislation could also be amended to include the HFE objective, these are not necessary prerequisites to including the objective in terms of reference to the CGC.</w:t>
            </w:r>
          </w:p>
        </w:tc>
      </w:tr>
      <w:tr w:rsidR="007F6037" w:rsidRPr="005C630C" w14:paraId="4CA58267" w14:textId="77777777" w:rsidTr="0008082E">
        <w:trPr>
          <w:cantSplit/>
          <w:trHeight w:val="113"/>
        </w:trPr>
        <w:tc>
          <w:tcPr>
            <w:tcW w:w="4802" w:type="dxa"/>
          </w:tcPr>
          <w:p w14:paraId="39104EA9" w14:textId="77777777" w:rsidR="007F6037" w:rsidRPr="005C630C" w:rsidRDefault="00EE67DE" w:rsidP="005C630C">
            <w:pPr>
              <w:rPr>
                <w:rFonts w:eastAsia="Arial"/>
              </w:rPr>
            </w:pPr>
            <w:r w:rsidRPr="005C630C">
              <w:rPr>
                <w:rFonts w:eastAsia="Arial"/>
                <w:b/>
              </w:rPr>
              <w:t>Recommendation 6.2:</w:t>
            </w:r>
            <w:r w:rsidRPr="005C630C">
              <w:rPr>
                <w:rFonts w:eastAsia="Arial"/>
              </w:rPr>
              <w:t xml:space="preserve"> The CGC — through its Chairperson and Commission members — should provide a strong neutral voice, to facilitate a better informed public discourse on the HFE system.</w:t>
            </w:r>
          </w:p>
        </w:tc>
        <w:tc>
          <w:tcPr>
            <w:tcW w:w="4803" w:type="dxa"/>
          </w:tcPr>
          <w:p w14:paraId="41A68242" w14:textId="77777777" w:rsidR="007F6037" w:rsidRPr="005C630C" w:rsidRDefault="00EE67DE" w:rsidP="005C630C">
            <w:pPr>
              <w:rPr>
                <w:rFonts w:eastAsia="Arial"/>
              </w:rPr>
            </w:pPr>
            <w:r w:rsidRPr="005C630C">
              <w:rPr>
                <w:rFonts w:eastAsia="Arial"/>
                <w:b/>
              </w:rPr>
              <w:t>Accept</w:t>
            </w:r>
            <w:r w:rsidRPr="005C630C">
              <w:rPr>
                <w:rFonts w:eastAsia="Arial"/>
              </w:rPr>
              <w:t>, subject to consultation with the States.</w:t>
            </w:r>
          </w:p>
          <w:p w14:paraId="2BE00827" w14:textId="77777777" w:rsidR="007F6037" w:rsidRPr="005C630C" w:rsidRDefault="00EE67DE" w:rsidP="005C630C">
            <w:pPr>
              <w:rPr>
                <w:rFonts w:eastAsia="Arial"/>
              </w:rPr>
            </w:pPr>
            <w:r w:rsidRPr="005C630C">
              <w:rPr>
                <w:rFonts w:eastAsia="Arial"/>
              </w:rPr>
              <w:t>The Government supports the CGC adopting a greater public educational role. As the subject matter experts, the CGC could help improve understanding of the system which is</w:t>
            </w:r>
            <w:r w:rsidR="005C630C" w:rsidRPr="005C630C">
              <w:rPr>
                <w:rFonts w:eastAsia="Arial"/>
              </w:rPr>
              <w:t xml:space="preserve"> </w:t>
            </w:r>
            <w:r w:rsidRPr="005C630C">
              <w:rPr>
                <w:rFonts w:eastAsia="Arial"/>
              </w:rPr>
              <w:t>currently very low, and mitigate the potential for misunderstandings to develop.</w:t>
            </w:r>
          </w:p>
        </w:tc>
      </w:tr>
      <w:tr w:rsidR="007F6037" w:rsidRPr="005C630C" w14:paraId="094CAD55" w14:textId="77777777" w:rsidTr="0008082E">
        <w:trPr>
          <w:cnfStyle w:val="000000100000" w:firstRow="0" w:lastRow="0" w:firstColumn="0" w:lastColumn="0" w:oddVBand="0" w:evenVBand="0" w:oddHBand="1" w:evenHBand="0" w:firstRowFirstColumn="0" w:firstRowLastColumn="0" w:lastRowFirstColumn="0" w:lastRowLastColumn="0"/>
          <w:cantSplit/>
          <w:trHeight w:val="113"/>
        </w:trPr>
        <w:tc>
          <w:tcPr>
            <w:tcW w:w="4802" w:type="dxa"/>
          </w:tcPr>
          <w:p w14:paraId="04889924" w14:textId="77777777" w:rsidR="007F6037" w:rsidRPr="005C630C" w:rsidRDefault="00EE67DE" w:rsidP="005C630C">
            <w:pPr>
              <w:rPr>
                <w:rFonts w:eastAsia="Arial"/>
              </w:rPr>
            </w:pPr>
            <w:r w:rsidRPr="005C630C">
              <w:rPr>
                <w:rFonts w:eastAsia="Arial"/>
                <w:b/>
              </w:rPr>
              <w:lastRenderedPageBreak/>
              <w:t>Recommendation 6.3:</w:t>
            </w:r>
            <w:r w:rsidRPr="005C630C">
              <w:rPr>
                <w:rFonts w:eastAsia="Arial"/>
              </w:rPr>
              <w:t xml:space="preserve"> The CGC should strengthen its formal interactions with the State and Commonwealth Governments. In particular, when requested by a State Government, it should provide provisional ‘draft rulings’ on the HFE implications of a policy change.</w:t>
            </w:r>
          </w:p>
        </w:tc>
        <w:tc>
          <w:tcPr>
            <w:tcW w:w="4803" w:type="dxa"/>
          </w:tcPr>
          <w:p w14:paraId="0767A6E4" w14:textId="77777777" w:rsidR="007F6037" w:rsidRPr="005C630C" w:rsidRDefault="00EE67DE" w:rsidP="005C630C">
            <w:pPr>
              <w:rPr>
                <w:rFonts w:eastAsia="Arial"/>
              </w:rPr>
            </w:pPr>
            <w:r w:rsidRPr="005C630C">
              <w:rPr>
                <w:rFonts w:eastAsia="Arial"/>
                <w:b/>
              </w:rPr>
              <w:t>Accept</w:t>
            </w:r>
            <w:r w:rsidRPr="005C630C">
              <w:rPr>
                <w:rFonts w:eastAsia="Arial"/>
              </w:rPr>
              <w:t>, subject to consultation with the States.</w:t>
            </w:r>
          </w:p>
          <w:p w14:paraId="2E7A1DC5" w14:textId="77777777" w:rsidR="007F6037" w:rsidRPr="005C630C" w:rsidRDefault="00EE67DE" w:rsidP="005C630C">
            <w:pPr>
              <w:rPr>
                <w:rFonts w:eastAsia="Arial"/>
              </w:rPr>
            </w:pPr>
            <w:r w:rsidRPr="005C630C">
              <w:rPr>
                <w:rFonts w:eastAsia="Arial"/>
              </w:rPr>
              <w:t>The Government notes that the CGC already has strong relationships with the States, including through written papers, informal staff</w:t>
            </w:r>
            <w:r w:rsidR="005C630C" w:rsidRPr="005C630C">
              <w:rPr>
                <w:rFonts w:eastAsia="Arial"/>
              </w:rPr>
              <w:t xml:space="preserve"> </w:t>
            </w:r>
            <w:r w:rsidRPr="005C630C">
              <w:rPr>
                <w:rFonts w:eastAsia="Arial"/>
              </w:rPr>
              <w:t>engagements, and formal State visits. Nonetheless, the Government supports the CGC further strengthening these interactions, including by providing States with draft rulings.</w:t>
            </w:r>
          </w:p>
          <w:p w14:paraId="1DD4D719" w14:textId="77777777" w:rsidR="007F6037" w:rsidRPr="005C630C" w:rsidRDefault="00EE67DE" w:rsidP="005C630C">
            <w:pPr>
              <w:rPr>
                <w:rFonts w:eastAsia="Arial"/>
              </w:rPr>
            </w:pPr>
            <w:r w:rsidRPr="005C630C">
              <w:rPr>
                <w:rFonts w:eastAsia="Arial"/>
              </w:rPr>
              <w:t>Draft rulings could provide the States with greater transparency and certainty on the GST impacts</w:t>
            </w:r>
            <w:r w:rsidR="005C630C" w:rsidRPr="005C630C">
              <w:rPr>
                <w:rFonts w:eastAsia="Arial"/>
              </w:rPr>
              <w:t xml:space="preserve"> </w:t>
            </w:r>
            <w:r w:rsidRPr="005C630C">
              <w:rPr>
                <w:rFonts w:eastAsia="Arial"/>
              </w:rPr>
              <w:t>of reform, and may further encourage States to pursue beneficial reforms.</w:t>
            </w:r>
          </w:p>
        </w:tc>
      </w:tr>
      <w:tr w:rsidR="007F6037" w:rsidRPr="005C630C" w14:paraId="20C0D6B9" w14:textId="77777777" w:rsidTr="0008082E">
        <w:trPr>
          <w:cantSplit/>
          <w:trHeight w:val="113"/>
        </w:trPr>
        <w:tc>
          <w:tcPr>
            <w:tcW w:w="4802" w:type="dxa"/>
          </w:tcPr>
          <w:p w14:paraId="5DA241C9" w14:textId="77777777" w:rsidR="007F6037" w:rsidRPr="005C630C" w:rsidRDefault="00EE67DE" w:rsidP="005C630C">
            <w:pPr>
              <w:rPr>
                <w:rFonts w:eastAsia="Arial"/>
              </w:rPr>
            </w:pPr>
            <w:r w:rsidRPr="005C630C">
              <w:rPr>
                <w:rFonts w:eastAsia="Arial"/>
                <w:b/>
              </w:rPr>
              <w:t>Recommendation 6.4:</w:t>
            </w:r>
            <w:r w:rsidRPr="005C630C">
              <w:rPr>
                <w:rFonts w:eastAsia="Arial"/>
              </w:rPr>
              <w:t xml:space="preserve"> The Commonwealth Government, in consultation with the States, should develop clear guidelines detailing the basis on which Commonwealth payments are to be quarantined from HFE by the Commonwealth Treasurer (so that they do not unnecessarily erode the efficacy of the CGC’s relativities and compromise the objective of HFE).</w:t>
            </w:r>
          </w:p>
          <w:p w14:paraId="34C2A6CB" w14:textId="77777777" w:rsidR="007F6037" w:rsidRPr="005C630C" w:rsidRDefault="00EE67DE" w:rsidP="005C630C">
            <w:pPr>
              <w:rPr>
                <w:rFonts w:eastAsia="Arial"/>
              </w:rPr>
            </w:pPr>
            <w:r w:rsidRPr="005C630C">
              <w:rPr>
                <w:rFonts w:eastAsia="Arial"/>
              </w:rPr>
              <w:t>The guidelines should strike a balance between enhancing accountability and transparency, while not unduly affecting the Treasurer’s ability to quarantine payments in exceptional circumstances that are in the national interest.</w:t>
            </w:r>
          </w:p>
        </w:tc>
        <w:tc>
          <w:tcPr>
            <w:tcW w:w="4803" w:type="dxa"/>
          </w:tcPr>
          <w:p w14:paraId="2A858D5E" w14:textId="77777777" w:rsidR="00A203AA" w:rsidRDefault="00EE67DE" w:rsidP="005C630C">
            <w:pPr>
              <w:rPr>
                <w:rFonts w:eastAsia="Arial"/>
              </w:rPr>
            </w:pPr>
            <w:r w:rsidRPr="005C630C">
              <w:rPr>
                <w:rFonts w:eastAsia="Arial"/>
                <w:b/>
              </w:rPr>
              <w:t>Accept</w:t>
            </w:r>
            <w:r w:rsidRPr="005C630C">
              <w:rPr>
                <w:rFonts w:eastAsia="Arial"/>
              </w:rPr>
              <w:t>, subject to consultation with the States.</w:t>
            </w:r>
          </w:p>
          <w:p w14:paraId="608D1DE5" w14:textId="77777777" w:rsidR="007F6037" w:rsidRPr="005C630C" w:rsidRDefault="00EE67DE" w:rsidP="005C630C">
            <w:pPr>
              <w:rPr>
                <w:rFonts w:eastAsia="Arial"/>
              </w:rPr>
            </w:pPr>
            <w:r w:rsidRPr="005C630C">
              <w:rPr>
                <w:rFonts w:eastAsia="Arial"/>
              </w:rPr>
              <w:t>The Government supports the development</w:t>
            </w:r>
            <w:r w:rsidR="005C630C" w:rsidRPr="005C630C">
              <w:rPr>
                <w:rFonts w:eastAsia="Arial"/>
              </w:rPr>
              <w:t xml:space="preserve"> </w:t>
            </w:r>
            <w:r w:rsidRPr="005C630C">
              <w:rPr>
                <w:rFonts w:eastAsia="Arial"/>
              </w:rPr>
              <w:t>of guidelines that provide an equal playing field for all States. However, the Government notes that there are also sometimes exceptional</w:t>
            </w:r>
            <w:r w:rsidR="005C630C" w:rsidRPr="005C630C">
              <w:rPr>
                <w:rFonts w:eastAsia="Arial"/>
              </w:rPr>
              <w:t xml:space="preserve"> </w:t>
            </w:r>
            <w:r w:rsidRPr="005C630C">
              <w:rPr>
                <w:rFonts w:eastAsia="Arial"/>
              </w:rPr>
              <w:t>circumstances where the Commonwealth must act in the national interest.</w:t>
            </w:r>
          </w:p>
        </w:tc>
      </w:tr>
      <w:tr w:rsidR="007F6037" w:rsidRPr="005C630C" w14:paraId="0EA72976" w14:textId="77777777" w:rsidTr="0008082E">
        <w:trPr>
          <w:cnfStyle w:val="000000100000" w:firstRow="0" w:lastRow="0" w:firstColumn="0" w:lastColumn="0" w:oddVBand="0" w:evenVBand="0" w:oddHBand="1" w:evenHBand="0" w:firstRowFirstColumn="0" w:firstRowLastColumn="0" w:lastRowFirstColumn="0" w:lastRowLastColumn="0"/>
          <w:cantSplit/>
          <w:trHeight w:val="113"/>
        </w:trPr>
        <w:tc>
          <w:tcPr>
            <w:tcW w:w="4802" w:type="dxa"/>
          </w:tcPr>
          <w:p w14:paraId="20FA4CB4" w14:textId="77777777" w:rsidR="007F6037" w:rsidRPr="005C630C" w:rsidRDefault="00EE67DE" w:rsidP="005C630C">
            <w:pPr>
              <w:rPr>
                <w:rFonts w:eastAsia="Arial"/>
              </w:rPr>
            </w:pPr>
            <w:r w:rsidRPr="005C630C">
              <w:rPr>
                <w:rFonts w:eastAsia="Arial"/>
                <w:b/>
              </w:rPr>
              <w:t>Recommendation 6.5:</w:t>
            </w:r>
            <w:r w:rsidRPr="005C630C">
              <w:rPr>
                <w:rFonts w:eastAsia="Arial"/>
              </w:rPr>
              <w:t xml:space="preserve"> The Commonwealth Government should strengthen the CGC’s decision-making framework. In particular:</w:t>
            </w:r>
          </w:p>
          <w:p w14:paraId="3D5D5288" w14:textId="77777777" w:rsidR="007F6037" w:rsidRPr="005C630C" w:rsidRDefault="00EE67DE" w:rsidP="005C630C">
            <w:pPr>
              <w:pStyle w:val="Bullet"/>
              <w:rPr>
                <w:rFonts w:eastAsia="Arial"/>
              </w:rPr>
            </w:pPr>
            <w:r w:rsidRPr="005C630C">
              <w:rPr>
                <w:rFonts w:eastAsia="Arial"/>
              </w:rPr>
              <w:t>the Commonwealth Treasury should provide input, including public submissions, to the CGC’s five-yearly methodology review process, drawing upon its community-wide perspective</w:t>
            </w:r>
          </w:p>
          <w:p w14:paraId="40340DA3" w14:textId="77777777" w:rsidR="007F6037" w:rsidRPr="005C630C" w:rsidRDefault="00EE67DE" w:rsidP="005C630C">
            <w:pPr>
              <w:pStyle w:val="Bullet"/>
              <w:rPr>
                <w:rFonts w:eastAsia="Arial"/>
              </w:rPr>
            </w:pPr>
            <w:proofErr w:type="gramStart"/>
            <w:r w:rsidRPr="005C630C">
              <w:rPr>
                <w:rFonts w:eastAsia="Arial"/>
              </w:rPr>
              <w:t>the</w:t>
            </w:r>
            <w:proofErr w:type="gramEnd"/>
            <w:r w:rsidRPr="005C630C">
              <w:rPr>
                <w:rFonts w:eastAsia="Arial"/>
              </w:rPr>
              <w:t xml:space="preserve"> Commonwealth Treasurer should nominate specific areas of focus for the CGC in the terms of reference for the five-yearly methodology reviews, following (as is currently the case) consultation with the States.</w:t>
            </w:r>
          </w:p>
        </w:tc>
        <w:tc>
          <w:tcPr>
            <w:tcW w:w="4803" w:type="dxa"/>
          </w:tcPr>
          <w:p w14:paraId="27FC0513" w14:textId="77777777" w:rsidR="00A203AA" w:rsidRDefault="00EE67DE" w:rsidP="005C630C">
            <w:pPr>
              <w:rPr>
                <w:rFonts w:eastAsia="Arial"/>
              </w:rPr>
            </w:pPr>
            <w:r w:rsidRPr="005C630C">
              <w:rPr>
                <w:rFonts w:eastAsia="Arial"/>
                <w:b/>
              </w:rPr>
              <w:t>Accept</w:t>
            </w:r>
            <w:r w:rsidRPr="005C630C">
              <w:rPr>
                <w:rFonts w:eastAsia="Arial"/>
              </w:rPr>
              <w:t xml:space="preserve">, subject to consultation with the States. </w:t>
            </w:r>
          </w:p>
          <w:p w14:paraId="0A5B8219" w14:textId="77777777" w:rsidR="007F6037" w:rsidRPr="005C630C" w:rsidRDefault="00EE67DE" w:rsidP="005C630C">
            <w:pPr>
              <w:rPr>
                <w:rFonts w:eastAsia="Arial"/>
              </w:rPr>
            </w:pPr>
            <w:r w:rsidRPr="005C630C">
              <w:rPr>
                <w:rFonts w:eastAsia="Arial"/>
              </w:rPr>
              <w:t>The Government supports the Commonwealth</w:t>
            </w:r>
            <w:r w:rsidR="005C630C" w:rsidRPr="005C630C">
              <w:rPr>
                <w:rFonts w:eastAsia="Arial"/>
              </w:rPr>
              <w:t xml:space="preserve"> </w:t>
            </w:r>
            <w:r w:rsidRPr="005C630C">
              <w:rPr>
                <w:rFonts w:eastAsia="Arial"/>
              </w:rPr>
              <w:t>Treasury providing the CGC with more input, where this would contribute additional value to the CGC.</w:t>
            </w:r>
          </w:p>
          <w:p w14:paraId="739AA48A" w14:textId="77777777" w:rsidR="007F6037" w:rsidRPr="005C630C" w:rsidRDefault="00EE67DE" w:rsidP="005C630C">
            <w:pPr>
              <w:rPr>
                <w:rFonts w:eastAsia="Arial"/>
              </w:rPr>
            </w:pPr>
            <w:r w:rsidRPr="005C630C">
              <w:rPr>
                <w:rFonts w:eastAsia="Arial"/>
              </w:rPr>
              <w:t>The Government also agrees to consider whether there are specific areas that the CGC should focus on during methodology reviews, when developing these terms of reference.</w:t>
            </w:r>
          </w:p>
        </w:tc>
      </w:tr>
      <w:tr w:rsidR="007F6037" w:rsidRPr="005C630C" w14:paraId="530712AE" w14:textId="77777777" w:rsidTr="0008082E">
        <w:trPr>
          <w:cantSplit/>
          <w:trHeight w:val="113"/>
        </w:trPr>
        <w:tc>
          <w:tcPr>
            <w:tcW w:w="4802" w:type="dxa"/>
          </w:tcPr>
          <w:p w14:paraId="3DEE59ED" w14:textId="77777777" w:rsidR="007F6037" w:rsidRPr="005C630C" w:rsidRDefault="00EE67DE" w:rsidP="005C630C">
            <w:pPr>
              <w:rPr>
                <w:rFonts w:eastAsia="Arial"/>
              </w:rPr>
            </w:pPr>
            <w:r w:rsidRPr="005C630C">
              <w:rPr>
                <w:rFonts w:eastAsia="Arial"/>
                <w:b/>
              </w:rPr>
              <w:t>R</w:t>
            </w:r>
            <w:r w:rsidR="005C630C" w:rsidRPr="005C630C">
              <w:rPr>
                <w:rFonts w:eastAsia="Arial"/>
                <w:b/>
              </w:rPr>
              <w:t>e</w:t>
            </w:r>
            <w:r w:rsidRPr="005C630C">
              <w:rPr>
                <w:rFonts w:eastAsia="Arial"/>
                <w:b/>
              </w:rPr>
              <w:t>commendation 6.6:</w:t>
            </w:r>
            <w:r w:rsidRPr="005C630C">
              <w:rPr>
                <w:rFonts w:eastAsia="Arial"/>
              </w:rPr>
              <w:t xml:space="preserve"> The CGC should immediately and systematically make the data provided by the States publicly available on its website, along with the CGC’s calculations on these data.</w:t>
            </w:r>
          </w:p>
        </w:tc>
        <w:tc>
          <w:tcPr>
            <w:tcW w:w="4803" w:type="dxa"/>
          </w:tcPr>
          <w:p w14:paraId="7BFCAC90" w14:textId="77777777" w:rsidR="00A203AA" w:rsidRDefault="00EE67DE" w:rsidP="005C630C">
            <w:pPr>
              <w:rPr>
                <w:rFonts w:eastAsia="Arial"/>
              </w:rPr>
            </w:pPr>
            <w:r w:rsidRPr="005C630C">
              <w:rPr>
                <w:rFonts w:eastAsia="Arial"/>
                <w:b/>
              </w:rPr>
              <w:t>Accept</w:t>
            </w:r>
            <w:r w:rsidRPr="005C630C">
              <w:rPr>
                <w:rFonts w:eastAsia="Arial"/>
              </w:rPr>
              <w:t xml:space="preserve">, subject to consultation with the States. </w:t>
            </w:r>
          </w:p>
          <w:p w14:paraId="27751DDB" w14:textId="77777777" w:rsidR="007F6037" w:rsidRPr="005C630C" w:rsidRDefault="00EE67DE" w:rsidP="005C630C">
            <w:pPr>
              <w:rPr>
                <w:rFonts w:eastAsia="Arial"/>
              </w:rPr>
            </w:pPr>
            <w:r w:rsidRPr="005C630C">
              <w:rPr>
                <w:rFonts w:eastAsia="Arial"/>
              </w:rPr>
              <w:t>Consistent with our ‘open data’ policy, the</w:t>
            </w:r>
            <w:r w:rsidR="005C630C" w:rsidRPr="005C630C">
              <w:rPr>
                <w:rFonts w:eastAsia="Arial"/>
              </w:rPr>
              <w:t xml:space="preserve"> </w:t>
            </w:r>
            <w:r w:rsidRPr="005C630C">
              <w:rPr>
                <w:rFonts w:eastAsia="Arial"/>
              </w:rPr>
              <w:t>Government supports the public dissemination of more data. However, such data must be released responsibly, and address concerns such as privacy, commercial sensitivities and/or the possibility for the data to be misinterpreted.</w:t>
            </w:r>
          </w:p>
        </w:tc>
      </w:tr>
      <w:tr w:rsidR="007F6037" w:rsidRPr="005C630C" w14:paraId="3A440C9F" w14:textId="77777777" w:rsidTr="0008082E">
        <w:trPr>
          <w:cnfStyle w:val="000000100000" w:firstRow="0" w:lastRow="0" w:firstColumn="0" w:lastColumn="0" w:oddVBand="0" w:evenVBand="0" w:oddHBand="1" w:evenHBand="0" w:firstRowFirstColumn="0" w:firstRowLastColumn="0" w:lastRowFirstColumn="0" w:lastRowLastColumn="0"/>
          <w:cantSplit/>
          <w:trHeight w:val="113"/>
        </w:trPr>
        <w:tc>
          <w:tcPr>
            <w:tcW w:w="4802" w:type="dxa"/>
          </w:tcPr>
          <w:p w14:paraId="516478EC" w14:textId="77777777" w:rsidR="007F6037" w:rsidRPr="005C630C" w:rsidRDefault="00EE67DE" w:rsidP="005C630C">
            <w:pPr>
              <w:rPr>
                <w:rFonts w:eastAsia="Arial"/>
              </w:rPr>
            </w:pPr>
            <w:r w:rsidRPr="005C630C">
              <w:rPr>
                <w:rFonts w:eastAsia="Arial"/>
                <w:b/>
              </w:rPr>
              <w:lastRenderedPageBreak/>
              <w:t>Recommendation 7.1:</w:t>
            </w:r>
            <w:r w:rsidRPr="005C630C">
              <w:rPr>
                <w:rFonts w:eastAsia="Arial"/>
              </w:rPr>
              <w:t xml:space="preserve"> The Commonwealth Treasurer should direct the CGC (in accordance with the refocused HFE objective) to:</w:t>
            </w:r>
          </w:p>
          <w:p w14:paraId="167FDC2A" w14:textId="77777777" w:rsidR="007F6037" w:rsidRPr="005C630C" w:rsidRDefault="00EE67DE" w:rsidP="005C630C">
            <w:pPr>
              <w:pStyle w:val="Bullet"/>
              <w:rPr>
                <w:rFonts w:eastAsia="Arial"/>
              </w:rPr>
            </w:pPr>
            <w:r w:rsidRPr="005C630C">
              <w:rPr>
                <w:rFonts w:eastAsia="Arial"/>
              </w:rPr>
              <w:t>examine simpler and more aggregated revenue and expenditure assessments that use more policy-neutral indicators, consistent with achieving a reasonable standard of services</w:t>
            </w:r>
          </w:p>
          <w:p w14:paraId="422DF659" w14:textId="77777777" w:rsidR="007F6037" w:rsidRPr="005C630C" w:rsidRDefault="00EE67DE" w:rsidP="005C630C">
            <w:pPr>
              <w:pStyle w:val="Bullet"/>
              <w:rPr>
                <w:rFonts w:eastAsia="Arial"/>
              </w:rPr>
            </w:pPr>
            <w:proofErr w:type="gramStart"/>
            <w:r w:rsidRPr="005C630C">
              <w:rPr>
                <w:rFonts w:eastAsia="Arial"/>
              </w:rPr>
              <w:t>adopt</w:t>
            </w:r>
            <w:proofErr w:type="gramEnd"/>
            <w:r w:rsidRPr="005C630C">
              <w:rPr>
                <w:rFonts w:eastAsia="Arial"/>
              </w:rPr>
              <w:t xml:space="preserve"> significant increases in materiality thresholds, which would assist in determining and applying more policy-neutral category level indicators.</w:t>
            </w:r>
          </w:p>
          <w:p w14:paraId="78508BEC" w14:textId="77777777" w:rsidR="007F6037" w:rsidRPr="005C630C" w:rsidRDefault="00EE67DE" w:rsidP="00A203AA">
            <w:pPr>
              <w:rPr>
                <w:rFonts w:eastAsia="Arial"/>
              </w:rPr>
            </w:pPr>
            <w:r w:rsidRPr="005C630C">
              <w:rPr>
                <w:rFonts w:eastAsia="Arial"/>
              </w:rPr>
              <w:t>This initial direction should be embedded in revised terms of reference for the CGC’s</w:t>
            </w:r>
            <w:r w:rsidR="005C630C" w:rsidRPr="005C630C">
              <w:rPr>
                <w:rFonts w:eastAsia="Arial"/>
              </w:rPr>
              <w:t xml:space="preserve"> </w:t>
            </w:r>
            <w:r w:rsidRPr="005C630C">
              <w:rPr>
                <w:rFonts w:eastAsia="Arial"/>
              </w:rPr>
              <w:t>2020</w:t>
            </w:r>
            <w:r w:rsidR="00A203AA">
              <w:rPr>
                <w:rFonts w:eastAsia="Arial"/>
              </w:rPr>
              <w:t> </w:t>
            </w:r>
            <w:r w:rsidRPr="005C630C">
              <w:rPr>
                <w:rFonts w:eastAsia="Arial"/>
              </w:rPr>
              <w:t>methodology review.</w:t>
            </w:r>
          </w:p>
        </w:tc>
        <w:tc>
          <w:tcPr>
            <w:tcW w:w="4803" w:type="dxa"/>
          </w:tcPr>
          <w:p w14:paraId="4514C389" w14:textId="77777777" w:rsidR="00A203AA" w:rsidRDefault="00EE67DE" w:rsidP="005C630C">
            <w:pPr>
              <w:rPr>
                <w:rFonts w:eastAsia="Arial"/>
              </w:rPr>
            </w:pPr>
            <w:r w:rsidRPr="005C630C">
              <w:rPr>
                <w:rFonts w:eastAsia="Arial"/>
                <w:b/>
              </w:rPr>
              <w:t>Accept</w:t>
            </w:r>
            <w:r w:rsidRPr="005C630C">
              <w:rPr>
                <w:rFonts w:eastAsia="Arial"/>
              </w:rPr>
              <w:t xml:space="preserve">, subject to consultation with the States. </w:t>
            </w:r>
          </w:p>
          <w:p w14:paraId="489E40B3" w14:textId="77777777" w:rsidR="007F6037" w:rsidRPr="005C630C" w:rsidRDefault="00EE67DE" w:rsidP="005C630C">
            <w:pPr>
              <w:rPr>
                <w:rFonts w:eastAsia="Arial"/>
              </w:rPr>
            </w:pPr>
            <w:r w:rsidRPr="005C630C">
              <w:rPr>
                <w:rFonts w:eastAsia="Arial"/>
              </w:rPr>
              <w:t>The Government agrees there is merit in exploring</w:t>
            </w:r>
            <w:r w:rsidR="005C630C" w:rsidRPr="005C630C">
              <w:rPr>
                <w:rFonts w:eastAsia="Arial"/>
              </w:rPr>
              <w:t xml:space="preserve"> </w:t>
            </w:r>
            <w:r w:rsidRPr="005C630C">
              <w:rPr>
                <w:rFonts w:eastAsia="Arial"/>
              </w:rPr>
              <w:t>the use of more policy-neutral indicators. These indicators would simplify the HFE system and could reduce disincentives for States to pursue beneficial policy reforms.</w:t>
            </w:r>
          </w:p>
          <w:p w14:paraId="7A24FC60" w14:textId="77777777" w:rsidR="007F6037" w:rsidRPr="005C630C" w:rsidRDefault="00EE67DE" w:rsidP="005C630C">
            <w:pPr>
              <w:rPr>
                <w:rFonts w:eastAsia="Arial"/>
              </w:rPr>
            </w:pPr>
            <w:r w:rsidRPr="005C630C">
              <w:rPr>
                <w:rFonts w:eastAsia="Arial"/>
              </w:rPr>
              <w:t>The Government also agrees there is merit in raising the materiality thresholds within assessments, which would simplify the system and ensure that only the most important factors are considered in assessing State’s relative fiscal capacities.</w:t>
            </w:r>
          </w:p>
          <w:p w14:paraId="77F2D78C" w14:textId="77777777" w:rsidR="007F6037" w:rsidRPr="005C630C" w:rsidRDefault="00EE67DE" w:rsidP="005C630C">
            <w:pPr>
              <w:rPr>
                <w:rFonts w:eastAsia="Arial"/>
              </w:rPr>
            </w:pPr>
            <w:r w:rsidRPr="005C630C">
              <w:rPr>
                <w:rFonts w:eastAsia="Arial"/>
              </w:rPr>
              <w:t>The Government notes that the CGC is currently undertaking a major methodology review, which could provide an ideal opportunity to thoroughly explore these issues.</w:t>
            </w:r>
          </w:p>
        </w:tc>
      </w:tr>
      <w:tr w:rsidR="007F6037" w:rsidRPr="005C630C" w14:paraId="18E5DF41" w14:textId="77777777" w:rsidTr="0008082E">
        <w:trPr>
          <w:cantSplit/>
          <w:trHeight w:val="113"/>
        </w:trPr>
        <w:tc>
          <w:tcPr>
            <w:tcW w:w="4802" w:type="dxa"/>
          </w:tcPr>
          <w:p w14:paraId="5FA505DA" w14:textId="77777777" w:rsidR="007F6037" w:rsidRPr="005C630C" w:rsidRDefault="00EE67DE" w:rsidP="00A94951">
            <w:pPr>
              <w:rPr>
                <w:rFonts w:eastAsia="Arial"/>
              </w:rPr>
            </w:pPr>
            <w:r w:rsidRPr="005C630C">
              <w:rPr>
                <w:rFonts w:eastAsia="Arial"/>
                <w:b/>
              </w:rPr>
              <w:t>Recommendation 8.1:</w:t>
            </w:r>
            <w:r w:rsidRPr="005C630C">
              <w:rPr>
                <w:rFonts w:eastAsia="Arial"/>
              </w:rPr>
              <w:t xml:space="preserve"> The Commonwealth Government should transition Australia’s system of HFE towards equalisation to the average (pre</w:t>
            </w:r>
            <w:r w:rsidR="00A94951">
              <w:rPr>
                <w:rFonts w:eastAsia="Arial"/>
              </w:rPr>
              <w:noBreakHyphen/>
            </w:r>
            <w:r w:rsidRPr="005C630C">
              <w:rPr>
                <w:rFonts w:eastAsia="Arial"/>
              </w:rPr>
              <w:t>GST) fiscal capacity of all States, with the remaining GST revenue distributed on a per capita basis.</w:t>
            </w:r>
          </w:p>
        </w:tc>
        <w:tc>
          <w:tcPr>
            <w:tcW w:w="4803" w:type="dxa"/>
          </w:tcPr>
          <w:p w14:paraId="58DE7115" w14:textId="77777777" w:rsidR="007F6037" w:rsidRPr="005C630C" w:rsidRDefault="00EE67DE" w:rsidP="005C630C">
            <w:pPr>
              <w:rPr>
                <w:rFonts w:eastAsia="Arial"/>
              </w:rPr>
            </w:pPr>
            <w:r w:rsidRPr="005C630C">
              <w:rPr>
                <w:rFonts w:eastAsia="Arial"/>
                <w:b/>
              </w:rPr>
              <w:t>Support instead adopting an alternative benchmark that would ensure the fiscal capacity of all States is at least the equal of NSW or Victoria (whichever is higher),</w:t>
            </w:r>
            <w:r w:rsidRPr="005C630C">
              <w:rPr>
                <w:rFonts w:eastAsia="Arial"/>
              </w:rPr>
              <w:t xml:space="preserve"> subject to consultation with the States.</w:t>
            </w:r>
          </w:p>
          <w:p w14:paraId="68A51A41" w14:textId="77777777" w:rsidR="007F6037" w:rsidRPr="005C630C" w:rsidRDefault="00EE67DE" w:rsidP="005C630C">
            <w:pPr>
              <w:rPr>
                <w:rFonts w:eastAsia="Arial"/>
              </w:rPr>
            </w:pPr>
            <w:r w:rsidRPr="005C630C">
              <w:rPr>
                <w:rFonts w:eastAsia="Arial"/>
              </w:rPr>
              <w:t>The Government agrees that the HFE system should strive for reasonable equalisation, but we do not consider that the ETA benchmar</w:t>
            </w:r>
            <w:r w:rsidR="005C630C" w:rsidRPr="005C630C">
              <w:rPr>
                <w:rFonts w:eastAsia="Arial"/>
              </w:rPr>
              <w:t>k</w:t>
            </w:r>
            <w:r w:rsidRPr="005C630C">
              <w:rPr>
                <w:rFonts w:eastAsia="Arial"/>
              </w:rPr>
              <w:t xml:space="preserve"> is in the national interest.</w:t>
            </w:r>
          </w:p>
          <w:p w14:paraId="20ED1179" w14:textId="77777777" w:rsidR="007F6037" w:rsidRPr="005C630C" w:rsidRDefault="00EE67DE" w:rsidP="005C630C">
            <w:pPr>
              <w:rPr>
                <w:rFonts w:eastAsia="Arial"/>
              </w:rPr>
            </w:pPr>
            <w:r w:rsidRPr="005C630C">
              <w:rPr>
                <w:rFonts w:eastAsia="Arial"/>
              </w:rPr>
              <w:t>ETA, even with an extended transition, would result in very significant redistributions of the GST away from the fiscally weakest States, compromising the principle of HFE and the ability of States to provide essential services to their citizens.</w:t>
            </w:r>
          </w:p>
          <w:p w14:paraId="41C40AFA" w14:textId="77777777" w:rsidR="007F6037" w:rsidRPr="005C630C" w:rsidRDefault="00EE67DE" w:rsidP="005C630C">
            <w:pPr>
              <w:rPr>
                <w:rFonts w:eastAsia="Arial"/>
              </w:rPr>
            </w:pPr>
            <w:r w:rsidRPr="005C630C">
              <w:rPr>
                <w:rFonts w:eastAsia="Arial"/>
              </w:rPr>
              <w:t>The Government’ preferred approach is to equalise to the stronger of the two largest States (NSW or Victoria). The Government will consult on this new benchmark with the States. Any new benchmark adopted should improve the system’s ability to</w:t>
            </w:r>
            <w:r w:rsidR="005C630C" w:rsidRPr="005C630C">
              <w:rPr>
                <w:rFonts w:eastAsia="Arial"/>
              </w:rPr>
              <w:t xml:space="preserve"> </w:t>
            </w:r>
            <w:r w:rsidRPr="005C630C">
              <w:rPr>
                <w:rFonts w:eastAsia="Arial"/>
              </w:rPr>
              <w:t>deal with external shocks, and provide the States with greater certainty and predictability in their year-on-year GST payments.</w:t>
            </w:r>
          </w:p>
        </w:tc>
      </w:tr>
      <w:tr w:rsidR="007F6037" w:rsidRPr="005C630C" w14:paraId="6C838CF8" w14:textId="77777777" w:rsidTr="0008082E">
        <w:trPr>
          <w:cnfStyle w:val="000000100000" w:firstRow="0" w:lastRow="0" w:firstColumn="0" w:lastColumn="0" w:oddVBand="0" w:evenVBand="0" w:oddHBand="1" w:evenHBand="0" w:firstRowFirstColumn="0" w:firstRowLastColumn="0" w:lastRowFirstColumn="0" w:lastRowLastColumn="0"/>
          <w:cantSplit/>
          <w:trHeight w:val="113"/>
        </w:trPr>
        <w:tc>
          <w:tcPr>
            <w:tcW w:w="4802" w:type="dxa"/>
          </w:tcPr>
          <w:p w14:paraId="45B29090" w14:textId="77777777" w:rsidR="007F6037" w:rsidRPr="005C630C" w:rsidRDefault="00EE67DE" w:rsidP="005C630C">
            <w:pPr>
              <w:rPr>
                <w:rFonts w:eastAsia="Arial"/>
              </w:rPr>
            </w:pPr>
            <w:r w:rsidRPr="005C630C">
              <w:rPr>
                <w:rFonts w:eastAsia="Arial"/>
                <w:b/>
              </w:rPr>
              <w:lastRenderedPageBreak/>
              <w:t>Recommendation 9.1:</w:t>
            </w:r>
            <w:r w:rsidRPr="005C630C">
              <w:rPr>
                <w:rFonts w:eastAsia="Arial"/>
              </w:rPr>
              <w:t xml:space="preserve"> Improvements to the HFE</w:t>
            </w:r>
            <w:r w:rsidR="005C630C">
              <w:rPr>
                <w:rFonts w:eastAsia="Arial"/>
              </w:rPr>
              <w:t xml:space="preserve"> </w:t>
            </w:r>
            <w:r w:rsidRPr="005C630C">
              <w:rPr>
                <w:rFonts w:eastAsia="Arial"/>
              </w:rPr>
              <w:t>system can only go so far.</w:t>
            </w:r>
          </w:p>
          <w:p w14:paraId="6E60B6E2" w14:textId="77777777" w:rsidR="007F6037" w:rsidRPr="005C630C" w:rsidRDefault="00EE67DE" w:rsidP="005C630C">
            <w:pPr>
              <w:rPr>
                <w:rFonts w:eastAsia="Arial"/>
              </w:rPr>
            </w:pPr>
            <w:r w:rsidRPr="005C630C">
              <w:rPr>
                <w:rFonts w:eastAsia="Arial"/>
              </w:rPr>
              <w:t>The Commonwealth and State Governments, through the Council on Federal Financial Relations and recently formed Board of Treasurers, should work towards meaningful reform to federal financial relations.</w:t>
            </w:r>
          </w:p>
          <w:p w14:paraId="0F54DC63" w14:textId="77777777" w:rsidR="007F6037" w:rsidRPr="005C630C" w:rsidRDefault="00EE67DE" w:rsidP="005C630C">
            <w:pPr>
              <w:rPr>
                <w:rFonts w:eastAsia="Arial"/>
              </w:rPr>
            </w:pPr>
            <w:r w:rsidRPr="005C630C">
              <w:rPr>
                <w:rFonts w:eastAsia="Arial"/>
              </w:rPr>
              <w:t>In the first instance, the process should:</w:t>
            </w:r>
          </w:p>
          <w:p w14:paraId="4597852D" w14:textId="77777777" w:rsidR="007F6037" w:rsidRPr="005C630C" w:rsidRDefault="00EE67DE" w:rsidP="005C630C">
            <w:pPr>
              <w:pStyle w:val="Bullet"/>
              <w:rPr>
                <w:rFonts w:eastAsia="Arial"/>
              </w:rPr>
            </w:pPr>
            <w:r w:rsidRPr="005C630C">
              <w:rPr>
                <w:rFonts w:eastAsia="Arial"/>
              </w:rPr>
              <w:t>assess how Commonwealth payments to the</w:t>
            </w:r>
            <w:r w:rsidR="005C630C" w:rsidRPr="005C630C">
              <w:rPr>
                <w:rFonts w:eastAsia="Arial"/>
              </w:rPr>
              <w:t xml:space="preserve"> </w:t>
            </w:r>
            <w:r w:rsidRPr="005C630C">
              <w:rPr>
                <w:rFonts w:eastAsia="Arial"/>
              </w:rPr>
              <w:t>States — both general revenue assistance</w:t>
            </w:r>
            <w:r w:rsidR="005C630C" w:rsidRPr="005C630C">
              <w:rPr>
                <w:rFonts w:eastAsia="Arial"/>
              </w:rPr>
              <w:t xml:space="preserve"> </w:t>
            </w:r>
            <w:r w:rsidRPr="005C630C">
              <w:rPr>
                <w:rFonts w:eastAsia="Arial"/>
              </w:rPr>
              <w:t>and payments for specific purpose — interact with each other, given the significant reforms to payments for specific purposes that have occurred in recent years</w:t>
            </w:r>
          </w:p>
          <w:p w14:paraId="60DCE690" w14:textId="77777777" w:rsidR="007F6037" w:rsidRPr="005C630C" w:rsidRDefault="00EE67DE" w:rsidP="005C630C">
            <w:pPr>
              <w:pStyle w:val="Bullet"/>
              <w:rPr>
                <w:rFonts w:eastAsia="Arial"/>
              </w:rPr>
            </w:pPr>
            <w:proofErr w:type="gramStart"/>
            <w:r w:rsidRPr="005C630C">
              <w:rPr>
                <w:rFonts w:eastAsia="Arial"/>
              </w:rPr>
              <w:t>develop</w:t>
            </w:r>
            <w:proofErr w:type="gramEnd"/>
            <w:r w:rsidRPr="005C630C">
              <w:rPr>
                <w:rFonts w:eastAsia="Arial"/>
              </w:rPr>
              <w:t xml:space="preserve"> a better-delineated division of responsibilities between the States and the Commonwealth and establish clear lines and forms of accountability. Policies to address Indigenous disadvantage should be a priority.</w:t>
            </w:r>
          </w:p>
          <w:p w14:paraId="15860CA3" w14:textId="77777777" w:rsidR="007F6037" w:rsidRPr="005C630C" w:rsidRDefault="00EE67DE" w:rsidP="005C630C">
            <w:pPr>
              <w:rPr>
                <w:rFonts w:eastAsia="Arial"/>
              </w:rPr>
            </w:pPr>
            <w:r w:rsidRPr="005C630C">
              <w:rPr>
                <w:rFonts w:eastAsia="Arial"/>
              </w:rPr>
              <w:t>Following this, options to address the vertical fiscal imbalance should be considered and advanced.</w:t>
            </w:r>
          </w:p>
        </w:tc>
        <w:tc>
          <w:tcPr>
            <w:tcW w:w="4803" w:type="dxa"/>
          </w:tcPr>
          <w:p w14:paraId="529F9963" w14:textId="77777777" w:rsidR="007F6037" w:rsidRPr="005C630C" w:rsidRDefault="00EE67DE" w:rsidP="005C630C">
            <w:pPr>
              <w:rPr>
                <w:rFonts w:eastAsia="Arial"/>
              </w:rPr>
            </w:pPr>
            <w:r w:rsidRPr="005C630C">
              <w:rPr>
                <w:rFonts w:eastAsia="Arial"/>
                <w:b/>
              </w:rPr>
              <w:t>Accept in-principle</w:t>
            </w:r>
            <w:r w:rsidRPr="005C630C">
              <w:rPr>
                <w:rFonts w:eastAsia="Arial"/>
              </w:rPr>
              <w:t>, subject to consultation with the States.</w:t>
            </w:r>
          </w:p>
          <w:p w14:paraId="4FCC5271" w14:textId="77777777" w:rsidR="007F6037" w:rsidRPr="005C630C" w:rsidRDefault="00EE67DE" w:rsidP="005C630C">
            <w:pPr>
              <w:rPr>
                <w:rFonts w:eastAsia="Arial"/>
              </w:rPr>
            </w:pPr>
            <w:r w:rsidRPr="005C630C">
              <w:rPr>
                <w:rFonts w:eastAsia="Arial"/>
              </w:rPr>
              <w:t>Commonwealth-State relations are fundamental</w:t>
            </w:r>
            <w:r w:rsidR="005C630C" w:rsidRPr="005C630C">
              <w:rPr>
                <w:rFonts w:eastAsia="Arial"/>
              </w:rPr>
              <w:t xml:space="preserve"> </w:t>
            </w:r>
            <w:r w:rsidRPr="005C630C">
              <w:rPr>
                <w:rFonts w:eastAsia="Arial"/>
              </w:rPr>
              <w:t>to the smooth operation of our country. To ensure this relationship continues to remain effective, we should constantly review and refine it.</w:t>
            </w:r>
          </w:p>
        </w:tc>
      </w:tr>
    </w:tbl>
    <w:p w14:paraId="0DC3F0B8" w14:textId="77777777" w:rsidR="007F6037" w:rsidRPr="005C630C" w:rsidRDefault="00EE67DE" w:rsidP="005C630C">
      <w:pPr>
        <w:pStyle w:val="Heading2"/>
        <w:rPr>
          <w:rFonts w:eastAsia="Arial"/>
        </w:rPr>
      </w:pPr>
      <w:r w:rsidRPr="005C630C">
        <w:rPr>
          <w:rFonts w:eastAsia="Arial"/>
        </w:rPr>
        <w:t>GST Distribution Review Final Report, October 2012: Recommendation</w:t>
      </w:r>
    </w:p>
    <w:tbl>
      <w:tblPr>
        <w:tblStyle w:val="TableGrid"/>
        <w:tblW w:w="9606" w:type="dxa"/>
        <w:tblBorders>
          <w:top w:val="single" w:sz="4" w:space="0" w:color="1F497D" w:themeColor="text2"/>
          <w:bottom w:val="single" w:sz="4" w:space="0" w:color="1F497D" w:themeColor="text2"/>
        </w:tblBorders>
        <w:tblLook w:val="04A0" w:firstRow="1" w:lastRow="0" w:firstColumn="1" w:lastColumn="0" w:noHBand="0" w:noVBand="1"/>
      </w:tblPr>
      <w:tblGrid>
        <w:gridCol w:w="4803"/>
        <w:gridCol w:w="4803"/>
      </w:tblGrid>
      <w:tr w:rsidR="005C630C" w:rsidRPr="005C630C" w14:paraId="59C00CC0" w14:textId="77777777" w:rsidTr="0008082E">
        <w:tc>
          <w:tcPr>
            <w:tcW w:w="4803" w:type="dxa"/>
          </w:tcPr>
          <w:p w14:paraId="30F6889A" w14:textId="77777777" w:rsidR="005C630C" w:rsidRPr="005C630C" w:rsidRDefault="005C630C" w:rsidP="0008082E">
            <w:pPr>
              <w:jc w:val="left"/>
              <w:rPr>
                <w:rFonts w:eastAsia="Arial"/>
              </w:rPr>
            </w:pPr>
            <w:r w:rsidRPr="005C630C">
              <w:rPr>
                <w:rFonts w:eastAsia="Arial"/>
                <w:b/>
              </w:rPr>
              <w:t>Recommendation 3.2 on rounding relativities:</w:t>
            </w:r>
            <w:r w:rsidRPr="005C630C">
              <w:rPr>
                <w:rFonts w:eastAsia="Arial"/>
              </w:rPr>
              <w:t xml:space="preserve"> To ensure the system does not appear to be falsely precise, the Panel</w:t>
            </w:r>
            <w:r>
              <w:rPr>
                <w:rFonts w:eastAsia="Arial"/>
              </w:rPr>
              <w:t xml:space="preserve"> </w:t>
            </w:r>
            <w:r w:rsidRPr="005C630C">
              <w:rPr>
                <w:rFonts w:eastAsia="Arial"/>
              </w:rPr>
              <w:t>recommends that relativities produced from the CGC’s process be rounded to two decimal places in the annual Updates and Reviews.</w:t>
            </w:r>
          </w:p>
        </w:tc>
        <w:tc>
          <w:tcPr>
            <w:tcW w:w="4803" w:type="dxa"/>
          </w:tcPr>
          <w:p w14:paraId="7CE359E7" w14:textId="77777777" w:rsidR="005C630C" w:rsidRPr="005C630C" w:rsidRDefault="005C630C" w:rsidP="0008082E">
            <w:pPr>
              <w:jc w:val="left"/>
              <w:rPr>
                <w:rFonts w:eastAsia="Arial"/>
              </w:rPr>
            </w:pPr>
            <w:r w:rsidRPr="005C630C">
              <w:rPr>
                <w:rFonts w:eastAsia="Arial"/>
                <w:b/>
              </w:rPr>
              <w:t>Accept</w:t>
            </w:r>
            <w:r w:rsidRPr="005C630C">
              <w:rPr>
                <w:rFonts w:eastAsia="Arial"/>
              </w:rPr>
              <w:t>, subject to consultation with the States.</w:t>
            </w:r>
          </w:p>
          <w:p w14:paraId="38FCEA94" w14:textId="77777777" w:rsidR="005C630C" w:rsidRPr="005C630C" w:rsidRDefault="005C630C" w:rsidP="0008082E">
            <w:pPr>
              <w:jc w:val="left"/>
              <w:rPr>
                <w:rFonts w:eastAsia="Arial"/>
              </w:rPr>
            </w:pPr>
            <w:r w:rsidRPr="005C630C">
              <w:rPr>
                <w:rFonts w:eastAsia="Arial"/>
              </w:rPr>
              <w:t>In addition to the PC’s Recommendations, the Government agrees that implementing this additional recommendation from the 2012 GST Distribution Review would further address false precision in the system.</w:t>
            </w:r>
          </w:p>
        </w:tc>
      </w:tr>
    </w:tbl>
    <w:p w14:paraId="37B60B8D" w14:textId="77777777" w:rsidR="005C630C" w:rsidRDefault="005C630C">
      <w:pPr>
        <w:spacing w:before="33" w:after="0"/>
        <w:ind w:right="-20"/>
        <w:rPr>
          <w:rFonts w:ascii="Arial" w:eastAsia="Arial" w:hAnsi="Arial" w:cs="Arial"/>
          <w:b/>
          <w:bCs/>
          <w:color w:val="231F20"/>
          <w:spacing w:val="2"/>
          <w:sz w:val="20"/>
        </w:rPr>
      </w:pPr>
    </w:p>
    <w:p w14:paraId="5DE5E5FB" w14:textId="77777777" w:rsidR="007F6037" w:rsidRDefault="007F6037">
      <w:pPr>
        <w:spacing w:after="0"/>
        <w:sectPr w:rsidR="007F6037" w:rsidSect="00833DBC">
          <w:type w:val="continuous"/>
          <w:pgSz w:w="11920" w:h="16840"/>
          <w:pgMar w:top="1134" w:right="1418" w:bottom="1418" w:left="1134" w:header="709" w:footer="709" w:gutter="0"/>
          <w:cols w:space="720"/>
          <w:docGrid w:linePitch="299"/>
        </w:sectPr>
      </w:pPr>
    </w:p>
    <w:p w14:paraId="57B4AC24" w14:textId="77777777" w:rsidR="007F6037" w:rsidRPr="005C630C" w:rsidRDefault="00EE67DE" w:rsidP="005C630C">
      <w:pPr>
        <w:pStyle w:val="Heading2"/>
        <w:rPr>
          <w:rFonts w:eastAsia="Arial"/>
        </w:rPr>
      </w:pPr>
      <w:r w:rsidRPr="005C630C">
        <w:rPr>
          <w:rFonts w:eastAsia="Arial"/>
        </w:rPr>
        <w:lastRenderedPageBreak/>
        <w:t>Productivity Commission’s Final Report: Findings</w:t>
      </w:r>
    </w:p>
    <w:p w14:paraId="493CD8BD" w14:textId="77777777" w:rsidR="007F6037" w:rsidRDefault="00EE67DE" w:rsidP="005C630C">
      <w:pPr>
        <w:pStyle w:val="Introductoryparagraph"/>
      </w:pPr>
      <w:r w:rsidRPr="005C630C">
        <w:t>The Government broadly accepts all the Productivity</w:t>
      </w:r>
      <w:r w:rsidR="005C630C" w:rsidRPr="005C630C">
        <w:t xml:space="preserve"> </w:t>
      </w:r>
      <w:r w:rsidRPr="005C630C">
        <w:t>Commission’s findings.</w:t>
      </w:r>
    </w:p>
    <w:tbl>
      <w:tblPr>
        <w:tblStyle w:val="Style1"/>
        <w:tblW w:w="9605" w:type="dxa"/>
        <w:tblBorders>
          <w:top w:val="single" w:sz="4" w:space="0" w:color="1F497D" w:themeColor="text2"/>
          <w:bottom w:val="single" w:sz="4" w:space="0" w:color="1F497D" w:themeColor="text2"/>
          <w:insideV w:val="single" w:sz="4" w:space="0" w:color="1F497D" w:themeColor="text2"/>
        </w:tblBorders>
        <w:tblLook w:val="0480" w:firstRow="0" w:lastRow="0" w:firstColumn="1" w:lastColumn="0" w:noHBand="0" w:noVBand="1"/>
      </w:tblPr>
      <w:tblGrid>
        <w:gridCol w:w="9605"/>
      </w:tblGrid>
      <w:tr w:rsidR="005C630C" w:rsidRPr="0000557A" w14:paraId="2A506EDF"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3E53A792" w14:textId="77777777" w:rsidR="005C630C" w:rsidRPr="0000557A" w:rsidRDefault="005C630C" w:rsidP="0000557A">
            <w:pPr>
              <w:rPr>
                <w:rFonts w:eastAsia="Arial"/>
              </w:rPr>
            </w:pPr>
            <w:r w:rsidRPr="0000557A">
              <w:rPr>
                <w:rFonts w:eastAsia="Arial"/>
                <w:b/>
              </w:rPr>
              <w:t>Finding 2.1:</w:t>
            </w:r>
            <w:r w:rsidRPr="0000557A">
              <w:rPr>
                <w:rFonts w:eastAsia="Arial"/>
              </w:rPr>
              <w:t xml:space="preserve"> Australia achieves a high degree of horizontal fiscal equalisation and to a much greater extent than other countries. It is the only OECD country with a federal government that seeks to fully eliminate disparities in fiscal capacity between sub-national governments.</w:t>
            </w:r>
          </w:p>
        </w:tc>
      </w:tr>
      <w:tr w:rsidR="005C630C" w:rsidRPr="0000557A" w14:paraId="030C4A6B" w14:textId="77777777" w:rsidTr="0008082E">
        <w:trPr>
          <w:cantSplit/>
        </w:trPr>
        <w:tc>
          <w:tcPr>
            <w:tcW w:w="9605" w:type="dxa"/>
          </w:tcPr>
          <w:p w14:paraId="6ABA2AE4" w14:textId="77777777" w:rsidR="005C630C" w:rsidRPr="0000557A" w:rsidRDefault="005C630C" w:rsidP="0000557A">
            <w:pPr>
              <w:rPr>
                <w:rFonts w:eastAsia="Roboto Slab"/>
              </w:rPr>
            </w:pPr>
            <w:r w:rsidRPr="0000557A">
              <w:rPr>
                <w:rFonts w:eastAsia="Arial"/>
                <w:b/>
              </w:rPr>
              <w:t>Finding 3.1:</w:t>
            </w:r>
            <w:r w:rsidRPr="0000557A">
              <w:rPr>
                <w:rFonts w:eastAsia="Arial"/>
              </w:rPr>
              <w:t xml:space="preserve"> Most State tax reforms would have limited impacts on the GST distribution. However, there are circumstances where the GST effects can be material — such as for a State undertaking large scale tax reform — and act as a significant disincentive for States to implement efficient tax policy. These disincentives are likely to be exacerbated where the State is a first mover on reform or where there is uncertainty about how significant tax changes will be assessed by the CGC.</w:t>
            </w:r>
          </w:p>
        </w:tc>
      </w:tr>
      <w:tr w:rsidR="005C630C" w:rsidRPr="0000557A" w14:paraId="64F9F6AB"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098F9955" w14:textId="77777777" w:rsidR="005C630C" w:rsidRPr="0000557A" w:rsidRDefault="005C630C" w:rsidP="00A94951">
            <w:pPr>
              <w:rPr>
                <w:rFonts w:eastAsia="Roboto Slab"/>
              </w:rPr>
            </w:pPr>
            <w:r w:rsidRPr="0000557A">
              <w:rPr>
                <w:rFonts w:eastAsia="Arial"/>
                <w:b/>
              </w:rPr>
              <w:t>Finding 3.2:</w:t>
            </w:r>
            <w:r w:rsidRPr="0000557A">
              <w:rPr>
                <w:rFonts w:eastAsia="Arial"/>
              </w:rPr>
              <w:t xml:space="preserve"> Changes in State service delivery policies can impact on GST payments, but the impacts </w:t>
            </w:r>
            <w:r w:rsidR="00A94951">
              <w:rPr>
                <w:rFonts w:eastAsia="Arial"/>
              </w:rPr>
              <w:br w:type="textWrapping" w:clear="all"/>
            </w:r>
            <w:r w:rsidRPr="0000557A">
              <w:rPr>
                <w:rFonts w:eastAsia="Arial"/>
              </w:rPr>
              <w:t xml:space="preserve">are mostly trivial. HFE is unlikely to directly discourage — nor encourage — States from improving the efficiency of service delivery or addressing their structural disadvantages, given the broader and more significant benefits of doing so to the community. Accountability for policy outcomes — which is </w:t>
            </w:r>
            <w:r w:rsidR="00A94951">
              <w:rPr>
                <w:rFonts w:eastAsia="Arial"/>
              </w:rPr>
              <w:br w:type="textWrapping" w:clear="all"/>
            </w:r>
            <w:r w:rsidRPr="0000557A">
              <w:rPr>
                <w:rFonts w:eastAsia="Arial"/>
              </w:rPr>
              <w:t>lacking — is a much greater driver of expenditure choices.</w:t>
            </w:r>
          </w:p>
        </w:tc>
      </w:tr>
      <w:tr w:rsidR="005C630C" w:rsidRPr="0000557A" w14:paraId="7B7921E1" w14:textId="77777777" w:rsidTr="0008082E">
        <w:trPr>
          <w:cantSplit/>
        </w:trPr>
        <w:tc>
          <w:tcPr>
            <w:tcW w:w="9605" w:type="dxa"/>
          </w:tcPr>
          <w:p w14:paraId="6478F612" w14:textId="77777777" w:rsidR="005C630C" w:rsidRPr="0000557A" w:rsidRDefault="005C630C" w:rsidP="0000557A">
            <w:pPr>
              <w:rPr>
                <w:rFonts w:eastAsia="Arial"/>
              </w:rPr>
            </w:pPr>
            <w:r w:rsidRPr="0000557A">
              <w:rPr>
                <w:rFonts w:eastAsia="Arial"/>
                <w:b/>
              </w:rPr>
              <w:t>Finding 3.3:</w:t>
            </w:r>
            <w:r w:rsidRPr="0000557A">
              <w:rPr>
                <w:rFonts w:eastAsia="Arial"/>
              </w:rPr>
              <w:t xml:space="preserve"> The potential for HFE to distort State policy is </w:t>
            </w:r>
            <w:proofErr w:type="gramStart"/>
            <w:r w:rsidRPr="0000557A">
              <w:rPr>
                <w:rFonts w:eastAsia="Arial"/>
              </w:rPr>
              <w:t>pronounced  for</w:t>
            </w:r>
            <w:proofErr w:type="gramEnd"/>
            <w:r w:rsidRPr="0000557A">
              <w:rPr>
                <w:rFonts w:eastAsia="Arial"/>
              </w:rPr>
              <w:t xml:space="preserve"> mineral and energy resources. While there is limited direct evidence that GST effects have influenced specific policy decisions, the incentive effects for some States are palpable and have the potential to undermine State policy neutrality.</w:t>
            </w:r>
          </w:p>
          <w:p w14:paraId="0F84FA0B" w14:textId="77777777" w:rsidR="005C630C" w:rsidRPr="0000557A" w:rsidRDefault="005C630C" w:rsidP="0000557A">
            <w:pPr>
              <w:rPr>
                <w:rFonts w:eastAsia="Roboto Slab"/>
              </w:rPr>
            </w:pPr>
            <w:r w:rsidRPr="0000557A">
              <w:rPr>
                <w:rFonts w:eastAsia="Arial"/>
              </w:rPr>
              <w:t>However, making adjustments to the HFE system specifically to add incentives (rather than remove disincentives) for desirable resource exploration policies, or to singularly remedy disincentives for mining taxation, would not advance policy neutrality, would be a source of additional complexity, and come at the expense of fiscal equality.</w:t>
            </w:r>
          </w:p>
        </w:tc>
      </w:tr>
      <w:tr w:rsidR="005C630C" w:rsidRPr="0000557A" w14:paraId="28C3D37F"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7115A32E" w14:textId="77777777" w:rsidR="005C630C" w:rsidRPr="0000557A" w:rsidRDefault="005C630C" w:rsidP="0000557A">
            <w:pPr>
              <w:rPr>
                <w:rFonts w:eastAsia="Arial"/>
              </w:rPr>
            </w:pPr>
            <w:r w:rsidRPr="0000557A">
              <w:rPr>
                <w:rFonts w:eastAsia="Arial"/>
                <w:b/>
              </w:rPr>
              <w:t>Finding 4.1:</w:t>
            </w:r>
            <w:r w:rsidRPr="0000557A">
              <w:rPr>
                <w:rFonts w:eastAsia="Arial"/>
              </w:rPr>
              <w:t xml:space="preserve"> Features of Australia’s HFE system can exacerbate the fiscal impact of economic cycles when States experience large economic shocks. Such a situation recently occurred in Western Australia.</w:t>
            </w:r>
          </w:p>
          <w:p w14:paraId="662211DF" w14:textId="77777777" w:rsidR="005C630C" w:rsidRPr="0000557A" w:rsidRDefault="005C630C" w:rsidP="0000557A">
            <w:pPr>
              <w:rPr>
                <w:rFonts w:eastAsia="Arial"/>
              </w:rPr>
            </w:pPr>
            <w:r w:rsidRPr="0000557A">
              <w:rPr>
                <w:rFonts w:eastAsia="Arial"/>
              </w:rPr>
              <w:t>However, offsetting cyclical influences on State budgets is not the primary objective of HFE, and options to improve contemporaneity do not offer unequivocal improvements.</w:t>
            </w:r>
          </w:p>
          <w:p w14:paraId="44148316" w14:textId="77777777" w:rsidR="005C630C" w:rsidRPr="0000557A" w:rsidRDefault="005C630C" w:rsidP="0000557A">
            <w:pPr>
              <w:pStyle w:val="Bullet"/>
              <w:rPr>
                <w:rFonts w:eastAsia="Arial"/>
              </w:rPr>
            </w:pPr>
            <w:r w:rsidRPr="0000557A">
              <w:rPr>
                <w:rFonts w:eastAsia="Arial"/>
              </w:rPr>
              <w:t>Reducing the length of the assessment period would have mixed impacts across States, and may ultimately have little effect on State budget fluctuations.</w:t>
            </w:r>
          </w:p>
          <w:p w14:paraId="61F5AC1F" w14:textId="77777777" w:rsidR="005C630C" w:rsidRPr="0000557A" w:rsidRDefault="005C630C" w:rsidP="0000557A">
            <w:pPr>
              <w:pStyle w:val="Bullet"/>
              <w:rPr>
                <w:rFonts w:eastAsia="Arial"/>
              </w:rPr>
            </w:pPr>
            <w:r w:rsidRPr="0000557A">
              <w:rPr>
                <w:rFonts w:eastAsia="Arial"/>
              </w:rPr>
              <w:t>The two-year data availability lag cannot be substantially reduced without introducing additional scope for volatility and dispute.</w:t>
            </w:r>
          </w:p>
          <w:p w14:paraId="28D905E4" w14:textId="77777777" w:rsidR="005C630C" w:rsidRPr="0000557A" w:rsidRDefault="005C630C" w:rsidP="0000557A">
            <w:pPr>
              <w:rPr>
                <w:rFonts w:eastAsia="Roboto Slab"/>
              </w:rPr>
            </w:pPr>
            <w:r w:rsidRPr="0000557A">
              <w:rPr>
                <w:rFonts w:eastAsia="Arial"/>
              </w:rPr>
              <w:t>The most effective response to a lack of contemporaneity lies with the States themselves, and with the necessity for State Treasuries to factor the assessment period and GST lag into their budget management processes (which most do).</w:t>
            </w:r>
          </w:p>
        </w:tc>
      </w:tr>
      <w:tr w:rsidR="005C630C" w:rsidRPr="0000557A" w14:paraId="2FF1904F" w14:textId="77777777" w:rsidTr="0008082E">
        <w:trPr>
          <w:cantSplit/>
        </w:trPr>
        <w:tc>
          <w:tcPr>
            <w:tcW w:w="9605" w:type="dxa"/>
          </w:tcPr>
          <w:p w14:paraId="7B95768A" w14:textId="77777777" w:rsidR="005C630C" w:rsidRPr="0000557A" w:rsidRDefault="005C630C" w:rsidP="0000557A">
            <w:pPr>
              <w:rPr>
                <w:rFonts w:eastAsia="Roboto Slab"/>
              </w:rPr>
            </w:pPr>
            <w:r w:rsidRPr="0000557A">
              <w:rPr>
                <w:rFonts w:eastAsia="Arial"/>
                <w:b/>
              </w:rPr>
              <w:t>Finding 4.2:</w:t>
            </w:r>
            <w:r w:rsidRPr="0000557A">
              <w:rPr>
                <w:rFonts w:eastAsia="Arial"/>
              </w:rPr>
              <w:t xml:space="preserve"> Volatile State revenues can contribute to uncertainty in budgeting processes. Compared with other sources of State Government revenue, GST payments are relatively stable and in some cases may offset volatility from other revenue sources.</w:t>
            </w:r>
          </w:p>
        </w:tc>
      </w:tr>
      <w:tr w:rsidR="005C630C" w:rsidRPr="0000557A" w14:paraId="05D5269B"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6139EA0F" w14:textId="77777777" w:rsidR="005C630C" w:rsidRPr="0000557A" w:rsidRDefault="005C630C" w:rsidP="0000557A">
            <w:pPr>
              <w:rPr>
                <w:rFonts w:eastAsia="Roboto Slab"/>
              </w:rPr>
            </w:pPr>
            <w:r w:rsidRPr="0000557A">
              <w:rPr>
                <w:rFonts w:eastAsia="Arial"/>
                <w:b/>
              </w:rPr>
              <w:t>Finding 5.1:</w:t>
            </w:r>
            <w:r w:rsidRPr="0000557A">
              <w:rPr>
                <w:rFonts w:eastAsia="Arial"/>
              </w:rPr>
              <w:t xml:space="preserve"> Taken together, the available evidence suggests that fiscal factors (including those related to HFE) are unlikely to play a major part in interstate migration decisions. Other factors, such as differences in work opportunities between States and personal reasons, are bigger drivers of interstate migration.</w:t>
            </w:r>
          </w:p>
        </w:tc>
      </w:tr>
      <w:tr w:rsidR="005C630C" w:rsidRPr="0000557A" w14:paraId="58A9E2A9" w14:textId="77777777" w:rsidTr="0008082E">
        <w:trPr>
          <w:cantSplit/>
        </w:trPr>
        <w:tc>
          <w:tcPr>
            <w:tcW w:w="9605" w:type="dxa"/>
          </w:tcPr>
          <w:p w14:paraId="5D36C406" w14:textId="77777777" w:rsidR="005C630C" w:rsidRPr="0000557A" w:rsidRDefault="005C630C" w:rsidP="0000557A">
            <w:pPr>
              <w:rPr>
                <w:rFonts w:eastAsia="Arial"/>
              </w:rPr>
            </w:pPr>
            <w:r w:rsidRPr="0000557A">
              <w:rPr>
                <w:rFonts w:eastAsia="Arial"/>
                <w:b/>
              </w:rPr>
              <w:lastRenderedPageBreak/>
              <w:t>Finding 6.1:</w:t>
            </w:r>
            <w:r w:rsidRPr="0000557A">
              <w:rPr>
                <w:rFonts w:eastAsia="Arial"/>
              </w:rPr>
              <w:t xml:space="preserve"> While Australia’s HFE system has a number of strengths, it also has several deficiencies. In particular, it can provide disincentives for desirable tax and resource development policies, and, to the extent that States do not reap much of the rewards of their own policy efforts, can detract from fairness.</w:t>
            </w:r>
          </w:p>
          <w:p w14:paraId="190B1178" w14:textId="77777777" w:rsidR="005C630C" w:rsidRPr="0000557A" w:rsidRDefault="005C630C" w:rsidP="0000557A">
            <w:pPr>
              <w:rPr>
                <w:rFonts w:eastAsia="Arial"/>
              </w:rPr>
            </w:pPr>
            <w:r w:rsidRPr="0000557A">
              <w:rPr>
                <w:rFonts w:eastAsia="Arial"/>
              </w:rPr>
              <w:t>Many of these concerns are due to the pursuit, above all else, of comprehensive equalisation of fiscal capacities. It is likely that opportunities are being missed to more fairly reward States for their policy efforts, and to improve efficiency and enhance the wellbeing of the Australian community over time.</w:t>
            </w:r>
          </w:p>
        </w:tc>
      </w:tr>
      <w:tr w:rsidR="005C630C" w:rsidRPr="0000557A" w14:paraId="4E4E0762"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086964D5" w14:textId="77777777" w:rsidR="005C630C" w:rsidRPr="0000557A" w:rsidRDefault="003B134A" w:rsidP="0000557A">
            <w:pPr>
              <w:rPr>
                <w:rFonts w:eastAsia="Arial"/>
              </w:rPr>
            </w:pPr>
            <w:r w:rsidRPr="0000557A">
              <w:rPr>
                <w:rFonts w:eastAsia="Arial"/>
                <w:b/>
              </w:rPr>
              <w:t>Finding 7.1:</w:t>
            </w:r>
            <w:r w:rsidRPr="0000557A">
              <w:rPr>
                <w:rFonts w:eastAsia="Arial"/>
              </w:rPr>
              <w:t xml:space="preserve"> The use of externally defined benchmark costs in the HFE system to assess State expenditure on service delivery would encourage greater efficiency, but faces daunting practical difficulties and a high degree of scope for dispute.</w:t>
            </w:r>
          </w:p>
        </w:tc>
      </w:tr>
      <w:tr w:rsidR="005C630C" w:rsidRPr="0000557A" w14:paraId="5D163FDD" w14:textId="77777777" w:rsidTr="0008082E">
        <w:trPr>
          <w:cantSplit/>
        </w:trPr>
        <w:tc>
          <w:tcPr>
            <w:tcW w:w="9605" w:type="dxa"/>
          </w:tcPr>
          <w:p w14:paraId="227E29CC" w14:textId="77777777" w:rsidR="005C630C" w:rsidRPr="0000557A" w:rsidRDefault="003B134A" w:rsidP="0000557A">
            <w:pPr>
              <w:rPr>
                <w:rFonts w:eastAsia="Arial"/>
              </w:rPr>
            </w:pPr>
            <w:r w:rsidRPr="0000557A">
              <w:rPr>
                <w:rFonts w:eastAsia="Arial"/>
                <w:b/>
              </w:rPr>
              <w:t>Finding 7.2:</w:t>
            </w:r>
            <w:r w:rsidRPr="0000557A">
              <w:rPr>
                <w:rFonts w:eastAsia="Arial"/>
              </w:rPr>
              <w:t xml:space="preserve"> Using a single broad indicator to assess States’ fiscal capacities offers considerable potential to improve policy neutrality and simplify the HFE system. However, a single indicator that accurately reflects the underlying revenue-raising capacities and expenditure needs of each State remains elusive and arguably does not exist.</w:t>
            </w:r>
          </w:p>
        </w:tc>
      </w:tr>
      <w:tr w:rsidR="005C630C" w:rsidRPr="0000557A" w14:paraId="432C3A1E"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399CE970" w14:textId="77777777" w:rsidR="003B134A" w:rsidRPr="0000557A" w:rsidRDefault="003B134A" w:rsidP="0000557A">
            <w:pPr>
              <w:rPr>
                <w:rFonts w:eastAsia="Arial"/>
              </w:rPr>
            </w:pPr>
            <w:r w:rsidRPr="0000557A">
              <w:rPr>
                <w:rFonts w:eastAsia="Arial"/>
                <w:b/>
              </w:rPr>
              <w:t>Finding 7.3:</w:t>
            </w:r>
            <w:r w:rsidRPr="0000557A">
              <w:rPr>
                <w:rFonts w:eastAsia="Arial"/>
              </w:rPr>
              <w:t xml:space="preserve"> The use of more policy-neutral revenue and expenditure indicators, along with significantly higher materiality thresholds, offers considerable scope to secure greater efficiency and simplify the HFE system (and therefore improve transparency and accountability), while also achieving a high degree of fiscal equality in overall State fiscal capacities.</w:t>
            </w:r>
          </w:p>
          <w:p w14:paraId="53B43398" w14:textId="77777777" w:rsidR="005C630C" w:rsidRPr="0000557A" w:rsidRDefault="003B134A" w:rsidP="0000557A">
            <w:pPr>
              <w:rPr>
                <w:rFonts w:eastAsia="Arial"/>
              </w:rPr>
            </w:pPr>
            <w:r w:rsidRPr="0000557A">
              <w:rPr>
                <w:rFonts w:eastAsia="Arial"/>
              </w:rPr>
              <w:t>The Commission has identified one prospective candidate — in the stamp duty tax base. But there is only limited scope to secure greater policy neutrality through this approach where it matters most — in the mining assessment.</w:t>
            </w:r>
          </w:p>
        </w:tc>
      </w:tr>
      <w:tr w:rsidR="005C630C" w:rsidRPr="0000557A" w14:paraId="2B8DC34D" w14:textId="77777777" w:rsidTr="0008082E">
        <w:trPr>
          <w:cantSplit/>
        </w:trPr>
        <w:tc>
          <w:tcPr>
            <w:tcW w:w="9605" w:type="dxa"/>
          </w:tcPr>
          <w:p w14:paraId="12BE59F5" w14:textId="77777777" w:rsidR="005C630C" w:rsidRPr="0000557A" w:rsidRDefault="003B134A" w:rsidP="0000557A">
            <w:pPr>
              <w:rPr>
                <w:rFonts w:eastAsia="Arial"/>
              </w:rPr>
            </w:pPr>
            <w:r w:rsidRPr="0000557A">
              <w:rPr>
                <w:rFonts w:eastAsia="Arial"/>
                <w:b/>
              </w:rPr>
              <w:t>Finding 7.4:</w:t>
            </w:r>
            <w:r w:rsidRPr="0000557A">
              <w:rPr>
                <w:rFonts w:eastAsia="Arial"/>
              </w:rPr>
              <w:t xml:space="preserve"> Discounting mining (or other revenue categories) in the HFE process — or removing it entirely — is not justified and would come at a high cost to fiscal equality.</w:t>
            </w:r>
          </w:p>
        </w:tc>
      </w:tr>
      <w:tr w:rsidR="005C630C" w:rsidRPr="0000557A" w14:paraId="6A49CBDF"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788A3CC2" w14:textId="77777777" w:rsidR="005C630C" w:rsidRPr="0000557A" w:rsidRDefault="003B134A" w:rsidP="0000557A">
            <w:pPr>
              <w:rPr>
                <w:rFonts w:eastAsia="Arial"/>
              </w:rPr>
            </w:pPr>
            <w:r w:rsidRPr="0000557A">
              <w:rPr>
                <w:rFonts w:eastAsia="Arial"/>
                <w:b/>
              </w:rPr>
              <w:t>Finding 7.5:</w:t>
            </w:r>
            <w:r w:rsidRPr="0000557A">
              <w:rPr>
                <w:rFonts w:eastAsia="Arial"/>
              </w:rPr>
              <w:t xml:space="preserve"> The CGC’s proposal to discount revenues such that a State retains at least 50 per cent of the own-source revenue impacts of a tax or royalty rate change (net of GST payments) is an incomplete approach to mitigate policy non-neutrality in HFE. It would only address policy influence on average tax rates, not on tax bases, and only for Western Australia for the foreseeable future.</w:t>
            </w:r>
          </w:p>
        </w:tc>
      </w:tr>
      <w:tr w:rsidR="005C630C" w:rsidRPr="0000557A" w14:paraId="3E0306EF" w14:textId="77777777" w:rsidTr="0008082E">
        <w:trPr>
          <w:cantSplit/>
        </w:trPr>
        <w:tc>
          <w:tcPr>
            <w:tcW w:w="9605" w:type="dxa"/>
          </w:tcPr>
          <w:p w14:paraId="2C1F0B58" w14:textId="77777777" w:rsidR="005C630C" w:rsidRPr="0000557A" w:rsidRDefault="003B134A" w:rsidP="0000557A">
            <w:pPr>
              <w:rPr>
                <w:rFonts w:eastAsia="Arial"/>
              </w:rPr>
            </w:pPr>
            <w:r w:rsidRPr="0000557A">
              <w:rPr>
                <w:rFonts w:eastAsia="Arial"/>
                <w:b/>
              </w:rPr>
              <w:t>Finding 8.1:</w:t>
            </w:r>
            <w:r w:rsidRPr="0000557A">
              <w:rPr>
                <w:rFonts w:eastAsia="Arial"/>
              </w:rPr>
              <w:t xml:space="preserve"> An equal per capita approach to the distribution of GST revenue is incapable of providing States with the fiscal capacities to deliver a reasonable standard of services. It is thus inimical to the fiscal equality rationale underpinning HFE.</w:t>
            </w:r>
          </w:p>
        </w:tc>
      </w:tr>
      <w:tr w:rsidR="005C630C" w:rsidRPr="0000557A" w14:paraId="1C47F323"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152DE21B" w14:textId="77777777" w:rsidR="005C630C" w:rsidRPr="0000557A" w:rsidRDefault="003B134A" w:rsidP="0000557A">
            <w:pPr>
              <w:rPr>
                <w:rFonts w:eastAsia="Arial"/>
              </w:rPr>
            </w:pPr>
            <w:r w:rsidRPr="0000557A">
              <w:rPr>
                <w:rFonts w:eastAsia="Arial"/>
                <w:b/>
              </w:rPr>
              <w:t>Finding 8.2:</w:t>
            </w:r>
            <w:r w:rsidRPr="0000557A">
              <w:rPr>
                <w:rFonts w:eastAsia="Arial"/>
              </w:rPr>
              <w:t xml:space="preserve"> An equal per capita with top-up funding approach for distributing GST revenue could provide all States with the fiscal capacity to deliver a reasonable standard of services, depending</w:t>
            </w:r>
            <w:r w:rsidR="0000557A">
              <w:rPr>
                <w:rFonts w:eastAsia="Arial"/>
              </w:rPr>
              <w:t xml:space="preserve"> </w:t>
            </w:r>
            <w:r w:rsidRPr="0000557A">
              <w:rPr>
                <w:rFonts w:eastAsia="Arial"/>
              </w:rPr>
              <w:t>on the level of top-up funding. While this would meet the fiscal equality rationale underpinning HFE, the top-up funding would always be subject to the vagaries of the Commonwealth budget. It should only be considered in the context of broader reform to federal financial relations that generate compensating benefits.</w:t>
            </w:r>
          </w:p>
        </w:tc>
      </w:tr>
      <w:tr w:rsidR="005C630C" w:rsidRPr="0000557A" w14:paraId="3D04C078" w14:textId="77777777" w:rsidTr="0008082E">
        <w:trPr>
          <w:cantSplit/>
        </w:trPr>
        <w:tc>
          <w:tcPr>
            <w:tcW w:w="9605" w:type="dxa"/>
          </w:tcPr>
          <w:p w14:paraId="0F474A94" w14:textId="77777777" w:rsidR="005C630C" w:rsidRPr="0000557A" w:rsidRDefault="003B134A" w:rsidP="0000557A">
            <w:pPr>
              <w:rPr>
                <w:rFonts w:eastAsia="Arial"/>
              </w:rPr>
            </w:pPr>
            <w:r w:rsidRPr="0000557A">
              <w:rPr>
                <w:rFonts w:eastAsiaTheme="minorHAnsi"/>
                <w:b/>
                <w:noProof/>
              </w:rPr>
              <mc:AlternateContent>
                <mc:Choice Requires="wpg">
                  <w:drawing>
                    <wp:anchor distT="0" distB="0" distL="114300" distR="114300" simplePos="0" relativeHeight="251658242" behindDoc="1" locked="0" layoutInCell="1" allowOverlap="1" wp14:anchorId="545F43BB" wp14:editId="65B644D2">
                      <wp:simplePos x="0" y="0"/>
                      <wp:positionH relativeFrom="page">
                        <wp:posOffset>899795</wp:posOffset>
                      </wp:positionH>
                      <wp:positionV relativeFrom="paragraph">
                        <wp:posOffset>684530</wp:posOffset>
                      </wp:positionV>
                      <wp:extent cx="5760085" cy="1270"/>
                      <wp:effectExtent l="13970" t="10160" r="7620" b="762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
                                <a:chOff x="1417" y="1078"/>
                                <a:chExt cx="9071" cy="2"/>
                              </a:xfrm>
                            </wpg:grpSpPr>
                            <wps:wsp>
                              <wps:cNvPr id="18" name="Freeform 12"/>
                              <wps:cNvSpPr>
                                <a:spLocks/>
                              </wps:cNvSpPr>
                              <wps:spPr bwMode="auto">
                                <a:xfrm>
                                  <a:off x="1417" y="1078"/>
                                  <a:ext cx="9071" cy="2"/>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12700">
                                  <a:solidFill>
                                    <a:srgbClr val="3548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0.85pt;margin-top:53.9pt;width:453.55pt;height:.1pt;z-index:-251658238;mso-position-horizontal-relative:page" coordorigin="1417,1078"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">
                      <v:shape id="Freeform 12" o:spid="_x0000_s1027" style="position:absolute;left:1417;top:107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nC8YA&#10;AADbAAAADwAAAGRycy9kb3ducmV2LnhtbESPQWvCQBCF74X+h2UEb3WjgpToKrVBkR5s1RY8Dtkx&#10;Cc3Oxuyqqb++cyj0NsN78943s0XnanWlNlSeDQwHCSji3NuKCwOfh9XTM6gQkS3WnsnADwVYzB8f&#10;Zphaf+MdXfexUBLCIUUDZYxNqnXIS3IYBr4hFu3kW4dR1rbQtsWbhLtaj5Jkoh1WLA0lNvRaUv69&#10;vzgDy2xEb+Ov5eHjvM6Ok/d1prfF3Zh+r3uZgorUxX/z3/XG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nC8YAAADbAAAADwAAAAAAAAAAAAAAAACYAgAAZHJz&#10;L2Rvd25yZXYueG1sUEsFBgAAAAAEAAQA9QAAAIsDAAAAAA==&#10;" path="m,l9071,e" filled="f" strokecolor="#354866" strokeweight="1pt">
                        <v:path arrowok="t" o:connecttype="custom" o:connectlocs="0,0;9071,0" o:connectangles="0,0"/>
                      </v:shape>
                      <w10:wrap anchorx="page"/>
                    </v:group>
                  </w:pict>
                </mc:Fallback>
              </mc:AlternateContent>
            </w:r>
            <w:r w:rsidRPr="0000557A">
              <w:rPr>
                <w:rFonts w:eastAsia="Arial"/>
                <w:b/>
              </w:rPr>
              <w:t>Finding 8.3:</w:t>
            </w:r>
            <w:r w:rsidRPr="0000557A">
              <w:rPr>
                <w:rFonts w:eastAsia="Arial"/>
              </w:rPr>
              <w:t xml:space="preserve"> The introduction of a relativity floor would blunt the equalisation task and introduce greater incentives for policy effort for the beneficiary State(s) — Western Australia for the foreseeable future. But a floor represents a </w:t>
            </w:r>
            <w:proofErr w:type="spellStart"/>
            <w:r w:rsidRPr="0000557A">
              <w:rPr>
                <w:rFonts w:eastAsia="Arial"/>
              </w:rPr>
              <w:t>band-aid</w:t>
            </w:r>
            <w:proofErr w:type="spellEnd"/>
            <w:r w:rsidRPr="0000557A">
              <w:rPr>
                <w:rFonts w:eastAsia="Arial"/>
              </w:rPr>
              <w:t xml:space="preserve"> solution, as it is not well targeted to broader efficiency and fairness problems.</w:t>
            </w:r>
          </w:p>
        </w:tc>
      </w:tr>
      <w:tr w:rsidR="005C630C" w:rsidRPr="0000557A" w14:paraId="0D22B397" w14:textId="77777777" w:rsidTr="0008082E">
        <w:trPr>
          <w:cnfStyle w:val="000000100000" w:firstRow="0" w:lastRow="0" w:firstColumn="0" w:lastColumn="0" w:oddVBand="0" w:evenVBand="0" w:oddHBand="1" w:evenHBand="0" w:firstRowFirstColumn="0" w:firstRowLastColumn="0" w:lastRowFirstColumn="0" w:lastRowLastColumn="0"/>
          <w:cantSplit/>
        </w:trPr>
        <w:tc>
          <w:tcPr>
            <w:tcW w:w="9605" w:type="dxa"/>
          </w:tcPr>
          <w:p w14:paraId="7A5897FA" w14:textId="77777777" w:rsidR="003B134A" w:rsidRPr="0000557A" w:rsidRDefault="003B134A" w:rsidP="0000557A">
            <w:pPr>
              <w:rPr>
                <w:rFonts w:eastAsia="Arial"/>
              </w:rPr>
            </w:pPr>
            <w:r w:rsidRPr="0000557A">
              <w:rPr>
                <w:rFonts w:eastAsia="Arial"/>
                <w:b/>
              </w:rPr>
              <w:lastRenderedPageBreak/>
              <w:t>Finding 8.4:</w:t>
            </w:r>
            <w:r w:rsidRPr="0000557A">
              <w:rPr>
                <w:rFonts w:eastAsia="Arial"/>
              </w:rPr>
              <w:t xml:space="preserve"> No alternative benchmark for equalisation is unambiguously superior to any other. All have costs and benefits that are difficult to comprehensively identify, let alone quantify. Determining which alternative benchmark is most likely to provide the greatest net benefit — the right balance — involves judgment about whether the benefits of greater policy neutrality (efficiency) and reward for policy effort and risk taking (fairness) outweigh the fiscal equality impacts.</w:t>
            </w:r>
          </w:p>
          <w:p w14:paraId="33CB509A" w14:textId="77777777" w:rsidR="003B134A" w:rsidRPr="0000557A" w:rsidRDefault="003B134A" w:rsidP="0000557A">
            <w:pPr>
              <w:rPr>
                <w:rFonts w:eastAsia="Arial"/>
              </w:rPr>
            </w:pPr>
            <w:r w:rsidRPr="0000557A">
              <w:rPr>
                <w:rFonts w:eastAsia="Arial"/>
              </w:rPr>
              <w:t>Overall, equalising to the average (pre-GST) fiscal capacity of all States is judged to provide a better balance than the current benchmark and is thus a preferred alternative.</w:t>
            </w:r>
          </w:p>
          <w:p w14:paraId="19DFE450" w14:textId="77777777" w:rsidR="003B134A" w:rsidRPr="0000557A" w:rsidRDefault="003B134A" w:rsidP="0000557A">
            <w:pPr>
              <w:pStyle w:val="Bullet"/>
              <w:rPr>
                <w:rFonts w:eastAsia="Arial"/>
              </w:rPr>
            </w:pPr>
            <w:r w:rsidRPr="0000557A">
              <w:rPr>
                <w:rFonts w:eastAsia="Arial"/>
              </w:rPr>
              <w:t>It offers the greatest incentives for some States (but not all) to undertake efficiency-enhancing tax reform and broadly reduces policy non-neutrality with respect to the mining revenue assessment.</w:t>
            </w:r>
          </w:p>
          <w:p w14:paraId="3D4685AA" w14:textId="77777777" w:rsidR="003B134A" w:rsidRPr="0000557A" w:rsidRDefault="003B134A" w:rsidP="0000557A">
            <w:pPr>
              <w:pStyle w:val="Bullet"/>
              <w:rPr>
                <w:rFonts w:eastAsia="Arial"/>
              </w:rPr>
            </w:pPr>
            <w:r w:rsidRPr="0000557A">
              <w:rPr>
                <w:rFonts w:eastAsia="Arial"/>
              </w:rPr>
              <w:t>It is less susceptible to fiscal outliers and therefore provides a more stable basis for deriving GST</w:t>
            </w:r>
            <w:r w:rsidR="0000557A">
              <w:rPr>
                <w:rFonts w:eastAsia="Arial"/>
              </w:rPr>
              <w:t xml:space="preserve"> </w:t>
            </w:r>
            <w:r w:rsidRPr="0000557A">
              <w:rPr>
                <w:rFonts w:eastAsia="Arial"/>
              </w:rPr>
              <w:t>relativities.</w:t>
            </w:r>
          </w:p>
          <w:p w14:paraId="558291DD" w14:textId="77777777" w:rsidR="005C630C" w:rsidRPr="0000557A" w:rsidRDefault="003B134A" w:rsidP="0000557A">
            <w:pPr>
              <w:rPr>
                <w:rFonts w:eastAsia="Arial"/>
              </w:rPr>
            </w:pPr>
            <w:r w:rsidRPr="0000557A">
              <w:rPr>
                <w:rFonts w:eastAsia="Arial"/>
              </w:rPr>
              <w:t>The impacts on fiscal equality are expected to be modest and manageable, especially when implemented through a carefully designed transition.</w:t>
            </w:r>
          </w:p>
        </w:tc>
      </w:tr>
      <w:tr w:rsidR="005C630C" w:rsidRPr="0000557A" w14:paraId="0097466D" w14:textId="77777777" w:rsidTr="0008082E">
        <w:trPr>
          <w:cantSplit/>
        </w:trPr>
        <w:tc>
          <w:tcPr>
            <w:tcW w:w="9605" w:type="dxa"/>
          </w:tcPr>
          <w:p w14:paraId="07505557" w14:textId="77777777" w:rsidR="003B134A" w:rsidRPr="0000557A" w:rsidRDefault="003B134A" w:rsidP="0000557A">
            <w:pPr>
              <w:rPr>
                <w:rFonts w:eastAsia="Arial"/>
              </w:rPr>
            </w:pPr>
            <w:r w:rsidRPr="0000557A">
              <w:rPr>
                <w:rFonts w:eastAsia="Arial"/>
                <w:b/>
              </w:rPr>
              <w:t>Finding 9.1:</w:t>
            </w:r>
            <w:r w:rsidRPr="0000557A">
              <w:rPr>
                <w:rFonts w:eastAsia="Arial"/>
              </w:rPr>
              <w:t xml:space="preserve"> There are many ways a new equalisation benchmark could be phased in. The most effective transition approach  is one that:</w:t>
            </w:r>
          </w:p>
          <w:p w14:paraId="2FE6A7E6" w14:textId="77777777" w:rsidR="003B134A" w:rsidRPr="0000557A" w:rsidRDefault="003B134A" w:rsidP="0000557A">
            <w:pPr>
              <w:pStyle w:val="Bullet"/>
              <w:rPr>
                <w:rFonts w:eastAsia="Arial"/>
              </w:rPr>
            </w:pPr>
            <w:r w:rsidRPr="0000557A">
              <w:rPr>
                <w:rFonts w:eastAsia="Arial"/>
              </w:rPr>
              <w:t>enables States to manage their budgets during the current forward estimates period and plan for changes over the longer term</w:t>
            </w:r>
          </w:p>
          <w:p w14:paraId="3EC3EC5C" w14:textId="77777777" w:rsidR="003B134A" w:rsidRPr="0000557A" w:rsidRDefault="003B134A" w:rsidP="0000557A">
            <w:pPr>
              <w:pStyle w:val="Bullet"/>
              <w:rPr>
                <w:rFonts w:eastAsia="Arial"/>
              </w:rPr>
            </w:pPr>
            <w:r w:rsidRPr="0000557A">
              <w:rPr>
                <w:rFonts w:eastAsia="Arial"/>
              </w:rPr>
              <w:t>is fiscally sustainable for all governments, in that it is funded through the GST pool (in effect, by the</w:t>
            </w:r>
            <w:r w:rsidR="0000557A" w:rsidRPr="0000557A">
              <w:rPr>
                <w:rFonts w:eastAsia="Arial"/>
              </w:rPr>
              <w:t xml:space="preserve"> </w:t>
            </w:r>
            <w:r w:rsidRPr="0000557A">
              <w:rPr>
                <w:rFonts w:eastAsia="Arial"/>
              </w:rPr>
              <w:t>States that benefit from the change) and not from outside the pool</w:t>
            </w:r>
          </w:p>
          <w:p w14:paraId="7D4F5C09" w14:textId="77777777" w:rsidR="003B134A" w:rsidRPr="0000557A" w:rsidRDefault="003B134A" w:rsidP="0000557A">
            <w:pPr>
              <w:pStyle w:val="Bullet"/>
              <w:rPr>
                <w:rFonts w:eastAsia="Arial"/>
              </w:rPr>
            </w:pPr>
            <w:proofErr w:type="gramStart"/>
            <w:r w:rsidRPr="0000557A">
              <w:rPr>
                <w:rFonts w:eastAsia="Arial"/>
              </w:rPr>
              <w:t>delivers</w:t>
            </w:r>
            <w:proofErr w:type="gramEnd"/>
            <w:r w:rsidRPr="0000557A">
              <w:rPr>
                <w:rFonts w:eastAsia="Arial"/>
              </w:rPr>
              <w:t xml:space="preserve"> the benefits of the new benchmark in a timely manner.</w:t>
            </w:r>
          </w:p>
          <w:p w14:paraId="688AC492" w14:textId="77777777" w:rsidR="003B134A" w:rsidRPr="0000557A" w:rsidRDefault="003B134A" w:rsidP="0000557A">
            <w:pPr>
              <w:rPr>
                <w:rFonts w:eastAsia="Arial"/>
              </w:rPr>
            </w:pPr>
            <w:r w:rsidRPr="0000557A">
              <w:rPr>
                <w:rFonts w:eastAsia="Arial"/>
              </w:rPr>
              <w:t>Either a four year or eight year transition path to ETA is judged to be manageable for the States.</w:t>
            </w:r>
          </w:p>
          <w:p w14:paraId="2EA40642" w14:textId="77777777" w:rsidR="003B134A" w:rsidRPr="0000557A" w:rsidRDefault="003B134A" w:rsidP="0000557A">
            <w:pPr>
              <w:rPr>
                <w:rFonts w:eastAsia="Arial"/>
              </w:rPr>
            </w:pPr>
            <w:r w:rsidRPr="0000557A">
              <w:rPr>
                <w:rFonts w:eastAsia="Arial"/>
              </w:rPr>
              <w:t>A four year transition would deliver the benefits of reform more quickly, but an eight year transition provides greater latitude to deal with unexpected changes in the future fiscal circumstances of the States. By delaying the full implementation of ETA, both approaches are effectively funded from within the GST pool by the States that stand to benefit the most.</w:t>
            </w:r>
          </w:p>
          <w:p w14:paraId="6590D70F" w14:textId="77777777" w:rsidR="005C630C" w:rsidRPr="0000557A" w:rsidRDefault="003B134A" w:rsidP="0000557A">
            <w:pPr>
              <w:rPr>
                <w:rFonts w:eastAsia="Arial"/>
              </w:rPr>
            </w:pPr>
            <w:r w:rsidRPr="0000557A">
              <w:rPr>
                <w:rFonts w:eastAsia="Arial"/>
              </w:rPr>
              <w:t>An eight year transition would also provide more time for State and Commonwealth Governments to negotiate broader reforms to federal financial relations, which could potentially alleviate any residual ongoing adverse fiscal impacts on States from the new benchmark.</w:t>
            </w:r>
          </w:p>
        </w:tc>
      </w:tr>
    </w:tbl>
    <w:p w14:paraId="46756D42" w14:textId="77777777" w:rsidR="007F6037" w:rsidRDefault="007F6037" w:rsidP="0000557A">
      <w:pPr>
        <w:spacing w:before="2" w:after="0" w:line="260" w:lineRule="exact"/>
        <w:rPr>
          <w:sz w:val="26"/>
          <w:szCs w:val="26"/>
        </w:rPr>
      </w:pPr>
    </w:p>
    <w:sectPr w:rsidR="007F6037" w:rsidSect="00833DBC">
      <w:pgSz w:w="11920" w:h="16840"/>
      <w:pgMar w:top="1134" w:right="1418" w:bottom="1418"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EBCB4" w14:textId="77777777" w:rsidR="00617872" w:rsidRDefault="00617872">
      <w:pPr>
        <w:spacing w:before="0" w:after="0"/>
      </w:pPr>
      <w:r>
        <w:separator/>
      </w:r>
    </w:p>
  </w:endnote>
  <w:endnote w:type="continuationSeparator" w:id="0">
    <w:p w14:paraId="6A5D8DD7" w14:textId="77777777" w:rsidR="00617872" w:rsidRDefault="00617872">
      <w:pPr>
        <w:spacing w:before="0" w:after="0"/>
      </w:pPr>
      <w:r>
        <w:continuationSeparator/>
      </w:r>
    </w:p>
  </w:endnote>
  <w:endnote w:type="continuationNotice" w:id="1">
    <w:p w14:paraId="77883F32" w14:textId="77777777" w:rsidR="00617872" w:rsidRDefault="006178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E00002FF" w:usb1="5000205B" w:usb2="00000020" w:usb3="00000000" w:csb0="0000019F" w:csb1="00000000"/>
  </w:font>
  <w:font w:name="Fira Sans">
    <w:charset w:val="00"/>
    <w:family w:val="swiss"/>
    <w:pitch w:val="variable"/>
    <w:sig w:usb0="00000287" w:usb1="02000001"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212F" w14:textId="77777777" w:rsidR="00241DB7" w:rsidRDefault="00241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26C25" w14:textId="77777777" w:rsidR="00617872" w:rsidRDefault="006178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B981B" w14:textId="77777777" w:rsidR="00241DB7" w:rsidRDefault="00241D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D5B19" w14:textId="77777777" w:rsidR="00617872" w:rsidRPr="005C3E95" w:rsidRDefault="00617872" w:rsidP="005C3E95">
    <w:pPr>
      <w:pStyle w:val="FooterEven"/>
    </w:pPr>
    <w:r>
      <w:rPr>
        <w:noProof w:val="0"/>
      </w:rPr>
      <w:fldChar w:fldCharType="begin"/>
    </w:r>
    <w:r>
      <w:instrText xml:space="preserve"> PAGE   \* MERGEFORMAT </w:instrText>
    </w:r>
    <w:r>
      <w:rPr>
        <w:noProof w:val="0"/>
      </w:rPr>
      <w:fldChar w:fldCharType="separate"/>
    </w:r>
    <w:r w:rsidR="00241DB7">
      <w:t>30</w:t>
    </w:r>
    <w:r>
      <w:fldChar w:fldCharType="end"/>
    </w:r>
    <w:r>
      <w:t xml:space="preserve"> | </w:t>
    </w:r>
    <w:r w:rsidRPr="005C3E95">
      <w:t>Productivity Commission inquiry into horizontal fiscal equalisation: Government interim response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09C47" w14:textId="77777777" w:rsidR="00617872" w:rsidRPr="005C3E95" w:rsidRDefault="00617872" w:rsidP="005C3E95">
    <w:pPr>
      <w:pStyle w:val="FooterOdd"/>
    </w:pPr>
    <w:r w:rsidRPr="005C3E95">
      <w:t>Productivity Commission inquiry into horizontal fiscal equalisation: Government interim response</w:t>
    </w:r>
    <w:r>
      <w:t xml:space="preserve"> | </w:t>
    </w:r>
    <w:r>
      <w:fldChar w:fldCharType="begin"/>
    </w:r>
    <w:r>
      <w:instrText xml:space="preserve"> PAGE   \* MERGEFORMAT </w:instrText>
    </w:r>
    <w:r>
      <w:fldChar w:fldCharType="separate"/>
    </w:r>
    <w:r w:rsidR="00241DB7">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3BAC5" w14:textId="77777777" w:rsidR="00617872" w:rsidRDefault="00617872">
      <w:pPr>
        <w:spacing w:before="0" w:after="0"/>
      </w:pPr>
      <w:r>
        <w:separator/>
      </w:r>
    </w:p>
  </w:footnote>
  <w:footnote w:type="continuationSeparator" w:id="0">
    <w:p w14:paraId="62549622" w14:textId="77777777" w:rsidR="00617872" w:rsidRDefault="00617872">
      <w:pPr>
        <w:spacing w:before="0" w:after="0"/>
      </w:pPr>
      <w:r>
        <w:continuationSeparator/>
      </w:r>
    </w:p>
  </w:footnote>
  <w:footnote w:type="continuationNotice" w:id="1">
    <w:p w14:paraId="2DE5FFDE" w14:textId="77777777" w:rsidR="00617872" w:rsidRDefault="00617872">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95D5" w14:textId="77777777" w:rsidR="00241DB7" w:rsidRDefault="00241D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D5ACE" w14:textId="77777777" w:rsidR="00617872" w:rsidRDefault="006178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84AC9" w14:textId="77777777" w:rsidR="00241DB7" w:rsidRDefault="00241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6CC4E5D"/>
    <w:multiLevelType w:val="multilevel"/>
    <w:tmpl w:val="D10E9CF6"/>
    <w:numStyleLink w:val="OneLevelList"/>
  </w:abstractNum>
  <w:abstractNum w:abstractNumId="4">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1">
    <w:nsid w:val="510D2021"/>
    <w:multiLevelType w:val="multilevel"/>
    <w:tmpl w:val="72F8140E"/>
    <w:numStyleLink w:val="OutlineList"/>
  </w:abstractNum>
  <w:abstractNum w:abstractNumId="12">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7"/>
  </w:num>
  <w:num w:numId="2">
    <w:abstractNumId w:val="0"/>
  </w:num>
  <w:num w:numId="3">
    <w:abstractNumId w:val="9"/>
  </w:num>
  <w:num w:numId="4">
    <w:abstractNumId w:val="2"/>
  </w:num>
  <w:num w:numId="5">
    <w:abstractNumId w:val="3"/>
  </w:num>
  <w:num w:numId="6">
    <w:abstractNumId w:val="11"/>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6"/>
  </w:num>
  <w:num w:numId="11">
    <w:abstractNumId w:val="14"/>
  </w:num>
  <w:num w:numId="12">
    <w:abstractNumId w:val="15"/>
  </w:num>
  <w:num w:numId="13">
    <w:abstractNumId w:val="10"/>
  </w:num>
  <w:num w:numId="14">
    <w:abstractNumId w:val="5"/>
  </w:num>
  <w:num w:numId="15">
    <w:abstractNumId w:val="12"/>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startOverride w:val="1"/>
      <w:lvl w:ilvl="1" w:tentative="1">
        <w:start w:val="1"/>
        <w:numFmt w:val="lowerLetter"/>
        <w:lvlText w:val="%2."/>
        <w:lvlJc w:val="left"/>
        <w:pPr>
          <w:ind w:left="1080" w:hanging="360"/>
        </w:pPr>
      </w:lvl>
    </w:lvlOverride>
    <w:lvlOverride w:ilvl="2">
      <w:startOverride w:val="1"/>
      <w:lvl w:ilvl="2" w:tentative="1">
        <w:start w:val="1"/>
        <w:numFmt w:val="lowerRoman"/>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037"/>
    <w:rsid w:val="0000557A"/>
    <w:rsid w:val="00044C10"/>
    <w:rsid w:val="0008082E"/>
    <w:rsid w:val="000B333B"/>
    <w:rsid w:val="000D4F37"/>
    <w:rsid w:val="000E0CCB"/>
    <w:rsid w:val="0010555E"/>
    <w:rsid w:val="001266EC"/>
    <w:rsid w:val="00145AC8"/>
    <w:rsid w:val="001708A6"/>
    <w:rsid w:val="001832BA"/>
    <w:rsid w:val="001E4EDF"/>
    <w:rsid w:val="001F21D3"/>
    <w:rsid w:val="00241DB7"/>
    <w:rsid w:val="0026797B"/>
    <w:rsid w:val="002C1AD0"/>
    <w:rsid w:val="002C3EF2"/>
    <w:rsid w:val="002D0420"/>
    <w:rsid w:val="00313002"/>
    <w:rsid w:val="00390FED"/>
    <w:rsid w:val="003B134A"/>
    <w:rsid w:val="003C28F6"/>
    <w:rsid w:val="003C64E7"/>
    <w:rsid w:val="003E3F5A"/>
    <w:rsid w:val="004038D3"/>
    <w:rsid w:val="00434AE5"/>
    <w:rsid w:val="00446304"/>
    <w:rsid w:val="004A335F"/>
    <w:rsid w:val="004B2FF4"/>
    <w:rsid w:val="004D6EF7"/>
    <w:rsid w:val="004F31FE"/>
    <w:rsid w:val="00563250"/>
    <w:rsid w:val="005910CC"/>
    <w:rsid w:val="005A1473"/>
    <w:rsid w:val="005C3E95"/>
    <w:rsid w:val="005C630C"/>
    <w:rsid w:val="005D7755"/>
    <w:rsid w:val="00617872"/>
    <w:rsid w:val="00654685"/>
    <w:rsid w:val="00683F92"/>
    <w:rsid w:val="006854DE"/>
    <w:rsid w:val="006854FC"/>
    <w:rsid w:val="006A1E04"/>
    <w:rsid w:val="00722C6F"/>
    <w:rsid w:val="007B155B"/>
    <w:rsid w:val="007C38D8"/>
    <w:rsid w:val="007F6037"/>
    <w:rsid w:val="00810179"/>
    <w:rsid w:val="00833DBC"/>
    <w:rsid w:val="00887D8F"/>
    <w:rsid w:val="008B1D6A"/>
    <w:rsid w:val="008F2C05"/>
    <w:rsid w:val="00931EC6"/>
    <w:rsid w:val="00965F51"/>
    <w:rsid w:val="009E156C"/>
    <w:rsid w:val="009E48E0"/>
    <w:rsid w:val="00A05124"/>
    <w:rsid w:val="00A203AA"/>
    <w:rsid w:val="00A6644C"/>
    <w:rsid w:val="00A94951"/>
    <w:rsid w:val="00AB0F98"/>
    <w:rsid w:val="00B2088B"/>
    <w:rsid w:val="00B216DF"/>
    <w:rsid w:val="00B434DE"/>
    <w:rsid w:val="00C12FFE"/>
    <w:rsid w:val="00C42F8F"/>
    <w:rsid w:val="00C75E6E"/>
    <w:rsid w:val="00C77CBC"/>
    <w:rsid w:val="00C9092F"/>
    <w:rsid w:val="00CE7AC9"/>
    <w:rsid w:val="00D06212"/>
    <w:rsid w:val="00D13F64"/>
    <w:rsid w:val="00D16F9A"/>
    <w:rsid w:val="00D262B6"/>
    <w:rsid w:val="00D32662"/>
    <w:rsid w:val="00D54F52"/>
    <w:rsid w:val="00DE269C"/>
    <w:rsid w:val="00E024CE"/>
    <w:rsid w:val="00E129B1"/>
    <w:rsid w:val="00E13728"/>
    <w:rsid w:val="00E16DB5"/>
    <w:rsid w:val="00E238DB"/>
    <w:rsid w:val="00E67073"/>
    <w:rsid w:val="00E72465"/>
    <w:rsid w:val="00E96C23"/>
    <w:rsid w:val="00ED3933"/>
    <w:rsid w:val="00ED5C70"/>
    <w:rsid w:val="00ED6EAE"/>
    <w:rsid w:val="00EE67DE"/>
    <w:rsid w:val="00EE6DA2"/>
    <w:rsid w:val="00F13352"/>
    <w:rsid w:val="00F33BDD"/>
    <w:rsid w:val="00F37D9C"/>
    <w:rsid w:val="00F85167"/>
    <w:rsid w:val="00FB1709"/>
    <w:rsid w:val="00FD5BFA"/>
    <w:rsid w:val="00FF0521"/>
    <w:rsid w:val="00FF5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FF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7DE"/>
    <w:pPr>
      <w:widowControl/>
      <w:spacing w:before="120" w:after="120" w:line="240" w:lineRule="auto"/>
    </w:pPr>
    <w:rPr>
      <w:rFonts w:ascii="Calibri" w:eastAsia="Times New Roman" w:hAnsi="Calibri" w:cs="Times New Roman"/>
      <w:szCs w:val="20"/>
      <w:lang w:val="en-AU" w:eastAsia="en-AU"/>
    </w:rPr>
  </w:style>
  <w:style w:type="paragraph" w:styleId="Heading1">
    <w:name w:val="heading 1"/>
    <w:basedOn w:val="HeadingBase"/>
    <w:next w:val="Normal"/>
    <w:link w:val="Heading1Char"/>
    <w:qFormat/>
    <w:rsid w:val="00D06212"/>
    <w:pPr>
      <w:pageBreakBefore/>
      <w:spacing w:after="240"/>
      <w:outlineLvl w:val="0"/>
    </w:pPr>
    <w:rPr>
      <w:bCs w:val="0"/>
    </w:rPr>
  </w:style>
  <w:style w:type="paragraph" w:styleId="Heading2">
    <w:name w:val="heading 2"/>
    <w:basedOn w:val="HeadingBase"/>
    <w:next w:val="Normal"/>
    <w:link w:val="Heading2Char"/>
    <w:qFormat/>
    <w:rsid w:val="00EE67DE"/>
    <w:pPr>
      <w:spacing w:before="360"/>
      <w:outlineLvl w:val="1"/>
    </w:pPr>
    <w:rPr>
      <w:bCs w:val="0"/>
      <w:iCs/>
      <w:sz w:val="36"/>
      <w:szCs w:val="28"/>
    </w:rPr>
  </w:style>
  <w:style w:type="paragraph" w:styleId="Heading3">
    <w:name w:val="heading 3"/>
    <w:basedOn w:val="HeadingBase"/>
    <w:next w:val="Normal"/>
    <w:link w:val="Heading3Char"/>
    <w:qFormat/>
    <w:rsid w:val="00EE67DE"/>
    <w:pPr>
      <w:spacing w:before="240"/>
      <w:outlineLvl w:val="2"/>
    </w:pPr>
    <w:rPr>
      <w:bCs w:val="0"/>
      <w:color w:val="7F7F7F"/>
      <w:sz w:val="28"/>
      <w:szCs w:val="26"/>
    </w:rPr>
  </w:style>
  <w:style w:type="paragraph" w:styleId="Heading4">
    <w:name w:val="heading 4"/>
    <w:basedOn w:val="HeadingBase"/>
    <w:next w:val="Normal"/>
    <w:link w:val="Heading4Char"/>
    <w:qFormat/>
    <w:rsid w:val="00EE67DE"/>
    <w:pPr>
      <w:outlineLvl w:val="3"/>
    </w:pPr>
    <w:rPr>
      <w:bCs w:val="0"/>
      <w:color w:val="336E98"/>
      <w:sz w:val="26"/>
      <w:szCs w:val="26"/>
    </w:rPr>
  </w:style>
  <w:style w:type="paragraph" w:styleId="Heading5">
    <w:name w:val="heading 5"/>
    <w:basedOn w:val="HeadingBase"/>
    <w:next w:val="Normal"/>
    <w:link w:val="Heading5Char"/>
    <w:qFormat/>
    <w:rsid w:val="00EE67DE"/>
    <w:pPr>
      <w:outlineLvl w:val="4"/>
    </w:pPr>
    <w:rPr>
      <w:b/>
      <w:bCs w:val="0"/>
      <w:iCs/>
      <w:sz w:val="22"/>
    </w:rPr>
  </w:style>
  <w:style w:type="paragraph" w:styleId="Heading6">
    <w:name w:val="heading 6"/>
    <w:basedOn w:val="HeadingBase"/>
    <w:next w:val="Normal"/>
    <w:link w:val="Heading6Char"/>
    <w:qFormat/>
    <w:rsid w:val="00EE67DE"/>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6212"/>
    <w:rPr>
      <w:rFonts w:ascii="Calibri" w:eastAsia="Times New Roman" w:hAnsi="Calibri" w:cs="Arial"/>
      <w:color w:val="004A7F"/>
      <w:kern w:val="32"/>
      <w:sz w:val="48"/>
      <w:szCs w:val="36"/>
      <w:lang w:val="en-AU" w:eastAsia="en-AU"/>
    </w:rPr>
  </w:style>
  <w:style w:type="character" w:customStyle="1" w:styleId="Heading2Char">
    <w:name w:val="Heading 2 Char"/>
    <w:basedOn w:val="DefaultParagraphFont"/>
    <w:link w:val="Heading2"/>
    <w:rsid w:val="00EE67DE"/>
    <w:rPr>
      <w:rFonts w:ascii="Calibri" w:eastAsia="Times New Roman" w:hAnsi="Calibri" w:cs="Arial"/>
      <w:iCs/>
      <w:color w:val="004A7F"/>
      <w:kern w:val="32"/>
      <w:sz w:val="36"/>
      <w:szCs w:val="28"/>
      <w:lang w:val="en-AU" w:eastAsia="en-AU"/>
    </w:rPr>
  </w:style>
  <w:style w:type="character" w:customStyle="1" w:styleId="Heading3Char">
    <w:name w:val="Heading 3 Char"/>
    <w:basedOn w:val="DefaultParagraphFont"/>
    <w:link w:val="Heading3"/>
    <w:rsid w:val="00EE67DE"/>
    <w:rPr>
      <w:rFonts w:ascii="Calibri" w:eastAsia="Times New Roman" w:hAnsi="Calibri" w:cs="Arial"/>
      <w:color w:val="7F7F7F"/>
      <w:kern w:val="32"/>
      <w:sz w:val="28"/>
      <w:szCs w:val="26"/>
      <w:lang w:val="en-AU" w:eastAsia="en-AU"/>
    </w:rPr>
  </w:style>
  <w:style w:type="character" w:customStyle="1" w:styleId="Heading4Char">
    <w:name w:val="Heading 4 Char"/>
    <w:basedOn w:val="DefaultParagraphFont"/>
    <w:link w:val="Heading4"/>
    <w:rsid w:val="00EE67DE"/>
    <w:rPr>
      <w:rFonts w:ascii="Calibri" w:eastAsia="Times New Roman" w:hAnsi="Calibri" w:cs="Arial"/>
      <w:color w:val="336E98"/>
      <w:kern w:val="32"/>
      <w:sz w:val="26"/>
      <w:szCs w:val="26"/>
      <w:lang w:val="en-AU" w:eastAsia="en-AU"/>
    </w:rPr>
  </w:style>
  <w:style w:type="character" w:customStyle="1" w:styleId="Heading5Char">
    <w:name w:val="Heading 5 Char"/>
    <w:basedOn w:val="DefaultParagraphFont"/>
    <w:link w:val="Heading5"/>
    <w:rsid w:val="00EE67DE"/>
    <w:rPr>
      <w:rFonts w:ascii="Calibri" w:eastAsia="Times New Roman" w:hAnsi="Calibri" w:cs="Arial"/>
      <w:b/>
      <w:iCs/>
      <w:color w:val="004A7F"/>
      <w:kern w:val="32"/>
      <w:szCs w:val="36"/>
      <w:lang w:val="en-AU" w:eastAsia="en-AU"/>
    </w:rPr>
  </w:style>
  <w:style w:type="character" w:customStyle="1" w:styleId="Heading6Char">
    <w:name w:val="Heading 6 Char"/>
    <w:basedOn w:val="DefaultParagraphFont"/>
    <w:link w:val="Heading6"/>
    <w:rsid w:val="00EE67DE"/>
    <w:rPr>
      <w:rFonts w:ascii="Calibri" w:eastAsia="Times New Roman" w:hAnsi="Calibri" w:cs="Arial"/>
      <w:color w:val="004A7F"/>
      <w:kern w:val="32"/>
      <w:lang w:val="en-AU" w:eastAsia="en-AU"/>
    </w:rPr>
  </w:style>
  <w:style w:type="paragraph" w:customStyle="1" w:styleId="ChartGraphic">
    <w:name w:val="Chart Graphic"/>
    <w:basedOn w:val="Normal"/>
    <w:next w:val="Normal"/>
    <w:rsid w:val="00EE67DE"/>
    <w:pPr>
      <w:keepNext/>
      <w:spacing w:before="0" w:after="0"/>
      <w:jc w:val="center"/>
    </w:pPr>
    <w:rPr>
      <w:color w:val="004A7F"/>
      <w:sz w:val="20"/>
    </w:rPr>
  </w:style>
  <w:style w:type="paragraph" w:customStyle="1" w:styleId="AlphaParagraph">
    <w:name w:val="Alpha Paragraph"/>
    <w:basedOn w:val="Normal"/>
    <w:qFormat/>
    <w:rsid w:val="00EE67DE"/>
    <w:pPr>
      <w:numPr>
        <w:ilvl w:val="1"/>
        <w:numId w:val="10"/>
      </w:numPr>
      <w:spacing w:before="0"/>
    </w:pPr>
  </w:style>
  <w:style w:type="paragraph" w:customStyle="1" w:styleId="BoxBullet">
    <w:name w:val="Box Bullet"/>
    <w:basedOn w:val="Normal"/>
    <w:rsid w:val="00EE67DE"/>
    <w:pPr>
      <w:numPr>
        <w:numId w:val="2"/>
      </w:numPr>
      <w:spacing w:before="0"/>
      <w:ind w:left="284" w:hanging="284"/>
    </w:pPr>
  </w:style>
  <w:style w:type="paragraph" w:customStyle="1" w:styleId="BoxDash">
    <w:name w:val="Box Dash"/>
    <w:basedOn w:val="Normal"/>
    <w:rsid w:val="00EE67DE"/>
    <w:pPr>
      <w:numPr>
        <w:ilvl w:val="1"/>
        <w:numId w:val="2"/>
      </w:numPr>
      <w:spacing w:before="0"/>
      <w:ind w:left="568"/>
    </w:pPr>
  </w:style>
  <w:style w:type="paragraph" w:customStyle="1" w:styleId="BoxDoubleDot">
    <w:name w:val="Box Double Dot"/>
    <w:basedOn w:val="Normal"/>
    <w:rsid w:val="00EE67DE"/>
    <w:pPr>
      <w:numPr>
        <w:ilvl w:val="2"/>
        <w:numId w:val="2"/>
      </w:numPr>
      <w:spacing w:before="0"/>
      <w:ind w:left="851" w:hanging="284"/>
    </w:pPr>
  </w:style>
  <w:style w:type="paragraph" w:customStyle="1" w:styleId="BoxHeading">
    <w:name w:val="Box Heading"/>
    <w:basedOn w:val="Normal"/>
    <w:next w:val="Normal"/>
    <w:rsid w:val="00EE67DE"/>
    <w:pPr>
      <w:keepNext/>
      <w:spacing w:before="240"/>
    </w:pPr>
    <w:rPr>
      <w:b/>
      <w:color w:val="004A7F"/>
      <w:sz w:val="26"/>
      <w:szCs w:val="26"/>
    </w:rPr>
  </w:style>
  <w:style w:type="paragraph" w:customStyle="1" w:styleId="BoxText">
    <w:name w:val="Box Text"/>
    <w:basedOn w:val="Normal"/>
    <w:rsid w:val="00EE67DE"/>
  </w:style>
  <w:style w:type="paragraph" w:customStyle="1" w:styleId="Bullet">
    <w:name w:val="Bullet"/>
    <w:basedOn w:val="Normal"/>
    <w:rsid w:val="00EE67DE"/>
    <w:pPr>
      <w:numPr>
        <w:numId w:val="1"/>
      </w:numPr>
      <w:spacing w:before="0"/>
      <w:ind w:left="284" w:hanging="284"/>
    </w:pPr>
  </w:style>
  <w:style w:type="paragraph" w:customStyle="1" w:styleId="ChartandTableFootnoteAlpha">
    <w:name w:val="Chart and Table Footnote Alpha"/>
    <w:rsid w:val="00D06212"/>
    <w:pPr>
      <w:widowControl/>
      <w:numPr>
        <w:numId w:val="7"/>
      </w:numPr>
      <w:tabs>
        <w:tab w:val="num" w:pos="284"/>
      </w:tabs>
      <w:spacing w:after="240" w:line="240" w:lineRule="auto"/>
      <w:ind w:left="284" w:hanging="284"/>
      <w:contextualSpacing/>
      <w:jc w:val="both"/>
    </w:pPr>
    <w:rPr>
      <w:rFonts w:ascii="Calibri" w:eastAsia="Times New Roman" w:hAnsi="Calibri" w:cs="Times New Roman"/>
      <w:color w:val="000000"/>
      <w:sz w:val="18"/>
      <w:szCs w:val="16"/>
      <w:lang w:val="en-AU" w:eastAsia="en-AU"/>
    </w:rPr>
  </w:style>
  <w:style w:type="paragraph" w:customStyle="1" w:styleId="ChartMainHeading">
    <w:name w:val="Chart Main Heading"/>
    <w:basedOn w:val="TableMainHeading"/>
    <w:next w:val="ChartGraphic"/>
    <w:rsid w:val="00EE67DE"/>
    <w:pPr>
      <w:jc w:val="center"/>
    </w:pPr>
  </w:style>
  <w:style w:type="paragraph" w:customStyle="1" w:styleId="ChartorTableNote">
    <w:name w:val="Chart or Table Note"/>
    <w:next w:val="Normal"/>
    <w:rsid w:val="00D06212"/>
    <w:pPr>
      <w:widowControl/>
      <w:spacing w:after="240" w:line="240" w:lineRule="auto"/>
      <w:contextualSpacing/>
      <w:jc w:val="both"/>
    </w:pPr>
    <w:rPr>
      <w:rFonts w:ascii="Calibri" w:eastAsia="Times New Roman" w:hAnsi="Calibri" w:cs="Times New Roman"/>
      <w:color w:val="000000"/>
      <w:sz w:val="18"/>
      <w:szCs w:val="20"/>
      <w:lang w:val="en-AU" w:eastAsia="en-AU"/>
    </w:rPr>
  </w:style>
  <w:style w:type="paragraph" w:customStyle="1" w:styleId="ChartSecondHeading">
    <w:name w:val="Chart Second Heading"/>
    <w:basedOn w:val="TableSecondHeading"/>
    <w:next w:val="ChartGraphic"/>
    <w:rsid w:val="00EE67DE"/>
    <w:pPr>
      <w:jc w:val="center"/>
    </w:pPr>
  </w:style>
  <w:style w:type="paragraph" w:customStyle="1" w:styleId="ReportDate">
    <w:name w:val="Report Date"/>
    <w:basedOn w:val="Normal"/>
    <w:link w:val="ReportDateChar"/>
    <w:rsid w:val="00EE67DE"/>
    <w:pPr>
      <w:keepNext/>
      <w:spacing w:before="0" w:after="360"/>
      <w:ind w:right="139"/>
      <w:jc w:val="right"/>
    </w:pPr>
    <w:rPr>
      <w:color w:val="004A7F"/>
      <w:sz w:val="44"/>
    </w:rPr>
  </w:style>
  <w:style w:type="paragraph" w:customStyle="1" w:styleId="Dash">
    <w:name w:val="Dash"/>
    <w:basedOn w:val="Normal"/>
    <w:rsid w:val="00EE67DE"/>
    <w:pPr>
      <w:numPr>
        <w:ilvl w:val="1"/>
        <w:numId w:val="1"/>
      </w:numPr>
      <w:spacing w:before="0"/>
      <w:ind w:left="568"/>
    </w:pPr>
  </w:style>
  <w:style w:type="paragraph" w:customStyle="1" w:styleId="DoubleDot">
    <w:name w:val="Double Dot"/>
    <w:basedOn w:val="Normal"/>
    <w:rsid w:val="00EE67DE"/>
    <w:pPr>
      <w:numPr>
        <w:ilvl w:val="2"/>
        <w:numId w:val="1"/>
      </w:numPr>
      <w:spacing w:before="0"/>
      <w:ind w:left="851" w:hanging="284"/>
    </w:pPr>
  </w:style>
  <w:style w:type="paragraph" w:customStyle="1" w:styleId="TableMainHeading">
    <w:name w:val="Table Main Heading"/>
    <w:basedOn w:val="Heading3"/>
    <w:next w:val="Normal"/>
    <w:rsid w:val="00D16F9A"/>
    <w:pPr>
      <w:spacing w:before="120"/>
    </w:pPr>
    <w:rPr>
      <w:b/>
    </w:rPr>
  </w:style>
  <w:style w:type="paragraph" w:customStyle="1" w:styleId="FooterEven">
    <w:name w:val="Footer Even"/>
    <w:basedOn w:val="Footer"/>
    <w:rsid w:val="005C3E95"/>
    <w:pPr>
      <w:keepNext/>
      <w:tabs>
        <w:tab w:val="clear" w:pos="4513"/>
        <w:tab w:val="clear" w:pos="9026"/>
      </w:tabs>
      <w:jc w:val="left"/>
    </w:pPr>
    <w:rPr>
      <w:noProof/>
      <w:sz w:val="18"/>
    </w:rPr>
  </w:style>
  <w:style w:type="paragraph" w:customStyle="1" w:styleId="FooterOdd">
    <w:name w:val="Footer Odd"/>
    <w:basedOn w:val="Footer"/>
    <w:rsid w:val="005C3E95"/>
    <w:pPr>
      <w:keepNext/>
      <w:tabs>
        <w:tab w:val="clear" w:pos="4513"/>
        <w:tab w:val="clear" w:pos="9026"/>
      </w:tabs>
      <w:jc w:val="right"/>
    </w:pPr>
    <w:rPr>
      <w:sz w:val="18"/>
    </w:rPr>
  </w:style>
  <w:style w:type="character" w:styleId="Hyperlink">
    <w:name w:val="Hyperlink"/>
    <w:basedOn w:val="DefaultParagraphFont"/>
    <w:uiPriority w:val="99"/>
    <w:rsid w:val="00EE67DE"/>
    <w:rPr>
      <w:color w:val="004A7F"/>
      <w:u w:val="none"/>
    </w:rPr>
  </w:style>
  <w:style w:type="paragraph" w:customStyle="1" w:styleId="OutlineNumbered1">
    <w:name w:val="Outline Numbered 1"/>
    <w:basedOn w:val="Normal"/>
    <w:rsid w:val="00EE67DE"/>
    <w:pPr>
      <w:numPr>
        <w:numId w:val="6"/>
      </w:numPr>
      <w:spacing w:before="0"/>
    </w:pPr>
  </w:style>
  <w:style w:type="paragraph" w:customStyle="1" w:styleId="OneLevelNumberedParagraph">
    <w:name w:val="One Level Numbered Paragraph"/>
    <w:basedOn w:val="Normal"/>
    <w:rsid w:val="00EE67DE"/>
    <w:pPr>
      <w:numPr>
        <w:numId w:val="5"/>
      </w:numPr>
      <w:spacing w:before="0"/>
    </w:pPr>
  </w:style>
  <w:style w:type="paragraph" w:customStyle="1" w:styleId="OutlineNumbered2">
    <w:name w:val="Outline Numbered 2"/>
    <w:basedOn w:val="Normal"/>
    <w:rsid w:val="00EE67DE"/>
    <w:pPr>
      <w:numPr>
        <w:ilvl w:val="1"/>
        <w:numId w:val="6"/>
      </w:numPr>
      <w:spacing w:before="0"/>
    </w:pPr>
  </w:style>
  <w:style w:type="paragraph" w:customStyle="1" w:styleId="OutlineNumbered3">
    <w:name w:val="Outline Numbered 3"/>
    <w:basedOn w:val="Normal"/>
    <w:rsid w:val="00EE67DE"/>
    <w:pPr>
      <w:numPr>
        <w:ilvl w:val="2"/>
        <w:numId w:val="6"/>
      </w:numPr>
      <w:spacing w:before="0"/>
    </w:pPr>
  </w:style>
  <w:style w:type="paragraph" w:customStyle="1" w:styleId="Romannumeral">
    <w:name w:val="Roman numeral"/>
    <w:basedOn w:val="Normal"/>
    <w:rsid w:val="00EE67DE"/>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EE67DE"/>
    <w:pPr>
      <w:spacing w:before="0" w:after="0"/>
    </w:pPr>
  </w:style>
  <w:style w:type="paragraph" w:customStyle="1" w:styleId="TableSecondHeading">
    <w:name w:val="Table Second Heading"/>
    <w:basedOn w:val="Normal"/>
    <w:next w:val="Normal"/>
    <w:rsid w:val="00EE67DE"/>
    <w:pPr>
      <w:keepNext/>
      <w:spacing w:before="0" w:after="20"/>
    </w:pPr>
    <w:rPr>
      <w:b/>
      <w:color w:val="004A7F"/>
    </w:rPr>
  </w:style>
  <w:style w:type="paragraph" w:customStyle="1" w:styleId="TableColumnHeadingCentred">
    <w:name w:val="Table Column Heading Centred"/>
    <w:basedOn w:val="TableTextLeft"/>
    <w:rsid w:val="00C12FFE"/>
    <w:pPr>
      <w:jc w:val="center"/>
    </w:pPr>
    <w:rPr>
      <w:b/>
      <w:color w:val="FFFFFF" w:themeColor="background1"/>
      <w:sz w:val="20"/>
    </w:rPr>
  </w:style>
  <w:style w:type="paragraph" w:customStyle="1" w:styleId="TableColumnHeadingLeft">
    <w:name w:val="Table Column Heading Left"/>
    <w:basedOn w:val="TableTextLeft"/>
    <w:rsid w:val="00C12FFE"/>
    <w:rPr>
      <w:b/>
      <w:color w:val="FFFFFF" w:themeColor="background1"/>
      <w:sz w:val="20"/>
    </w:rPr>
  </w:style>
  <w:style w:type="paragraph" w:customStyle="1" w:styleId="TableColumnHeadingRight">
    <w:name w:val="Table Column Heading Right"/>
    <w:basedOn w:val="TableTextLeft"/>
    <w:rsid w:val="00C12FFE"/>
    <w:pPr>
      <w:jc w:val="right"/>
    </w:pPr>
    <w:rPr>
      <w:b/>
      <w:color w:val="FFFFFF" w:themeColor="background1"/>
      <w:sz w:val="20"/>
    </w:rPr>
  </w:style>
  <w:style w:type="table" w:styleId="TableGrid">
    <w:name w:val="Table Grid"/>
    <w:basedOn w:val="TableNormal"/>
    <w:rsid w:val="00EE67DE"/>
    <w:pPr>
      <w:widowControl/>
      <w:spacing w:after="240" w:line="260" w:lineRule="exact"/>
      <w:jc w:val="both"/>
    </w:pPr>
    <w:rPr>
      <w:rFonts w:ascii="Times New Roman" w:eastAsia="Times New Roman" w:hAnsi="Times New Roman" w:cs="Times New Roman"/>
      <w:sz w:val="20"/>
      <w:szCs w:val="20"/>
      <w:lang w:val="en-AU" w:eastAsia="en-AU"/>
    </w:rPr>
    <w:tblPr/>
    <w:tcPr>
      <w:shd w:val="clear" w:color="auto" w:fill="E6E6E6"/>
    </w:tcPr>
  </w:style>
  <w:style w:type="paragraph" w:customStyle="1" w:styleId="TableTextCentered">
    <w:name w:val="Table Text Centered"/>
    <w:basedOn w:val="TableTextRight"/>
    <w:rsid w:val="00EE67DE"/>
    <w:pPr>
      <w:jc w:val="center"/>
    </w:pPr>
  </w:style>
  <w:style w:type="paragraph" w:customStyle="1" w:styleId="TableTextLeft">
    <w:name w:val="Table Text Left"/>
    <w:basedOn w:val="TableTextRight"/>
    <w:rsid w:val="00EE67DE"/>
    <w:pPr>
      <w:jc w:val="left"/>
    </w:pPr>
  </w:style>
  <w:style w:type="paragraph" w:customStyle="1" w:styleId="TableTextRight">
    <w:name w:val="Table Text Right"/>
    <w:basedOn w:val="Normal"/>
    <w:rsid w:val="00EE67DE"/>
    <w:pPr>
      <w:spacing w:before="40" w:after="40"/>
      <w:jc w:val="right"/>
    </w:pPr>
    <w:rPr>
      <w:color w:val="000000"/>
      <w:sz w:val="18"/>
    </w:rPr>
  </w:style>
  <w:style w:type="paragraph" w:styleId="TOC1">
    <w:name w:val="toc 1"/>
    <w:basedOn w:val="Normal"/>
    <w:next w:val="Normal"/>
    <w:uiPriority w:val="39"/>
    <w:qFormat/>
    <w:rsid w:val="00EE67DE"/>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EE67DE"/>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E67DE"/>
    <w:pPr>
      <w:tabs>
        <w:tab w:val="right" w:leader="dot" w:pos="9072"/>
      </w:tabs>
      <w:spacing w:before="20" w:after="0"/>
      <w:ind w:left="284" w:right="-2"/>
    </w:pPr>
    <w:rPr>
      <w:rFonts w:cs="Calibri"/>
      <w:noProof/>
    </w:rPr>
  </w:style>
  <w:style w:type="numbering" w:customStyle="1" w:styleId="OutlineList">
    <w:name w:val="OutlineList"/>
    <w:uiPriority w:val="99"/>
    <w:rsid w:val="00EE67DE"/>
    <w:pPr>
      <w:numPr>
        <w:numId w:val="4"/>
      </w:numPr>
    </w:pPr>
  </w:style>
  <w:style w:type="numbering" w:customStyle="1" w:styleId="BulletedList">
    <w:name w:val="Bulleted List"/>
    <w:uiPriority w:val="99"/>
    <w:rsid w:val="00EE67DE"/>
    <w:pPr>
      <w:numPr>
        <w:numId w:val="1"/>
      </w:numPr>
    </w:pPr>
  </w:style>
  <w:style w:type="numbering" w:customStyle="1" w:styleId="BoxBulletedList">
    <w:name w:val="Box Bulleted List"/>
    <w:uiPriority w:val="99"/>
    <w:rsid w:val="00EE67DE"/>
    <w:pPr>
      <w:numPr>
        <w:numId w:val="2"/>
      </w:numPr>
    </w:pPr>
  </w:style>
  <w:style w:type="numbering" w:customStyle="1" w:styleId="OneLevelList">
    <w:name w:val="OneLevelList"/>
    <w:uiPriority w:val="99"/>
    <w:rsid w:val="00EE67DE"/>
    <w:pPr>
      <w:numPr>
        <w:numId w:val="3"/>
      </w:numPr>
    </w:pPr>
  </w:style>
  <w:style w:type="numbering" w:customStyle="1" w:styleId="ChartandTableFootnoteAlphaList">
    <w:name w:val="ChartandTableFootnoteAlphaList"/>
    <w:uiPriority w:val="99"/>
    <w:rsid w:val="00EE67DE"/>
    <w:pPr>
      <w:numPr>
        <w:numId w:val="16"/>
      </w:numPr>
    </w:pPr>
  </w:style>
  <w:style w:type="paragraph" w:customStyle="1" w:styleId="Crest">
    <w:name w:val="Crest"/>
    <w:basedOn w:val="Header"/>
    <w:rsid w:val="00EE67DE"/>
    <w:pPr>
      <w:spacing w:after="480"/>
      <w:jc w:val="center"/>
    </w:pPr>
    <w:rPr>
      <w:color w:val="000000" w:themeColor="text1"/>
    </w:rPr>
  </w:style>
  <w:style w:type="paragraph" w:customStyle="1" w:styleId="Heading1Numbered">
    <w:name w:val="Heading 1 Numbered"/>
    <w:basedOn w:val="Heading1"/>
    <w:next w:val="Normal"/>
    <w:rsid w:val="00EE67DE"/>
    <w:pPr>
      <w:numPr>
        <w:numId w:val="8"/>
      </w:numPr>
    </w:pPr>
  </w:style>
  <w:style w:type="character" w:customStyle="1" w:styleId="SingleParagraphChar">
    <w:name w:val="Single Paragraph Char"/>
    <w:basedOn w:val="DefaultParagraphFont"/>
    <w:link w:val="SingleParagraph"/>
    <w:rsid w:val="00EE67DE"/>
    <w:rPr>
      <w:rFonts w:ascii="Calibri" w:eastAsia="Times New Roman" w:hAnsi="Calibri" w:cs="Times New Roman"/>
      <w:szCs w:val="20"/>
      <w:lang w:val="en-AU" w:eastAsia="en-AU"/>
    </w:rPr>
  </w:style>
  <w:style w:type="paragraph" w:customStyle="1" w:styleId="Heading2Numbered">
    <w:name w:val="Heading 2 Numbered"/>
    <w:basedOn w:val="Heading2"/>
    <w:next w:val="Normal"/>
    <w:rsid w:val="00EE67DE"/>
    <w:pPr>
      <w:numPr>
        <w:ilvl w:val="1"/>
        <w:numId w:val="8"/>
      </w:numPr>
      <w:ind w:left="284" w:hanging="284"/>
    </w:pPr>
  </w:style>
  <w:style w:type="paragraph" w:customStyle="1" w:styleId="Heading3Numbered">
    <w:name w:val="Heading 3 Numbered"/>
    <w:basedOn w:val="Heading3"/>
    <w:qFormat/>
    <w:rsid w:val="00EE67DE"/>
    <w:pPr>
      <w:numPr>
        <w:ilvl w:val="2"/>
        <w:numId w:val="8"/>
      </w:numPr>
      <w:ind w:left="284" w:hanging="284"/>
    </w:pPr>
  </w:style>
  <w:style w:type="paragraph" w:styleId="Title">
    <w:name w:val="Title"/>
    <w:basedOn w:val="Normal"/>
    <w:next w:val="Normal"/>
    <w:link w:val="TitleChar"/>
    <w:uiPriority w:val="10"/>
    <w:qFormat/>
    <w:rsid w:val="00EE67DE"/>
    <w:pPr>
      <w:spacing w:before="0" w:after="300"/>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EE67DE"/>
    <w:rPr>
      <w:rFonts w:ascii="Calibri" w:eastAsiaTheme="majorEastAsia" w:hAnsi="Calibri" w:cstheme="majorBidi"/>
      <w:b/>
      <w:color w:val="004A7F"/>
      <w:spacing w:val="5"/>
      <w:kern w:val="28"/>
      <w:sz w:val="72"/>
      <w:szCs w:val="52"/>
      <w:lang w:val="en-AU" w:eastAsia="en-AU"/>
    </w:rPr>
  </w:style>
  <w:style w:type="paragraph" w:styleId="Subtitle">
    <w:name w:val="Subtitle"/>
    <w:basedOn w:val="Normal"/>
    <w:next w:val="Normal"/>
    <w:link w:val="SubtitleChar"/>
    <w:uiPriority w:val="11"/>
    <w:qFormat/>
    <w:rsid w:val="00EE67DE"/>
    <w:pPr>
      <w:numPr>
        <w:ilvl w:val="1"/>
      </w:numPr>
      <w:jc w:val="right"/>
    </w:pPr>
    <w:rPr>
      <w:rFonts w:eastAsiaTheme="majorEastAsia" w:cstheme="majorBidi"/>
      <w:iCs/>
      <w:color w:val="7F7F7F" w:themeColor="text1" w:themeTint="80"/>
      <w:sz w:val="44"/>
      <w:szCs w:val="44"/>
    </w:rPr>
  </w:style>
  <w:style w:type="character" w:customStyle="1" w:styleId="SubtitleChar">
    <w:name w:val="Subtitle Char"/>
    <w:basedOn w:val="DefaultParagraphFont"/>
    <w:link w:val="Subtitle"/>
    <w:uiPriority w:val="11"/>
    <w:rsid w:val="00EE67DE"/>
    <w:rPr>
      <w:rFonts w:ascii="Calibri" w:eastAsiaTheme="majorEastAsia" w:hAnsi="Calibri" w:cstheme="majorBidi"/>
      <w:iCs/>
      <w:color w:val="7F7F7F" w:themeColor="text1" w:themeTint="80"/>
      <w:sz w:val="44"/>
      <w:szCs w:val="44"/>
      <w:lang w:val="en-AU" w:eastAsia="en-AU"/>
    </w:rPr>
  </w:style>
  <w:style w:type="character" w:styleId="SubtleEmphasis">
    <w:name w:val="Subtle Emphasis"/>
    <w:basedOn w:val="DefaultParagraphFont"/>
    <w:uiPriority w:val="19"/>
    <w:qFormat/>
    <w:rsid w:val="00EE67DE"/>
    <w:rPr>
      <w:i/>
      <w:iCs/>
      <w:color w:val="808080" w:themeColor="text1" w:themeTint="7F"/>
    </w:rPr>
  </w:style>
  <w:style w:type="paragraph" w:styleId="Footer">
    <w:name w:val="footer"/>
    <w:basedOn w:val="Normal"/>
    <w:link w:val="FooterChar"/>
    <w:unhideWhenUsed/>
    <w:rsid w:val="00EE67DE"/>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rsid w:val="00EE67DE"/>
    <w:rPr>
      <w:rFonts w:ascii="Calibri" w:eastAsia="Times New Roman" w:hAnsi="Calibri" w:cs="Times New Roman"/>
      <w:color w:val="004A7F"/>
      <w:sz w:val="20"/>
      <w:szCs w:val="20"/>
      <w:lang w:val="en-AU" w:eastAsia="en-AU"/>
    </w:rPr>
  </w:style>
  <w:style w:type="paragraph" w:styleId="Header">
    <w:name w:val="header"/>
    <w:basedOn w:val="Normal"/>
    <w:link w:val="HeaderChar"/>
    <w:uiPriority w:val="99"/>
    <w:unhideWhenUsed/>
    <w:rsid w:val="00EE67DE"/>
    <w:pPr>
      <w:keepNext/>
      <w:spacing w:before="0" w:after="0"/>
      <w:jc w:val="right"/>
    </w:pPr>
    <w:rPr>
      <w:color w:val="004A7F"/>
      <w:sz w:val="20"/>
    </w:rPr>
  </w:style>
  <w:style w:type="character" w:customStyle="1" w:styleId="HeaderChar">
    <w:name w:val="Header Char"/>
    <w:basedOn w:val="DefaultParagraphFont"/>
    <w:link w:val="Header"/>
    <w:uiPriority w:val="99"/>
    <w:rsid w:val="00EE67DE"/>
    <w:rPr>
      <w:rFonts w:ascii="Calibri" w:eastAsia="Times New Roman" w:hAnsi="Calibri" w:cs="Times New Roman"/>
      <w:color w:val="004A7F"/>
      <w:sz w:val="20"/>
      <w:szCs w:val="20"/>
      <w:lang w:val="en-AU" w:eastAsia="en-AU"/>
    </w:rPr>
  </w:style>
  <w:style w:type="character" w:styleId="PlaceholderText">
    <w:name w:val="Placeholder Text"/>
    <w:basedOn w:val="DefaultParagraphFont"/>
    <w:uiPriority w:val="99"/>
    <w:semiHidden/>
    <w:rsid w:val="00EE67DE"/>
    <w:rPr>
      <w:color w:val="808080"/>
    </w:rPr>
  </w:style>
  <w:style w:type="paragraph" w:customStyle="1" w:styleId="AppendixHeading">
    <w:name w:val="Appendix Heading"/>
    <w:basedOn w:val="Normal"/>
    <w:next w:val="Normal"/>
    <w:rsid w:val="00EE67DE"/>
    <w:pPr>
      <w:keepNext/>
      <w:spacing w:before="720" w:after="360"/>
    </w:pPr>
    <w:rPr>
      <w:rFonts w:ascii="Arial Bold" w:hAnsi="Arial Bold"/>
      <w:b/>
      <w:smallCaps/>
      <w:color w:val="004A7F"/>
      <w:sz w:val="36"/>
      <w:szCs w:val="36"/>
    </w:rPr>
  </w:style>
  <w:style w:type="paragraph" w:customStyle="1" w:styleId="HeadingBase">
    <w:name w:val="Heading Base"/>
    <w:qFormat/>
    <w:rsid w:val="00EE67DE"/>
    <w:pPr>
      <w:keepNext/>
      <w:widowControl/>
      <w:spacing w:after="120" w:line="240" w:lineRule="auto"/>
    </w:pPr>
    <w:rPr>
      <w:rFonts w:ascii="Calibri" w:eastAsia="Times New Roman" w:hAnsi="Calibri" w:cs="Arial"/>
      <w:bCs/>
      <w:color w:val="004A7F"/>
      <w:kern w:val="32"/>
      <w:sz w:val="48"/>
      <w:szCs w:val="36"/>
      <w:lang w:val="en-AU" w:eastAsia="en-AU"/>
    </w:rPr>
  </w:style>
  <w:style w:type="character" w:customStyle="1" w:styleId="ReportDateChar">
    <w:name w:val="Report Date Char"/>
    <w:basedOn w:val="DefaultParagraphFont"/>
    <w:link w:val="ReportDate"/>
    <w:rsid w:val="00EE67DE"/>
    <w:rPr>
      <w:rFonts w:ascii="Calibri" w:eastAsia="Times New Roman" w:hAnsi="Calibri" w:cs="Times New Roman"/>
      <w:color w:val="004A7F"/>
      <w:sz w:val="44"/>
      <w:szCs w:val="20"/>
      <w:lang w:val="en-AU" w:eastAsia="en-AU"/>
    </w:rPr>
  </w:style>
  <w:style w:type="paragraph" w:customStyle="1" w:styleId="Disclaimer">
    <w:name w:val="Disclaimer"/>
    <w:basedOn w:val="ReportDate"/>
    <w:rsid w:val="00EE67DE"/>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EE67DE"/>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EE67DE"/>
    <w:pPr>
      <w:spacing w:after="1800"/>
      <w:ind w:right="0"/>
    </w:pPr>
    <w:rPr>
      <w:rFonts w:ascii="Rockwell" w:hAnsi="Rockwell"/>
      <w:sz w:val="24"/>
    </w:rPr>
  </w:style>
  <w:style w:type="character" w:customStyle="1" w:styleId="FramedFooter">
    <w:name w:val="Framed Footer"/>
    <w:rsid w:val="00EE67DE"/>
    <w:rPr>
      <w:rFonts w:ascii="Arial" w:hAnsi="Arial"/>
      <w:color w:val="004A7F"/>
      <w:sz w:val="18"/>
    </w:rPr>
  </w:style>
  <w:style w:type="character" w:customStyle="1" w:styleId="FramedHeader">
    <w:name w:val="Framed Header"/>
    <w:basedOn w:val="DefaultParagraphFont"/>
    <w:rsid w:val="00EE67DE"/>
    <w:rPr>
      <w:rFonts w:ascii="Arial" w:hAnsi="Arial"/>
      <w:dstrike w:val="0"/>
      <w:color w:val="auto"/>
      <w:sz w:val="18"/>
      <w:vertAlign w:val="baseline"/>
    </w:rPr>
  </w:style>
  <w:style w:type="paragraph" w:customStyle="1" w:styleId="TableTextIndented">
    <w:name w:val="Table Text Indented"/>
    <w:basedOn w:val="TableTextLeft"/>
    <w:qFormat/>
    <w:rsid w:val="00EE67DE"/>
    <w:pPr>
      <w:ind w:left="284"/>
    </w:pPr>
  </w:style>
  <w:style w:type="paragraph" w:customStyle="1" w:styleId="TableHeadingContinued">
    <w:name w:val="Table Heading Continued"/>
    <w:basedOn w:val="TableMainHeading"/>
    <w:next w:val="TableGraphic"/>
    <w:qFormat/>
    <w:rsid w:val="00EE67DE"/>
  </w:style>
  <w:style w:type="paragraph" w:customStyle="1" w:styleId="TableGraphic">
    <w:name w:val="Table Graphic"/>
    <w:basedOn w:val="HeadingBase"/>
    <w:next w:val="Normal"/>
    <w:qFormat/>
    <w:rsid w:val="00EE67DE"/>
    <w:pPr>
      <w:spacing w:after="0"/>
    </w:pPr>
  </w:style>
  <w:style w:type="paragraph" w:customStyle="1" w:styleId="HeaderEven">
    <w:name w:val="Header Even"/>
    <w:basedOn w:val="Header"/>
    <w:qFormat/>
    <w:rsid w:val="00EE67DE"/>
    <w:pPr>
      <w:jc w:val="left"/>
    </w:pPr>
  </w:style>
  <w:style w:type="paragraph" w:customStyle="1" w:styleId="HeaderOdd">
    <w:name w:val="Header Odd"/>
    <w:basedOn w:val="Header"/>
    <w:qFormat/>
    <w:rsid w:val="00EE67DE"/>
  </w:style>
  <w:style w:type="paragraph" w:styleId="FootnoteText">
    <w:name w:val="footnote text"/>
    <w:basedOn w:val="Normal"/>
    <w:link w:val="FootnoteTextChar"/>
    <w:uiPriority w:val="99"/>
    <w:rsid w:val="00EE67DE"/>
    <w:pPr>
      <w:spacing w:before="0" w:after="0"/>
    </w:pPr>
    <w:rPr>
      <w:sz w:val="20"/>
    </w:rPr>
  </w:style>
  <w:style w:type="character" w:customStyle="1" w:styleId="FootnoteTextChar">
    <w:name w:val="Footnote Text Char"/>
    <w:basedOn w:val="DefaultParagraphFont"/>
    <w:link w:val="FootnoteText"/>
    <w:uiPriority w:val="99"/>
    <w:rsid w:val="00EE67DE"/>
    <w:rPr>
      <w:rFonts w:ascii="Calibri" w:eastAsia="Times New Roman" w:hAnsi="Calibri" w:cs="Times New Roman"/>
      <w:sz w:val="20"/>
      <w:szCs w:val="20"/>
      <w:lang w:val="en-AU" w:eastAsia="en-AU"/>
    </w:rPr>
  </w:style>
  <w:style w:type="character" w:styleId="FootnoteReference">
    <w:name w:val="footnote reference"/>
    <w:basedOn w:val="DefaultParagraphFont"/>
    <w:uiPriority w:val="99"/>
    <w:rsid w:val="00EE67DE"/>
    <w:rPr>
      <w:rFonts w:ascii="Calibri" w:hAnsi="Calibri"/>
      <w:sz w:val="20"/>
      <w:vertAlign w:val="superscript"/>
    </w:rPr>
  </w:style>
  <w:style w:type="paragraph" w:styleId="BalloonText">
    <w:name w:val="Balloon Text"/>
    <w:basedOn w:val="Normal"/>
    <w:link w:val="BalloonTextChar"/>
    <w:uiPriority w:val="99"/>
    <w:semiHidden/>
    <w:unhideWhenUsed/>
    <w:rsid w:val="00EE67D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7DE"/>
    <w:rPr>
      <w:rFonts w:ascii="Tahoma" w:eastAsia="Times New Roman" w:hAnsi="Tahoma" w:cs="Tahoma"/>
      <w:sz w:val="16"/>
      <w:szCs w:val="16"/>
      <w:lang w:val="en-AU" w:eastAsia="en-AU"/>
    </w:rPr>
  </w:style>
  <w:style w:type="paragraph" w:styleId="Quote">
    <w:name w:val="Quote"/>
    <w:basedOn w:val="Normal"/>
    <w:next w:val="Normal"/>
    <w:link w:val="QuoteChar"/>
    <w:uiPriority w:val="29"/>
    <w:qFormat/>
    <w:rsid w:val="00A05124"/>
    <w:rPr>
      <w:i/>
      <w:iCs/>
      <w:color w:val="000000" w:themeColor="text1"/>
    </w:rPr>
  </w:style>
  <w:style w:type="character" w:customStyle="1" w:styleId="QuoteChar">
    <w:name w:val="Quote Char"/>
    <w:basedOn w:val="DefaultParagraphFont"/>
    <w:link w:val="Quote"/>
    <w:uiPriority w:val="29"/>
    <w:rsid w:val="00A05124"/>
    <w:rPr>
      <w:rFonts w:ascii="Calibri" w:eastAsia="Times New Roman" w:hAnsi="Calibri" w:cs="Times New Roman"/>
      <w:i/>
      <w:iCs/>
      <w:color w:val="000000" w:themeColor="text1"/>
      <w:szCs w:val="20"/>
      <w:lang w:val="en-AU" w:eastAsia="en-AU"/>
    </w:rPr>
  </w:style>
  <w:style w:type="paragraph" w:styleId="IntenseQuote">
    <w:name w:val="Intense Quote"/>
    <w:basedOn w:val="Normal"/>
    <w:next w:val="Normal"/>
    <w:link w:val="IntenseQuoteChar"/>
    <w:uiPriority w:val="30"/>
    <w:qFormat/>
    <w:rsid w:val="00A051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5124"/>
    <w:rPr>
      <w:rFonts w:ascii="Calibri" w:eastAsia="Times New Roman" w:hAnsi="Calibri" w:cs="Times New Roman"/>
      <w:b/>
      <w:bCs/>
      <w:i/>
      <w:iCs/>
      <w:color w:val="4F81BD" w:themeColor="accent1"/>
      <w:szCs w:val="20"/>
      <w:lang w:val="en-AU" w:eastAsia="en-AU"/>
    </w:rPr>
  </w:style>
  <w:style w:type="paragraph" w:customStyle="1" w:styleId="Introductoryparagraph">
    <w:name w:val="Introductory paragraph"/>
    <w:basedOn w:val="Heading3"/>
    <w:qFormat/>
    <w:rsid w:val="00A05124"/>
    <w:rPr>
      <w:rFonts w:eastAsia="Roboto Slab"/>
      <w:sz w:val="26"/>
    </w:rPr>
  </w:style>
  <w:style w:type="table" w:customStyle="1" w:styleId="Style1">
    <w:name w:val="Style1"/>
    <w:basedOn w:val="TableNormal"/>
    <w:uiPriority w:val="99"/>
    <w:rsid w:val="00931EC6"/>
    <w:pPr>
      <w:widowControl/>
      <w:spacing w:after="0" w:line="240" w:lineRule="auto"/>
    </w:pPr>
    <w:tblPr>
      <w:tblStyleRowBandSize w:val="1"/>
      <w:tblBorders>
        <w:insideH w:val="single" w:sz="4" w:space="0" w:color="1F497D" w:themeColor="text2"/>
      </w:tblBorders>
    </w:tblPr>
    <w:tcPr>
      <w:shd w:val="clear" w:color="auto" w:fill="FFFFFF" w:themeFill="background1"/>
    </w:tcPr>
    <w:tblStylePr w:type="firstRow">
      <w:tblPr/>
      <w:tcPr>
        <w:shd w:val="clear" w:color="auto" w:fill="1F497D" w:themeFill="text2"/>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F31FE"/>
    <w:rPr>
      <w:sz w:val="16"/>
      <w:szCs w:val="16"/>
    </w:rPr>
  </w:style>
  <w:style w:type="paragraph" w:styleId="CommentText">
    <w:name w:val="annotation text"/>
    <w:basedOn w:val="Normal"/>
    <w:link w:val="CommentTextChar"/>
    <w:uiPriority w:val="99"/>
    <w:unhideWhenUsed/>
    <w:rsid w:val="004F31FE"/>
    <w:rPr>
      <w:sz w:val="20"/>
    </w:rPr>
  </w:style>
  <w:style w:type="character" w:customStyle="1" w:styleId="CommentTextChar">
    <w:name w:val="Comment Text Char"/>
    <w:basedOn w:val="DefaultParagraphFont"/>
    <w:link w:val="CommentText"/>
    <w:uiPriority w:val="99"/>
    <w:rsid w:val="004F31FE"/>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4F31FE"/>
    <w:rPr>
      <w:b/>
      <w:bCs/>
    </w:rPr>
  </w:style>
  <w:style w:type="character" w:customStyle="1" w:styleId="CommentSubjectChar">
    <w:name w:val="Comment Subject Char"/>
    <w:basedOn w:val="CommentTextChar"/>
    <w:link w:val="CommentSubject"/>
    <w:uiPriority w:val="99"/>
    <w:semiHidden/>
    <w:rsid w:val="004F31FE"/>
    <w:rPr>
      <w:rFonts w:ascii="Calibri" w:eastAsia="Times New Roman" w:hAnsi="Calibri" w:cs="Times New Roman"/>
      <w:b/>
      <w:bCs/>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7DE"/>
    <w:pPr>
      <w:widowControl/>
      <w:spacing w:before="120" w:after="120" w:line="240" w:lineRule="auto"/>
    </w:pPr>
    <w:rPr>
      <w:rFonts w:ascii="Calibri" w:eastAsia="Times New Roman" w:hAnsi="Calibri" w:cs="Times New Roman"/>
      <w:szCs w:val="20"/>
      <w:lang w:val="en-AU" w:eastAsia="en-AU"/>
    </w:rPr>
  </w:style>
  <w:style w:type="paragraph" w:styleId="Heading1">
    <w:name w:val="heading 1"/>
    <w:basedOn w:val="HeadingBase"/>
    <w:next w:val="Normal"/>
    <w:link w:val="Heading1Char"/>
    <w:qFormat/>
    <w:rsid w:val="00D06212"/>
    <w:pPr>
      <w:pageBreakBefore/>
      <w:spacing w:after="240"/>
      <w:outlineLvl w:val="0"/>
    </w:pPr>
    <w:rPr>
      <w:bCs w:val="0"/>
    </w:rPr>
  </w:style>
  <w:style w:type="paragraph" w:styleId="Heading2">
    <w:name w:val="heading 2"/>
    <w:basedOn w:val="HeadingBase"/>
    <w:next w:val="Normal"/>
    <w:link w:val="Heading2Char"/>
    <w:qFormat/>
    <w:rsid w:val="00EE67DE"/>
    <w:pPr>
      <w:spacing w:before="360"/>
      <w:outlineLvl w:val="1"/>
    </w:pPr>
    <w:rPr>
      <w:bCs w:val="0"/>
      <w:iCs/>
      <w:sz w:val="36"/>
      <w:szCs w:val="28"/>
    </w:rPr>
  </w:style>
  <w:style w:type="paragraph" w:styleId="Heading3">
    <w:name w:val="heading 3"/>
    <w:basedOn w:val="HeadingBase"/>
    <w:next w:val="Normal"/>
    <w:link w:val="Heading3Char"/>
    <w:qFormat/>
    <w:rsid w:val="00EE67DE"/>
    <w:pPr>
      <w:spacing w:before="240"/>
      <w:outlineLvl w:val="2"/>
    </w:pPr>
    <w:rPr>
      <w:bCs w:val="0"/>
      <w:color w:val="7F7F7F"/>
      <w:sz w:val="28"/>
      <w:szCs w:val="26"/>
    </w:rPr>
  </w:style>
  <w:style w:type="paragraph" w:styleId="Heading4">
    <w:name w:val="heading 4"/>
    <w:basedOn w:val="HeadingBase"/>
    <w:next w:val="Normal"/>
    <w:link w:val="Heading4Char"/>
    <w:qFormat/>
    <w:rsid w:val="00EE67DE"/>
    <w:pPr>
      <w:outlineLvl w:val="3"/>
    </w:pPr>
    <w:rPr>
      <w:bCs w:val="0"/>
      <w:color w:val="336E98"/>
      <w:sz w:val="26"/>
      <w:szCs w:val="26"/>
    </w:rPr>
  </w:style>
  <w:style w:type="paragraph" w:styleId="Heading5">
    <w:name w:val="heading 5"/>
    <w:basedOn w:val="HeadingBase"/>
    <w:next w:val="Normal"/>
    <w:link w:val="Heading5Char"/>
    <w:qFormat/>
    <w:rsid w:val="00EE67DE"/>
    <w:pPr>
      <w:outlineLvl w:val="4"/>
    </w:pPr>
    <w:rPr>
      <w:b/>
      <w:bCs w:val="0"/>
      <w:iCs/>
      <w:sz w:val="22"/>
    </w:rPr>
  </w:style>
  <w:style w:type="paragraph" w:styleId="Heading6">
    <w:name w:val="heading 6"/>
    <w:basedOn w:val="HeadingBase"/>
    <w:next w:val="Normal"/>
    <w:link w:val="Heading6Char"/>
    <w:qFormat/>
    <w:rsid w:val="00EE67DE"/>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6212"/>
    <w:rPr>
      <w:rFonts w:ascii="Calibri" w:eastAsia="Times New Roman" w:hAnsi="Calibri" w:cs="Arial"/>
      <w:color w:val="004A7F"/>
      <w:kern w:val="32"/>
      <w:sz w:val="48"/>
      <w:szCs w:val="36"/>
      <w:lang w:val="en-AU" w:eastAsia="en-AU"/>
    </w:rPr>
  </w:style>
  <w:style w:type="character" w:customStyle="1" w:styleId="Heading2Char">
    <w:name w:val="Heading 2 Char"/>
    <w:basedOn w:val="DefaultParagraphFont"/>
    <w:link w:val="Heading2"/>
    <w:rsid w:val="00EE67DE"/>
    <w:rPr>
      <w:rFonts w:ascii="Calibri" w:eastAsia="Times New Roman" w:hAnsi="Calibri" w:cs="Arial"/>
      <w:iCs/>
      <w:color w:val="004A7F"/>
      <w:kern w:val="32"/>
      <w:sz w:val="36"/>
      <w:szCs w:val="28"/>
      <w:lang w:val="en-AU" w:eastAsia="en-AU"/>
    </w:rPr>
  </w:style>
  <w:style w:type="character" w:customStyle="1" w:styleId="Heading3Char">
    <w:name w:val="Heading 3 Char"/>
    <w:basedOn w:val="DefaultParagraphFont"/>
    <w:link w:val="Heading3"/>
    <w:rsid w:val="00EE67DE"/>
    <w:rPr>
      <w:rFonts w:ascii="Calibri" w:eastAsia="Times New Roman" w:hAnsi="Calibri" w:cs="Arial"/>
      <w:color w:val="7F7F7F"/>
      <w:kern w:val="32"/>
      <w:sz w:val="28"/>
      <w:szCs w:val="26"/>
      <w:lang w:val="en-AU" w:eastAsia="en-AU"/>
    </w:rPr>
  </w:style>
  <w:style w:type="character" w:customStyle="1" w:styleId="Heading4Char">
    <w:name w:val="Heading 4 Char"/>
    <w:basedOn w:val="DefaultParagraphFont"/>
    <w:link w:val="Heading4"/>
    <w:rsid w:val="00EE67DE"/>
    <w:rPr>
      <w:rFonts w:ascii="Calibri" w:eastAsia="Times New Roman" w:hAnsi="Calibri" w:cs="Arial"/>
      <w:color w:val="336E98"/>
      <w:kern w:val="32"/>
      <w:sz w:val="26"/>
      <w:szCs w:val="26"/>
      <w:lang w:val="en-AU" w:eastAsia="en-AU"/>
    </w:rPr>
  </w:style>
  <w:style w:type="character" w:customStyle="1" w:styleId="Heading5Char">
    <w:name w:val="Heading 5 Char"/>
    <w:basedOn w:val="DefaultParagraphFont"/>
    <w:link w:val="Heading5"/>
    <w:rsid w:val="00EE67DE"/>
    <w:rPr>
      <w:rFonts w:ascii="Calibri" w:eastAsia="Times New Roman" w:hAnsi="Calibri" w:cs="Arial"/>
      <w:b/>
      <w:iCs/>
      <w:color w:val="004A7F"/>
      <w:kern w:val="32"/>
      <w:szCs w:val="36"/>
      <w:lang w:val="en-AU" w:eastAsia="en-AU"/>
    </w:rPr>
  </w:style>
  <w:style w:type="character" w:customStyle="1" w:styleId="Heading6Char">
    <w:name w:val="Heading 6 Char"/>
    <w:basedOn w:val="DefaultParagraphFont"/>
    <w:link w:val="Heading6"/>
    <w:rsid w:val="00EE67DE"/>
    <w:rPr>
      <w:rFonts w:ascii="Calibri" w:eastAsia="Times New Roman" w:hAnsi="Calibri" w:cs="Arial"/>
      <w:color w:val="004A7F"/>
      <w:kern w:val="32"/>
      <w:lang w:val="en-AU" w:eastAsia="en-AU"/>
    </w:rPr>
  </w:style>
  <w:style w:type="paragraph" w:customStyle="1" w:styleId="ChartGraphic">
    <w:name w:val="Chart Graphic"/>
    <w:basedOn w:val="Normal"/>
    <w:next w:val="Normal"/>
    <w:rsid w:val="00EE67DE"/>
    <w:pPr>
      <w:keepNext/>
      <w:spacing w:before="0" w:after="0"/>
      <w:jc w:val="center"/>
    </w:pPr>
    <w:rPr>
      <w:color w:val="004A7F"/>
      <w:sz w:val="20"/>
    </w:rPr>
  </w:style>
  <w:style w:type="paragraph" w:customStyle="1" w:styleId="AlphaParagraph">
    <w:name w:val="Alpha Paragraph"/>
    <w:basedOn w:val="Normal"/>
    <w:qFormat/>
    <w:rsid w:val="00EE67DE"/>
    <w:pPr>
      <w:numPr>
        <w:ilvl w:val="1"/>
        <w:numId w:val="10"/>
      </w:numPr>
      <w:spacing w:before="0"/>
    </w:pPr>
  </w:style>
  <w:style w:type="paragraph" w:customStyle="1" w:styleId="BoxBullet">
    <w:name w:val="Box Bullet"/>
    <w:basedOn w:val="Normal"/>
    <w:rsid w:val="00EE67DE"/>
    <w:pPr>
      <w:numPr>
        <w:numId w:val="2"/>
      </w:numPr>
      <w:spacing w:before="0"/>
      <w:ind w:left="284" w:hanging="284"/>
    </w:pPr>
  </w:style>
  <w:style w:type="paragraph" w:customStyle="1" w:styleId="BoxDash">
    <w:name w:val="Box Dash"/>
    <w:basedOn w:val="Normal"/>
    <w:rsid w:val="00EE67DE"/>
    <w:pPr>
      <w:numPr>
        <w:ilvl w:val="1"/>
        <w:numId w:val="2"/>
      </w:numPr>
      <w:spacing w:before="0"/>
      <w:ind w:left="568"/>
    </w:pPr>
  </w:style>
  <w:style w:type="paragraph" w:customStyle="1" w:styleId="BoxDoubleDot">
    <w:name w:val="Box Double Dot"/>
    <w:basedOn w:val="Normal"/>
    <w:rsid w:val="00EE67DE"/>
    <w:pPr>
      <w:numPr>
        <w:ilvl w:val="2"/>
        <w:numId w:val="2"/>
      </w:numPr>
      <w:spacing w:before="0"/>
      <w:ind w:left="851" w:hanging="284"/>
    </w:pPr>
  </w:style>
  <w:style w:type="paragraph" w:customStyle="1" w:styleId="BoxHeading">
    <w:name w:val="Box Heading"/>
    <w:basedOn w:val="Normal"/>
    <w:next w:val="Normal"/>
    <w:rsid w:val="00EE67DE"/>
    <w:pPr>
      <w:keepNext/>
      <w:spacing w:before="240"/>
    </w:pPr>
    <w:rPr>
      <w:b/>
      <w:color w:val="004A7F"/>
      <w:sz w:val="26"/>
      <w:szCs w:val="26"/>
    </w:rPr>
  </w:style>
  <w:style w:type="paragraph" w:customStyle="1" w:styleId="BoxText">
    <w:name w:val="Box Text"/>
    <w:basedOn w:val="Normal"/>
    <w:rsid w:val="00EE67DE"/>
  </w:style>
  <w:style w:type="paragraph" w:customStyle="1" w:styleId="Bullet">
    <w:name w:val="Bullet"/>
    <w:basedOn w:val="Normal"/>
    <w:rsid w:val="00EE67DE"/>
    <w:pPr>
      <w:numPr>
        <w:numId w:val="1"/>
      </w:numPr>
      <w:spacing w:before="0"/>
      <w:ind w:left="284" w:hanging="284"/>
    </w:pPr>
  </w:style>
  <w:style w:type="paragraph" w:customStyle="1" w:styleId="ChartandTableFootnoteAlpha">
    <w:name w:val="Chart and Table Footnote Alpha"/>
    <w:rsid w:val="00D06212"/>
    <w:pPr>
      <w:widowControl/>
      <w:numPr>
        <w:numId w:val="7"/>
      </w:numPr>
      <w:tabs>
        <w:tab w:val="num" w:pos="284"/>
      </w:tabs>
      <w:spacing w:after="240" w:line="240" w:lineRule="auto"/>
      <w:ind w:left="284" w:hanging="284"/>
      <w:contextualSpacing/>
      <w:jc w:val="both"/>
    </w:pPr>
    <w:rPr>
      <w:rFonts w:ascii="Calibri" w:eastAsia="Times New Roman" w:hAnsi="Calibri" w:cs="Times New Roman"/>
      <w:color w:val="000000"/>
      <w:sz w:val="18"/>
      <w:szCs w:val="16"/>
      <w:lang w:val="en-AU" w:eastAsia="en-AU"/>
    </w:rPr>
  </w:style>
  <w:style w:type="paragraph" w:customStyle="1" w:styleId="ChartMainHeading">
    <w:name w:val="Chart Main Heading"/>
    <w:basedOn w:val="TableMainHeading"/>
    <w:next w:val="ChartGraphic"/>
    <w:rsid w:val="00EE67DE"/>
    <w:pPr>
      <w:jc w:val="center"/>
    </w:pPr>
  </w:style>
  <w:style w:type="paragraph" w:customStyle="1" w:styleId="ChartorTableNote">
    <w:name w:val="Chart or Table Note"/>
    <w:next w:val="Normal"/>
    <w:rsid w:val="00D06212"/>
    <w:pPr>
      <w:widowControl/>
      <w:spacing w:after="240" w:line="240" w:lineRule="auto"/>
      <w:contextualSpacing/>
      <w:jc w:val="both"/>
    </w:pPr>
    <w:rPr>
      <w:rFonts w:ascii="Calibri" w:eastAsia="Times New Roman" w:hAnsi="Calibri" w:cs="Times New Roman"/>
      <w:color w:val="000000"/>
      <w:sz w:val="18"/>
      <w:szCs w:val="20"/>
      <w:lang w:val="en-AU" w:eastAsia="en-AU"/>
    </w:rPr>
  </w:style>
  <w:style w:type="paragraph" w:customStyle="1" w:styleId="ChartSecondHeading">
    <w:name w:val="Chart Second Heading"/>
    <w:basedOn w:val="TableSecondHeading"/>
    <w:next w:val="ChartGraphic"/>
    <w:rsid w:val="00EE67DE"/>
    <w:pPr>
      <w:jc w:val="center"/>
    </w:pPr>
  </w:style>
  <w:style w:type="paragraph" w:customStyle="1" w:styleId="ReportDate">
    <w:name w:val="Report Date"/>
    <w:basedOn w:val="Normal"/>
    <w:link w:val="ReportDateChar"/>
    <w:rsid w:val="00EE67DE"/>
    <w:pPr>
      <w:keepNext/>
      <w:spacing w:before="0" w:after="360"/>
      <w:ind w:right="139"/>
      <w:jc w:val="right"/>
    </w:pPr>
    <w:rPr>
      <w:color w:val="004A7F"/>
      <w:sz w:val="44"/>
    </w:rPr>
  </w:style>
  <w:style w:type="paragraph" w:customStyle="1" w:styleId="Dash">
    <w:name w:val="Dash"/>
    <w:basedOn w:val="Normal"/>
    <w:rsid w:val="00EE67DE"/>
    <w:pPr>
      <w:numPr>
        <w:ilvl w:val="1"/>
        <w:numId w:val="1"/>
      </w:numPr>
      <w:spacing w:before="0"/>
      <w:ind w:left="568"/>
    </w:pPr>
  </w:style>
  <w:style w:type="paragraph" w:customStyle="1" w:styleId="DoubleDot">
    <w:name w:val="Double Dot"/>
    <w:basedOn w:val="Normal"/>
    <w:rsid w:val="00EE67DE"/>
    <w:pPr>
      <w:numPr>
        <w:ilvl w:val="2"/>
        <w:numId w:val="1"/>
      </w:numPr>
      <w:spacing w:before="0"/>
      <w:ind w:left="851" w:hanging="284"/>
    </w:pPr>
  </w:style>
  <w:style w:type="paragraph" w:customStyle="1" w:styleId="TableMainHeading">
    <w:name w:val="Table Main Heading"/>
    <w:basedOn w:val="Heading3"/>
    <w:next w:val="Normal"/>
    <w:rsid w:val="00D16F9A"/>
    <w:pPr>
      <w:spacing w:before="120"/>
    </w:pPr>
    <w:rPr>
      <w:b/>
    </w:rPr>
  </w:style>
  <w:style w:type="paragraph" w:customStyle="1" w:styleId="FooterEven">
    <w:name w:val="Footer Even"/>
    <w:basedOn w:val="Footer"/>
    <w:rsid w:val="005C3E95"/>
    <w:pPr>
      <w:keepNext/>
      <w:tabs>
        <w:tab w:val="clear" w:pos="4513"/>
        <w:tab w:val="clear" w:pos="9026"/>
      </w:tabs>
      <w:jc w:val="left"/>
    </w:pPr>
    <w:rPr>
      <w:noProof/>
      <w:sz w:val="18"/>
    </w:rPr>
  </w:style>
  <w:style w:type="paragraph" w:customStyle="1" w:styleId="FooterOdd">
    <w:name w:val="Footer Odd"/>
    <w:basedOn w:val="Footer"/>
    <w:rsid w:val="005C3E95"/>
    <w:pPr>
      <w:keepNext/>
      <w:tabs>
        <w:tab w:val="clear" w:pos="4513"/>
        <w:tab w:val="clear" w:pos="9026"/>
      </w:tabs>
      <w:jc w:val="right"/>
    </w:pPr>
    <w:rPr>
      <w:sz w:val="18"/>
    </w:rPr>
  </w:style>
  <w:style w:type="character" w:styleId="Hyperlink">
    <w:name w:val="Hyperlink"/>
    <w:basedOn w:val="DefaultParagraphFont"/>
    <w:uiPriority w:val="99"/>
    <w:rsid w:val="00EE67DE"/>
    <w:rPr>
      <w:color w:val="004A7F"/>
      <w:u w:val="none"/>
    </w:rPr>
  </w:style>
  <w:style w:type="paragraph" w:customStyle="1" w:styleId="OutlineNumbered1">
    <w:name w:val="Outline Numbered 1"/>
    <w:basedOn w:val="Normal"/>
    <w:rsid w:val="00EE67DE"/>
    <w:pPr>
      <w:numPr>
        <w:numId w:val="6"/>
      </w:numPr>
      <w:spacing w:before="0"/>
    </w:pPr>
  </w:style>
  <w:style w:type="paragraph" w:customStyle="1" w:styleId="OneLevelNumberedParagraph">
    <w:name w:val="One Level Numbered Paragraph"/>
    <w:basedOn w:val="Normal"/>
    <w:rsid w:val="00EE67DE"/>
    <w:pPr>
      <w:numPr>
        <w:numId w:val="5"/>
      </w:numPr>
      <w:spacing w:before="0"/>
    </w:pPr>
  </w:style>
  <w:style w:type="paragraph" w:customStyle="1" w:styleId="OutlineNumbered2">
    <w:name w:val="Outline Numbered 2"/>
    <w:basedOn w:val="Normal"/>
    <w:rsid w:val="00EE67DE"/>
    <w:pPr>
      <w:numPr>
        <w:ilvl w:val="1"/>
        <w:numId w:val="6"/>
      </w:numPr>
      <w:spacing w:before="0"/>
    </w:pPr>
  </w:style>
  <w:style w:type="paragraph" w:customStyle="1" w:styleId="OutlineNumbered3">
    <w:name w:val="Outline Numbered 3"/>
    <w:basedOn w:val="Normal"/>
    <w:rsid w:val="00EE67DE"/>
    <w:pPr>
      <w:numPr>
        <w:ilvl w:val="2"/>
        <w:numId w:val="6"/>
      </w:numPr>
      <w:spacing w:before="0"/>
    </w:pPr>
  </w:style>
  <w:style w:type="paragraph" w:customStyle="1" w:styleId="Romannumeral">
    <w:name w:val="Roman numeral"/>
    <w:basedOn w:val="Normal"/>
    <w:rsid w:val="00EE67DE"/>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EE67DE"/>
    <w:pPr>
      <w:spacing w:before="0" w:after="0"/>
    </w:pPr>
  </w:style>
  <w:style w:type="paragraph" w:customStyle="1" w:styleId="TableSecondHeading">
    <w:name w:val="Table Second Heading"/>
    <w:basedOn w:val="Normal"/>
    <w:next w:val="Normal"/>
    <w:rsid w:val="00EE67DE"/>
    <w:pPr>
      <w:keepNext/>
      <w:spacing w:before="0" w:after="20"/>
    </w:pPr>
    <w:rPr>
      <w:b/>
      <w:color w:val="004A7F"/>
    </w:rPr>
  </w:style>
  <w:style w:type="paragraph" w:customStyle="1" w:styleId="TableColumnHeadingCentred">
    <w:name w:val="Table Column Heading Centred"/>
    <w:basedOn w:val="TableTextLeft"/>
    <w:rsid w:val="00C12FFE"/>
    <w:pPr>
      <w:jc w:val="center"/>
    </w:pPr>
    <w:rPr>
      <w:b/>
      <w:color w:val="FFFFFF" w:themeColor="background1"/>
      <w:sz w:val="20"/>
    </w:rPr>
  </w:style>
  <w:style w:type="paragraph" w:customStyle="1" w:styleId="TableColumnHeadingLeft">
    <w:name w:val="Table Column Heading Left"/>
    <w:basedOn w:val="TableTextLeft"/>
    <w:rsid w:val="00C12FFE"/>
    <w:rPr>
      <w:b/>
      <w:color w:val="FFFFFF" w:themeColor="background1"/>
      <w:sz w:val="20"/>
    </w:rPr>
  </w:style>
  <w:style w:type="paragraph" w:customStyle="1" w:styleId="TableColumnHeadingRight">
    <w:name w:val="Table Column Heading Right"/>
    <w:basedOn w:val="TableTextLeft"/>
    <w:rsid w:val="00C12FFE"/>
    <w:pPr>
      <w:jc w:val="right"/>
    </w:pPr>
    <w:rPr>
      <w:b/>
      <w:color w:val="FFFFFF" w:themeColor="background1"/>
      <w:sz w:val="20"/>
    </w:rPr>
  </w:style>
  <w:style w:type="table" w:styleId="TableGrid">
    <w:name w:val="Table Grid"/>
    <w:basedOn w:val="TableNormal"/>
    <w:rsid w:val="00EE67DE"/>
    <w:pPr>
      <w:widowControl/>
      <w:spacing w:after="240" w:line="260" w:lineRule="exact"/>
      <w:jc w:val="both"/>
    </w:pPr>
    <w:rPr>
      <w:rFonts w:ascii="Times New Roman" w:eastAsia="Times New Roman" w:hAnsi="Times New Roman" w:cs="Times New Roman"/>
      <w:sz w:val="20"/>
      <w:szCs w:val="20"/>
      <w:lang w:val="en-AU" w:eastAsia="en-AU"/>
    </w:rPr>
    <w:tblPr/>
    <w:tcPr>
      <w:shd w:val="clear" w:color="auto" w:fill="E6E6E6"/>
    </w:tcPr>
  </w:style>
  <w:style w:type="paragraph" w:customStyle="1" w:styleId="TableTextCentered">
    <w:name w:val="Table Text Centered"/>
    <w:basedOn w:val="TableTextRight"/>
    <w:rsid w:val="00EE67DE"/>
    <w:pPr>
      <w:jc w:val="center"/>
    </w:pPr>
  </w:style>
  <w:style w:type="paragraph" w:customStyle="1" w:styleId="TableTextLeft">
    <w:name w:val="Table Text Left"/>
    <w:basedOn w:val="TableTextRight"/>
    <w:rsid w:val="00EE67DE"/>
    <w:pPr>
      <w:jc w:val="left"/>
    </w:pPr>
  </w:style>
  <w:style w:type="paragraph" w:customStyle="1" w:styleId="TableTextRight">
    <w:name w:val="Table Text Right"/>
    <w:basedOn w:val="Normal"/>
    <w:rsid w:val="00EE67DE"/>
    <w:pPr>
      <w:spacing w:before="40" w:after="40"/>
      <w:jc w:val="right"/>
    </w:pPr>
    <w:rPr>
      <w:color w:val="000000"/>
      <w:sz w:val="18"/>
    </w:rPr>
  </w:style>
  <w:style w:type="paragraph" w:styleId="TOC1">
    <w:name w:val="toc 1"/>
    <w:basedOn w:val="Normal"/>
    <w:next w:val="Normal"/>
    <w:uiPriority w:val="39"/>
    <w:qFormat/>
    <w:rsid w:val="00EE67DE"/>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EE67DE"/>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E67DE"/>
    <w:pPr>
      <w:tabs>
        <w:tab w:val="right" w:leader="dot" w:pos="9072"/>
      </w:tabs>
      <w:spacing w:before="20" w:after="0"/>
      <w:ind w:left="284" w:right="-2"/>
    </w:pPr>
    <w:rPr>
      <w:rFonts w:cs="Calibri"/>
      <w:noProof/>
    </w:rPr>
  </w:style>
  <w:style w:type="numbering" w:customStyle="1" w:styleId="OutlineList">
    <w:name w:val="OutlineList"/>
    <w:uiPriority w:val="99"/>
    <w:rsid w:val="00EE67DE"/>
    <w:pPr>
      <w:numPr>
        <w:numId w:val="4"/>
      </w:numPr>
    </w:pPr>
  </w:style>
  <w:style w:type="numbering" w:customStyle="1" w:styleId="BulletedList">
    <w:name w:val="Bulleted List"/>
    <w:uiPriority w:val="99"/>
    <w:rsid w:val="00EE67DE"/>
    <w:pPr>
      <w:numPr>
        <w:numId w:val="1"/>
      </w:numPr>
    </w:pPr>
  </w:style>
  <w:style w:type="numbering" w:customStyle="1" w:styleId="BoxBulletedList">
    <w:name w:val="Box Bulleted List"/>
    <w:uiPriority w:val="99"/>
    <w:rsid w:val="00EE67DE"/>
    <w:pPr>
      <w:numPr>
        <w:numId w:val="2"/>
      </w:numPr>
    </w:pPr>
  </w:style>
  <w:style w:type="numbering" w:customStyle="1" w:styleId="OneLevelList">
    <w:name w:val="OneLevelList"/>
    <w:uiPriority w:val="99"/>
    <w:rsid w:val="00EE67DE"/>
    <w:pPr>
      <w:numPr>
        <w:numId w:val="3"/>
      </w:numPr>
    </w:pPr>
  </w:style>
  <w:style w:type="numbering" w:customStyle="1" w:styleId="ChartandTableFootnoteAlphaList">
    <w:name w:val="ChartandTableFootnoteAlphaList"/>
    <w:uiPriority w:val="99"/>
    <w:rsid w:val="00EE67DE"/>
    <w:pPr>
      <w:numPr>
        <w:numId w:val="16"/>
      </w:numPr>
    </w:pPr>
  </w:style>
  <w:style w:type="paragraph" w:customStyle="1" w:styleId="Crest">
    <w:name w:val="Crest"/>
    <w:basedOn w:val="Header"/>
    <w:rsid w:val="00EE67DE"/>
    <w:pPr>
      <w:spacing w:after="480"/>
      <w:jc w:val="center"/>
    </w:pPr>
    <w:rPr>
      <w:color w:val="000000" w:themeColor="text1"/>
    </w:rPr>
  </w:style>
  <w:style w:type="paragraph" w:customStyle="1" w:styleId="Heading1Numbered">
    <w:name w:val="Heading 1 Numbered"/>
    <w:basedOn w:val="Heading1"/>
    <w:next w:val="Normal"/>
    <w:rsid w:val="00EE67DE"/>
    <w:pPr>
      <w:numPr>
        <w:numId w:val="8"/>
      </w:numPr>
    </w:pPr>
  </w:style>
  <w:style w:type="character" w:customStyle="1" w:styleId="SingleParagraphChar">
    <w:name w:val="Single Paragraph Char"/>
    <w:basedOn w:val="DefaultParagraphFont"/>
    <w:link w:val="SingleParagraph"/>
    <w:rsid w:val="00EE67DE"/>
    <w:rPr>
      <w:rFonts w:ascii="Calibri" w:eastAsia="Times New Roman" w:hAnsi="Calibri" w:cs="Times New Roman"/>
      <w:szCs w:val="20"/>
      <w:lang w:val="en-AU" w:eastAsia="en-AU"/>
    </w:rPr>
  </w:style>
  <w:style w:type="paragraph" w:customStyle="1" w:styleId="Heading2Numbered">
    <w:name w:val="Heading 2 Numbered"/>
    <w:basedOn w:val="Heading2"/>
    <w:next w:val="Normal"/>
    <w:rsid w:val="00EE67DE"/>
    <w:pPr>
      <w:numPr>
        <w:ilvl w:val="1"/>
        <w:numId w:val="8"/>
      </w:numPr>
      <w:ind w:left="284" w:hanging="284"/>
    </w:pPr>
  </w:style>
  <w:style w:type="paragraph" w:customStyle="1" w:styleId="Heading3Numbered">
    <w:name w:val="Heading 3 Numbered"/>
    <w:basedOn w:val="Heading3"/>
    <w:qFormat/>
    <w:rsid w:val="00EE67DE"/>
    <w:pPr>
      <w:numPr>
        <w:ilvl w:val="2"/>
        <w:numId w:val="8"/>
      </w:numPr>
      <w:ind w:left="284" w:hanging="284"/>
    </w:pPr>
  </w:style>
  <w:style w:type="paragraph" w:styleId="Title">
    <w:name w:val="Title"/>
    <w:basedOn w:val="Normal"/>
    <w:next w:val="Normal"/>
    <w:link w:val="TitleChar"/>
    <w:uiPriority w:val="10"/>
    <w:qFormat/>
    <w:rsid w:val="00EE67DE"/>
    <w:pPr>
      <w:spacing w:before="0" w:after="300"/>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EE67DE"/>
    <w:rPr>
      <w:rFonts w:ascii="Calibri" w:eastAsiaTheme="majorEastAsia" w:hAnsi="Calibri" w:cstheme="majorBidi"/>
      <w:b/>
      <w:color w:val="004A7F"/>
      <w:spacing w:val="5"/>
      <w:kern w:val="28"/>
      <w:sz w:val="72"/>
      <w:szCs w:val="52"/>
      <w:lang w:val="en-AU" w:eastAsia="en-AU"/>
    </w:rPr>
  </w:style>
  <w:style w:type="paragraph" w:styleId="Subtitle">
    <w:name w:val="Subtitle"/>
    <w:basedOn w:val="Normal"/>
    <w:next w:val="Normal"/>
    <w:link w:val="SubtitleChar"/>
    <w:uiPriority w:val="11"/>
    <w:qFormat/>
    <w:rsid w:val="00EE67DE"/>
    <w:pPr>
      <w:numPr>
        <w:ilvl w:val="1"/>
      </w:numPr>
      <w:jc w:val="right"/>
    </w:pPr>
    <w:rPr>
      <w:rFonts w:eastAsiaTheme="majorEastAsia" w:cstheme="majorBidi"/>
      <w:iCs/>
      <w:color w:val="7F7F7F" w:themeColor="text1" w:themeTint="80"/>
      <w:sz w:val="44"/>
      <w:szCs w:val="44"/>
    </w:rPr>
  </w:style>
  <w:style w:type="character" w:customStyle="1" w:styleId="SubtitleChar">
    <w:name w:val="Subtitle Char"/>
    <w:basedOn w:val="DefaultParagraphFont"/>
    <w:link w:val="Subtitle"/>
    <w:uiPriority w:val="11"/>
    <w:rsid w:val="00EE67DE"/>
    <w:rPr>
      <w:rFonts w:ascii="Calibri" w:eastAsiaTheme="majorEastAsia" w:hAnsi="Calibri" w:cstheme="majorBidi"/>
      <w:iCs/>
      <w:color w:val="7F7F7F" w:themeColor="text1" w:themeTint="80"/>
      <w:sz w:val="44"/>
      <w:szCs w:val="44"/>
      <w:lang w:val="en-AU" w:eastAsia="en-AU"/>
    </w:rPr>
  </w:style>
  <w:style w:type="character" w:styleId="SubtleEmphasis">
    <w:name w:val="Subtle Emphasis"/>
    <w:basedOn w:val="DefaultParagraphFont"/>
    <w:uiPriority w:val="19"/>
    <w:qFormat/>
    <w:rsid w:val="00EE67DE"/>
    <w:rPr>
      <w:i/>
      <w:iCs/>
      <w:color w:val="808080" w:themeColor="text1" w:themeTint="7F"/>
    </w:rPr>
  </w:style>
  <w:style w:type="paragraph" w:styleId="Footer">
    <w:name w:val="footer"/>
    <w:basedOn w:val="Normal"/>
    <w:link w:val="FooterChar"/>
    <w:unhideWhenUsed/>
    <w:rsid w:val="00EE67DE"/>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rsid w:val="00EE67DE"/>
    <w:rPr>
      <w:rFonts w:ascii="Calibri" w:eastAsia="Times New Roman" w:hAnsi="Calibri" w:cs="Times New Roman"/>
      <w:color w:val="004A7F"/>
      <w:sz w:val="20"/>
      <w:szCs w:val="20"/>
      <w:lang w:val="en-AU" w:eastAsia="en-AU"/>
    </w:rPr>
  </w:style>
  <w:style w:type="paragraph" w:styleId="Header">
    <w:name w:val="header"/>
    <w:basedOn w:val="Normal"/>
    <w:link w:val="HeaderChar"/>
    <w:uiPriority w:val="99"/>
    <w:unhideWhenUsed/>
    <w:rsid w:val="00EE67DE"/>
    <w:pPr>
      <w:keepNext/>
      <w:spacing w:before="0" w:after="0"/>
      <w:jc w:val="right"/>
    </w:pPr>
    <w:rPr>
      <w:color w:val="004A7F"/>
      <w:sz w:val="20"/>
    </w:rPr>
  </w:style>
  <w:style w:type="character" w:customStyle="1" w:styleId="HeaderChar">
    <w:name w:val="Header Char"/>
    <w:basedOn w:val="DefaultParagraphFont"/>
    <w:link w:val="Header"/>
    <w:uiPriority w:val="99"/>
    <w:rsid w:val="00EE67DE"/>
    <w:rPr>
      <w:rFonts w:ascii="Calibri" w:eastAsia="Times New Roman" w:hAnsi="Calibri" w:cs="Times New Roman"/>
      <w:color w:val="004A7F"/>
      <w:sz w:val="20"/>
      <w:szCs w:val="20"/>
      <w:lang w:val="en-AU" w:eastAsia="en-AU"/>
    </w:rPr>
  </w:style>
  <w:style w:type="character" w:styleId="PlaceholderText">
    <w:name w:val="Placeholder Text"/>
    <w:basedOn w:val="DefaultParagraphFont"/>
    <w:uiPriority w:val="99"/>
    <w:semiHidden/>
    <w:rsid w:val="00EE67DE"/>
    <w:rPr>
      <w:color w:val="808080"/>
    </w:rPr>
  </w:style>
  <w:style w:type="paragraph" w:customStyle="1" w:styleId="AppendixHeading">
    <w:name w:val="Appendix Heading"/>
    <w:basedOn w:val="Normal"/>
    <w:next w:val="Normal"/>
    <w:rsid w:val="00EE67DE"/>
    <w:pPr>
      <w:keepNext/>
      <w:spacing w:before="720" w:after="360"/>
    </w:pPr>
    <w:rPr>
      <w:rFonts w:ascii="Arial Bold" w:hAnsi="Arial Bold"/>
      <w:b/>
      <w:smallCaps/>
      <w:color w:val="004A7F"/>
      <w:sz w:val="36"/>
      <w:szCs w:val="36"/>
    </w:rPr>
  </w:style>
  <w:style w:type="paragraph" w:customStyle="1" w:styleId="HeadingBase">
    <w:name w:val="Heading Base"/>
    <w:qFormat/>
    <w:rsid w:val="00EE67DE"/>
    <w:pPr>
      <w:keepNext/>
      <w:widowControl/>
      <w:spacing w:after="120" w:line="240" w:lineRule="auto"/>
    </w:pPr>
    <w:rPr>
      <w:rFonts w:ascii="Calibri" w:eastAsia="Times New Roman" w:hAnsi="Calibri" w:cs="Arial"/>
      <w:bCs/>
      <w:color w:val="004A7F"/>
      <w:kern w:val="32"/>
      <w:sz w:val="48"/>
      <w:szCs w:val="36"/>
      <w:lang w:val="en-AU" w:eastAsia="en-AU"/>
    </w:rPr>
  </w:style>
  <w:style w:type="character" w:customStyle="1" w:styleId="ReportDateChar">
    <w:name w:val="Report Date Char"/>
    <w:basedOn w:val="DefaultParagraphFont"/>
    <w:link w:val="ReportDate"/>
    <w:rsid w:val="00EE67DE"/>
    <w:rPr>
      <w:rFonts w:ascii="Calibri" w:eastAsia="Times New Roman" w:hAnsi="Calibri" w:cs="Times New Roman"/>
      <w:color w:val="004A7F"/>
      <w:sz w:val="44"/>
      <w:szCs w:val="20"/>
      <w:lang w:val="en-AU" w:eastAsia="en-AU"/>
    </w:rPr>
  </w:style>
  <w:style w:type="paragraph" w:customStyle="1" w:styleId="Disclaimer">
    <w:name w:val="Disclaimer"/>
    <w:basedOn w:val="ReportDate"/>
    <w:rsid w:val="00EE67DE"/>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EE67DE"/>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EE67DE"/>
    <w:pPr>
      <w:spacing w:after="1800"/>
      <w:ind w:right="0"/>
    </w:pPr>
    <w:rPr>
      <w:rFonts w:ascii="Rockwell" w:hAnsi="Rockwell"/>
      <w:sz w:val="24"/>
    </w:rPr>
  </w:style>
  <w:style w:type="character" w:customStyle="1" w:styleId="FramedFooter">
    <w:name w:val="Framed Footer"/>
    <w:rsid w:val="00EE67DE"/>
    <w:rPr>
      <w:rFonts w:ascii="Arial" w:hAnsi="Arial"/>
      <w:color w:val="004A7F"/>
      <w:sz w:val="18"/>
    </w:rPr>
  </w:style>
  <w:style w:type="character" w:customStyle="1" w:styleId="FramedHeader">
    <w:name w:val="Framed Header"/>
    <w:basedOn w:val="DefaultParagraphFont"/>
    <w:rsid w:val="00EE67DE"/>
    <w:rPr>
      <w:rFonts w:ascii="Arial" w:hAnsi="Arial"/>
      <w:dstrike w:val="0"/>
      <w:color w:val="auto"/>
      <w:sz w:val="18"/>
      <w:vertAlign w:val="baseline"/>
    </w:rPr>
  </w:style>
  <w:style w:type="paragraph" w:customStyle="1" w:styleId="TableTextIndented">
    <w:name w:val="Table Text Indented"/>
    <w:basedOn w:val="TableTextLeft"/>
    <w:qFormat/>
    <w:rsid w:val="00EE67DE"/>
    <w:pPr>
      <w:ind w:left="284"/>
    </w:pPr>
  </w:style>
  <w:style w:type="paragraph" w:customStyle="1" w:styleId="TableHeadingContinued">
    <w:name w:val="Table Heading Continued"/>
    <w:basedOn w:val="TableMainHeading"/>
    <w:next w:val="TableGraphic"/>
    <w:qFormat/>
    <w:rsid w:val="00EE67DE"/>
  </w:style>
  <w:style w:type="paragraph" w:customStyle="1" w:styleId="TableGraphic">
    <w:name w:val="Table Graphic"/>
    <w:basedOn w:val="HeadingBase"/>
    <w:next w:val="Normal"/>
    <w:qFormat/>
    <w:rsid w:val="00EE67DE"/>
    <w:pPr>
      <w:spacing w:after="0"/>
    </w:pPr>
  </w:style>
  <w:style w:type="paragraph" w:customStyle="1" w:styleId="HeaderEven">
    <w:name w:val="Header Even"/>
    <w:basedOn w:val="Header"/>
    <w:qFormat/>
    <w:rsid w:val="00EE67DE"/>
    <w:pPr>
      <w:jc w:val="left"/>
    </w:pPr>
  </w:style>
  <w:style w:type="paragraph" w:customStyle="1" w:styleId="HeaderOdd">
    <w:name w:val="Header Odd"/>
    <w:basedOn w:val="Header"/>
    <w:qFormat/>
    <w:rsid w:val="00EE67DE"/>
  </w:style>
  <w:style w:type="paragraph" w:styleId="FootnoteText">
    <w:name w:val="footnote text"/>
    <w:basedOn w:val="Normal"/>
    <w:link w:val="FootnoteTextChar"/>
    <w:uiPriority w:val="99"/>
    <w:rsid w:val="00EE67DE"/>
    <w:pPr>
      <w:spacing w:before="0" w:after="0"/>
    </w:pPr>
    <w:rPr>
      <w:sz w:val="20"/>
    </w:rPr>
  </w:style>
  <w:style w:type="character" w:customStyle="1" w:styleId="FootnoteTextChar">
    <w:name w:val="Footnote Text Char"/>
    <w:basedOn w:val="DefaultParagraphFont"/>
    <w:link w:val="FootnoteText"/>
    <w:uiPriority w:val="99"/>
    <w:rsid w:val="00EE67DE"/>
    <w:rPr>
      <w:rFonts w:ascii="Calibri" w:eastAsia="Times New Roman" w:hAnsi="Calibri" w:cs="Times New Roman"/>
      <w:sz w:val="20"/>
      <w:szCs w:val="20"/>
      <w:lang w:val="en-AU" w:eastAsia="en-AU"/>
    </w:rPr>
  </w:style>
  <w:style w:type="character" w:styleId="FootnoteReference">
    <w:name w:val="footnote reference"/>
    <w:basedOn w:val="DefaultParagraphFont"/>
    <w:uiPriority w:val="99"/>
    <w:rsid w:val="00EE67DE"/>
    <w:rPr>
      <w:rFonts w:ascii="Calibri" w:hAnsi="Calibri"/>
      <w:sz w:val="20"/>
      <w:vertAlign w:val="superscript"/>
    </w:rPr>
  </w:style>
  <w:style w:type="paragraph" w:styleId="BalloonText">
    <w:name w:val="Balloon Text"/>
    <w:basedOn w:val="Normal"/>
    <w:link w:val="BalloonTextChar"/>
    <w:uiPriority w:val="99"/>
    <w:semiHidden/>
    <w:unhideWhenUsed/>
    <w:rsid w:val="00EE67D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7DE"/>
    <w:rPr>
      <w:rFonts w:ascii="Tahoma" w:eastAsia="Times New Roman" w:hAnsi="Tahoma" w:cs="Tahoma"/>
      <w:sz w:val="16"/>
      <w:szCs w:val="16"/>
      <w:lang w:val="en-AU" w:eastAsia="en-AU"/>
    </w:rPr>
  </w:style>
  <w:style w:type="paragraph" w:styleId="Quote">
    <w:name w:val="Quote"/>
    <w:basedOn w:val="Normal"/>
    <w:next w:val="Normal"/>
    <w:link w:val="QuoteChar"/>
    <w:uiPriority w:val="29"/>
    <w:qFormat/>
    <w:rsid w:val="00A05124"/>
    <w:rPr>
      <w:i/>
      <w:iCs/>
      <w:color w:val="000000" w:themeColor="text1"/>
    </w:rPr>
  </w:style>
  <w:style w:type="character" w:customStyle="1" w:styleId="QuoteChar">
    <w:name w:val="Quote Char"/>
    <w:basedOn w:val="DefaultParagraphFont"/>
    <w:link w:val="Quote"/>
    <w:uiPriority w:val="29"/>
    <w:rsid w:val="00A05124"/>
    <w:rPr>
      <w:rFonts w:ascii="Calibri" w:eastAsia="Times New Roman" w:hAnsi="Calibri" w:cs="Times New Roman"/>
      <w:i/>
      <w:iCs/>
      <w:color w:val="000000" w:themeColor="text1"/>
      <w:szCs w:val="20"/>
      <w:lang w:val="en-AU" w:eastAsia="en-AU"/>
    </w:rPr>
  </w:style>
  <w:style w:type="paragraph" w:styleId="IntenseQuote">
    <w:name w:val="Intense Quote"/>
    <w:basedOn w:val="Normal"/>
    <w:next w:val="Normal"/>
    <w:link w:val="IntenseQuoteChar"/>
    <w:uiPriority w:val="30"/>
    <w:qFormat/>
    <w:rsid w:val="00A051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5124"/>
    <w:rPr>
      <w:rFonts w:ascii="Calibri" w:eastAsia="Times New Roman" w:hAnsi="Calibri" w:cs="Times New Roman"/>
      <w:b/>
      <w:bCs/>
      <w:i/>
      <w:iCs/>
      <w:color w:val="4F81BD" w:themeColor="accent1"/>
      <w:szCs w:val="20"/>
      <w:lang w:val="en-AU" w:eastAsia="en-AU"/>
    </w:rPr>
  </w:style>
  <w:style w:type="paragraph" w:customStyle="1" w:styleId="Introductoryparagraph">
    <w:name w:val="Introductory paragraph"/>
    <w:basedOn w:val="Heading3"/>
    <w:qFormat/>
    <w:rsid w:val="00A05124"/>
    <w:rPr>
      <w:rFonts w:eastAsia="Roboto Slab"/>
      <w:sz w:val="26"/>
    </w:rPr>
  </w:style>
  <w:style w:type="table" w:customStyle="1" w:styleId="Style1">
    <w:name w:val="Style1"/>
    <w:basedOn w:val="TableNormal"/>
    <w:uiPriority w:val="99"/>
    <w:rsid w:val="00931EC6"/>
    <w:pPr>
      <w:widowControl/>
      <w:spacing w:after="0" w:line="240" w:lineRule="auto"/>
    </w:pPr>
    <w:tblPr>
      <w:tblStyleRowBandSize w:val="1"/>
      <w:tblBorders>
        <w:insideH w:val="single" w:sz="4" w:space="0" w:color="1F497D" w:themeColor="text2"/>
      </w:tblBorders>
    </w:tblPr>
    <w:tcPr>
      <w:shd w:val="clear" w:color="auto" w:fill="FFFFFF" w:themeFill="background1"/>
    </w:tcPr>
    <w:tblStylePr w:type="firstRow">
      <w:tblPr/>
      <w:tcPr>
        <w:shd w:val="clear" w:color="auto" w:fill="1F497D" w:themeFill="text2"/>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F31FE"/>
    <w:rPr>
      <w:sz w:val="16"/>
      <w:szCs w:val="16"/>
    </w:rPr>
  </w:style>
  <w:style w:type="paragraph" w:styleId="CommentText">
    <w:name w:val="annotation text"/>
    <w:basedOn w:val="Normal"/>
    <w:link w:val="CommentTextChar"/>
    <w:uiPriority w:val="99"/>
    <w:unhideWhenUsed/>
    <w:rsid w:val="004F31FE"/>
    <w:rPr>
      <w:sz w:val="20"/>
    </w:rPr>
  </w:style>
  <w:style w:type="character" w:customStyle="1" w:styleId="CommentTextChar">
    <w:name w:val="Comment Text Char"/>
    <w:basedOn w:val="DefaultParagraphFont"/>
    <w:link w:val="CommentText"/>
    <w:uiPriority w:val="99"/>
    <w:rsid w:val="004F31FE"/>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4F31FE"/>
    <w:rPr>
      <w:b/>
      <w:bCs/>
    </w:rPr>
  </w:style>
  <w:style w:type="character" w:customStyle="1" w:styleId="CommentSubjectChar">
    <w:name w:val="Comment Subject Char"/>
    <w:basedOn w:val="CommentTextChar"/>
    <w:link w:val="CommentSubject"/>
    <w:uiPriority w:val="99"/>
    <w:semiHidden/>
    <w:rsid w:val="004F31FE"/>
    <w:rPr>
      <w:rFonts w:ascii="Calibri" w:eastAsia="Times New Roman" w:hAnsi="Calibri"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creativecommons.org/licenses/by/3.0/au/deed.en" TargetMode="Externa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pmc.gov.au/government/commonwealth-coat-arms)"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D4CEE-E80B-45D3-A5D8-5A806111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9749</Words>
  <Characters>52550</Characters>
  <Application>Microsoft Office Word</Application>
  <DocSecurity>0</DocSecurity>
  <Lines>1751</Lines>
  <Paragraphs>1297</Paragraphs>
  <ScaleCrop>false</ScaleCrop>
  <HeadingPairs>
    <vt:vector size="2" baseType="variant">
      <vt:variant>
        <vt:lpstr>Title</vt:lpstr>
      </vt:variant>
      <vt:variant>
        <vt:i4>1</vt:i4>
      </vt:variant>
    </vt:vector>
  </HeadingPairs>
  <TitlesOfParts>
    <vt:vector size="1" baseType="lpstr">
      <vt:lpstr>Government interim response to Productivity Commission inquiry into horizontal fiscal equalisation</vt:lpstr>
    </vt:vector>
  </TitlesOfParts>
  <Company/>
  <LinksUpToDate>false</LinksUpToDate>
  <CharactersWithSpaces>61002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interim response to Productivity Commission inquiry into horizontal fiscal equalisation</dc:title>
  <dc:subject/>
  <dc:creator/>
  <cp:keywords/>
  <cp:lastModifiedBy/>
  <cp:revision>1</cp:revision>
  <dcterms:created xsi:type="dcterms:W3CDTF">2018-07-10T23:48:00Z</dcterms:created>
  <dcterms:modified xsi:type="dcterms:W3CDTF">2018-07-10T23:48:00Z</dcterms:modified>
</cp:coreProperties>
</file>