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3D4" w:rsidRDefault="00FC33D4" w:rsidP="00CC3919">
      <w:bookmarkStart w:id="0" w:name="_GoBack"/>
      <w:bookmarkEnd w:id="0"/>
    </w:p>
    <w:p w:rsidR="00FC33D4" w:rsidRDefault="0006095A" w:rsidP="00CC3919">
      <w:r>
        <w:rPr>
          <w:noProof/>
          <w:lang w:eastAsia="en-AU"/>
        </w:rPr>
        <mc:AlternateContent>
          <mc:Choice Requires="wps">
            <w:drawing>
              <wp:anchor distT="0" distB="0" distL="114300" distR="114300" simplePos="0" relativeHeight="251661312" behindDoc="0" locked="0" layoutInCell="1" allowOverlap="1" wp14:anchorId="00BB2D74" wp14:editId="27CB5E6F">
                <wp:simplePos x="0" y="0"/>
                <wp:positionH relativeFrom="column">
                  <wp:posOffset>-1043940</wp:posOffset>
                </wp:positionH>
                <wp:positionV relativeFrom="paragraph">
                  <wp:posOffset>3075940</wp:posOffset>
                </wp:positionV>
                <wp:extent cx="6343650" cy="2781300"/>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2781300"/>
                        </a:xfrm>
                        <a:prstGeom prst="rect">
                          <a:avLst/>
                        </a:prstGeom>
                        <a:noFill/>
                        <a:ln w="9525">
                          <a:noFill/>
                          <a:miter lim="800000"/>
                          <a:headEnd/>
                          <a:tailEnd/>
                        </a:ln>
                      </wps:spPr>
                      <wps:txbx>
                        <w:txbxContent>
                          <w:p w:rsidR="001403E7" w:rsidRPr="00CC3919" w:rsidRDefault="001403E7" w:rsidP="00CC3919">
                            <w:pPr>
                              <w:pStyle w:val="Subtitle"/>
                            </w:pPr>
                            <w:r w:rsidRPr="00CC3919">
                              <w:t>To</w:t>
                            </w:r>
                          </w:p>
                          <w:p w:rsidR="001403E7" w:rsidRPr="0006095A" w:rsidRDefault="001403E7" w:rsidP="0006095A">
                            <w:pPr>
                              <w:jc w:val="center"/>
                              <w:rPr>
                                <w:rStyle w:val="SubtleEmphasis"/>
                              </w:rPr>
                            </w:pPr>
                            <w:r>
                              <w:rPr>
                                <w:rStyle w:val="SubtleEmphasis"/>
                              </w:rPr>
                              <w:t>The Productivity Commission</w:t>
                            </w:r>
                          </w:p>
                          <w:p w:rsidR="001403E7" w:rsidRPr="00CC3919" w:rsidRDefault="001403E7" w:rsidP="00CC3919">
                            <w:pPr>
                              <w:pStyle w:val="Subtitle"/>
                            </w:pPr>
                            <w:r w:rsidRPr="00CC3919">
                              <w:t>O</w:t>
                            </w:r>
                            <w:r w:rsidRPr="00CC3919">
                              <w:rPr>
                                <w:rStyle w:val="SubtitleChar"/>
                              </w:rPr>
                              <w:t>n</w:t>
                            </w:r>
                          </w:p>
                          <w:p w:rsidR="001403E7" w:rsidRPr="0006095A" w:rsidRDefault="001403E7" w:rsidP="0006095A">
                            <w:pPr>
                              <w:jc w:val="center"/>
                              <w:rPr>
                                <w:rStyle w:val="SubtleEmphasis"/>
                              </w:rPr>
                            </w:pPr>
                            <w:r>
                              <w:rPr>
                                <w:rStyle w:val="SubtleEmphasis"/>
                              </w:rPr>
                              <w:t>Public Infrastructure Costs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2.2pt;margin-top:242.2pt;width:499.5pt;height:2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" filled="f" stroked="f">
                <v:textbox>
                  <w:txbxContent>
                    <w:p w:rsidR="001403E7" w:rsidRPr="00CC3919" w:rsidRDefault="001403E7" w:rsidP="00CC3919">
                      <w:pPr>
                        <w:pStyle w:val="Subtitle"/>
                      </w:pPr>
                      <w:r w:rsidRPr="00CC3919">
                        <w:t>To</w:t>
                      </w:r>
                    </w:p>
                    <w:p w:rsidR="001403E7" w:rsidRPr="0006095A" w:rsidRDefault="001403E7" w:rsidP="0006095A">
                      <w:pPr>
                        <w:jc w:val="center"/>
                        <w:rPr>
                          <w:rStyle w:val="SubtleEmphasis"/>
                        </w:rPr>
                      </w:pPr>
                      <w:r>
                        <w:rPr>
                          <w:rStyle w:val="SubtleEmphasis"/>
                        </w:rPr>
                        <w:t>The Productivity Commission</w:t>
                      </w:r>
                    </w:p>
                    <w:p w:rsidR="001403E7" w:rsidRPr="00CC3919" w:rsidRDefault="001403E7" w:rsidP="00CC3919">
                      <w:pPr>
                        <w:pStyle w:val="Subtitle"/>
                      </w:pPr>
                      <w:r w:rsidRPr="00CC3919">
                        <w:t>O</w:t>
                      </w:r>
                      <w:r w:rsidRPr="00CC3919">
                        <w:rPr>
                          <w:rStyle w:val="SubtitleChar"/>
                        </w:rPr>
                        <w:t>n</w:t>
                      </w:r>
                    </w:p>
                    <w:p w:rsidR="001403E7" w:rsidRPr="0006095A" w:rsidRDefault="001403E7" w:rsidP="0006095A">
                      <w:pPr>
                        <w:jc w:val="center"/>
                        <w:rPr>
                          <w:rStyle w:val="SubtleEmphasis"/>
                        </w:rPr>
                      </w:pPr>
                      <w:r>
                        <w:rPr>
                          <w:rStyle w:val="SubtleEmphasis"/>
                        </w:rPr>
                        <w:t>Public Infrastructure Costs</w:t>
                      </w:r>
                    </w:p>
                  </w:txbxContent>
                </v:textbox>
              </v:shape>
            </w:pict>
          </mc:Fallback>
        </mc:AlternateContent>
      </w:r>
      <w:r>
        <w:rPr>
          <w:noProof/>
          <w:lang w:eastAsia="en-AU"/>
        </w:rPr>
        <mc:AlternateContent>
          <mc:Choice Requires="wps">
            <w:drawing>
              <wp:anchor distT="0" distB="0" distL="114300" distR="114300" simplePos="0" relativeHeight="251659264" behindDoc="0" locked="0" layoutInCell="1" allowOverlap="1" wp14:anchorId="273EB44F" wp14:editId="2B97FC6A">
                <wp:simplePos x="0" y="0"/>
                <wp:positionH relativeFrom="column">
                  <wp:posOffset>-1043940</wp:posOffset>
                </wp:positionH>
                <wp:positionV relativeFrom="paragraph">
                  <wp:posOffset>1122680</wp:posOffset>
                </wp:positionV>
                <wp:extent cx="6219825" cy="1403985"/>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1403985"/>
                        </a:xfrm>
                        <a:prstGeom prst="rect">
                          <a:avLst/>
                        </a:prstGeom>
                        <a:noFill/>
                        <a:ln w="9525">
                          <a:noFill/>
                          <a:miter lim="800000"/>
                          <a:headEnd/>
                          <a:tailEnd/>
                        </a:ln>
                      </wps:spPr>
                      <wps:txbx>
                        <w:txbxContent>
                          <w:p w:rsidR="001403E7" w:rsidRPr="00CC3919" w:rsidRDefault="001403E7" w:rsidP="00CC3919">
                            <w:pPr>
                              <w:pStyle w:val="Title"/>
                            </w:pPr>
                            <w:r w:rsidRPr="00CC3919">
                              <w:t>AUSTRALASIAN RAILWAY</w:t>
                            </w:r>
                          </w:p>
                          <w:p w:rsidR="001403E7" w:rsidRPr="00CC3919" w:rsidRDefault="001403E7" w:rsidP="00CC3919">
                            <w:pPr>
                              <w:pStyle w:val="Title"/>
                            </w:pPr>
                            <w:r w:rsidRPr="00CC3919">
                              <w:t>ASSOCIATION SUBMISSION</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82.2pt;margin-top:88.4pt;width:489.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" filled="f" stroked="f">
                <v:textbox style="mso-fit-shape-to-text:t">
                  <w:txbxContent>
                    <w:p w:rsidR="001403E7" w:rsidRPr="00CC3919" w:rsidRDefault="001403E7" w:rsidP="00CC3919">
                      <w:pPr>
                        <w:pStyle w:val="Title"/>
                      </w:pPr>
                      <w:r w:rsidRPr="00CC3919">
                        <w:t>AUSTRALASIAN RAILWAY</w:t>
                      </w:r>
                    </w:p>
                    <w:p w:rsidR="001403E7" w:rsidRPr="00CC3919" w:rsidRDefault="001403E7" w:rsidP="00CC3919">
                      <w:pPr>
                        <w:pStyle w:val="Title"/>
                      </w:pPr>
                      <w:r w:rsidRPr="00CC3919">
                        <w:t>ASSOCIATION SUBMISSION</w:t>
                      </w:r>
                    </w:p>
                  </w:txbxContent>
                </v:textbox>
              </v:shape>
            </w:pict>
          </mc:Fallback>
        </mc:AlternateContent>
      </w:r>
      <w:r w:rsidR="00FC33D4">
        <w:br w:type="page"/>
      </w:r>
    </w:p>
    <w:p w:rsidR="006B60F9" w:rsidRPr="0006095A" w:rsidRDefault="006B60F9" w:rsidP="006B60F9">
      <w:pPr>
        <w:pStyle w:val="Heading1"/>
      </w:pPr>
      <w:r>
        <w:rPr>
          <w:rStyle w:val="Heading1Char"/>
          <w:bCs/>
        </w:rPr>
        <w:lastRenderedPageBreak/>
        <w:t>THE ARA</w:t>
      </w:r>
    </w:p>
    <w:p w:rsidR="006B60F9" w:rsidRDefault="006B60F9" w:rsidP="006B60F9">
      <w:pPr>
        <w:spacing w:before="120"/>
        <w:rPr>
          <w:rFonts w:cstheme="minorHAnsi"/>
          <w:szCs w:val="20"/>
        </w:rPr>
      </w:pPr>
      <w:r w:rsidRPr="00831749">
        <w:rPr>
          <w:rFonts w:cstheme="minorHAnsi"/>
          <w:szCs w:val="20"/>
        </w:rPr>
        <w:t xml:space="preserve">The Australasian Railway Association (ARA) is a not-for-profit member-based association </w:t>
      </w:r>
      <w:r>
        <w:rPr>
          <w:rFonts w:cstheme="minorHAnsi"/>
          <w:szCs w:val="20"/>
        </w:rPr>
        <w:t>that represents</w:t>
      </w:r>
      <w:r w:rsidRPr="00831749">
        <w:rPr>
          <w:rFonts w:cstheme="minorHAnsi"/>
          <w:szCs w:val="20"/>
        </w:rPr>
        <w:t xml:space="preserve"> rail throughout Australia, New Zealand and Indonesia. </w:t>
      </w:r>
      <w:r>
        <w:rPr>
          <w:rFonts w:cstheme="minorHAnsi"/>
          <w:szCs w:val="20"/>
        </w:rPr>
        <w:t xml:space="preserve">Our members include </w:t>
      </w:r>
      <w:r w:rsidRPr="00831749">
        <w:rPr>
          <w:rFonts w:cstheme="minorHAnsi"/>
          <w:szCs w:val="20"/>
        </w:rPr>
        <w:t>rail operators, track owners and managers,</w:t>
      </w:r>
      <w:r>
        <w:rPr>
          <w:rFonts w:cstheme="minorHAnsi"/>
          <w:szCs w:val="20"/>
        </w:rPr>
        <w:t xml:space="preserve"> manufacturers, </w:t>
      </w:r>
      <w:r w:rsidRPr="00831749">
        <w:rPr>
          <w:rFonts w:cstheme="minorHAnsi"/>
          <w:szCs w:val="20"/>
        </w:rPr>
        <w:t>construction companies and other firms contribut</w:t>
      </w:r>
      <w:r>
        <w:rPr>
          <w:rFonts w:cstheme="minorHAnsi"/>
          <w:szCs w:val="20"/>
        </w:rPr>
        <w:t>ing</w:t>
      </w:r>
      <w:r w:rsidRPr="00831749">
        <w:rPr>
          <w:rFonts w:cstheme="minorHAnsi"/>
          <w:szCs w:val="20"/>
        </w:rPr>
        <w:t xml:space="preserve"> to the rail sector</w:t>
      </w:r>
      <w:r>
        <w:rPr>
          <w:rFonts w:cstheme="minorHAnsi"/>
          <w:szCs w:val="20"/>
        </w:rPr>
        <w:t xml:space="preserve">. </w:t>
      </w:r>
      <w:r>
        <w:t xml:space="preserve">We contribute to the development of industry and government policies in an effort to </w:t>
      </w:r>
      <w:r w:rsidRPr="00216682">
        <w:rPr>
          <w:rFonts w:cstheme="minorHAnsi"/>
          <w:szCs w:val="20"/>
        </w:rPr>
        <w:t xml:space="preserve">ensure Australia’s passenger and freight transport systems are well represented and will continue to provide improved services for Australia’s growing population. </w:t>
      </w:r>
    </w:p>
    <w:p w:rsidR="006B60F9" w:rsidRDefault="004258D3" w:rsidP="006B60F9">
      <w:pPr>
        <w:rPr>
          <w:rFonts w:cstheme="minorHAnsi"/>
          <w:szCs w:val="20"/>
        </w:rPr>
      </w:pPr>
      <w:r>
        <w:rPr>
          <w:rFonts w:cstheme="minorHAnsi"/>
          <w:szCs w:val="20"/>
        </w:rPr>
        <w:t xml:space="preserve">The ARA thanks the </w:t>
      </w:r>
      <w:r w:rsidR="00B439A9">
        <w:rPr>
          <w:rFonts w:cstheme="minorHAnsi"/>
          <w:szCs w:val="20"/>
        </w:rPr>
        <w:t>Productivity Commission</w:t>
      </w:r>
      <w:r w:rsidR="006B60F9">
        <w:rPr>
          <w:rFonts w:cstheme="minorHAnsi"/>
          <w:szCs w:val="20"/>
        </w:rPr>
        <w:t xml:space="preserve"> for the opportunity to </w:t>
      </w:r>
      <w:r>
        <w:rPr>
          <w:rFonts w:cstheme="minorHAnsi"/>
          <w:szCs w:val="20"/>
        </w:rPr>
        <w:t xml:space="preserve">provide this submission to the </w:t>
      </w:r>
      <w:r w:rsidR="00B439A9">
        <w:rPr>
          <w:rFonts w:cstheme="minorHAnsi"/>
          <w:i/>
          <w:szCs w:val="20"/>
        </w:rPr>
        <w:t>Inquiry into Infrastructure Costs</w:t>
      </w:r>
      <w:r w:rsidR="006B60F9">
        <w:rPr>
          <w:rFonts w:cstheme="minorHAnsi"/>
          <w:szCs w:val="20"/>
        </w:rPr>
        <w:t xml:space="preserve">. For further information regarding this submission, please contact </w:t>
      </w:r>
      <w:proofErr w:type="spellStart"/>
      <w:r w:rsidR="00B439A9">
        <w:rPr>
          <w:rFonts w:cstheme="minorHAnsi"/>
          <w:szCs w:val="20"/>
        </w:rPr>
        <w:t>Rhianne</w:t>
      </w:r>
      <w:proofErr w:type="spellEnd"/>
      <w:r w:rsidR="00B439A9">
        <w:rPr>
          <w:rFonts w:cstheme="minorHAnsi"/>
          <w:szCs w:val="20"/>
        </w:rPr>
        <w:t xml:space="preserve"> </w:t>
      </w:r>
      <w:proofErr w:type="spellStart"/>
      <w:r w:rsidR="00B439A9">
        <w:rPr>
          <w:rFonts w:cstheme="minorHAnsi"/>
          <w:szCs w:val="20"/>
        </w:rPr>
        <w:t>Jory</w:t>
      </w:r>
      <w:proofErr w:type="spellEnd"/>
      <w:r w:rsidR="006B60F9">
        <w:rPr>
          <w:rFonts w:cstheme="minorHAnsi"/>
          <w:szCs w:val="20"/>
        </w:rPr>
        <w:t xml:space="preserve">, </w:t>
      </w:r>
      <w:r w:rsidR="00B439A9">
        <w:rPr>
          <w:rFonts w:cstheme="minorHAnsi"/>
          <w:szCs w:val="20"/>
        </w:rPr>
        <w:t>Associate Director Environment and Regulation</w:t>
      </w:r>
      <w:r w:rsidR="006B60F9">
        <w:rPr>
          <w:rFonts w:cstheme="minorHAnsi"/>
          <w:szCs w:val="20"/>
        </w:rPr>
        <w:t xml:space="preserve"> via </w:t>
      </w:r>
      <w:hyperlink r:id="rId9" w:history="1">
        <w:r w:rsidR="00B439A9" w:rsidRPr="00F2050C">
          <w:rPr>
            <w:rStyle w:val="Hyperlink"/>
            <w:rFonts w:cstheme="minorHAnsi"/>
            <w:szCs w:val="20"/>
          </w:rPr>
          <w:t>rjory@ara.net.au</w:t>
        </w:r>
      </w:hyperlink>
      <w:r w:rsidR="006B60F9">
        <w:rPr>
          <w:rFonts w:cstheme="minorHAnsi"/>
          <w:szCs w:val="20"/>
        </w:rPr>
        <w:t xml:space="preserve"> or 02 6270 45</w:t>
      </w:r>
      <w:r w:rsidR="00B439A9">
        <w:rPr>
          <w:rFonts w:cstheme="minorHAnsi"/>
          <w:szCs w:val="20"/>
        </w:rPr>
        <w:t>04</w:t>
      </w:r>
      <w:r w:rsidR="006B60F9">
        <w:rPr>
          <w:rFonts w:cstheme="minorHAnsi"/>
          <w:szCs w:val="20"/>
        </w:rPr>
        <w:t xml:space="preserve">. </w:t>
      </w:r>
    </w:p>
    <w:p w:rsidR="003C3DA7" w:rsidRDefault="003C3DA7" w:rsidP="00854C13">
      <w:pPr>
        <w:pStyle w:val="Heading1"/>
      </w:pPr>
      <w:r>
        <w:t xml:space="preserve">Scope of the Inquiry </w:t>
      </w:r>
      <w:r w:rsidR="00CE231F">
        <w:t xml:space="preserve">– Definition of Public INfrastructure </w:t>
      </w:r>
    </w:p>
    <w:p w:rsidR="003C3DA7" w:rsidRDefault="003C3DA7" w:rsidP="003C3DA7">
      <w:r>
        <w:t xml:space="preserve">The ARA agrees with the Commission’s definition of public infrastructure and believes that the current definition of public infrastructure as defined by the Commission is accurate. Federal and state governments have long had significant role and responsibilities in both passenger and freight transport networks and services particularly in determining the types of networks and services to be provided as well as the source of revenue streams to be used to pay for the infrastructure and services. </w:t>
      </w:r>
    </w:p>
    <w:p w:rsidR="003C3DA7" w:rsidRDefault="003C3DA7" w:rsidP="003C3DA7">
      <w:r>
        <w:t xml:space="preserve">Having said that, it is important also to have a national perspective applies to some of the locally funded transport projects such as local roads or freight facilities and infrastructure. The key is to look at the local infrastructure in question and assess whether it is an important part of the entire national passenger or freight networks or whether it contributes to the </w:t>
      </w:r>
      <w:r w:rsidR="001A75F5">
        <w:t xml:space="preserve">efficiency, effectiveness and productivity of the national networks. </w:t>
      </w:r>
    </w:p>
    <w:p w:rsidR="001A75F5" w:rsidRPr="001A75F5" w:rsidRDefault="001A75F5" w:rsidP="001A75F5">
      <w:pPr>
        <w:pStyle w:val="Heading1"/>
      </w:pPr>
      <w:r>
        <w:lastRenderedPageBreak/>
        <w:t>the importance of public infrastructure</w:t>
      </w:r>
    </w:p>
    <w:p w:rsidR="001A75F5" w:rsidRDefault="001A75F5" w:rsidP="003C3DA7">
      <w:r>
        <w:t xml:space="preserve">The ARA agrees with Commission that efficient public infrastructure plays a key role in a competitive and productive economy and access to reliable and affordable public infrastructure also has an important role in meeting social and environment objectives. Take </w:t>
      </w:r>
      <w:r w:rsidR="00B64877">
        <w:t>passe</w:t>
      </w:r>
      <w:r>
        <w:t>nger rail as an example, there are a number of benefits including the abilities to:</w:t>
      </w:r>
    </w:p>
    <w:p w:rsidR="001A75F5" w:rsidRDefault="001A75F5" w:rsidP="001A75F5">
      <w:pPr>
        <w:pStyle w:val="ListParagraph"/>
        <w:numPr>
          <w:ilvl w:val="0"/>
          <w:numId w:val="6"/>
        </w:numPr>
      </w:pPr>
      <w:r>
        <w:t>Reduce traffic congestion</w:t>
      </w:r>
    </w:p>
    <w:p w:rsidR="001A75F5" w:rsidRDefault="001A75F5" w:rsidP="001A75F5">
      <w:pPr>
        <w:pStyle w:val="ListParagraph"/>
        <w:numPr>
          <w:ilvl w:val="0"/>
          <w:numId w:val="6"/>
        </w:numPr>
      </w:pPr>
      <w:r>
        <w:t xml:space="preserve">Improve urban amenity </w:t>
      </w:r>
    </w:p>
    <w:p w:rsidR="001A75F5" w:rsidRDefault="00B64877" w:rsidP="001A75F5">
      <w:pPr>
        <w:pStyle w:val="ListParagraph"/>
        <w:numPr>
          <w:ilvl w:val="0"/>
          <w:numId w:val="6"/>
        </w:numPr>
      </w:pPr>
      <w:r>
        <w:t xml:space="preserve">Help communities achieve their environmental goals </w:t>
      </w:r>
    </w:p>
    <w:p w:rsidR="00B64877" w:rsidRDefault="00B64877" w:rsidP="001A75F5">
      <w:pPr>
        <w:pStyle w:val="ListParagraph"/>
        <w:numPr>
          <w:ilvl w:val="0"/>
          <w:numId w:val="6"/>
        </w:numPr>
      </w:pPr>
      <w:r>
        <w:t xml:space="preserve">Promote public health </w:t>
      </w:r>
    </w:p>
    <w:p w:rsidR="00B64877" w:rsidRDefault="00B64877" w:rsidP="00B64877">
      <w:pPr>
        <w:pStyle w:val="ListParagraph"/>
        <w:numPr>
          <w:ilvl w:val="0"/>
          <w:numId w:val="6"/>
        </w:numPr>
      </w:pPr>
      <w:r>
        <w:t xml:space="preserve">Reduce social isolation. </w:t>
      </w:r>
    </w:p>
    <w:p w:rsidR="00B64877" w:rsidRDefault="00B64877" w:rsidP="00B64877">
      <w:r>
        <w:t xml:space="preserve">For more details of the above benefits as well as information on advantages of freight rail, the ARA urges the Commission to refer to the True Value of Rail report (Deloitte Access Economics) as well as the ARA’s submission to the Rural and Regional Affairs and Transport Reference Committee’s Inquiry on Investment of Commonwealth and State Funds in Public Passenger Transport Infrastructure and Services (2009) available on the ARA website. </w:t>
      </w:r>
    </w:p>
    <w:p w:rsidR="00B64877" w:rsidRDefault="00B64877" w:rsidP="00B64877">
      <w:pPr>
        <w:pStyle w:val="Heading1"/>
      </w:pPr>
      <w:r>
        <w:t xml:space="preserve">Distinction between funding and financing </w:t>
      </w:r>
      <w:r w:rsidR="00D877C6">
        <w:t xml:space="preserve">of public infrastructure </w:t>
      </w:r>
    </w:p>
    <w:p w:rsidR="00B64877" w:rsidRDefault="00B64877" w:rsidP="00B64877">
      <w:r>
        <w:t xml:space="preserve">The ARA agrees with the Commission that </w:t>
      </w:r>
      <w:r w:rsidR="00D877C6">
        <w:t>the distinction between funding and financing of public infrastructure must be established.</w:t>
      </w:r>
      <w:r>
        <w:t xml:space="preserve"> </w:t>
      </w:r>
      <w:r w:rsidR="00D877C6">
        <w:t>Both mechanisms</w:t>
      </w:r>
      <w:r>
        <w:t xml:space="preserve"> are essential in creating an efficient and effective market for public transport infrastructure investment. </w:t>
      </w:r>
      <w:r w:rsidR="00D877C6">
        <w:t xml:space="preserve"> The ARA concurs with the definitions provided by</w:t>
      </w:r>
      <w:r w:rsidRPr="00D53C06">
        <w:t xml:space="preserve"> </w:t>
      </w:r>
      <w:r>
        <w:t>Ernst &amp; Young</w:t>
      </w:r>
      <w:r w:rsidR="00D877C6">
        <w:t xml:space="preserve"> in its report for the Financial Services Council titled </w:t>
      </w:r>
      <w:r w:rsidR="00D877C6" w:rsidRPr="00BA424B">
        <w:rPr>
          <w:rFonts w:cstheme="minorHAnsi"/>
          <w:i/>
          <w:sz w:val="18"/>
          <w:szCs w:val="18"/>
        </w:rPr>
        <w:t>Financing Australia’s Infrastructure Needs: Superannuation investment in infrastructure</w:t>
      </w:r>
      <w:r w:rsidR="00D877C6">
        <w:rPr>
          <w:rFonts w:cstheme="minorHAnsi"/>
          <w:i/>
          <w:sz w:val="18"/>
          <w:szCs w:val="18"/>
        </w:rPr>
        <w:t xml:space="preserve"> (</w:t>
      </w:r>
      <w:r w:rsidR="00D877C6" w:rsidRPr="00BA424B">
        <w:rPr>
          <w:rFonts w:cstheme="minorHAnsi"/>
          <w:sz w:val="18"/>
          <w:szCs w:val="18"/>
        </w:rPr>
        <w:t>2011</w:t>
      </w:r>
      <w:r w:rsidR="00D877C6">
        <w:rPr>
          <w:rFonts w:cstheme="minorHAnsi"/>
          <w:sz w:val="18"/>
          <w:szCs w:val="18"/>
        </w:rPr>
        <w:t xml:space="preserve">). </w:t>
      </w:r>
      <w:r w:rsidR="00D877C6" w:rsidRPr="00D877C6">
        <w:t xml:space="preserve">According to Ernst &amp; Young, </w:t>
      </w:r>
      <w:r w:rsidRPr="00D53C06">
        <w:t xml:space="preserve">funding is the allocation of ultimate cash flows that support the construction and operation of infrastructure whereby financing is described as selecting the immediate </w:t>
      </w:r>
      <w:r w:rsidRPr="00D53C06">
        <w:lastRenderedPageBreak/>
        <w:t>source of cash that will physically develop the assets with the repayment of this investment over the life of the asset</w:t>
      </w:r>
      <w:r>
        <w:t>.</w:t>
      </w:r>
      <w:r w:rsidR="00D877C6">
        <w:rPr>
          <w:rStyle w:val="FootnoteReference"/>
        </w:rPr>
        <w:footnoteReference w:id="1"/>
      </w:r>
    </w:p>
    <w:p w:rsidR="00B64877" w:rsidRPr="00D53C06" w:rsidRDefault="00D877C6" w:rsidP="00B64877">
      <w:r>
        <w:t>Similarly,</w:t>
      </w:r>
      <w:r w:rsidR="006B5CA5">
        <w:t xml:space="preserve"> </w:t>
      </w:r>
      <w:r w:rsidR="00B64877">
        <w:t>Infrastructure Australia distinguishes between the two</w:t>
      </w:r>
      <w:r>
        <w:t xml:space="preserve"> mechanisms</w:t>
      </w:r>
      <w:r w:rsidR="00B64877">
        <w:t>, stating:</w:t>
      </w:r>
    </w:p>
    <w:p w:rsidR="006B5CA5" w:rsidRPr="00BA424B" w:rsidRDefault="00B64877" w:rsidP="00B64877">
      <w:pPr>
        <w:ind w:left="720"/>
        <w:rPr>
          <w:i/>
        </w:rPr>
      </w:pPr>
      <w:r>
        <w:rPr>
          <w:i/>
        </w:rPr>
        <w:t>“</w:t>
      </w:r>
      <w:r w:rsidRPr="00BA424B">
        <w:rPr>
          <w:i/>
        </w:rPr>
        <w:t>The term funding… refers to how infrastructure is paid for. Ultimately, there are only two sources of funding for infrastructure, government investment or direct user charges. This is opposed to financing which refers to the way in which debt and/or equity is raised for the delivery and operation of an infrastructure project</w:t>
      </w:r>
      <w:r>
        <w:rPr>
          <w:i/>
        </w:rPr>
        <w:t>”</w:t>
      </w:r>
      <w:r w:rsidR="006B5CA5">
        <w:rPr>
          <w:i/>
        </w:rPr>
        <w:t>.</w:t>
      </w:r>
      <w:r w:rsidR="006B5CA5">
        <w:rPr>
          <w:rStyle w:val="FootnoteReference"/>
        </w:rPr>
        <w:footnoteReference w:id="2"/>
      </w:r>
      <w:r w:rsidR="006B5CA5" w:rsidRPr="00BA424B">
        <w:rPr>
          <w:i/>
        </w:rPr>
        <w:t xml:space="preserve"> </w:t>
      </w:r>
    </w:p>
    <w:p w:rsidR="006B5CA5" w:rsidRPr="00BA424B" w:rsidRDefault="006B5CA5" w:rsidP="00B64877">
      <w:r w:rsidRPr="00BA424B">
        <w:t>Infrastructure Australia follows this differentiation with the statement that “</w:t>
      </w:r>
      <w:r w:rsidRPr="00D53C06">
        <w:t>Australia must embrace bold reforms to find new opportunities to fund projects - and efficient finance - to support an enlarged program of infrastructure delivery</w:t>
      </w:r>
      <w:r w:rsidRPr="00BA424B">
        <w:t>”</w:t>
      </w:r>
      <w:r>
        <w:t>.</w:t>
      </w:r>
      <w:r>
        <w:rPr>
          <w:rStyle w:val="FootnoteReference"/>
        </w:rPr>
        <w:footnoteReference w:id="3"/>
      </w:r>
      <w:r w:rsidRPr="00D53C06">
        <w:t xml:space="preserve"> </w:t>
      </w:r>
    </w:p>
    <w:p w:rsidR="006B5CA5" w:rsidRPr="005F3CE2" w:rsidRDefault="006B5CA5" w:rsidP="00B64877">
      <w:pPr>
        <w:rPr>
          <w:rStyle w:val="SubtleEmphasis"/>
          <w:rFonts w:asciiTheme="minorHAnsi" w:hAnsiTheme="minorHAnsi"/>
          <w:i/>
          <w:iCs w:val="0"/>
          <w:color w:val="0D282D" w:themeColor="text1"/>
          <w:sz w:val="18"/>
        </w:rPr>
      </w:pPr>
      <w:r w:rsidRPr="00BB1077">
        <w:t xml:space="preserve">In essence, funding provides ongoing dollars for a project that are not required to be repaid whereas financing provides up front dollars that will ultimately be repaid (usually with interest). Particularly with regard to financing, governments have a wide range of financing solutions through both the public and private sector. These include but are not limited to Public Private Partnerships </w:t>
      </w:r>
      <w:r>
        <w:t xml:space="preserve">(PPP) </w:t>
      </w:r>
      <w:r w:rsidRPr="00BB1077">
        <w:t>Schemes.</w:t>
      </w:r>
      <w:r>
        <w:t xml:space="preserve">   </w:t>
      </w:r>
    </w:p>
    <w:p w:rsidR="006B5CA5" w:rsidRPr="00854C13" w:rsidRDefault="006B5CA5" w:rsidP="00854C13">
      <w:pPr>
        <w:pStyle w:val="Heading1"/>
      </w:pPr>
      <w:r>
        <w:t>F</w:t>
      </w:r>
      <w:r w:rsidRPr="00854C13">
        <w:t xml:space="preserve">unding and financing </w:t>
      </w:r>
      <w:r>
        <w:br/>
      </w:r>
      <w:r w:rsidRPr="00854C13">
        <w:t xml:space="preserve">major public infrastructure </w:t>
      </w:r>
    </w:p>
    <w:p w:rsidR="006B5CA5" w:rsidRPr="00EA6833" w:rsidRDefault="006B5CA5" w:rsidP="00EA6833">
      <w:r>
        <w:t xml:space="preserve">The ARA has prepared a paper titled </w:t>
      </w:r>
      <w:r>
        <w:rPr>
          <w:i/>
        </w:rPr>
        <w:t xml:space="preserve">Innovative </w:t>
      </w:r>
      <w:proofErr w:type="gramStart"/>
      <w:r>
        <w:rPr>
          <w:i/>
        </w:rPr>
        <w:t>Funding</w:t>
      </w:r>
      <w:proofErr w:type="gramEnd"/>
      <w:r>
        <w:rPr>
          <w:i/>
        </w:rPr>
        <w:t xml:space="preserve"> and Financing for Public Transport: A review of alternative, sustainable funding and financing sources. </w:t>
      </w:r>
      <w:r>
        <w:t xml:space="preserve">This is provided at </w:t>
      </w:r>
      <w:r w:rsidRPr="006B5CA5">
        <w:rPr>
          <w:color w:val="auto"/>
        </w:rPr>
        <w:t>Attachment 1 and answers many of the questions included in the Productivity Commission Issue</w:t>
      </w:r>
      <w:r w:rsidRPr="00EA6833">
        <w:rPr>
          <w:color w:val="auto"/>
        </w:rPr>
        <w:t xml:space="preserve">s Paper. </w:t>
      </w:r>
    </w:p>
    <w:p w:rsidR="006B5CA5" w:rsidRDefault="006B5CA5" w:rsidP="00EA6833">
      <w:r>
        <w:t xml:space="preserve">Although the paper specifically focuses on the funding and financing of public transport infrastructure, the concepts and the identified strengths and weaknesses of the variety of tools that are explored still provide </w:t>
      </w:r>
      <w:proofErr w:type="spellStart"/>
      <w:r>
        <w:t>learnings</w:t>
      </w:r>
      <w:proofErr w:type="spellEnd"/>
      <w:r>
        <w:t xml:space="preserve"> that can be linked to the funding and financing of all forms of major public infrastructure. </w:t>
      </w:r>
    </w:p>
    <w:p w:rsidR="006B5CA5" w:rsidRDefault="006B5CA5" w:rsidP="00EA6833">
      <w:r>
        <w:lastRenderedPageBreak/>
        <w:t>The paper</w:t>
      </w:r>
      <w:r w:rsidRPr="00EA6833">
        <w:t xml:space="preserve"> </w:t>
      </w:r>
      <w:r>
        <w:t>was developed on the basis that Australian Governments (like many others around the world) cannot afford to continue funding infrastructure through general funds. With an infrastructure backlog costed at $300 billion</w:t>
      </w:r>
      <w:r>
        <w:rPr>
          <w:rStyle w:val="FootnoteReference"/>
        </w:rPr>
        <w:footnoteReference w:id="4"/>
      </w:r>
      <w:r>
        <w:t xml:space="preserve"> estimated by Infrastructure Australia, governments of all levels need to innovate and get smarter at funding and financing infrastructure projects. </w:t>
      </w:r>
    </w:p>
    <w:p w:rsidR="006B5CA5" w:rsidRDefault="006B5CA5" w:rsidP="00B3739A">
      <w:r>
        <w:t xml:space="preserve">The paper defines the difference between funding and financing, explores Australia’s current state of play including governance and current funding and then details various revenue raising or financing tools, including the strengths and weaknesses of those tools that have been implemented around the world, at a city, state and national level. </w:t>
      </w:r>
    </w:p>
    <w:p w:rsidR="006B5CA5" w:rsidRDefault="006B5CA5" w:rsidP="006B5CA5">
      <w:r>
        <w:t xml:space="preserve">Rather than recommend one over another, the intention of the paper is to spark debate and highlight the innovative options that could be implemented to ensure long-term investment in Australian infrastructure. </w:t>
      </w:r>
    </w:p>
    <w:p w:rsidR="006B5CA5" w:rsidRDefault="006B5CA5" w:rsidP="006B5CA5">
      <w:r>
        <w:t xml:space="preserve">Recommendations from the paper include: </w:t>
      </w:r>
    </w:p>
    <w:p w:rsidR="006B5CA5" w:rsidRPr="006B5CA5" w:rsidRDefault="006B5CA5" w:rsidP="006B5CA5">
      <w:pPr>
        <w:pStyle w:val="ListParagraph"/>
        <w:numPr>
          <w:ilvl w:val="0"/>
          <w:numId w:val="8"/>
        </w:numPr>
        <w:spacing w:after="200" w:line="360" w:lineRule="auto"/>
        <w:contextualSpacing/>
        <w:rPr>
          <w:rFonts w:asciiTheme="minorHAnsi" w:hAnsiTheme="minorHAnsi" w:cstheme="minorBidi"/>
          <w:color w:val="0D282D" w:themeColor="text1"/>
          <w:sz w:val="20"/>
          <w:lang w:eastAsia="en-US"/>
        </w:rPr>
      </w:pPr>
      <w:r w:rsidRPr="006B5CA5">
        <w:rPr>
          <w:rFonts w:asciiTheme="minorHAnsi" w:hAnsiTheme="minorHAnsi" w:cstheme="minorBidi"/>
          <w:color w:val="0D282D" w:themeColor="text1"/>
          <w:sz w:val="20"/>
          <w:lang w:eastAsia="en-US"/>
        </w:rPr>
        <w:t xml:space="preserve">The use of value capture to fund or contribute to the funding of public transport improvements or the funding of a high speed rail line along Australia’s East Coast. </w:t>
      </w:r>
    </w:p>
    <w:p w:rsidR="006B5CA5" w:rsidRPr="006B5CA5" w:rsidRDefault="006B5CA5" w:rsidP="006B5CA5">
      <w:pPr>
        <w:pStyle w:val="ListParagraph"/>
        <w:numPr>
          <w:ilvl w:val="0"/>
          <w:numId w:val="8"/>
        </w:numPr>
        <w:spacing w:after="200" w:line="360" w:lineRule="auto"/>
        <w:contextualSpacing/>
        <w:rPr>
          <w:rFonts w:asciiTheme="minorHAnsi" w:hAnsiTheme="minorHAnsi" w:cstheme="minorBidi"/>
          <w:color w:val="0D282D" w:themeColor="text1"/>
          <w:sz w:val="20"/>
          <w:lang w:eastAsia="en-US"/>
        </w:rPr>
      </w:pPr>
      <w:r w:rsidRPr="006B5CA5">
        <w:rPr>
          <w:rFonts w:asciiTheme="minorHAnsi" w:hAnsiTheme="minorHAnsi" w:cstheme="minorBidi"/>
          <w:color w:val="0D282D" w:themeColor="text1"/>
          <w:sz w:val="20"/>
          <w:lang w:eastAsia="en-US"/>
        </w:rPr>
        <w:t xml:space="preserve">Further developing Transit-Oriented Developments to provide supporting revenue for public transport systems in Australian capital cities. </w:t>
      </w:r>
    </w:p>
    <w:p w:rsidR="006B5CA5" w:rsidRPr="006B5CA5" w:rsidRDefault="006B5CA5" w:rsidP="006B5CA5">
      <w:pPr>
        <w:pStyle w:val="ListParagraph"/>
        <w:numPr>
          <w:ilvl w:val="0"/>
          <w:numId w:val="8"/>
        </w:numPr>
        <w:spacing w:after="200" w:line="360" w:lineRule="auto"/>
        <w:contextualSpacing/>
        <w:rPr>
          <w:rFonts w:asciiTheme="minorHAnsi" w:hAnsiTheme="minorHAnsi" w:cstheme="minorBidi"/>
          <w:color w:val="0D282D" w:themeColor="text1"/>
          <w:sz w:val="20"/>
          <w:lang w:eastAsia="en-US"/>
        </w:rPr>
      </w:pPr>
      <w:r w:rsidRPr="006B5CA5">
        <w:rPr>
          <w:rFonts w:asciiTheme="minorHAnsi" w:hAnsiTheme="minorHAnsi" w:cstheme="minorBidi"/>
          <w:color w:val="0D282D" w:themeColor="text1"/>
          <w:sz w:val="20"/>
          <w:lang w:eastAsia="en-US"/>
        </w:rPr>
        <w:t xml:space="preserve">The re-introduction of CPI increases to Australia’s fuel tax and potentially the hypothecation of the revenue generated through the fuel tax for public transport and road investment. </w:t>
      </w:r>
    </w:p>
    <w:p w:rsidR="006B5CA5" w:rsidRPr="006B5CA5" w:rsidRDefault="006B5CA5" w:rsidP="006B5CA5">
      <w:pPr>
        <w:pStyle w:val="ListParagraph"/>
        <w:numPr>
          <w:ilvl w:val="0"/>
          <w:numId w:val="8"/>
        </w:numPr>
        <w:spacing w:after="200" w:line="360" w:lineRule="auto"/>
        <w:contextualSpacing/>
        <w:rPr>
          <w:rFonts w:asciiTheme="minorHAnsi" w:hAnsiTheme="minorHAnsi" w:cstheme="minorBidi"/>
          <w:color w:val="0D282D" w:themeColor="text1"/>
          <w:sz w:val="20"/>
          <w:lang w:eastAsia="en-US"/>
        </w:rPr>
      </w:pPr>
      <w:r w:rsidRPr="006B5CA5">
        <w:rPr>
          <w:rFonts w:asciiTheme="minorHAnsi" w:hAnsiTheme="minorHAnsi" w:cstheme="minorBidi"/>
          <w:color w:val="0D282D" w:themeColor="text1"/>
          <w:sz w:val="20"/>
          <w:lang w:eastAsia="en-US"/>
        </w:rPr>
        <w:t xml:space="preserve">A small increase to the GST hypothecated for public transport infrastructure and service investment. </w:t>
      </w:r>
    </w:p>
    <w:p w:rsidR="006B5CA5" w:rsidRPr="006B5CA5" w:rsidRDefault="006B5CA5" w:rsidP="006B5CA5">
      <w:pPr>
        <w:pStyle w:val="ListParagraph"/>
        <w:numPr>
          <w:ilvl w:val="0"/>
          <w:numId w:val="8"/>
        </w:numPr>
        <w:spacing w:after="200" w:line="360" w:lineRule="auto"/>
        <w:contextualSpacing/>
        <w:rPr>
          <w:rFonts w:asciiTheme="minorHAnsi" w:hAnsiTheme="minorHAnsi" w:cstheme="minorBidi"/>
          <w:color w:val="0D282D" w:themeColor="text1"/>
          <w:sz w:val="20"/>
          <w:lang w:eastAsia="en-US"/>
        </w:rPr>
      </w:pPr>
      <w:r w:rsidRPr="006B5CA5">
        <w:rPr>
          <w:rFonts w:asciiTheme="minorHAnsi" w:hAnsiTheme="minorHAnsi" w:cstheme="minorBidi"/>
          <w:color w:val="0D282D" w:themeColor="text1"/>
          <w:sz w:val="20"/>
          <w:lang w:eastAsia="en-US"/>
        </w:rPr>
        <w:t xml:space="preserve">The introduction of a small payroll tax hypothecated for public transport infrastructure and service investment. </w:t>
      </w:r>
    </w:p>
    <w:p w:rsidR="006B5CA5" w:rsidRPr="006B5CA5" w:rsidRDefault="006B5CA5" w:rsidP="006B5CA5">
      <w:pPr>
        <w:pStyle w:val="ListParagraph"/>
        <w:numPr>
          <w:ilvl w:val="0"/>
          <w:numId w:val="8"/>
        </w:numPr>
        <w:spacing w:after="200" w:line="360" w:lineRule="auto"/>
        <w:contextualSpacing/>
        <w:rPr>
          <w:rFonts w:asciiTheme="minorHAnsi" w:hAnsiTheme="minorHAnsi" w:cstheme="minorBidi"/>
          <w:color w:val="0D282D" w:themeColor="text1"/>
          <w:sz w:val="20"/>
          <w:lang w:eastAsia="en-US"/>
        </w:rPr>
      </w:pPr>
      <w:r w:rsidRPr="006B5CA5">
        <w:rPr>
          <w:rFonts w:asciiTheme="minorHAnsi" w:hAnsiTheme="minorHAnsi" w:cstheme="minorBidi"/>
          <w:color w:val="0D282D" w:themeColor="text1"/>
          <w:sz w:val="20"/>
          <w:lang w:eastAsia="en-US"/>
        </w:rPr>
        <w:t xml:space="preserve">The use of congestion charging to manage road user congestion and generate dedicated funds to invest in the public transport systems in cities. </w:t>
      </w:r>
    </w:p>
    <w:p w:rsidR="006B5CA5" w:rsidRPr="006B5CA5" w:rsidRDefault="006B5CA5" w:rsidP="006B5CA5">
      <w:pPr>
        <w:pStyle w:val="ListParagraph"/>
        <w:numPr>
          <w:ilvl w:val="0"/>
          <w:numId w:val="8"/>
        </w:numPr>
        <w:spacing w:after="200" w:line="360" w:lineRule="auto"/>
        <w:contextualSpacing/>
        <w:rPr>
          <w:rFonts w:cstheme="minorBidi"/>
          <w:sz w:val="20"/>
          <w:lang w:eastAsia="en-US"/>
        </w:rPr>
      </w:pPr>
      <w:r w:rsidRPr="006B5CA5">
        <w:rPr>
          <w:rFonts w:asciiTheme="minorHAnsi" w:hAnsiTheme="minorHAnsi" w:cstheme="minorBidi"/>
          <w:color w:val="0D282D" w:themeColor="text1"/>
          <w:sz w:val="20"/>
          <w:lang w:eastAsia="en-US"/>
        </w:rPr>
        <w:t xml:space="preserve">Review of the current PPP frameworks and other financing mechanisms to encourage greater private sector (local and international investors) to participate in economic infrastructure financing. </w:t>
      </w:r>
    </w:p>
    <w:p w:rsidR="006B5CA5" w:rsidRDefault="006B5CA5" w:rsidP="00C50517">
      <w:pPr>
        <w:pStyle w:val="Heading2"/>
      </w:pPr>
      <w:r>
        <w:lastRenderedPageBreak/>
        <w:t>Cost of land</w:t>
      </w:r>
    </w:p>
    <w:p w:rsidR="006B5CA5" w:rsidRDefault="006B5CA5" w:rsidP="00C50517">
      <w:r>
        <w:t xml:space="preserve">With Australia’s growing population and continued urban sprawl, land acquisition costs also continue to increase, driving up the cost of public infrastructure projects. However, the use of innovative funding mechanisms such as value uplift capture and transit oriented developments (for public transport infrastructure projects) can neutralise or even provide a revenue stream for these projects. </w:t>
      </w:r>
    </w:p>
    <w:p w:rsidR="006B5CA5" w:rsidRDefault="006B5CA5" w:rsidP="00C50517">
      <w:r>
        <w:t xml:space="preserve">The innovative funding and financing paper included at Attachment 1 details the successful implementation of value uplift capture in Hong Kong and Downtown Kansas City that has been used to fund public transport by recapturing part of the property value increase the public transport investment has initiated. </w:t>
      </w:r>
    </w:p>
    <w:p w:rsidR="006B5CA5" w:rsidRDefault="006B5CA5" w:rsidP="00C50517">
      <w:r>
        <w:t xml:space="preserve">Another example of this is the Japanese high speed rail system </w:t>
      </w:r>
      <w:proofErr w:type="gramStart"/>
      <w:r>
        <w:t>who</w:t>
      </w:r>
      <w:proofErr w:type="gramEnd"/>
      <w:r>
        <w:t xml:space="preserve"> subsidised the operation by buying additional land adjacent to the corridor and then selling the land back to developers once the system was operational and the value of the land had increased. Today, Japanese high speed rail operators manage significant transport-oriented developments, including hotels, car parks, retail shopping centres and apartment buildings.   </w:t>
      </w:r>
    </w:p>
    <w:p w:rsidR="006B5CA5" w:rsidRDefault="006B5CA5" w:rsidP="00C50517">
      <w:r>
        <w:t xml:space="preserve">Overseas experience implementing value uplift capture or building transport-oriented developments is certainly something that should replicated here in Australia to help fund transport projects. </w:t>
      </w:r>
    </w:p>
    <w:p w:rsidR="006B5CA5" w:rsidRDefault="006B5CA5" w:rsidP="006B5CA5">
      <w:pPr>
        <w:pStyle w:val="Heading1"/>
      </w:pPr>
      <w:r>
        <w:t xml:space="preserve">The provision of public infrastructure – the role of </w:t>
      </w:r>
      <w:r w:rsidR="008D62A2">
        <w:t xml:space="preserve">THE PRIVATE SECTOR SUCH AS </w:t>
      </w:r>
      <w:r>
        <w:t xml:space="preserve">superannuation funds </w:t>
      </w:r>
    </w:p>
    <w:p w:rsidR="006B5CA5" w:rsidRPr="005167F2" w:rsidRDefault="006B5CA5" w:rsidP="006B5CA5">
      <w:pPr>
        <w:rPr>
          <w:color w:val="0D282D"/>
        </w:rPr>
      </w:pPr>
      <w:r w:rsidRPr="005167F2">
        <w:rPr>
          <w:color w:val="0D282D"/>
        </w:rPr>
        <w:t xml:space="preserve">Using private superannuation funds to finance infrastructure projects is not a new concept. Super funds have been directly and indirectly drawn upon to finance infrastructure projects in Australia for many years. Some examples include the Lane Cove Tunnel and Cross City Tunnel in NSW, Port of Brisbane, Adelaide Airport and Melbourne Airport. One of the most recent projects is Port Botany in NSW where the NSW Ports Consortium led by Industry Funds </w:t>
      </w:r>
      <w:r w:rsidRPr="005167F2">
        <w:rPr>
          <w:color w:val="0D282D"/>
        </w:rPr>
        <w:lastRenderedPageBreak/>
        <w:t xml:space="preserve">Management, </w:t>
      </w:r>
      <w:proofErr w:type="spellStart"/>
      <w:r w:rsidRPr="005167F2">
        <w:rPr>
          <w:color w:val="0D282D"/>
        </w:rPr>
        <w:t>AustralianSuper</w:t>
      </w:r>
      <w:proofErr w:type="spellEnd"/>
      <w:r w:rsidRPr="005167F2">
        <w:rPr>
          <w:color w:val="0D282D"/>
        </w:rPr>
        <w:t xml:space="preserve">, </w:t>
      </w:r>
      <w:proofErr w:type="spellStart"/>
      <w:r w:rsidRPr="005167F2">
        <w:rPr>
          <w:color w:val="0D282D"/>
        </w:rPr>
        <w:t>CBus</w:t>
      </w:r>
      <w:proofErr w:type="spellEnd"/>
      <w:r w:rsidRPr="005167F2">
        <w:rPr>
          <w:color w:val="0D282D"/>
        </w:rPr>
        <w:t xml:space="preserve">, HESTA, HOSTPLUS and </w:t>
      </w:r>
      <w:proofErr w:type="spellStart"/>
      <w:r w:rsidRPr="005167F2">
        <w:rPr>
          <w:color w:val="0D282D"/>
        </w:rPr>
        <w:t>Tawreed</w:t>
      </w:r>
      <w:proofErr w:type="spellEnd"/>
      <w:r w:rsidRPr="005167F2">
        <w:rPr>
          <w:color w:val="0D282D"/>
        </w:rPr>
        <w:t xml:space="preserve"> Investments Limited, a wholly-owned subsidiary of the Abu Dhabi Investment Authority, was the successful bidder. </w:t>
      </w:r>
    </w:p>
    <w:p w:rsidR="006B5CA5" w:rsidRPr="005167F2" w:rsidRDefault="006B5CA5" w:rsidP="006B5CA5">
      <w:pPr>
        <w:rPr>
          <w:rFonts w:ascii="Arial" w:hAnsi="Arial" w:cs="Arial"/>
          <w:color w:val="0D282D"/>
        </w:rPr>
      </w:pPr>
      <w:r w:rsidRPr="005167F2">
        <w:rPr>
          <w:color w:val="0D282D"/>
        </w:rPr>
        <w:t>Initial estimates of the privatisation of Port Botany by the NSW Government were between $3-4 billion.</w:t>
      </w:r>
      <w:r w:rsidRPr="005167F2">
        <w:rPr>
          <w:rStyle w:val="FootnoteReference"/>
          <w:color w:val="0D282D"/>
        </w:rPr>
        <w:footnoteReference w:id="5"/>
      </w:r>
      <w:r w:rsidRPr="005167F2">
        <w:rPr>
          <w:color w:val="0D282D"/>
        </w:rPr>
        <w:t xml:space="preserve"> The proceeds from the transaction, the NSW Government has committed to invest in Restart NSW – the fund established by the NSW Government to deliver vital infrastructure projects, with 30 per cent of the fund to be reserved for projects in regional areas.</w:t>
      </w:r>
      <w:r w:rsidRPr="005167F2">
        <w:rPr>
          <w:rStyle w:val="FootnoteReference"/>
          <w:color w:val="0D282D"/>
        </w:rPr>
        <w:footnoteReference w:id="6"/>
      </w:r>
      <w:r w:rsidRPr="005167F2">
        <w:rPr>
          <w:color w:val="0D282D"/>
        </w:rPr>
        <w:t xml:space="preserve"> The final sale price of Port Botany was $5.1 billion.</w:t>
      </w:r>
      <w:r w:rsidRPr="005167F2">
        <w:rPr>
          <w:rStyle w:val="FootnoteReference"/>
          <w:color w:val="0D282D"/>
        </w:rPr>
        <w:footnoteReference w:id="7"/>
      </w:r>
      <w:r w:rsidRPr="005167F2">
        <w:rPr>
          <w:rStyle w:val="FootnoteReference"/>
          <w:color w:val="0D282D"/>
        </w:rPr>
        <w:t xml:space="preserve"> </w:t>
      </w:r>
      <w:r w:rsidRPr="005167F2">
        <w:rPr>
          <w:color w:val="0D282D"/>
        </w:rPr>
        <w:t xml:space="preserve">This exceeded all estimates and truly reflected the global demand for quality infrastructure for our nation. </w:t>
      </w:r>
    </w:p>
    <w:p w:rsidR="006B5CA5" w:rsidRPr="005167F2" w:rsidRDefault="006B5CA5" w:rsidP="006B5CA5">
      <w:pPr>
        <w:rPr>
          <w:color w:val="0D282D"/>
        </w:rPr>
      </w:pPr>
      <w:r w:rsidRPr="005167F2">
        <w:rPr>
          <w:color w:val="0D282D"/>
        </w:rPr>
        <w:t>The super industry has experienced significant growth in recent times growing by around 92% from $637 billion in 2004.</w:t>
      </w:r>
      <w:r w:rsidRPr="005167F2">
        <w:rPr>
          <w:rStyle w:val="FootnoteReference"/>
          <w:rFonts w:ascii="Arial" w:hAnsi="Arial" w:cs="Arial"/>
          <w:color w:val="0D282D"/>
          <w:sz w:val="24"/>
          <w:szCs w:val="24"/>
        </w:rPr>
        <w:footnoteReference w:id="8"/>
      </w:r>
      <w:r w:rsidRPr="005167F2">
        <w:rPr>
          <w:color w:val="0D282D"/>
        </w:rPr>
        <w:t xml:space="preserve"> The projects outlined above are a good indication of the move by the Australian and State governments to embrace this financing model however the investment to date only constitutes a small amount of super </w:t>
      </w:r>
      <w:proofErr w:type="spellStart"/>
      <w:r w:rsidRPr="005167F2">
        <w:rPr>
          <w:color w:val="0D282D"/>
        </w:rPr>
        <w:t>funds</w:t>
      </w:r>
      <w:proofErr w:type="spellEnd"/>
      <w:r w:rsidRPr="005167F2">
        <w:rPr>
          <w:color w:val="0D282D"/>
        </w:rPr>
        <w:t xml:space="preserve"> total assets which are estimated to be around $1,225 billion.</w:t>
      </w:r>
      <w:r w:rsidRPr="005167F2">
        <w:rPr>
          <w:rStyle w:val="FootnoteReference"/>
          <w:rFonts w:ascii="Arial" w:hAnsi="Arial" w:cs="Arial"/>
          <w:color w:val="0D282D"/>
          <w:sz w:val="24"/>
          <w:szCs w:val="24"/>
        </w:rPr>
        <w:footnoteReference w:id="9"/>
      </w:r>
      <w:r w:rsidRPr="005167F2">
        <w:rPr>
          <w:color w:val="0D282D"/>
        </w:rPr>
        <w:t xml:space="preserve"> </w:t>
      </w:r>
    </w:p>
    <w:p w:rsidR="006B5CA5" w:rsidRPr="005167F2" w:rsidRDefault="006B5CA5" w:rsidP="006B5CA5">
      <w:pPr>
        <w:rPr>
          <w:color w:val="0D282D"/>
        </w:rPr>
      </w:pPr>
      <w:r w:rsidRPr="005167F2">
        <w:rPr>
          <w:color w:val="0D282D"/>
        </w:rPr>
        <w:t>According to the Association of Superannuation Funds of Australia, the actual range of investment by a super fund depends on a number of factors. Some do not invest in infrastructure while others may invest over ten per cent of their total assets. General allocations range between two to over ten per cent of the assets.</w:t>
      </w:r>
      <w:r w:rsidRPr="005167F2">
        <w:rPr>
          <w:rStyle w:val="FootnoteReference"/>
          <w:color w:val="0D282D"/>
        </w:rPr>
        <w:footnoteReference w:id="10"/>
      </w:r>
      <w:r w:rsidRPr="005167F2">
        <w:rPr>
          <w:color w:val="0D282D"/>
        </w:rPr>
        <w:t xml:space="preserve"> Data reveals that at present specialist infrastructure investment managers manage about $48.8 billion.</w:t>
      </w:r>
      <w:r w:rsidRPr="005167F2">
        <w:rPr>
          <w:rStyle w:val="FootnoteReference"/>
          <w:color w:val="0D282D"/>
        </w:rPr>
        <w:footnoteReference w:id="11"/>
      </w:r>
      <w:r w:rsidRPr="005167F2">
        <w:rPr>
          <w:color w:val="0D282D"/>
        </w:rPr>
        <w:t xml:space="preserve">  </w:t>
      </w:r>
    </w:p>
    <w:p w:rsidR="006B5CA5" w:rsidRPr="005167F2" w:rsidRDefault="006B5CA5" w:rsidP="006B5CA5">
      <w:pPr>
        <w:rPr>
          <w:color w:val="0D282D"/>
        </w:rPr>
      </w:pPr>
      <w:r w:rsidRPr="005167F2">
        <w:rPr>
          <w:color w:val="0D282D"/>
        </w:rPr>
        <w:t xml:space="preserve">Ernst and Young stated in a recent report that only a small amount of the super </w:t>
      </w:r>
      <w:proofErr w:type="spellStart"/>
      <w:r w:rsidRPr="005167F2">
        <w:rPr>
          <w:color w:val="0D282D"/>
        </w:rPr>
        <w:t>funds</w:t>
      </w:r>
      <w:proofErr w:type="spellEnd"/>
      <w:r w:rsidRPr="005167F2">
        <w:rPr>
          <w:color w:val="0D282D"/>
        </w:rPr>
        <w:t xml:space="preserve"> total assets are allocated to the infrastructure sector. As banks’ appetite for infrastructure funding continues to decrease, superannuation funds become an even more lucrative source of financing. If Australia is to continue its economic growth and international competiveness, it is imperative that superannuation funds assume a greater role in infrastructure investment. </w:t>
      </w:r>
    </w:p>
    <w:p w:rsidR="006B5CA5" w:rsidRPr="00384855" w:rsidRDefault="006B5CA5" w:rsidP="006B5CA5">
      <w:pPr>
        <w:pStyle w:val="Heading2"/>
      </w:pPr>
      <w:r w:rsidRPr="00384855">
        <w:lastRenderedPageBreak/>
        <w:t xml:space="preserve">The willingness to increase </w:t>
      </w:r>
      <w:r>
        <w:t xml:space="preserve">private sector </w:t>
      </w:r>
      <w:r w:rsidRPr="00384855">
        <w:t>participation</w:t>
      </w:r>
    </w:p>
    <w:p w:rsidR="006B5CA5" w:rsidRDefault="006B5CA5" w:rsidP="006B5CA5">
      <w:r>
        <w:t>R</w:t>
      </w:r>
      <w:r w:rsidRPr="00384855">
        <w:t>ecent</w:t>
      </w:r>
      <w:r>
        <w:t>ly</w:t>
      </w:r>
      <w:r w:rsidRPr="00384855">
        <w:t xml:space="preserve"> the Australian</w:t>
      </w:r>
      <w:r>
        <w:t xml:space="preserve"> and State g</w:t>
      </w:r>
      <w:r w:rsidRPr="00384855">
        <w:t>overnment</w:t>
      </w:r>
      <w:r>
        <w:t>s</w:t>
      </w:r>
      <w:r w:rsidRPr="00384855">
        <w:t xml:space="preserve"> </w:t>
      </w:r>
      <w:r>
        <w:t>as well as</w:t>
      </w:r>
      <w:r w:rsidRPr="00384855">
        <w:t xml:space="preserve"> </w:t>
      </w:r>
      <w:r>
        <w:t xml:space="preserve">the </w:t>
      </w:r>
      <w:r w:rsidRPr="00384855">
        <w:t>Superannuation industry have expressed their willingness to increase super funds participation</w:t>
      </w:r>
      <w:r>
        <w:t xml:space="preserve"> in infrastructure investment. In 2012, t</w:t>
      </w:r>
      <w:r w:rsidRPr="00384855">
        <w:t>he Federal government released a new tax and other infrastructure reforms that would allow for a “lower weighted average cost of capital for eligible projects, lower compliance costs and greater certainty, especially for brownfield investors such as superannuation funds”</w:t>
      </w:r>
      <w:r>
        <w:rPr>
          <w:rStyle w:val="FootnoteReference"/>
        </w:rPr>
        <w:footnoteReference w:id="12"/>
      </w:r>
      <w:r w:rsidRPr="00384855">
        <w:t xml:space="preserve">. </w:t>
      </w:r>
      <w:r w:rsidRPr="005677AD">
        <w:t xml:space="preserve">The PPPs reform in Victoria is </w:t>
      </w:r>
      <w:r>
        <w:t>also a</w:t>
      </w:r>
      <w:r w:rsidRPr="005677AD">
        <w:t xml:space="preserve"> good example</w:t>
      </w:r>
      <w:r>
        <w:t xml:space="preserve"> of State government commitment to this issue</w:t>
      </w:r>
      <w:r w:rsidRPr="005677AD">
        <w:t>.  </w:t>
      </w:r>
      <w:r>
        <w:t>The Victorian government</w:t>
      </w:r>
      <w:r w:rsidRPr="005677AD">
        <w:t xml:space="preserve"> reduced bid costs, modified finance structures, </w:t>
      </w:r>
      <w:proofErr w:type="gramStart"/>
      <w:r>
        <w:t>introduced</w:t>
      </w:r>
      <w:proofErr w:type="gramEnd"/>
      <w:r>
        <w:t xml:space="preserve"> </w:t>
      </w:r>
      <w:r w:rsidRPr="005677AD">
        <w:t>a framework that delivers better value for money, expanded coverage of services and more accessible P</w:t>
      </w:r>
      <w:r>
        <w:t>PP models for smaller projects to</w:t>
      </w:r>
      <w:r w:rsidRPr="005677AD">
        <w:t xml:space="preserve"> help boost the level of PPP investment in Victoria.</w:t>
      </w:r>
      <w:r>
        <w:rPr>
          <w:color w:val="1F497D"/>
        </w:rPr>
        <w:t xml:space="preserve"> </w:t>
      </w:r>
      <w:r w:rsidRPr="005677AD">
        <w:t xml:space="preserve">It is believed that the new </w:t>
      </w:r>
      <w:r>
        <w:t xml:space="preserve">PPPs arrangements in Victoria are in </w:t>
      </w:r>
      <w:r w:rsidRPr="005677AD">
        <w:t xml:space="preserve">response to </w:t>
      </w:r>
      <w:r>
        <w:t>fluctuations</w:t>
      </w:r>
      <w:r w:rsidRPr="005677AD">
        <w:t xml:space="preserve"> in market conditions, specifically, the Government and private sector’s fiscal </w:t>
      </w:r>
      <w:r>
        <w:t>limitations</w:t>
      </w:r>
      <w:r w:rsidRPr="005677AD">
        <w:t xml:space="preserve"> and the </w:t>
      </w:r>
      <w:proofErr w:type="gramStart"/>
      <w:r w:rsidRPr="005677AD">
        <w:t>public’s</w:t>
      </w:r>
      <w:proofErr w:type="gramEnd"/>
      <w:r w:rsidRPr="005677AD">
        <w:t xml:space="preserve"> increasing demand for</w:t>
      </w:r>
      <w:r>
        <w:t xml:space="preserve"> quality</w:t>
      </w:r>
      <w:r w:rsidRPr="005677AD">
        <w:t xml:space="preserve"> infrastructure</w:t>
      </w:r>
      <w:r>
        <w:t xml:space="preserve"> and services</w:t>
      </w:r>
      <w:r w:rsidRPr="005677AD">
        <w:t xml:space="preserve">. </w:t>
      </w:r>
      <w:r>
        <w:t>Either way, the</w:t>
      </w:r>
      <w:r w:rsidRPr="005677AD">
        <w:t xml:space="preserve"> reforms show a clear commitment from the Victorian Government for an increase </w:t>
      </w:r>
      <w:r>
        <w:t xml:space="preserve">in the </w:t>
      </w:r>
      <w:r w:rsidRPr="005677AD">
        <w:t>level of PPPs in the</w:t>
      </w:r>
      <w:r>
        <w:t xml:space="preserve"> jurisdiction</w:t>
      </w:r>
      <w:r w:rsidRPr="005677AD">
        <w:t xml:space="preserve">, and a willingness to address changes in market conditions. </w:t>
      </w:r>
    </w:p>
    <w:p w:rsidR="006B5CA5" w:rsidRPr="00384855" w:rsidRDefault="006B5CA5" w:rsidP="006B5CA5">
      <w:r>
        <w:t xml:space="preserve">The Superannuation industry </w:t>
      </w:r>
      <w:r w:rsidRPr="00384855">
        <w:t>has also stated that Australian super funds are willi</w:t>
      </w:r>
      <w:r>
        <w:t>ng to provide more of the $1.3</w:t>
      </w:r>
      <w:r w:rsidRPr="00384855">
        <w:t xml:space="preserve"> trillion super savings into infrastructure projects such as rail and power stations, given the right investment framework and allocation of risk</w:t>
      </w:r>
      <w:r>
        <w:rPr>
          <w:rStyle w:val="FootnoteReference"/>
        </w:rPr>
        <w:footnoteReference w:id="13"/>
      </w:r>
      <w:r w:rsidRPr="00384855">
        <w:t xml:space="preserve">. </w:t>
      </w:r>
      <w:r>
        <w:t>However, d</w:t>
      </w:r>
      <w:r w:rsidRPr="00384855">
        <w:t>espite willingness</w:t>
      </w:r>
      <w:r>
        <w:t xml:space="preserve"> from</w:t>
      </w:r>
      <w:r w:rsidRPr="00384855">
        <w:t xml:space="preserve"> the public and private sector, the involvement of super funds in transport infrastructure projects remains low. This is due to a number of regulatory, structural and political barriers including the lack of a clear project pipeline and government commitment, the lack of suitably structured projects for institutional investment, inconsistent and complex procurement processes and extreme regulatory pressures. These factors are explained in detail </w:t>
      </w:r>
      <w:r>
        <w:t>in the following sections</w:t>
      </w:r>
      <w:r w:rsidRPr="00384855">
        <w:t xml:space="preserve">. </w:t>
      </w:r>
      <w:r>
        <w:t>It is imperative that t</w:t>
      </w:r>
      <w:r w:rsidRPr="00384855">
        <w:t xml:space="preserve">hese barriers </w:t>
      </w:r>
      <w:r>
        <w:t>are</w:t>
      </w:r>
      <w:r w:rsidRPr="00384855">
        <w:t xml:space="preserve"> removed to allow super funds to invest more in Australia’s infrastructure projects. </w:t>
      </w:r>
    </w:p>
    <w:p w:rsidR="006B5CA5" w:rsidRPr="005677AD" w:rsidRDefault="006B5CA5" w:rsidP="006B5CA5">
      <w:pPr>
        <w:pStyle w:val="Heading2"/>
      </w:pPr>
      <w:r w:rsidRPr="005677AD">
        <w:t xml:space="preserve">Superannuation funds in Australia </w:t>
      </w:r>
    </w:p>
    <w:p w:rsidR="006B5CA5" w:rsidRDefault="006B5CA5" w:rsidP="006B5CA5">
      <w:r w:rsidRPr="00384855">
        <w:t>In Australia, the structure of superannuation is mostly based on the defined contribution model where the retirement benefit of member</w:t>
      </w:r>
      <w:r>
        <w:t>s</w:t>
      </w:r>
      <w:r w:rsidRPr="00384855">
        <w:t xml:space="preserve"> is an accumulation of employer and member </w:t>
      </w:r>
      <w:r w:rsidRPr="00384855">
        <w:lastRenderedPageBreak/>
        <w:t>contributions to the super fund. The implication of this structure is that most assets are on stand by and</w:t>
      </w:r>
      <w:r>
        <w:t xml:space="preserve"> there is a need for</w:t>
      </w:r>
      <w:r w:rsidRPr="00384855">
        <w:t xml:space="preserve"> balance between liquidity and long term investments</w:t>
      </w:r>
      <w:r>
        <w:rPr>
          <w:rStyle w:val="FootnoteReference"/>
        </w:rPr>
        <w:footnoteReference w:id="14"/>
      </w:r>
      <w:r w:rsidRPr="00384855">
        <w:t>.</w:t>
      </w:r>
      <w:r>
        <w:rPr>
          <w:rFonts w:ascii="Arial" w:hAnsi="Arial" w:cs="Arial"/>
          <w:sz w:val="24"/>
          <w:szCs w:val="24"/>
        </w:rPr>
        <w:t xml:space="preserve"> </w:t>
      </w:r>
      <w:r w:rsidRPr="00384855">
        <w:t>This type of superannuation structure is very well suited to the long term nature of infrastructure investment</w:t>
      </w:r>
      <w:r>
        <w:rPr>
          <w:rStyle w:val="FootnoteReference"/>
        </w:rPr>
        <w:footnoteReference w:id="15"/>
      </w:r>
      <w:r w:rsidRPr="00384855">
        <w:t>.</w:t>
      </w:r>
    </w:p>
    <w:p w:rsidR="006B5CA5" w:rsidRDefault="006B5CA5" w:rsidP="006B5CA5">
      <w:r w:rsidRPr="00384855">
        <w:t xml:space="preserve">When </w:t>
      </w:r>
      <w:r>
        <w:t>determining which stage</w:t>
      </w:r>
      <w:r w:rsidRPr="00384855">
        <w:t xml:space="preserve"> of </w:t>
      </w:r>
      <w:r>
        <w:t>project</w:t>
      </w:r>
      <w:r w:rsidRPr="00384855">
        <w:t xml:space="preserve"> lifecycles to invest in, super funds will look at the type and allocation of risks as well as the availability of capital in the market and the </w:t>
      </w:r>
      <w:r>
        <w:t xml:space="preserve">project’s </w:t>
      </w:r>
      <w:r w:rsidRPr="00384855">
        <w:t>return of investment (including the performance of similar projects).</w:t>
      </w:r>
      <w:r>
        <w:t xml:space="preserve"> This is essential as</w:t>
      </w:r>
      <w:r w:rsidRPr="00384855">
        <w:t xml:space="preserve"> </w:t>
      </w:r>
      <w:r>
        <w:t>the</w:t>
      </w:r>
      <w:r w:rsidRPr="00384855">
        <w:t xml:space="preserve"> </w:t>
      </w:r>
      <w:r>
        <w:t xml:space="preserve">primary </w:t>
      </w:r>
      <w:r w:rsidRPr="00384855">
        <w:t>objective of superannuation funds is to provide retirement incomes</w:t>
      </w:r>
      <w:r>
        <w:t xml:space="preserve"> to beneficiaries. Therefore, </w:t>
      </w:r>
      <w:r w:rsidRPr="00384855">
        <w:t xml:space="preserve">it is essential that superannuation products match the income needs of its members. This </w:t>
      </w:r>
      <w:r>
        <w:t xml:space="preserve">requirement </w:t>
      </w:r>
      <w:r w:rsidRPr="00384855">
        <w:t>means that there must a good rate of return on investment that is sufficiently attractive for super funds to invest in public transport infrastructure.</w:t>
      </w:r>
      <w:r>
        <w:t xml:space="preserve"> Examples of risks mentioned in infrastructure projects include high </w:t>
      </w:r>
      <w:r w:rsidRPr="00384855">
        <w:t>bid costs and risks asso</w:t>
      </w:r>
      <w:r>
        <w:t xml:space="preserve">ciated with the tender process, </w:t>
      </w:r>
      <w:r w:rsidRPr="00384855">
        <w:t xml:space="preserve">construction risk </w:t>
      </w:r>
      <w:r>
        <w:t>and the fluctuation of the</w:t>
      </w:r>
      <w:r w:rsidRPr="00384855">
        <w:t xml:space="preserve"> level of patronage and general operational risks. </w:t>
      </w:r>
    </w:p>
    <w:p w:rsidR="006B5CA5" w:rsidRPr="00AD1D15" w:rsidRDefault="006B5CA5" w:rsidP="006B5CA5">
      <w:pPr>
        <w:pStyle w:val="Heading2"/>
      </w:pPr>
      <w:r w:rsidRPr="00AD1D15">
        <w:t>Barriers to Success</w:t>
      </w:r>
    </w:p>
    <w:p w:rsidR="006B5CA5" w:rsidRDefault="006B5CA5" w:rsidP="006B5CA5">
      <w:r>
        <w:t xml:space="preserve">As mentioned above, there are a number of barriers that prevent superannuation funds from investing in Australian infrastructure. Some of the key barriers are outlined below.  </w:t>
      </w:r>
    </w:p>
    <w:p w:rsidR="006B5CA5" w:rsidRPr="006B5CA5" w:rsidRDefault="006B5CA5" w:rsidP="006B5CA5">
      <w:pPr>
        <w:pStyle w:val="ListParagraph"/>
        <w:numPr>
          <w:ilvl w:val="0"/>
          <w:numId w:val="9"/>
        </w:numPr>
        <w:spacing w:after="200" w:line="360" w:lineRule="auto"/>
        <w:contextualSpacing/>
        <w:rPr>
          <w:rFonts w:asciiTheme="minorHAnsi" w:hAnsiTheme="minorHAnsi" w:cstheme="minorBidi"/>
          <w:color w:val="0D282D" w:themeColor="text1"/>
          <w:sz w:val="20"/>
          <w:lang w:eastAsia="en-US"/>
        </w:rPr>
      </w:pPr>
      <w:r w:rsidRPr="006B5CA5">
        <w:rPr>
          <w:rFonts w:asciiTheme="minorHAnsi" w:hAnsiTheme="minorHAnsi" w:cstheme="minorBidi"/>
          <w:color w:val="0D282D" w:themeColor="text1"/>
          <w:sz w:val="20"/>
          <w:lang w:eastAsia="en-US"/>
        </w:rPr>
        <w:t xml:space="preserve">Inconsistent, complex and expensive bidding processes: The complexity and costs of bidding for major projects particularly PPPs, has become a major impediment to market entry in Australia. Even though governments have worked to address this problem, more work is required. It has been acknowledged that tender costs normally amount to about one per cent of the contract price so the bid cost for a $5 billion project is likely to be around $50 million. Few private sector companies, including superannuation funds have the financial capability to be involved in tender processes that require such a significant upfront investment, without any guarantee of success. Therefore, to encourage more private sector investment, governments could institute procurement process reforms to allow a faster transition to preferred bidder. As well as reducing tender costs and risks, this will allow the redeployment of resources to other projects. </w:t>
      </w:r>
    </w:p>
    <w:p w:rsidR="006B5CA5" w:rsidRPr="006B5CA5" w:rsidRDefault="006B5CA5" w:rsidP="006B5CA5">
      <w:pPr>
        <w:pStyle w:val="ListParagraph"/>
        <w:numPr>
          <w:ilvl w:val="0"/>
          <w:numId w:val="9"/>
        </w:numPr>
        <w:spacing w:after="200" w:line="360" w:lineRule="auto"/>
        <w:contextualSpacing/>
        <w:rPr>
          <w:rFonts w:asciiTheme="minorHAnsi" w:hAnsiTheme="minorHAnsi" w:cstheme="minorBidi"/>
          <w:color w:val="0D282D" w:themeColor="text1"/>
          <w:sz w:val="20"/>
          <w:lang w:eastAsia="en-US"/>
        </w:rPr>
      </w:pPr>
      <w:r w:rsidRPr="006B5CA5">
        <w:rPr>
          <w:rFonts w:asciiTheme="minorHAnsi" w:hAnsiTheme="minorHAnsi" w:cstheme="minorBidi"/>
          <w:color w:val="0D282D" w:themeColor="text1"/>
          <w:sz w:val="20"/>
          <w:lang w:eastAsia="en-US"/>
        </w:rPr>
        <w:lastRenderedPageBreak/>
        <w:t xml:space="preserve">Lack of clear project pipeline and government commitment: A lack of clear project pipeline and government commitment is also a key barrier for private sector investment. The changes in government priorities lead to delayed and cancelled projects which in turn impact on the risk profiles, project costs and the rate of return on investment for the private sector. For institutional investors such as superannuation to invest, there must be certainty around future project pipelines, specifically around the funding sources and commitment of the sponsor government. </w:t>
      </w:r>
    </w:p>
    <w:p w:rsidR="006B5CA5" w:rsidRPr="006B5CA5" w:rsidRDefault="006B5CA5" w:rsidP="006B5CA5">
      <w:pPr>
        <w:pStyle w:val="ListParagraph"/>
        <w:numPr>
          <w:ilvl w:val="0"/>
          <w:numId w:val="9"/>
        </w:numPr>
        <w:spacing w:after="200" w:line="360" w:lineRule="auto"/>
        <w:contextualSpacing/>
        <w:rPr>
          <w:rFonts w:asciiTheme="minorHAnsi" w:hAnsiTheme="minorHAnsi" w:cstheme="minorBidi"/>
          <w:color w:val="0D282D" w:themeColor="text1"/>
          <w:sz w:val="20"/>
          <w:lang w:eastAsia="en-US"/>
        </w:rPr>
      </w:pPr>
      <w:r w:rsidRPr="006B5CA5">
        <w:rPr>
          <w:rFonts w:asciiTheme="minorHAnsi" w:hAnsiTheme="minorHAnsi" w:cstheme="minorBidi"/>
          <w:color w:val="0D282D" w:themeColor="text1"/>
          <w:sz w:val="20"/>
          <w:lang w:eastAsia="en-US"/>
        </w:rPr>
        <w:t>Lack of structured projects for institutional investment: A recent survey shows that the super funds industry has a view that governments have difficulty understanding all superannuation fund investment is done for the benefit of their members and not on social good</w:t>
      </w:r>
      <w:r w:rsidRPr="006B5CA5">
        <w:rPr>
          <w:rFonts w:asciiTheme="minorHAnsi" w:hAnsiTheme="minorHAnsi" w:cstheme="minorBidi"/>
          <w:color w:val="0D282D" w:themeColor="text1"/>
          <w:sz w:val="20"/>
          <w:lang w:eastAsia="en-US"/>
        </w:rPr>
        <w:footnoteReference w:id="16"/>
      </w:r>
      <w:r w:rsidRPr="006B5CA5">
        <w:rPr>
          <w:rFonts w:asciiTheme="minorHAnsi" w:hAnsiTheme="minorHAnsi" w:cstheme="minorBidi"/>
          <w:color w:val="0D282D" w:themeColor="text1"/>
          <w:sz w:val="20"/>
          <w:lang w:eastAsia="en-US"/>
        </w:rPr>
        <w:t xml:space="preserve">. Therefore, all investments must earn a return that match with the assessed risks. The super industry believes that current project risk profiles have not been designed to encourage efficient institutional investment. </w:t>
      </w:r>
    </w:p>
    <w:p w:rsidR="006B5CA5" w:rsidRDefault="006B5CA5" w:rsidP="006B5CA5">
      <w:r>
        <w:t xml:space="preserve">To effectively address these barriers, </w:t>
      </w:r>
      <w:r w:rsidR="008D62A2">
        <w:t xml:space="preserve">the industry recommends </w:t>
      </w:r>
      <w:r>
        <w:t xml:space="preserve">the creation of superannuation products that better match infrastructure’s revenue and risk profiles and the creation of a </w:t>
      </w:r>
      <w:r w:rsidR="008D62A2">
        <w:t>more stable and</w:t>
      </w:r>
      <w:r>
        <w:t xml:space="preserve"> accessible infrastructure market. </w:t>
      </w:r>
    </w:p>
    <w:p w:rsidR="006B5CA5" w:rsidRDefault="006B5CA5" w:rsidP="006B5CA5">
      <w:pPr>
        <w:pStyle w:val="Heading1"/>
      </w:pPr>
      <w:r>
        <w:t xml:space="preserve">The Use of PPP Models in Australia </w:t>
      </w:r>
    </w:p>
    <w:p w:rsidR="006B5CA5" w:rsidRDefault="006B5CA5" w:rsidP="006B5CA5">
      <w:r>
        <w:t xml:space="preserve">There are two types of PPP in Australia. The first is government-funded PPP where the primary revenue stream that repays the private sector finance used to pay for the building of the facility, takes the form of a service payment from government. The second is user-funded PPP where the primary source of funding takes the form of charges paid by the users of the infrastructure. </w:t>
      </w:r>
    </w:p>
    <w:p w:rsidR="00CE231F" w:rsidRDefault="006B5CA5" w:rsidP="006B5CA5">
      <w:r>
        <w:t>In recent times there have been calls for the federal and state governments to step in and improve the existing PPP frameworks. A recent report released by KPMG in June 2013 clearly states that governments must adopt measures aimed at reducing barriers to domestic and overseas bidders and reduce costs</w:t>
      </w:r>
      <w:r w:rsidR="00CE231F">
        <w:rPr>
          <w:rStyle w:val="FootnoteReference"/>
        </w:rPr>
        <w:footnoteReference w:id="17"/>
      </w:r>
      <w:r w:rsidR="00CE231F">
        <w:t xml:space="preserve">. The report shows that PPP projects in Australia have become much more expensive while at the same time market capacity has decreased </w:t>
      </w:r>
      <w:r w:rsidR="00CE231F">
        <w:lastRenderedPageBreak/>
        <w:t xml:space="preserve">considerably due to the Global Financial Crisis. Barriers as outlined previously were also raised consistently in the KPMG paper. Going forward the paper recommended that governments take practical measures to reduce these barriers. These actions include: </w:t>
      </w:r>
    </w:p>
    <w:p w:rsidR="00CE231F" w:rsidRDefault="00CE231F" w:rsidP="006B5CA5">
      <w:pPr>
        <w:pStyle w:val="ListParagraph"/>
        <w:numPr>
          <w:ilvl w:val="0"/>
          <w:numId w:val="10"/>
        </w:numPr>
        <w:spacing w:after="200" w:line="360" w:lineRule="auto"/>
        <w:contextualSpacing/>
      </w:pPr>
      <w:r>
        <w:t xml:space="preserve">Accepting a lower level of financing commitment in bids instead of the traditional model where there is a requirement for underwritten commitments of finance for a period of six months or more; </w:t>
      </w:r>
    </w:p>
    <w:p w:rsidR="00CE231F" w:rsidRDefault="00CE231F" w:rsidP="006B5CA5">
      <w:pPr>
        <w:pStyle w:val="ListParagraph"/>
        <w:numPr>
          <w:ilvl w:val="0"/>
          <w:numId w:val="10"/>
        </w:numPr>
        <w:spacing w:after="200" w:line="360" w:lineRule="auto"/>
        <w:contextualSpacing/>
      </w:pPr>
      <w:r>
        <w:t xml:space="preserve">Taking steps to encourage maximum competition for debt finance which may include a funding competition after appointing a preferred bidder; </w:t>
      </w:r>
    </w:p>
    <w:p w:rsidR="00CE231F" w:rsidRDefault="00CE231F" w:rsidP="006B5CA5">
      <w:pPr>
        <w:pStyle w:val="ListParagraph"/>
        <w:numPr>
          <w:ilvl w:val="0"/>
          <w:numId w:val="10"/>
        </w:numPr>
        <w:spacing w:after="200" w:line="360" w:lineRule="auto"/>
        <w:contextualSpacing/>
      </w:pPr>
      <w:r>
        <w:t xml:space="preserve">Being willing to provide capital grants or debt finance where appropriate; </w:t>
      </w:r>
    </w:p>
    <w:p w:rsidR="00CE231F" w:rsidRDefault="00CE231F" w:rsidP="006B5CA5">
      <w:pPr>
        <w:pStyle w:val="ListParagraph"/>
        <w:numPr>
          <w:ilvl w:val="0"/>
          <w:numId w:val="10"/>
        </w:numPr>
        <w:spacing w:after="200" w:line="360" w:lineRule="auto"/>
        <w:contextualSpacing/>
      </w:pPr>
      <w:r>
        <w:t xml:space="preserve">Investigating credit guaranteed finance or counter indemnity models as possible ways of increasing market capacity and reducing fund costs; and </w:t>
      </w:r>
    </w:p>
    <w:p w:rsidR="00CE231F" w:rsidRDefault="00CE231F" w:rsidP="006B5CA5">
      <w:pPr>
        <w:pStyle w:val="ListParagraph"/>
        <w:numPr>
          <w:ilvl w:val="0"/>
          <w:numId w:val="10"/>
        </w:numPr>
        <w:spacing w:after="200" w:line="360" w:lineRule="auto"/>
        <w:contextualSpacing/>
      </w:pPr>
      <w:r>
        <w:t>The commonwealth increasing its guarantee to cover states’ long term PPP obligations</w:t>
      </w:r>
      <w:r>
        <w:rPr>
          <w:rStyle w:val="FootnoteReference"/>
        </w:rPr>
        <w:footnoteReference w:id="18"/>
      </w:r>
      <w:r>
        <w:t xml:space="preserve">. </w:t>
      </w:r>
    </w:p>
    <w:p w:rsidR="006B5CA5" w:rsidRDefault="00CE231F" w:rsidP="006B5CA5">
      <w:r>
        <w:t>Other measures that have been recommended by the private sector also include more risk sharing among participants, more robust financing structures, sensible management of probity, an improved project governance framework, expanding scope of services and disclosure of weightings for evaluation criteria</w:t>
      </w:r>
      <w:r>
        <w:rPr>
          <w:rStyle w:val="FootnoteReference"/>
        </w:rPr>
        <w:footnoteReference w:id="19"/>
      </w:r>
      <w:r>
        <w:t>.</w:t>
      </w:r>
      <w:r w:rsidR="006B5CA5">
        <w:t xml:space="preserve"> </w:t>
      </w:r>
    </w:p>
    <w:p w:rsidR="00854C13" w:rsidRPr="00CD52B0" w:rsidRDefault="00854C13" w:rsidP="00854C13">
      <w:pPr>
        <w:pStyle w:val="Heading1"/>
      </w:pPr>
      <w:r w:rsidRPr="00CD52B0">
        <w:t xml:space="preserve">costs </w:t>
      </w:r>
      <w:r>
        <w:t>of infrastructure projects</w:t>
      </w:r>
    </w:p>
    <w:p w:rsidR="00854C13" w:rsidRPr="0006481A" w:rsidRDefault="00854C13" w:rsidP="00854C13">
      <w:r>
        <w:t>As on</w:t>
      </w:r>
      <w:r w:rsidR="00CE231F">
        <w:t>e of the ARA’s working groups, t</w:t>
      </w:r>
      <w:r>
        <w:t>he Rail Contractors Group (RCG) brings together representatives of major rail contr</w:t>
      </w:r>
      <w:r w:rsidR="00CD5588">
        <w:t>actors</w:t>
      </w:r>
      <w:r w:rsidR="0006481A">
        <w:t xml:space="preserve"> in Australia including</w:t>
      </w:r>
      <w:r w:rsidR="00CD5588">
        <w:t xml:space="preserve"> John Holland</w:t>
      </w:r>
      <w:r w:rsidR="0006481A">
        <w:t xml:space="preserve">, Leighton Contractors and </w:t>
      </w:r>
      <w:r>
        <w:t>Laing O’Rourke</w:t>
      </w:r>
      <w:r w:rsidR="00CD5588">
        <w:t>.</w:t>
      </w:r>
      <w:r>
        <w:t xml:space="preserve"> The Group is currently working with Infrastructure Australia and other key stakeholders to improve the policy environment that rail contractors operate within. One of the main agenda</w:t>
      </w:r>
      <w:r w:rsidR="00CD5588">
        <w:t>s</w:t>
      </w:r>
      <w:r>
        <w:t xml:space="preserve"> of the RCG is to conduct a robust analysis on </w:t>
      </w:r>
      <w:r>
        <w:rPr>
          <w:szCs w:val="20"/>
        </w:rPr>
        <w:t xml:space="preserve">Australian rail projects construction costs in order to answer the followings questions; 1. </w:t>
      </w:r>
      <w:proofErr w:type="gramStart"/>
      <w:r w:rsidR="0006481A">
        <w:rPr>
          <w:szCs w:val="20"/>
        </w:rPr>
        <w:t>d</w:t>
      </w:r>
      <w:r>
        <w:rPr>
          <w:szCs w:val="20"/>
        </w:rPr>
        <w:t>oes</w:t>
      </w:r>
      <w:proofErr w:type="gramEnd"/>
      <w:r>
        <w:rPr>
          <w:szCs w:val="20"/>
        </w:rPr>
        <w:t xml:space="preserve"> it really cost more to build rails comparing to roads</w:t>
      </w:r>
      <w:r w:rsidR="00CE231F">
        <w:rPr>
          <w:szCs w:val="20"/>
        </w:rPr>
        <w:t>, a</w:t>
      </w:r>
      <w:r>
        <w:rPr>
          <w:szCs w:val="20"/>
        </w:rPr>
        <w:t xml:space="preserve">nd 2. </w:t>
      </w:r>
      <w:proofErr w:type="gramStart"/>
      <w:r w:rsidR="00CE231F">
        <w:rPr>
          <w:szCs w:val="20"/>
        </w:rPr>
        <w:t>w</w:t>
      </w:r>
      <w:r>
        <w:rPr>
          <w:szCs w:val="20"/>
        </w:rPr>
        <w:t>hy</w:t>
      </w:r>
      <w:proofErr w:type="gramEnd"/>
      <w:r>
        <w:rPr>
          <w:szCs w:val="20"/>
        </w:rPr>
        <w:t xml:space="preserve"> does it cost more to build rail in Australia comparing to overseas.</w:t>
      </w:r>
      <w:r w:rsidR="00CE231F">
        <w:rPr>
          <w:szCs w:val="20"/>
        </w:rPr>
        <w:t xml:space="preserve">  </w:t>
      </w:r>
    </w:p>
    <w:p w:rsidR="00CE231F" w:rsidRDefault="00CE231F" w:rsidP="00854C13">
      <w:pPr>
        <w:rPr>
          <w:szCs w:val="20"/>
        </w:rPr>
      </w:pPr>
      <w:r>
        <w:rPr>
          <w:szCs w:val="20"/>
        </w:rPr>
        <w:lastRenderedPageBreak/>
        <w:t>The RCG would welcome an opportunity to share and discuss the results of the analysis with the Commission as part of this Inquiry.</w:t>
      </w:r>
      <w:r w:rsidR="0006481A">
        <w:rPr>
          <w:szCs w:val="20"/>
        </w:rPr>
        <w:t xml:space="preserve"> Arrangements for the discussion can be made through the ARA contact outlined earlier in this submission. </w:t>
      </w:r>
      <w:r>
        <w:rPr>
          <w:szCs w:val="20"/>
        </w:rPr>
        <w:t xml:space="preserve"> </w:t>
      </w:r>
    </w:p>
    <w:p w:rsidR="00832155" w:rsidRPr="000563CC" w:rsidRDefault="0006481A" w:rsidP="00832155">
      <w:pPr>
        <w:pStyle w:val="Heading2"/>
      </w:pPr>
      <w:r w:rsidRPr="000563CC">
        <w:t xml:space="preserve">The Cost of Rail Infrastructure in Australia </w:t>
      </w:r>
    </w:p>
    <w:p w:rsidR="00854C13" w:rsidRPr="000563CC" w:rsidRDefault="00832155" w:rsidP="00ED7A74">
      <w:r w:rsidRPr="000563CC">
        <w:t>The powerful growth of the</w:t>
      </w:r>
      <w:r w:rsidR="00CE231F" w:rsidRPr="000563CC">
        <w:t xml:space="preserve"> infrastructure markets in the</w:t>
      </w:r>
      <w:r w:rsidRPr="000563CC">
        <w:t xml:space="preserve"> last twenty years has brought with it a legacy in terms of relatively high costs </w:t>
      </w:r>
      <w:r w:rsidR="00CE231F" w:rsidRPr="000563CC">
        <w:t xml:space="preserve">of infrastructure </w:t>
      </w:r>
      <w:r w:rsidRPr="000563CC">
        <w:t>compared to many of Australia’s global peers.</w:t>
      </w:r>
      <w:r w:rsidR="0006481A" w:rsidRPr="000563CC">
        <w:t xml:space="preserve"> </w:t>
      </w:r>
      <w:r w:rsidRPr="000563CC">
        <w:t xml:space="preserve">On simple metrics, the cost of building core infrastructure in Australia appears to be high in world terms. For example, </w:t>
      </w:r>
      <w:r w:rsidR="0006481A" w:rsidRPr="000563CC">
        <w:t>the cost of building the</w:t>
      </w:r>
      <w:r w:rsidRPr="000563CC">
        <w:t xml:space="preserve"> Brisbane Cross River Rail</w:t>
      </w:r>
      <w:r w:rsidR="00810D47" w:rsidRPr="000563CC">
        <w:t xml:space="preserve"> project </w:t>
      </w:r>
      <w:r w:rsidR="0006481A" w:rsidRPr="000563CC">
        <w:t xml:space="preserve">is estimated to be around </w:t>
      </w:r>
      <w:r w:rsidRPr="000563CC">
        <w:t>$300m per km.</w:t>
      </w:r>
      <w:r w:rsidR="00AC1C4D" w:rsidRPr="000563CC">
        <w:rPr>
          <w:sz w:val="13"/>
          <w:szCs w:val="13"/>
        </w:rPr>
        <w:t xml:space="preserve"> </w:t>
      </w:r>
      <w:r w:rsidRPr="000563CC">
        <w:t xml:space="preserve">This compares to the London Cross Rail project </w:t>
      </w:r>
      <w:r w:rsidR="00810D47" w:rsidRPr="000563CC">
        <w:t xml:space="preserve">(another exceptionally complex urban heavy rail project) </w:t>
      </w:r>
      <w:r w:rsidRPr="000563CC">
        <w:t>at US$180m per km</w:t>
      </w:r>
      <w:r w:rsidR="0006481A" w:rsidRPr="000563CC">
        <w:t>,</w:t>
      </w:r>
      <w:r w:rsidRPr="000563CC">
        <w:t xml:space="preserve"> the US North-East corridor line at US$166m per km and the California High Speed Rail </w:t>
      </w:r>
      <w:r w:rsidR="00810D47" w:rsidRPr="000563CC">
        <w:t xml:space="preserve">project </w:t>
      </w:r>
      <w:r w:rsidRPr="000563CC">
        <w:t>at US$50m per km.</w:t>
      </w:r>
      <w:r w:rsidRPr="000563CC">
        <w:rPr>
          <w:rStyle w:val="FootnoteReference"/>
        </w:rPr>
        <w:footnoteReference w:id="20"/>
      </w:r>
      <w:r w:rsidR="008A15D9" w:rsidRPr="000563CC">
        <w:t xml:space="preserve"> </w:t>
      </w:r>
    </w:p>
    <w:p w:rsidR="007B3550" w:rsidRPr="000563CC" w:rsidRDefault="007B3550" w:rsidP="007B3550">
      <w:r w:rsidRPr="000563CC">
        <w:t>The future sustainability of Australia’s rail construction sector hinges upon driving down the high costs of tendering, more consistent project planning on behalf of governments and greater industry collaboration.</w:t>
      </w:r>
      <w:r w:rsidRPr="000563CC">
        <w:rPr>
          <w:rStyle w:val="FootnoteReference"/>
        </w:rPr>
        <w:footnoteReference w:id="21"/>
      </w:r>
    </w:p>
    <w:p w:rsidR="00ED7A74" w:rsidRPr="000563CC" w:rsidRDefault="00B836EC" w:rsidP="0006095A">
      <w:r w:rsidRPr="000563CC">
        <w:t>In the recent report “Rail Infrastructure Project Costing in New South Wales”, Evans and Peck summarised the main contributors of high costs of rail construction in Australia</w:t>
      </w:r>
      <w:r w:rsidR="00A41DE7" w:rsidRPr="000563CC">
        <w:t xml:space="preserve">, in particular </w:t>
      </w:r>
      <w:r w:rsidR="00320858" w:rsidRPr="000563CC">
        <w:t xml:space="preserve">in </w:t>
      </w:r>
      <w:r w:rsidR="00A41DE7" w:rsidRPr="000563CC">
        <w:t>NSW</w:t>
      </w:r>
      <w:r w:rsidR="00320858" w:rsidRPr="000563CC">
        <w:t>, identifying three</w:t>
      </w:r>
      <w:r w:rsidRPr="000563CC">
        <w:t xml:space="preserve"> ma</w:t>
      </w:r>
      <w:r w:rsidR="00320858" w:rsidRPr="000563CC">
        <w:t>in factors:</w:t>
      </w:r>
      <w:r w:rsidR="00A41DE7" w:rsidRPr="000563CC">
        <w:t xml:space="preserve"> Scope, Delivery Constraints and High Cost Base.</w:t>
      </w:r>
      <w:r w:rsidR="00832155" w:rsidRPr="000563CC">
        <w:rPr>
          <w:rStyle w:val="FootnoteReference"/>
        </w:rPr>
        <w:footnoteReference w:id="22"/>
      </w:r>
      <w:r w:rsidR="00F129BE" w:rsidRPr="000563CC">
        <w:t xml:space="preserve"> </w:t>
      </w:r>
    </w:p>
    <w:p w:rsidR="00F129BE" w:rsidRPr="000563CC" w:rsidRDefault="00F129BE" w:rsidP="0006095A">
      <w:r w:rsidRPr="000563CC">
        <w:t xml:space="preserve">For this submission, the ARA </w:t>
      </w:r>
      <w:r w:rsidR="00320858" w:rsidRPr="000563CC">
        <w:t>has selected several key</w:t>
      </w:r>
      <w:r w:rsidRPr="000563CC">
        <w:t xml:space="preserve"> cost driving factors that ha</w:t>
      </w:r>
      <w:r w:rsidR="00320858" w:rsidRPr="000563CC">
        <w:t xml:space="preserve">ve been raised by </w:t>
      </w:r>
      <w:r w:rsidRPr="000563CC">
        <w:t>the major contractors.</w:t>
      </w:r>
      <w:r w:rsidR="00ED7A74" w:rsidRPr="000563CC">
        <w:t xml:space="preserve"> They are as follows: </w:t>
      </w:r>
    </w:p>
    <w:p w:rsidR="00DA6A1D" w:rsidRPr="000563CC" w:rsidRDefault="007F1AEF" w:rsidP="001C5FAA">
      <w:pPr>
        <w:pStyle w:val="Heading4"/>
      </w:pPr>
      <w:r w:rsidRPr="000563CC">
        <w:t>Greenfield and</w:t>
      </w:r>
      <w:r w:rsidR="00DA6A1D" w:rsidRPr="000563CC">
        <w:t xml:space="preserve"> Brownfield Construction</w:t>
      </w:r>
    </w:p>
    <w:p w:rsidR="0007013A" w:rsidRPr="000563CC" w:rsidRDefault="00810D47" w:rsidP="00DA6A1D">
      <w:r w:rsidRPr="000563CC">
        <w:t>An</w:t>
      </w:r>
      <w:r w:rsidR="00DA6A1D" w:rsidRPr="000563CC">
        <w:t xml:space="preserve"> important factor affecting the costs of rail infrastructure project</w:t>
      </w:r>
      <w:r w:rsidRPr="000563CC">
        <w:t>s</w:t>
      </w:r>
      <w:r w:rsidR="00DA6A1D" w:rsidRPr="000563CC">
        <w:t xml:space="preserve"> is whether the construction site is a </w:t>
      </w:r>
      <w:proofErr w:type="gramStart"/>
      <w:r w:rsidR="00DA6A1D" w:rsidRPr="000563CC">
        <w:t>greenfield</w:t>
      </w:r>
      <w:proofErr w:type="gramEnd"/>
      <w:r w:rsidR="00DA6A1D" w:rsidRPr="000563CC">
        <w:t xml:space="preserve"> or brownfield site. </w:t>
      </w:r>
    </w:p>
    <w:p w:rsidR="00156C37" w:rsidRPr="000563CC" w:rsidRDefault="00DA6A1D" w:rsidP="00156C37">
      <w:pPr>
        <w:rPr>
          <w:lang w:eastAsia="en-AU"/>
        </w:rPr>
      </w:pPr>
      <w:r w:rsidRPr="000563CC">
        <w:t xml:space="preserve">A </w:t>
      </w:r>
      <w:proofErr w:type="gramStart"/>
      <w:r w:rsidRPr="000563CC">
        <w:t>greenfield</w:t>
      </w:r>
      <w:proofErr w:type="gramEnd"/>
      <w:r w:rsidRPr="000563CC">
        <w:t xml:space="preserve"> site refers to projects which are constructed away from existing operating infrastructure</w:t>
      </w:r>
      <w:r w:rsidR="00810D47" w:rsidRPr="000563CC">
        <w:t>. In</w:t>
      </w:r>
      <w:r w:rsidRPr="000563CC">
        <w:t xml:space="preserve"> the case of rail project</w:t>
      </w:r>
      <w:r w:rsidR="00810D47" w:rsidRPr="000563CC">
        <w:t>s</w:t>
      </w:r>
      <w:r w:rsidRPr="000563CC">
        <w:t xml:space="preserve">, this means a new rail line in a new corridor. </w:t>
      </w:r>
      <w:r w:rsidR="0007013A" w:rsidRPr="000563CC">
        <w:t>E</w:t>
      </w:r>
      <w:r w:rsidR="0007013A" w:rsidRPr="000563CC">
        <w:rPr>
          <w:lang w:eastAsia="en-AU"/>
        </w:rPr>
        <w:t>xamples include</w:t>
      </w:r>
      <w:r w:rsidR="0007013A" w:rsidRPr="000563CC">
        <w:t xml:space="preserve"> </w:t>
      </w:r>
      <w:r w:rsidR="0007013A" w:rsidRPr="000563CC">
        <w:rPr>
          <w:lang w:eastAsia="en-AU"/>
        </w:rPr>
        <w:t>the South West Rail Link, the Epping to Chatswood Rail Link,</w:t>
      </w:r>
      <w:r w:rsidR="00156C37" w:rsidRPr="000563CC">
        <w:t xml:space="preserve"> </w:t>
      </w:r>
      <w:r w:rsidR="0007013A" w:rsidRPr="000563CC">
        <w:rPr>
          <w:lang w:eastAsia="en-AU"/>
        </w:rPr>
        <w:t>the Perth to Mandurah Link, or the Alice Springs to Darwin Link</w:t>
      </w:r>
      <w:r w:rsidR="00156C37" w:rsidRPr="000563CC">
        <w:t>. G</w:t>
      </w:r>
      <w:r w:rsidR="00156C37" w:rsidRPr="000563CC">
        <w:rPr>
          <w:lang w:eastAsia="en-AU"/>
        </w:rPr>
        <w:t xml:space="preserve">reenfields construction projects are not </w:t>
      </w:r>
      <w:r w:rsidR="00156C37" w:rsidRPr="000563CC">
        <w:rPr>
          <w:lang w:eastAsia="en-AU"/>
        </w:rPr>
        <w:lastRenderedPageBreak/>
        <w:t>significantly affected by real or potential constraints from existing operational infrastructure except at the connection or crossing points</w:t>
      </w:r>
      <w:r w:rsidR="00156C37" w:rsidRPr="000563CC">
        <w:t>.</w:t>
      </w:r>
      <w:r w:rsidR="00156C37" w:rsidRPr="000563CC">
        <w:rPr>
          <w:rStyle w:val="FootnoteReference"/>
        </w:rPr>
        <w:footnoteReference w:id="23"/>
      </w:r>
    </w:p>
    <w:p w:rsidR="00620ACA" w:rsidRPr="000563CC" w:rsidRDefault="00DA6A1D" w:rsidP="00620ACA">
      <w:r w:rsidRPr="000563CC">
        <w:t>In contrast, the term brownfields applies to those projects which are constructed within or alongside operating infrastructure</w:t>
      </w:r>
      <w:r w:rsidR="007855DF" w:rsidRPr="000563CC">
        <w:t>. This results</w:t>
      </w:r>
      <w:r w:rsidRPr="000563CC">
        <w:t xml:space="preserve"> in </w:t>
      </w:r>
      <w:r w:rsidR="007855DF" w:rsidRPr="000563CC">
        <w:t xml:space="preserve">constraints on </w:t>
      </w:r>
      <w:r w:rsidRPr="000563CC">
        <w:t>construction</w:t>
      </w:r>
      <w:r w:rsidR="00DE157B" w:rsidRPr="000563CC">
        <w:t xml:space="preserve"> sequence, methods and access within the worksite. </w:t>
      </w:r>
    </w:p>
    <w:p w:rsidR="00620ACA" w:rsidRPr="000563CC" w:rsidRDefault="00620ACA" w:rsidP="00620ACA">
      <w:pPr>
        <w:rPr>
          <w:lang w:eastAsia="en-AU"/>
        </w:rPr>
      </w:pPr>
      <w:r w:rsidRPr="000563CC">
        <w:rPr>
          <w:lang w:eastAsia="en-AU"/>
        </w:rPr>
        <w:t xml:space="preserve">In brownfield rail projects, the operator’s objectives may include the continuity of rail operations throughout the construction program. Examples include the Kingsgrove to Revesby </w:t>
      </w:r>
      <w:proofErr w:type="spellStart"/>
      <w:r w:rsidRPr="000563CC">
        <w:rPr>
          <w:lang w:eastAsia="en-AU"/>
        </w:rPr>
        <w:t>Quadruplication</w:t>
      </w:r>
      <w:proofErr w:type="spellEnd"/>
      <w:r w:rsidRPr="000563CC">
        <w:rPr>
          <w:lang w:eastAsia="en-AU"/>
        </w:rPr>
        <w:t>, Richmond Line Duplication and Southern Sydney Freight Line.</w:t>
      </w:r>
    </w:p>
    <w:p w:rsidR="00A41DE7" w:rsidRPr="000563CC" w:rsidRDefault="00620ACA" w:rsidP="0006095A">
      <w:pPr>
        <w:rPr>
          <w:lang w:eastAsia="en-AU"/>
        </w:rPr>
      </w:pPr>
      <w:bookmarkStart w:id="1" w:name="9"/>
      <w:bookmarkEnd w:id="1"/>
      <w:r w:rsidRPr="000563CC">
        <w:rPr>
          <w:lang w:eastAsia="en-AU"/>
        </w:rPr>
        <w:t xml:space="preserve">The complexity and constraints imposed because of brownfields construction significantly reduces construction productivity compared to </w:t>
      </w:r>
      <w:proofErr w:type="spellStart"/>
      <w:r w:rsidRPr="000563CC">
        <w:rPr>
          <w:lang w:eastAsia="en-AU"/>
        </w:rPr>
        <w:t>greenfields</w:t>
      </w:r>
      <w:proofErr w:type="spellEnd"/>
      <w:r w:rsidRPr="000563CC">
        <w:rPr>
          <w:lang w:eastAsia="en-AU"/>
        </w:rPr>
        <w:t xml:space="preserve"> construction and requires significant additional design, construction and management resources, from both the contractor and the client organisations.</w:t>
      </w:r>
      <w:r w:rsidRPr="000563CC">
        <w:rPr>
          <w:rStyle w:val="FootnoteReference"/>
          <w:lang w:eastAsia="en-AU"/>
        </w:rPr>
        <w:footnoteReference w:id="24"/>
      </w:r>
      <w:r w:rsidR="00ED7A74" w:rsidRPr="000563CC">
        <w:rPr>
          <w:lang w:eastAsia="en-AU"/>
        </w:rPr>
        <w:t xml:space="preserve"> The ARA has estimated t</w:t>
      </w:r>
      <w:r w:rsidR="00DE157B" w:rsidRPr="000563CC">
        <w:t xml:space="preserve">he difference of construction costs between the two is at </w:t>
      </w:r>
      <w:r w:rsidR="007855DF" w:rsidRPr="000563CC">
        <w:t xml:space="preserve">an </w:t>
      </w:r>
      <w:r w:rsidR="00DE157B" w:rsidRPr="000563CC">
        <w:t>average of $40 million.</w:t>
      </w:r>
      <w:r w:rsidR="00832155" w:rsidRPr="000563CC">
        <w:rPr>
          <w:rStyle w:val="FootnoteReference"/>
        </w:rPr>
        <w:footnoteReference w:id="25"/>
      </w:r>
    </w:p>
    <w:p w:rsidR="007F1AEF" w:rsidRPr="000563CC" w:rsidRDefault="007F1AEF" w:rsidP="0006095A">
      <w:r w:rsidRPr="000563CC">
        <w:t xml:space="preserve">To elaborate </w:t>
      </w:r>
      <w:r w:rsidR="007855DF" w:rsidRPr="000563CC">
        <w:t xml:space="preserve">on </w:t>
      </w:r>
      <w:r w:rsidRPr="000563CC">
        <w:t xml:space="preserve">the above, </w:t>
      </w:r>
      <w:r w:rsidR="007855DF" w:rsidRPr="000563CC">
        <w:t>the construction of three</w:t>
      </w:r>
      <w:r w:rsidRPr="000563CC">
        <w:t xml:space="preserve"> significant brownfield projects </w:t>
      </w:r>
      <w:r w:rsidR="007855DF" w:rsidRPr="000563CC">
        <w:t xml:space="preserve">cost </w:t>
      </w:r>
      <w:r w:rsidR="0007013A" w:rsidRPr="000563CC">
        <w:t xml:space="preserve">$50 million, $80 million and $24 million </w:t>
      </w:r>
      <w:r w:rsidR="007855DF" w:rsidRPr="000563CC">
        <w:t xml:space="preserve">(inclusive of </w:t>
      </w:r>
      <w:proofErr w:type="spellStart"/>
      <w:r w:rsidR="007855DF" w:rsidRPr="000563CC">
        <w:t>civils</w:t>
      </w:r>
      <w:proofErr w:type="spellEnd"/>
      <w:r w:rsidR="007855DF" w:rsidRPr="000563CC">
        <w:t xml:space="preserve">, earthworks, stations and rail systems), </w:t>
      </w:r>
      <w:r w:rsidR="0007013A" w:rsidRPr="000563CC">
        <w:t xml:space="preserve">while </w:t>
      </w:r>
      <w:r w:rsidR="007855DF" w:rsidRPr="000563CC">
        <w:t>three</w:t>
      </w:r>
      <w:r w:rsidR="0007013A" w:rsidRPr="000563CC">
        <w:t xml:space="preserve"> greenfield projects </w:t>
      </w:r>
      <w:r w:rsidR="007855DF" w:rsidRPr="000563CC">
        <w:t xml:space="preserve">cost </w:t>
      </w:r>
      <w:r w:rsidR="0007013A" w:rsidRPr="000563CC">
        <w:t>$11 million, $3 million and $4 million</w:t>
      </w:r>
      <w:r w:rsidR="007855DF" w:rsidRPr="000563CC">
        <w:t xml:space="preserve"> (inclusive of </w:t>
      </w:r>
      <w:proofErr w:type="spellStart"/>
      <w:r w:rsidR="007855DF" w:rsidRPr="000563CC">
        <w:t>civils</w:t>
      </w:r>
      <w:proofErr w:type="spellEnd"/>
      <w:r w:rsidR="007855DF" w:rsidRPr="000563CC">
        <w:t>, earthworks and rail systems)</w:t>
      </w:r>
      <w:r w:rsidR="0007013A" w:rsidRPr="000563CC">
        <w:t>.</w:t>
      </w:r>
      <w:r w:rsidR="0007013A" w:rsidRPr="000563CC">
        <w:rPr>
          <w:rStyle w:val="FootnoteReference"/>
        </w:rPr>
        <w:footnoteReference w:id="26"/>
      </w:r>
      <w:r w:rsidR="00ED7A74" w:rsidRPr="000563CC">
        <w:t xml:space="preserve"> </w:t>
      </w:r>
    </w:p>
    <w:p w:rsidR="007529EA" w:rsidRPr="000563CC" w:rsidRDefault="007529EA" w:rsidP="007529EA">
      <w:pPr>
        <w:pStyle w:val="Heading4"/>
      </w:pPr>
      <w:r w:rsidRPr="000563CC">
        <w:t>Procurement process</w:t>
      </w:r>
    </w:p>
    <w:p w:rsidR="008D62A2" w:rsidRDefault="007529EA" w:rsidP="007529EA">
      <w:pPr>
        <w:rPr>
          <w:lang w:eastAsia="en-AU"/>
        </w:rPr>
      </w:pPr>
      <w:r w:rsidRPr="000563CC">
        <w:rPr>
          <w:lang w:eastAsia="en-AU"/>
        </w:rPr>
        <w:t>The procurement process in Australia had been criticised as costly and time consuming</w:t>
      </w:r>
      <w:r w:rsidR="00CD2EEA" w:rsidRPr="000563CC">
        <w:rPr>
          <w:lang w:eastAsia="en-AU"/>
        </w:rPr>
        <w:t>,</w:t>
      </w:r>
      <w:r w:rsidRPr="000563CC">
        <w:rPr>
          <w:lang w:eastAsia="en-AU"/>
        </w:rPr>
        <w:t xml:space="preserve"> which result</w:t>
      </w:r>
      <w:r w:rsidR="00CD2EEA" w:rsidRPr="000563CC">
        <w:rPr>
          <w:lang w:eastAsia="en-AU"/>
        </w:rPr>
        <w:t>s</w:t>
      </w:r>
      <w:r w:rsidRPr="000563CC">
        <w:rPr>
          <w:lang w:eastAsia="en-AU"/>
        </w:rPr>
        <w:t xml:space="preserve"> in even higher cost as time is considered a cost. The tendering costs in Australia </w:t>
      </w:r>
      <w:r w:rsidR="00CD2EEA" w:rsidRPr="000563CC">
        <w:rPr>
          <w:lang w:eastAsia="en-AU"/>
        </w:rPr>
        <w:t>are</w:t>
      </w:r>
      <w:r w:rsidRPr="000563CC">
        <w:rPr>
          <w:lang w:eastAsia="en-AU"/>
        </w:rPr>
        <w:t xml:space="preserve"> </w:t>
      </w:r>
      <w:r w:rsidR="00873F44" w:rsidRPr="000563CC">
        <w:rPr>
          <w:lang w:eastAsia="en-AU"/>
        </w:rPr>
        <w:t xml:space="preserve">estimated to be around </w:t>
      </w:r>
      <w:r w:rsidRPr="000563CC">
        <w:rPr>
          <w:lang w:eastAsia="en-AU"/>
        </w:rPr>
        <w:t>1-2% of a project’s total cost, which are high compared with world benchmarks of 0.5%.</w:t>
      </w:r>
      <w:r w:rsidRPr="000563CC">
        <w:rPr>
          <w:rStyle w:val="FootnoteReference"/>
          <w:lang w:eastAsia="en-AU"/>
        </w:rPr>
        <w:footnoteReference w:id="27"/>
      </w:r>
      <w:r w:rsidR="00873F44" w:rsidRPr="000563CC">
        <w:rPr>
          <w:lang w:eastAsia="en-AU"/>
        </w:rPr>
        <w:t xml:space="preserve"> </w:t>
      </w:r>
    </w:p>
    <w:p w:rsidR="008D62A2" w:rsidRPr="00BC7465" w:rsidRDefault="008D62A2" w:rsidP="008D62A2">
      <w:pPr>
        <w:pStyle w:val="Default"/>
        <w:spacing w:line="360" w:lineRule="auto"/>
        <w:jc w:val="both"/>
        <w:rPr>
          <w:rFonts w:ascii="Arial" w:hAnsi="Arial" w:cs="Arial"/>
          <w:color w:val="auto"/>
          <w:sz w:val="20"/>
          <w:szCs w:val="20"/>
        </w:rPr>
      </w:pPr>
      <w:proofErr w:type="gramStart"/>
      <w:r w:rsidRPr="00BC7465">
        <w:rPr>
          <w:rFonts w:ascii="Arial" w:hAnsi="Arial" w:cs="Arial"/>
          <w:color w:val="auto"/>
          <w:sz w:val="20"/>
          <w:szCs w:val="20"/>
        </w:rPr>
        <w:t>Compared to the UK experience</w:t>
      </w:r>
      <w:r w:rsidR="002C65E9">
        <w:rPr>
          <w:rFonts w:ascii="Arial" w:hAnsi="Arial" w:cs="Arial"/>
          <w:color w:val="auto"/>
          <w:sz w:val="20"/>
          <w:szCs w:val="20"/>
        </w:rPr>
        <w:t xml:space="preserve"> specifically</w:t>
      </w:r>
      <w:r w:rsidRPr="00BC7465">
        <w:rPr>
          <w:rFonts w:ascii="Arial" w:hAnsi="Arial" w:cs="Arial"/>
          <w:color w:val="auto"/>
          <w:sz w:val="20"/>
          <w:szCs w:val="20"/>
        </w:rPr>
        <w:t xml:space="preserve"> Australian </w:t>
      </w:r>
      <w:r>
        <w:rPr>
          <w:rFonts w:ascii="Arial" w:hAnsi="Arial" w:cs="Arial"/>
          <w:color w:val="auto"/>
          <w:sz w:val="20"/>
          <w:szCs w:val="20"/>
        </w:rPr>
        <w:t xml:space="preserve">procurement </w:t>
      </w:r>
      <w:r w:rsidRPr="00BC7465">
        <w:rPr>
          <w:rFonts w:ascii="Arial" w:hAnsi="Arial" w:cs="Arial"/>
          <w:color w:val="auto"/>
          <w:sz w:val="20"/>
          <w:szCs w:val="20"/>
        </w:rPr>
        <w:t xml:space="preserve">practices </w:t>
      </w:r>
      <w:r>
        <w:rPr>
          <w:rFonts w:ascii="Arial" w:hAnsi="Arial" w:cs="Arial"/>
          <w:color w:val="auto"/>
          <w:sz w:val="20"/>
          <w:szCs w:val="20"/>
        </w:rPr>
        <w:t xml:space="preserve">for Government projects </w:t>
      </w:r>
      <w:r w:rsidRPr="00BC7465">
        <w:rPr>
          <w:rFonts w:ascii="Arial" w:hAnsi="Arial" w:cs="Arial"/>
          <w:color w:val="auto"/>
          <w:sz w:val="20"/>
          <w:szCs w:val="20"/>
        </w:rPr>
        <w:t xml:space="preserve">result in far more expensive </w:t>
      </w:r>
      <w:r>
        <w:rPr>
          <w:rFonts w:ascii="Arial" w:hAnsi="Arial" w:cs="Arial"/>
          <w:color w:val="auto"/>
          <w:sz w:val="20"/>
          <w:szCs w:val="20"/>
        </w:rPr>
        <w:t>outcomes</w:t>
      </w:r>
      <w:r w:rsidRPr="00BC7465">
        <w:rPr>
          <w:rFonts w:ascii="Arial" w:hAnsi="Arial" w:cs="Arial"/>
          <w:color w:val="auto"/>
          <w:sz w:val="20"/>
          <w:szCs w:val="20"/>
        </w:rPr>
        <w:t>.</w:t>
      </w:r>
      <w:proofErr w:type="gramEnd"/>
      <w:r w:rsidRPr="00BC7465">
        <w:rPr>
          <w:rFonts w:ascii="Arial" w:hAnsi="Arial" w:cs="Arial"/>
          <w:color w:val="auto"/>
          <w:sz w:val="20"/>
          <w:szCs w:val="20"/>
        </w:rPr>
        <w:t xml:space="preserve"> This is ultimately due to UK projects being more defined</w:t>
      </w:r>
      <w:r>
        <w:rPr>
          <w:rFonts w:ascii="Arial" w:hAnsi="Arial" w:cs="Arial"/>
          <w:color w:val="auto"/>
          <w:sz w:val="20"/>
          <w:szCs w:val="20"/>
        </w:rPr>
        <w:t xml:space="preserve"> with less risk pushed onto the contractor at bidding phase. The result is less design </w:t>
      </w:r>
      <w:r>
        <w:rPr>
          <w:rFonts w:ascii="Arial" w:hAnsi="Arial" w:cs="Arial"/>
          <w:color w:val="auto"/>
          <w:sz w:val="20"/>
          <w:szCs w:val="20"/>
        </w:rPr>
        <w:lastRenderedPageBreak/>
        <w:t xml:space="preserve">requirements, less cost attributed to risk allocation, lower bid costs and a great reduction in the amount of information/schedules required. </w:t>
      </w:r>
      <w:proofErr w:type="gramStart"/>
      <w:r w:rsidR="002C65E9">
        <w:rPr>
          <w:rFonts w:ascii="Arial" w:hAnsi="Arial" w:cs="Arial"/>
          <w:color w:val="auto"/>
          <w:sz w:val="20"/>
          <w:szCs w:val="20"/>
        </w:rPr>
        <w:t>Having said that, p</w:t>
      </w:r>
      <w:r>
        <w:rPr>
          <w:rFonts w:ascii="Arial" w:hAnsi="Arial" w:cs="Arial"/>
          <w:color w:val="auto"/>
          <w:sz w:val="20"/>
          <w:szCs w:val="20"/>
        </w:rPr>
        <w:t>rivate sector processes in Australia are generally quicker and are less incumbent by requirements to fulfil and schedules to complete.</w:t>
      </w:r>
      <w:proofErr w:type="gramEnd"/>
    </w:p>
    <w:p w:rsidR="007529EA" w:rsidRPr="000563CC" w:rsidRDefault="00873F44" w:rsidP="007529EA">
      <w:pPr>
        <w:rPr>
          <w:lang w:eastAsia="en-AU"/>
        </w:rPr>
      </w:pPr>
      <w:r w:rsidRPr="000563CC">
        <w:rPr>
          <w:lang w:eastAsia="en-AU"/>
        </w:rPr>
        <w:t>The ARA acknowledges that</w:t>
      </w:r>
      <w:r w:rsidR="007529EA" w:rsidRPr="000563CC">
        <w:rPr>
          <w:lang w:eastAsia="en-AU"/>
        </w:rPr>
        <w:t xml:space="preserve"> small changes in this area are occurring, with some of the industry’s major clients now paying for some of the tender fees to attract quality contractors.</w:t>
      </w:r>
    </w:p>
    <w:p w:rsidR="007529EA" w:rsidRDefault="007529EA" w:rsidP="007529EA">
      <w:pPr>
        <w:rPr>
          <w:lang w:eastAsia="en-AU"/>
        </w:rPr>
      </w:pPr>
      <w:r w:rsidRPr="000563CC">
        <w:rPr>
          <w:lang w:eastAsia="en-AU"/>
        </w:rPr>
        <w:t xml:space="preserve">In the context of rail infrastructure projects, it is often </w:t>
      </w:r>
      <w:r w:rsidR="00CD2EEA" w:rsidRPr="000563CC">
        <w:rPr>
          <w:lang w:eastAsia="en-AU"/>
        </w:rPr>
        <w:t xml:space="preserve">the case </w:t>
      </w:r>
      <w:r w:rsidRPr="000563CC">
        <w:rPr>
          <w:lang w:eastAsia="en-AU"/>
        </w:rPr>
        <w:t xml:space="preserve">that the projects are </w:t>
      </w:r>
      <w:r w:rsidR="00873F44" w:rsidRPr="000563CC">
        <w:rPr>
          <w:lang w:eastAsia="en-AU"/>
        </w:rPr>
        <w:t>larger projects</w:t>
      </w:r>
      <w:r w:rsidR="00CD2EEA" w:rsidRPr="000563CC">
        <w:rPr>
          <w:lang w:eastAsia="en-AU"/>
        </w:rPr>
        <w:t>, where</w:t>
      </w:r>
      <w:r w:rsidRPr="000563CC">
        <w:rPr>
          <w:lang w:eastAsia="en-AU"/>
        </w:rPr>
        <w:t xml:space="preserve"> only the major companies have capability and capacity to go through the tender process.</w:t>
      </w:r>
      <w:r w:rsidR="00873F44" w:rsidRPr="000563CC">
        <w:rPr>
          <w:lang w:eastAsia="en-AU"/>
        </w:rPr>
        <w:t xml:space="preserve"> It has been suggested that if </w:t>
      </w:r>
      <w:r w:rsidRPr="000563CC">
        <w:rPr>
          <w:lang w:eastAsia="en-AU"/>
        </w:rPr>
        <w:t>project</w:t>
      </w:r>
      <w:r w:rsidR="00CD2EEA" w:rsidRPr="000563CC">
        <w:rPr>
          <w:lang w:eastAsia="en-AU"/>
        </w:rPr>
        <w:t>s</w:t>
      </w:r>
      <w:r w:rsidRPr="000563CC">
        <w:rPr>
          <w:lang w:eastAsia="en-AU"/>
        </w:rPr>
        <w:t xml:space="preserve"> w</w:t>
      </w:r>
      <w:r w:rsidR="00CD2EEA" w:rsidRPr="000563CC">
        <w:rPr>
          <w:lang w:eastAsia="en-AU"/>
        </w:rPr>
        <w:t>ere</w:t>
      </w:r>
      <w:r w:rsidRPr="000563CC">
        <w:rPr>
          <w:lang w:eastAsia="en-AU"/>
        </w:rPr>
        <w:t xml:space="preserve"> </w:t>
      </w:r>
      <w:r w:rsidR="00873F44" w:rsidRPr="000563CC">
        <w:rPr>
          <w:lang w:eastAsia="en-AU"/>
        </w:rPr>
        <w:t xml:space="preserve">to be </w:t>
      </w:r>
      <w:r w:rsidRPr="000563CC">
        <w:rPr>
          <w:lang w:eastAsia="en-AU"/>
        </w:rPr>
        <w:t>split into smaller packages</w:t>
      </w:r>
      <w:r w:rsidR="00CD2EEA" w:rsidRPr="000563CC">
        <w:rPr>
          <w:lang w:eastAsia="en-AU"/>
        </w:rPr>
        <w:t xml:space="preserve">, </w:t>
      </w:r>
      <w:r w:rsidR="00873F44" w:rsidRPr="000563CC">
        <w:rPr>
          <w:lang w:eastAsia="en-AU"/>
        </w:rPr>
        <w:t xml:space="preserve">more </w:t>
      </w:r>
      <w:r w:rsidRPr="000563CC">
        <w:rPr>
          <w:lang w:eastAsia="en-AU"/>
        </w:rPr>
        <w:t xml:space="preserve">companies </w:t>
      </w:r>
      <w:r w:rsidR="00873F44" w:rsidRPr="000563CC">
        <w:rPr>
          <w:lang w:eastAsia="en-AU"/>
        </w:rPr>
        <w:t>could be involved</w:t>
      </w:r>
      <w:r w:rsidRPr="000563CC">
        <w:rPr>
          <w:lang w:eastAsia="en-AU"/>
        </w:rPr>
        <w:t xml:space="preserve"> in the project</w:t>
      </w:r>
      <w:r w:rsidR="00CD2EEA" w:rsidRPr="000563CC">
        <w:rPr>
          <w:lang w:eastAsia="en-AU"/>
        </w:rPr>
        <w:t>s</w:t>
      </w:r>
      <w:r w:rsidRPr="000563CC">
        <w:rPr>
          <w:lang w:eastAsia="en-AU"/>
        </w:rPr>
        <w:t>.</w:t>
      </w:r>
      <w:r w:rsidRPr="000563CC">
        <w:rPr>
          <w:rStyle w:val="FootnoteReference"/>
          <w:lang w:eastAsia="en-AU"/>
        </w:rPr>
        <w:footnoteReference w:id="28"/>
      </w:r>
      <w:r w:rsidRPr="000563CC">
        <w:rPr>
          <w:lang w:eastAsia="en-AU"/>
        </w:rPr>
        <w:t xml:space="preserve"> </w:t>
      </w:r>
      <w:r w:rsidR="00873F44" w:rsidRPr="000563CC">
        <w:rPr>
          <w:lang w:eastAsia="en-AU"/>
        </w:rPr>
        <w:t>The</w:t>
      </w:r>
      <w:r w:rsidRPr="000563CC">
        <w:rPr>
          <w:lang w:eastAsia="en-AU"/>
        </w:rPr>
        <w:t xml:space="preserve"> break down into appropriate sized packages </w:t>
      </w:r>
      <w:r w:rsidR="00CD2EEA" w:rsidRPr="000563CC">
        <w:rPr>
          <w:lang w:eastAsia="en-AU"/>
        </w:rPr>
        <w:t xml:space="preserve">would </w:t>
      </w:r>
      <w:r w:rsidRPr="000563CC">
        <w:rPr>
          <w:lang w:eastAsia="en-AU"/>
        </w:rPr>
        <w:t>increase competition between tenderers and lower barriers for local business.</w:t>
      </w:r>
    </w:p>
    <w:p w:rsidR="008D62A2" w:rsidRDefault="008D62A2" w:rsidP="008D62A2">
      <w:pPr>
        <w:pStyle w:val="Default"/>
        <w:spacing w:line="360" w:lineRule="auto"/>
        <w:jc w:val="both"/>
        <w:rPr>
          <w:rFonts w:ascii="Arial" w:hAnsi="Arial" w:cs="Arial"/>
          <w:color w:val="auto"/>
          <w:sz w:val="20"/>
          <w:szCs w:val="20"/>
        </w:rPr>
      </w:pPr>
      <w:r w:rsidRPr="008D62A2">
        <w:rPr>
          <w:rFonts w:asciiTheme="majorHAnsi" w:eastAsiaTheme="majorEastAsia" w:hAnsiTheme="majorHAnsi" w:cstheme="majorBidi"/>
          <w:i/>
          <w:iCs/>
          <w:color w:val="6DA92D" w:themeColor="accent1" w:themeShade="BF"/>
          <w:sz w:val="20"/>
          <w:szCs w:val="22"/>
        </w:rPr>
        <w:t xml:space="preserve">Inappropriate Contracting Arrangements </w:t>
      </w:r>
    </w:p>
    <w:p w:rsidR="008D62A2" w:rsidRPr="00BC7465" w:rsidRDefault="008D62A2" w:rsidP="008D62A2">
      <w:pPr>
        <w:pStyle w:val="Default"/>
        <w:spacing w:line="360" w:lineRule="auto"/>
        <w:jc w:val="both"/>
        <w:rPr>
          <w:rFonts w:ascii="Arial" w:hAnsi="Arial" w:cs="Arial"/>
          <w:color w:val="auto"/>
          <w:sz w:val="20"/>
          <w:szCs w:val="20"/>
        </w:rPr>
      </w:pPr>
      <w:r w:rsidRPr="00BC7465">
        <w:rPr>
          <w:rFonts w:ascii="Arial" w:hAnsi="Arial" w:cs="Arial"/>
          <w:color w:val="auto"/>
          <w:sz w:val="20"/>
          <w:szCs w:val="20"/>
        </w:rPr>
        <w:t>A number of projects have suffered from cost overruns due to inappropriate contracting arrangements. Lessons must be learnt from these widely publicised projects to enable all parties to enter into contracting models with their ‘eyes wide open’ to ensure the right model prevails to deliver a specific project. A number of projects have also been rescued by changing the arrangement once a project is seen to be suffering. This is a positive move and should be encouraged to ensure projects are not just dragged to the ground due to inflexible models.</w:t>
      </w:r>
    </w:p>
    <w:p w:rsidR="008D62A2" w:rsidRPr="000563CC" w:rsidRDefault="008D62A2" w:rsidP="007529EA">
      <w:pPr>
        <w:rPr>
          <w:lang w:eastAsia="en-AU"/>
        </w:rPr>
      </w:pPr>
    </w:p>
    <w:p w:rsidR="001C5FAA" w:rsidRPr="000563CC" w:rsidRDefault="001C5FAA" w:rsidP="00F129BE">
      <w:pPr>
        <w:pStyle w:val="Heading4"/>
        <w:rPr>
          <w:lang w:eastAsia="en-AU"/>
        </w:rPr>
      </w:pPr>
      <w:r w:rsidRPr="000563CC">
        <w:rPr>
          <w:lang w:eastAsia="en-AU"/>
        </w:rPr>
        <w:t>High cost base</w:t>
      </w:r>
    </w:p>
    <w:p w:rsidR="00604732" w:rsidRPr="000563CC" w:rsidRDefault="006847FE" w:rsidP="00604732">
      <w:pPr>
        <w:rPr>
          <w:lang w:eastAsia="en-AU"/>
        </w:rPr>
      </w:pPr>
      <w:r w:rsidRPr="000563CC">
        <w:rPr>
          <w:lang w:eastAsia="en-AU"/>
        </w:rPr>
        <w:t xml:space="preserve">Australia </w:t>
      </w:r>
      <w:r w:rsidR="00C54F6D" w:rsidRPr="000563CC">
        <w:rPr>
          <w:lang w:eastAsia="en-AU"/>
        </w:rPr>
        <w:t>is</w:t>
      </w:r>
      <w:r w:rsidRPr="000563CC">
        <w:rPr>
          <w:lang w:eastAsia="en-AU"/>
        </w:rPr>
        <w:t xml:space="preserve"> known </w:t>
      </w:r>
      <w:r w:rsidR="00CD2EEA" w:rsidRPr="000563CC">
        <w:rPr>
          <w:lang w:eastAsia="en-AU"/>
        </w:rPr>
        <w:t>as</w:t>
      </w:r>
      <w:r w:rsidR="00C54F6D" w:rsidRPr="000563CC">
        <w:rPr>
          <w:lang w:eastAsia="en-AU"/>
        </w:rPr>
        <w:t xml:space="preserve"> a country</w:t>
      </w:r>
      <w:r w:rsidR="00C12B08" w:rsidRPr="000563CC">
        <w:rPr>
          <w:lang w:eastAsia="en-AU"/>
        </w:rPr>
        <w:t xml:space="preserve"> with</w:t>
      </w:r>
      <w:r w:rsidRPr="000563CC">
        <w:rPr>
          <w:lang w:eastAsia="en-AU"/>
        </w:rPr>
        <w:t xml:space="preserve"> high-cost </w:t>
      </w:r>
      <w:r w:rsidR="00C12B08" w:rsidRPr="000563CC">
        <w:rPr>
          <w:lang w:eastAsia="en-AU"/>
        </w:rPr>
        <w:t>of living</w:t>
      </w:r>
      <w:r w:rsidR="00C54F6D" w:rsidRPr="000563CC">
        <w:rPr>
          <w:lang w:eastAsia="en-AU"/>
        </w:rPr>
        <w:t xml:space="preserve"> due to the</w:t>
      </w:r>
      <w:r w:rsidR="001E6E05" w:rsidRPr="000563CC">
        <w:rPr>
          <w:lang w:eastAsia="en-AU"/>
        </w:rPr>
        <w:t xml:space="preserve"> lack of econom</w:t>
      </w:r>
      <w:r w:rsidR="00CD2EEA" w:rsidRPr="000563CC">
        <w:rPr>
          <w:lang w:eastAsia="en-AU"/>
        </w:rPr>
        <w:t>ies</w:t>
      </w:r>
      <w:r w:rsidR="001E6E05" w:rsidRPr="000563CC">
        <w:rPr>
          <w:lang w:eastAsia="en-AU"/>
        </w:rPr>
        <w:t xml:space="preserve"> of scale</w:t>
      </w:r>
      <w:r w:rsidR="00C12B08" w:rsidRPr="000563CC">
        <w:rPr>
          <w:lang w:eastAsia="en-AU"/>
        </w:rPr>
        <w:t xml:space="preserve"> that comes with the small population and also the impact of </w:t>
      </w:r>
      <w:r w:rsidR="00CD2EEA" w:rsidRPr="000563CC">
        <w:rPr>
          <w:lang w:eastAsia="en-AU"/>
        </w:rPr>
        <w:t>a</w:t>
      </w:r>
      <w:r w:rsidR="00C12B08" w:rsidRPr="000563CC">
        <w:rPr>
          <w:lang w:eastAsia="en-AU"/>
        </w:rPr>
        <w:t xml:space="preserve"> two-speed economy</w:t>
      </w:r>
      <w:r w:rsidR="00C54F6D" w:rsidRPr="000563CC">
        <w:rPr>
          <w:lang w:eastAsia="en-AU"/>
        </w:rPr>
        <w:t>.</w:t>
      </w:r>
    </w:p>
    <w:p w:rsidR="001E6E05" w:rsidRPr="000563CC" w:rsidRDefault="00CD6F03" w:rsidP="00604732">
      <w:r w:rsidRPr="000563CC">
        <w:t>The two-speed economy in Australia creates competition</w:t>
      </w:r>
      <w:r w:rsidR="001E6E05" w:rsidRPr="000563CC">
        <w:t xml:space="preserve"> for resources </w:t>
      </w:r>
      <w:r w:rsidRPr="000563CC">
        <w:t>between transport infrastructure construction and</w:t>
      </w:r>
      <w:r w:rsidR="001E6E05" w:rsidRPr="000563CC">
        <w:t xml:space="preserve"> the </w:t>
      </w:r>
      <w:r w:rsidRPr="000563CC">
        <w:t>mining industry</w:t>
      </w:r>
      <w:r w:rsidR="00CD2EEA" w:rsidRPr="000563CC">
        <w:t>. This results in</w:t>
      </w:r>
      <w:r w:rsidRPr="000563CC">
        <w:t xml:space="preserve"> higher costs for resources and labours. </w:t>
      </w:r>
      <w:r w:rsidR="00C12B08" w:rsidRPr="000563CC">
        <w:t>While</w:t>
      </w:r>
      <w:r w:rsidRPr="000563CC">
        <w:t xml:space="preserve"> looking into the transport industry itself, the size of the industry is relatively small with</w:t>
      </w:r>
      <w:r w:rsidR="00C12B08" w:rsidRPr="000563CC">
        <w:t xml:space="preserve"> only</w:t>
      </w:r>
      <w:r w:rsidRPr="000563CC">
        <w:t xml:space="preserve"> several </w:t>
      </w:r>
      <w:r w:rsidR="00C12B08" w:rsidRPr="000563CC">
        <w:t xml:space="preserve">major </w:t>
      </w:r>
      <w:r w:rsidRPr="000563CC">
        <w:t>players</w:t>
      </w:r>
      <w:r w:rsidR="00CD2EEA" w:rsidRPr="000563CC">
        <w:t>.</w:t>
      </w:r>
      <w:r w:rsidRPr="000563CC">
        <w:t xml:space="preserve"> </w:t>
      </w:r>
      <w:r w:rsidR="00CD2EEA" w:rsidRPr="000563CC">
        <w:t>This</w:t>
      </w:r>
      <w:r w:rsidR="001E6E05" w:rsidRPr="000563CC">
        <w:t xml:space="preserve"> lead</w:t>
      </w:r>
      <w:r w:rsidRPr="000563CC">
        <w:t>s</w:t>
      </w:r>
      <w:r w:rsidR="001E6E05" w:rsidRPr="000563CC">
        <w:t xml:space="preserve"> to </w:t>
      </w:r>
      <w:r w:rsidR="00CD2EEA" w:rsidRPr="000563CC">
        <w:t>a</w:t>
      </w:r>
      <w:r w:rsidR="001E6E05" w:rsidRPr="000563CC">
        <w:t xml:space="preserve"> lack of competition</w:t>
      </w:r>
      <w:r w:rsidRPr="000563CC">
        <w:t xml:space="preserve"> and as a result, higher cost</w:t>
      </w:r>
      <w:r w:rsidR="00CD2EEA" w:rsidRPr="000563CC">
        <w:t>s</w:t>
      </w:r>
      <w:r w:rsidR="001E6E05" w:rsidRPr="000563CC">
        <w:t>.</w:t>
      </w:r>
    </w:p>
    <w:p w:rsidR="006847FE" w:rsidRPr="000563CC" w:rsidRDefault="002A48BA" w:rsidP="001C5FAA">
      <w:pPr>
        <w:rPr>
          <w:lang w:eastAsia="en-AU"/>
        </w:rPr>
      </w:pPr>
      <w:r w:rsidRPr="000563CC">
        <w:rPr>
          <w:lang w:eastAsia="en-AU"/>
        </w:rPr>
        <w:lastRenderedPageBreak/>
        <w:t>Australia’s labour cost</w:t>
      </w:r>
      <w:r w:rsidR="00CD2EEA" w:rsidRPr="000563CC">
        <w:rPr>
          <w:lang w:eastAsia="en-AU"/>
        </w:rPr>
        <w:t>s</w:t>
      </w:r>
      <w:r w:rsidRPr="000563CC">
        <w:rPr>
          <w:lang w:eastAsia="en-AU"/>
        </w:rPr>
        <w:t xml:space="preserve"> </w:t>
      </w:r>
      <w:r w:rsidR="00CD2EEA" w:rsidRPr="000563CC">
        <w:rPr>
          <w:lang w:eastAsia="en-AU"/>
        </w:rPr>
        <w:t>are</w:t>
      </w:r>
      <w:r w:rsidRPr="000563CC">
        <w:rPr>
          <w:lang w:eastAsia="en-AU"/>
        </w:rPr>
        <w:t xml:space="preserve"> reported to be </w:t>
      </w:r>
      <w:r w:rsidR="00CD2EEA" w:rsidRPr="000563CC">
        <w:rPr>
          <w:lang w:eastAsia="en-AU"/>
        </w:rPr>
        <w:t>four</w:t>
      </w:r>
      <w:r w:rsidRPr="000563CC">
        <w:rPr>
          <w:lang w:eastAsia="en-AU"/>
        </w:rPr>
        <w:t xml:space="preserve"> times higher than in other countries.</w:t>
      </w:r>
      <w:r w:rsidRPr="000563CC">
        <w:rPr>
          <w:rStyle w:val="FootnoteReference"/>
          <w:lang w:eastAsia="en-AU"/>
        </w:rPr>
        <w:footnoteReference w:id="29"/>
      </w:r>
      <w:r w:rsidRPr="000563CC">
        <w:rPr>
          <w:lang w:eastAsia="en-AU"/>
        </w:rPr>
        <w:t xml:space="preserve"> </w:t>
      </w:r>
      <w:r w:rsidR="0006481A" w:rsidRPr="000563CC">
        <w:rPr>
          <w:lang w:eastAsia="en-AU"/>
        </w:rPr>
        <w:t>L</w:t>
      </w:r>
      <w:r w:rsidR="006847FE" w:rsidRPr="000563CC">
        <w:rPr>
          <w:lang w:eastAsia="en-AU"/>
        </w:rPr>
        <w:t xml:space="preserve">ocal factors in </w:t>
      </w:r>
      <w:r w:rsidR="00CD2EEA" w:rsidRPr="000563CC">
        <w:rPr>
          <w:lang w:eastAsia="en-AU"/>
        </w:rPr>
        <w:t xml:space="preserve">the </w:t>
      </w:r>
      <w:r w:rsidR="006847FE" w:rsidRPr="000563CC">
        <w:rPr>
          <w:lang w:eastAsia="en-AU"/>
        </w:rPr>
        <w:t>Australia</w:t>
      </w:r>
      <w:r w:rsidR="00CD2EEA" w:rsidRPr="000563CC">
        <w:rPr>
          <w:lang w:eastAsia="en-AU"/>
        </w:rPr>
        <w:t>n</w:t>
      </w:r>
      <w:r w:rsidR="006847FE" w:rsidRPr="000563CC">
        <w:rPr>
          <w:lang w:eastAsia="en-AU"/>
        </w:rPr>
        <w:t xml:space="preserve"> market also play a role in increased costs for rail projects. Th</w:t>
      </w:r>
      <w:r w:rsidR="00CD2EEA" w:rsidRPr="000563CC">
        <w:rPr>
          <w:lang w:eastAsia="en-AU"/>
        </w:rPr>
        <w:t>ese</w:t>
      </w:r>
      <w:r w:rsidR="006847FE" w:rsidRPr="000563CC">
        <w:rPr>
          <w:lang w:eastAsia="en-AU"/>
        </w:rPr>
        <w:t xml:space="preserve"> include labour costs and the small size of the domestic infrastructure market.</w:t>
      </w:r>
      <w:r w:rsidR="003438EE" w:rsidRPr="000563CC">
        <w:rPr>
          <w:lang w:eastAsia="en-AU"/>
        </w:rPr>
        <w:t xml:space="preserve"> The NSW Audit Office reported on shortages of skilled workers as one of </w:t>
      </w:r>
      <w:r w:rsidR="0006481A" w:rsidRPr="000563CC">
        <w:rPr>
          <w:lang w:eastAsia="en-AU"/>
        </w:rPr>
        <w:t xml:space="preserve">the </w:t>
      </w:r>
      <w:r w:rsidR="003438EE" w:rsidRPr="000563CC">
        <w:rPr>
          <w:lang w:eastAsia="en-AU"/>
        </w:rPr>
        <w:t>reason</w:t>
      </w:r>
      <w:r w:rsidR="0006481A" w:rsidRPr="000563CC">
        <w:rPr>
          <w:lang w:eastAsia="en-AU"/>
        </w:rPr>
        <w:t>s</w:t>
      </w:r>
      <w:r w:rsidR="003438EE" w:rsidRPr="000563CC">
        <w:rPr>
          <w:lang w:eastAsia="en-AU"/>
        </w:rPr>
        <w:t xml:space="preserve"> for delays and cost escalation on a range of urban rail projects in Sydney</w:t>
      </w:r>
      <w:r w:rsidR="006847FE" w:rsidRPr="000563CC">
        <w:rPr>
          <w:rStyle w:val="FootnoteReference"/>
          <w:lang w:eastAsia="en-AU"/>
        </w:rPr>
        <w:footnoteReference w:id="30"/>
      </w:r>
    </w:p>
    <w:p w:rsidR="00CF0FEC" w:rsidRPr="000563CC" w:rsidRDefault="00CF0FEC" w:rsidP="001C5FAA">
      <w:pPr>
        <w:rPr>
          <w:lang w:eastAsia="en-AU"/>
        </w:rPr>
      </w:pPr>
      <w:r w:rsidRPr="000563CC">
        <w:rPr>
          <w:lang w:eastAsia="en-AU"/>
        </w:rPr>
        <w:t>The skilled labour shortage issue does</w:t>
      </w:r>
      <w:r w:rsidR="00CD2EEA" w:rsidRPr="000563CC">
        <w:rPr>
          <w:lang w:eastAsia="en-AU"/>
        </w:rPr>
        <w:t xml:space="preserve"> not</w:t>
      </w:r>
      <w:r w:rsidR="001403E7" w:rsidRPr="000563CC">
        <w:rPr>
          <w:lang w:eastAsia="en-AU"/>
        </w:rPr>
        <w:t xml:space="preserve"> only</w:t>
      </w:r>
      <w:r w:rsidRPr="000563CC">
        <w:rPr>
          <w:lang w:eastAsia="en-AU"/>
        </w:rPr>
        <w:t xml:space="preserve"> </w:t>
      </w:r>
      <w:r w:rsidR="004F086E" w:rsidRPr="000563CC">
        <w:rPr>
          <w:lang w:eastAsia="en-AU"/>
        </w:rPr>
        <w:t xml:space="preserve">translate to </w:t>
      </w:r>
      <w:r w:rsidR="001403E7" w:rsidRPr="000563CC">
        <w:rPr>
          <w:lang w:eastAsia="en-AU"/>
        </w:rPr>
        <w:t>a</w:t>
      </w:r>
      <w:r w:rsidR="00EC71F2" w:rsidRPr="000563CC">
        <w:rPr>
          <w:lang w:eastAsia="en-AU"/>
        </w:rPr>
        <w:t xml:space="preserve"> lack of</w:t>
      </w:r>
      <w:r w:rsidRPr="000563CC">
        <w:rPr>
          <w:lang w:eastAsia="en-AU"/>
        </w:rPr>
        <w:t xml:space="preserve"> </w:t>
      </w:r>
      <w:r w:rsidR="00EC71F2" w:rsidRPr="000563CC">
        <w:rPr>
          <w:lang w:eastAsia="en-AU"/>
        </w:rPr>
        <w:t>skilled</w:t>
      </w:r>
      <w:r w:rsidR="004E338C" w:rsidRPr="000563CC">
        <w:rPr>
          <w:lang w:eastAsia="en-AU"/>
        </w:rPr>
        <w:t xml:space="preserve"> engineer</w:t>
      </w:r>
      <w:r w:rsidR="001403E7" w:rsidRPr="000563CC">
        <w:rPr>
          <w:lang w:eastAsia="en-AU"/>
        </w:rPr>
        <w:t>s</w:t>
      </w:r>
      <w:r w:rsidR="004E338C" w:rsidRPr="000563CC">
        <w:rPr>
          <w:lang w:eastAsia="en-AU"/>
        </w:rPr>
        <w:t xml:space="preserve"> </w:t>
      </w:r>
      <w:r w:rsidR="001403E7" w:rsidRPr="000563CC">
        <w:rPr>
          <w:lang w:eastAsia="en-AU"/>
        </w:rPr>
        <w:t>and</w:t>
      </w:r>
      <w:r w:rsidR="00EC71F2" w:rsidRPr="000563CC">
        <w:rPr>
          <w:lang w:eastAsia="en-AU"/>
        </w:rPr>
        <w:t xml:space="preserve"> </w:t>
      </w:r>
      <w:r w:rsidRPr="000563CC">
        <w:rPr>
          <w:lang w:eastAsia="en-AU"/>
        </w:rPr>
        <w:t xml:space="preserve">skilled </w:t>
      </w:r>
      <w:r w:rsidR="004E338C" w:rsidRPr="000563CC">
        <w:rPr>
          <w:lang w:eastAsia="en-AU"/>
        </w:rPr>
        <w:t>trade</w:t>
      </w:r>
      <w:r w:rsidR="001403E7" w:rsidRPr="000563CC">
        <w:rPr>
          <w:lang w:eastAsia="en-AU"/>
        </w:rPr>
        <w:t>s</w:t>
      </w:r>
      <w:r w:rsidR="004E338C" w:rsidRPr="000563CC">
        <w:rPr>
          <w:lang w:eastAsia="en-AU"/>
        </w:rPr>
        <w:t>pe</w:t>
      </w:r>
      <w:r w:rsidR="001403E7" w:rsidRPr="000563CC">
        <w:rPr>
          <w:lang w:eastAsia="en-AU"/>
        </w:rPr>
        <w:t>ople</w:t>
      </w:r>
      <w:r w:rsidR="00EC71F2" w:rsidRPr="000563CC">
        <w:rPr>
          <w:lang w:eastAsia="en-AU"/>
        </w:rPr>
        <w:t xml:space="preserve"> in construction companies, it also includes</w:t>
      </w:r>
      <w:r w:rsidRPr="000563CC">
        <w:rPr>
          <w:lang w:eastAsia="en-AU"/>
        </w:rPr>
        <w:t xml:space="preserve"> </w:t>
      </w:r>
      <w:r w:rsidR="001403E7" w:rsidRPr="000563CC">
        <w:rPr>
          <w:lang w:eastAsia="en-AU"/>
        </w:rPr>
        <w:t xml:space="preserve">a </w:t>
      </w:r>
      <w:r w:rsidRPr="000563CC">
        <w:rPr>
          <w:lang w:eastAsia="en-AU"/>
        </w:rPr>
        <w:t xml:space="preserve">lack of </w:t>
      </w:r>
      <w:r w:rsidRPr="000563CC">
        <w:t>engineering and procurement skills in transport agencies</w:t>
      </w:r>
      <w:r w:rsidR="00EC71F2" w:rsidRPr="000563CC">
        <w:t xml:space="preserve">. This issue leads to </w:t>
      </w:r>
      <w:r w:rsidR="001403E7" w:rsidRPr="000563CC">
        <w:t xml:space="preserve">an </w:t>
      </w:r>
      <w:r w:rsidR="004F086E" w:rsidRPr="000563CC">
        <w:t xml:space="preserve">over reliance on </w:t>
      </w:r>
      <w:r w:rsidR="004E338C" w:rsidRPr="000563CC">
        <w:t xml:space="preserve">external </w:t>
      </w:r>
      <w:r w:rsidR="004F086E" w:rsidRPr="000563CC">
        <w:t>consultant</w:t>
      </w:r>
      <w:r w:rsidR="001403E7" w:rsidRPr="000563CC">
        <w:t>s</w:t>
      </w:r>
      <w:r w:rsidR="004F086E" w:rsidRPr="000563CC">
        <w:t xml:space="preserve"> </w:t>
      </w:r>
      <w:r w:rsidR="004E338C" w:rsidRPr="000563CC">
        <w:t>to prepare cost estimate</w:t>
      </w:r>
      <w:r w:rsidR="001403E7" w:rsidRPr="000563CC">
        <w:t>s</w:t>
      </w:r>
      <w:r w:rsidR="004E338C" w:rsidRPr="000563CC">
        <w:t xml:space="preserve">, </w:t>
      </w:r>
      <w:r w:rsidR="001403E7" w:rsidRPr="000563CC">
        <w:t xml:space="preserve">and to do </w:t>
      </w:r>
      <w:r w:rsidR="004E338C" w:rsidRPr="000563CC">
        <w:t>project design and project management. T</w:t>
      </w:r>
      <w:r w:rsidR="00833D4E" w:rsidRPr="000563CC">
        <w:t xml:space="preserve">his lack of in-house procurement expertise </w:t>
      </w:r>
      <w:r w:rsidR="004E338C" w:rsidRPr="000563CC">
        <w:t>is one of the contribut</w:t>
      </w:r>
      <w:r w:rsidR="00833D4E" w:rsidRPr="000563CC">
        <w:t xml:space="preserve">ors that </w:t>
      </w:r>
      <w:proofErr w:type="gramStart"/>
      <w:r w:rsidR="00833D4E" w:rsidRPr="000563CC">
        <w:t>lead</w:t>
      </w:r>
      <w:r w:rsidR="001403E7" w:rsidRPr="000563CC">
        <w:t>s</w:t>
      </w:r>
      <w:proofErr w:type="gramEnd"/>
      <w:r w:rsidR="00833D4E" w:rsidRPr="000563CC">
        <w:t xml:space="preserve"> to inflated costs. It is understandable that due to the small volume of railway design and project costing, transport agencies</w:t>
      </w:r>
      <w:r w:rsidR="001403E7" w:rsidRPr="000563CC">
        <w:t xml:space="preserve"> find it challenging</w:t>
      </w:r>
      <w:r w:rsidR="00833D4E" w:rsidRPr="000563CC">
        <w:t xml:space="preserve"> to keep design specialist</w:t>
      </w:r>
      <w:r w:rsidR="001403E7" w:rsidRPr="000563CC">
        <w:t>s</w:t>
      </w:r>
      <w:r w:rsidR="00833D4E" w:rsidRPr="000563CC">
        <w:t xml:space="preserve"> and cost engineers gainfully employed, however it is recommended that transport agencies recruit experienced commercial project managers at the most senior level.</w:t>
      </w:r>
      <w:r w:rsidR="00833D4E" w:rsidRPr="000563CC">
        <w:rPr>
          <w:rStyle w:val="FootnoteReference"/>
        </w:rPr>
        <w:footnoteReference w:id="31"/>
      </w:r>
    </w:p>
    <w:p w:rsidR="007B3550" w:rsidRPr="000563CC" w:rsidRDefault="009F5CDB" w:rsidP="009F5CDB">
      <w:pPr>
        <w:pStyle w:val="Heading4"/>
      </w:pPr>
      <w:r w:rsidRPr="000563CC">
        <w:t>I</w:t>
      </w:r>
      <w:r w:rsidR="00F129BE" w:rsidRPr="000563CC">
        <w:t>nadequate i</w:t>
      </w:r>
      <w:r w:rsidRPr="000563CC">
        <w:t>nfrastructure p</w:t>
      </w:r>
      <w:r w:rsidR="00507FAA" w:rsidRPr="000563CC">
        <w:t>lanning</w:t>
      </w:r>
    </w:p>
    <w:p w:rsidR="007529EA" w:rsidRPr="000563CC" w:rsidRDefault="001403E7" w:rsidP="00507FAA">
      <w:r w:rsidRPr="000563CC">
        <w:t>M</w:t>
      </w:r>
      <w:r w:rsidR="001335E3" w:rsidRPr="000563CC">
        <w:t xml:space="preserve">ore efficient and effective infrastructure planning is playing a central role in determining the final project costs because it allows </w:t>
      </w:r>
      <w:r w:rsidRPr="000563CC">
        <w:t xml:space="preserve">for </w:t>
      </w:r>
      <w:r w:rsidR="001335E3" w:rsidRPr="000563CC">
        <w:t>early planning in surface rail corridors reservation. The lack of reserving rail surface corridors means that new infrastructure has to be located in the tunnels which will significantly increase in the project costs.</w:t>
      </w:r>
    </w:p>
    <w:p w:rsidR="00507FAA" w:rsidRPr="000563CC" w:rsidRDefault="001335E3" w:rsidP="00507FAA">
      <w:r w:rsidRPr="000563CC">
        <w:t xml:space="preserve">A study </w:t>
      </w:r>
      <w:r w:rsidR="001403E7" w:rsidRPr="000563CC">
        <w:t xml:space="preserve">has </w:t>
      </w:r>
      <w:r w:rsidRPr="000563CC">
        <w:t>show</w:t>
      </w:r>
      <w:r w:rsidR="001403E7" w:rsidRPr="000563CC">
        <w:t>n</w:t>
      </w:r>
      <w:r w:rsidRPr="000563CC">
        <w:t xml:space="preserve"> that </w:t>
      </w:r>
      <w:r w:rsidR="00507FAA" w:rsidRPr="000563CC">
        <w:rPr>
          <w:lang w:eastAsia="en-AU"/>
        </w:rPr>
        <w:t>the greatest escalator of per-kilometre costs for heavy rail projects is the decision to pursue tunnelled rights of way. The technical and geological complexity and risk of these projects greatly increases this cost.</w:t>
      </w:r>
      <w:r w:rsidR="00507FAA" w:rsidRPr="000563CC">
        <w:rPr>
          <w:rStyle w:val="FootnoteReference"/>
          <w:lang w:eastAsia="en-AU"/>
        </w:rPr>
        <w:footnoteReference w:id="32"/>
      </w:r>
      <w:r w:rsidR="00507FAA" w:rsidRPr="000563CC">
        <w:rPr>
          <w:lang w:eastAsia="en-AU"/>
        </w:rPr>
        <w:t xml:space="preserve"> </w:t>
      </w:r>
    </w:p>
    <w:p w:rsidR="00507FAA" w:rsidRPr="000563CC" w:rsidRDefault="00507FAA" w:rsidP="00507FAA">
      <w:pPr>
        <w:rPr>
          <w:lang w:eastAsia="en-AU"/>
        </w:rPr>
      </w:pPr>
      <w:r w:rsidRPr="000563CC">
        <w:rPr>
          <w:lang w:eastAsia="en-AU"/>
        </w:rPr>
        <w:t xml:space="preserve">Removing the two most expensive projects with tunnelled rights-of-way (Epping-Chatswood and Sydney Airport Railway) from the equation, </w:t>
      </w:r>
      <w:r w:rsidR="001403E7" w:rsidRPr="000563CC">
        <w:rPr>
          <w:lang w:eastAsia="en-AU"/>
        </w:rPr>
        <w:t xml:space="preserve">the </w:t>
      </w:r>
      <w:r w:rsidRPr="000563CC">
        <w:rPr>
          <w:lang w:eastAsia="en-AU"/>
        </w:rPr>
        <w:t>average construction cost drop</w:t>
      </w:r>
      <w:r w:rsidR="001403E7" w:rsidRPr="000563CC">
        <w:rPr>
          <w:lang w:eastAsia="en-AU"/>
        </w:rPr>
        <w:t>s</w:t>
      </w:r>
      <w:r w:rsidRPr="000563CC">
        <w:rPr>
          <w:lang w:eastAsia="en-AU"/>
        </w:rPr>
        <w:t xml:space="preserve"> by around one</w:t>
      </w:r>
      <w:r w:rsidR="001403E7" w:rsidRPr="000563CC">
        <w:rPr>
          <w:lang w:eastAsia="en-AU"/>
        </w:rPr>
        <w:noBreakHyphen/>
      </w:r>
      <w:r w:rsidRPr="000563CC">
        <w:rPr>
          <w:lang w:eastAsia="en-AU"/>
        </w:rPr>
        <w:t xml:space="preserve">third to $27.95M per-kilometre. Removing the top five most expensive projects (involving </w:t>
      </w:r>
      <w:proofErr w:type="gramStart"/>
      <w:r w:rsidRPr="000563CC">
        <w:rPr>
          <w:lang w:eastAsia="en-AU"/>
        </w:rPr>
        <w:t>either extensive</w:t>
      </w:r>
      <w:proofErr w:type="gramEnd"/>
      <w:r w:rsidRPr="000563CC">
        <w:rPr>
          <w:lang w:eastAsia="en-AU"/>
        </w:rPr>
        <w:t xml:space="preserve"> tunnelled rights-of-way, cut-and-cover tunnelling and grade separations </w:t>
      </w:r>
      <w:r w:rsidRPr="000563CC">
        <w:rPr>
          <w:lang w:eastAsia="en-AU"/>
        </w:rPr>
        <w:lastRenderedPageBreak/>
        <w:t>(Varsity Lakes extension), tunnelling and rail construction in the inner core for a new CBD station (</w:t>
      </w:r>
      <w:proofErr w:type="spellStart"/>
      <w:r w:rsidRPr="000563CC">
        <w:rPr>
          <w:lang w:eastAsia="en-AU"/>
        </w:rPr>
        <w:t>Britomart</w:t>
      </w:r>
      <w:proofErr w:type="spellEnd"/>
      <w:r w:rsidRPr="000563CC">
        <w:rPr>
          <w:lang w:eastAsia="en-AU"/>
        </w:rPr>
        <w:t xml:space="preserve"> Transit Centre) or erecting a new bridge over a waterway (Clifton Hill duplication)</w:t>
      </w:r>
      <w:r w:rsidR="001403E7" w:rsidRPr="000563CC">
        <w:rPr>
          <w:lang w:eastAsia="en-AU"/>
        </w:rPr>
        <w:t>)</w:t>
      </w:r>
      <w:r w:rsidRPr="000563CC">
        <w:rPr>
          <w:lang w:eastAsia="en-AU"/>
        </w:rPr>
        <w:t xml:space="preserve"> reduces the average construction cost by 60 per cent to $17M per-kilometre.</w:t>
      </w:r>
      <w:r w:rsidRPr="000563CC">
        <w:rPr>
          <w:rStyle w:val="FootnoteReference"/>
          <w:lang w:eastAsia="en-AU"/>
        </w:rPr>
        <w:footnoteReference w:id="33"/>
      </w:r>
      <w:r w:rsidRPr="000563CC">
        <w:rPr>
          <w:lang w:eastAsia="en-AU"/>
        </w:rPr>
        <w:t xml:space="preserve"> </w:t>
      </w:r>
    </w:p>
    <w:p w:rsidR="009F5CDB" w:rsidRPr="000563CC" w:rsidRDefault="00F129BE" w:rsidP="009F5CDB">
      <w:pPr>
        <w:pStyle w:val="Heading4"/>
      </w:pPr>
      <w:r w:rsidRPr="000563CC">
        <w:t>Uncertain</w:t>
      </w:r>
      <w:r w:rsidR="009F5CDB" w:rsidRPr="000563CC">
        <w:t xml:space="preserve"> project pipeline</w:t>
      </w:r>
    </w:p>
    <w:p w:rsidR="00CF0FEC" w:rsidRPr="000563CC" w:rsidRDefault="00CF0FEC" w:rsidP="00CF0FEC">
      <w:r w:rsidRPr="000563CC">
        <w:t>The current uncertainty around rail’s pipeline of projects is also impacting the sector’s ability to retain, train and invest in its workforce. Boom-bust project cycles are affecting contractors’ ability to provide jobs for their workforce during the "spaces between major projects".</w:t>
      </w:r>
      <w:r w:rsidRPr="000563CC">
        <w:rPr>
          <w:rStyle w:val="FootnoteReference"/>
        </w:rPr>
        <w:footnoteReference w:id="34"/>
      </w:r>
    </w:p>
    <w:p w:rsidR="00522585" w:rsidRPr="000563CC" w:rsidRDefault="000F2E76" w:rsidP="00522585">
      <w:r w:rsidRPr="000563CC">
        <w:t xml:space="preserve">RCG members </w:t>
      </w:r>
      <w:r w:rsidR="001403E7" w:rsidRPr="000563CC">
        <w:t xml:space="preserve">are of the </w:t>
      </w:r>
      <w:r w:rsidRPr="000563CC">
        <w:t>view</w:t>
      </w:r>
      <w:r w:rsidR="00CD6F03" w:rsidRPr="000563CC">
        <w:t xml:space="preserve"> that </w:t>
      </w:r>
      <w:r w:rsidR="001403E7" w:rsidRPr="000563CC">
        <w:t>there is a</w:t>
      </w:r>
      <w:r w:rsidR="007B3550" w:rsidRPr="000563CC">
        <w:t xml:space="preserve"> need for greater surety on behalf of all levels of government in Australia around the pipeline of rail projects</w:t>
      </w:r>
      <w:r w:rsidR="008E2666" w:rsidRPr="000563CC">
        <w:t>,</w:t>
      </w:r>
      <w:r w:rsidR="007B3550" w:rsidRPr="000563CC">
        <w:t xml:space="preserve"> and</w:t>
      </w:r>
      <w:r w:rsidR="008E2666" w:rsidRPr="000563CC">
        <w:t xml:space="preserve"> also a</w:t>
      </w:r>
      <w:r w:rsidR="007B3550" w:rsidRPr="000563CC">
        <w:t xml:space="preserve"> </w:t>
      </w:r>
      <w:r w:rsidR="008E2666" w:rsidRPr="000563CC">
        <w:t xml:space="preserve">need for </w:t>
      </w:r>
      <w:r w:rsidR="007B3550" w:rsidRPr="000563CC">
        <w:t>a nationally</w:t>
      </w:r>
      <w:r w:rsidR="008E2666" w:rsidRPr="000563CC">
        <w:noBreakHyphen/>
      </w:r>
      <w:r w:rsidR="007B3550" w:rsidRPr="000563CC">
        <w:t>agreed procurement method</w:t>
      </w:r>
      <w:r w:rsidR="008E2666" w:rsidRPr="000563CC">
        <w:t>. This would enable</w:t>
      </w:r>
      <w:r w:rsidR="007B3550" w:rsidRPr="000563CC">
        <w:t xml:space="preserve"> the future sustainability of the sector</w:t>
      </w:r>
      <w:r w:rsidR="00CF0FEC" w:rsidRPr="000563CC">
        <w:t xml:space="preserve"> and would help in better costing.</w:t>
      </w:r>
    </w:p>
    <w:p w:rsidR="00832155" w:rsidRPr="000563CC" w:rsidRDefault="00832155" w:rsidP="00522585">
      <w:pPr>
        <w:pStyle w:val="Heading4"/>
      </w:pPr>
      <w:r w:rsidRPr="000563CC">
        <w:t>Compliance Cost</w:t>
      </w:r>
    </w:p>
    <w:p w:rsidR="00522585" w:rsidRPr="000563CC" w:rsidRDefault="008E2666" w:rsidP="00522585">
      <w:r w:rsidRPr="000563CC">
        <w:t>While the industry should not</w:t>
      </w:r>
      <w:r w:rsidR="00522585" w:rsidRPr="000563CC">
        <w:t xml:space="preserve"> lower </w:t>
      </w:r>
      <w:r w:rsidRPr="000563CC">
        <w:t>its</w:t>
      </w:r>
      <w:r w:rsidR="00522585" w:rsidRPr="000563CC">
        <w:t xml:space="preserve"> </w:t>
      </w:r>
      <w:r w:rsidR="001118DD" w:rsidRPr="000563CC">
        <w:t xml:space="preserve">HSE (Health Safety and Environment) </w:t>
      </w:r>
      <w:r w:rsidR="00522585" w:rsidRPr="000563CC">
        <w:t>standard in order to lower the project costs</w:t>
      </w:r>
      <w:r w:rsidRPr="000563CC">
        <w:t xml:space="preserve">, </w:t>
      </w:r>
      <w:r w:rsidR="00522585" w:rsidRPr="000563CC">
        <w:t>it is worth weight</w:t>
      </w:r>
      <w:r w:rsidRPr="000563CC">
        <w:t>ing</w:t>
      </w:r>
      <w:r w:rsidR="00522585" w:rsidRPr="000563CC">
        <w:t xml:space="preserve"> the annual expenditure increases on specific HSE initiative</w:t>
      </w:r>
      <w:r w:rsidRPr="000563CC">
        <w:t>s</w:t>
      </w:r>
      <w:r w:rsidR="00522585" w:rsidRPr="000563CC">
        <w:t xml:space="preserve"> </w:t>
      </w:r>
      <w:r w:rsidRPr="000563CC">
        <w:t>against</w:t>
      </w:r>
      <w:r w:rsidR="00522585" w:rsidRPr="000563CC">
        <w:t xml:space="preserve"> the actual improvement</w:t>
      </w:r>
      <w:r w:rsidRPr="000563CC">
        <w:t>s</w:t>
      </w:r>
      <w:r w:rsidR="00522585" w:rsidRPr="000563CC">
        <w:t xml:space="preserve"> in </w:t>
      </w:r>
      <w:r w:rsidRPr="000563CC">
        <w:t xml:space="preserve">their </w:t>
      </w:r>
      <w:r w:rsidR="00522585" w:rsidRPr="000563CC">
        <w:t>outcome</w:t>
      </w:r>
      <w:r w:rsidRPr="000563CC">
        <w:t>s</w:t>
      </w:r>
      <w:r w:rsidR="00522585" w:rsidRPr="000563CC">
        <w:t>.</w:t>
      </w:r>
      <w:r w:rsidR="001118DD" w:rsidRPr="000563CC">
        <w:rPr>
          <w:rStyle w:val="FootnoteReference"/>
        </w:rPr>
        <w:footnoteReference w:id="35"/>
      </w:r>
    </w:p>
    <w:p w:rsidR="0006095A" w:rsidRPr="000563CC" w:rsidRDefault="008E2666" w:rsidP="001C5FAA">
      <w:pPr>
        <w:pStyle w:val="Heading4"/>
      </w:pPr>
      <w:r w:rsidRPr="000563CC">
        <w:t>C</w:t>
      </w:r>
      <w:r w:rsidR="00440EAC" w:rsidRPr="000563CC">
        <w:t>hange of s</w:t>
      </w:r>
      <w:r w:rsidR="00832155" w:rsidRPr="000563CC">
        <w:t>tandard</w:t>
      </w:r>
      <w:r w:rsidR="00440EAC" w:rsidRPr="000563CC">
        <w:t>s</w:t>
      </w:r>
    </w:p>
    <w:p w:rsidR="00440EAC" w:rsidRPr="000563CC" w:rsidRDefault="008E2666" w:rsidP="00C54F6D">
      <w:r w:rsidRPr="000563CC">
        <w:t>C</w:t>
      </w:r>
      <w:r w:rsidR="00440EAC" w:rsidRPr="000563CC">
        <w:t xml:space="preserve">hange of standards </w:t>
      </w:r>
      <w:proofErr w:type="spellStart"/>
      <w:r w:rsidR="00440EAC" w:rsidRPr="000563CC">
        <w:t>mid-way</w:t>
      </w:r>
      <w:proofErr w:type="spellEnd"/>
      <w:r w:rsidR="00440EAC" w:rsidRPr="000563CC">
        <w:t xml:space="preserve"> through a project has an impact on the costs. </w:t>
      </w:r>
      <w:r w:rsidRPr="000563CC">
        <w:t>C</w:t>
      </w:r>
      <w:r w:rsidR="00440EAC" w:rsidRPr="000563CC">
        <w:t xml:space="preserve">hange of standards after the project </w:t>
      </w:r>
      <w:r w:rsidRPr="000563CC">
        <w:t xml:space="preserve">has </w:t>
      </w:r>
      <w:r w:rsidR="00440EAC" w:rsidRPr="000563CC">
        <w:t>commenced means engineering design work has to be redone to meet the new standard</w:t>
      </w:r>
      <w:r w:rsidRPr="000563CC">
        <w:t>s</w:t>
      </w:r>
      <w:r w:rsidR="00440EAC" w:rsidRPr="000563CC">
        <w:t>.</w:t>
      </w:r>
      <w:r w:rsidR="00440EAC" w:rsidRPr="000563CC">
        <w:rPr>
          <w:rStyle w:val="FootnoteReference"/>
        </w:rPr>
        <w:footnoteReference w:id="36"/>
      </w:r>
    </w:p>
    <w:p w:rsidR="00440EAC" w:rsidRDefault="000563CC" w:rsidP="00C54F6D">
      <w:r w:rsidRPr="000563CC">
        <w:t>T</w:t>
      </w:r>
      <w:r w:rsidR="0071250A" w:rsidRPr="000563CC">
        <w:t xml:space="preserve">he rail operators’ design standards are constantly under review and are periodically revised to achieve improved outcomes. The design standards cover a wide range of issues such as environmental, acoustic, safety, performance, durability and maintenance requirements. Design standard changes can occur at any stage, and they generally result in increased costs. </w:t>
      </w:r>
      <w:proofErr w:type="gramStart"/>
      <w:r w:rsidR="0071250A" w:rsidRPr="000563CC">
        <w:t xml:space="preserve">An allowance for potential changes to design standards needs to be considered in the contingency </w:t>
      </w:r>
      <w:r w:rsidR="0071250A" w:rsidRPr="000563CC">
        <w:lastRenderedPageBreak/>
        <w:t>allowance.</w:t>
      </w:r>
      <w:proofErr w:type="gramEnd"/>
      <w:r w:rsidR="0071250A" w:rsidRPr="000563CC">
        <w:t xml:space="preserve"> Alternatively, projects should be quarantined from changes in design standards after the design has been approved, as is common practice in major road projects.</w:t>
      </w:r>
      <w:r w:rsidR="0071250A" w:rsidRPr="000563CC">
        <w:rPr>
          <w:rStyle w:val="FootnoteReference"/>
        </w:rPr>
        <w:footnoteReference w:id="37"/>
      </w:r>
      <w:r w:rsidR="000127CA">
        <w:tab/>
      </w:r>
    </w:p>
    <w:sectPr w:rsidR="00440EAC" w:rsidSect="00DC2716">
      <w:headerReference w:type="default" r:id="rId10"/>
      <w:footerReference w:type="default" r:id="rId11"/>
      <w:headerReference w:type="first" r:id="rId12"/>
      <w:footerReference w:type="first" r:id="rId13"/>
      <w:pgSz w:w="11906" w:h="16838"/>
      <w:pgMar w:top="1812" w:right="707" w:bottom="1560" w:left="2694" w:header="708"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A2F" w:rsidRDefault="00353A2F" w:rsidP="00CC3919">
      <w:r>
        <w:separator/>
      </w:r>
    </w:p>
  </w:endnote>
  <w:endnote w:type="continuationSeparator" w:id="0">
    <w:p w:rsidR="00353A2F" w:rsidRDefault="00353A2F" w:rsidP="00CC3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Open Sans">
    <w:altName w:val="Tahoma"/>
    <w:charset w:val="00"/>
    <w:family w:val="swiss"/>
    <w:pitch w:val="variable"/>
    <w:sig w:usb0="00000001" w:usb1="4000205B" w:usb2="00000028"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Semibold">
    <w:altName w:val="Segoe UI Semibold"/>
    <w:charset w:val="00"/>
    <w:family w:val="swiss"/>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Open Sans Light">
    <w:altName w:val="Corbel"/>
    <w:charset w:val="00"/>
    <w:family w:val="swiss"/>
    <w:pitch w:val="variable"/>
    <w:sig w:usb0="00000001" w:usb1="4000205B" w:usb2="00000028"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3E7" w:rsidRDefault="001403E7" w:rsidP="00DC2716">
    <w:pPr>
      <w:pStyle w:val="Footer"/>
      <w:jc w:val="right"/>
    </w:pPr>
    <w:r w:rsidRPr="00DC2716">
      <w:rPr>
        <w:noProof/>
        <w:lang w:eastAsia="en-AU"/>
      </w:rPr>
      <mc:AlternateContent>
        <mc:Choice Requires="wps">
          <w:drawing>
            <wp:anchor distT="0" distB="0" distL="114300" distR="114300" simplePos="0" relativeHeight="251657216" behindDoc="0" locked="0" layoutInCell="1" allowOverlap="1" wp14:anchorId="2FAE1C4A" wp14:editId="4580002D">
              <wp:simplePos x="0" y="0"/>
              <wp:positionH relativeFrom="column">
                <wp:posOffset>-1314450</wp:posOffset>
              </wp:positionH>
              <wp:positionV relativeFrom="paragraph">
                <wp:posOffset>230505</wp:posOffset>
              </wp:positionV>
              <wp:extent cx="1362075" cy="140398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403985"/>
                      </a:xfrm>
                      <a:prstGeom prst="rect">
                        <a:avLst/>
                      </a:prstGeom>
                      <a:noFill/>
                      <a:ln w="9525">
                        <a:noFill/>
                        <a:miter lim="800000"/>
                        <a:headEnd/>
                        <a:tailEnd/>
                      </a:ln>
                    </wps:spPr>
                    <wps:txbx>
                      <w:txbxContent>
                        <w:p w:rsidR="001403E7" w:rsidRPr="00DC2716" w:rsidRDefault="001403E7" w:rsidP="00DC2716">
                          <w:pPr>
                            <w:rPr>
                              <w:rFonts w:cstheme="minorHAnsi"/>
                              <w:color w:val="00CC99" w:themeColor="text2"/>
                              <w:sz w:val="22"/>
                            </w:rPr>
                          </w:pPr>
                          <w:r>
                            <w:rPr>
                              <w:rFonts w:cstheme="minorHAnsi"/>
                              <w:color w:val="00CC99" w:themeColor="text2"/>
                              <w:sz w:val="22"/>
                            </w:rPr>
                            <w:t>23</w:t>
                          </w:r>
                          <w:r w:rsidRPr="00DC2716">
                            <w:rPr>
                              <w:rFonts w:cstheme="minorHAnsi"/>
                              <w:color w:val="00CC99" w:themeColor="text2"/>
                              <w:sz w:val="22"/>
                            </w:rPr>
                            <w:t>/</w:t>
                          </w:r>
                          <w:r>
                            <w:rPr>
                              <w:rFonts w:cstheme="minorHAnsi"/>
                              <w:color w:val="00CC99" w:themeColor="text2"/>
                              <w:sz w:val="22"/>
                            </w:rPr>
                            <w:t>12</w:t>
                          </w:r>
                          <w:r w:rsidRPr="00DC2716">
                            <w:rPr>
                              <w:rFonts w:cstheme="minorHAnsi"/>
                              <w:color w:val="00CC99" w:themeColor="text2"/>
                              <w:sz w:val="22"/>
                            </w:rPr>
                            <w:t>/</w:t>
                          </w:r>
                          <w:r>
                            <w:rPr>
                              <w:rFonts w:cstheme="minorHAnsi"/>
                              <w:color w:val="00CC99" w:themeColor="text2"/>
                              <w:sz w:val="22"/>
                            </w:rPr>
                            <w:t>2013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103.5pt;margin-top:18.15pt;width:107.25pt;height:110.5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" filled="f" stroked="f">
              <v:textbox style="mso-fit-shape-to-text:t">
                <w:txbxContent>
                  <w:p w:rsidR="001403E7" w:rsidRPr="00DC2716" w:rsidRDefault="001403E7" w:rsidP="00DC2716">
                    <w:pPr>
                      <w:rPr>
                        <w:rFonts w:cstheme="minorHAnsi"/>
                        <w:color w:val="00CC99" w:themeColor="text2"/>
                        <w:sz w:val="22"/>
                      </w:rPr>
                    </w:pPr>
                    <w:r>
                      <w:rPr>
                        <w:rFonts w:cstheme="minorHAnsi"/>
                        <w:color w:val="00CC99" w:themeColor="text2"/>
                        <w:sz w:val="22"/>
                      </w:rPr>
                      <w:t>23</w:t>
                    </w:r>
                    <w:r w:rsidRPr="00DC2716">
                      <w:rPr>
                        <w:rFonts w:cstheme="minorHAnsi"/>
                        <w:color w:val="00CC99" w:themeColor="text2"/>
                        <w:sz w:val="22"/>
                      </w:rPr>
                      <w:t>/</w:t>
                    </w:r>
                    <w:r>
                      <w:rPr>
                        <w:rFonts w:cstheme="minorHAnsi"/>
                        <w:color w:val="00CC99" w:themeColor="text2"/>
                        <w:sz w:val="22"/>
                      </w:rPr>
                      <w:t>12</w:t>
                    </w:r>
                    <w:r w:rsidRPr="00DC2716">
                      <w:rPr>
                        <w:rFonts w:cstheme="minorHAnsi"/>
                        <w:color w:val="00CC99" w:themeColor="text2"/>
                        <w:sz w:val="22"/>
                      </w:rPr>
                      <w:t>/</w:t>
                    </w:r>
                    <w:r>
                      <w:rPr>
                        <w:rFonts w:cstheme="minorHAnsi"/>
                        <w:color w:val="00CC99" w:themeColor="text2"/>
                        <w:sz w:val="22"/>
                      </w:rPr>
                      <w:t>2013</w:t>
                    </w:r>
                  </w:p>
                </w:txbxContent>
              </v:textbox>
            </v:shape>
          </w:pict>
        </mc:Fallback>
      </mc:AlternateContent>
    </w:r>
  </w:p>
  <w:sdt>
    <w:sdtPr>
      <w:id w:val="1672673615"/>
      <w:docPartObj>
        <w:docPartGallery w:val="Page Numbers (Bottom of Page)"/>
        <w:docPartUnique/>
      </w:docPartObj>
    </w:sdtPr>
    <w:sdtEndPr>
      <w:rPr>
        <w:noProof/>
        <w:color w:val="00CC99" w:themeColor="text2"/>
        <w:szCs w:val="20"/>
      </w:rPr>
    </w:sdtEndPr>
    <w:sdtContent>
      <w:p w:rsidR="001403E7" w:rsidRDefault="001403E7" w:rsidP="00DC2716">
        <w:pPr>
          <w:pStyle w:val="Footer"/>
          <w:jc w:val="right"/>
          <w:rPr>
            <w:noProof/>
            <w:color w:val="00CC99" w:themeColor="text2"/>
            <w:szCs w:val="20"/>
          </w:rPr>
        </w:pPr>
        <w:r w:rsidRPr="00DC2716">
          <w:rPr>
            <w:noProof/>
            <w:lang w:eastAsia="en-AU"/>
          </w:rPr>
          <mc:AlternateContent>
            <mc:Choice Requires="wps">
              <w:drawing>
                <wp:anchor distT="0" distB="0" distL="114300" distR="114300" simplePos="0" relativeHeight="251656192" behindDoc="0" locked="0" layoutInCell="1" allowOverlap="1" wp14:anchorId="5A938827" wp14:editId="68DB16C8">
                  <wp:simplePos x="0" y="0"/>
                  <wp:positionH relativeFrom="column">
                    <wp:posOffset>3794760</wp:posOffset>
                  </wp:positionH>
                  <wp:positionV relativeFrom="paragraph">
                    <wp:posOffset>84455</wp:posOffset>
                  </wp:positionV>
                  <wp:extent cx="1562100" cy="418465"/>
                  <wp:effectExtent l="0" t="0" r="0" b="63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418465"/>
                          </a:xfrm>
                          <a:prstGeom prst="rect">
                            <a:avLst/>
                          </a:prstGeom>
                          <a:noFill/>
                          <a:ln w="9525">
                            <a:noFill/>
                            <a:miter lim="800000"/>
                            <a:headEnd/>
                            <a:tailEnd/>
                          </a:ln>
                        </wps:spPr>
                        <wps:txbx>
                          <w:txbxContent>
                            <w:p w:rsidR="001403E7" w:rsidRPr="00DC2716" w:rsidRDefault="001403E7" w:rsidP="00DC2716">
                              <w:pPr>
                                <w:pStyle w:val="Title"/>
                                <w:pBdr>
                                  <w:top w:val="none" w:sz="0" w:space="0" w:color="auto"/>
                                  <w:bottom w:val="none" w:sz="0" w:space="0" w:color="auto"/>
                                </w:pBdr>
                                <w:tabs>
                                  <w:tab w:val="left" w:pos="284"/>
                                </w:tabs>
                                <w:spacing w:before="0"/>
                                <w:rPr>
                                  <w:rFonts w:asciiTheme="minorHAnsi" w:hAnsiTheme="minorHAnsi" w:cstheme="minorHAnsi"/>
                                  <w:color w:val="808080" w:themeColor="background2" w:themeShade="80"/>
                                  <w:sz w:val="16"/>
                                  <w:szCs w:val="16"/>
                                </w:rPr>
                              </w:pPr>
                              <w:r w:rsidRPr="00DC2716">
                                <w:rPr>
                                  <w:rFonts w:asciiTheme="minorHAnsi" w:hAnsiTheme="minorHAnsi" w:cstheme="minorHAnsi"/>
                                  <w:color w:val="808080" w:themeColor="background2" w:themeShade="80"/>
                                  <w:sz w:val="16"/>
                                  <w:szCs w:val="16"/>
                                </w:rPr>
                                <w:t>E</w:t>
                              </w:r>
                              <w:r>
                                <w:rPr>
                                  <w:rFonts w:asciiTheme="minorHAnsi" w:hAnsiTheme="minorHAnsi" w:cstheme="minorHAnsi"/>
                                  <w:color w:val="808080" w:themeColor="background2" w:themeShade="80"/>
                                  <w:sz w:val="16"/>
                                  <w:szCs w:val="16"/>
                                </w:rPr>
                                <w:tab/>
                              </w:r>
                              <w:r w:rsidRPr="00DC2716">
                                <w:rPr>
                                  <w:rFonts w:asciiTheme="minorHAnsi" w:hAnsiTheme="minorHAnsi" w:cstheme="minorHAnsi"/>
                                  <w:color w:val="808080" w:themeColor="background2" w:themeShade="80"/>
                                  <w:sz w:val="16"/>
                                  <w:szCs w:val="16"/>
                                </w:rPr>
                                <w:t>ara@ara.net.au</w:t>
                              </w:r>
                            </w:p>
                            <w:p w:rsidR="001403E7" w:rsidRPr="00DC2716" w:rsidRDefault="001403E7" w:rsidP="00DC2716">
                              <w:pPr>
                                <w:pStyle w:val="Title"/>
                                <w:pBdr>
                                  <w:top w:val="none" w:sz="0" w:space="0" w:color="auto"/>
                                  <w:bottom w:val="none" w:sz="0" w:space="0" w:color="auto"/>
                                </w:pBdr>
                                <w:tabs>
                                  <w:tab w:val="left" w:pos="284"/>
                                </w:tabs>
                                <w:spacing w:before="0"/>
                                <w:rPr>
                                  <w:rFonts w:asciiTheme="minorHAnsi" w:hAnsiTheme="minorHAnsi" w:cstheme="minorHAnsi"/>
                                  <w:color w:val="808080" w:themeColor="background2" w:themeShade="80"/>
                                  <w:sz w:val="16"/>
                                  <w:szCs w:val="16"/>
                                </w:rPr>
                              </w:pPr>
                              <w:r w:rsidRPr="00DC2716">
                                <w:rPr>
                                  <w:rFonts w:asciiTheme="minorHAnsi" w:hAnsiTheme="minorHAnsi" w:cstheme="minorHAnsi"/>
                                  <w:color w:val="808080" w:themeColor="background2" w:themeShade="80"/>
                                  <w:sz w:val="16"/>
                                  <w:szCs w:val="16"/>
                                </w:rPr>
                                <w:t>W</w:t>
                              </w:r>
                              <w:r w:rsidRPr="00DC2716">
                                <w:rPr>
                                  <w:rFonts w:asciiTheme="minorHAnsi" w:hAnsiTheme="minorHAnsi" w:cstheme="minorHAnsi"/>
                                  <w:color w:val="808080" w:themeColor="background2" w:themeShade="80"/>
                                  <w:sz w:val="16"/>
                                  <w:szCs w:val="16"/>
                                </w:rPr>
                                <w:tab/>
                                <w:t>www.ara.net.au</w:t>
                              </w:r>
                            </w:p>
                            <w:p w:rsidR="001403E7" w:rsidRPr="00DC2716" w:rsidRDefault="001403E7" w:rsidP="00DC2716">
                              <w:pPr>
                                <w:spacing w:before="0" w:line="240" w:lineRule="auto"/>
                                <w:rPr>
                                  <w:rFonts w:cstheme="minorHAnsi"/>
                                  <w:color w:val="808080" w:themeColor="background2" w:themeShade="80"/>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98.8pt;margin-top:6.65pt;width:123pt;height:32.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" filled="f" stroked="f">
                  <v:textbox>
                    <w:txbxContent>
                      <w:p w:rsidR="001403E7" w:rsidRPr="00DC2716" w:rsidRDefault="001403E7" w:rsidP="00DC2716">
                        <w:pPr>
                          <w:pStyle w:val="Title"/>
                          <w:pBdr>
                            <w:top w:val="none" w:sz="0" w:space="0" w:color="auto"/>
                            <w:bottom w:val="none" w:sz="0" w:space="0" w:color="auto"/>
                          </w:pBdr>
                          <w:tabs>
                            <w:tab w:val="left" w:pos="284"/>
                          </w:tabs>
                          <w:spacing w:before="0"/>
                          <w:rPr>
                            <w:rFonts w:asciiTheme="minorHAnsi" w:hAnsiTheme="minorHAnsi" w:cstheme="minorHAnsi"/>
                            <w:color w:val="808080" w:themeColor="background2" w:themeShade="80"/>
                            <w:sz w:val="16"/>
                            <w:szCs w:val="16"/>
                          </w:rPr>
                        </w:pPr>
                        <w:r w:rsidRPr="00DC2716">
                          <w:rPr>
                            <w:rFonts w:asciiTheme="minorHAnsi" w:hAnsiTheme="minorHAnsi" w:cstheme="minorHAnsi"/>
                            <w:color w:val="808080" w:themeColor="background2" w:themeShade="80"/>
                            <w:sz w:val="16"/>
                            <w:szCs w:val="16"/>
                          </w:rPr>
                          <w:t>E</w:t>
                        </w:r>
                        <w:r>
                          <w:rPr>
                            <w:rFonts w:asciiTheme="minorHAnsi" w:hAnsiTheme="minorHAnsi" w:cstheme="minorHAnsi"/>
                            <w:color w:val="808080" w:themeColor="background2" w:themeShade="80"/>
                            <w:sz w:val="16"/>
                            <w:szCs w:val="16"/>
                          </w:rPr>
                          <w:tab/>
                        </w:r>
                        <w:r w:rsidRPr="00DC2716">
                          <w:rPr>
                            <w:rFonts w:asciiTheme="minorHAnsi" w:hAnsiTheme="minorHAnsi" w:cstheme="minorHAnsi"/>
                            <w:color w:val="808080" w:themeColor="background2" w:themeShade="80"/>
                            <w:sz w:val="16"/>
                            <w:szCs w:val="16"/>
                          </w:rPr>
                          <w:t>ara@ara.net.au</w:t>
                        </w:r>
                      </w:p>
                      <w:p w:rsidR="001403E7" w:rsidRPr="00DC2716" w:rsidRDefault="001403E7" w:rsidP="00DC2716">
                        <w:pPr>
                          <w:pStyle w:val="Title"/>
                          <w:pBdr>
                            <w:top w:val="none" w:sz="0" w:space="0" w:color="auto"/>
                            <w:bottom w:val="none" w:sz="0" w:space="0" w:color="auto"/>
                          </w:pBdr>
                          <w:tabs>
                            <w:tab w:val="left" w:pos="284"/>
                          </w:tabs>
                          <w:spacing w:before="0"/>
                          <w:rPr>
                            <w:rFonts w:asciiTheme="minorHAnsi" w:hAnsiTheme="minorHAnsi" w:cstheme="minorHAnsi"/>
                            <w:color w:val="808080" w:themeColor="background2" w:themeShade="80"/>
                            <w:sz w:val="16"/>
                            <w:szCs w:val="16"/>
                          </w:rPr>
                        </w:pPr>
                        <w:r w:rsidRPr="00DC2716">
                          <w:rPr>
                            <w:rFonts w:asciiTheme="minorHAnsi" w:hAnsiTheme="minorHAnsi" w:cstheme="minorHAnsi"/>
                            <w:color w:val="808080" w:themeColor="background2" w:themeShade="80"/>
                            <w:sz w:val="16"/>
                            <w:szCs w:val="16"/>
                          </w:rPr>
                          <w:t>W</w:t>
                        </w:r>
                        <w:r w:rsidRPr="00DC2716">
                          <w:rPr>
                            <w:rFonts w:asciiTheme="minorHAnsi" w:hAnsiTheme="minorHAnsi" w:cstheme="minorHAnsi"/>
                            <w:color w:val="808080" w:themeColor="background2" w:themeShade="80"/>
                            <w:sz w:val="16"/>
                            <w:szCs w:val="16"/>
                          </w:rPr>
                          <w:tab/>
                          <w:t>www.ara.net.au</w:t>
                        </w:r>
                      </w:p>
                      <w:p w:rsidR="001403E7" w:rsidRPr="00DC2716" w:rsidRDefault="001403E7" w:rsidP="00DC2716">
                        <w:pPr>
                          <w:spacing w:before="0" w:line="240" w:lineRule="auto"/>
                          <w:rPr>
                            <w:rFonts w:cstheme="minorHAnsi"/>
                            <w:color w:val="808080" w:themeColor="background2" w:themeShade="80"/>
                            <w:sz w:val="16"/>
                            <w:szCs w:val="16"/>
                          </w:rPr>
                        </w:pPr>
                      </w:p>
                    </w:txbxContent>
                  </v:textbox>
                </v:shape>
              </w:pict>
            </mc:Fallback>
          </mc:AlternateContent>
        </w:r>
        <w:r w:rsidRPr="00DC2716">
          <w:rPr>
            <w:noProof/>
            <w:lang w:eastAsia="en-AU"/>
          </w:rPr>
          <mc:AlternateContent>
            <mc:Choice Requires="wps">
              <w:drawing>
                <wp:anchor distT="0" distB="0" distL="114300" distR="114300" simplePos="0" relativeHeight="251655168" behindDoc="0" locked="0" layoutInCell="1" allowOverlap="1" wp14:anchorId="3805F5F6" wp14:editId="57B9A925">
                  <wp:simplePos x="0" y="0"/>
                  <wp:positionH relativeFrom="column">
                    <wp:posOffset>2518410</wp:posOffset>
                  </wp:positionH>
                  <wp:positionV relativeFrom="paragraph">
                    <wp:posOffset>84455</wp:posOffset>
                  </wp:positionV>
                  <wp:extent cx="1562100" cy="418465"/>
                  <wp:effectExtent l="0" t="0" r="0" b="63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418465"/>
                          </a:xfrm>
                          <a:prstGeom prst="rect">
                            <a:avLst/>
                          </a:prstGeom>
                          <a:noFill/>
                          <a:ln w="9525">
                            <a:noFill/>
                            <a:miter lim="800000"/>
                            <a:headEnd/>
                            <a:tailEnd/>
                          </a:ln>
                        </wps:spPr>
                        <wps:txbx>
                          <w:txbxContent>
                            <w:p w:rsidR="001403E7" w:rsidRPr="00DC2716" w:rsidRDefault="001403E7" w:rsidP="00DC2716">
                              <w:pPr>
                                <w:pStyle w:val="Title"/>
                                <w:pBdr>
                                  <w:top w:val="none" w:sz="0" w:space="0" w:color="auto"/>
                                  <w:bottom w:val="none" w:sz="0" w:space="0" w:color="auto"/>
                                </w:pBdr>
                                <w:tabs>
                                  <w:tab w:val="left" w:pos="284"/>
                                </w:tabs>
                                <w:spacing w:before="0"/>
                                <w:rPr>
                                  <w:rFonts w:asciiTheme="minorHAnsi" w:hAnsiTheme="minorHAnsi" w:cstheme="minorHAnsi"/>
                                  <w:color w:val="808080" w:themeColor="background2" w:themeShade="80"/>
                                  <w:sz w:val="16"/>
                                  <w:szCs w:val="16"/>
                                </w:rPr>
                              </w:pPr>
                              <w:r w:rsidRPr="00DC2716">
                                <w:rPr>
                                  <w:rFonts w:asciiTheme="minorHAnsi" w:hAnsiTheme="minorHAnsi" w:cstheme="minorHAnsi"/>
                                  <w:color w:val="808080" w:themeColor="background2" w:themeShade="80"/>
                                  <w:sz w:val="16"/>
                                  <w:szCs w:val="16"/>
                                </w:rPr>
                                <w:t>T</w:t>
                              </w:r>
                              <w:r>
                                <w:rPr>
                                  <w:rFonts w:asciiTheme="minorHAnsi" w:hAnsiTheme="minorHAnsi" w:cstheme="minorHAnsi"/>
                                  <w:color w:val="808080" w:themeColor="background2" w:themeShade="80"/>
                                  <w:sz w:val="16"/>
                                  <w:szCs w:val="16"/>
                                </w:rPr>
                                <w:tab/>
                              </w:r>
                              <w:r w:rsidRPr="00DC2716">
                                <w:rPr>
                                  <w:rFonts w:asciiTheme="minorHAnsi" w:hAnsiTheme="minorHAnsi" w:cstheme="minorHAnsi"/>
                                  <w:color w:val="808080" w:themeColor="background2" w:themeShade="80"/>
                                  <w:sz w:val="16"/>
                                  <w:szCs w:val="16"/>
                                </w:rPr>
                                <w:t>+61 2 6270 4501</w:t>
                              </w:r>
                            </w:p>
                            <w:p w:rsidR="001403E7" w:rsidRPr="00DC2716" w:rsidRDefault="001403E7" w:rsidP="00DC2716">
                              <w:pPr>
                                <w:pStyle w:val="Title"/>
                                <w:pBdr>
                                  <w:top w:val="none" w:sz="0" w:space="0" w:color="auto"/>
                                  <w:bottom w:val="none" w:sz="0" w:space="0" w:color="auto"/>
                                </w:pBdr>
                                <w:tabs>
                                  <w:tab w:val="left" w:pos="284"/>
                                </w:tabs>
                                <w:spacing w:before="0"/>
                                <w:rPr>
                                  <w:rFonts w:asciiTheme="minorHAnsi" w:hAnsiTheme="minorHAnsi" w:cstheme="minorHAnsi"/>
                                  <w:color w:val="808080" w:themeColor="background2" w:themeShade="80"/>
                                  <w:sz w:val="16"/>
                                  <w:szCs w:val="16"/>
                                </w:rPr>
                              </w:pPr>
                              <w:r w:rsidRPr="00DC2716">
                                <w:rPr>
                                  <w:rFonts w:asciiTheme="minorHAnsi" w:hAnsiTheme="minorHAnsi" w:cstheme="minorHAnsi"/>
                                  <w:color w:val="808080" w:themeColor="background2" w:themeShade="80"/>
                                  <w:sz w:val="16"/>
                                  <w:szCs w:val="16"/>
                                </w:rPr>
                                <w:t>F</w:t>
                              </w:r>
                              <w:r w:rsidRPr="00DC2716">
                                <w:rPr>
                                  <w:rFonts w:asciiTheme="minorHAnsi" w:hAnsiTheme="minorHAnsi" w:cstheme="minorHAnsi"/>
                                  <w:color w:val="808080" w:themeColor="background2" w:themeShade="80"/>
                                  <w:sz w:val="16"/>
                                  <w:szCs w:val="16"/>
                                </w:rPr>
                                <w:tab/>
                                <w:t>+61 2 6273 5581</w:t>
                              </w:r>
                            </w:p>
                            <w:p w:rsidR="001403E7" w:rsidRPr="00DC2716" w:rsidRDefault="001403E7" w:rsidP="00DC2716">
                              <w:pPr>
                                <w:spacing w:before="0" w:line="240" w:lineRule="auto"/>
                                <w:rPr>
                                  <w:rFonts w:cstheme="minorHAnsi"/>
                                  <w:color w:val="808080" w:themeColor="background2" w:themeShade="80"/>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98.3pt;margin-top:6.65pt;width:123pt;height:32.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" filled="f" stroked="f">
                  <v:textbox>
                    <w:txbxContent>
                      <w:p w:rsidR="001403E7" w:rsidRPr="00DC2716" w:rsidRDefault="001403E7" w:rsidP="00DC2716">
                        <w:pPr>
                          <w:pStyle w:val="Title"/>
                          <w:pBdr>
                            <w:top w:val="none" w:sz="0" w:space="0" w:color="auto"/>
                            <w:bottom w:val="none" w:sz="0" w:space="0" w:color="auto"/>
                          </w:pBdr>
                          <w:tabs>
                            <w:tab w:val="left" w:pos="284"/>
                          </w:tabs>
                          <w:spacing w:before="0"/>
                          <w:rPr>
                            <w:rFonts w:asciiTheme="minorHAnsi" w:hAnsiTheme="minorHAnsi" w:cstheme="minorHAnsi"/>
                            <w:color w:val="808080" w:themeColor="background2" w:themeShade="80"/>
                            <w:sz w:val="16"/>
                            <w:szCs w:val="16"/>
                          </w:rPr>
                        </w:pPr>
                        <w:r w:rsidRPr="00DC2716">
                          <w:rPr>
                            <w:rFonts w:asciiTheme="minorHAnsi" w:hAnsiTheme="minorHAnsi" w:cstheme="minorHAnsi"/>
                            <w:color w:val="808080" w:themeColor="background2" w:themeShade="80"/>
                            <w:sz w:val="16"/>
                            <w:szCs w:val="16"/>
                          </w:rPr>
                          <w:t>T</w:t>
                        </w:r>
                        <w:r>
                          <w:rPr>
                            <w:rFonts w:asciiTheme="minorHAnsi" w:hAnsiTheme="minorHAnsi" w:cstheme="minorHAnsi"/>
                            <w:color w:val="808080" w:themeColor="background2" w:themeShade="80"/>
                            <w:sz w:val="16"/>
                            <w:szCs w:val="16"/>
                          </w:rPr>
                          <w:tab/>
                        </w:r>
                        <w:r w:rsidRPr="00DC2716">
                          <w:rPr>
                            <w:rFonts w:asciiTheme="minorHAnsi" w:hAnsiTheme="minorHAnsi" w:cstheme="minorHAnsi"/>
                            <w:color w:val="808080" w:themeColor="background2" w:themeShade="80"/>
                            <w:sz w:val="16"/>
                            <w:szCs w:val="16"/>
                          </w:rPr>
                          <w:t>+61 2 6270 4501</w:t>
                        </w:r>
                      </w:p>
                      <w:p w:rsidR="001403E7" w:rsidRPr="00DC2716" w:rsidRDefault="001403E7" w:rsidP="00DC2716">
                        <w:pPr>
                          <w:pStyle w:val="Title"/>
                          <w:pBdr>
                            <w:top w:val="none" w:sz="0" w:space="0" w:color="auto"/>
                            <w:bottom w:val="none" w:sz="0" w:space="0" w:color="auto"/>
                          </w:pBdr>
                          <w:tabs>
                            <w:tab w:val="left" w:pos="284"/>
                          </w:tabs>
                          <w:spacing w:before="0"/>
                          <w:rPr>
                            <w:rFonts w:asciiTheme="minorHAnsi" w:hAnsiTheme="minorHAnsi" w:cstheme="minorHAnsi"/>
                            <w:color w:val="808080" w:themeColor="background2" w:themeShade="80"/>
                            <w:sz w:val="16"/>
                            <w:szCs w:val="16"/>
                          </w:rPr>
                        </w:pPr>
                        <w:r w:rsidRPr="00DC2716">
                          <w:rPr>
                            <w:rFonts w:asciiTheme="minorHAnsi" w:hAnsiTheme="minorHAnsi" w:cstheme="minorHAnsi"/>
                            <w:color w:val="808080" w:themeColor="background2" w:themeShade="80"/>
                            <w:sz w:val="16"/>
                            <w:szCs w:val="16"/>
                          </w:rPr>
                          <w:t>F</w:t>
                        </w:r>
                        <w:r w:rsidRPr="00DC2716">
                          <w:rPr>
                            <w:rFonts w:asciiTheme="minorHAnsi" w:hAnsiTheme="minorHAnsi" w:cstheme="minorHAnsi"/>
                            <w:color w:val="808080" w:themeColor="background2" w:themeShade="80"/>
                            <w:sz w:val="16"/>
                            <w:szCs w:val="16"/>
                          </w:rPr>
                          <w:tab/>
                          <w:t>+61 2 6273 5581</w:t>
                        </w:r>
                      </w:p>
                      <w:p w:rsidR="001403E7" w:rsidRPr="00DC2716" w:rsidRDefault="001403E7" w:rsidP="00DC2716">
                        <w:pPr>
                          <w:spacing w:before="0" w:line="240" w:lineRule="auto"/>
                          <w:rPr>
                            <w:rFonts w:cstheme="minorHAnsi"/>
                            <w:color w:val="808080" w:themeColor="background2" w:themeShade="80"/>
                            <w:sz w:val="16"/>
                            <w:szCs w:val="16"/>
                          </w:rPr>
                        </w:pPr>
                      </w:p>
                    </w:txbxContent>
                  </v:textbox>
                </v:shape>
              </w:pict>
            </mc:Fallback>
          </mc:AlternateContent>
        </w:r>
        <w:r w:rsidRPr="00DC2716">
          <w:rPr>
            <w:noProof/>
            <w:lang w:eastAsia="en-AU"/>
          </w:rPr>
          <w:drawing>
            <wp:anchor distT="0" distB="0" distL="114300" distR="114300" simplePos="0" relativeHeight="251653120" behindDoc="1" locked="0" layoutInCell="1" allowOverlap="1" wp14:anchorId="089AD4ED" wp14:editId="36E72B77">
              <wp:simplePos x="0" y="0"/>
              <wp:positionH relativeFrom="column">
                <wp:posOffset>-1710690</wp:posOffset>
              </wp:positionH>
              <wp:positionV relativeFrom="margin">
                <wp:posOffset>8698230</wp:posOffset>
              </wp:positionV>
              <wp:extent cx="7590155" cy="8445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A_Submission_Page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0155" cy="844550"/>
                      </a:xfrm>
                      <a:prstGeom prst="rect">
                        <a:avLst/>
                      </a:prstGeom>
                    </pic:spPr>
                  </pic:pic>
                </a:graphicData>
              </a:graphic>
              <wp14:sizeRelH relativeFrom="page">
                <wp14:pctWidth>0</wp14:pctWidth>
              </wp14:sizeRelH>
              <wp14:sizeRelV relativeFrom="page">
                <wp14:pctHeight>0</wp14:pctHeight>
              </wp14:sizeRelV>
            </wp:anchor>
          </w:drawing>
        </w:r>
        <w:r w:rsidRPr="00DC2716">
          <w:rPr>
            <w:noProof/>
            <w:lang w:eastAsia="en-AU"/>
          </w:rPr>
          <mc:AlternateContent>
            <mc:Choice Requires="wps">
              <w:drawing>
                <wp:anchor distT="0" distB="0" distL="114300" distR="114300" simplePos="0" relativeHeight="251654144" behindDoc="0" locked="0" layoutInCell="1" allowOverlap="1" wp14:anchorId="5D7B43E1" wp14:editId="5CE7EBCC">
                  <wp:simplePos x="0" y="0"/>
                  <wp:positionH relativeFrom="column">
                    <wp:posOffset>1266825</wp:posOffset>
                  </wp:positionH>
                  <wp:positionV relativeFrom="paragraph">
                    <wp:posOffset>84455</wp:posOffset>
                  </wp:positionV>
                  <wp:extent cx="1266825" cy="418465"/>
                  <wp:effectExtent l="0" t="0" r="0" b="6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418465"/>
                          </a:xfrm>
                          <a:prstGeom prst="rect">
                            <a:avLst/>
                          </a:prstGeom>
                          <a:noFill/>
                          <a:ln w="9525">
                            <a:noFill/>
                            <a:miter lim="800000"/>
                            <a:headEnd/>
                            <a:tailEnd/>
                          </a:ln>
                        </wps:spPr>
                        <wps:txbx>
                          <w:txbxContent>
                            <w:p w:rsidR="001403E7" w:rsidRPr="00DC2716" w:rsidRDefault="001403E7" w:rsidP="00DC2716">
                              <w:pPr>
                                <w:spacing w:before="0" w:after="0" w:line="276" w:lineRule="auto"/>
                                <w:rPr>
                                  <w:color w:val="808080" w:themeColor="background2" w:themeShade="80"/>
                                  <w:sz w:val="16"/>
                                  <w:szCs w:val="16"/>
                                </w:rPr>
                              </w:pPr>
                              <w:r w:rsidRPr="00DC2716">
                                <w:rPr>
                                  <w:color w:val="808080" w:themeColor="background2" w:themeShade="80"/>
                                  <w:sz w:val="16"/>
                                  <w:szCs w:val="16"/>
                                </w:rPr>
                                <w:t>PO Box 4608, Kingston</w:t>
                              </w:r>
                            </w:p>
                            <w:p w:rsidR="001403E7" w:rsidRPr="00DC2716" w:rsidRDefault="001403E7" w:rsidP="00DC2716">
                              <w:pPr>
                                <w:spacing w:before="0" w:after="0" w:line="276" w:lineRule="auto"/>
                                <w:rPr>
                                  <w:color w:val="808080" w:themeColor="background2" w:themeShade="80"/>
                                  <w:sz w:val="16"/>
                                  <w:szCs w:val="16"/>
                                </w:rPr>
                              </w:pPr>
                              <w:r w:rsidRPr="00DC2716">
                                <w:rPr>
                                  <w:color w:val="808080" w:themeColor="background2" w:themeShade="80"/>
                                  <w:sz w:val="16"/>
                                  <w:szCs w:val="16"/>
                                </w:rPr>
                                <w:t>ACT 2604 Australia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99.75pt;margin-top:6.65pt;width:99.75pt;height:32.95pt;z-index:2516541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" filled="f" stroked="f">
                  <v:textbox style="mso-fit-shape-to-text:t">
                    <w:txbxContent>
                      <w:p w:rsidR="001403E7" w:rsidRPr="00DC2716" w:rsidRDefault="001403E7" w:rsidP="00DC2716">
                        <w:pPr>
                          <w:spacing w:before="0" w:after="0" w:line="276" w:lineRule="auto"/>
                          <w:rPr>
                            <w:color w:val="808080" w:themeColor="background2" w:themeShade="80"/>
                            <w:sz w:val="16"/>
                            <w:szCs w:val="16"/>
                          </w:rPr>
                        </w:pPr>
                        <w:r w:rsidRPr="00DC2716">
                          <w:rPr>
                            <w:color w:val="808080" w:themeColor="background2" w:themeShade="80"/>
                            <w:sz w:val="16"/>
                            <w:szCs w:val="16"/>
                          </w:rPr>
                          <w:t>PO Box 4608, Kingston</w:t>
                        </w:r>
                      </w:p>
                      <w:p w:rsidR="001403E7" w:rsidRPr="00DC2716" w:rsidRDefault="001403E7" w:rsidP="00DC2716">
                        <w:pPr>
                          <w:spacing w:before="0" w:after="0" w:line="276" w:lineRule="auto"/>
                          <w:rPr>
                            <w:color w:val="808080" w:themeColor="background2" w:themeShade="80"/>
                            <w:sz w:val="16"/>
                            <w:szCs w:val="16"/>
                          </w:rPr>
                        </w:pPr>
                        <w:r w:rsidRPr="00DC2716">
                          <w:rPr>
                            <w:color w:val="808080" w:themeColor="background2" w:themeShade="80"/>
                            <w:sz w:val="16"/>
                            <w:szCs w:val="16"/>
                          </w:rPr>
                          <w:t>ACT 2604 Australia</w:t>
                        </w:r>
                      </w:p>
                    </w:txbxContent>
                  </v:textbox>
                </v:shape>
              </w:pict>
            </mc:Fallback>
          </mc:AlternateContent>
        </w:r>
        <w:r w:rsidRPr="00DC2716">
          <w:rPr>
            <w:color w:val="00CC99" w:themeColor="text2"/>
            <w:szCs w:val="20"/>
          </w:rPr>
          <w:fldChar w:fldCharType="begin"/>
        </w:r>
        <w:r w:rsidRPr="00DC2716">
          <w:rPr>
            <w:color w:val="00CC99" w:themeColor="text2"/>
            <w:szCs w:val="20"/>
          </w:rPr>
          <w:instrText xml:space="preserve"> PAGE   \* MERGEFORMAT </w:instrText>
        </w:r>
        <w:r w:rsidRPr="00DC2716">
          <w:rPr>
            <w:color w:val="00CC99" w:themeColor="text2"/>
            <w:szCs w:val="20"/>
          </w:rPr>
          <w:fldChar w:fldCharType="separate"/>
        </w:r>
        <w:r w:rsidR="0045289C">
          <w:rPr>
            <w:noProof/>
            <w:color w:val="00CC99" w:themeColor="text2"/>
            <w:szCs w:val="20"/>
          </w:rPr>
          <w:t>17</w:t>
        </w:r>
        <w:r w:rsidRPr="00DC2716">
          <w:rPr>
            <w:noProof/>
            <w:color w:val="00CC99" w:themeColor="text2"/>
            <w:szCs w:val="20"/>
          </w:rPr>
          <w:fldChar w:fldCharType="end"/>
        </w:r>
      </w:p>
      <w:p w:rsidR="001403E7" w:rsidRPr="00DC2716" w:rsidRDefault="0045289C" w:rsidP="00DC2716">
        <w:pPr>
          <w:pStyle w:val="Footer"/>
          <w:jc w:val="right"/>
          <w:rPr>
            <w:color w:val="00CC99" w:themeColor="text2"/>
            <w:szCs w:val="20"/>
          </w:rP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3E7" w:rsidRDefault="001403E7" w:rsidP="00CC3919">
    <w:pPr>
      <w:pStyle w:val="Footer"/>
    </w:pPr>
    <w:r>
      <w:rPr>
        <w:noProof/>
        <w:lang w:eastAsia="en-AU"/>
      </w:rPr>
      <w:drawing>
        <wp:anchor distT="0" distB="0" distL="114300" distR="114300" simplePos="0" relativeHeight="251659264" behindDoc="1" locked="0" layoutInCell="1" allowOverlap="1" wp14:anchorId="02C85D9F" wp14:editId="5BBC53E8">
          <wp:simplePos x="0" y="0"/>
          <wp:positionH relativeFrom="column">
            <wp:posOffset>-1786255</wp:posOffset>
          </wp:positionH>
          <wp:positionV relativeFrom="paragraph">
            <wp:posOffset>-1807210</wp:posOffset>
          </wp:positionV>
          <wp:extent cx="7712075" cy="2350135"/>
          <wp:effectExtent l="0" t="0" r="317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A_Submission_Cover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12075" cy="235013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A2F" w:rsidRDefault="00353A2F" w:rsidP="00CC3919">
      <w:r>
        <w:separator/>
      </w:r>
    </w:p>
  </w:footnote>
  <w:footnote w:type="continuationSeparator" w:id="0">
    <w:p w:rsidR="00353A2F" w:rsidRDefault="00353A2F" w:rsidP="00CC3919">
      <w:r>
        <w:continuationSeparator/>
      </w:r>
    </w:p>
  </w:footnote>
  <w:footnote w:id="1">
    <w:p w:rsidR="001403E7" w:rsidRDefault="001403E7">
      <w:pPr>
        <w:pStyle w:val="FootnoteText"/>
      </w:pPr>
      <w:r>
        <w:rPr>
          <w:rStyle w:val="FootnoteReference"/>
        </w:rPr>
        <w:footnoteRef/>
      </w:r>
      <w:r>
        <w:t xml:space="preserve"> </w:t>
      </w:r>
    </w:p>
  </w:footnote>
  <w:footnote w:id="2">
    <w:p w:rsidR="001403E7" w:rsidRPr="00BA424B" w:rsidRDefault="001403E7" w:rsidP="00B64877">
      <w:pPr>
        <w:pStyle w:val="FootnoteText"/>
        <w:rPr>
          <w:rFonts w:cstheme="minorHAnsi"/>
          <w:sz w:val="18"/>
          <w:szCs w:val="18"/>
        </w:rPr>
      </w:pPr>
      <w:r w:rsidRPr="00BA424B">
        <w:rPr>
          <w:rStyle w:val="FootnoteReference"/>
          <w:rFonts w:cstheme="minorHAnsi"/>
          <w:sz w:val="18"/>
          <w:szCs w:val="18"/>
        </w:rPr>
        <w:footnoteRef/>
      </w:r>
      <w:r w:rsidRPr="00BA424B">
        <w:rPr>
          <w:rFonts w:cstheme="minorHAnsi"/>
          <w:sz w:val="18"/>
          <w:szCs w:val="18"/>
        </w:rPr>
        <w:t xml:space="preserve"> Infrastructure Australia, </w:t>
      </w:r>
      <w:r w:rsidRPr="00BA424B">
        <w:rPr>
          <w:rFonts w:cstheme="minorHAnsi"/>
          <w:i/>
          <w:sz w:val="18"/>
          <w:szCs w:val="18"/>
        </w:rPr>
        <w:t xml:space="preserve">Infrastructure Finance and Funding Reform, </w:t>
      </w:r>
      <w:r w:rsidRPr="00BA424B">
        <w:rPr>
          <w:rFonts w:cstheme="minorHAnsi"/>
          <w:sz w:val="18"/>
          <w:szCs w:val="18"/>
        </w:rPr>
        <w:t>April 2012</w:t>
      </w:r>
    </w:p>
  </w:footnote>
  <w:footnote w:id="3">
    <w:p w:rsidR="001403E7" w:rsidRPr="00BA424B" w:rsidRDefault="001403E7" w:rsidP="00B64877">
      <w:pPr>
        <w:pStyle w:val="FootnoteText"/>
        <w:rPr>
          <w:rFonts w:cstheme="minorHAnsi"/>
          <w:sz w:val="18"/>
          <w:szCs w:val="18"/>
        </w:rPr>
      </w:pPr>
      <w:r w:rsidRPr="00BA424B">
        <w:rPr>
          <w:rStyle w:val="FootnoteReference"/>
          <w:rFonts w:cstheme="minorHAnsi"/>
          <w:sz w:val="18"/>
          <w:szCs w:val="18"/>
        </w:rPr>
        <w:footnoteRef/>
      </w:r>
      <w:r w:rsidRPr="00BA424B">
        <w:rPr>
          <w:rFonts w:cstheme="minorHAnsi"/>
          <w:sz w:val="18"/>
          <w:szCs w:val="18"/>
        </w:rPr>
        <w:t xml:space="preserve"> Infrastructure Australia, </w:t>
      </w:r>
      <w:r w:rsidRPr="00BA424B">
        <w:rPr>
          <w:rFonts w:cstheme="minorHAnsi"/>
          <w:i/>
          <w:sz w:val="18"/>
          <w:szCs w:val="18"/>
        </w:rPr>
        <w:t xml:space="preserve">Infrastructure Finance and Funding Reform, </w:t>
      </w:r>
      <w:r w:rsidRPr="00BA424B">
        <w:rPr>
          <w:rFonts w:cstheme="minorHAnsi"/>
          <w:sz w:val="18"/>
          <w:szCs w:val="18"/>
        </w:rPr>
        <w:t>April 2012</w:t>
      </w:r>
    </w:p>
  </w:footnote>
  <w:footnote w:id="4">
    <w:p w:rsidR="001403E7" w:rsidRPr="00BA424B" w:rsidRDefault="001403E7" w:rsidP="00EA6833">
      <w:pPr>
        <w:pStyle w:val="FootnoteText"/>
        <w:rPr>
          <w:rFonts w:cstheme="minorHAnsi"/>
          <w:sz w:val="18"/>
          <w:szCs w:val="18"/>
        </w:rPr>
      </w:pPr>
      <w:r w:rsidRPr="00BA424B">
        <w:rPr>
          <w:rStyle w:val="FootnoteReference"/>
          <w:rFonts w:cstheme="minorHAnsi"/>
          <w:sz w:val="18"/>
          <w:szCs w:val="18"/>
        </w:rPr>
        <w:footnoteRef/>
      </w:r>
      <w:r w:rsidRPr="00BA424B">
        <w:rPr>
          <w:rFonts w:cstheme="minorHAnsi"/>
          <w:sz w:val="18"/>
          <w:szCs w:val="18"/>
        </w:rPr>
        <w:t xml:space="preserve"> Infrastructure Australia, </w:t>
      </w:r>
      <w:r w:rsidRPr="00BA424B">
        <w:rPr>
          <w:rFonts w:cstheme="minorHAnsi"/>
          <w:i/>
          <w:sz w:val="18"/>
          <w:szCs w:val="18"/>
        </w:rPr>
        <w:t>National Infrastructure Plan</w:t>
      </w:r>
      <w:r w:rsidRPr="00BA424B">
        <w:rPr>
          <w:rFonts w:cstheme="minorHAnsi"/>
          <w:sz w:val="18"/>
          <w:szCs w:val="18"/>
        </w:rPr>
        <w:t>, June 2013</w:t>
      </w:r>
    </w:p>
  </w:footnote>
  <w:footnote w:id="5">
    <w:p w:rsidR="001403E7" w:rsidRPr="008D62A2" w:rsidRDefault="001403E7" w:rsidP="006B5CA5">
      <w:pPr>
        <w:pStyle w:val="FootnoteText"/>
        <w:rPr>
          <w:rFonts w:cstheme="minorHAnsi"/>
          <w:sz w:val="18"/>
          <w:szCs w:val="18"/>
        </w:rPr>
      </w:pPr>
      <w:r>
        <w:rPr>
          <w:rStyle w:val="FootnoteReference"/>
        </w:rPr>
        <w:footnoteRef/>
      </w:r>
      <w:r>
        <w:t xml:space="preserve"> </w:t>
      </w:r>
      <w:r w:rsidRPr="008D62A2">
        <w:rPr>
          <w:rFonts w:cstheme="minorHAnsi"/>
          <w:sz w:val="18"/>
          <w:szCs w:val="18"/>
        </w:rPr>
        <w:t xml:space="preserve">Australian Financial Review, Ports sale reaps ‘historic’ $5bn price for NSW, April 2013 </w:t>
      </w:r>
    </w:p>
  </w:footnote>
  <w:footnote w:id="6">
    <w:p w:rsidR="001403E7" w:rsidRPr="008D62A2" w:rsidRDefault="001403E7" w:rsidP="006B5CA5">
      <w:pPr>
        <w:pStyle w:val="FootnoteText"/>
        <w:rPr>
          <w:rFonts w:cstheme="minorHAnsi"/>
          <w:sz w:val="18"/>
          <w:szCs w:val="18"/>
        </w:rPr>
      </w:pPr>
      <w:r w:rsidRPr="008D62A2">
        <w:rPr>
          <w:rFonts w:cstheme="minorHAnsi"/>
          <w:sz w:val="18"/>
          <w:szCs w:val="18"/>
        </w:rPr>
        <w:footnoteRef/>
      </w:r>
      <w:r w:rsidRPr="008D62A2">
        <w:rPr>
          <w:rFonts w:cstheme="minorHAnsi"/>
          <w:sz w:val="18"/>
          <w:szCs w:val="18"/>
        </w:rPr>
        <w:t xml:space="preserve"> NSW Government, Refinancing of Port Botany and </w:t>
      </w:r>
      <w:proofErr w:type="spellStart"/>
      <w:r w:rsidRPr="008D62A2">
        <w:rPr>
          <w:rFonts w:cstheme="minorHAnsi"/>
          <w:sz w:val="18"/>
          <w:szCs w:val="18"/>
        </w:rPr>
        <w:t>Desal</w:t>
      </w:r>
      <w:proofErr w:type="spellEnd"/>
      <w:r w:rsidRPr="008D62A2">
        <w:rPr>
          <w:rFonts w:cstheme="minorHAnsi"/>
          <w:sz w:val="18"/>
          <w:szCs w:val="18"/>
        </w:rPr>
        <w:t xml:space="preserve"> Plant to Fund Major Infrastructure Projects, September 2011</w:t>
      </w:r>
    </w:p>
  </w:footnote>
  <w:footnote w:id="7">
    <w:p w:rsidR="001403E7" w:rsidRPr="008D62A2" w:rsidRDefault="001403E7" w:rsidP="006B5CA5">
      <w:pPr>
        <w:pStyle w:val="FootnoteText"/>
        <w:rPr>
          <w:rFonts w:cstheme="minorHAnsi"/>
          <w:sz w:val="18"/>
          <w:szCs w:val="18"/>
        </w:rPr>
      </w:pPr>
      <w:r w:rsidRPr="008D62A2">
        <w:rPr>
          <w:rFonts w:cstheme="minorHAnsi"/>
          <w:sz w:val="18"/>
          <w:szCs w:val="18"/>
        </w:rPr>
        <w:footnoteRef/>
      </w:r>
      <w:r w:rsidRPr="008D62A2">
        <w:rPr>
          <w:rFonts w:cstheme="minorHAnsi"/>
          <w:sz w:val="18"/>
          <w:szCs w:val="18"/>
        </w:rPr>
        <w:t xml:space="preserve"> Australian Financial Review, Ports sale reaps ‘historic’ $5bn price for NSW, April 2013</w:t>
      </w:r>
    </w:p>
  </w:footnote>
  <w:footnote w:id="8">
    <w:p w:rsidR="001403E7" w:rsidRPr="00BA424B" w:rsidRDefault="001403E7" w:rsidP="006B5CA5">
      <w:pPr>
        <w:pStyle w:val="FootnoteText"/>
        <w:rPr>
          <w:rFonts w:cstheme="minorHAnsi"/>
          <w:sz w:val="18"/>
          <w:szCs w:val="18"/>
        </w:rPr>
      </w:pPr>
      <w:r w:rsidRPr="008D62A2">
        <w:footnoteRef/>
      </w:r>
      <w:r w:rsidRPr="00BA424B">
        <w:rPr>
          <w:rFonts w:cstheme="minorHAnsi"/>
          <w:sz w:val="18"/>
          <w:szCs w:val="18"/>
        </w:rPr>
        <w:t xml:space="preserve"> Ernst &amp; Young, Financing Australia’s Infrastructure Needs, Financial Services Council, 2011</w:t>
      </w:r>
    </w:p>
  </w:footnote>
  <w:footnote w:id="9">
    <w:p w:rsidR="001403E7" w:rsidRPr="00BA424B" w:rsidRDefault="001403E7" w:rsidP="006B5CA5">
      <w:pPr>
        <w:pStyle w:val="FootnoteText"/>
        <w:rPr>
          <w:rFonts w:cstheme="minorHAnsi"/>
          <w:sz w:val="18"/>
          <w:szCs w:val="18"/>
        </w:rPr>
      </w:pPr>
      <w:r w:rsidRPr="008D62A2">
        <w:footnoteRef/>
      </w:r>
      <w:r w:rsidRPr="00BA424B">
        <w:rPr>
          <w:rFonts w:cstheme="minorHAnsi"/>
          <w:sz w:val="18"/>
          <w:szCs w:val="18"/>
        </w:rPr>
        <w:t xml:space="preserve"> Ernst &amp; Young, Financing Australia’s Infrastructure Needs, Financial Services Council, 2011</w:t>
      </w:r>
    </w:p>
  </w:footnote>
  <w:footnote w:id="10">
    <w:p w:rsidR="001403E7" w:rsidRPr="00BA424B" w:rsidRDefault="001403E7" w:rsidP="006B5CA5">
      <w:pPr>
        <w:pStyle w:val="FootnoteText"/>
        <w:rPr>
          <w:rFonts w:cstheme="minorHAnsi"/>
          <w:sz w:val="18"/>
          <w:szCs w:val="18"/>
        </w:rPr>
      </w:pPr>
      <w:r w:rsidRPr="008D62A2">
        <w:footnoteRef/>
      </w:r>
      <w:r w:rsidRPr="00BA424B">
        <w:rPr>
          <w:rFonts w:cstheme="minorHAnsi"/>
          <w:sz w:val="18"/>
          <w:szCs w:val="18"/>
        </w:rPr>
        <w:t xml:space="preserve"> </w:t>
      </w:r>
      <w:proofErr w:type="gramStart"/>
      <w:r w:rsidRPr="00BA424B">
        <w:rPr>
          <w:rFonts w:cstheme="minorHAnsi"/>
          <w:sz w:val="18"/>
          <w:szCs w:val="18"/>
        </w:rPr>
        <w:t>ASFA, Investing in Transport Infrastructure Discussion Paper, September 2012.</w:t>
      </w:r>
      <w:proofErr w:type="gramEnd"/>
      <w:r w:rsidRPr="00BA424B">
        <w:rPr>
          <w:rFonts w:cstheme="minorHAnsi"/>
          <w:sz w:val="18"/>
          <w:szCs w:val="18"/>
        </w:rPr>
        <w:t xml:space="preserve"> </w:t>
      </w:r>
    </w:p>
  </w:footnote>
  <w:footnote w:id="11">
    <w:p w:rsidR="001403E7" w:rsidRPr="00BA424B" w:rsidRDefault="001403E7" w:rsidP="006B5CA5">
      <w:pPr>
        <w:pStyle w:val="FootnoteText"/>
        <w:rPr>
          <w:rFonts w:cstheme="minorHAnsi"/>
          <w:sz w:val="18"/>
          <w:szCs w:val="18"/>
        </w:rPr>
      </w:pPr>
      <w:r w:rsidRPr="008D62A2">
        <w:footnoteRef/>
      </w:r>
      <w:r w:rsidRPr="00BA424B">
        <w:rPr>
          <w:rFonts w:cstheme="minorHAnsi"/>
          <w:sz w:val="18"/>
          <w:szCs w:val="18"/>
        </w:rPr>
        <w:t xml:space="preserve"> </w:t>
      </w:r>
      <w:proofErr w:type="gramStart"/>
      <w:r w:rsidRPr="00BA424B">
        <w:rPr>
          <w:rFonts w:cstheme="minorHAnsi"/>
          <w:sz w:val="18"/>
          <w:szCs w:val="18"/>
        </w:rPr>
        <w:t>ASFA, Investing in Transport Infrastructure Discussion Paper, September 2012.</w:t>
      </w:r>
      <w:proofErr w:type="gramEnd"/>
    </w:p>
  </w:footnote>
  <w:footnote w:id="12">
    <w:p w:rsidR="001403E7" w:rsidRDefault="001403E7" w:rsidP="006B5CA5">
      <w:pPr>
        <w:pStyle w:val="FootnoteText"/>
      </w:pPr>
      <w:r>
        <w:rPr>
          <w:rStyle w:val="FootnoteReference"/>
        </w:rPr>
        <w:footnoteRef/>
      </w:r>
      <w:r>
        <w:t xml:space="preserve"> </w:t>
      </w:r>
      <w:r w:rsidRPr="00BA424B">
        <w:rPr>
          <w:rFonts w:cstheme="minorHAnsi"/>
          <w:sz w:val="18"/>
          <w:szCs w:val="18"/>
        </w:rPr>
        <w:t>The Hon Anthony Albanese, Former Federal Minister for Infrastructure and Transport, 8 November 2011</w:t>
      </w:r>
    </w:p>
  </w:footnote>
  <w:footnote w:id="13">
    <w:p w:rsidR="001403E7" w:rsidRDefault="001403E7" w:rsidP="006B5CA5">
      <w:pPr>
        <w:pStyle w:val="FootnoteText"/>
      </w:pPr>
      <w:r>
        <w:rPr>
          <w:rStyle w:val="FootnoteReference"/>
        </w:rPr>
        <w:footnoteRef/>
      </w:r>
      <w:r>
        <w:t xml:space="preserve"> </w:t>
      </w:r>
      <w:r w:rsidRPr="00BA424B">
        <w:rPr>
          <w:rFonts w:cstheme="minorHAnsi"/>
          <w:sz w:val="18"/>
          <w:szCs w:val="18"/>
        </w:rPr>
        <w:t>Ernst &amp; Young, Financing Australia’s Infrastructure Needs, Financial Services Council, 2011</w:t>
      </w:r>
    </w:p>
  </w:footnote>
  <w:footnote w:id="14">
    <w:p w:rsidR="001403E7" w:rsidRPr="00AF5357" w:rsidRDefault="001403E7" w:rsidP="006B5CA5">
      <w:pPr>
        <w:pStyle w:val="FootnoteText"/>
        <w:rPr>
          <w:rFonts w:cstheme="minorHAnsi"/>
          <w:sz w:val="18"/>
          <w:szCs w:val="18"/>
        </w:rPr>
      </w:pPr>
      <w:r>
        <w:rPr>
          <w:rStyle w:val="FootnoteReference"/>
        </w:rPr>
        <w:footnoteRef/>
      </w:r>
      <w:r>
        <w:t xml:space="preserve"> </w:t>
      </w:r>
      <w:r w:rsidRPr="00BA424B">
        <w:rPr>
          <w:rFonts w:cstheme="minorHAnsi"/>
          <w:sz w:val="18"/>
          <w:szCs w:val="18"/>
        </w:rPr>
        <w:t>Ernst &amp; Young, Financing Australia’s Infrastructure Needs, F</w:t>
      </w:r>
      <w:r>
        <w:rPr>
          <w:rFonts w:cstheme="minorHAnsi"/>
          <w:sz w:val="18"/>
          <w:szCs w:val="18"/>
        </w:rPr>
        <w:t>inancial Services Council, 2011</w:t>
      </w:r>
    </w:p>
  </w:footnote>
  <w:footnote w:id="15">
    <w:p w:rsidR="001403E7" w:rsidRPr="00AF5357" w:rsidRDefault="001403E7" w:rsidP="006B5CA5">
      <w:pPr>
        <w:pStyle w:val="FootnoteText"/>
        <w:rPr>
          <w:rFonts w:cstheme="minorHAnsi"/>
          <w:sz w:val="18"/>
          <w:szCs w:val="18"/>
        </w:rPr>
      </w:pPr>
      <w:r>
        <w:rPr>
          <w:rStyle w:val="FootnoteReference"/>
        </w:rPr>
        <w:footnoteRef/>
      </w:r>
      <w:r>
        <w:t xml:space="preserve"> </w:t>
      </w:r>
      <w:proofErr w:type="gramStart"/>
      <w:r w:rsidRPr="00BA424B">
        <w:rPr>
          <w:rFonts w:cstheme="minorHAnsi"/>
          <w:sz w:val="18"/>
          <w:szCs w:val="18"/>
        </w:rPr>
        <w:t>The Hon Anthony Albanese, ‘Superannuation Funds Wary of Rudd’s Nation-Building Plan’, the</w:t>
      </w:r>
      <w:r>
        <w:rPr>
          <w:rFonts w:cstheme="minorHAnsi"/>
          <w:sz w:val="18"/>
          <w:szCs w:val="18"/>
        </w:rPr>
        <w:t xml:space="preserve"> Australian, 17 October, 2008.</w:t>
      </w:r>
      <w:proofErr w:type="gramEnd"/>
      <w:r>
        <w:rPr>
          <w:rFonts w:cstheme="minorHAnsi"/>
          <w:sz w:val="18"/>
          <w:szCs w:val="18"/>
        </w:rPr>
        <w:t xml:space="preserve"> </w:t>
      </w:r>
    </w:p>
  </w:footnote>
  <w:footnote w:id="16">
    <w:p w:rsidR="001403E7" w:rsidRPr="00BA424B" w:rsidRDefault="001403E7" w:rsidP="006B5CA5">
      <w:pPr>
        <w:pStyle w:val="FootnoteText"/>
        <w:rPr>
          <w:rFonts w:cstheme="minorHAnsi"/>
          <w:sz w:val="18"/>
          <w:szCs w:val="18"/>
        </w:rPr>
      </w:pPr>
      <w:r w:rsidRPr="00BA424B">
        <w:rPr>
          <w:rStyle w:val="FootnoteReference"/>
          <w:rFonts w:cstheme="minorHAnsi"/>
          <w:sz w:val="18"/>
          <w:szCs w:val="18"/>
        </w:rPr>
        <w:footnoteRef/>
      </w:r>
      <w:r w:rsidRPr="00BA424B">
        <w:rPr>
          <w:rFonts w:cstheme="minorHAnsi"/>
          <w:sz w:val="18"/>
          <w:szCs w:val="18"/>
        </w:rPr>
        <w:t xml:space="preserve"> Ernst &amp; Young, Financing Australia’s Infrastructure Needs, Financial Services Council, 2011</w:t>
      </w:r>
    </w:p>
  </w:footnote>
  <w:footnote w:id="17">
    <w:p w:rsidR="001403E7" w:rsidRPr="00BA424B" w:rsidRDefault="001403E7" w:rsidP="006B5CA5">
      <w:pPr>
        <w:pStyle w:val="FootnoteText"/>
        <w:rPr>
          <w:rFonts w:cstheme="minorHAnsi"/>
          <w:sz w:val="18"/>
          <w:szCs w:val="18"/>
        </w:rPr>
      </w:pPr>
      <w:r w:rsidRPr="00BA424B">
        <w:rPr>
          <w:rStyle w:val="FootnoteReference"/>
          <w:rFonts w:cstheme="minorHAnsi"/>
          <w:sz w:val="18"/>
          <w:szCs w:val="18"/>
        </w:rPr>
        <w:footnoteRef/>
      </w:r>
      <w:r w:rsidRPr="00BA424B">
        <w:rPr>
          <w:rFonts w:cstheme="minorHAnsi"/>
          <w:sz w:val="18"/>
          <w:szCs w:val="18"/>
        </w:rPr>
        <w:t xml:space="preserve"> KPMG, Financing Australian PPP Projects in the Global Financial Crisis, June 2013</w:t>
      </w:r>
    </w:p>
  </w:footnote>
  <w:footnote w:id="18">
    <w:p w:rsidR="001403E7" w:rsidRPr="00BA424B" w:rsidRDefault="001403E7" w:rsidP="006B5CA5">
      <w:pPr>
        <w:pStyle w:val="FootnoteText"/>
        <w:rPr>
          <w:rFonts w:cstheme="minorHAnsi"/>
          <w:sz w:val="18"/>
          <w:szCs w:val="18"/>
        </w:rPr>
      </w:pPr>
      <w:r w:rsidRPr="00BA424B">
        <w:rPr>
          <w:rStyle w:val="FootnoteReference"/>
          <w:rFonts w:cstheme="minorHAnsi"/>
          <w:sz w:val="18"/>
          <w:szCs w:val="18"/>
        </w:rPr>
        <w:footnoteRef/>
      </w:r>
      <w:r w:rsidRPr="00BA424B">
        <w:rPr>
          <w:rFonts w:cstheme="minorHAnsi"/>
          <w:sz w:val="18"/>
          <w:szCs w:val="18"/>
        </w:rPr>
        <w:t xml:space="preserve"> KPMG, Financing Australian PPP Projects in the Global Financial Crisis, June 2013</w:t>
      </w:r>
    </w:p>
  </w:footnote>
  <w:footnote w:id="19">
    <w:p w:rsidR="001403E7" w:rsidRPr="00BA424B" w:rsidRDefault="001403E7" w:rsidP="006B5CA5">
      <w:pPr>
        <w:pStyle w:val="FootnoteText"/>
        <w:rPr>
          <w:rFonts w:cstheme="minorHAnsi"/>
          <w:sz w:val="18"/>
          <w:szCs w:val="18"/>
        </w:rPr>
      </w:pPr>
      <w:r w:rsidRPr="00BA424B">
        <w:rPr>
          <w:rStyle w:val="FootnoteReference"/>
          <w:rFonts w:cstheme="minorHAnsi"/>
          <w:sz w:val="18"/>
          <w:szCs w:val="18"/>
        </w:rPr>
        <w:footnoteRef/>
      </w:r>
      <w:r w:rsidRPr="00BA424B">
        <w:rPr>
          <w:rFonts w:cstheme="minorHAnsi"/>
          <w:sz w:val="18"/>
          <w:szCs w:val="18"/>
        </w:rPr>
        <w:t xml:space="preserve"> Clayton </w:t>
      </w:r>
      <w:proofErr w:type="spellStart"/>
      <w:r w:rsidRPr="00BA424B">
        <w:rPr>
          <w:rFonts w:cstheme="minorHAnsi"/>
          <w:sz w:val="18"/>
          <w:szCs w:val="18"/>
        </w:rPr>
        <w:t>Utz</w:t>
      </w:r>
      <w:proofErr w:type="spellEnd"/>
      <w:r w:rsidRPr="00BA424B">
        <w:rPr>
          <w:rFonts w:cstheme="minorHAnsi"/>
          <w:sz w:val="18"/>
          <w:szCs w:val="18"/>
        </w:rPr>
        <w:t>, Improving the Outcomes of Public Private Partnerships, 2013</w:t>
      </w:r>
    </w:p>
  </w:footnote>
  <w:footnote w:id="20">
    <w:p w:rsidR="001403E7" w:rsidRDefault="001403E7" w:rsidP="00832155">
      <w:pPr>
        <w:pStyle w:val="FootnoteText"/>
      </w:pPr>
      <w:r>
        <w:rPr>
          <w:rStyle w:val="FootnoteReference"/>
        </w:rPr>
        <w:footnoteRef/>
      </w:r>
      <w:r>
        <w:t xml:space="preserve"> </w:t>
      </w:r>
      <w:proofErr w:type="spellStart"/>
      <w:proofErr w:type="gramStart"/>
      <w:r>
        <w:t>Pottinger</w:t>
      </w:r>
      <w:proofErr w:type="spellEnd"/>
      <w:r>
        <w:t>, Building Australia, New Models for financing infrastructure, 2013.</w:t>
      </w:r>
      <w:proofErr w:type="gramEnd"/>
    </w:p>
  </w:footnote>
  <w:footnote w:id="21">
    <w:p w:rsidR="001403E7" w:rsidRDefault="001403E7">
      <w:pPr>
        <w:pStyle w:val="FootnoteText"/>
      </w:pPr>
      <w:r>
        <w:rPr>
          <w:rStyle w:val="FootnoteReference"/>
        </w:rPr>
        <w:footnoteRef/>
      </w:r>
      <w:r>
        <w:t xml:space="preserve"> Rail Express, The Sustainability of Rail Contracting in Australia, 2012.</w:t>
      </w:r>
    </w:p>
  </w:footnote>
  <w:footnote w:id="22">
    <w:p w:rsidR="001403E7" w:rsidRDefault="001403E7">
      <w:pPr>
        <w:pStyle w:val="FootnoteText"/>
      </w:pPr>
      <w:r>
        <w:rPr>
          <w:rStyle w:val="FootnoteReference"/>
        </w:rPr>
        <w:footnoteRef/>
      </w:r>
      <w:r>
        <w:t xml:space="preserve"> General Purpose Standing Committee No. 3, Rail infrastructure project costing in New South Wales, 2012.</w:t>
      </w:r>
    </w:p>
  </w:footnote>
  <w:footnote w:id="23">
    <w:p w:rsidR="001403E7" w:rsidRPr="00695A14" w:rsidRDefault="001403E7" w:rsidP="00620ACA">
      <w:pPr>
        <w:spacing w:before="0" w:after="0" w:line="240" w:lineRule="auto"/>
      </w:pPr>
      <w:r>
        <w:rPr>
          <w:rStyle w:val="FootnoteReference"/>
        </w:rPr>
        <w:footnoteRef/>
      </w:r>
      <w:r>
        <w:t xml:space="preserve"> </w:t>
      </w:r>
      <w:r w:rsidRPr="00156C37">
        <w:rPr>
          <w:rFonts w:eastAsia="Times New Roman" w:cstheme="minorHAnsi"/>
          <w:color w:val="auto"/>
          <w:szCs w:val="20"/>
          <w:lang w:eastAsia="en-AU"/>
        </w:rPr>
        <w:t xml:space="preserve">Evans </w:t>
      </w:r>
      <w:r>
        <w:rPr>
          <w:rFonts w:eastAsia="Times New Roman" w:cstheme="minorHAnsi"/>
          <w:color w:val="auto"/>
          <w:szCs w:val="20"/>
          <w:lang w:eastAsia="en-AU"/>
        </w:rPr>
        <w:t>and</w:t>
      </w:r>
      <w:r w:rsidRPr="00156C37">
        <w:rPr>
          <w:rFonts w:eastAsia="Times New Roman" w:cstheme="minorHAnsi"/>
          <w:color w:val="auto"/>
          <w:szCs w:val="20"/>
          <w:lang w:eastAsia="en-AU"/>
        </w:rPr>
        <w:t xml:space="preserve"> Peck Pty Limited</w:t>
      </w:r>
      <w:r>
        <w:rPr>
          <w:rFonts w:eastAsia="Times New Roman" w:cstheme="minorHAnsi"/>
          <w:color w:val="auto"/>
          <w:szCs w:val="20"/>
          <w:lang w:eastAsia="en-AU"/>
        </w:rPr>
        <w:t xml:space="preserve">, Submission to General Purpose Standing Committee No. 3 </w:t>
      </w:r>
      <w:r w:rsidRPr="00695A14">
        <w:rPr>
          <w:rFonts w:eastAsia="Times New Roman" w:cstheme="minorHAnsi"/>
          <w:color w:val="auto"/>
          <w:szCs w:val="20"/>
          <w:lang w:eastAsia="en-AU"/>
        </w:rPr>
        <w:t>inquiry into rail infrastructure project costing in NSW, 2011.</w:t>
      </w:r>
    </w:p>
  </w:footnote>
  <w:footnote w:id="24">
    <w:p w:rsidR="001403E7" w:rsidRPr="00695A14" w:rsidRDefault="001403E7">
      <w:pPr>
        <w:pStyle w:val="FootnoteText"/>
      </w:pPr>
      <w:r w:rsidRPr="00695A14">
        <w:rPr>
          <w:rStyle w:val="FootnoteReference"/>
        </w:rPr>
        <w:footnoteRef/>
      </w:r>
      <w:r w:rsidRPr="00695A14">
        <w:t xml:space="preserve"> </w:t>
      </w:r>
      <w:r w:rsidRPr="00695A14">
        <w:rPr>
          <w:rFonts w:eastAsia="Times New Roman" w:cstheme="minorHAnsi"/>
          <w:color w:val="auto"/>
          <w:lang w:eastAsia="en-AU"/>
        </w:rPr>
        <w:t>Evans and Peck Pty Limited, Submission to General Purpose Standing Committee No. 3 inquiry into rail infrastructure project costing in NSW, 2011.</w:t>
      </w:r>
    </w:p>
  </w:footnote>
  <w:footnote w:id="25">
    <w:p w:rsidR="001403E7" w:rsidRPr="00695A14" w:rsidRDefault="001403E7" w:rsidP="00620ACA">
      <w:pPr>
        <w:pStyle w:val="FootnoteText"/>
      </w:pPr>
      <w:r w:rsidRPr="00695A14">
        <w:rPr>
          <w:rStyle w:val="FootnoteReference"/>
        </w:rPr>
        <w:footnoteRef/>
      </w:r>
      <w:r w:rsidRPr="00695A14">
        <w:t xml:space="preserve"> ARA RCG board meeting, Road versus Rail Construction Cost, 2013.</w:t>
      </w:r>
    </w:p>
  </w:footnote>
  <w:footnote w:id="26">
    <w:p w:rsidR="001403E7" w:rsidRDefault="001403E7" w:rsidP="00620ACA">
      <w:pPr>
        <w:pStyle w:val="FootnoteText"/>
      </w:pPr>
      <w:r w:rsidRPr="00695A14">
        <w:rPr>
          <w:rStyle w:val="FootnoteReference"/>
        </w:rPr>
        <w:footnoteRef/>
      </w:r>
      <w:r w:rsidRPr="00695A14">
        <w:t xml:space="preserve"> ARA RCG board meeting, Road versus Rail Construction Cost, 2013.</w:t>
      </w:r>
    </w:p>
  </w:footnote>
  <w:footnote w:id="27">
    <w:p w:rsidR="001403E7" w:rsidRDefault="001403E7" w:rsidP="007529EA">
      <w:pPr>
        <w:pStyle w:val="FootnoteText"/>
      </w:pPr>
      <w:r>
        <w:rPr>
          <w:rStyle w:val="FootnoteReference"/>
        </w:rPr>
        <w:footnoteRef/>
      </w:r>
      <w:r>
        <w:t xml:space="preserve"> Rail Express, The Sustainability of Rail Contracting in Australia, 2012.</w:t>
      </w:r>
    </w:p>
  </w:footnote>
  <w:footnote w:id="28">
    <w:p w:rsidR="001403E7" w:rsidRDefault="001403E7" w:rsidP="007529EA">
      <w:pPr>
        <w:pStyle w:val="FootnoteText"/>
      </w:pPr>
      <w:r>
        <w:rPr>
          <w:rStyle w:val="FootnoteReference"/>
        </w:rPr>
        <w:footnoteRef/>
      </w:r>
      <w:r>
        <w:t xml:space="preserve"> </w:t>
      </w:r>
      <w:proofErr w:type="gramStart"/>
      <w:r>
        <w:t xml:space="preserve">Mr Bryan Nye, CEO, Australasian Railway Association, Evidence, </w:t>
      </w:r>
      <w:r>
        <w:rPr>
          <w:rFonts w:eastAsia="Times New Roman" w:cstheme="minorHAnsi"/>
          <w:color w:val="auto"/>
          <w:lang w:eastAsia="en-AU"/>
        </w:rPr>
        <w:t>General Purpose Standing Committee No. 3 inquiry into rail infrastructure project costing in NSW, 2011.</w:t>
      </w:r>
      <w:proofErr w:type="gramEnd"/>
    </w:p>
  </w:footnote>
  <w:footnote w:id="29">
    <w:p w:rsidR="001403E7" w:rsidRDefault="001403E7">
      <w:pPr>
        <w:pStyle w:val="FootnoteText"/>
      </w:pPr>
      <w:r>
        <w:rPr>
          <w:rStyle w:val="FootnoteReference"/>
        </w:rPr>
        <w:footnoteRef/>
      </w:r>
      <w:r>
        <w:t xml:space="preserve"> Herbert </w:t>
      </w:r>
      <w:proofErr w:type="spellStart"/>
      <w:r>
        <w:t>Hermens</w:t>
      </w:r>
      <w:proofErr w:type="spellEnd"/>
      <w:r>
        <w:t>, Rail Opportunities Abound, 2013.</w:t>
      </w:r>
    </w:p>
  </w:footnote>
  <w:footnote w:id="30">
    <w:p w:rsidR="001403E7" w:rsidRDefault="001403E7">
      <w:pPr>
        <w:pStyle w:val="FootnoteText"/>
      </w:pPr>
      <w:r>
        <w:rPr>
          <w:rStyle w:val="FootnoteReference"/>
        </w:rPr>
        <w:footnoteRef/>
      </w:r>
      <w:r>
        <w:t xml:space="preserve"> Scott Martin, Costing Australian Passenger Rail Projects 2000 – 2012: How much did we pay and what did we get</w:t>
      </w:r>
      <w:proofErr w:type="gramStart"/>
      <w:r>
        <w:t>?,</w:t>
      </w:r>
      <w:proofErr w:type="gramEnd"/>
      <w:r>
        <w:t xml:space="preserve"> 2012.</w:t>
      </w:r>
    </w:p>
  </w:footnote>
  <w:footnote w:id="31">
    <w:p w:rsidR="001403E7" w:rsidRDefault="001403E7">
      <w:pPr>
        <w:pStyle w:val="FootnoteText"/>
      </w:pPr>
      <w:r>
        <w:rPr>
          <w:rStyle w:val="FootnoteReference"/>
        </w:rPr>
        <w:footnoteRef/>
      </w:r>
      <w:r>
        <w:t xml:space="preserve"> General Purpose Standing Committee No. 3, Rail infrastructure project costing in New South Wales, 2012.</w:t>
      </w:r>
    </w:p>
  </w:footnote>
  <w:footnote w:id="32">
    <w:p w:rsidR="001403E7" w:rsidRDefault="001403E7">
      <w:pPr>
        <w:pStyle w:val="FootnoteText"/>
      </w:pPr>
      <w:r>
        <w:rPr>
          <w:rStyle w:val="FootnoteReference"/>
        </w:rPr>
        <w:footnoteRef/>
      </w:r>
      <w:r>
        <w:t xml:space="preserve"> </w:t>
      </w:r>
      <w:proofErr w:type="gramStart"/>
      <w:r>
        <w:t>Parliament of Victoria, Reviewing the Last Decade of Public Transport Infrastructure Projects in Australia, 2011.</w:t>
      </w:r>
      <w:proofErr w:type="gramEnd"/>
    </w:p>
  </w:footnote>
  <w:footnote w:id="33">
    <w:p w:rsidR="001403E7" w:rsidRDefault="001403E7">
      <w:pPr>
        <w:pStyle w:val="FootnoteText"/>
      </w:pPr>
      <w:r>
        <w:rPr>
          <w:rStyle w:val="FootnoteReference"/>
        </w:rPr>
        <w:footnoteRef/>
      </w:r>
      <w:r>
        <w:t xml:space="preserve"> </w:t>
      </w:r>
      <w:proofErr w:type="gramStart"/>
      <w:r>
        <w:t>Parliament of Victoria, Reviewing the Last Decade of Public Transport Infrastructure Projects in Australia, 2011.</w:t>
      </w:r>
      <w:proofErr w:type="gramEnd"/>
    </w:p>
  </w:footnote>
  <w:footnote w:id="34">
    <w:p w:rsidR="001403E7" w:rsidRDefault="001403E7" w:rsidP="00CF0FEC">
      <w:pPr>
        <w:pStyle w:val="FootnoteText"/>
      </w:pPr>
      <w:r>
        <w:rPr>
          <w:rStyle w:val="FootnoteReference"/>
        </w:rPr>
        <w:footnoteRef/>
      </w:r>
      <w:r>
        <w:t xml:space="preserve"> Rail Express</w:t>
      </w:r>
    </w:p>
  </w:footnote>
  <w:footnote w:id="35">
    <w:p w:rsidR="001403E7" w:rsidRDefault="001403E7">
      <w:pPr>
        <w:pStyle w:val="FootnoteText"/>
      </w:pPr>
      <w:r>
        <w:rPr>
          <w:rStyle w:val="FootnoteReference"/>
        </w:rPr>
        <w:footnoteRef/>
      </w:r>
      <w:r>
        <w:t xml:space="preserve"> Mary Thompson, The lunatics have taken over the compliance, 2013.</w:t>
      </w:r>
    </w:p>
  </w:footnote>
  <w:footnote w:id="36">
    <w:p w:rsidR="001403E7" w:rsidRDefault="001403E7">
      <w:pPr>
        <w:pStyle w:val="FootnoteText"/>
      </w:pPr>
      <w:r>
        <w:rPr>
          <w:rStyle w:val="FootnoteReference"/>
        </w:rPr>
        <w:footnoteRef/>
      </w:r>
      <w:r>
        <w:t xml:space="preserve"> General Purpose Standing Committee No. 3, Rail infrastructure project costing in New South Wales, 2012.</w:t>
      </w:r>
    </w:p>
  </w:footnote>
  <w:footnote w:id="37">
    <w:p w:rsidR="001403E7" w:rsidRDefault="001403E7">
      <w:pPr>
        <w:pStyle w:val="FootnoteText"/>
      </w:pPr>
      <w:r>
        <w:rPr>
          <w:rStyle w:val="FootnoteReference"/>
        </w:rPr>
        <w:footnoteRef/>
      </w:r>
      <w:r>
        <w:t xml:space="preserve"> </w:t>
      </w:r>
      <w:r w:rsidRPr="00156C37">
        <w:rPr>
          <w:rFonts w:eastAsia="Times New Roman" w:cstheme="minorHAnsi"/>
          <w:color w:val="auto"/>
          <w:lang w:eastAsia="en-AU"/>
        </w:rPr>
        <w:t xml:space="preserve">Evans </w:t>
      </w:r>
      <w:r>
        <w:rPr>
          <w:rFonts w:eastAsia="Times New Roman" w:cstheme="minorHAnsi"/>
          <w:color w:val="auto"/>
          <w:lang w:eastAsia="en-AU"/>
        </w:rPr>
        <w:t>and</w:t>
      </w:r>
      <w:r w:rsidRPr="00156C37">
        <w:rPr>
          <w:rFonts w:eastAsia="Times New Roman" w:cstheme="minorHAnsi"/>
          <w:color w:val="auto"/>
          <w:lang w:eastAsia="en-AU"/>
        </w:rPr>
        <w:t xml:space="preserve"> Peck Pty Limited</w:t>
      </w:r>
      <w:r>
        <w:rPr>
          <w:rFonts w:eastAsia="Times New Roman" w:cstheme="minorHAnsi"/>
          <w:color w:val="auto"/>
          <w:lang w:eastAsia="en-AU"/>
        </w:rPr>
        <w:t>, Submission to General Purpose Standing Committee No. 3 inquiry into rail infrastructure project costing in NSW, 2011.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3E7" w:rsidRDefault="001403E7" w:rsidP="00CC3919">
    <w:pPr>
      <w:pStyle w:val="Header"/>
    </w:pPr>
    <w:r>
      <w:rPr>
        <w:noProof/>
        <w:lang w:eastAsia="en-AU"/>
      </w:rPr>
      <mc:AlternateContent>
        <mc:Choice Requires="wps">
          <w:drawing>
            <wp:anchor distT="0" distB="0" distL="114300" distR="114300" simplePos="0" relativeHeight="251661312" behindDoc="0" locked="0" layoutInCell="1" allowOverlap="1" wp14:anchorId="62E384E6" wp14:editId="4D6E52CE">
              <wp:simplePos x="0" y="0"/>
              <wp:positionH relativeFrom="column">
                <wp:posOffset>-1278255</wp:posOffset>
              </wp:positionH>
              <wp:positionV relativeFrom="paragraph">
                <wp:posOffset>417195</wp:posOffset>
              </wp:positionV>
              <wp:extent cx="6696075" cy="38100"/>
              <wp:effectExtent l="0" t="0" r="28575" b="19050"/>
              <wp:wrapNone/>
              <wp:docPr id="4" name="Straight Connector 4"/>
              <wp:cNvGraphicFramePr/>
              <a:graphic xmlns:a="http://schemas.openxmlformats.org/drawingml/2006/main">
                <a:graphicData uri="http://schemas.microsoft.com/office/word/2010/wordprocessingShape">
                  <wps:wsp>
                    <wps:cNvCnPr/>
                    <wps:spPr>
                      <a:xfrm flipV="1">
                        <a:off x="0" y="0"/>
                        <a:ext cx="6696075" cy="38100"/>
                      </a:xfrm>
                      <a:prstGeom prst="line">
                        <a:avLst/>
                      </a:prstGeom>
                      <a:ln w="19050"/>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id="Straight Connector 4"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0.65pt,32.85pt" to="426.6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" strokecolor="#e2e9d3 [3049]" strokeweight="1.5pt"/>
          </w:pict>
        </mc:Fallback>
      </mc:AlternateContent>
    </w:r>
    <w:r>
      <w:rPr>
        <w:noProof/>
        <w:lang w:eastAsia="en-AU"/>
      </w:rPr>
      <w:drawing>
        <wp:anchor distT="0" distB="0" distL="114300" distR="114300" simplePos="0" relativeHeight="251660288" behindDoc="1" locked="0" layoutInCell="1" allowOverlap="1" wp14:anchorId="1C6B8E37" wp14:editId="653BA49A">
          <wp:simplePos x="0" y="0"/>
          <wp:positionH relativeFrom="column">
            <wp:posOffset>-1715770</wp:posOffset>
          </wp:positionH>
          <wp:positionV relativeFrom="paragraph">
            <wp:posOffset>-449580</wp:posOffset>
          </wp:positionV>
          <wp:extent cx="7571105" cy="78676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A_Submission_Pag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1105" cy="78676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3E7" w:rsidRDefault="001403E7" w:rsidP="00CC3919">
    <w:pPr>
      <w:pStyle w:val="Header"/>
    </w:pPr>
    <w:r>
      <w:rPr>
        <w:noProof/>
        <w:lang w:eastAsia="en-AU"/>
      </w:rPr>
      <w:drawing>
        <wp:anchor distT="0" distB="0" distL="114300" distR="114300" simplePos="0" relativeHeight="251658240" behindDoc="1" locked="0" layoutInCell="1" allowOverlap="1" wp14:anchorId="584D8C06" wp14:editId="32019BF2">
          <wp:simplePos x="0" y="0"/>
          <wp:positionH relativeFrom="column">
            <wp:posOffset>-1699260</wp:posOffset>
          </wp:positionH>
          <wp:positionV relativeFrom="paragraph">
            <wp:posOffset>-449580</wp:posOffset>
          </wp:positionV>
          <wp:extent cx="7537450" cy="17145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A_Submission_Cover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7450" cy="1714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3658D"/>
    <w:multiLevelType w:val="hybridMultilevel"/>
    <w:tmpl w:val="BD14382C"/>
    <w:lvl w:ilvl="0" w:tplc="7C08CA62">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45A1539"/>
    <w:multiLevelType w:val="hybridMultilevel"/>
    <w:tmpl w:val="A9ACBE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99A7AE7"/>
    <w:multiLevelType w:val="hybridMultilevel"/>
    <w:tmpl w:val="665443B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C90166A"/>
    <w:multiLevelType w:val="hybridMultilevel"/>
    <w:tmpl w:val="4928D0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06040EC"/>
    <w:multiLevelType w:val="hybridMultilevel"/>
    <w:tmpl w:val="CD248D5C"/>
    <w:lvl w:ilvl="0" w:tplc="9A6C9A3E">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D6F2AAE"/>
    <w:multiLevelType w:val="hybridMultilevel"/>
    <w:tmpl w:val="13620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D7A57C3"/>
    <w:multiLevelType w:val="hybridMultilevel"/>
    <w:tmpl w:val="31A846E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1764B9C"/>
    <w:multiLevelType w:val="hybridMultilevel"/>
    <w:tmpl w:val="E036FB3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BAF5991"/>
    <w:multiLevelType w:val="hybridMultilevel"/>
    <w:tmpl w:val="97B467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48B04AAD"/>
    <w:multiLevelType w:val="hybridMultilevel"/>
    <w:tmpl w:val="26DC52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A1D0D0B"/>
    <w:multiLevelType w:val="hybridMultilevel"/>
    <w:tmpl w:val="019AAE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2F71CBA"/>
    <w:multiLevelType w:val="hybridMultilevel"/>
    <w:tmpl w:val="9DBA631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E691FE9"/>
    <w:multiLevelType w:val="hybridMultilevel"/>
    <w:tmpl w:val="DA7697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BF43205"/>
    <w:multiLevelType w:val="hybridMultilevel"/>
    <w:tmpl w:val="3C9474C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71575894"/>
    <w:multiLevelType w:val="hybridMultilevel"/>
    <w:tmpl w:val="FCC6C64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79F329E6"/>
    <w:multiLevelType w:val="hybridMultilevel"/>
    <w:tmpl w:val="193EA024"/>
    <w:lvl w:ilvl="0" w:tplc="0C090001">
      <w:start w:val="2"/>
      <w:numFmt w:val="bullet"/>
      <w:lvlText w:val=""/>
      <w:lvlJc w:val="left"/>
      <w:pPr>
        <w:ind w:left="360" w:hanging="360"/>
      </w:pPr>
      <w:rPr>
        <w:rFonts w:ascii="Symbol" w:eastAsia="Times New Roman" w:hAnsi="Symbol"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5"/>
  </w:num>
  <w:num w:numId="2">
    <w:abstractNumId w:val="6"/>
  </w:num>
  <w:num w:numId="3">
    <w:abstractNumId w:val="4"/>
  </w:num>
  <w:num w:numId="4">
    <w:abstractNumId w:val="2"/>
  </w:num>
  <w:num w:numId="5">
    <w:abstractNumId w:val="13"/>
  </w:num>
  <w:num w:numId="6">
    <w:abstractNumId w:val="0"/>
  </w:num>
  <w:num w:numId="7">
    <w:abstractNumId w:val="14"/>
  </w:num>
  <w:num w:numId="8">
    <w:abstractNumId w:val="7"/>
  </w:num>
  <w:num w:numId="9">
    <w:abstractNumId w:val="11"/>
  </w:num>
  <w:num w:numId="10">
    <w:abstractNumId w:val="1"/>
  </w:num>
  <w:num w:numId="11">
    <w:abstractNumId w:val="10"/>
  </w:num>
  <w:num w:numId="12">
    <w:abstractNumId w:val="5"/>
  </w:num>
  <w:num w:numId="13">
    <w:abstractNumId w:val="3"/>
  </w:num>
  <w:num w:numId="14">
    <w:abstractNumId w:val="12"/>
  </w:num>
  <w:num w:numId="15">
    <w:abstractNumId w:val="9"/>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defaultTableStyle w:val="MediumShading1-Accent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3D4"/>
    <w:rsid w:val="000127CA"/>
    <w:rsid w:val="000563CC"/>
    <w:rsid w:val="0006095A"/>
    <w:rsid w:val="0006481A"/>
    <w:rsid w:val="0007013A"/>
    <w:rsid w:val="0008290E"/>
    <w:rsid w:val="00095110"/>
    <w:rsid w:val="000F2E76"/>
    <w:rsid w:val="00104CC4"/>
    <w:rsid w:val="001118DD"/>
    <w:rsid w:val="00117B96"/>
    <w:rsid w:val="001335E3"/>
    <w:rsid w:val="001403E7"/>
    <w:rsid w:val="00156C37"/>
    <w:rsid w:val="001A75F5"/>
    <w:rsid w:val="001C5FAA"/>
    <w:rsid w:val="001D1FF6"/>
    <w:rsid w:val="001E6E05"/>
    <w:rsid w:val="00226ED2"/>
    <w:rsid w:val="0028132B"/>
    <w:rsid w:val="002A48BA"/>
    <w:rsid w:val="002C65E9"/>
    <w:rsid w:val="00317375"/>
    <w:rsid w:val="00320858"/>
    <w:rsid w:val="003438EE"/>
    <w:rsid w:val="003450D4"/>
    <w:rsid w:val="00353A2F"/>
    <w:rsid w:val="003A44D5"/>
    <w:rsid w:val="003B0557"/>
    <w:rsid w:val="003C3DA7"/>
    <w:rsid w:val="003C5799"/>
    <w:rsid w:val="00402E1F"/>
    <w:rsid w:val="00411F37"/>
    <w:rsid w:val="004258D3"/>
    <w:rsid w:val="00440EAC"/>
    <w:rsid w:val="0045289C"/>
    <w:rsid w:val="004B2925"/>
    <w:rsid w:val="004B6CB6"/>
    <w:rsid w:val="004E338C"/>
    <w:rsid w:val="004F086E"/>
    <w:rsid w:val="00507FAA"/>
    <w:rsid w:val="00522585"/>
    <w:rsid w:val="005D4CCE"/>
    <w:rsid w:val="005E5D82"/>
    <w:rsid w:val="00604732"/>
    <w:rsid w:val="00620ACA"/>
    <w:rsid w:val="00633B5A"/>
    <w:rsid w:val="0067430C"/>
    <w:rsid w:val="006847FE"/>
    <w:rsid w:val="00695A14"/>
    <w:rsid w:val="006B5CA5"/>
    <w:rsid w:val="006B60F9"/>
    <w:rsid w:val="0070216F"/>
    <w:rsid w:val="0071250A"/>
    <w:rsid w:val="007272EF"/>
    <w:rsid w:val="007529EA"/>
    <w:rsid w:val="00781856"/>
    <w:rsid w:val="007855DF"/>
    <w:rsid w:val="007B3550"/>
    <w:rsid w:val="007F1AEF"/>
    <w:rsid w:val="00810D47"/>
    <w:rsid w:val="00811735"/>
    <w:rsid w:val="008247D6"/>
    <w:rsid w:val="00832155"/>
    <w:rsid w:val="00833D4E"/>
    <w:rsid w:val="00854C13"/>
    <w:rsid w:val="00873F44"/>
    <w:rsid w:val="008A15D9"/>
    <w:rsid w:val="008D62A2"/>
    <w:rsid w:val="008E2666"/>
    <w:rsid w:val="00930957"/>
    <w:rsid w:val="00942B67"/>
    <w:rsid w:val="00945A12"/>
    <w:rsid w:val="00952836"/>
    <w:rsid w:val="00963558"/>
    <w:rsid w:val="009774B9"/>
    <w:rsid w:val="00977682"/>
    <w:rsid w:val="00984197"/>
    <w:rsid w:val="009B040A"/>
    <w:rsid w:val="009B2070"/>
    <w:rsid w:val="009D5C59"/>
    <w:rsid w:val="009F5CDB"/>
    <w:rsid w:val="00A10FB9"/>
    <w:rsid w:val="00A41DE7"/>
    <w:rsid w:val="00A66852"/>
    <w:rsid w:val="00AC1C4D"/>
    <w:rsid w:val="00B17C9A"/>
    <w:rsid w:val="00B30A39"/>
    <w:rsid w:val="00B3739A"/>
    <w:rsid w:val="00B439A9"/>
    <w:rsid w:val="00B628F3"/>
    <w:rsid w:val="00B64877"/>
    <w:rsid w:val="00B836EC"/>
    <w:rsid w:val="00BD04CB"/>
    <w:rsid w:val="00C12B08"/>
    <w:rsid w:val="00C50517"/>
    <w:rsid w:val="00C54F6D"/>
    <w:rsid w:val="00C601F3"/>
    <w:rsid w:val="00CA3954"/>
    <w:rsid w:val="00CA7179"/>
    <w:rsid w:val="00CC3919"/>
    <w:rsid w:val="00CD2EEA"/>
    <w:rsid w:val="00CD5588"/>
    <w:rsid w:val="00CD6F03"/>
    <w:rsid w:val="00CD7F45"/>
    <w:rsid w:val="00CE231F"/>
    <w:rsid w:val="00CE7073"/>
    <w:rsid w:val="00CF0FEC"/>
    <w:rsid w:val="00D12E53"/>
    <w:rsid w:val="00D877C6"/>
    <w:rsid w:val="00DA6A1D"/>
    <w:rsid w:val="00DC2716"/>
    <w:rsid w:val="00DE157B"/>
    <w:rsid w:val="00E4466B"/>
    <w:rsid w:val="00E73FCA"/>
    <w:rsid w:val="00EA6833"/>
    <w:rsid w:val="00EB08E0"/>
    <w:rsid w:val="00EC71F2"/>
    <w:rsid w:val="00ED7A74"/>
    <w:rsid w:val="00EE360B"/>
    <w:rsid w:val="00F039CA"/>
    <w:rsid w:val="00F129BE"/>
    <w:rsid w:val="00F52797"/>
    <w:rsid w:val="00F716EB"/>
    <w:rsid w:val="00F96D72"/>
    <w:rsid w:val="00FC0AEA"/>
    <w:rsid w:val="00FC33D4"/>
    <w:rsid w:val="00FC5B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40" w:after="24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954"/>
    <w:rPr>
      <w:color w:val="0D282D" w:themeColor="text1"/>
      <w:sz w:val="20"/>
    </w:rPr>
  </w:style>
  <w:style w:type="paragraph" w:styleId="Heading1">
    <w:name w:val="heading 1"/>
    <w:basedOn w:val="Normal"/>
    <w:next w:val="Normal"/>
    <w:link w:val="Heading1Char"/>
    <w:uiPriority w:val="9"/>
    <w:qFormat/>
    <w:rsid w:val="00FC0AEA"/>
    <w:pPr>
      <w:keepNext/>
      <w:keepLines/>
      <w:pBdr>
        <w:bottom w:val="single" w:sz="6" w:space="1" w:color="92D050" w:themeColor="accent1"/>
      </w:pBdr>
      <w:spacing w:before="600" w:line="240" w:lineRule="auto"/>
      <w:outlineLvl w:val="0"/>
    </w:pPr>
    <w:rPr>
      <w:rFonts w:ascii="Open Sans" w:eastAsiaTheme="majorEastAsia" w:hAnsi="Open Sans" w:cstheme="majorBidi"/>
      <w:bCs/>
      <w:caps/>
      <w:color w:val="92D050" w:themeColor="accent1"/>
      <w:sz w:val="52"/>
      <w:szCs w:val="28"/>
    </w:rPr>
  </w:style>
  <w:style w:type="paragraph" w:styleId="Heading2">
    <w:name w:val="heading 2"/>
    <w:basedOn w:val="Normal"/>
    <w:next w:val="Normal"/>
    <w:link w:val="Heading2Char"/>
    <w:uiPriority w:val="9"/>
    <w:unhideWhenUsed/>
    <w:qFormat/>
    <w:rsid w:val="0006095A"/>
    <w:pPr>
      <w:keepNext/>
      <w:keepLines/>
      <w:spacing w:before="320" w:after="120" w:line="240" w:lineRule="auto"/>
      <w:outlineLvl w:val="1"/>
    </w:pPr>
    <w:rPr>
      <w:rFonts w:ascii="Open Sans" w:eastAsiaTheme="majorEastAsia" w:hAnsi="Open Sans" w:cstheme="majorBidi"/>
      <w:bCs/>
      <w:color w:val="92D050" w:themeColor="accent1"/>
      <w:sz w:val="36"/>
      <w:szCs w:val="26"/>
    </w:rPr>
  </w:style>
  <w:style w:type="paragraph" w:styleId="Heading3">
    <w:name w:val="heading 3"/>
    <w:basedOn w:val="Normal"/>
    <w:next w:val="Normal"/>
    <w:link w:val="Heading3Char"/>
    <w:uiPriority w:val="9"/>
    <w:unhideWhenUsed/>
    <w:qFormat/>
    <w:rsid w:val="001C5FAA"/>
    <w:pPr>
      <w:keepNext/>
      <w:keepLines/>
      <w:spacing w:before="40" w:after="0"/>
      <w:outlineLvl w:val="2"/>
    </w:pPr>
    <w:rPr>
      <w:rFonts w:asciiTheme="majorHAnsi" w:eastAsiaTheme="majorEastAsia" w:hAnsiTheme="majorHAnsi" w:cstheme="majorBidi"/>
      <w:color w:val="48701E" w:themeColor="accent1" w:themeShade="7F"/>
      <w:sz w:val="24"/>
      <w:szCs w:val="24"/>
    </w:rPr>
  </w:style>
  <w:style w:type="paragraph" w:styleId="Heading4">
    <w:name w:val="heading 4"/>
    <w:basedOn w:val="Normal"/>
    <w:next w:val="Normal"/>
    <w:link w:val="Heading4Char"/>
    <w:uiPriority w:val="9"/>
    <w:unhideWhenUsed/>
    <w:qFormat/>
    <w:rsid w:val="001C5FAA"/>
    <w:pPr>
      <w:keepNext/>
      <w:keepLines/>
      <w:spacing w:before="40" w:after="0"/>
      <w:outlineLvl w:val="3"/>
    </w:pPr>
    <w:rPr>
      <w:rFonts w:asciiTheme="majorHAnsi" w:eastAsiaTheme="majorEastAsia" w:hAnsiTheme="majorHAnsi" w:cstheme="majorBidi"/>
      <w:i/>
      <w:iCs/>
      <w:color w:val="6DA92D" w:themeColor="accent1" w:themeShade="BF"/>
    </w:rPr>
  </w:style>
  <w:style w:type="paragraph" w:styleId="Heading5">
    <w:name w:val="heading 5"/>
    <w:basedOn w:val="Normal"/>
    <w:next w:val="Normal"/>
    <w:link w:val="Heading5Char"/>
    <w:uiPriority w:val="9"/>
    <w:unhideWhenUsed/>
    <w:qFormat/>
    <w:rsid w:val="001C5FAA"/>
    <w:pPr>
      <w:keepNext/>
      <w:keepLines/>
      <w:spacing w:before="40" w:after="0"/>
      <w:outlineLvl w:val="4"/>
    </w:pPr>
    <w:rPr>
      <w:rFonts w:asciiTheme="majorHAnsi" w:eastAsiaTheme="majorEastAsia" w:hAnsiTheme="majorHAnsi" w:cstheme="majorBidi"/>
      <w:color w:val="6DA92D"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33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33D4"/>
  </w:style>
  <w:style w:type="paragraph" w:styleId="Footer">
    <w:name w:val="footer"/>
    <w:basedOn w:val="Normal"/>
    <w:link w:val="FooterChar"/>
    <w:uiPriority w:val="99"/>
    <w:unhideWhenUsed/>
    <w:rsid w:val="00FC33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33D4"/>
  </w:style>
  <w:style w:type="paragraph" w:styleId="BalloonText">
    <w:name w:val="Balloon Text"/>
    <w:basedOn w:val="Normal"/>
    <w:link w:val="BalloonTextChar"/>
    <w:uiPriority w:val="99"/>
    <w:semiHidden/>
    <w:unhideWhenUsed/>
    <w:rsid w:val="00FC33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33D4"/>
    <w:rPr>
      <w:rFonts w:ascii="Tahoma" w:hAnsi="Tahoma" w:cs="Tahoma"/>
      <w:sz w:val="16"/>
      <w:szCs w:val="16"/>
    </w:rPr>
  </w:style>
  <w:style w:type="paragraph" w:customStyle="1" w:styleId="BasicParagraph">
    <w:name w:val="[Basic Paragraph]"/>
    <w:basedOn w:val="Normal"/>
    <w:uiPriority w:val="99"/>
    <w:rsid w:val="00FC33D4"/>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Heading1Char">
    <w:name w:val="Heading 1 Char"/>
    <w:basedOn w:val="DefaultParagraphFont"/>
    <w:link w:val="Heading1"/>
    <w:uiPriority w:val="9"/>
    <w:rsid w:val="00FC0AEA"/>
    <w:rPr>
      <w:rFonts w:ascii="Open Sans" w:eastAsiaTheme="majorEastAsia" w:hAnsi="Open Sans" w:cstheme="majorBidi"/>
      <w:bCs/>
      <w:caps/>
      <w:color w:val="92D050" w:themeColor="accent1"/>
      <w:sz w:val="52"/>
      <w:szCs w:val="28"/>
    </w:rPr>
  </w:style>
  <w:style w:type="paragraph" w:styleId="Title">
    <w:name w:val="Title"/>
    <w:basedOn w:val="Normal"/>
    <w:next w:val="Normal"/>
    <w:link w:val="TitleChar"/>
    <w:uiPriority w:val="10"/>
    <w:qFormat/>
    <w:rsid w:val="0006095A"/>
    <w:pPr>
      <w:pBdr>
        <w:top w:val="single" w:sz="12" w:space="9" w:color="EDF1E3" w:themeColor="accent6"/>
        <w:bottom w:val="single" w:sz="12" w:space="9" w:color="EDF1E3" w:themeColor="accent6"/>
      </w:pBdr>
      <w:spacing w:after="0" w:line="240" w:lineRule="auto"/>
      <w:contextualSpacing/>
      <w:jc w:val="center"/>
    </w:pPr>
    <w:rPr>
      <w:rFonts w:ascii="Open Sans Light" w:eastAsiaTheme="majorEastAsia" w:hAnsi="Open Sans Light" w:cstheme="majorBidi"/>
      <w:color w:val="00CC99" w:themeColor="text2"/>
      <w:spacing w:val="5"/>
      <w:kern w:val="28"/>
      <w:sz w:val="72"/>
      <w:szCs w:val="52"/>
    </w:rPr>
  </w:style>
  <w:style w:type="character" w:customStyle="1" w:styleId="TitleChar">
    <w:name w:val="Title Char"/>
    <w:basedOn w:val="DefaultParagraphFont"/>
    <w:link w:val="Title"/>
    <w:uiPriority w:val="10"/>
    <w:rsid w:val="0006095A"/>
    <w:rPr>
      <w:rFonts w:ascii="Open Sans Light" w:eastAsiaTheme="majorEastAsia" w:hAnsi="Open Sans Light" w:cstheme="majorBidi"/>
      <w:color w:val="00CC99" w:themeColor="text2"/>
      <w:spacing w:val="5"/>
      <w:kern w:val="28"/>
      <w:sz w:val="72"/>
      <w:szCs w:val="52"/>
    </w:rPr>
  </w:style>
  <w:style w:type="paragraph" w:styleId="Subtitle">
    <w:name w:val="Subtitle"/>
    <w:basedOn w:val="Normal"/>
    <w:next w:val="Normal"/>
    <w:link w:val="SubtitleChar"/>
    <w:uiPriority w:val="11"/>
    <w:qFormat/>
    <w:rsid w:val="00CC3919"/>
    <w:pPr>
      <w:numPr>
        <w:ilvl w:val="1"/>
      </w:numPr>
      <w:jc w:val="center"/>
    </w:pPr>
    <w:rPr>
      <w:rFonts w:ascii="Open Sans Light" w:eastAsiaTheme="majorEastAsia" w:hAnsi="Open Sans Light" w:cstheme="majorBidi"/>
      <w:iCs/>
      <w:color w:val="92D050" w:themeColor="accent1"/>
      <w:spacing w:val="15"/>
      <w:sz w:val="40"/>
      <w:szCs w:val="24"/>
    </w:rPr>
  </w:style>
  <w:style w:type="character" w:customStyle="1" w:styleId="SubtitleChar">
    <w:name w:val="Subtitle Char"/>
    <w:basedOn w:val="DefaultParagraphFont"/>
    <w:link w:val="Subtitle"/>
    <w:uiPriority w:val="11"/>
    <w:rsid w:val="00CC3919"/>
    <w:rPr>
      <w:rFonts w:ascii="Open Sans Light" w:eastAsiaTheme="majorEastAsia" w:hAnsi="Open Sans Light" w:cstheme="majorBidi"/>
      <w:iCs/>
      <w:color w:val="92D050" w:themeColor="accent1"/>
      <w:spacing w:val="15"/>
      <w:sz w:val="40"/>
      <w:szCs w:val="24"/>
    </w:rPr>
  </w:style>
  <w:style w:type="character" w:styleId="SubtleEmphasis">
    <w:name w:val="Subtle Emphasis"/>
    <w:aliases w:val="Subtle date"/>
    <w:basedOn w:val="DefaultParagraphFont"/>
    <w:uiPriority w:val="19"/>
    <w:qFormat/>
    <w:rsid w:val="0006095A"/>
    <w:rPr>
      <w:rFonts w:ascii="Open Sans Light" w:hAnsi="Open Sans Light"/>
      <w:iCs/>
      <w:color w:val="00CC99" w:themeColor="accent2"/>
      <w:sz w:val="48"/>
    </w:rPr>
  </w:style>
  <w:style w:type="paragraph" w:styleId="BodyText">
    <w:name w:val="Body Text"/>
    <w:basedOn w:val="Normal"/>
    <w:link w:val="BodyTextChar"/>
    <w:uiPriority w:val="99"/>
    <w:rsid w:val="0006095A"/>
    <w:pPr>
      <w:autoSpaceDE w:val="0"/>
      <w:autoSpaceDN w:val="0"/>
      <w:adjustRightInd w:val="0"/>
      <w:spacing w:after="170" w:line="320" w:lineRule="atLeast"/>
      <w:textAlignment w:val="center"/>
    </w:pPr>
    <w:rPr>
      <w:rFonts w:ascii="Open Sans" w:hAnsi="Open Sans" w:cs="Open Sans"/>
      <w:color w:val="00313A"/>
      <w:szCs w:val="18"/>
      <w:lang w:val="en-GB"/>
    </w:rPr>
  </w:style>
  <w:style w:type="character" w:customStyle="1" w:styleId="BodyTextChar">
    <w:name w:val="Body Text Char"/>
    <w:basedOn w:val="DefaultParagraphFont"/>
    <w:link w:val="BodyText"/>
    <w:uiPriority w:val="99"/>
    <w:rsid w:val="0006095A"/>
    <w:rPr>
      <w:rFonts w:ascii="Open Sans" w:hAnsi="Open Sans" w:cs="Open Sans"/>
      <w:color w:val="00313A"/>
      <w:sz w:val="18"/>
      <w:szCs w:val="18"/>
      <w:lang w:val="en-GB"/>
    </w:rPr>
  </w:style>
  <w:style w:type="paragraph" w:styleId="Quote">
    <w:name w:val="Quote"/>
    <w:basedOn w:val="BodyText"/>
    <w:link w:val="QuoteChar"/>
    <w:uiPriority w:val="99"/>
    <w:qFormat/>
    <w:rsid w:val="0006095A"/>
    <w:pPr>
      <w:spacing w:line="340" w:lineRule="atLeast"/>
    </w:pPr>
    <w:rPr>
      <w:rFonts w:ascii="Open Sans Semibold" w:hAnsi="Open Sans Semibold" w:cs="Open Sans Semibold"/>
      <w:i/>
      <w:iCs/>
      <w:color w:val="77C043"/>
      <w:sz w:val="22"/>
      <w:szCs w:val="22"/>
    </w:rPr>
  </w:style>
  <w:style w:type="character" w:customStyle="1" w:styleId="QuoteChar">
    <w:name w:val="Quote Char"/>
    <w:basedOn w:val="DefaultParagraphFont"/>
    <w:link w:val="Quote"/>
    <w:uiPriority w:val="99"/>
    <w:rsid w:val="0006095A"/>
    <w:rPr>
      <w:rFonts w:ascii="Open Sans Semibold" w:hAnsi="Open Sans Semibold" w:cs="Open Sans Semibold"/>
      <w:i/>
      <w:iCs/>
      <w:color w:val="77C043"/>
      <w:lang w:val="en-GB"/>
    </w:rPr>
  </w:style>
  <w:style w:type="character" w:styleId="Emphasis">
    <w:name w:val="Emphasis"/>
    <w:aliases w:val="Pull Out Quote"/>
    <w:basedOn w:val="DefaultParagraphFont"/>
    <w:uiPriority w:val="20"/>
    <w:qFormat/>
    <w:rsid w:val="0006095A"/>
    <w:rPr>
      <w:rFonts w:ascii="Open Sans" w:hAnsi="Open Sans"/>
      <w:i/>
      <w:color w:val="92D050" w:themeColor="accent1"/>
      <w:sz w:val="20"/>
    </w:rPr>
  </w:style>
  <w:style w:type="character" w:styleId="IntenseEmphasis">
    <w:name w:val="Intense Emphasis"/>
    <w:basedOn w:val="DefaultParagraphFont"/>
    <w:uiPriority w:val="21"/>
    <w:qFormat/>
    <w:rsid w:val="0006095A"/>
    <w:rPr>
      <w:b/>
      <w:bCs/>
      <w:i/>
      <w:iCs/>
      <w:color w:val="92D050" w:themeColor="accent1"/>
    </w:rPr>
  </w:style>
  <w:style w:type="character" w:styleId="Strong">
    <w:name w:val="Strong"/>
    <w:basedOn w:val="DefaultParagraphFont"/>
    <w:uiPriority w:val="22"/>
    <w:qFormat/>
    <w:rsid w:val="0006095A"/>
    <w:rPr>
      <w:b/>
      <w:bCs/>
    </w:rPr>
  </w:style>
  <w:style w:type="paragraph" w:styleId="NoSpacing">
    <w:name w:val="No Spacing"/>
    <w:uiPriority w:val="1"/>
    <w:qFormat/>
    <w:rsid w:val="0006095A"/>
    <w:pPr>
      <w:spacing w:after="0" w:line="240" w:lineRule="auto"/>
    </w:pPr>
    <w:rPr>
      <w:color w:val="0D282D" w:themeColor="text1"/>
      <w:sz w:val="18"/>
    </w:rPr>
  </w:style>
  <w:style w:type="character" w:customStyle="1" w:styleId="Heading2Char">
    <w:name w:val="Heading 2 Char"/>
    <w:basedOn w:val="DefaultParagraphFont"/>
    <w:link w:val="Heading2"/>
    <w:uiPriority w:val="9"/>
    <w:rsid w:val="0006095A"/>
    <w:rPr>
      <w:rFonts w:ascii="Open Sans" w:eastAsiaTheme="majorEastAsia" w:hAnsi="Open Sans" w:cstheme="majorBidi"/>
      <w:bCs/>
      <w:color w:val="92D050" w:themeColor="accent1"/>
      <w:sz w:val="36"/>
      <w:szCs w:val="26"/>
    </w:rPr>
  </w:style>
  <w:style w:type="table" w:styleId="TableGrid">
    <w:name w:val="Table Grid"/>
    <w:basedOn w:val="TableNormal"/>
    <w:uiPriority w:val="59"/>
    <w:rsid w:val="0006095A"/>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1-Accent5">
    <w:name w:val="Medium Shading 1 Accent 5"/>
    <w:basedOn w:val="TableNormal"/>
    <w:uiPriority w:val="63"/>
    <w:rsid w:val="0006095A"/>
    <w:pPr>
      <w:spacing w:before="0" w:after="0" w:line="240" w:lineRule="auto"/>
      <w:jc w:val="center"/>
    </w:pPr>
    <w:rPr>
      <w:color w:val="FFFFFF" w:themeColor="background2"/>
      <w:sz w:val="18"/>
    </w:rPr>
    <w:tblPr>
      <w:tblStyleRowBandSize w:val="1"/>
      <w:tblStyleColBandSize w:val="1"/>
      <w:tblInd w:w="0" w:type="dxa"/>
      <w:tblBorders>
        <w:top w:val="single" w:sz="6" w:space="0" w:color="00688E" w:themeColor="accent5"/>
        <w:left w:val="single" w:sz="6" w:space="0" w:color="00688E" w:themeColor="accent5"/>
        <w:bottom w:val="single" w:sz="6" w:space="0" w:color="00688E" w:themeColor="accent5"/>
        <w:right w:val="single" w:sz="6" w:space="0" w:color="00688E" w:themeColor="accent5"/>
        <w:insideH w:val="single" w:sz="6" w:space="0" w:color="00688E" w:themeColor="accent5"/>
      </w:tblBorders>
      <w:tblCellMar>
        <w:top w:w="0" w:type="dxa"/>
        <w:left w:w="108" w:type="dxa"/>
        <w:bottom w:w="0" w:type="dxa"/>
        <w:right w:w="108" w:type="dxa"/>
      </w:tblCellMar>
    </w:tblPr>
    <w:tcPr>
      <w:vAlign w:val="center"/>
    </w:tcPr>
    <w:tblStylePr w:type="firstRow">
      <w:pPr>
        <w:spacing w:before="0" w:after="0" w:line="240" w:lineRule="auto"/>
      </w:pPr>
      <w:rPr>
        <w:rFonts w:asciiTheme="majorHAnsi" w:hAnsiTheme="majorHAnsi"/>
        <w:b w:val="0"/>
        <w:bCs/>
        <w:color w:val="FFFFFF" w:themeColor="background2"/>
        <w:sz w:val="18"/>
      </w:rPr>
      <w:tblPr/>
      <w:tcPr>
        <w:tcBorders>
          <w:top w:val="single" w:sz="6" w:space="0" w:color="00688E" w:themeColor="accent5"/>
          <w:left w:val="single" w:sz="6" w:space="0" w:color="00688E" w:themeColor="accent5"/>
          <w:bottom w:val="single" w:sz="6" w:space="0" w:color="00688E" w:themeColor="accent5"/>
          <w:right w:val="single" w:sz="6" w:space="0" w:color="00688E" w:themeColor="accent5"/>
          <w:insideH w:val="single" w:sz="6" w:space="0" w:color="00688E" w:themeColor="accent5"/>
          <w:insideV w:val="single" w:sz="6" w:space="0" w:color="00688E" w:themeColor="accent5"/>
        </w:tcBorders>
        <w:shd w:val="clear" w:color="auto" w:fill="00688E" w:themeFill="accent5"/>
      </w:tcPr>
    </w:tblStylePr>
    <w:tblStylePr w:type="lastRow">
      <w:pPr>
        <w:spacing w:before="0" w:after="0" w:line="240" w:lineRule="auto"/>
      </w:pPr>
      <w:rPr>
        <w:rFonts w:asciiTheme="minorHAnsi" w:hAnsiTheme="minorHAnsi"/>
        <w:b/>
        <w:bCs/>
        <w:color w:val="0D282D" w:themeColor="text1"/>
        <w:sz w:val="18"/>
      </w:rPr>
      <w:tblPr/>
      <w:tcPr>
        <w:tcBorders>
          <w:top w:val="single" w:sz="6" w:space="0" w:color="00688E" w:themeColor="accent5"/>
          <w:left w:val="single" w:sz="6" w:space="0" w:color="00688E" w:themeColor="accent5"/>
          <w:bottom w:val="single" w:sz="6" w:space="0" w:color="00688E" w:themeColor="accent5"/>
          <w:right w:val="single" w:sz="6" w:space="0" w:color="00688E" w:themeColor="accent5"/>
          <w:insideH w:val="single" w:sz="6" w:space="0" w:color="00688E" w:themeColor="accent5"/>
          <w:insideV w:val="single" w:sz="6" w:space="0" w:color="00688E" w:themeColor="accent5"/>
        </w:tcBorders>
        <w:shd w:val="clear" w:color="auto" w:fill="6BD7FF" w:themeFill="accent5" w:themeFillTint="66"/>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tcPr>
    </w:tblStylePr>
    <w:tblStylePr w:type="band1Horz">
      <w:rPr>
        <w:rFonts w:asciiTheme="minorHAnsi" w:hAnsiTheme="minorHAnsi"/>
        <w:color w:val="0D282D" w:themeColor="text1"/>
        <w:sz w:val="18"/>
      </w:rPr>
      <w:tblPr/>
      <w:tcPr>
        <w:tcBorders>
          <w:top w:val="single" w:sz="6" w:space="0" w:color="00688E" w:themeColor="accent5"/>
          <w:left w:val="single" w:sz="6" w:space="0" w:color="00688E" w:themeColor="accent5"/>
          <w:bottom w:val="single" w:sz="6" w:space="0" w:color="00688E" w:themeColor="accent5"/>
          <w:right w:val="single" w:sz="6" w:space="0" w:color="00688E" w:themeColor="accent5"/>
          <w:insideH w:val="single" w:sz="6" w:space="0" w:color="00688E" w:themeColor="accent5"/>
          <w:insideV w:val="single" w:sz="6" w:space="0" w:color="00688E" w:themeColor="accent5"/>
        </w:tcBorders>
        <w:shd w:val="clear" w:color="auto" w:fill="A4E6FF" w:themeFill="accent5" w:themeFillTint="3F"/>
      </w:tcPr>
    </w:tblStylePr>
    <w:tblStylePr w:type="band2Horz">
      <w:rPr>
        <w:rFonts w:asciiTheme="minorHAnsi" w:hAnsiTheme="minorHAnsi"/>
        <w:color w:val="0D282D" w:themeColor="text1"/>
        <w:sz w:val="18"/>
      </w:rPr>
      <w:tblPr/>
      <w:tcPr>
        <w:tcBorders>
          <w:top w:val="single" w:sz="6" w:space="0" w:color="00688E" w:themeColor="accent5"/>
          <w:left w:val="single" w:sz="6" w:space="0" w:color="00688E" w:themeColor="accent5"/>
          <w:bottom w:val="single" w:sz="6" w:space="0" w:color="00688E" w:themeColor="accent5"/>
          <w:right w:val="single" w:sz="6" w:space="0" w:color="00688E" w:themeColor="accent5"/>
          <w:insideH w:val="single" w:sz="6" w:space="0" w:color="00688E" w:themeColor="accent5"/>
          <w:insideV w:val="single" w:sz="6" w:space="0" w:color="00688E" w:themeColor="accent5"/>
        </w:tcBorders>
        <w:shd w:val="clear" w:color="auto" w:fill="DBF0F4" w:themeFill="text1" w:themeFillTint="1A"/>
      </w:tcPr>
    </w:tblStylePr>
  </w:style>
  <w:style w:type="character" w:styleId="Hyperlink">
    <w:name w:val="Hyperlink"/>
    <w:basedOn w:val="DefaultParagraphFont"/>
    <w:uiPriority w:val="99"/>
    <w:unhideWhenUsed/>
    <w:rsid w:val="006B60F9"/>
    <w:rPr>
      <w:color w:val="00688E" w:themeColor="hyperlink"/>
      <w:u w:val="single"/>
    </w:rPr>
  </w:style>
  <w:style w:type="paragraph" w:styleId="EndnoteText">
    <w:name w:val="endnote text"/>
    <w:basedOn w:val="Normal"/>
    <w:link w:val="EndnoteTextChar"/>
    <w:uiPriority w:val="99"/>
    <w:unhideWhenUsed/>
    <w:rsid w:val="00A41DE7"/>
    <w:pPr>
      <w:spacing w:before="0" w:after="0" w:line="240" w:lineRule="auto"/>
    </w:pPr>
    <w:rPr>
      <w:szCs w:val="20"/>
    </w:rPr>
  </w:style>
  <w:style w:type="character" w:customStyle="1" w:styleId="EndnoteTextChar">
    <w:name w:val="Endnote Text Char"/>
    <w:basedOn w:val="DefaultParagraphFont"/>
    <w:link w:val="EndnoteText"/>
    <w:uiPriority w:val="99"/>
    <w:rsid w:val="00A41DE7"/>
    <w:rPr>
      <w:color w:val="0D282D" w:themeColor="text1"/>
      <w:sz w:val="20"/>
      <w:szCs w:val="20"/>
    </w:rPr>
  </w:style>
  <w:style w:type="character" w:styleId="EndnoteReference">
    <w:name w:val="endnote reference"/>
    <w:basedOn w:val="DefaultParagraphFont"/>
    <w:uiPriority w:val="99"/>
    <w:semiHidden/>
    <w:unhideWhenUsed/>
    <w:rsid w:val="00A41DE7"/>
    <w:rPr>
      <w:vertAlign w:val="superscript"/>
    </w:rPr>
  </w:style>
  <w:style w:type="paragraph" w:styleId="FootnoteText">
    <w:name w:val="footnote text"/>
    <w:basedOn w:val="Normal"/>
    <w:link w:val="FootnoteTextChar"/>
    <w:uiPriority w:val="99"/>
    <w:semiHidden/>
    <w:unhideWhenUsed/>
    <w:rsid w:val="00A41DE7"/>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A41DE7"/>
    <w:rPr>
      <w:color w:val="0D282D" w:themeColor="text1"/>
      <w:sz w:val="20"/>
      <w:szCs w:val="20"/>
    </w:rPr>
  </w:style>
  <w:style w:type="character" w:styleId="FootnoteReference">
    <w:name w:val="footnote reference"/>
    <w:basedOn w:val="DefaultParagraphFont"/>
    <w:uiPriority w:val="99"/>
    <w:semiHidden/>
    <w:unhideWhenUsed/>
    <w:rsid w:val="00A41DE7"/>
    <w:rPr>
      <w:vertAlign w:val="superscript"/>
    </w:rPr>
  </w:style>
  <w:style w:type="paragraph" w:customStyle="1" w:styleId="NormalTabbed">
    <w:name w:val="Normal Tabbed"/>
    <w:basedOn w:val="Normal"/>
    <w:link w:val="NormalTabbedChar"/>
    <w:qFormat/>
    <w:rsid w:val="00A41DE7"/>
    <w:pPr>
      <w:suppressAutoHyphens/>
      <w:autoSpaceDE w:val="0"/>
      <w:autoSpaceDN w:val="0"/>
      <w:adjustRightInd w:val="0"/>
      <w:spacing w:before="20" w:after="120" w:line="276" w:lineRule="auto"/>
      <w:ind w:left="624"/>
      <w:textAlignment w:val="center"/>
    </w:pPr>
    <w:rPr>
      <w:rFonts w:ascii="Open Sans" w:hAnsi="Open Sans" w:cs="Open Sans"/>
      <w:szCs w:val="18"/>
      <w:lang w:val="en-GB"/>
    </w:rPr>
  </w:style>
  <w:style w:type="character" w:customStyle="1" w:styleId="NormalTabbedChar">
    <w:name w:val="Normal Tabbed Char"/>
    <w:basedOn w:val="DefaultParagraphFont"/>
    <w:link w:val="NormalTabbed"/>
    <w:rsid w:val="00A41DE7"/>
    <w:rPr>
      <w:rFonts w:ascii="Open Sans" w:hAnsi="Open Sans" w:cs="Open Sans"/>
      <w:color w:val="0D282D" w:themeColor="text1"/>
      <w:sz w:val="20"/>
      <w:szCs w:val="18"/>
      <w:lang w:val="en-GB"/>
    </w:rPr>
  </w:style>
  <w:style w:type="paragraph" w:styleId="NormalWeb">
    <w:name w:val="Normal (Web)"/>
    <w:basedOn w:val="Normal"/>
    <w:uiPriority w:val="99"/>
    <w:semiHidden/>
    <w:unhideWhenUsed/>
    <w:rsid w:val="007B3550"/>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Heading3Char">
    <w:name w:val="Heading 3 Char"/>
    <w:basedOn w:val="DefaultParagraphFont"/>
    <w:link w:val="Heading3"/>
    <w:uiPriority w:val="9"/>
    <w:rsid w:val="001C5FAA"/>
    <w:rPr>
      <w:rFonts w:asciiTheme="majorHAnsi" w:eastAsiaTheme="majorEastAsia" w:hAnsiTheme="majorHAnsi" w:cstheme="majorBidi"/>
      <w:color w:val="48701E" w:themeColor="accent1" w:themeShade="7F"/>
      <w:sz w:val="24"/>
      <w:szCs w:val="24"/>
    </w:rPr>
  </w:style>
  <w:style w:type="character" w:customStyle="1" w:styleId="Heading4Char">
    <w:name w:val="Heading 4 Char"/>
    <w:basedOn w:val="DefaultParagraphFont"/>
    <w:link w:val="Heading4"/>
    <w:uiPriority w:val="9"/>
    <w:rsid w:val="001C5FAA"/>
    <w:rPr>
      <w:rFonts w:asciiTheme="majorHAnsi" w:eastAsiaTheme="majorEastAsia" w:hAnsiTheme="majorHAnsi" w:cstheme="majorBidi"/>
      <w:i/>
      <w:iCs/>
      <w:color w:val="6DA92D" w:themeColor="accent1" w:themeShade="BF"/>
      <w:sz w:val="20"/>
    </w:rPr>
  </w:style>
  <w:style w:type="character" w:customStyle="1" w:styleId="Heading5Char">
    <w:name w:val="Heading 5 Char"/>
    <w:basedOn w:val="DefaultParagraphFont"/>
    <w:link w:val="Heading5"/>
    <w:uiPriority w:val="9"/>
    <w:rsid w:val="001C5FAA"/>
    <w:rPr>
      <w:rFonts w:asciiTheme="majorHAnsi" w:eastAsiaTheme="majorEastAsia" w:hAnsiTheme="majorHAnsi" w:cstheme="majorBidi"/>
      <w:color w:val="6DA92D" w:themeColor="accent1" w:themeShade="BF"/>
      <w:sz w:val="20"/>
    </w:rPr>
  </w:style>
  <w:style w:type="character" w:styleId="FollowedHyperlink">
    <w:name w:val="FollowedHyperlink"/>
    <w:basedOn w:val="DefaultParagraphFont"/>
    <w:uiPriority w:val="99"/>
    <w:semiHidden/>
    <w:unhideWhenUsed/>
    <w:rsid w:val="00507FAA"/>
    <w:rPr>
      <w:color w:val="92D050" w:themeColor="followedHyperlink"/>
      <w:u w:val="single"/>
    </w:rPr>
  </w:style>
  <w:style w:type="paragraph" w:customStyle="1" w:styleId="Default">
    <w:name w:val="Default"/>
    <w:rsid w:val="00522585"/>
    <w:pPr>
      <w:autoSpaceDE w:val="0"/>
      <w:autoSpaceDN w:val="0"/>
      <w:adjustRightInd w:val="0"/>
      <w:spacing w:before="0"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C54F6D"/>
    <w:pPr>
      <w:spacing w:before="0" w:after="0" w:line="240" w:lineRule="auto"/>
      <w:ind w:left="720"/>
    </w:pPr>
    <w:rPr>
      <w:rFonts w:ascii="Calibri" w:hAnsi="Calibri" w:cs="Times New Roman"/>
      <w:color w:val="auto"/>
      <w:sz w:val="22"/>
      <w:lang w:eastAsia="en-AU"/>
    </w:rPr>
  </w:style>
  <w:style w:type="character" w:styleId="CommentReference">
    <w:name w:val="annotation reference"/>
    <w:basedOn w:val="DefaultParagraphFont"/>
    <w:uiPriority w:val="99"/>
    <w:semiHidden/>
    <w:unhideWhenUsed/>
    <w:rsid w:val="008E2666"/>
    <w:rPr>
      <w:sz w:val="16"/>
      <w:szCs w:val="16"/>
    </w:rPr>
  </w:style>
  <w:style w:type="paragraph" w:styleId="CommentText">
    <w:name w:val="annotation text"/>
    <w:basedOn w:val="Normal"/>
    <w:link w:val="CommentTextChar"/>
    <w:uiPriority w:val="99"/>
    <w:semiHidden/>
    <w:unhideWhenUsed/>
    <w:rsid w:val="008E2666"/>
    <w:pPr>
      <w:spacing w:line="240" w:lineRule="auto"/>
    </w:pPr>
    <w:rPr>
      <w:szCs w:val="20"/>
    </w:rPr>
  </w:style>
  <w:style w:type="character" w:customStyle="1" w:styleId="CommentTextChar">
    <w:name w:val="Comment Text Char"/>
    <w:basedOn w:val="DefaultParagraphFont"/>
    <w:link w:val="CommentText"/>
    <w:uiPriority w:val="99"/>
    <w:semiHidden/>
    <w:rsid w:val="008E2666"/>
    <w:rPr>
      <w:color w:val="0D282D" w:themeColor="text1"/>
      <w:sz w:val="20"/>
      <w:szCs w:val="20"/>
    </w:rPr>
  </w:style>
  <w:style w:type="paragraph" w:styleId="CommentSubject">
    <w:name w:val="annotation subject"/>
    <w:basedOn w:val="CommentText"/>
    <w:next w:val="CommentText"/>
    <w:link w:val="CommentSubjectChar"/>
    <w:uiPriority w:val="99"/>
    <w:semiHidden/>
    <w:unhideWhenUsed/>
    <w:rsid w:val="008E2666"/>
    <w:rPr>
      <w:b/>
      <w:bCs/>
    </w:rPr>
  </w:style>
  <w:style w:type="character" w:customStyle="1" w:styleId="CommentSubjectChar">
    <w:name w:val="Comment Subject Char"/>
    <w:basedOn w:val="CommentTextChar"/>
    <w:link w:val="CommentSubject"/>
    <w:uiPriority w:val="99"/>
    <w:semiHidden/>
    <w:rsid w:val="008E2666"/>
    <w:rPr>
      <w:b/>
      <w:bCs/>
      <w:color w:val="0D282D" w:themeColor="text1"/>
      <w:sz w:val="20"/>
      <w:szCs w:val="20"/>
    </w:rPr>
  </w:style>
  <w:style w:type="paragraph" w:styleId="Revision">
    <w:name w:val="Revision"/>
    <w:hidden/>
    <w:uiPriority w:val="99"/>
    <w:semiHidden/>
    <w:rsid w:val="008E2666"/>
    <w:pPr>
      <w:spacing w:before="0" w:after="0" w:line="240" w:lineRule="auto"/>
    </w:pPr>
    <w:rPr>
      <w:color w:val="0D282D" w:themeColor="text1"/>
      <w:sz w:val="20"/>
    </w:rPr>
  </w:style>
  <w:style w:type="character" w:styleId="SubtleReference">
    <w:name w:val="Subtle Reference"/>
    <w:basedOn w:val="DefaultParagraphFont"/>
    <w:uiPriority w:val="31"/>
    <w:qFormat/>
    <w:rsid w:val="000127CA"/>
    <w:rPr>
      <w:smallCaps/>
      <w:color w:val="00CC99" w:themeColor="accent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40" w:after="24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954"/>
    <w:rPr>
      <w:color w:val="0D282D" w:themeColor="text1"/>
      <w:sz w:val="20"/>
    </w:rPr>
  </w:style>
  <w:style w:type="paragraph" w:styleId="Heading1">
    <w:name w:val="heading 1"/>
    <w:basedOn w:val="Normal"/>
    <w:next w:val="Normal"/>
    <w:link w:val="Heading1Char"/>
    <w:uiPriority w:val="9"/>
    <w:qFormat/>
    <w:rsid w:val="00FC0AEA"/>
    <w:pPr>
      <w:keepNext/>
      <w:keepLines/>
      <w:pBdr>
        <w:bottom w:val="single" w:sz="6" w:space="1" w:color="92D050" w:themeColor="accent1"/>
      </w:pBdr>
      <w:spacing w:before="600" w:line="240" w:lineRule="auto"/>
      <w:outlineLvl w:val="0"/>
    </w:pPr>
    <w:rPr>
      <w:rFonts w:ascii="Open Sans" w:eastAsiaTheme="majorEastAsia" w:hAnsi="Open Sans" w:cstheme="majorBidi"/>
      <w:bCs/>
      <w:caps/>
      <w:color w:val="92D050" w:themeColor="accent1"/>
      <w:sz w:val="52"/>
      <w:szCs w:val="28"/>
    </w:rPr>
  </w:style>
  <w:style w:type="paragraph" w:styleId="Heading2">
    <w:name w:val="heading 2"/>
    <w:basedOn w:val="Normal"/>
    <w:next w:val="Normal"/>
    <w:link w:val="Heading2Char"/>
    <w:uiPriority w:val="9"/>
    <w:unhideWhenUsed/>
    <w:qFormat/>
    <w:rsid w:val="0006095A"/>
    <w:pPr>
      <w:keepNext/>
      <w:keepLines/>
      <w:spacing w:before="320" w:after="120" w:line="240" w:lineRule="auto"/>
      <w:outlineLvl w:val="1"/>
    </w:pPr>
    <w:rPr>
      <w:rFonts w:ascii="Open Sans" w:eastAsiaTheme="majorEastAsia" w:hAnsi="Open Sans" w:cstheme="majorBidi"/>
      <w:bCs/>
      <w:color w:val="92D050" w:themeColor="accent1"/>
      <w:sz w:val="36"/>
      <w:szCs w:val="26"/>
    </w:rPr>
  </w:style>
  <w:style w:type="paragraph" w:styleId="Heading3">
    <w:name w:val="heading 3"/>
    <w:basedOn w:val="Normal"/>
    <w:next w:val="Normal"/>
    <w:link w:val="Heading3Char"/>
    <w:uiPriority w:val="9"/>
    <w:unhideWhenUsed/>
    <w:qFormat/>
    <w:rsid w:val="001C5FAA"/>
    <w:pPr>
      <w:keepNext/>
      <w:keepLines/>
      <w:spacing w:before="40" w:after="0"/>
      <w:outlineLvl w:val="2"/>
    </w:pPr>
    <w:rPr>
      <w:rFonts w:asciiTheme="majorHAnsi" w:eastAsiaTheme="majorEastAsia" w:hAnsiTheme="majorHAnsi" w:cstheme="majorBidi"/>
      <w:color w:val="48701E" w:themeColor="accent1" w:themeShade="7F"/>
      <w:sz w:val="24"/>
      <w:szCs w:val="24"/>
    </w:rPr>
  </w:style>
  <w:style w:type="paragraph" w:styleId="Heading4">
    <w:name w:val="heading 4"/>
    <w:basedOn w:val="Normal"/>
    <w:next w:val="Normal"/>
    <w:link w:val="Heading4Char"/>
    <w:uiPriority w:val="9"/>
    <w:unhideWhenUsed/>
    <w:qFormat/>
    <w:rsid w:val="001C5FAA"/>
    <w:pPr>
      <w:keepNext/>
      <w:keepLines/>
      <w:spacing w:before="40" w:after="0"/>
      <w:outlineLvl w:val="3"/>
    </w:pPr>
    <w:rPr>
      <w:rFonts w:asciiTheme="majorHAnsi" w:eastAsiaTheme="majorEastAsia" w:hAnsiTheme="majorHAnsi" w:cstheme="majorBidi"/>
      <w:i/>
      <w:iCs/>
      <w:color w:val="6DA92D" w:themeColor="accent1" w:themeShade="BF"/>
    </w:rPr>
  </w:style>
  <w:style w:type="paragraph" w:styleId="Heading5">
    <w:name w:val="heading 5"/>
    <w:basedOn w:val="Normal"/>
    <w:next w:val="Normal"/>
    <w:link w:val="Heading5Char"/>
    <w:uiPriority w:val="9"/>
    <w:unhideWhenUsed/>
    <w:qFormat/>
    <w:rsid w:val="001C5FAA"/>
    <w:pPr>
      <w:keepNext/>
      <w:keepLines/>
      <w:spacing w:before="40" w:after="0"/>
      <w:outlineLvl w:val="4"/>
    </w:pPr>
    <w:rPr>
      <w:rFonts w:asciiTheme="majorHAnsi" w:eastAsiaTheme="majorEastAsia" w:hAnsiTheme="majorHAnsi" w:cstheme="majorBidi"/>
      <w:color w:val="6DA92D"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33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33D4"/>
  </w:style>
  <w:style w:type="paragraph" w:styleId="Footer">
    <w:name w:val="footer"/>
    <w:basedOn w:val="Normal"/>
    <w:link w:val="FooterChar"/>
    <w:uiPriority w:val="99"/>
    <w:unhideWhenUsed/>
    <w:rsid w:val="00FC33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33D4"/>
  </w:style>
  <w:style w:type="paragraph" w:styleId="BalloonText">
    <w:name w:val="Balloon Text"/>
    <w:basedOn w:val="Normal"/>
    <w:link w:val="BalloonTextChar"/>
    <w:uiPriority w:val="99"/>
    <w:semiHidden/>
    <w:unhideWhenUsed/>
    <w:rsid w:val="00FC33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33D4"/>
    <w:rPr>
      <w:rFonts w:ascii="Tahoma" w:hAnsi="Tahoma" w:cs="Tahoma"/>
      <w:sz w:val="16"/>
      <w:szCs w:val="16"/>
    </w:rPr>
  </w:style>
  <w:style w:type="paragraph" w:customStyle="1" w:styleId="BasicParagraph">
    <w:name w:val="[Basic Paragraph]"/>
    <w:basedOn w:val="Normal"/>
    <w:uiPriority w:val="99"/>
    <w:rsid w:val="00FC33D4"/>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Heading1Char">
    <w:name w:val="Heading 1 Char"/>
    <w:basedOn w:val="DefaultParagraphFont"/>
    <w:link w:val="Heading1"/>
    <w:uiPriority w:val="9"/>
    <w:rsid w:val="00FC0AEA"/>
    <w:rPr>
      <w:rFonts w:ascii="Open Sans" w:eastAsiaTheme="majorEastAsia" w:hAnsi="Open Sans" w:cstheme="majorBidi"/>
      <w:bCs/>
      <w:caps/>
      <w:color w:val="92D050" w:themeColor="accent1"/>
      <w:sz w:val="52"/>
      <w:szCs w:val="28"/>
    </w:rPr>
  </w:style>
  <w:style w:type="paragraph" w:styleId="Title">
    <w:name w:val="Title"/>
    <w:basedOn w:val="Normal"/>
    <w:next w:val="Normal"/>
    <w:link w:val="TitleChar"/>
    <w:uiPriority w:val="10"/>
    <w:qFormat/>
    <w:rsid w:val="0006095A"/>
    <w:pPr>
      <w:pBdr>
        <w:top w:val="single" w:sz="12" w:space="9" w:color="EDF1E3" w:themeColor="accent6"/>
        <w:bottom w:val="single" w:sz="12" w:space="9" w:color="EDF1E3" w:themeColor="accent6"/>
      </w:pBdr>
      <w:spacing w:after="0" w:line="240" w:lineRule="auto"/>
      <w:contextualSpacing/>
      <w:jc w:val="center"/>
    </w:pPr>
    <w:rPr>
      <w:rFonts w:ascii="Open Sans Light" w:eastAsiaTheme="majorEastAsia" w:hAnsi="Open Sans Light" w:cstheme="majorBidi"/>
      <w:color w:val="00CC99" w:themeColor="text2"/>
      <w:spacing w:val="5"/>
      <w:kern w:val="28"/>
      <w:sz w:val="72"/>
      <w:szCs w:val="52"/>
    </w:rPr>
  </w:style>
  <w:style w:type="character" w:customStyle="1" w:styleId="TitleChar">
    <w:name w:val="Title Char"/>
    <w:basedOn w:val="DefaultParagraphFont"/>
    <w:link w:val="Title"/>
    <w:uiPriority w:val="10"/>
    <w:rsid w:val="0006095A"/>
    <w:rPr>
      <w:rFonts w:ascii="Open Sans Light" w:eastAsiaTheme="majorEastAsia" w:hAnsi="Open Sans Light" w:cstheme="majorBidi"/>
      <w:color w:val="00CC99" w:themeColor="text2"/>
      <w:spacing w:val="5"/>
      <w:kern w:val="28"/>
      <w:sz w:val="72"/>
      <w:szCs w:val="52"/>
    </w:rPr>
  </w:style>
  <w:style w:type="paragraph" w:styleId="Subtitle">
    <w:name w:val="Subtitle"/>
    <w:basedOn w:val="Normal"/>
    <w:next w:val="Normal"/>
    <w:link w:val="SubtitleChar"/>
    <w:uiPriority w:val="11"/>
    <w:qFormat/>
    <w:rsid w:val="00CC3919"/>
    <w:pPr>
      <w:numPr>
        <w:ilvl w:val="1"/>
      </w:numPr>
      <w:jc w:val="center"/>
    </w:pPr>
    <w:rPr>
      <w:rFonts w:ascii="Open Sans Light" w:eastAsiaTheme="majorEastAsia" w:hAnsi="Open Sans Light" w:cstheme="majorBidi"/>
      <w:iCs/>
      <w:color w:val="92D050" w:themeColor="accent1"/>
      <w:spacing w:val="15"/>
      <w:sz w:val="40"/>
      <w:szCs w:val="24"/>
    </w:rPr>
  </w:style>
  <w:style w:type="character" w:customStyle="1" w:styleId="SubtitleChar">
    <w:name w:val="Subtitle Char"/>
    <w:basedOn w:val="DefaultParagraphFont"/>
    <w:link w:val="Subtitle"/>
    <w:uiPriority w:val="11"/>
    <w:rsid w:val="00CC3919"/>
    <w:rPr>
      <w:rFonts w:ascii="Open Sans Light" w:eastAsiaTheme="majorEastAsia" w:hAnsi="Open Sans Light" w:cstheme="majorBidi"/>
      <w:iCs/>
      <w:color w:val="92D050" w:themeColor="accent1"/>
      <w:spacing w:val="15"/>
      <w:sz w:val="40"/>
      <w:szCs w:val="24"/>
    </w:rPr>
  </w:style>
  <w:style w:type="character" w:styleId="SubtleEmphasis">
    <w:name w:val="Subtle Emphasis"/>
    <w:aliases w:val="Subtle date"/>
    <w:basedOn w:val="DefaultParagraphFont"/>
    <w:uiPriority w:val="19"/>
    <w:qFormat/>
    <w:rsid w:val="0006095A"/>
    <w:rPr>
      <w:rFonts w:ascii="Open Sans Light" w:hAnsi="Open Sans Light"/>
      <w:iCs/>
      <w:color w:val="00CC99" w:themeColor="accent2"/>
      <w:sz w:val="48"/>
    </w:rPr>
  </w:style>
  <w:style w:type="paragraph" w:styleId="BodyText">
    <w:name w:val="Body Text"/>
    <w:basedOn w:val="Normal"/>
    <w:link w:val="BodyTextChar"/>
    <w:uiPriority w:val="99"/>
    <w:rsid w:val="0006095A"/>
    <w:pPr>
      <w:autoSpaceDE w:val="0"/>
      <w:autoSpaceDN w:val="0"/>
      <w:adjustRightInd w:val="0"/>
      <w:spacing w:after="170" w:line="320" w:lineRule="atLeast"/>
      <w:textAlignment w:val="center"/>
    </w:pPr>
    <w:rPr>
      <w:rFonts w:ascii="Open Sans" w:hAnsi="Open Sans" w:cs="Open Sans"/>
      <w:color w:val="00313A"/>
      <w:szCs w:val="18"/>
      <w:lang w:val="en-GB"/>
    </w:rPr>
  </w:style>
  <w:style w:type="character" w:customStyle="1" w:styleId="BodyTextChar">
    <w:name w:val="Body Text Char"/>
    <w:basedOn w:val="DefaultParagraphFont"/>
    <w:link w:val="BodyText"/>
    <w:uiPriority w:val="99"/>
    <w:rsid w:val="0006095A"/>
    <w:rPr>
      <w:rFonts w:ascii="Open Sans" w:hAnsi="Open Sans" w:cs="Open Sans"/>
      <w:color w:val="00313A"/>
      <w:sz w:val="18"/>
      <w:szCs w:val="18"/>
      <w:lang w:val="en-GB"/>
    </w:rPr>
  </w:style>
  <w:style w:type="paragraph" w:styleId="Quote">
    <w:name w:val="Quote"/>
    <w:basedOn w:val="BodyText"/>
    <w:link w:val="QuoteChar"/>
    <w:uiPriority w:val="99"/>
    <w:qFormat/>
    <w:rsid w:val="0006095A"/>
    <w:pPr>
      <w:spacing w:line="340" w:lineRule="atLeast"/>
    </w:pPr>
    <w:rPr>
      <w:rFonts w:ascii="Open Sans Semibold" w:hAnsi="Open Sans Semibold" w:cs="Open Sans Semibold"/>
      <w:i/>
      <w:iCs/>
      <w:color w:val="77C043"/>
      <w:sz w:val="22"/>
      <w:szCs w:val="22"/>
    </w:rPr>
  </w:style>
  <w:style w:type="character" w:customStyle="1" w:styleId="QuoteChar">
    <w:name w:val="Quote Char"/>
    <w:basedOn w:val="DefaultParagraphFont"/>
    <w:link w:val="Quote"/>
    <w:uiPriority w:val="99"/>
    <w:rsid w:val="0006095A"/>
    <w:rPr>
      <w:rFonts w:ascii="Open Sans Semibold" w:hAnsi="Open Sans Semibold" w:cs="Open Sans Semibold"/>
      <w:i/>
      <w:iCs/>
      <w:color w:val="77C043"/>
      <w:lang w:val="en-GB"/>
    </w:rPr>
  </w:style>
  <w:style w:type="character" w:styleId="Emphasis">
    <w:name w:val="Emphasis"/>
    <w:aliases w:val="Pull Out Quote"/>
    <w:basedOn w:val="DefaultParagraphFont"/>
    <w:uiPriority w:val="20"/>
    <w:qFormat/>
    <w:rsid w:val="0006095A"/>
    <w:rPr>
      <w:rFonts w:ascii="Open Sans" w:hAnsi="Open Sans"/>
      <w:i/>
      <w:color w:val="92D050" w:themeColor="accent1"/>
      <w:sz w:val="20"/>
    </w:rPr>
  </w:style>
  <w:style w:type="character" w:styleId="IntenseEmphasis">
    <w:name w:val="Intense Emphasis"/>
    <w:basedOn w:val="DefaultParagraphFont"/>
    <w:uiPriority w:val="21"/>
    <w:qFormat/>
    <w:rsid w:val="0006095A"/>
    <w:rPr>
      <w:b/>
      <w:bCs/>
      <w:i/>
      <w:iCs/>
      <w:color w:val="92D050" w:themeColor="accent1"/>
    </w:rPr>
  </w:style>
  <w:style w:type="character" w:styleId="Strong">
    <w:name w:val="Strong"/>
    <w:basedOn w:val="DefaultParagraphFont"/>
    <w:uiPriority w:val="22"/>
    <w:qFormat/>
    <w:rsid w:val="0006095A"/>
    <w:rPr>
      <w:b/>
      <w:bCs/>
    </w:rPr>
  </w:style>
  <w:style w:type="paragraph" w:styleId="NoSpacing">
    <w:name w:val="No Spacing"/>
    <w:uiPriority w:val="1"/>
    <w:qFormat/>
    <w:rsid w:val="0006095A"/>
    <w:pPr>
      <w:spacing w:after="0" w:line="240" w:lineRule="auto"/>
    </w:pPr>
    <w:rPr>
      <w:color w:val="0D282D" w:themeColor="text1"/>
      <w:sz w:val="18"/>
    </w:rPr>
  </w:style>
  <w:style w:type="character" w:customStyle="1" w:styleId="Heading2Char">
    <w:name w:val="Heading 2 Char"/>
    <w:basedOn w:val="DefaultParagraphFont"/>
    <w:link w:val="Heading2"/>
    <w:uiPriority w:val="9"/>
    <w:rsid w:val="0006095A"/>
    <w:rPr>
      <w:rFonts w:ascii="Open Sans" w:eastAsiaTheme="majorEastAsia" w:hAnsi="Open Sans" w:cstheme="majorBidi"/>
      <w:bCs/>
      <w:color w:val="92D050" w:themeColor="accent1"/>
      <w:sz w:val="36"/>
      <w:szCs w:val="26"/>
    </w:rPr>
  </w:style>
  <w:style w:type="table" w:styleId="TableGrid">
    <w:name w:val="Table Grid"/>
    <w:basedOn w:val="TableNormal"/>
    <w:uiPriority w:val="59"/>
    <w:rsid w:val="0006095A"/>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1-Accent5">
    <w:name w:val="Medium Shading 1 Accent 5"/>
    <w:basedOn w:val="TableNormal"/>
    <w:uiPriority w:val="63"/>
    <w:rsid w:val="0006095A"/>
    <w:pPr>
      <w:spacing w:before="0" w:after="0" w:line="240" w:lineRule="auto"/>
      <w:jc w:val="center"/>
    </w:pPr>
    <w:rPr>
      <w:color w:val="FFFFFF" w:themeColor="background2"/>
      <w:sz w:val="18"/>
    </w:rPr>
    <w:tblPr>
      <w:tblStyleRowBandSize w:val="1"/>
      <w:tblStyleColBandSize w:val="1"/>
      <w:tblInd w:w="0" w:type="dxa"/>
      <w:tblBorders>
        <w:top w:val="single" w:sz="6" w:space="0" w:color="00688E" w:themeColor="accent5"/>
        <w:left w:val="single" w:sz="6" w:space="0" w:color="00688E" w:themeColor="accent5"/>
        <w:bottom w:val="single" w:sz="6" w:space="0" w:color="00688E" w:themeColor="accent5"/>
        <w:right w:val="single" w:sz="6" w:space="0" w:color="00688E" w:themeColor="accent5"/>
        <w:insideH w:val="single" w:sz="6" w:space="0" w:color="00688E" w:themeColor="accent5"/>
      </w:tblBorders>
      <w:tblCellMar>
        <w:top w:w="0" w:type="dxa"/>
        <w:left w:w="108" w:type="dxa"/>
        <w:bottom w:w="0" w:type="dxa"/>
        <w:right w:w="108" w:type="dxa"/>
      </w:tblCellMar>
    </w:tblPr>
    <w:tcPr>
      <w:vAlign w:val="center"/>
    </w:tcPr>
    <w:tblStylePr w:type="firstRow">
      <w:pPr>
        <w:spacing w:before="0" w:after="0" w:line="240" w:lineRule="auto"/>
      </w:pPr>
      <w:rPr>
        <w:rFonts w:asciiTheme="majorHAnsi" w:hAnsiTheme="majorHAnsi"/>
        <w:b w:val="0"/>
        <w:bCs/>
        <w:color w:val="FFFFFF" w:themeColor="background2"/>
        <w:sz w:val="18"/>
      </w:rPr>
      <w:tblPr/>
      <w:tcPr>
        <w:tcBorders>
          <w:top w:val="single" w:sz="6" w:space="0" w:color="00688E" w:themeColor="accent5"/>
          <w:left w:val="single" w:sz="6" w:space="0" w:color="00688E" w:themeColor="accent5"/>
          <w:bottom w:val="single" w:sz="6" w:space="0" w:color="00688E" w:themeColor="accent5"/>
          <w:right w:val="single" w:sz="6" w:space="0" w:color="00688E" w:themeColor="accent5"/>
          <w:insideH w:val="single" w:sz="6" w:space="0" w:color="00688E" w:themeColor="accent5"/>
          <w:insideV w:val="single" w:sz="6" w:space="0" w:color="00688E" w:themeColor="accent5"/>
        </w:tcBorders>
        <w:shd w:val="clear" w:color="auto" w:fill="00688E" w:themeFill="accent5"/>
      </w:tcPr>
    </w:tblStylePr>
    <w:tblStylePr w:type="lastRow">
      <w:pPr>
        <w:spacing w:before="0" w:after="0" w:line="240" w:lineRule="auto"/>
      </w:pPr>
      <w:rPr>
        <w:rFonts w:asciiTheme="minorHAnsi" w:hAnsiTheme="minorHAnsi"/>
        <w:b/>
        <w:bCs/>
        <w:color w:val="0D282D" w:themeColor="text1"/>
        <w:sz w:val="18"/>
      </w:rPr>
      <w:tblPr/>
      <w:tcPr>
        <w:tcBorders>
          <w:top w:val="single" w:sz="6" w:space="0" w:color="00688E" w:themeColor="accent5"/>
          <w:left w:val="single" w:sz="6" w:space="0" w:color="00688E" w:themeColor="accent5"/>
          <w:bottom w:val="single" w:sz="6" w:space="0" w:color="00688E" w:themeColor="accent5"/>
          <w:right w:val="single" w:sz="6" w:space="0" w:color="00688E" w:themeColor="accent5"/>
          <w:insideH w:val="single" w:sz="6" w:space="0" w:color="00688E" w:themeColor="accent5"/>
          <w:insideV w:val="single" w:sz="6" w:space="0" w:color="00688E" w:themeColor="accent5"/>
        </w:tcBorders>
        <w:shd w:val="clear" w:color="auto" w:fill="6BD7FF" w:themeFill="accent5" w:themeFillTint="66"/>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tcPr>
    </w:tblStylePr>
    <w:tblStylePr w:type="band1Horz">
      <w:rPr>
        <w:rFonts w:asciiTheme="minorHAnsi" w:hAnsiTheme="minorHAnsi"/>
        <w:color w:val="0D282D" w:themeColor="text1"/>
        <w:sz w:val="18"/>
      </w:rPr>
      <w:tblPr/>
      <w:tcPr>
        <w:tcBorders>
          <w:top w:val="single" w:sz="6" w:space="0" w:color="00688E" w:themeColor="accent5"/>
          <w:left w:val="single" w:sz="6" w:space="0" w:color="00688E" w:themeColor="accent5"/>
          <w:bottom w:val="single" w:sz="6" w:space="0" w:color="00688E" w:themeColor="accent5"/>
          <w:right w:val="single" w:sz="6" w:space="0" w:color="00688E" w:themeColor="accent5"/>
          <w:insideH w:val="single" w:sz="6" w:space="0" w:color="00688E" w:themeColor="accent5"/>
          <w:insideV w:val="single" w:sz="6" w:space="0" w:color="00688E" w:themeColor="accent5"/>
        </w:tcBorders>
        <w:shd w:val="clear" w:color="auto" w:fill="A4E6FF" w:themeFill="accent5" w:themeFillTint="3F"/>
      </w:tcPr>
    </w:tblStylePr>
    <w:tblStylePr w:type="band2Horz">
      <w:rPr>
        <w:rFonts w:asciiTheme="minorHAnsi" w:hAnsiTheme="minorHAnsi"/>
        <w:color w:val="0D282D" w:themeColor="text1"/>
        <w:sz w:val="18"/>
      </w:rPr>
      <w:tblPr/>
      <w:tcPr>
        <w:tcBorders>
          <w:top w:val="single" w:sz="6" w:space="0" w:color="00688E" w:themeColor="accent5"/>
          <w:left w:val="single" w:sz="6" w:space="0" w:color="00688E" w:themeColor="accent5"/>
          <w:bottom w:val="single" w:sz="6" w:space="0" w:color="00688E" w:themeColor="accent5"/>
          <w:right w:val="single" w:sz="6" w:space="0" w:color="00688E" w:themeColor="accent5"/>
          <w:insideH w:val="single" w:sz="6" w:space="0" w:color="00688E" w:themeColor="accent5"/>
          <w:insideV w:val="single" w:sz="6" w:space="0" w:color="00688E" w:themeColor="accent5"/>
        </w:tcBorders>
        <w:shd w:val="clear" w:color="auto" w:fill="DBF0F4" w:themeFill="text1" w:themeFillTint="1A"/>
      </w:tcPr>
    </w:tblStylePr>
  </w:style>
  <w:style w:type="character" w:styleId="Hyperlink">
    <w:name w:val="Hyperlink"/>
    <w:basedOn w:val="DefaultParagraphFont"/>
    <w:uiPriority w:val="99"/>
    <w:unhideWhenUsed/>
    <w:rsid w:val="006B60F9"/>
    <w:rPr>
      <w:color w:val="00688E" w:themeColor="hyperlink"/>
      <w:u w:val="single"/>
    </w:rPr>
  </w:style>
  <w:style w:type="paragraph" w:styleId="EndnoteText">
    <w:name w:val="endnote text"/>
    <w:basedOn w:val="Normal"/>
    <w:link w:val="EndnoteTextChar"/>
    <w:uiPriority w:val="99"/>
    <w:unhideWhenUsed/>
    <w:rsid w:val="00A41DE7"/>
    <w:pPr>
      <w:spacing w:before="0" w:after="0" w:line="240" w:lineRule="auto"/>
    </w:pPr>
    <w:rPr>
      <w:szCs w:val="20"/>
    </w:rPr>
  </w:style>
  <w:style w:type="character" w:customStyle="1" w:styleId="EndnoteTextChar">
    <w:name w:val="Endnote Text Char"/>
    <w:basedOn w:val="DefaultParagraphFont"/>
    <w:link w:val="EndnoteText"/>
    <w:uiPriority w:val="99"/>
    <w:rsid w:val="00A41DE7"/>
    <w:rPr>
      <w:color w:val="0D282D" w:themeColor="text1"/>
      <w:sz w:val="20"/>
      <w:szCs w:val="20"/>
    </w:rPr>
  </w:style>
  <w:style w:type="character" w:styleId="EndnoteReference">
    <w:name w:val="endnote reference"/>
    <w:basedOn w:val="DefaultParagraphFont"/>
    <w:uiPriority w:val="99"/>
    <w:semiHidden/>
    <w:unhideWhenUsed/>
    <w:rsid w:val="00A41DE7"/>
    <w:rPr>
      <w:vertAlign w:val="superscript"/>
    </w:rPr>
  </w:style>
  <w:style w:type="paragraph" w:styleId="FootnoteText">
    <w:name w:val="footnote text"/>
    <w:basedOn w:val="Normal"/>
    <w:link w:val="FootnoteTextChar"/>
    <w:uiPriority w:val="99"/>
    <w:semiHidden/>
    <w:unhideWhenUsed/>
    <w:rsid w:val="00A41DE7"/>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A41DE7"/>
    <w:rPr>
      <w:color w:val="0D282D" w:themeColor="text1"/>
      <w:sz w:val="20"/>
      <w:szCs w:val="20"/>
    </w:rPr>
  </w:style>
  <w:style w:type="character" w:styleId="FootnoteReference">
    <w:name w:val="footnote reference"/>
    <w:basedOn w:val="DefaultParagraphFont"/>
    <w:uiPriority w:val="99"/>
    <w:semiHidden/>
    <w:unhideWhenUsed/>
    <w:rsid w:val="00A41DE7"/>
    <w:rPr>
      <w:vertAlign w:val="superscript"/>
    </w:rPr>
  </w:style>
  <w:style w:type="paragraph" w:customStyle="1" w:styleId="NormalTabbed">
    <w:name w:val="Normal Tabbed"/>
    <w:basedOn w:val="Normal"/>
    <w:link w:val="NormalTabbedChar"/>
    <w:qFormat/>
    <w:rsid w:val="00A41DE7"/>
    <w:pPr>
      <w:suppressAutoHyphens/>
      <w:autoSpaceDE w:val="0"/>
      <w:autoSpaceDN w:val="0"/>
      <w:adjustRightInd w:val="0"/>
      <w:spacing w:before="20" w:after="120" w:line="276" w:lineRule="auto"/>
      <w:ind w:left="624"/>
      <w:textAlignment w:val="center"/>
    </w:pPr>
    <w:rPr>
      <w:rFonts w:ascii="Open Sans" w:hAnsi="Open Sans" w:cs="Open Sans"/>
      <w:szCs w:val="18"/>
      <w:lang w:val="en-GB"/>
    </w:rPr>
  </w:style>
  <w:style w:type="character" w:customStyle="1" w:styleId="NormalTabbedChar">
    <w:name w:val="Normal Tabbed Char"/>
    <w:basedOn w:val="DefaultParagraphFont"/>
    <w:link w:val="NormalTabbed"/>
    <w:rsid w:val="00A41DE7"/>
    <w:rPr>
      <w:rFonts w:ascii="Open Sans" w:hAnsi="Open Sans" w:cs="Open Sans"/>
      <w:color w:val="0D282D" w:themeColor="text1"/>
      <w:sz w:val="20"/>
      <w:szCs w:val="18"/>
      <w:lang w:val="en-GB"/>
    </w:rPr>
  </w:style>
  <w:style w:type="paragraph" w:styleId="NormalWeb">
    <w:name w:val="Normal (Web)"/>
    <w:basedOn w:val="Normal"/>
    <w:uiPriority w:val="99"/>
    <w:semiHidden/>
    <w:unhideWhenUsed/>
    <w:rsid w:val="007B3550"/>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Heading3Char">
    <w:name w:val="Heading 3 Char"/>
    <w:basedOn w:val="DefaultParagraphFont"/>
    <w:link w:val="Heading3"/>
    <w:uiPriority w:val="9"/>
    <w:rsid w:val="001C5FAA"/>
    <w:rPr>
      <w:rFonts w:asciiTheme="majorHAnsi" w:eastAsiaTheme="majorEastAsia" w:hAnsiTheme="majorHAnsi" w:cstheme="majorBidi"/>
      <w:color w:val="48701E" w:themeColor="accent1" w:themeShade="7F"/>
      <w:sz w:val="24"/>
      <w:szCs w:val="24"/>
    </w:rPr>
  </w:style>
  <w:style w:type="character" w:customStyle="1" w:styleId="Heading4Char">
    <w:name w:val="Heading 4 Char"/>
    <w:basedOn w:val="DefaultParagraphFont"/>
    <w:link w:val="Heading4"/>
    <w:uiPriority w:val="9"/>
    <w:rsid w:val="001C5FAA"/>
    <w:rPr>
      <w:rFonts w:asciiTheme="majorHAnsi" w:eastAsiaTheme="majorEastAsia" w:hAnsiTheme="majorHAnsi" w:cstheme="majorBidi"/>
      <w:i/>
      <w:iCs/>
      <w:color w:val="6DA92D" w:themeColor="accent1" w:themeShade="BF"/>
      <w:sz w:val="20"/>
    </w:rPr>
  </w:style>
  <w:style w:type="character" w:customStyle="1" w:styleId="Heading5Char">
    <w:name w:val="Heading 5 Char"/>
    <w:basedOn w:val="DefaultParagraphFont"/>
    <w:link w:val="Heading5"/>
    <w:uiPriority w:val="9"/>
    <w:rsid w:val="001C5FAA"/>
    <w:rPr>
      <w:rFonts w:asciiTheme="majorHAnsi" w:eastAsiaTheme="majorEastAsia" w:hAnsiTheme="majorHAnsi" w:cstheme="majorBidi"/>
      <w:color w:val="6DA92D" w:themeColor="accent1" w:themeShade="BF"/>
      <w:sz w:val="20"/>
    </w:rPr>
  </w:style>
  <w:style w:type="character" w:styleId="FollowedHyperlink">
    <w:name w:val="FollowedHyperlink"/>
    <w:basedOn w:val="DefaultParagraphFont"/>
    <w:uiPriority w:val="99"/>
    <w:semiHidden/>
    <w:unhideWhenUsed/>
    <w:rsid w:val="00507FAA"/>
    <w:rPr>
      <w:color w:val="92D050" w:themeColor="followedHyperlink"/>
      <w:u w:val="single"/>
    </w:rPr>
  </w:style>
  <w:style w:type="paragraph" w:customStyle="1" w:styleId="Default">
    <w:name w:val="Default"/>
    <w:rsid w:val="00522585"/>
    <w:pPr>
      <w:autoSpaceDE w:val="0"/>
      <w:autoSpaceDN w:val="0"/>
      <w:adjustRightInd w:val="0"/>
      <w:spacing w:before="0"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C54F6D"/>
    <w:pPr>
      <w:spacing w:before="0" w:after="0" w:line="240" w:lineRule="auto"/>
      <w:ind w:left="720"/>
    </w:pPr>
    <w:rPr>
      <w:rFonts w:ascii="Calibri" w:hAnsi="Calibri" w:cs="Times New Roman"/>
      <w:color w:val="auto"/>
      <w:sz w:val="22"/>
      <w:lang w:eastAsia="en-AU"/>
    </w:rPr>
  </w:style>
  <w:style w:type="character" w:styleId="CommentReference">
    <w:name w:val="annotation reference"/>
    <w:basedOn w:val="DefaultParagraphFont"/>
    <w:uiPriority w:val="99"/>
    <w:semiHidden/>
    <w:unhideWhenUsed/>
    <w:rsid w:val="008E2666"/>
    <w:rPr>
      <w:sz w:val="16"/>
      <w:szCs w:val="16"/>
    </w:rPr>
  </w:style>
  <w:style w:type="paragraph" w:styleId="CommentText">
    <w:name w:val="annotation text"/>
    <w:basedOn w:val="Normal"/>
    <w:link w:val="CommentTextChar"/>
    <w:uiPriority w:val="99"/>
    <w:semiHidden/>
    <w:unhideWhenUsed/>
    <w:rsid w:val="008E2666"/>
    <w:pPr>
      <w:spacing w:line="240" w:lineRule="auto"/>
    </w:pPr>
    <w:rPr>
      <w:szCs w:val="20"/>
    </w:rPr>
  </w:style>
  <w:style w:type="character" w:customStyle="1" w:styleId="CommentTextChar">
    <w:name w:val="Comment Text Char"/>
    <w:basedOn w:val="DefaultParagraphFont"/>
    <w:link w:val="CommentText"/>
    <w:uiPriority w:val="99"/>
    <w:semiHidden/>
    <w:rsid w:val="008E2666"/>
    <w:rPr>
      <w:color w:val="0D282D" w:themeColor="text1"/>
      <w:sz w:val="20"/>
      <w:szCs w:val="20"/>
    </w:rPr>
  </w:style>
  <w:style w:type="paragraph" w:styleId="CommentSubject">
    <w:name w:val="annotation subject"/>
    <w:basedOn w:val="CommentText"/>
    <w:next w:val="CommentText"/>
    <w:link w:val="CommentSubjectChar"/>
    <w:uiPriority w:val="99"/>
    <w:semiHidden/>
    <w:unhideWhenUsed/>
    <w:rsid w:val="008E2666"/>
    <w:rPr>
      <w:b/>
      <w:bCs/>
    </w:rPr>
  </w:style>
  <w:style w:type="character" w:customStyle="1" w:styleId="CommentSubjectChar">
    <w:name w:val="Comment Subject Char"/>
    <w:basedOn w:val="CommentTextChar"/>
    <w:link w:val="CommentSubject"/>
    <w:uiPriority w:val="99"/>
    <w:semiHidden/>
    <w:rsid w:val="008E2666"/>
    <w:rPr>
      <w:b/>
      <w:bCs/>
      <w:color w:val="0D282D" w:themeColor="text1"/>
      <w:sz w:val="20"/>
      <w:szCs w:val="20"/>
    </w:rPr>
  </w:style>
  <w:style w:type="paragraph" w:styleId="Revision">
    <w:name w:val="Revision"/>
    <w:hidden/>
    <w:uiPriority w:val="99"/>
    <w:semiHidden/>
    <w:rsid w:val="008E2666"/>
    <w:pPr>
      <w:spacing w:before="0" w:after="0" w:line="240" w:lineRule="auto"/>
    </w:pPr>
    <w:rPr>
      <w:color w:val="0D282D" w:themeColor="text1"/>
      <w:sz w:val="20"/>
    </w:rPr>
  </w:style>
  <w:style w:type="character" w:styleId="SubtleReference">
    <w:name w:val="Subtle Reference"/>
    <w:basedOn w:val="DefaultParagraphFont"/>
    <w:uiPriority w:val="31"/>
    <w:qFormat/>
    <w:rsid w:val="000127CA"/>
    <w:rPr>
      <w:smallCaps/>
      <w:color w:val="00CC99" w:themeColor="accen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1051">
      <w:bodyDiv w:val="1"/>
      <w:marLeft w:val="0"/>
      <w:marRight w:val="0"/>
      <w:marTop w:val="0"/>
      <w:marBottom w:val="0"/>
      <w:divBdr>
        <w:top w:val="none" w:sz="0" w:space="0" w:color="auto"/>
        <w:left w:val="none" w:sz="0" w:space="0" w:color="auto"/>
        <w:bottom w:val="none" w:sz="0" w:space="0" w:color="auto"/>
        <w:right w:val="none" w:sz="0" w:space="0" w:color="auto"/>
      </w:divBdr>
    </w:div>
    <w:div w:id="375591225">
      <w:bodyDiv w:val="1"/>
      <w:marLeft w:val="0"/>
      <w:marRight w:val="0"/>
      <w:marTop w:val="0"/>
      <w:marBottom w:val="0"/>
      <w:divBdr>
        <w:top w:val="none" w:sz="0" w:space="0" w:color="auto"/>
        <w:left w:val="none" w:sz="0" w:space="0" w:color="auto"/>
        <w:bottom w:val="none" w:sz="0" w:space="0" w:color="auto"/>
        <w:right w:val="none" w:sz="0" w:space="0" w:color="auto"/>
      </w:divBdr>
      <w:divsChild>
        <w:div w:id="652149031">
          <w:marLeft w:val="0"/>
          <w:marRight w:val="0"/>
          <w:marTop w:val="0"/>
          <w:marBottom w:val="0"/>
          <w:divBdr>
            <w:top w:val="none" w:sz="0" w:space="0" w:color="auto"/>
            <w:left w:val="none" w:sz="0" w:space="0" w:color="auto"/>
            <w:bottom w:val="none" w:sz="0" w:space="0" w:color="auto"/>
            <w:right w:val="none" w:sz="0" w:space="0" w:color="auto"/>
          </w:divBdr>
        </w:div>
        <w:div w:id="1228766782">
          <w:marLeft w:val="0"/>
          <w:marRight w:val="0"/>
          <w:marTop w:val="0"/>
          <w:marBottom w:val="0"/>
          <w:divBdr>
            <w:top w:val="none" w:sz="0" w:space="0" w:color="auto"/>
            <w:left w:val="none" w:sz="0" w:space="0" w:color="auto"/>
            <w:bottom w:val="none" w:sz="0" w:space="0" w:color="auto"/>
            <w:right w:val="none" w:sz="0" w:space="0" w:color="auto"/>
          </w:divBdr>
        </w:div>
        <w:div w:id="1201170230">
          <w:marLeft w:val="0"/>
          <w:marRight w:val="0"/>
          <w:marTop w:val="0"/>
          <w:marBottom w:val="0"/>
          <w:divBdr>
            <w:top w:val="none" w:sz="0" w:space="0" w:color="auto"/>
            <w:left w:val="none" w:sz="0" w:space="0" w:color="auto"/>
            <w:bottom w:val="none" w:sz="0" w:space="0" w:color="auto"/>
            <w:right w:val="none" w:sz="0" w:space="0" w:color="auto"/>
          </w:divBdr>
        </w:div>
        <w:div w:id="782112726">
          <w:marLeft w:val="0"/>
          <w:marRight w:val="0"/>
          <w:marTop w:val="0"/>
          <w:marBottom w:val="0"/>
          <w:divBdr>
            <w:top w:val="none" w:sz="0" w:space="0" w:color="auto"/>
            <w:left w:val="none" w:sz="0" w:space="0" w:color="auto"/>
            <w:bottom w:val="none" w:sz="0" w:space="0" w:color="auto"/>
            <w:right w:val="none" w:sz="0" w:space="0" w:color="auto"/>
          </w:divBdr>
        </w:div>
        <w:div w:id="1957713847">
          <w:marLeft w:val="0"/>
          <w:marRight w:val="0"/>
          <w:marTop w:val="0"/>
          <w:marBottom w:val="0"/>
          <w:divBdr>
            <w:top w:val="none" w:sz="0" w:space="0" w:color="auto"/>
            <w:left w:val="none" w:sz="0" w:space="0" w:color="auto"/>
            <w:bottom w:val="none" w:sz="0" w:space="0" w:color="auto"/>
            <w:right w:val="none" w:sz="0" w:space="0" w:color="auto"/>
          </w:divBdr>
        </w:div>
        <w:div w:id="436952294">
          <w:marLeft w:val="0"/>
          <w:marRight w:val="0"/>
          <w:marTop w:val="0"/>
          <w:marBottom w:val="0"/>
          <w:divBdr>
            <w:top w:val="none" w:sz="0" w:space="0" w:color="auto"/>
            <w:left w:val="none" w:sz="0" w:space="0" w:color="auto"/>
            <w:bottom w:val="none" w:sz="0" w:space="0" w:color="auto"/>
            <w:right w:val="none" w:sz="0" w:space="0" w:color="auto"/>
          </w:divBdr>
        </w:div>
        <w:div w:id="2006743403">
          <w:marLeft w:val="0"/>
          <w:marRight w:val="0"/>
          <w:marTop w:val="0"/>
          <w:marBottom w:val="0"/>
          <w:divBdr>
            <w:top w:val="none" w:sz="0" w:space="0" w:color="auto"/>
            <w:left w:val="none" w:sz="0" w:space="0" w:color="auto"/>
            <w:bottom w:val="none" w:sz="0" w:space="0" w:color="auto"/>
            <w:right w:val="none" w:sz="0" w:space="0" w:color="auto"/>
          </w:divBdr>
        </w:div>
        <w:div w:id="495191154">
          <w:marLeft w:val="0"/>
          <w:marRight w:val="0"/>
          <w:marTop w:val="0"/>
          <w:marBottom w:val="0"/>
          <w:divBdr>
            <w:top w:val="none" w:sz="0" w:space="0" w:color="auto"/>
            <w:left w:val="none" w:sz="0" w:space="0" w:color="auto"/>
            <w:bottom w:val="none" w:sz="0" w:space="0" w:color="auto"/>
            <w:right w:val="none" w:sz="0" w:space="0" w:color="auto"/>
          </w:divBdr>
        </w:div>
        <w:div w:id="446393820">
          <w:marLeft w:val="0"/>
          <w:marRight w:val="0"/>
          <w:marTop w:val="0"/>
          <w:marBottom w:val="0"/>
          <w:divBdr>
            <w:top w:val="none" w:sz="0" w:space="0" w:color="auto"/>
            <w:left w:val="none" w:sz="0" w:space="0" w:color="auto"/>
            <w:bottom w:val="none" w:sz="0" w:space="0" w:color="auto"/>
            <w:right w:val="none" w:sz="0" w:space="0" w:color="auto"/>
          </w:divBdr>
        </w:div>
        <w:div w:id="1006633761">
          <w:marLeft w:val="0"/>
          <w:marRight w:val="0"/>
          <w:marTop w:val="0"/>
          <w:marBottom w:val="0"/>
          <w:divBdr>
            <w:top w:val="none" w:sz="0" w:space="0" w:color="auto"/>
            <w:left w:val="none" w:sz="0" w:space="0" w:color="auto"/>
            <w:bottom w:val="none" w:sz="0" w:space="0" w:color="auto"/>
            <w:right w:val="none" w:sz="0" w:space="0" w:color="auto"/>
          </w:divBdr>
        </w:div>
        <w:div w:id="260846171">
          <w:marLeft w:val="0"/>
          <w:marRight w:val="0"/>
          <w:marTop w:val="0"/>
          <w:marBottom w:val="0"/>
          <w:divBdr>
            <w:top w:val="none" w:sz="0" w:space="0" w:color="auto"/>
            <w:left w:val="none" w:sz="0" w:space="0" w:color="auto"/>
            <w:bottom w:val="none" w:sz="0" w:space="0" w:color="auto"/>
            <w:right w:val="none" w:sz="0" w:space="0" w:color="auto"/>
          </w:divBdr>
        </w:div>
        <w:div w:id="1710959592">
          <w:marLeft w:val="0"/>
          <w:marRight w:val="0"/>
          <w:marTop w:val="0"/>
          <w:marBottom w:val="0"/>
          <w:divBdr>
            <w:top w:val="none" w:sz="0" w:space="0" w:color="auto"/>
            <w:left w:val="none" w:sz="0" w:space="0" w:color="auto"/>
            <w:bottom w:val="none" w:sz="0" w:space="0" w:color="auto"/>
            <w:right w:val="none" w:sz="0" w:space="0" w:color="auto"/>
          </w:divBdr>
        </w:div>
        <w:div w:id="152645885">
          <w:marLeft w:val="0"/>
          <w:marRight w:val="0"/>
          <w:marTop w:val="0"/>
          <w:marBottom w:val="0"/>
          <w:divBdr>
            <w:top w:val="none" w:sz="0" w:space="0" w:color="auto"/>
            <w:left w:val="none" w:sz="0" w:space="0" w:color="auto"/>
            <w:bottom w:val="none" w:sz="0" w:space="0" w:color="auto"/>
            <w:right w:val="none" w:sz="0" w:space="0" w:color="auto"/>
          </w:divBdr>
        </w:div>
        <w:div w:id="1779787577">
          <w:marLeft w:val="0"/>
          <w:marRight w:val="0"/>
          <w:marTop w:val="0"/>
          <w:marBottom w:val="0"/>
          <w:divBdr>
            <w:top w:val="none" w:sz="0" w:space="0" w:color="auto"/>
            <w:left w:val="none" w:sz="0" w:space="0" w:color="auto"/>
            <w:bottom w:val="none" w:sz="0" w:space="0" w:color="auto"/>
            <w:right w:val="none" w:sz="0" w:space="0" w:color="auto"/>
          </w:divBdr>
        </w:div>
        <w:div w:id="516501556">
          <w:marLeft w:val="0"/>
          <w:marRight w:val="0"/>
          <w:marTop w:val="0"/>
          <w:marBottom w:val="0"/>
          <w:divBdr>
            <w:top w:val="none" w:sz="0" w:space="0" w:color="auto"/>
            <w:left w:val="none" w:sz="0" w:space="0" w:color="auto"/>
            <w:bottom w:val="none" w:sz="0" w:space="0" w:color="auto"/>
            <w:right w:val="none" w:sz="0" w:space="0" w:color="auto"/>
          </w:divBdr>
        </w:div>
        <w:div w:id="1498377261">
          <w:marLeft w:val="0"/>
          <w:marRight w:val="0"/>
          <w:marTop w:val="0"/>
          <w:marBottom w:val="0"/>
          <w:divBdr>
            <w:top w:val="none" w:sz="0" w:space="0" w:color="auto"/>
            <w:left w:val="none" w:sz="0" w:space="0" w:color="auto"/>
            <w:bottom w:val="none" w:sz="0" w:space="0" w:color="auto"/>
            <w:right w:val="none" w:sz="0" w:space="0" w:color="auto"/>
          </w:divBdr>
        </w:div>
        <w:div w:id="436944210">
          <w:marLeft w:val="0"/>
          <w:marRight w:val="0"/>
          <w:marTop w:val="0"/>
          <w:marBottom w:val="0"/>
          <w:divBdr>
            <w:top w:val="none" w:sz="0" w:space="0" w:color="auto"/>
            <w:left w:val="none" w:sz="0" w:space="0" w:color="auto"/>
            <w:bottom w:val="none" w:sz="0" w:space="0" w:color="auto"/>
            <w:right w:val="none" w:sz="0" w:space="0" w:color="auto"/>
          </w:divBdr>
        </w:div>
        <w:div w:id="34349670">
          <w:marLeft w:val="0"/>
          <w:marRight w:val="0"/>
          <w:marTop w:val="0"/>
          <w:marBottom w:val="0"/>
          <w:divBdr>
            <w:top w:val="none" w:sz="0" w:space="0" w:color="auto"/>
            <w:left w:val="none" w:sz="0" w:space="0" w:color="auto"/>
            <w:bottom w:val="none" w:sz="0" w:space="0" w:color="auto"/>
            <w:right w:val="none" w:sz="0" w:space="0" w:color="auto"/>
          </w:divBdr>
        </w:div>
        <w:div w:id="1185562189">
          <w:marLeft w:val="0"/>
          <w:marRight w:val="0"/>
          <w:marTop w:val="0"/>
          <w:marBottom w:val="0"/>
          <w:divBdr>
            <w:top w:val="none" w:sz="0" w:space="0" w:color="auto"/>
            <w:left w:val="none" w:sz="0" w:space="0" w:color="auto"/>
            <w:bottom w:val="none" w:sz="0" w:space="0" w:color="auto"/>
            <w:right w:val="none" w:sz="0" w:space="0" w:color="auto"/>
          </w:divBdr>
        </w:div>
        <w:div w:id="718824761">
          <w:marLeft w:val="0"/>
          <w:marRight w:val="0"/>
          <w:marTop w:val="0"/>
          <w:marBottom w:val="0"/>
          <w:divBdr>
            <w:top w:val="none" w:sz="0" w:space="0" w:color="auto"/>
            <w:left w:val="none" w:sz="0" w:space="0" w:color="auto"/>
            <w:bottom w:val="none" w:sz="0" w:space="0" w:color="auto"/>
            <w:right w:val="none" w:sz="0" w:space="0" w:color="auto"/>
          </w:divBdr>
        </w:div>
        <w:div w:id="1862468725">
          <w:marLeft w:val="0"/>
          <w:marRight w:val="0"/>
          <w:marTop w:val="0"/>
          <w:marBottom w:val="0"/>
          <w:divBdr>
            <w:top w:val="none" w:sz="0" w:space="0" w:color="auto"/>
            <w:left w:val="none" w:sz="0" w:space="0" w:color="auto"/>
            <w:bottom w:val="none" w:sz="0" w:space="0" w:color="auto"/>
            <w:right w:val="none" w:sz="0" w:space="0" w:color="auto"/>
          </w:divBdr>
        </w:div>
        <w:div w:id="117841847">
          <w:marLeft w:val="0"/>
          <w:marRight w:val="0"/>
          <w:marTop w:val="0"/>
          <w:marBottom w:val="0"/>
          <w:divBdr>
            <w:top w:val="none" w:sz="0" w:space="0" w:color="auto"/>
            <w:left w:val="none" w:sz="0" w:space="0" w:color="auto"/>
            <w:bottom w:val="none" w:sz="0" w:space="0" w:color="auto"/>
            <w:right w:val="none" w:sz="0" w:space="0" w:color="auto"/>
          </w:divBdr>
        </w:div>
        <w:div w:id="1345933636">
          <w:marLeft w:val="0"/>
          <w:marRight w:val="0"/>
          <w:marTop w:val="0"/>
          <w:marBottom w:val="0"/>
          <w:divBdr>
            <w:top w:val="none" w:sz="0" w:space="0" w:color="auto"/>
            <w:left w:val="none" w:sz="0" w:space="0" w:color="auto"/>
            <w:bottom w:val="none" w:sz="0" w:space="0" w:color="auto"/>
            <w:right w:val="none" w:sz="0" w:space="0" w:color="auto"/>
          </w:divBdr>
        </w:div>
        <w:div w:id="1177424189">
          <w:marLeft w:val="0"/>
          <w:marRight w:val="0"/>
          <w:marTop w:val="0"/>
          <w:marBottom w:val="0"/>
          <w:divBdr>
            <w:top w:val="none" w:sz="0" w:space="0" w:color="auto"/>
            <w:left w:val="none" w:sz="0" w:space="0" w:color="auto"/>
            <w:bottom w:val="none" w:sz="0" w:space="0" w:color="auto"/>
            <w:right w:val="none" w:sz="0" w:space="0" w:color="auto"/>
          </w:divBdr>
        </w:div>
        <w:div w:id="1346177284">
          <w:marLeft w:val="0"/>
          <w:marRight w:val="0"/>
          <w:marTop w:val="0"/>
          <w:marBottom w:val="0"/>
          <w:divBdr>
            <w:top w:val="none" w:sz="0" w:space="0" w:color="auto"/>
            <w:left w:val="none" w:sz="0" w:space="0" w:color="auto"/>
            <w:bottom w:val="none" w:sz="0" w:space="0" w:color="auto"/>
            <w:right w:val="none" w:sz="0" w:space="0" w:color="auto"/>
          </w:divBdr>
        </w:div>
        <w:div w:id="1468737234">
          <w:marLeft w:val="0"/>
          <w:marRight w:val="0"/>
          <w:marTop w:val="0"/>
          <w:marBottom w:val="0"/>
          <w:divBdr>
            <w:top w:val="none" w:sz="0" w:space="0" w:color="auto"/>
            <w:left w:val="none" w:sz="0" w:space="0" w:color="auto"/>
            <w:bottom w:val="none" w:sz="0" w:space="0" w:color="auto"/>
            <w:right w:val="none" w:sz="0" w:space="0" w:color="auto"/>
          </w:divBdr>
        </w:div>
        <w:div w:id="1725789879">
          <w:marLeft w:val="0"/>
          <w:marRight w:val="0"/>
          <w:marTop w:val="0"/>
          <w:marBottom w:val="0"/>
          <w:divBdr>
            <w:top w:val="none" w:sz="0" w:space="0" w:color="auto"/>
            <w:left w:val="none" w:sz="0" w:space="0" w:color="auto"/>
            <w:bottom w:val="none" w:sz="0" w:space="0" w:color="auto"/>
            <w:right w:val="none" w:sz="0" w:space="0" w:color="auto"/>
          </w:divBdr>
        </w:div>
        <w:div w:id="2137018375">
          <w:marLeft w:val="0"/>
          <w:marRight w:val="0"/>
          <w:marTop w:val="0"/>
          <w:marBottom w:val="0"/>
          <w:divBdr>
            <w:top w:val="none" w:sz="0" w:space="0" w:color="auto"/>
            <w:left w:val="none" w:sz="0" w:space="0" w:color="auto"/>
            <w:bottom w:val="none" w:sz="0" w:space="0" w:color="auto"/>
            <w:right w:val="none" w:sz="0" w:space="0" w:color="auto"/>
          </w:divBdr>
        </w:div>
        <w:div w:id="809786865">
          <w:marLeft w:val="0"/>
          <w:marRight w:val="0"/>
          <w:marTop w:val="0"/>
          <w:marBottom w:val="0"/>
          <w:divBdr>
            <w:top w:val="none" w:sz="0" w:space="0" w:color="auto"/>
            <w:left w:val="none" w:sz="0" w:space="0" w:color="auto"/>
            <w:bottom w:val="none" w:sz="0" w:space="0" w:color="auto"/>
            <w:right w:val="none" w:sz="0" w:space="0" w:color="auto"/>
          </w:divBdr>
        </w:div>
      </w:divsChild>
    </w:div>
    <w:div w:id="754480278">
      <w:bodyDiv w:val="1"/>
      <w:marLeft w:val="0"/>
      <w:marRight w:val="0"/>
      <w:marTop w:val="0"/>
      <w:marBottom w:val="0"/>
      <w:divBdr>
        <w:top w:val="none" w:sz="0" w:space="0" w:color="auto"/>
        <w:left w:val="none" w:sz="0" w:space="0" w:color="auto"/>
        <w:bottom w:val="none" w:sz="0" w:space="0" w:color="auto"/>
        <w:right w:val="none" w:sz="0" w:space="0" w:color="auto"/>
      </w:divBdr>
      <w:divsChild>
        <w:div w:id="888498393">
          <w:marLeft w:val="0"/>
          <w:marRight w:val="0"/>
          <w:marTop w:val="0"/>
          <w:marBottom w:val="0"/>
          <w:divBdr>
            <w:top w:val="none" w:sz="0" w:space="0" w:color="auto"/>
            <w:left w:val="none" w:sz="0" w:space="0" w:color="auto"/>
            <w:bottom w:val="none" w:sz="0" w:space="0" w:color="auto"/>
            <w:right w:val="none" w:sz="0" w:space="0" w:color="auto"/>
          </w:divBdr>
        </w:div>
        <w:div w:id="1649243045">
          <w:marLeft w:val="0"/>
          <w:marRight w:val="0"/>
          <w:marTop w:val="0"/>
          <w:marBottom w:val="0"/>
          <w:divBdr>
            <w:top w:val="none" w:sz="0" w:space="0" w:color="auto"/>
            <w:left w:val="none" w:sz="0" w:space="0" w:color="auto"/>
            <w:bottom w:val="none" w:sz="0" w:space="0" w:color="auto"/>
            <w:right w:val="none" w:sz="0" w:space="0" w:color="auto"/>
          </w:divBdr>
        </w:div>
      </w:divsChild>
    </w:div>
    <w:div w:id="1031305058">
      <w:bodyDiv w:val="1"/>
      <w:marLeft w:val="0"/>
      <w:marRight w:val="0"/>
      <w:marTop w:val="0"/>
      <w:marBottom w:val="0"/>
      <w:divBdr>
        <w:top w:val="none" w:sz="0" w:space="0" w:color="auto"/>
        <w:left w:val="none" w:sz="0" w:space="0" w:color="auto"/>
        <w:bottom w:val="none" w:sz="0" w:space="0" w:color="auto"/>
        <w:right w:val="none" w:sz="0" w:space="0" w:color="auto"/>
      </w:divBdr>
    </w:div>
    <w:div w:id="1123496183">
      <w:bodyDiv w:val="1"/>
      <w:marLeft w:val="0"/>
      <w:marRight w:val="0"/>
      <w:marTop w:val="0"/>
      <w:marBottom w:val="0"/>
      <w:divBdr>
        <w:top w:val="none" w:sz="0" w:space="0" w:color="auto"/>
        <w:left w:val="none" w:sz="0" w:space="0" w:color="auto"/>
        <w:bottom w:val="none" w:sz="0" w:space="0" w:color="auto"/>
        <w:right w:val="none" w:sz="0" w:space="0" w:color="auto"/>
      </w:divBdr>
      <w:divsChild>
        <w:div w:id="1614940873">
          <w:marLeft w:val="0"/>
          <w:marRight w:val="0"/>
          <w:marTop w:val="0"/>
          <w:marBottom w:val="0"/>
          <w:divBdr>
            <w:top w:val="none" w:sz="0" w:space="0" w:color="auto"/>
            <w:left w:val="none" w:sz="0" w:space="0" w:color="auto"/>
            <w:bottom w:val="none" w:sz="0" w:space="0" w:color="auto"/>
            <w:right w:val="none" w:sz="0" w:space="0" w:color="auto"/>
          </w:divBdr>
        </w:div>
        <w:div w:id="1524588800">
          <w:marLeft w:val="0"/>
          <w:marRight w:val="0"/>
          <w:marTop w:val="0"/>
          <w:marBottom w:val="0"/>
          <w:divBdr>
            <w:top w:val="none" w:sz="0" w:space="0" w:color="auto"/>
            <w:left w:val="none" w:sz="0" w:space="0" w:color="auto"/>
            <w:bottom w:val="none" w:sz="0" w:space="0" w:color="auto"/>
            <w:right w:val="none" w:sz="0" w:space="0" w:color="auto"/>
          </w:divBdr>
        </w:div>
        <w:div w:id="1655183843">
          <w:marLeft w:val="0"/>
          <w:marRight w:val="0"/>
          <w:marTop w:val="0"/>
          <w:marBottom w:val="0"/>
          <w:divBdr>
            <w:top w:val="none" w:sz="0" w:space="0" w:color="auto"/>
            <w:left w:val="none" w:sz="0" w:space="0" w:color="auto"/>
            <w:bottom w:val="none" w:sz="0" w:space="0" w:color="auto"/>
            <w:right w:val="none" w:sz="0" w:space="0" w:color="auto"/>
          </w:divBdr>
        </w:div>
        <w:div w:id="494879338">
          <w:marLeft w:val="0"/>
          <w:marRight w:val="0"/>
          <w:marTop w:val="0"/>
          <w:marBottom w:val="0"/>
          <w:divBdr>
            <w:top w:val="none" w:sz="0" w:space="0" w:color="auto"/>
            <w:left w:val="none" w:sz="0" w:space="0" w:color="auto"/>
            <w:bottom w:val="none" w:sz="0" w:space="0" w:color="auto"/>
            <w:right w:val="none" w:sz="0" w:space="0" w:color="auto"/>
          </w:divBdr>
        </w:div>
        <w:div w:id="2023975215">
          <w:marLeft w:val="0"/>
          <w:marRight w:val="0"/>
          <w:marTop w:val="0"/>
          <w:marBottom w:val="0"/>
          <w:divBdr>
            <w:top w:val="none" w:sz="0" w:space="0" w:color="auto"/>
            <w:left w:val="none" w:sz="0" w:space="0" w:color="auto"/>
            <w:bottom w:val="none" w:sz="0" w:space="0" w:color="auto"/>
            <w:right w:val="none" w:sz="0" w:space="0" w:color="auto"/>
          </w:divBdr>
        </w:div>
        <w:div w:id="1152597698">
          <w:marLeft w:val="0"/>
          <w:marRight w:val="0"/>
          <w:marTop w:val="0"/>
          <w:marBottom w:val="0"/>
          <w:divBdr>
            <w:top w:val="none" w:sz="0" w:space="0" w:color="auto"/>
            <w:left w:val="none" w:sz="0" w:space="0" w:color="auto"/>
            <w:bottom w:val="none" w:sz="0" w:space="0" w:color="auto"/>
            <w:right w:val="none" w:sz="0" w:space="0" w:color="auto"/>
          </w:divBdr>
        </w:div>
        <w:div w:id="919027332">
          <w:marLeft w:val="0"/>
          <w:marRight w:val="0"/>
          <w:marTop w:val="0"/>
          <w:marBottom w:val="0"/>
          <w:divBdr>
            <w:top w:val="none" w:sz="0" w:space="0" w:color="auto"/>
            <w:left w:val="none" w:sz="0" w:space="0" w:color="auto"/>
            <w:bottom w:val="none" w:sz="0" w:space="0" w:color="auto"/>
            <w:right w:val="none" w:sz="0" w:space="0" w:color="auto"/>
          </w:divBdr>
        </w:div>
        <w:div w:id="1460798872">
          <w:marLeft w:val="0"/>
          <w:marRight w:val="0"/>
          <w:marTop w:val="0"/>
          <w:marBottom w:val="0"/>
          <w:divBdr>
            <w:top w:val="none" w:sz="0" w:space="0" w:color="auto"/>
            <w:left w:val="none" w:sz="0" w:space="0" w:color="auto"/>
            <w:bottom w:val="none" w:sz="0" w:space="0" w:color="auto"/>
            <w:right w:val="none" w:sz="0" w:space="0" w:color="auto"/>
          </w:divBdr>
        </w:div>
        <w:div w:id="443427134">
          <w:marLeft w:val="0"/>
          <w:marRight w:val="0"/>
          <w:marTop w:val="0"/>
          <w:marBottom w:val="0"/>
          <w:divBdr>
            <w:top w:val="none" w:sz="0" w:space="0" w:color="auto"/>
            <w:left w:val="none" w:sz="0" w:space="0" w:color="auto"/>
            <w:bottom w:val="none" w:sz="0" w:space="0" w:color="auto"/>
            <w:right w:val="none" w:sz="0" w:space="0" w:color="auto"/>
          </w:divBdr>
        </w:div>
        <w:div w:id="940332987">
          <w:marLeft w:val="0"/>
          <w:marRight w:val="0"/>
          <w:marTop w:val="0"/>
          <w:marBottom w:val="0"/>
          <w:divBdr>
            <w:top w:val="none" w:sz="0" w:space="0" w:color="auto"/>
            <w:left w:val="none" w:sz="0" w:space="0" w:color="auto"/>
            <w:bottom w:val="none" w:sz="0" w:space="0" w:color="auto"/>
            <w:right w:val="none" w:sz="0" w:space="0" w:color="auto"/>
          </w:divBdr>
        </w:div>
        <w:div w:id="1273050937">
          <w:marLeft w:val="0"/>
          <w:marRight w:val="0"/>
          <w:marTop w:val="0"/>
          <w:marBottom w:val="0"/>
          <w:divBdr>
            <w:top w:val="none" w:sz="0" w:space="0" w:color="auto"/>
            <w:left w:val="none" w:sz="0" w:space="0" w:color="auto"/>
            <w:bottom w:val="none" w:sz="0" w:space="0" w:color="auto"/>
            <w:right w:val="none" w:sz="0" w:space="0" w:color="auto"/>
          </w:divBdr>
        </w:div>
        <w:div w:id="616301922">
          <w:marLeft w:val="0"/>
          <w:marRight w:val="0"/>
          <w:marTop w:val="0"/>
          <w:marBottom w:val="0"/>
          <w:divBdr>
            <w:top w:val="none" w:sz="0" w:space="0" w:color="auto"/>
            <w:left w:val="none" w:sz="0" w:space="0" w:color="auto"/>
            <w:bottom w:val="none" w:sz="0" w:space="0" w:color="auto"/>
            <w:right w:val="none" w:sz="0" w:space="0" w:color="auto"/>
          </w:divBdr>
        </w:div>
        <w:div w:id="244146508">
          <w:marLeft w:val="0"/>
          <w:marRight w:val="0"/>
          <w:marTop w:val="0"/>
          <w:marBottom w:val="0"/>
          <w:divBdr>
            <w:top w:val="none" w:sz="0" w:space="0" w:color="auto"/>
            <w:left w:val="none" w:sz="0" w:space="0" w:color="auto"/>
            <w:bottom w:val="none" w:sz="0" w:space="0" w:color="auto"/>
            <w:right w:val="none" w:sz="0" w:space="0" w:color="auto"/>
          </w:divBdr>
        </w:div>
        <w:div w:id="1435370171">
          <w:marLeft w:val="0"/>
          <w:marRight w:val="0"/>
          <w:marTop w:val="0"/>
          <w:marBottom w:val="0"/>
          <w:divBdr>
            <w:top w:val="none" w:sz="0" w:space="0" w:color="auto"/>
            <w:left w:val="none" w:sz="0" w:space="0" w:color="auto"/>
            <w:bottom w:val="none" w:sz="0" w:space="0" w:color="auto"/>
            <w:right w:val="none" w:sz="0" w:space="0" w:color="auto"/>
          </w:divBdr>
        </w:div>
        <w:div w:id="1302034214">
          <w:marLeft w:val="0"/>
          <w:marRight w:val="0"/>
          <w:marTop w:val="0"/>
          <w:marBottom w:val="0"/>
          <w:divBdr>
            <w:top w:val="none" w:sz="0" w:space="0" w:color="auto"/>
            <w:left w:val="none" w:sz="0" w:space="0" w:color="auto"/>
            <w:bottom w:val="none" w:sz="0" w:space="0" w:color="auto"/>
            <w:right w:val="none" w:sz="0" w:space="0" w:color="auto"/>
          </w:divBdr>
        </w:div>
        <w:div w:id="493226615">
          <w:marLeft w:val="0"/>
          <w:marRight w:val="0"/>
          <w:marTop w:val="0"/>
          <w:marBottom w:val="0"/>
          <w:divBdr>
            <w:top w:val="none" w:sz="0" w:space="0" w:color="auto"/>
            <w:left w:val="none" w:sz="0" w:space="0" w:color="auto"/>
            <w:bottom w:val="none" w:sz="0" w:space="0" w:color="auto"/>
            <w:right w:val="none" w:sz="0" w:space="0" w:color="auto"/>
          </w:divBdr>
        </w:div>
        <w:div w:id="341050994">
          <w:marLeft w:val="0"/>
          <w:marRight w:val="0"/>
          <w:marTop w:val="0"/>
          <w:marBottom w:val="0"/>
          <w:divBdr>
            <w:top w:val="none" w:sz="0" w:space="0" w:color="auto"/>
            <w:left w:val="none" w:sz="0" w:space="0" w:color="auto"/>
            <w:bottom w:val="none" w:sz="0" w:space="0" w:color="auto"/>
            <w:right w:val="none" w:sz="0" w:space="0" w:color="auto"/>
          </w:divBdr>
        </w:div>
        <w:div w:id="1299654330">
          <w:marLeft w:val="0"/>
          <w:marRight w:val="0"/>
          <w:marTop w:val="0"/>
          <w:marBottom w:val="0"/>
          <w:divBdr>
            <w:top w:val="none" w:sz="0" w:space="0" w:color="auto"/>
            <w:left w:val="none" w:sz="0" w:space="0" w:color="auto"/>
            <w:bottom w:val="none" w:sz="0" w:space="0" w:color="auto"/>
            <w:right w:val="none" w:sz="0" w:space="0" w:color="auto"/>
          </w:divBdr>
        </w:div>
        <w:div w:id="1382440625">
          <w:marLeft w:val="0"/>
          <w:marRight w:val="0"/>
          <w:marTop w:val="0"/>
          <w:marBottom w:val="0"/>
          <w:divBdr>
            <w:top w:val="none" w:sz="0" w:space="0" w:color="auto"/>
            <w:left w:val="none" w:sz="0" w:space="0" w:color="auto"/>
            <w:bottom w:val="none" w:sz="0" w:space="0" w:color="auto"/>
            <w:right w:val="none" w:sz="0" w:space="0" w:color="auto"/>
          </w:divBdr>
        </w:div>
      </w:divsChild>
    </w:div>
    <w:div w:id="1565220668">
      <w:bodyDiv w:val="1"/>
      <w:marLeft w:val="0"/>
      <w:marRight w:val="0"/>
      <w:marTop w:val="0"/>
      <w:marBottom w:val="0"/>
      <w:divBdr>
        <w:top w:val="none" w:sz="0" w:space="0" w:color="auto"/>
        <w:left w:val="none" w:sz="0" w:space="0" w:color="auto"/>
        <w:bottom w:val="none" w:sz="0" w:space="0" w:color="auto"/>
        <w:right w:val="none" w:sz="0" w:space="0" w:color="auto"/>
      </w:divBdr>
      <w:divsChild>
        <w:div w:id="1374694391">
          <w:marLeft w:val="0"/>
          <w:marRight w:val="0"/>
          <w:marTop w:val="0"/>
          <w:marBottom w:val="0"/>
          <w:divBdr>
            <w:top w:val="none" w:sz="0" w:space="0" w:color="auto"/>
            <w:left w:val="none" w:sz="0" w:space="0" w:color="auto"/>
            <w:bottom w:val="none" w:sz="0" w:space="0" w:color="auto"/>
            <w:right w:val="none" w:sz="0" w:space="0" w:color="auto"/>
          </w:divBdr>
        </w:div>
        <w:div w:id="1082214067">
          <w:marLeft w:val="0"/>
          <w:marRight w:val="0"/>
          <w:marTop w:val="0"/>
          <w:marBottom w:val="0"/>
          <w:divBdr>
            <w:top w:val="none" w:sz="0" w:space="0" w:color="auto"/>
            <w:left w:val="none" w:sz="0" w:space="0" w:color="auto"/>
            <w:bottom w:val="none" w:sz="0" w:space="0" w:color="auto"/>
            <w:right w:val="none" w:sz="0" w:space="0" w:color="auto"/>
          </w:divBdr>
        </w:div>
        <w:div w:id="1508715745">
          <w:marLeft w:val="0"/>
          <w:marRight w:val="0"/>
          <w:marTop w:val="0"/>
          <w:marBottom w:val="0"/>
          <w:divBdr>
            <w:top w:val="none" w:sz="0" w:space="0" w:color="auto"/>
            <w:left w:val="none" w:sz="0" w:space="0" w:color="auto"/>
            <w:bottom w:val="none" w:sz="0" w:space="0" w:color="auto"/>
            <w:right w:val="none" w:sz="0" w:space="0" w:color="auto"/>
          </w:divBdr>
        </w:div>
        <w:div w:id="1456288509">
          <w:marLeft w:val="0"/>
          <w:marRight w:val="0"/>
          <w:marTop w:val="0"/>
          <w:marBottom w:val="0"/>
          <w:divBdr>
            <w:top w:val="none" w:sz="0" w:space="0" w:color="auto"/>
            <w:left w:val="none" w:sz="0" w:space="0" w:color="auto"/>
            <w:bottom w:val="none" w:sz="0" w:space="0" w:color="auto"/>
            <w:right w:val="none" w:sz="0" w:space="0" w:color="auto"/>
          </w:divBdr>
        </w:div>
        <w:div w:id="765885798">
          <w:marLeft w:val="0"/>
          <w:marRight w:val="0"/>
          <w:marTop w:val="0"/>
          <w:marBottom w:val="0"/>
          <w:divBdr>
            <w:top w:val="none" w:sz="0" w:space="0" w:color="auto"/>
            <w:left w:val="none" w:sz="0" w:space="0" w:color="auto"/>
            <w:bottom w:val="none" w:sz="0" w:space="0" w:color="auto"/>
            <w:right w:val="none" w:sz="0" w:space="0" w:color="auto"/>
          </w:divBdr>
        </w:div>
        <w:div w:id="1503230743">
          <w:marLeft w:val="0"/>
          <w:marRight w:val="0"/>
          <w:marTop w:val="0"/>
          <w:marBottom w:val="0"/>
          <w:divBdr>
            <w:top w:val="none" w:sz="0" w:space="0" w:color="auto"/>
            <w:left w:val="none" w:sz="0" w:space="0" w:color="auto"/>
            <w:bottom w:val="none" w:sz="0" w:space="0" w:color="auto"/>
            <w:right w:val="none" w:sz="0" w:space="0" w:color="auto"/>
          </w:divBdr>
        </w:div>
        <w:div w:id="1611618393">
          <w:marLeft w:val="0"/>
          <w:marRight w:val="0"/>
          <w:marTop w:val="0"/>
          <w:marBottom w:val="0"/>
          <w:divBdr>
            <w:top w:val="none" w:sz="0" w:space="0" w:color="auto"/>
            <w:left w:val="none" w:sz="0" w:space="0" w:color="auto"/>
            <w:bottom w:val="none" w:sz="0" w:space="0" w:color="auto"/>
            <w:right w:val="none" w:sz="0" w:space="0" w:color="auto"/>
          </w:divBdr>
        </w:div>
        <w:div w:id="1920023558">
          <w:marLeft w:val="0"/>
          <w:marRight w:val="0"/>
          <w:marTop w:val="0"/>
          <w:marBottom w:val="0"/>
          <w:divBdr>
            <w:top w:val="none" w:sz="0" w:space="0" w:color="auto"/>
            <w:left w:val="none" w:sz="0" w:space="0" w:color="auto"/>
            <w:bottom w:val="none" w:sz="0" w:space="0" w:color="auto"/>
            <w:right w:val="none" w:sz="0" w:space="0" w:color="auto"/>
          </w:divBdr>
        </w:div>
      </w:divsChild>
    </w:div>
    <w:div w:id="1605772393">
      <w:bodyDiv w:val="1"/>
      <w:marLeft w:val="0"/>
      <w:marRight w:val="0"/>
      <w:marTop w:val="0"/>
      <w:marBottom w:val="0"/>
      <w:divBdr>
        <w:top w:val="none" w:sz="0" w:space="0" w:color="auto"/>
        <w:left w:val="none" w:sz="0" w:space="0" w:color="auto"/>
        <w:bottom w:val="none" w:sz="0" w:space="0" w:color="auto"/>
        <w:right w:val="none" w:sz="0" w:space="0" w:color="auto"/>
      </w:divBdr>
      <w:divsChild>
        <w:div w:id="1023701515">
          <w:marLeft w:val="0"/>
          <w:marRight w:val="0"/>
          <w:marTop w:val="0"/>
          <w:marBottom w:val="0"/>
          <w:divBdr>
            <w:top w:val="none" w:sz="0" w:space="0" w:color="auto"/>
            <w:left w:val="none" w:sz="0" w:space="0" w:color="auto"/>
            <w:bottom w:val="none" w:sz="0" w:space="0" w:color="auto"/>
            <w:right w:val="none" w:sz="0" w:space="0" w:color="auto"/>
          </w:divBdr>
        </w:div>
        <w:div w:id="1166938333">
          <w:marLeft w:val="0"/>
          <w:marRight w:val="0"/>
          <w:marTop w:val="0"/>
          <w:marBottom w:val="0"/>
          <w:divBdr>
            <w:top w:val="none" w:sz="0" w:space="0" w:color="auto"/>
            <w:left w:val="none" w:sz="0" w:space="0" w:color="auto"/>
            <w:bottom w:val="none" w:sz="0" w:space="0" w:color="auto"/>
            <w:right w:val="none" w:sz="0" w:space="0" w:color="auto"/>
          </w:divBdr>
        </w:div>
        <w:div w:id="1946300231">
          <w:marLeft w:val="0"/>
          <w:marRight w:val="0"/>
          <w:marTop w:val="0"/>
          <w:marBottom w:val="0"/>
          <w:divBdr>
            <w:top w:val="none" w:sz="0" w:space="0" w:color="auto"/>
            <w:left w:val="none" w:sz="0" w:space="0" w:color="auto"/>
            <w:bottom w:val="none" w:sz="0" w:space="0" w:color="auto"/>
            <w:right w:val="none" w:sz="0" w:space="0" w:color="auto"/>
          </w:divBdr>
        </w:div>
        <w:div w:id="1260526447">
          <w:marLeft w:val="0"/>
          <w:marRight w:val="0"/>
          <w:marTop w:val="0"/>
          <w:marBottom w:val="0"/>
          <w:divBdr>
            <w:top w:val="none" w:sz="0" w:space="0" w:color="auto"/>
            <w:left w:val="none" w:sz="0" w:space="0" w:color="auto"/>
            <w:bottom w:val="none" w:sz="0" w:space="0" w:color="auto"/>
            <w:right w:val="none" w:sz="0" w:space="0" w:color="auto"/>
          </w:divBdr>
        </w:div>
        <w:div w:id="2050495130">
          <w:marLeft w:val="0"/>
          <w:marRight w:val="0"/>
          <w:marTop w:val="0"/>
          <w:marBottom w:val="0"/>
          <w:divBdr>
            <w:top w:val="none" w:sz="0" w:space="0" w:color="auto"/>
            <w:left w:val="none" w:sz="0" w:space="0" w:color="auto"/>
            <w:bottom w:val="none" w:sz="0" w:space="0" w:color="auto"/>
            <w:right w:val="none" w:sz="0" w:space="0" w:color="auto"/>
          </w:divBdr>
        </w:div>
        <w:div w:id="541403038">
          <w:marLeft w:val="0"/>
          <w:marRight w:val="0"/>
          <w:marTop w:val="0"/>
          <w:marBottom w:val="0"/>
          <w:divBdr>
            <w:top w:val="none" w:sz="0" w:space="0" w:color="auto"/>
            <w:left w:val="none" w:sz="0" w:space="0" w:color="auto"/>
            <w:bottom w:val="none" w:sz="0" w:space="0" w:color="auto"/>
            <w:right w:val="none" w:sz="0" w:space="0" w:color="auto"/>
          </w:divBdr>
        </w:div>
        <w:div w:id="2062971291">
          <w:marLeft w:val="0"/>
          <w:marRight w:val="0"/>
          <w:marTop w:val="0"/>
          <w:marBottom w:val="0"/>
          <w:divBdr>
            <w:top w:val="none" w:sz="0" w:space="0" w:color="auto"/>
            <w:left w:val="none" w:sz="0" w:space="0" w:color="auto"/>
            <w:bottom w:val="none" w:sz="0" w:space="0" w:color="auto"/>
            <w:right w:val="none" w:sz="0" w:space="0" w:color="auto"/>
          </w:divBdr>
        </w:div>
        <w:div w:id="1978804653">
          <w:marLeft w:val="0"/>
          <w:marRight w:val="0"/>
          <w:marTop w:val="0"/>
          <w:marBottom w:val="0"/>
          <w:divBdr>
            <w:top w:val="none" w:sz="0" w:space="0" w:color="auto"/>
            <w:left w:val="none" w:sz="0" w:space="0" w:color="auto"/>
            <w:bottom w:val="none" w:sz="0" w:space="0" w:color="auto"/>
            <w:right w:val="none" w:sz="0" w:space="0" w:color="auto"/>
          </w:divBdr>
        </w:div>
      </w:divsChild>
    </w:div>
    <w:div w:id="1614246053">
      <w:bodyDiv w:val="1"/>
      <w:marLeft w:val="0"/>
      <w:marRight w:val="0"/>
      <w:marTop w:val="0"/>
      <w:marBottom w:val="0"/>
      <w:divBdr>
        <w:top w:val="none" w:sz="0" w:space="0" w:color="auto"/>
        <w:left w:val="none" w:sz="0" w:space="0" w:color="auto"/>
        <w:bottom w:val="none" w:sz="0" w:space="0" w:color="auto"/>
        <w:right w:val="none" w:sz="0" w:space="0" w:color="auto"/>
      </w:divBdr>
      <w:divsChild>
        <w:div w:id="517158460">
          <w:marLeft w:val="0"/>
          <w:marRight w:val="0"/>
          <w:marTop w:val="0"/>
          <w:marBottom w:val="0"/>
          <w:divBdr>
            <w:top w:val="none" w:sz="0" w:space="0" w:color="auto"/>
            <w:left w:val="none" w:sz="0" w:space="0" w:color="auto"/>
            <w:bottom w:val="none" w:sz="0" w:space="0" w:color="auto"/>
            <w:right w:val="none" w:sz="0" w:space="0" w:color="auto"/>
          </w:divBdr>
        </w:div>
        <w:div w:id="621378874">
          <w:marLeft w:val="0"/>
          <w:marRight w:val="0"/>
          <w:marTop w:val="0"/>
          <w:marBottom w:val="0"/>
          <w:divBdr>
            <w:top w:val="none" w:sz="0" w:space="0" w:color="auto"/>
            <w:left w:val="none" w:sz="0" w:space="0" w:color="auto"/>
            <w:bottom w:val="none" w:sz="0" w:space="0" w:color="auto"/>
            <w:right w:val="none" w:sz="0" w:space="0" w:color="auto"/>
          </w:divBdr>
        </w:div>
        <w:div w:id="1181358914">
          <w:marLeft w:val="0"/>
          <w:marRight w:val="0"/>
          <w:marTop w:val="0"/>
          <w:marBottom w:val="0"/>
          <w:divBdr>
            <w:top w:val="none" w:sz="0" w:space="0" w:color="auto"/>
            <w:left w:val="none" w:sz="0" w:space="0" w:color="auto"/>
            <w:bottom w:val="none" w:sz="0" w:space="0" w:color="auto"/>
            <w:right w:val="none" w:sz="0" w:space="0" w:color="auto"/>
          </w:divBdr>
        </w:div>
        <w:div w:id="1058823305">
          <w:marLeft w:val="0"/>
          <w:marRight w:val="0"/>
          <w:marTop w:val="0"/>
          <w:marBottom w:val="0"/>
          <w:divBdr>
            <w:top w:val="none" w:sz="0" w:space="0" w:color="auto"/>
            <w:left w:val="none" w:sz="0" w:space="0" w:color="auto"/>
            <w:bottom w:val="none" w:sz="0" w:space="0" w:color="auto"/>
            <w:right w:val="none" w:sz="0" w:space="0" w:color="auto"/>
          </w:divBdr>
        </w:div>
        <w:div w:id="132992979">
          <w:marLeft w:val="0"/>
          <w:marRight w:val="0"/>
          <w:marTop w:val="0"/>
          <w:marBottom w:val="0"/>
          <w:divBdr>
            <w:top w:val="none" w:sz="0" w:space="0" w:color="auto"/>
            <w:left w:val="none" w:sz="0" w:space="0" w:color="auto"/>
            <w:bottom w:val="none" w:sz="0" w:space="0" w:color="auto"/>
            <w:right w:val="none" w:sz="0" w:space="0" w:color="auto"/>
          </w:divBdr>
        </w:div>
      </w:divsChild>
    </w:div>
    <w:div w:id="1640763581">
      <w:bodyDiv w:val="1"/>
      <w:marLeft w:val="0"/>
      <w:marRight w:val="0"/>
      <w:marTop w:val="0"/>
      <w:marBottom w:val="0"/>
      <w:divBdr>
        <w:top w:val="none" w:sz="0" w:space="0" w:color="auto"/>
        <w:left w:val="none" w:sz="0" w:space="0" w:color="auto"/>
        <w:bottom w:val="none" w:sz="0" w:space="0" w:color="auto"/>
        <w:right w:val="none" w:sz="0" w:space="0" w:color="auto"/>
      </w:divBdr>
      <w:divsChild>
        <w:div w:id="1936555102">
          <w:marLeft w:val="0"/>
          <w:marRight w:val="0"/>
          <w:marTop w:val="0"/>
          <w:marBottom w:val="0"/>
          <w:divBdr>
            <w:top w:val="none" w:sz="0" w:space="0" w:color="auto"/>
            <w:left w:val="none" w:sz="0" w:space="0" w:color="auto"/>
            <w:bottom w:val="none" w:sz="0" w:space="0" w:color="auto"/>
            <w:right w:val="none" w:sz="0" w:space="0" w:color="auto"/>
          </w:divBdr>
          <w:divsChild>
            <w:div w:id="1638949731">
              <w:marLeft w:val="0"/>
              <w:marRight w:val="0"/>
              <w:marTop w:val="0"/>
              <w:marBottom w:val="0"/>
              <w:divBdr>
                <w:top w:val="none" w:sz="0" w:space="0" w:color="auto"/>
                <w:left w:val="none" w:sz="0" w:space="0" w:color="auto"/>
                <w:bottom w:val="none" w:sz="0" w:space="0" w:color="auto"/>
                <w:right w:val="none" w:sz="0" w:space="0" w:color="auto"/>
              </w:divBdr>
              <w:divsChild>
                <w:div w:id="1738431182">
                  <w:marLeft w:val="0"/>
                  <w:marRight w:val="0"/>
                  <w:marTop w:val="0"/>
                  <w:marBottom w:val="0"/>
                  <w:divBdr>
                    <w:top w:val="none" w:sz="0" w:space="0" w:color="auto"/>
                    <w:left w:val="none" w:sz="0" w:space="0" w:color="auto"/>
                    <w:bottom w:val="none" w:sz="0" w:space="0" w:color="auto"/>
                    <w:right w:val="none" w:sz="0" w:space="0" w:color="auto"/>
                  </w:divBdr>
                </w:div>
                <w:div w:id="1023748952">
                  <w:marLeft w:val="0"/>
                  <w:marRight w:val="0"/>
                  <w:marTop w:val="0"/>
                  <w:marBottom w:val="0"/>
                  <w:divBdr>
                    <w:top w:val="none" w:sz="0" w:space="0" w:color="auto"/>
                    <w:left w:val="none" w:sz="0" w:space="0" w:color="auto"/>
                    <w:bottom w:val="none" w:sz="0" w:space="0" w:color="auto"/>
                    <w:right w:val="none" w:sz="0" w:space="0" w:color="auto"/>
                  </w:divBdr>
                </w:div>
                <w:div w:id="1374114464">
                  <w:marLeft w:val="0"/>
                  <w:marRight w:val="0"/>
                  <w:marTop w:val="0"/>
                  <w:marBottom w:val="0"/>
                  <w:divBdr>
                    <w:top w:val="none" w:sz="0" w:space="0" w:color="auto"/>
                    <w:left w:val="none" w:sz="0" w:space="0" w:color="auto"/>
                    <w:bottom w:val="none" w:sz="0" w:space="0" w:color="auto"/>
                    <w:right w:val="none" w:sz="0" w:space="0" w:color="auto"/>
                  </w:divBdr>
                </w:div>
                <w:div w:id="1853375765">
                  <w:marLeft w:val="0"/>
                  <w:marRight w:val="0"/>
                  <w:marTop w:val="0"/>
                  <w:marBottom w:val="0"/>
                  <w:divBdr>
                    <w:top w:val="none" w:sz="0" w:space="0" w:color="auto"/>
                    <w:left w:val="none" w:sz="0" w:space="0" w:color="auto"/>
                    <w:bottom w:val="none" w:sz="0" w:space="0" w:color="auto"/>
                    <w:right w:val="none" w:sz="0" w:space="0" w:color="auto"/>
                  </w:divBdr>
                </w:div>
                <w:div w:id="1403795264">
                  <w:marLeft w:val="0"/>
                  <w:marRight w:val="0"/>
                  <w:marTop w:val="0"/>
                  <w:marBottom w:val="0"/>
                  <w:divBdr>
                    <w:top w:val="none" w:sz="0" w:space="0" w:color="auto"/>
                    <w:left w:val="none" w:sz="0" w:space="0" w:color="auto"/>
                    <w:bottom w:val="none" w:sz="0" w:space="0" w:color="auto"/>
                    <w:right w:val="none" w:sz="0" w:space="0" w:color="auto"/>
                  </w:divBdr>
                </w:div>
                <w:div w:id="923145244">
                  <w:marLeft w:val="0"/>
                  <w:marRight w:val="0"/>
                  <w:marTop w:val="0"/>
                  <w:marBottom w:val="0"/>
                  <w:divBdr>
                    <w:top w:val="none" w:sz="0" w:space="0" w:color="auto"/>
                    <w:left w:val="none" w:sz="0" w:space="0" w:color="auto"/>
                    <w:bottom w:val="none" w:sz="0" w:space="0" w:color="auto"/>
                    <w:right w:val="none" w:sz="0" w:space="0" w:color="auto"/>
                  </w:divBdr>
                </w:div>
                <w:div w:id="1977025175">
                  <w:marLeft w:val="0"/>
                  <w:marRight w:val="0"/>
                  <w:marTop w:val="0"/>
                  <w:marBottom w:val="0"/>
                  <w:divBdr>
                    <w:top w:val="none" w:sz="0" w:space="0" w:color="auto"/>
                    <w:left w:val="none" w:sz="0" w:space="0" w:color="auto"/>
                    <w:bottom w:val="none" w:sz="0" w:space="0" w:color="auto"/>
                    <w:right w:val="none" w:sz="0" w:space="0" w:color="auto"/>
                  </w:divBdr>
                </w:div>
                <w:div w:id="1496068911">
                  <w:marLeft w:val="0"/>
                  <w:marRight w:val="0"/>
                  <w:marTop w:val="0"/>
                  <w:marBottom w:val="0"/>
                  <w:divBdr>
                    <w:top w:val="none" w:sz="0" w:space="0" w:color="auto"/>
                    <w:left w:val="none" w:sz="0" w:space="0" w:color="auto"/>
                    <w:bottom w:val="none" w:sz="0" w:space="0" w:color="auto"/>
                    <w:right w:val="none" w:sz="0" w:space="0" w:color="auto"/>
                  </w:divBdr>
                </w:div>
                <w:div w:id="816994119">
                  <w:marLeft w:val="0"/>
                  <w:marRight w:val="0"/>
                  <w:marTop w:val="0"/>
                  <w:marBottom w:val="0"/>
                  <w:divBdr>
                    <w:top w:val="none" w:sz="0" w:space="0" w:color="auto"/>
                    <w:left w:val="none" w:sz="0" w:space="0" w:color="auto"/>
                    <w:bottom w:val="none" w:sz="0" w:space="0" w:color="auto"/>
                    <w:right w:val="none" w:sz="0" w:space="0" w:color="auto"/>
                  </w:divBdr>
                </w:div>
                <w:div w:id="1512525249">
                  <w:marLeft w:val="0"/>
                  <w:marRight w:val="0"/>
                  <w:marTop w:val="0"/>
                  <w:marBottom w:val="0"/>
                  <w:divBdr>
                    <w:top w:val="none" w:sz="0" w:space="0" w:color="auto"/>
                    <w:left w:val="none" w:sz="0" w:space="0" w:color="auto"/>
                    <w:bottom w:val="none" w:sz="0" w:space="0" w:color="auto"/>
                    <w:right w:val="none" w:sz="0" w:space="0" w:color="auto"/>
                  </w:divBdr>
                </w:div>
                <w:div w:id="363478809">
                  <w:marLeft w:val="0"/>
                  <w:marRight w:val="0"/>
                  <w:marTop w:val="0"/>
                  <w:marBottom w:val="0"/>
                  <w:divBdr>
                    <w:top w:val="none" w:sz="0" w:space="0" w:color="auto"/>
                    <w:left w:val="none" w:sz="0" w:space="0" w:color="auto"/>
                    <w:bottom w:val="none" w:sz="0" w:space="0" w:color="auto"/>
                    <w:right w:val="none" w:sz="0" w:space="0" w:color="auto"/>
                  </w:divBdr>
                </w:div>
                <w:div w:id="1148978506">
                  <w:marLeft w:val="0"/>
                  <w:marRight w:val="0"/>
                  <w:marTop w:val="0"/>
                  <w:marBottom w:val="0"/>
                  <w:divBdr>
                    <w:top w:val="none" w:sz="0" w:space="0" w:color="auto"/>
                    <w:left w:val="none" w:sz="0" w:space="0" w:color="auto"/>
                    <w:bottom w:val="none" w:sz="0" w:space="0" w:color="auto"/>
                    <w:right w:val="none" w:sz="0" w:space="0" w:color="auto"/>
                  </w:divBdr>
                </w:div>
                <w:div w:id="1824276462">
                  <w:marLeft w:val="0"/>
                  <w:marRight w:val="0"/>
                  <w:marTop w:val="0"/>
                  <w:marBottom w:val="0"/>
                  <w:divBdr>
                    <w:top w:val="none" w:sz="0" w:space="0" w:color="auto"/>
                    <w:left w:val="none" w:sz="0" w:space="0" w:color="auto"/>
                    <w:bottom w:val="none" w:sz="0" w:space="0" w:color="auto"/>
                    <w:right w:val="none" w:sz="0" w:space="0" w:color="auto"/>
                  </w:divBdr>
                </w:div>
                <w:div w:id="739905358">
                  <w:marLeft w:val="0"/>
                  <w:marRight w:val="0"/>
                  <w:marTop w:val="0"/>
                  <w:marBottom w:val="0"/>
                  <w:divBdr>
                    <w:top w:val="none" w:sz="0" w:space="0" w:color="auto"/>
                    <w:left w:val="none" w:sz="0" w:space="0" w:color="auto"/>
                    <w:bottom w:val="none" w:sz="0" w:space="0" w:color="auto"/>
                    <w:right w:val="none" w:sz="0" w:space="0" w:color="auto"/>
                  </w:divBdr>
                </w:div>
                <w:div w:id="774373753">
                  <w:marLeft w:val="0"/>
                  <w:marRight w:val="0"/>
                  <w:marTop w:val="0"/>
                  <w:marBottom w:val="0"/>
                  <w:divBdr>
                    <w:top w:val="none" w:sz="0" w:space="0" w:color="auto"/>
                    <w:left w:val="none" w:sz="0" w:space="0" w:color="auto"/>
                    <w:bottom w:val="none" w:sz="0" w:space="0" w:color="auto"/>
                    <w:right w:val="none" w:sz="0" w:space="0" w:color="auto"/>
                  </w:divBdr>
                </w:div>
                <w:div w:id="197470186">
                  <w:marLeft w:val="0"/>
                  <w:marRight w:val="0"/>
                  <w:marTop w:val="0"/>
                  <w:marBottom w:val="0"/>
                  <w:divBdr>
                    <w:top w:val="none" w:sz="0" w:space="0" w:color="auto"/>
                    <w:left w:val="none" w:sz="0" w:space="0" w:color="auto"/>
                    <w:bottom w:val="none" w:sz="0" w:space="0" w:color="auto"/>
                    <w:right w:val="none" w:sz="0" w:space="0" w:color="auto"/>
                  </w:divBdr>
                </w:div>
                <w:div w:id="1455783066">
                  <w:marLeft w:val="0"/>
                  <w:marRight w:val="0"/>
                  <w:marTop w:val="0"/>
                  <w:marBottom w:val="0"/>
                  <w:divBdr>
                    <w:top w:val="none" w:sz="0" w:space="0" w:color="auto"/>
                    <w:left w:val="none" w:sz="0" w:space="0" w:color="auto"/>
                    <w:bottom w:val="none" w:sz="0" w:space="0" w:color="auto"/>
                    <w:right w:val="none" w:sz="0" w:space="0" w:color="auto"/>
                  </w:divBdr>
                </w:div>
                <w:div w:id="1343700592">
                  <w:marLeft w:val="0"/>
                  <w:marRight w:val="0"/>
                  <w:marTop w:val="0"/>
                  <w:marBottom w:val="0"/>
                  <w:divBdr>
                    <w:top w:val="none" w:sz="0" w:space="0" w:color="auto"/>
                    <w:left w:val="none" w:sz="0" w:space="0" w:color="auto"/>
                    <w:bottom w:val="none" w:sz="0" w:space="0" w:color="auto"/>
                    <w:right w:val="none" w:sz="0" w:space="0" w:color="auto"/>
                  </w:divBdr>
                </w:div>
                <w:div w:id="1855722336">
                  <w:marLeft w:val="0"/>
                  <w:marRight w:val="0"/>
                  <w:marTop w:val="0"/>
                  <w:marBottom w:val="0"/>
                  <w:divBdr>
                    <w:top w:val="none" w:sz="0" w:space="0" w:color="auto"/>
                    <w:left w:val="none" w:sz="0" w:space="0" w:color="auto"/>
                    <w:bottom w:val="none" w:sz="0" w:space="0" w:color="auto"/>
                    <w:right w:val="none" w:sz="0" w:space="0" w:color="auto"/>
                  </w:divBdr>
                </w:div>
                <w:div w:id="1633754529">
                  <w:marLeft w:val="0"/>
                  <w:marRight w:val="0"/>
                  <w:marTop w:val="0"/>
                  <w:marBottom w:val="0"/>
                  <w:divBdr>
                    <w:top w:val="none" w:sz="0" w:space="0" w:color="auto"/>
                    <w:left w:val="none" w:sz="0" w:space="0" w:color="auto"/>
                    <w:bottom w:val="none" w:sz="0" w:space="0" w:color="auto"/>
                    <w:right w:val="none" w:sz="0" w:space="0" w:color="auto"/>
                  </w:divBdr>
                </w:div>
                <w:div w:id="1054544144">
                  <w:marLeft w:val="0"/>
                  <w:marRight w:val="0"/>
                  <w:marTop w:val="0"/>
                  <w:marBottom w:val="0"/>
                  <w:divBdr>
                    <w:top w:val="none" w:sz="0" w:space="0" w:color="auto"/>
                    <w:left w:val="none" w:sz="0" w:space="0" w:color="auto"/>
                    <w:bottom w:val="none" w:sz="0" w:space="0" w:color="auto"/>
                    <w:right w:val="none" w:sz="0" w:space="0" w:color="auto"/>
                  </w:divBdr>
                </w:div>
                <w:div w:id="811869366">
                  <w:marLeft w:val="0"/>
                  <w:marRight w:val="0"/>
                  <w:marTop w:val="0"/>
                  <w:marBottom w:val="0"/>
                  <w:divBdr>
                    <w:top w:val="none" w:sz="0" w:space="0" w:color="auto"/>
                    <w:left w:val="none" w:sz="0" w:space="0" w:color="auto"/>
                    <w:bottom w:val="none" w:sz="0" w:space="0" w:color="auto"/>
                    <w:right w:val="none" w:sz="0" w:space="0" w:color="auto"/>
                  </w:divBdr>
                </w:div>
                <w:div w:id="1852600797">
                  <w:marLeft w:val="0"/>
                  <w:marRight w:val="0"/>
                  <w:marTop w:val="0"/>
                  <w:marBottom w:val="0"/>
                  <w:divBdr>
                    <w:top w:val="none" w:sz="0" w:space="0" w:color="auto"/>
                    <w:left w:val="none" w:sz="0" w:space="0" w:color="auto"/>
                    <w:bottom w:val="none" w:sz="0" w:space="0" w:color="auto"/>
                    <w:right w:val="none" w:sz="0" w:space="0" w:color="auto"/>
                  </w:divBdr>
                </w:div>
                <w:div w:id="1293370331">
                  <w:marLeft w:val="0"/>
                  <w:marRight w:val="0"/>
                  <w:marTop w:val="0"/>
                  <w:marBottom w:val="0"/>
                  <w:divBdr>
                    <w:top w:val="none" w:sz="0" w:space="0" w:color="auto"/>
                    <w:left w:val="none" w:sz="0" w:space="0" w:color="auto"/>
                    <w:bottom w:val="none" w:sz="0" w:space="0" w:color="auto"/>
                    <w:right w:val="none" w:sz="0" w:space="0" w:color="auto"/>
                  </w:divBdr>
                </w:div>
                <w:div w:id="1200314719">
                  <w:marLeft w:val="0"/>
                  <w:marRight w:val="0"/>
                  <w:marTop w:val="0"/>
                  <w:marBottom w:val="0"/>
                  <w:divBdr>
                    <w:top w:val="none" w:sz="0" w:space="0" w:color="auto"/>
                    <w:left w:val="none" w:sz="0" w:space="0" w:color="auto"/>
                    <w:bottom w:val="none" w:sz="0" w:space="0" w:color="auto"/>
                    <w:right w:val="none" w:sz="0" w:space="0" w:color="auto"/>
                  </w:divBdr>
                </w:div>
                <w:div w:id="602035099">
                  <w:marLeft w:val="0"/>
                  <w:marRight w:val="0"/>
                  <w:marTop w:val="0"/>
                  <w:marBottom w:val="0"/>
                  <w:divBdr>
                    <w:top w:val="none" w:sz="0" w:space="0" w:color="auto"/>
                    <w:left w:val="none" w:sz="0" w:space="0" w:color="auto"/>
                    <w:bottom w:val="none" w:sz="0" w:space="0" w:color="auto"/>
                    <w:right w:val="none" w:sz="0" w:space="0" w:color="auto"/>
                  </w:divBdr>
                </w:div>
                <w:div w:id="295650059">
                  <w:marLeft w:val="0"/>
                  <w:marRight w:val="0"/>
                  <w:marTop w:val="0"/>
                  <w:marBottom w:val="0"/>
                  <w:divBdr>
                    <w:top w:val="none" w:sz="0" w:space="0" w:color="auto"/>
                    <w:left w:val="none" w:sz="0" w:space="0" w:color="auto"/>
                    <w:bottom w:val="none" w:sz="0" w:space="0" w:color="auto"/>
                    <w:right w:val="none" w:sz="0" w:space="0" w:color="auto"/>
                  </w:divBdr>
                </w:div>
                <w:div w:id="648173473">
                  <w:marLeft w:val="0"/>
                  <w:marRight w:val="0"/>
                  <w:marTop w:val="0"/>
                  <w:marBottom w:val="0"/>
                  <w:divBdr>
                    <w:top w:val="none" w:sz="0" w:space="0" w:color="auto"/>
                    <w:left w:val="none" w:sz="0" w:space="0" w:color="auto"/>
                    <w:bottom w:val="none" w:sz="0" w:space="0" w:color="auto"/>
                    <w:right w:val="none" w:sz="0" w:space="0" w:color="auto"/>
                  </w:divBdr>
                </w:div>
                <w:div w:id="1345017664">
                  <w:marLeft w:val="0"/>
                  <w:marRight w:val="0"/>
                  <w:marTop w:val="0"/>
                  <w:marBottom w:val="0"/>
                  <w:divBdr>
                    <w:top w:val="none" w:sz="0" w:space="0" w:color="auto"/>
                    <w:left w:val="none" w:sz="0" w:space="0" w:color="auto"/>
                    <w:bottom w:val="none" w:sz="0" w:space="0" w:color="auto"/>
                    <w:right w:val="none" w:sz="0" w:space="0" w:color="auto"/>
                  </w:divBdr>
                </w:div>
                <w:div w:id="1104302357">
                  <w:marLeft w:val="0"/>
                  <w:marRight w:val="0"/>
                  <w:marTop w:val="0"/>
                  <w:marBottom w:val="0"/>
                  <w:divBdr>
                    <w:top w:val="none" w:sz="0" w:space="0" w:color="auto"/>
                    <w:left w:val="none" w:sz="0" w:space="0" w:color="auto"/>
                    <w:bottom w:val="none" w:sz="0" w:space="0" w:color="auto"/>
                    <w:right w:val="none" w:sz="0" w:space="0" w:color="auto"/>
                  </w:divBdr>
                </w:div>
                <w:div w:id="904753504">
                  <w:marLeft w:val="0"/>
                  <w:marRight w:val="0"/>
                  <w:marTop w:val="0"/>
                  <w:marBottom w:val="0"/>
                  <w:divBdr>
                    <w:top w:val="none" w:sz="0" w:space="0" w:color="auto"/>
                    <w:left w:val="none" w:sz="0" w:space="0" w:color="auto"/>
                    <w:bottom w:val="none" w:sz="0" w:space="0" w:color="auto"/>
                    <w:right w:val="none" w:sz="0" w:space="0" w:color="auto"/>
                  </w:divBdr>
                </w:div>
                <w:div w:id="432166877">
                  <w:marLeft w:val="0"/>
                  <w:marRight w:val="0"/>
                  <w:marTop w:val="0"/>
                  <w:marBottom w:val="0"/>
                  <w:divBdr>
                    <w:top w:val="none" w:sz="0" w:space="0" w:color="auto"/>
                    <w:left w:val="none" w:sz="0" w:space="0" w:color="auto"/>
                    <w:bottom w:val="none" w:sz="0" w:space="0" w:color="auto"/>
                    <w:right w:val="none" w:sz="0" w:space="0" w:color="auto"/>
                  </w:divBdr>
                </w:div>
                <w:div w:id="1365791214">
                  <w:marLeft w:val="0"/>
                  <w:marRight w:val="0"/>
                  <w:marTop w:val="0"/>
                  <w:marBottom w:val="0"/>
                  <w:divBdr>
                    <w:top w:val="none" w:sz="0" w:space="0" w:color="auto"/>
                    <w:left w:val="none" w:sz="0" w:space="0" w:color="auto"/>
                    <w:bottom w:val="none" w:sz="0" w:space="0" w:color="auto"/>
                    <w:right w:val="none" w:sz="0" w:space="0" w:color="auto"/>
                  </w:divBdr>
                </w:div>
                <w:div w:id="1098675941">
                  <w:marLeft w:val="0"/>
                  <w:marRight w:val="0"/>
                  <w:marTop w:val="0"/>
                  <w:marBottom w:val="0"/>
                  <w:divBdr>
                    <w:top w:val="none" w:sz="0" w:space="0" w:color="auto"/>
                    <w:left w:val="none" w:sz="0" w:space="0" w:color="auto"/>
                    <w:bottom w:val="none" w:sz="0" w:space="0" w:color="auto"/>
                    <w:right w:val="none" w:sz="0" w:space="0" w:color="auto"/>
                  </w:divBdr>
                </w:div>
                <w:div w:id="1481923725">
                  <w:marLeft w:val="0"/>
                  <w:marRight w:val="0"/>
                  <w:marTop w:val="0"/>
                  <w:marBottom w:val="0"/>
                  <w:divBdr>
                    <w:top w:val="none" w:sz="0" w:space="0" w:color="auto"/>
                    <w:left w:val="none" w:sz="0" w:space="0" w:color="auto"/>
                    <w:bottom w:val="none" w:sz="0" w:space="0" w:color="auto"/>
                    <w:right w:val="none" w:sz="0" w:space="0" w:color="auto"/>
                  </w:divBdr>
                </w:div>
                <w:div w:id="1000932791">
                  <w:marLeft w:val="0"/>
                  <w:marRight w:val="0"/>
                  <w:marTop w:val="0"/>
                  <w:marBottom w:val="0"/>
                  <w:divBdr>
                    <w:top w:val="none" w:sz="0" w:space="0" w:color="auto"/>
                    <w:left w:val="none" w:sz="0" w:space="0" w:color="auto"/>
                    <w:bottom w:val="none" w:sz="0" w:space="0" w:color="auto"/>
                    <w:right w:val="none" w:sz="0" w:space="0" w:color="auto"/>
                  </w:divBdr>
                </w:div>
                <w:div w:id="1042098723">
                  <w:marLeft w:val="0"/>
                  <w:marRight w:val="0"/>
                  <w:marTop w:val="0"/>
                  <w:marBottom w:val="0"/>
                  <w:divBdr>
                    <w:top w:val="none" w:sz="0" w:space="0" w:color="auto"/>
                    <w:left w:val="none" w:sz="0" w:space="0" w:color="auto"/>
                    <w:bottom w:val="none" w:sz="0" w:space="0" w:color="auto"/>
                    <w:right w:val="none" w:sz="0" w:space="0" w:color="auto"/>
                  </w:divBdr>
                </w:div>
                <w:div w:id="279142558">
                  <w:marLeft w:val="0"/>
                  <w:marRight w:val="0"/>
                  <w:marTop w:val="0"/>
                  <w:marBottom w:val="0"/>
                  <w:divBdr>
                    <w:top w:val="none" w:sz="0" w:space="0" w:color="auto"/>
                    <w:left w:val="none" w:sz="0" w:space="0" w:color="auto"/>
                    <w:bottom w:val="none" w:sz="0" w:space="0" w:color="auto"/>
                    <w:right w:val="none" w:sz="0" w:space="0" w:color="auto"/>
                  </w:divBdr>
                </w:div>
                <w:div w:id="1143699410">
                  <w:marLeft w:val="0"/>
                  <w:marRight w:val="0"/>
                  <w:marTop w:val="0"/>
                  <w:marBottom w:val="0"/>
                  <w:divBdr>
                    <w:top w:val="none" w:sz="0" w:space="0" w:color="auto"/>
                    <w:left w:val="none" w:sz="0" w:space="0" w:color="auto"/>
                    <w:bottom w:val="none" w:sz="0" w:space="0" w:color="auto"/>
                    <w:right w:val="none" w:sz="0" w:space="0" w:color="auto"/>
                  </w:divBdr>
                </w:div>
                <w:div w:id="1535581049">
                  <w:marLeft w:val="0"/>
                  <w:marRight w:val="0"/>
                  <w:marTop w:val="0"/>
                  <w:marBottom w:val="0"/>
                  <w:divBdr>
                    <w:top w:val="none" w:sz="0" w:space="0" w:color="auto"/>
                    <w:left w:val="none" w:sz="0" w:space="0" w:color="auto"/>
                    <w:bottom w:val="none" w:sz="0" w:space="0" w:color="auto"/>
                    <w:right w:val="none" w:sz="0" w:space="0" w:color="auto"/>
                  </w:divBdr>
                </w:div>
                <w:div w:id="93138132">
                  <w:marLeft w:val="0"/>
                  <w:marRight w:val="0"/>
                  <w:marTop w:val="0"/>
                  <w:marBottom w:val="0"/>
                  <w:divBdr>
                    <w:top w:val="none" w:sz="0" w:space="0" w:color="auto"/>
                    <w:left w:val="none" w:sz="0" w:space="0" w:color="auto"/>
                    <w:bottom w:val="none" w:sz="0" w:space="0" w:color="auto"/>
                    <w:right w:val="none" w:sz="0" w:space="0" w:color="auto"/>
                  </w:divBdr>
                </w:div>
                <w:div w:id="1151024207">
                  <w:marLeft w:val="0"/>
                  <w:marRight w:val="0"/>
                  <w:marTop w:val="0"/>
                  <w:marBottom w:val="0"/>
                  <w:divBdr>
                    <w:top w:val="none" w:sz="0" w:space="0" w:color="auto"/>
                    <w:left w:val="none" w:sz="0" w:space="0" w:color="auto"/>
                    <w:bottom w:val="none" w:sz="0" w:space="0" w:color="auto"/>
                    <w:right w:val="none" w:sz="0" w:space="0" w:color="auto"/>
                  </w:divBdr>
                </w:div>
                <w:div w:id="729310894">
                  <w:marLeft w:val="0"/>
                  <w:marRight w:val="0"/>
                  <w:marTop w:val="0"/>
                  <w:marBottom w:val="0"/>
                  <w:divBdr>
                    <w:top w:val="none" w:sz="0" w:space="0" w:color="auto"/>
                    <w:left w:val="none" w:sz="0" w:space="0" w:color="auto"/>
                    <w:bottom w:val="none" w:sz="0" w:space="0" w:color="auto"/>
                    <w:right w:val="none" w:sz="0" w:space="0" w:color="auto"/>
                  </w:divBdr>
                </w:div>
                <w:div w:id="1454901451">
                  <w:marLeft w:val="0"/>
                  <w:marRight w:val="0"/>
                  <w:marTop w:val="0"/>
                  <w:marBottom w:val="0"/>
                  <w:divBdr>
                    <w:top w:val="none" w:sz="0" w:space="0" w:color="auto"/>
                    <w:left w:val="none" w:sz="0" w:space="0" w:color="auto"/>
                    <w:bottom w:val="none" w:sz="0" w:space="0" w:color="auto"/>
                    <w:right w:val="none" w:sz="0" w:space="0" w:color="auto"/>
                  </w:divBdr>
                </w:div>
                <w:div w:id="1550874387">
                  <w:marLeft w:val="0"/>
                  <w:marRight w:val="0"/>
                  <w:marTop w:val="0"/>
                  <w:marBottom w:val="0"/>
                  <w:divBdr>
                    <w:top w:val="none" w:sz="0" w:space="0" w:color="auto"/>
                    <w:left w:val="none" w:sz="0" w:space="0" w:color="auto"/>
                    <w:bottom w:val="none" w:sz="0" w:space="0" w:color="auto"/>
                    <w:right w:val="none" w:sz="0" w:space="0" w:color="auto"/>
                  </w:divBdr>
                </w:div>
                <w:div w:id="881747656">
                  <w:marLeft w:val="0"/>
                  <w:marRight w:val="0"/>
                  <w:marTop w:val="0"/>
                  <w:marBottom w:val="0"/>
                  <w:divBdr>
                    <w:top w:val="none" w:sz="0" w:space="0" w:color="auto"/>
                    <w:left w:val="none" w:sz="0" w:space="0" w:color="auto"/>
                    <w:bottom w:val="none" w:sz="0" w:space="0" w:color="auto"/>
                    <w:right w:val="none" w:sz="0" w:space="0" w:color="auto"/>
                  </w:divBdr>
                </w:div>
                <w:div w:id="542594626">
                  <w:marLeft w:val="0"/>
                  <w:marRight w:val="0"/>
                  <w:marTop w:val="0"/>
                  <w:marBottom w:val="0"/>
                  <w:divBdr>
                    <w:top w:val="none" w:sz="0" w:space="0" w:color="auto"/>
                    <w:left w:val="none" w:sz="0" w:space="0" w:color="auto"/>
                    <w:bottom w:val="none" w:sz="0" w:space="0" w:color="auto"/>
                    <w:right w:val="none" w:sz="0" w:space="0" w:color="auto"/>
                  </w:divBdr>
                </w:div>
                <w:div w:id="1374113723">
                  <w:marLeft w:val="0"/>
                  <w:marRight w:val="0"/>
                  <w:marTop w:val="0"/>
                  <w:marBottom w:val="0"/>
                  <w:divBdr>
                    <w:top w:val="none" w:sz="0" w:space="0" w:color="auto"/>
                    <w:left w:val="none" w:sz="0" w:space="0" w:color="auto"/>
                    <w:bottom w:val="none" w:sz="0" w:space="0" w:color="auto"/>
                    <w:right w:val="none" w:sz="0" w:space="0" w:color="auto"/>
                  </w:divBdr>
                </w:div>
                <w:div w:id="1659990581">
                  <w:marLeft w:val="0"/>
                  <w:marRight w:val="0"/>
                  <w:marTop w:val="0"/>
                  <w:marBottom w:val="0"/>
                  <w:divBdr>
                    <w:top w:val="none" w:sz="0" w:space="0" w:color="auto"/>
                    <w:left w:val="none" w:sz="0" w:space="0" w:color="auto"/>
                    <w:bottom w:val="none" w:sz="0" w:space="0" w:color="auto"/>
                    <w:right w:val="none" w:sz="0" w:space="0" w:color="auto"/>
                  </w:divBdr>
                </w:div>
                <w:div w:id="146098541">
                  <w:marLeft w:val="0"/>
                  <w:marRight w:val="0"/>
                  <w:marTop w:val="0"/>
                  <w:marBottom w:val="0"/>
                  <w:divBdr>
                    <w:top w:val="none" w:sz="0" w:space="0" w:color="auto"/>
                    <w:left w:val="none" w:sz="0" w:space="0" w:color="auto"/>
                    <w:bottom w:val="none" w:sz="0" w:space="0" w:color="auto"/>
                    <w:right w:val="none" w:sz="0" w:space="0" w:color="auto"/>
                  </w:divBdr>
                </w:div>
                <w:div w:id="1707562105">
                  <w:marLeft w:val="0"/>
                  <w:marRight w:val="0"/>
                  <w:marTop w:val="0"/>
                  <w:marBottom w:val="0"/>
                  <w:divBdr>
                    <w:top w:val="none" w:sz="0" w:space="0" w:color="auto"/>
                    <w:left w:val="none" w:sz="0" w:space="0" w:color="auto"/>
                    <w:bottom w:val="none" w:sz="0" w:space="0" w:color="auto"/>
                    <w:right w:val="none" w:sz="0" w:space="0" w:color="auto"/>
                  </w:divBdr>
                </w:div>
                <w:div w:id="1426226279">
                  <w:marLeft w:val="0"/>
                  <w:marRight w:val="0"/>
                  <w:marTop w:val="0"/>
                  <w:marBottom w:val="0"/>
                  <w:divBdr>
                    <w:top w:val="none" w:sz="0" w:space="0" w:color="auto"/>
                    <w:left w:val="none" w:sz="0" w:space="0" w:color="auto"/>
                    <w:bottom w:val="none" w:sz="0" w:space="0" w:color="auto"/>
                    <w:right w:val="none" w:sz="0" w:space="0" w:color="auto"/>
                  </w:divBdr>
                </w:div>
                <w:div w:id="743255928">
                  <w:marLeft w:val="0"/>
                  <w:marRight w:val="0"/>
                  <w:marTop w:val="0"/>
                  <w:marBottom w:val="0"/>
                  <w:divBdr>
                    <w:top w:val="none" w:sz="0" w:space="0" w:color="auto"/>
                    <w:left w:val="none" w:sz="0" w:space="0" w:color="auto"/>
                    <w:bottom w:val="none" w:sz="0" w:space="0" w:color="auto"/>
                    <w:right w:val="none" w:sz="0" w:space="0" w:color="auto"/>
                  </w:divBdr>
                </w:div>
                <w:div w:id="377362268">
                  <w:marLeft w:val="0"/>
                  <w:marRight w:val="0"/>
                  <w:marTop w:val="0"/>
                  <w:marBottom w:val="0"/>
                  <w:divBdr>
                    <w:top w:val="none" w:sz="0" w:space="0" w:color="auto"/>
                    <w:left w:val="none" w:sz="0" w:space="0" w:color="auto"/>
                    <w:bottom w:val="none" w:sz="0" w:space="0" w:color="auto"/>
                    <w:right w:val="none" w:sz="0" w:space="0" w:color="auto"/>
                  </w:divBdr>
                </w:div>
                <w:div w:id="748964318">
                  <w:marLeft w:val="0"/>
                  <w:marRight w:val="0"/>
                  <w:marTop w:val="0"/>
                  <w:marBottom w:val="0"/>
                  <w:divBdr>
                    <w:top w:val="none" w:sz="0" w:space="0" w:color="auto"/>
                    <w:left w:val="none" w:sz="0" w:space="0" w:color="auto"/>
                    <w:bottom w:val="none" w:sz="0" w:space="0" w:color="auto"/>
                    <w:right w:val="none" w:sz="0" w:space="0" w:color="auto"/>
                  </w:divBdr>
                </w:div>
                <w:div w:id="1435783297">
                  <w:marLeft w:val="0"/>
                  <w:marRight w:val="0"/>
                  <w:marTop w:val="0"/>
                  <w:marBottom w:val="0"/>
                  <w:divBdr>
                    <w:top w:val="none" w:sz="0" w:space="0" w:color="auto"/>
                    <w:left w:val="none" w:sz="0" w:space="0" w:color="auto"/>
                    <w:bottom w:val="none" w:sz="0" w:space="0" w:color="auto"/>
                    <w:right w:val="none" w:sz="0" w:space="0" w:color="auto"/>
                  </w:divBdr>
                </w:div>
                <w:div w:id="207769269">
                  <w:marLeft w:val="0"/>
                  <w:marRight w:val="0"/>
                  <w:marTop w:val="0"/>
                  <w:marBottom w:val="0"/>
                  <w:divBdr>
                    <w:top w:val="none" w:sz="0" w:space="0" w:color="auto"/>
                    <w:left w:val="none" w:sz="0" w:space="0" w:color="auto"/>
                    <w:bottom w:val="none" w:sz="0" w:space="0" w:color="auto"/>
                    <w:right w:val="none" w:sz="0" w:space="0" w:color="auto"/>
                  </w:divBdr>
                </w:div>
                <w:div w:id="480582854">
                  <w:marLeft w:val="0"/>
                  <w:marRight w:val="0"/>
                  <w:marTop w:val="0"/>
                  <w:marBottom w:val="0"/>
                  <w:divBdr>
                    <w:top w:val="none" w:sz="0" w:space="0" w:color="auto"/>
                    <w:left w:val="none" w:sz="0" w:space="0" w:color="auto"/>
                    <w:bottom w:val="none" w:sz="0" w:space="0" w:color="auto"/>
                    <w:right w:val="none" w:sz="0" w:space="0" w:color="auto"/>
                  </w:divBdr>
                </w:div>
                <w:div w:id="1604798797">
                  <w:marLeft w:val="0"/>
                  <w:marRight w:val="0"/>
                  <w:marTop w:val="0"/>
                  <w:marBottom w:val="0"/>
                  <w:divBdr>
                    <w:top w:val="none" w:sz="0" w:space="0" w:color="auto"/>
                    <w:left w:val="none" w:sz="0" w:space="0" w:color="auto"/>
                    <w:bottom w:val="none" w:sz="0" w:space="0" w:color="auto"/>
                    <w:right w:val="none" w:sz="0" w:space="0" w:color="auto"/>
                  </w:divBdr>
                </w:div>
                <w:div w:id="1069769852">
                  <w:marLeft w:val="0"/>
                  <w:marRight w:val="0"/>
                  <w:marTop w:val="0"/>
                  <w:marBottom w:val="0"/>
                  <w:divBdr>
                    <w:top w:val="none" w:sz="0" w:space="0" w:color="auto"/>
                    <w:left w:val="none" w:sz="0" w:space="0" w:color="auto"/>
                    <w:bottom w:val="none" w:sz="0" w:space="0" w:color="auto"/>
                    <w:right w:val="none" w:sz="0" w:space="0" w:color="auto"/>
                  </w:divBdr>
                </w:div>
                <w:div w:id="405038080">
                  <w:marLeft w:val="0"/>
                  <w:marRight w:val="0"/>
                  <w:marTop w:val="0"/>
                  <w:marBottom w:val="0"/>
                  <w:divBdr>
                    <w:top w:val="none" w:sz="0" w:space="0" w:color="auto"/>
                    <w:left w:val="none" w:sz="0" w:space="0" w:color="auto"/>
                    <w:bottom w:val="none" w:sz="0" w:space="0" w:color="auto"/>
                    <w:right w:val="none" w:sz="0" w:space="0" w:color="auto"/>
                  </w:divBdr>
                </w:div>
                <w:div w:id="2141143136">
                  <w:marLeft w:val="0"/>
                  <w:marRight w:val="0"/>
                  <w:marTop w:val="0"/>
                  <w:marBottom w:val="0"/>
                  <w:divBdr>
                    <w:top w:val="none" w:sz="0" w:space="0" w:color="auto"/>
                    <w:left w:val="none" w:sz="0" w:space="0" w:color="auto"/>
                    <w:bottom w:val="none" w:sz="0" w:space="0" w:color="auto"/>
                    <w:right w:val="none" w:sz="0" w:space="0" w:color="auto"/>
                  </w:divBdr>
                </w:div>
                <w:div w:id="1341926383">
                  <w:marLeft w:val="0"/>
                  <w:marRight w:val="0"/>
                  <w:marTop w:val="0"/>
                  <w:marBottom w:val="0"/>
                  <w:divBdr>
                    <w:top w:val="none" w:sz="0" w:space="0" w:color="auto"/>
                    <w:left w:val="none" w:sz="0" w:space="0" w:color="auto"/>
                    <w:bottom w:val="none" w:sz="0" w:space="0" w:color="auto"/>
                    <w:right w:val="none" w:sz="0" w:space="0" w:color="auto"/>
                  </w:divBdr>
                </w:div>
                <w:div w:id="1944805575">
                  <w:marLeft w:val="0"/>
                  <w:marRight w:val="0"/>
                  <w:marTop w:val="0"/>
                  <w:marBottom w:val="0"/>
                  <w:divBdr>
                    <w:top w:val="none" w:sz="0" w:space="0" w:color="auto"/>
                    <w:left w:val="none" w:sz="0" w:space="0" w:color="auto"/>
                    <w:bottom w:val="none" w:sz="0" w:space="0" w:color="auto"/>
                    <w:right w:val="none" w:sz="0" w:space="0" w:color="auto"/>
                  </w:divBdr>
                </w:div>
                <w:div w:id="1347099662">
                  <w:marLeft w:val="0"/>
                  <w:marRight w:val="0"/>
                  <w:marTop w:val="0"/>
                  <w:marBottom w:val="0"/>
                  <w:divBdr>
                    <w:top w:val="none" w:sz="0" w:space="0" w:color="auto"/>
                    <w:left w:val="none" w:sz="0" w:space="0" w:color="auto"/>
                    <w:bottom w:val="none" w:sz="0" w:space="0" w:color="auto"/>
                    <w:right w:val="none" w:sz="0" w:space="0" w:color="auto"/>
                  </w:divBdr>
                </w:div>
                <w:div w:id="1392652529">
                  <w:marLeft w:val="0"/>
                  <w:marRight w:val="0"/>
                  <w:marTop w:val="0"/>
                  <w:marBottom w:val="0"/>
                  <w:divBdr>
                    <w:top w:val="none" w:sz="0" w:space="0" w:color="auto"/>
                    <w:left w:val="none" w:sz="0" w:space="0" w:color="auto"/>
                    <w:bottom w:val="none" w:sz="0" w:space="0" w:color="auto"/>
                    <w:right w:val="none" w:sz="0" w:space="0" w:color="auto"/>
                  </w:divBdr>
                </w:div>
                <w:div w:id="292491208">
                  <w:marLeft w:val="0"/>
                  <w:marRight w:val="0"/>
                  <w:marTop w:val="0"/>
                  <w:marBottom w:val="0"/>
                  <w:divBdr>
                    <w:top w:val="none" w:sz="0" w:space="0" w:color="auto"/>
                    <w:left w:val="none" w:sz="0" w:space="0" w:color="auto"/>
                    <w:bottom w:val="none" w:sz="0" w:space="0" w:color="auto"/>
                    <w:right w:val="none" w:sz="0" w:space="0" w:color="auto"/>
                  </w:divBdr>
                </w:div>
                <w:div w:id="2136483118">
                  <w:marLeft w:val="0"/>
                  <w:marRight w:val="0"/>
                  <w:marTop w:val="0"/>
                  <w:marBottom w:val="0"/>
                  <w:divBdr>
                    <w:top w:val="none" w:sz="0" w:space="0" w:color="auto"/>
                    <w:left w:val="none" w:sz="0" w:space="0" w:color="auto"/>
                    <w:bottom w:val="none" w:sz="0" w:space="0" w:color="auto"/>
                    <w:right w:val="none" w:sz="0" w:space="0" w:color="auto"/>
                  </w:divBdr>
                </w:div>
                <w:div w:id="1494297881">
                  <w:marLeft w:val="0"/>
                  <w:marRight w:val="0"/>
                  <w:marTop w:val="0"/>
                  <w:marBottom w:val="0"/>
                  <w:divBdr>
                    <w:top w:val="none" w:sz="0" w:space="0" w:color="auto"/>
                    <w:left w:val="none" w:sz="0" w:space="0" w:color="auto"/>
                    <w:bottom w:val="none" w:sz="0" w:space="0" w:color="auto"/>
                    <w:right w:val="none" w:sz="0" w:space="0" w:color="auto"/>
                  </w:divBdr>
                </w:div>
                <w:div w:id="730233587">
                  <w:marLeft w:val="0"/>
                  <w:marRight w:val="0"/>
                  <w:marTop w:val="0"/>
                  <w:marBottom w:val="0"/>
                  <w:divBdr>
                    <w:top w:val="none" w:sz="0" w:space="0" w:color="auto"/>
                    <w:left w:val="none" w:sz="0" w:space="0" w:color="auto"/>
                    <w:bottom w:val="none" w:sz="0" w:space="0" w:color="auto"/>
                    <w:right w:val="none" w:sz="0" w:space="0" w:color="auto"/>
                  </w:divBdr>
                </w:div>
                <w:div w:id="1537349710">
                  <w:marLeft w:val="0"/>
                  <w:marRight w:val="0"/>
                  <w:marTop w:val="0"/>
                  <w:marBottom w:val="0"/>
                  <w:divBdr>
                    <w:top w:val="none" w:sz="0" w:space="0" w:color="auto"/>
                    <w:left w:val="none" w:sz="0" w:space="0" w:color="auto"/>
                    <w:bottom w:val="none" w:sz="0" w:space="0" w:color="auto"/>
                    <w:right w:val="none" w:sz="0" w:space="0" w:color="auto"/>
                  </w:divBdr>
                </w:div>
                <w:div w:id="2071417661">
                  <w:marLeft w:val="0"/>
                  <w:marRight w:val="0"/>
                  <w:marTop w:val="0"/>
                  <w:marBottom w:val="0"/>
                  <w:divBdr>
                    <w:top w:val="none" w:sz="0" w:space="0" w:color="auto"/>
                    <w:left w:val="none" w:sz="0" w:space="0" w:color="auto"/>
                    <w:bottom w:val="none" w:sz="0" w:space="0" w:color="auto"/>
                    <w:right w:val="none" w:sz="0" w:space="0" w:color="auto"/>
                  </w:divBdr>
                </w:div>
                <w:div w:id="1533836090">
                  <w:marLeft w:val="0"/>
                  <w:marRight w:val="0"/>
                  <w:marTop w:val="0"/>
                  <w:marBottom w:val="0"/>
                  <w:divBdr>
                    <w:top w:val="none" w:sz="0" w:space="0" w:color="auto"/>
                    <w:left w:val="none" w:sz="0" w:space="0" w:color="auto"/>
                    <w:bottom w:val="none" w:sz="0" w:space="0" w:color="auto"/>
                    <w:right w:val="none" w:sz="0" w:space="0" w:color="auto"/>
                  </w:divBdr>
                </w:div>
                <w:div w:id="2087996542">
                  <w:marLeft w:val="0"/>
                  <w:marRight w:val="0"/>
                  <w:marTop w:val="0"/>
                  <w:marBottom w:val="0"/>
                  <w:divBdr>
                    <w:top w:val="none" w:sz="0" w:space="0" w:color="auto"/>
                    <w:left w:val="none" w:sz="0" w:space="0" w:color="auto"/>
                    <w:bottom w:val="none" w:sz="0" w:space="0" w:color="auto"/>
                    <w:right w:val="none" w:sz="0" w:space="0" w:color="auto"/>
                  </w:divBdr>
                </w:div>
                <w:div w:id="751658055">
                  <w:marLeft w:val="0"/>
                  <w:marRight w:val="0"/>
                  <w:marTop w:val="0"/>
                  <w:marBottom w:val="0"/>
                  <w:divBdr>
                    <w:top w:val="none" w:sz="0" w:space="0" w:color="auto"/>
                    <w:left w:val="none" w:sz="0" w:space="0" w:color="auto"/>
                    <w:bottom w:val="none" w:sz="0" w:space="0" w:color="auto"/>
                    <w:right w:val="none" w:sz="0" w:space="0" w:color="auto"/>
                  </w:divBdr>
                </w:div>
                <w:div w:id="598681869">
                  <w:marLeft w:val="0"/>
                  <w:marRight w:val="0"/>
                  <w:marTop w:val="0"/>
                  <w:marBottom w:val="0"/>
                  <w:divBdr>
                    <w:top w:val="none" w:sz="0" w:space="0" w:color="auto"/>
                    <w:left w:val="none" w:sz="0" w:space="0" w:color="auto"/>
                    <w:bottom w:val="none" w:sz="0" w:space="0" w:color="auto"/>
                    <w:right w:val="none" w:sz="0" w:space="0" w:color="auto"/>
                  </w:divBdr>
                </w:div>
                <w:div w:id="1779594313">
                  <w:marLeft w:val="0"/>
                  <w:marRight w:val="0"/>
                  <w:marTop w:val="0"/>
                  <w:marBottom w:val="0"/>
                  <w:divBdr>
                    <w:top w:val="none" w:sz="0" w:space="0" w:color="auto"/>
                    <w:left w:val="none" w:sz="0" w:space="0" w:color="auto"/>
                    <w:bottom w:val="none" w:sz="0" w:space="0" w:color="auto"/>
                    <w:right w:val="none" w:sz="0" w:space="0" w:color="auto"/>
                  </w:divBdr>
                </w:div>
                <w:div w:id="1106584874">
                  <w:marLeft w:val="0"/>
                  <w:marRight w:val="0"/>
                  <w:marTop w:val="0"/>
                  <w:marBottom w:val="0"/>
                  <w:divBdr>
                    <w:top w:val="none" w:sz="0" w:space="0" w:color="auto"/>
                    <w:left w:val="none" w:sz="0" w:space="0" w:color="auto"/>
                    <w:bottom w:val="none" w:sz="0" w:space="0" w:color="auto"/>
                    <w:right w:val="none" w:sz="0" w:space="0" w:color="auto"/>
                  </w:divBdr>
                </w:div>
                <w:div w:id="1251620183">
                  <w:marLeft w:val="0"/>
                  <w:marRight w:val="0"/>
                  <w:marTop w:val="0"/>
                  <w:marBottom w:val="0"/>
                  <w:divBdr>
                    <w:top w:val="none" w:sz="0" w:space="0" w:color="auto"/>
                    <w:left w:val="none" w:sz="0" w:space="0" w:color="auto"/>
                    <w:bottom w:val="none" w:sz="0" w:space="0" w:color="auto"/>
                    <w:right w:val="none" w:sz="0" w:space="0" w:color="auto"/>
                  </w:divBdr>
                </w:div>
                <w:div w:id="1393693400">
                  <w:marLeft w:val="0"/>
                  <w:marRight w:val="0"/>
                  <w:marTop w:val="0"/>
                  <w:marBottom w:val="0"/>
                  <w:divBdr>
                    <w:top w:val="none" w:sz="0" w:space="0" w:color="auto"/>
                    <w:left w:val="none" w:sz="0" w:space="0" w:color="auto"/>
                    <w:bottom w:val="none" w:sz="0" w:space="0" w:color="auto"/>
                    <w:right w:val="none" w:sz="0" w:space="0" w:color="auto"/>
                  </w:divBdr>
                </w:div>
                <w:div w:id="1667511236">
                  <w:marLeft w:val="0"/>
                  <w:marRight w:val="0"/>
                  <w:marTop w:val="0"/>
                  <w:marBottom w:val="0"/>
                  <w:divBdr>
                    <w:top w:val="none" w:sz="0" w:space="0" w:color="auto"/>
                    <w:left w:val="none" w:sz="0" w:space="0" w:color="auto"/>
                    <w:bottom w:val="none" w:sz="0" w:space="0" w:color="auto"/>
                    <w:right w:val="none" w:sz="0" w:space="0" w:color="auto"/>
                  </w:divBdr>
                </w:div>
                <w:div w:id="1922176741">
                  <w:marLeft w:val="0"/>
                  <w:marRight w:val="0"/>
                  <w:marTop w:val="0"/>
                  <w:marBottom w:val="0"/>
                  <w:divBdr>
                    <w:top w:val="none" w:sz="0" w:space="0" w:color="auto"/>
                    <w:left w:val="none" w:sz="0" w:space="0" w:color="auto"/>
                    <w:bottom w:val="none" w:sz="0" w:space="0" w:color="auto"/>
                    <w:right w:val="none" w:sz="0" w:space="0" w:color="auto"/>
                  </w:divBdr>
                </w:div>
                <w:div w:id="1498302532">
                  <w:marLeft w:val="0"/>
                  <w:marRight w:val="0"/>
                  <w:marTop w:val="0"/>
                  <w:marBottom w:val="0"/>
                  <w:divBdr>
                    <w:top w:val="none" w:sz="0" w:space="0" w:color="auto"/>
                    <w:left w:val="none" w:sz="0" w:space="0" w:color="auto"/>
                    <w:bottom w:val="none" w:sz="0" w:space="0" w:color="auto"/>
                    <w:right w:val="none" w:sz="0" w:space="0" w:color="auto"/>
                  </w:divBdr>
                </w:div>
                <w:div w:id="106239949">
                  <w:marLeft w:val="0"/>
                  <w:marRight w:val="0"/>
                  <w:marTop w:val="0"/>
                  <w:marBottom w:val="0"/>
                  <w:divBdr>
                    <w:top w:val="none" w:sz="0" w:space="0" w:color="auto"/>
                    <w:left w:val="none" w:sz="0" w:space="0" w:color="auto"/>
                    <w:bottom w:val="none" w:sz="0" w:space="0" w:color="auto"/>
                    <w:right w:val="none" w:sz="0" w:space="0" w:color="auto"/>
                  </w:divBdr>
                </w:div>
                <w:div w:id="442765730">
                  <w:marLeft w:val="0"/>
                  <w:marRight w:val="0"/>
                  <w:marTop w:val="0"/>
                  <w:marBottom w:val="0"/>
                  <w:divBdr>
                    <w:top w:val="none" w:sz="0" w:space="0" w:color="auto"/>
                    <w:left w:val="none" w:sz="0" w:space="0" w:color="auto"/>
                    <w:bottom w:val="none" w:sz="0" w:space="0" w:color="auto"/>
                    <w:right w:val="none" w:sz="0" w:space="0" w:color="auto"/>
                  </w:divBdr>
                </w:div>
                <w:div w:id="1928540468">
                  <w:marLeft w:val="0"/>
                  <w:marRight w:val="0"/>
                  <w:marTop w:val="0"/>
                  <w:marBottom w:val="0"/>
                  <w:divBdr>
                    <w:top w:val="none" w:sz="0" w:space="0" w:color="auto"/>
                    <w:left w:val="none" w:sz="0" w:space="0" w:color="auto"/>
                    <w:bottom w:val="none" w:sz="0" w:space="0" w:color="auto"/>
                    <w:right w:val="none" w:sz="0" w:space="0" w:color="auto"/>
                  </w:divBdr>
                </w:div>
                <w:div w:id="771978510">
                  <w:marLeft w:val="0"/>
                  <w:marRight w:val="0"/>
                  <w:marTop w:val="0"/>
                  <w:marBottom w:val="0"/>
                  <w:divBdr>
                    <w:top w:val="none" w:sz="0" w:space="0" w:color="auto"/>
                    <w:left w:val="none" w:sz="0" w:space="0" w:color="auto"/>
                    <w:bottom w:val="none" w:sz="0" w:space="0" w:color="auto"/>
                    <w:right w:val="none" w:sz="0" w:space="0" w:color="auto"/>
                  </w:divBdr>
                </w:div>
                <w:div w:id="967585366">
                  <w:marLeft w:val="0"/>
                  <w:marRight w:val="0"/>
                  <w:marTop w:val="0"/>
                  <w:marBottom w:val="0"/>
                  <w:divBdr>
                    <w:top w:val="none" w:sz="0" w:space="0" w:color="auto"/>
                    <w:left w:val="none" w:sz="0" w:space="0" w:color="auto"/>
                    <w:bottom w:val="none" w:sz="0" w:space="0" w:color="auto"/>
                    <w:right w:val="none" w:sz="0" w:space="0" w:color="auto"/>
                  </w:divBdr>
                </w:div>
                <w:div w:id="820541101">
                  <w:marLeft w:val="0"/>
                  <w:marRight w:val="0"/>
                  <w:marTop w:val="0"/>
                  <w:marBottom w:val="0"/>
                  <w:divBdr>
                    <w:top w:val="none" w:sz="0" w:space="0" w:color="auto"/>
                    <w:left w:val="none" w:sz="0" w:space="0" w:color="auto"/>
                    <w:bottom w:val="none" w:sz="0" w:space="0" w:color="auto"/>
                    <w:right w:val="none" w:sz="0" w:space="0" w:color="auto"/>
                  </w:divBdr>
                </w:div>
                <w:div w:id="2131437423">
                  <w:marLeft w:val="0"/>
                  <w:marRight w:val="0"/>
                  <w:marTop w:val="0"/>
                  <w:marBottom w:val="0"/>
                  <w:divBdr>
                    <w:top w:val="none" w:sz="0" w:space="0" w:color="auto"/>
                    <w:left w:val="none" w:sz="0" w:space="0" w:color="auto"/>
                    <w:bottom w:val="none" w:sz="0" w:space="0" w:color="auto"/>
                    <w:right w:val="none" w:sz="0" w:space="0" w:color="auto"/>
                  </w:divBdr>
                </w:div>
                <w:div w:id="1413088472">
                  <w:marLeft w:val="0"/>
                  <w:marRight w:val="0"/>
                  <w:marTop w:val="0"/>
                  <w:marBottom w:val="0"/>
                  <w:divBdr>
                    <w:top w:val="none" w:sz="0" w:space="0" w:color="auto"/>
                    <w:left w:val="none" w:sz="0" w:space="0" w:color="auto"/>
                    <w:bottom w:val="none" w:sz="0" w:space="0" w:color="auto"/>
                    <w:right w:val="none" w:sz="0" w:space="0" w:color="auto"/>
                  </w:divBdr>
                </w:div>
                <w:div w:id="1467160349">
                  <w:marLeft w:val="0"/>
                  <w:marRight w:val="0"/>
                  <w:marTop w:val="0"/>
                  <w:marBottom w:val="0"/>
                  <w:divBdr>
                    <w:top w:val="none" w:sz="0" w:space="0" w:color="auto"/>
                    <w:left w:val="none" w:sz="0" w:space="0" w:color="auto"/>
                    <w:bottom w:val="none" w:sz="0" w:space="0" w:color="auto"/>
                    <w:right w:val="none" w:sz="0" w:space="0" w:color="auto"/>
                  </w:divBdr>
                </w:div>
                <w:div w:id="1356342966">
                  <w:marLeft w:val="0"/>
                  <w:marRight w:val="0"/>
                  <w:marTop w:val="0"/>
                  <w:marBottom w:val="0"/>
                  <w:divBdr>
                    <w:top w:val="none" w:sz="0" w:space="0" w:color="auto"/>
                    <w:left w:val="none" w:sz="0" w:space="0" w:color="auto"/>
                    <w:bottom w:val="none" w:sz="0" w:space="0" w:color="auto"/>
                    <w:right w:val="none" w:sz="0" w:space="0" w:color="auto"/>
                  </w:divBdr>
                </w:div>
                <w:div w:id="581717069">
                  <w:marLeft w:val="0"/>
                  <w:marRight w:val="0"/>
                  <w:marTop w:val="0"/>
                  <w:marBottom w:val="0"/>
                  <w:divBdr>
                    <w:top w:val="none" w:sz="0" w:space="0" w:color="auto"/>
                    <w:left w:val="none" w:sz="0" w:space="0" w:color="auto"/>
                    <w:bottom w:val="none" w:sz="0" w:space="0" w:color="auto"/>
                    <w:right w:val="none" w:sz="0" w:space="0" w:color="auto"/>
                  </w:divBdr>
                </w:div>
                <w:div w:id="1134369687">
                  <w:marLeft w:val="0"/>
                  <w:marRight w:val="0"/>
                  <w:marTop w:val="0"/>
                  <w:marBottom w:val="0"/>
                  <w:divBdr>
                    <w:top w:val="none" w:sz="0" w:space="0" w:color="auto"/>
                    <w:left w:val="none" w:sz="0" w:space="0" w:color="auto"/>
                    <w:bottom w:val="none" w:sz="0" w:space="0" w:color="auto"/>
                    <w:right w:val="none" w:sz="0" w:space="0" w:color="auto"/>
                  </w:divBdr>
                </w:div>
                <w:div w:id="1832062121">
                  <w:marLeft w:val="0"/>
                  <w:marRight w:val="0"/>
                  <w:marTop w:val="0"/>
                  <w:marBottom w:val="0"/>
                  <w:divBdr>
                    <w:top w:val="none" w:sz="0" w:space="0" w:color="auto"/>
                    <w:left w:val="none" w:sz="0" w:space="0" w:color="auto"/>
                    <w:bottom w:val="none" w:sz="0" w:space="0" w:color="auto"/>
                    <w:right w:val="none" w:sz="0" w:space="0" w:color="auto"/>
                  </w:divBdr>
                </w:div>
                <w:div w:id="1064915286">
                  <w:marLeft w:val="0"/>
                  <w:marRight w:val="0"/>
                  <w:marTop w:val="0"/>
                  <w:marBottom w:val="0"/>
                  <w:divBdr>
                    <w:top w:val="none" w:sz="0" w:space="0" w:color="auto"/>
                    <w:left w:val="none" w:sz="0" w:space="0" w:color="auto"/>
                    <w:bottom w:val="none" w:sz="0" w:space="0" w:color="auto"/>
                    <w:right w:val="none" w:sz="0" w:space="0" w:color="auto"/>
                  </w:divBdr>
                </w:div>
                <w:div w:id="1616281435">
                  <w:marLeft w:val="0"/>
                  <w:marRight w:val="0"/>
                  <w:marTop w:val="0"/>
                  <w:marBottom w:val="0"/>
                  <w:divBdr>
                    <w:top w:val="none" w:sz="0" w:space="0" w:color="auto"/>
                    <w:left w:val="none" w:sz="0" w:space="0" w:color="auto"/>
                    <w:bottom w:val="none" w:sz="0" w:space="0" w:color="auto"/>
                    <w:right w:val="none" w:sz="0" w:space="0" w:color="auto"/>
                  </w:divBdr>
                </w:div>
                <w:div w:id="1817187268">
                  <w:marLeft w:val="0"/>
                  <w:marRight w:val="0"/>
                  <w:marTop w:val="0"/>
                  <w:marBottom w:val="0"/>
                  <w:divBdr>
                    <w:top w:val="none" w:sz="0" w:space="0" w:color="auto"/>
                    <w:left w:val="none" w:sz="0" w:space="0" w:color="auto"/>
                    <w:bottom w:val="none" w:sz="0" w:space="0" w:color="auto"/>
                    <w:right w:val="none" w:sz="0" w:space="0" w:color="auto"/>
                  </w:divBdr>
                </w:div>
                <w:div w:id="1692608392">
                  <w:marLeft w:val="0"/>
                  <w:marRight w:val="0"/>
                  <w:marTop w:val="0"/>
                  <w:marBottom w:val="0"/>
                  <w:divBdr>
                    <w:top w:val="none" w:sz="0" w:space="0" w:color="auto"/>
                    <w:left w:val="none" w:sz="0" w:space="0" w:color="auto"/>
                    <w:bottom w:val="none" w:sz="0" w:space="0" w:color="auto"/>
                    <w:right w:val="none" w:sz="0" w:space="0" w:color="auto"/>
                  </w:divBdr>
                </w:div>
                <w:div w:id="402609691">
                  <w:marLeft w:val="0"/>
                  <w:marRight w:val="0"/>
                  <w:marTop w:val="0"/>
                  <w:marBottom w:val="0"/>
                  <w:divBdr>
                    <w:top w:val="none" w:sz="0" w:space="0" w:color="auto"/>
                    <w:left w:val="none" w:sz="0" w:space="0" w:color="auto"/>
                    <w:bottom w:val="none" w:sz="0" w:space="0" w:color="auto"/>
                    <w:right w:val="none" w:sz="0" w:space="0" w:color="auto"/>
                  </w:divBdr>
                </w:div>
                <w:div w:id="2006669787">
                  <w:marLeft w:val="0"/>
                  <w:marRight w:val="0"/>
                  <w:marTop w:val="0"/>
                  <w:marBottom w:val="0"/>
                  <w:divBdr>
                    <w:top w:val="none" w:sz="0" w:space="0" w:color="auto"/>
                    <w:left w:val="none" w:sz="0" w:space="0" w:color="auto"/>
                    <w:bottom w:val="none" w:sz="0" w:space="0" w:color="auto"/>
                    <w:right w:val="none" w:sz="0" w:space="0" w:color="auto"/>
                  </w:divBdr>
                </w:div>
                <w:div w:id="1264610009">
                  <w:marLeft w:val="0"/>
                  <w:marRight w:val="0"/>
                  <w:marTop w:val="0"/>
                  <w:marBottom w:val="0"/>
                  <w:divBdr>
                    <w:top w:val="none" w:sz="0" w:space="0" w:color="auto"/>
                    <w:left w:val="none" w:sz="0" w:space="0" w:color="auto"/>
                    <w:bottom w:val="none" w:sz="0" w:space="0" w:color="auto"/>
                    <w:right w:val="none" w:sz="0" w:space="0" w:color="auto"/>
                  </w:divBdr>
                </w:div>
                <w:div w:id="606083775">
                  <w:marLeft w:val="0"/>
                  <w:marRight w:val="0"/>
                  <w:marTop w:val="0"/>
                  <w:marBottom w:val="0"/>
                  <w:divBdr>
                    <w:top w:val="none" w:sz="0" w:space="0" w:color="auto"/>
                    <w:left w:val="none" w:sz="0" w:space="0" w:color="auto"/>
                    <w:bottom w:val="none" w:sz="0" w:space="0" w:color="auto"/>
                    <w:right w:val="none" w:sz="0" w:space="0" w:color="auto"/>
                  </w:divBdr>
                </w:div>
                <w:div w:id="551843726">
                  <w:marLeft w:val="0"/>
                  <w:marRight w:val="0"/>
                  <w:marTop w:val="0"/>
                  <w:marBottom w:val="0"/>
                  <w:divBdr>
                    <w:top w:val="none" w:sz="0" w:space="0" w:color="auto"/>
                    <w:left w:val="none" w:sz="0" w:space="0" w:color="auto"/>
                    <w:bottom w:val="none" w:sz="0" w:space="0" w:color="auto"/>
                    <w:right w:val="none" w:sz="0" w:space="0" w:color="auto"/>
                  </w:divBdr>
                </w:div>
                <w:div w:id="648286935">
                  <w:marLeft w:val="0"/>
                  <w:marRight w:val="0"/>
                  <w:marTop w:val="0"/>
                  <w:marBottom w:val="0"/>
                  <w:divBdr>
                    <w:top w:val="none" w:sz="0" w:space="0" w:color="auto"/>
                    <w:left w:val="none" w:sz="0" w:space="0" w:color="auto"/>
                    <w:bottom w:val="none" w:sz="0" w:space="0" w:color="auto"/>
                    <w:right w:val="none" w:sz="0" w:space="0" w:color="auto"/>
                  </w:divBdr>
                </w:div>
                <w:div w:id="112527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97840">
          <w:marLeft w:val="0"/>
          <w:marRight w:val="0"/>
          <w:marTop w:val="0"/>
          <w:marBottom w:val="0"/>
          <w:divBdr>
            <w:top w:val="none" w:sz="0" w:space="0" w:color="auto"/>
            <w:left w:val="none" w:sz="0" w:space="0" w:color="auto"/>
            <w:bottom w:val="none" w:sz="0" w:space="0" w:color="auto"/>
            <w:right w:val="none" w:sz="0" w:space="0" w:color="auto"/>
          </w:divBdr>
          <w:divsChild>
            <w:div w:id="871654519">
              <w:marLeft w:val="0"/>
              <w:marRight w:val="0"/>
              <w:marTop w:val="0"/>
              <w:marBottom w:val="0"/>
              <w:divBdr>
                <w:top w:val="none" w:sz="0" w:space="0" w:color="auto"/>
                <w:left w:val="none" w:sz="0" w:space="0" w:color="auto"/>
                <w:bottom w:val="none" w:sz="0" w:space="0" w:color="auto"/>
                <w:right w:val="none" w:sz="0" w:space="0" w:color="auto"/>
              </w:divBdr>
              <w:divsChild>
                <w:div w:id="1035620085">
                  <w:marLeft w:val="0"/>
                  <w:marRight w:val="0"/>
                  <w:marTop w:val="0"/>
                  <w:marBottom w:val="0"/>
                  <w:divBdr>
                    <w:top w:val="none" w:sz="0" w:space="0" w:color="auto"/>
                    <w:left w:val="none" w:sz="0" w:space="0" w:color="auto"/>
                    <w:bottom w:val="none" w:sz="0" w:space="0" w:color="auto"/>
                    <w:right w:val="none" w:sz="0" w:space="0" w:color="auto"/>
                  </w:divBdr>
                </w:div>
                <w:div w:id="932011167">
                  <w:marLeft w:val="0"/>
                  <w:marRight w:val="0"/>
                  <w:marTop w:val="0"/>
                  <w:marBottom w:val="0"/>
                  <w:divBdr>
                    <w:top w:val="none" w:sz="0" w:space="0" w:color="auto"/>
                    <w:left w:val="none" w:sz="0" w:space="0" w:color="auto"/>
                    <w:bottom w:val="none" w:sz="0" w:space="0" w:color="auto"/>
                    <w:right w:val="none" w:sz="0" w:space="0" w:color="auto"/>
                  </w:divBdr>
                </w:div>
                <w:div w:id="1384669953">
                  <w:marLeft w:val="0"/>
                  <w:marRight w:val="0"/>
                  <w:marTop w:val="0"/>
                  <w:marBottom w:val="0"/>
                  <w:divBdr>
                    <w:top w:val="none" w:sz="0" w:space="0" w:color="auto"/>
                    <w:left w:val="none" w:sz="0" w:space="0" w:color="auto"/>
                    <w:bottom w:val="none" w:sz="0" w:space="0" w:color="auto"/>
                    <w:right w:val="none" w:sz="0" w:space="0" w:color="auto"/>
                  </w:divBdr>
                </w:div>
                <w:div w:id="987394638">
                  <w:marLeft w:val="0"/>
                  <w:marRight w:val="0"/>
                  <w:marTop w:val="0"/>
                  <w:marBottom w:val="0"/>
                  <w:divBdr>
                    <w:top w:val="none" w:sz="0" w:space="0" w:color="auto"/>
                    <w:left w:val="none" w:sz="0" w:space="0" w:color="auto"/>
                    <w:bottom w:val="none" w:sz="0" w:space="0" w:color="auto"/>
                    <w:right w:val="none" w:sz="0" w:space="0" w:color="auto"/>
                  </w:divBdr>
                </w:div>
                <w:div w:id="1406806956">
                  <w:marLeft w:val="0"/>
                  <w:marRight w:val="0"/>
                  <w:marTop w:val="0"/>
                  <w:marBottom w:val="0"/>
                  <w:divBdr>
                    <w:top w:val="none" w:sz="0" w:space="0" w:color="auto"/>
                    <w:left w:val="none" w:sz="0" w:space="0" w:color="auto"/>
                    <w:bottom w:val="none" w:sz="0" w:space="0" w:color="auto"/>
                    <w:right w:val="none" w:sz="0" w:space="0" w:color="auto"/>
                  </w:divBdr>
                </w:div>
                <w:div w:id="2087147119">
                  <w:marLeft w:val="0"/>
                  <w:marRight w:val="0"/>
                  <w:marTop w:val="0"/>
                  <w:marBottom w:val="0"/>
                  <w:divBdr>
                    <w:top w:val="none" w:sz="0" w:space="0" w:color="auto"/>
                    <w:left w:val="none" w:sz="0" w:space="0" w:color="auto"/>
                    <w:bottom w:val="none" w:sz="0" w:space="0" w:color="auto"/>
                    <w:right w:val="none" w:sz="0" w:space="0" w:color="auto"/>
                  </w:divBdr>
                </w:div>
                <w:div w:id="220406209">
                  <w:marLeft w:val="0"/>
                  <w:marRight w:val="0"/>
                  <w:marTop w:val="0"/>
                  <w:marBottom w:val="0"/>
                  <w:divBdr>
                    <w:top w:val="none" w:sz="0" w:space="0" w:color="auto"/>
                    <w:left w:val="none" w:sz="0" w:space="0" w:color="auto"/>
                    <w:bottom w:val="none" w:sz="0" w:space="0" w:color="auto"/>
                    <w:right w:val="none" w:sz="0" w:space="0" w:color="auto"/>
                  </w:divBdr>
                </w:div>
                <w:div w:id="126362116">
                  <w:marLeft w:val="0"/>
                  <w:marRight w:val="0"/>
                  <w:marTop w:val="0"/>
                  <w:marBottom w:val="0"/>
                  <w:divBdr>
                    <w:top w:val="none" w:sz="0" w:space="0" w:color="auto"/>
                    <w:left w:val="none" w:sz="0" w:space="0" w:color="auto"/>
                    <w:bottom w:val="none" w:sz="0" w:space="0" w:color="auto"/>
                    <w:right w:val="none" w:sz="0" w:space="0" w:color="auto"/>
                  </w:divBdr>
                </w:div>
                <w:div w:id="2139763680">
                  <w:marLeft w:val="0"/>
                  <w:marRight w:val="0"/>
                  <w:marTop w:val="0"/>
                  <w:marBottom w:val="0"/>
                  <w:divBdr>
                    <w:top w:val="none" w:sz="0" w:space="0" w:color="auto"/>
                    <w:left w:val="none" w:sz="0" w:space="0" w:color="auto"/>
                    <w:bottom w:val="none" w:sz="0" w:space="0" w:color="auto"/>
                    <w:right w:val="none" w:sz="0" w:space="0" w:color="auto"/>
                  </w:divBdr>
                </w:div>
                <w:div w:id="493033528">
                  <w:marLeft w:val="0"/>
                  <w:marRight w:val="0"/>
                  <w:marTop w:val="0"/>
                  <w:marBottom w:val="0"/>
                  <w:divBdr>
                    <w:top w:val="none" w:sz="0" w:space="0" w:color="auto"/>
                    <w:left w:val="none" w:sz="0" w:space="0" w:color="auto"/>
                    <w:bottom w:val="none" w:sz="0" w:space="0" w:color="auto"/>
                    <w:right w:val="none" w:sz="0" w:space="0" w:color="auto"/>
                  </w:divBdr>
                </w:div>
                <w:div w:id="813254163">
                  <w:marLeft w:val="0"/>
                  <w:marRight w:val="0"/>
                  <w:marTop w:val="0"/>
                  <w:marBottom w:val="0"/>
                  <w:divBdr>
                    <w:top w:val="none" w:sz="0" w:space="0" w:color="auto"/>
                    <w:left w:val="none" w:sz="0" w:space="0" w:color="auto"/>
                    <w:bottom w:val="none" w:sz="0" w:space="0" w:color="auto"/>
                    <w:right w:val="none" w:sz="0" w:space="0" w:color="auto"/>
                  </w:divBdr>
                </w:div>
                <w:div w:id="1771273835">
                  <w:marLeft w:val="0"/>
                  <w:marRight w:val="0"/>
                  <w:marTop w:val="0"/>
                  <w:marBottom w:val="0"/>
                  <w:divBdr>
                    <w:top w:val="none" w:sz="0" w:space="0" w:color="auto"/>
                    <w:left w:val="none" w:sz="0" w:space="0" w:color="auto"/>
                    <w:bottom w:val="none" w:sz="0" w:space="0" w:color="auto"/>
                    <w:right w:val="none" w:sz="0" w:space="0" w:color="auto"/>
                  </w:divBdr>
                </w:div>
                <w:div w:id="94907557">
                  <w:marLeft w:val="0"/>
                  <w:marRight w:val="0"/>
                  <w:marTop w:val="0"/>
                  <w:marBottom w:val="0"/>
                  <w:divBdr>
                    <w:top w:val="none" w:sz="0" w:space="0" w:color="auto"/>
                    <w:left w:val="none" w:sz="0" w:space="0" w:color="auto"/>
                    <w:bottom w:val="none" w:sz="0" w:space="0" w:color="auto"/>
                    <w:right w:val="none" w:sz="0" w:space="0" w:color="auto"/>
                  </w:divBdr>
                </w:div>
                <w:div w:id="1304892737">
                  <w:marLeft w:val="0"/>
                  <w:marRight w:val="0"/>
                  <w:marTop w:val="0"/>
                  <w:marBottom w:val="0"/>
                  <w:divBdr>
                    <w:top w:val="none" w:sz="0" w:space="0" w:color="auto"/>
                    <w:left w:val="none" w:sz="0" w:space="0" w:color="auto"/>
                    <w:bottom w:val="none" w:sz="0" w:space="0" w:color="auto"/>
                    <w:right w:val="none" w:sz="0" w:space="0" w:color="auto"/>
                  </w:divBdr>
                </w:div>
                <w:div w:id="1958443273">
                  <w:marLeft w:val="0"/>
                  <w:marRight w:val="0"/>
                  <w:marTop w:val="0"/>
                  <w:marBottom w:val="0"/>
                  <w:divBdr>
                    <w:top w:val="none" w:sz="0" w:space="0" w:color="auto"/>
                    <w:left w:val="none" w:sz="0" w:space="0" w:color="auto"/>
                    <w:bottom w:val="none" w:sz="0" w:space="0" w:color="auto"/>
                    <w:right w:val="none" w:sz="0" w:space="0" w:color="auto"/>
                  </w:divBdr>
                </w:div>
                <w:div w:id="152382931">
                  <w:marLeft w:val="0"/>
                  <w:marRight w:val="0"/>
                  <w:marTop w:val="0"/>
                  <w:marBottom w:val="0"/>
                  <w:divBdr>
                    <w:top w:val="none" w:sz="0" w:space="0" w:color="auto"/>
                    <w:left w:val="none" w:sz="0" w:space="0" w:color="auto"/>
                    <w:bottom w:val="none" w:sz="0" w:space="0" w:color="auto"/>
                    <w:right w:val="none" w:sz="0" w:space="0" w:color="auto"/>
                  </w:divBdr>
                </w:div>
                <w:div w:id="306782757">
                  <w:marLeft w:val="0"/>
                  <w:marRight w:val="0"/>
                  <w:marTop w:val="0"/>
                  <w:marBottom w:val="0"/>
                  <w:divBdr>
                    <w:top w:val="none" w:sz="0" w:space="0" w:color="auto"/>
                    <w:left w:val="none" w:sz="0" w:space="0" w:color="auto"/>
                    <w:bottom w:val="none" w:sz="0" w:space="0" w:color="auto"/>
                    <w:right w:val="none" w:sz="0" w:space="0" w:color="auto"/>
                  </w:divBdr>
                </w:div>
                <w:div w:id="74909932">
                  <w:marLeft w:val="0"/>
                  <w:marRight w:val="0"/>
                  <w:marTop w:val="0"/>
                  <w:marBottom w:val="0"/>
                  <w:divBdr>
                    <w:top w:val="none" w:sz="0" w:space="0" w:color="auto"/>
                    <w:left w:val="none" w:sz="0" w:space="0" w:color="auto"/>
                    <w:bottom w:val="none" w:sz="0" w:space="0" w:color="auto"/>
                    <w:right w:val="none" w:sz="0" w:space="0" w:color="auto"/>
                  </w:divBdr>
                </w:div>
                <w:div w:id="1464232775">
                  <w:marLeft w:val="0"/>
                  <w:marRight w:val="0"/>
                  <w:marTop w:val="0"/>
                  <w:marBottom w:val="0"/>
                  <w:divBdr>
                    <w:top w:val="none" w:sz="0" w:space="0" w:color="auto"/>
                    <w:left w:val="none" w:sz="0" w:space="0" w:color="auto"/>
                    <w:bottom w:val="none" w:sz="0" w:space="0" w:color="auto"/>
                    <w:right w:val="none" w:sz="0" w:space="0" w:color="auto"/>
                  </w:divBdr>
                </w:div>
                <w:div w:id="1000085270">
                  <w:marLeft w:val="0"/>
                  <w:marRight w:val="0"/>
                  <w:marTop w:val="0"/>
                  <w:marBottom w:val="0"/>
                  <w:divBdr>
                    <w:top w:val="none" w:sz="0" w:space="0" w:color="auto"/>
                    <w:left w:val="none" w:sz="0" w:space="0" w:color="auto"/>
                    <w:bottom w:val="none" w:sz="0" w:space="0" w:color="auto"/>
                    <w:right w:val="none" w:sz="0" w:space="0" w:color="auto"/>
                  </w:divBdr>
                </w:div>
                <w:div w:id="1209798784">
                  <w:marLeft w:val="0"/>
                  <w:marRight w:val="0"/>
                  <w:marTop w:val="0"/>
                  <w:marBottom w:val="0"/>
                  <w:divBdr>
                    <w:top w:val="none" w:sz="0" w:space="0" w:color="auto"/>
                    <w:left w:val="none" w:sz="0" w:space="0" w:color="auto"/>
                    <w:bottom w:val="none" w:sz="0" w:space="0" w:color="auto"/>
                    <w:right w:val="none" w:sz="0" w:space="0" w:color="auto"/>
                  </w:divBdr>
                </w:div>
                <w:div w:id="454301223">
                  <w:marLeft w:val="0"/>
                  <w:marRight w:val="0"/>
                  <w:marTop w:val="0"/>
                  <w:marBottom w:val="0"/>
                  <w:divBdr>
                    <w:top w:val="none" w:sz="0" w:space="0" w:color="auto"/>
                    <w:left w:val="none" w:sz="0" w:space="0" w:color="auto"/>
                    <w:bottom w:val="none" w:sz="0" w:space="0" w:color="auto"/>
                    <w:right w:val="none" w:sz="0" w:space="0" w:color="auto"/>
                  </w:divBdr>
                </w:div>
                <w:div w:id="1646202077">
                  <w:marLeft w:val="0"/>
                  <w:marRight w:val="0"/>
                  <w:marTop w:val="0"/>
                  <w:marBottom w:val="0"/>
                  <w:divBdr>
                    <w:top w:val="none" w:sz="0" w:space="0" w:color="auto"/>
                    <w:left w:val="none" w:sz="0" w:space="0" w:color="auto"/>
                    <w:bottom w:val="none" w:sz="0" w:space="0" w:color="auto"/>
                    <w:right w:val="none" w:sz="0" w:space="0" w:color="auto"/>
                  </w:divBdr>
                </w:div>
                <w:div w:id="316418848">
                  <w:marLeft w:val="0"/>
                  <w:marRight w:val="0"/>
                  <w:marTop w:val="0"/>
                  <w:marBottom w:val="0"/>
                  <w:divBdr>
                    <w:top w:val="none" w:sz="0" w:space="0" w:color="auto"/>
                    <w:left w:val="none" w:sz="0" w:space="0" w:color="auto"/>
                    <w:bottom w:val="none" w:sz="0" w:space="0" w:color="auto"/>
                    <w:right w:val="none" w:sz="0" w:space="0" w:color="auto"/>
                  </w:divBdr>
                </w:div>
                <w:div w:id="2005934752">
                  <w:marLeft w:val="0"/>
                  <w:marRight w:val="0"/>
                  <w:marTop w:val="0"/>
                  <w:marBottom w:val="0"/>
                  <w:divBdr>
                    <w:top w:val="none" w:sz="0" w:space="0" w:color="auto"/>
                    <w:left w:val="none" w:sz="0" w:space="0" w:color="auto"/>
                    <w:bottom w:val="none" w:sz="0" w:space="0" w:color="auto"/>
                    <w:right w:val="none" w:sz="0" w:space="0" w:color="auto"/>
                  </w:divBdr>
                </w:div>
                <w:div w:id="201170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314952">
      <w:bodyDiv w:val="1"/>
      <w:marLeft w:val="0"/>
      <w:marRight w:val="0"/>
      <w:marTop w:val="0"/>
      <w:marBottom w:val="0"/>
      <w:divBdr>
        <w:top w:val="none" w:sz="0" w:space="0" w:color="auto"/>
        <w:left w:val="none" w:sz="0" w:space="0" w:color="auto"/>
        <w:bottom w:val="none" w:sz="0" w:space="0" w:color="auto"/>
        <w:right w:val="none" w:sz="0" w:space="0" w:color="auto"/>
      </w:divBdr>
      <w:divsChild>
        <w:div w:id="508908347">
          <w:marLeft w:val="0"/>
          <w:marRight w:val="0"/>
          <w:marTop w:val="0"/>
          <w:marBottom w:val="0"/>
          <w:divBdr>
            <w:top w:val="none" w:sz="0" w:space="0" w:color="auto"/>
            <w:left w:val="none" w:sz="0" w:space="0" w:color="auto"/>
            <w:bottom w:val="none" w:sz="0" w:space="0" w:color="auto"/>
            <w:right w:val="none" w:sz="0" w:space="0" w:color="auto"/>
          </w:divBdr>
        </w:div>
        <w:div w:id="369689156">
          <w:marLeft w:val="0"/>
          <w:marRight w:val="0"/>
          <w:marTop w:val="0"/>
          <w:marBottom w:val="0"/>
          <w:divBdr>
            <w:top w:val="none" w:sz="0" w:space="0" w:color="auto"/>
            <w:left w:val="none" w:sz="0" w:space="0" w:color="auto"/>
            <w:bottom w:val="none" w:sz="0" w:space="0" w:color="auto"/>
            <w:right w:val="none" w:sz="0" w:space="0" w:color="auto"/>
          </w:divBdr>
        </w:div>
      </w:divsChild>
    </w:div>
    <w:div w:id="2101372377">
      <w:bodyDiv w:val="1"/>
      <w:marLeft w:val="0"/>
      <w:marRight w:val="0"/>
      <w:marTop w:val="0"/>
      <w:marBottom w:val="0"/>
      <w:divBdr>
        <w:top w:val="none" w:sz="0" w:space="0" w:color="auto"/>
        <w:left w:val="none" w:sz="0" w:space="0" w:color="auto"/>
        <w:bottom w:val="none" w:sz="0" w:space="0" w:color="auto"/>
        <w:right w:val="none" w:sz="0" w:space="0" w:color="auto"/>
      </w:divBdr>
      <w:divsChild>
        <w:div w:id="1043946587">
          <w:marLeft w:val="0"/>
          <w:marRight w:val="0"/>
          <w:marTop w:val="0"/>
          <w:marBottom w:val="0"/>
          <w:divBdr>
            <w:top w:val="none" w:sz="0" w:space="0" w:color="auto"/>
            <w:left w:val="none" w:sz="0" w:space="0" w:color="auto"/>
            <w:bottom w:val="none" w:sz="0" w:space="0" w:color="auto"/>
            <w:right w:val="none" w:sz="0" w:space="0" w:color="auto"/>
          </w:divBdr>
        </w:div>
        <w:div w:id="1107045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rjory@ara.net.a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ARA">
      <a:dk1>
        <a:srgbClr val="0D282D"/>
      </a:dk1>
      <a:lt1>
        <a:srgbClr val="EDF1E3"/>
      </a:lt1>
      <a:dk2>
        <a:srgbClr val="00CC99"/>
      </a:dk2>
      <a:lt2>
        <a:srgbClr val="FFFFFF"/>
      </a:lt2>
      <a:accent1>
        <a:srgbClr val="92D050"/>
      </a:accent1>
      <a:accent2>
        <a:srgbClr val="00CC99"/>
      </a:accent2>
      <a:accent3>
        <a:srgbClr val="FECC2B"/>
      </a:accent3>
      <a:accent4>
        <a:srgbClr val="52C3F1"/>
      </a:accent4>
      <a:accent5>
        <a:srgbClr val="00688E"/>
      </a:accent5>
      <a:accent6>
        <a:srgbClr val="EDF1E3"/>
      </a:accent6>
      <a:hlink>
        <a:srgbClr val="00688E"/>
      </a:hlink>
      <a:folHlink>
        <a:srgbClr val="92D050"/>
      </a:folHlink>
    </a:clrScheme>
    <a:fontScheme name="ARA">
      <a:majorFont>
        <a:latin typeface="Open Sans Semibold"/>
        <a:ea typeface=""/>
        <a:cs typeface=""/>
      </a:majorFont>
      <a:minorFont>
        <a:latin typeface="Open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BF977-AEEE-4970-8B0F-0332B9AE5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4780</Words>
  <Characters>25865</Characters>
  <Application>Microsoft Office Word</Application>
  <DocSecurity>4</DocSecurity>
  <Lines>478</Lines>
  <Paragraphs>182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58 - Australasian Railway Association - Public Infrastructure - Public inquiry</dc:title>
  <dc:creator>Australasian Railway Association</dc:creator>
  <cp:lastModifiedBy>Smith, Warwick</cp:lastModifiedBy>
  <cp:revision>2</cp:revision>
  <cp:lastPrinted>2013-12-05T04:02:00Z</cp:lastPrinted>
  <dcterms:created xsi:type="dcterms:W3CDTF">2014-01-07T03:43:00Z</dcterms:created>
  <dcterms:modified xsi:type="dcterms:W3CDTF">2014-01-07T03:43:00Z</dcterms:modified>
</cp:coreProperties>
</file>