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0C6517F4" w:rsidR="00BF738A" w:rsidRPr="00ED57AE" w:rsidRDefault="006F0134" w:rsidP="00F67BF1">
      <w:pPr>
        <w:pStyle w:val="Heading1"/>
        <w:spacing w:before="720"/>
      </w:pPr>
      <w:r>
        <w:t>Innovation for the 98%</w:t>
      </w:r>
    </w:p>
    <w:p w14:paraId="4DE54FA3" w14:textId="1189D693" w:rsidR="00A10A0A" w:rsidRPr="00A10A0A" w:rsidRDefault="00A10A0A" w:rsidP="00A10A0A">
      <w:pPr>
        <w:spacing w:before="120" w:after="120" w:line="280" w:lineRule="atLeast"/>
        <w:rPr>
          <w:rFonts w:ascii="Arial" w:eastAsia="Arial" w:hAnsi="Arial" w:cs="Times New Roman"/>
          <w:szCs w:val="20"/>
        </w:rPr>
      </w:pPr>
      <w:r w:rsidRPr="00A10A0A">
        <w:rPr>
          <w:rFonts w:ascii="Arial" w:eastAsia="Arial" w:hAnsi="Arial" w:cs="Times New Roman"/>
          <w:szCs w:val="20"/>
        </w:rPr>
        <w:t>Established government policies</w:t>
      </w:r>
      <w:r w:rsidR="00507F98">
        <w:rPr>
          <w:rFonts w:ascii="Arial" w:eastAsia="Arial" w:hAnsi="Arial" w:cs="Times New Roman"/>
          <w:szCs w:val="20"/>
        </w:rPr>
        <w:t xml:space="preserve">, </w:t>
      </w:r>
      <w:r w:rsidR="00507F98" w:rsidRPr="00A10A0A">
        <w:rPr>
          <w:rFonts w:ascii="Arial" w:eastAsia="Arial" w:hAnsi="Arial" w:cs="Times New Roman"/>
          <w:szCs w:val="20"/>
        </w:rPr>
        <w:t>such as the R&amp;D tax incentive</w:t>
      </w:r>
      <w:r w:rsidR="00280C07">
        <w:rPr>
          <w:rFonts w:ascii="Arial" w:eastAsia="Arial" w:hAnsi="Arial" w:cs="Times New Roman"/>
          <w:szCs w:val="20"/>
        </w:rPr>
        <w:t>,</w:t>
      </w:r>
      <w:r w:rsidRPr="00A10A0A">
        <w:rPr>
          <w:rFonts w:ascii="Arial" w:eastAsia="Arial" w:hAnsi="Arial" w:cs="Times New Roman"/>
          <w:szCs w:val="20"/>
        </w:rPr>
        <w:t xml:space="preserve"> support traditional channels for new-to-the-world innovation</w:t>
      </w:r>
      <w:r w:rsidR="00604C36">
        <w:rPr>
          <w:rFonts w:ascii="Arial" w:eastAsia="Arial" w:hAnsi="Arial" w:cs="Times New Roman"/>
          <w:szCs w:val="20"/>
        </w:rPr>
        <w:t>. However</w:t>
      </w:r>
      <w:r w:rsidR="00280C07">
        <w:rPr>
          <w:rFonts w:ascii="Arial" w:eastAsia="Arial" w:hAnsi="Arial" w:cs="Times New Roman"/>
          <w:szCs w:val="20"/>
        </w:rPr>
        <w:t>,</w:t>
      </w:r>
      <w:r w:rsidR="00507F98">
        <w:rPr>
          <w:rFonts w:ascii="Arial" w:eastAsia="Arial" w:hAnsi="Arial" w:cs="Times New Roman"/>
          <w:szCs w:val="20"/>
        </w:rPr>
        <w:t xml:space="preserve"> </w:t>
      </w:r>
      <w:r w:rsidRPr="00A10A0A">
        <w:rPr>
          <w:rFonts w:ascii="Arial" w:eastAsia="Arial" w:hAnsi="Arial" w:cs="Times New Roman"/>
          <w:szCs w:val="20"/>
        </w:rPr>
        <w:t xml:space="preserve">most businesses </w:t>
      </w:r>
      <w:r w:rsidR="00604C36">
        <w:rPr>
          <w:rFonts w:ascii="Arial" w:eastAsia="Arial" w:hAnsi="Arial" w:cs="Times New Roman"/>
          <w:szCs w:val="20"/>
        </w:rPr>
        <w:t>do</w:t>
      </w:r>
      <w:r w:rsidRPr="00A10A0A">
        <w:rPr>
          <w:rFonts w:ascii="Arial" w:eastAsia="Arial" w:hAnsi="Arial" w:cs="Times New Roman"/>
          <w:szCs w:val="20"/>
        </w:rPr>
        <w:t xml:space="preserve"> not operat</w:t>
      </w:r>
      <w:r w:rsidR="00604C36">
        <w:rPr>
          <w:rFonts w:ascii="Arial" w:eastAsia="Arial" w:hAnsi="Arial" w:cs="Times New Roman"/>
          <w:szCs w:val="20"/>
        </w:rPr>
        <w:t>e</w:t>
      </w:r>
      <w:r w:rsidRPr="00A10A0A">
        <w:rPr>
          <w:rFonts w:ascii="Arial" w:eastAsia="Arial" w:hAnsi="Arial" w:cs="Times New Roman"/>
          <w:szCs w:val="20"/>
        </w:rPr>
        <w:t xml:space="preserve"> at the technological frontier</w:t>
      </w:r>
      <w:r w:rsidR="00280C07">
        <w:rPr>
          <w:rFonts w:ascii="Arial" w:eastAsia="Arial" w:hAnsi="Arial" w:cs="Times New Roman"/>
          <w:szCs w:val="20"/>
        </w:rPr>
        <w:t>. G</w:t>
      </w:r>
      <w:r w:rsidRPr="00A10A0A">
        <w:rPr>
          <w:rFonts w:ascii="Arial" w:eastAsia="Arial" w:hAnsi="Arial" w:cs="Times New Roman"/>
          <w:szCs w:val="20"/>
        </w:rPr>
        <w:t xml:space="preserve">overnment policy needs to place more emphasis on the 98% of businesses that benefit from diffusion. Supporting the </w:t>
      </w:r>
      <w:r w:rsidRPr="00A10A0A">
        <w:rPr>
          <w:rFonts w:ascii="Arial" w:eastAsia="Arial" w:hAnsi="Arial" w:cs="Times New Roman"/>
          <w:b/>
          <w:bCs/>
          <w:szCs w:val="20"/>
        </w:rPr>
        <w:t>diffusion of existing good ideas and effective business models</w:t>
      </w:r>
      <w:r w:rsidRPr="00A10A0A">
        <w:rPr>
          <w:rFonts w:ascii="Arial" w:eastAsia="Arial" w:hAnsi="Arial" w:cs="Times New Roman"/>
          <w:szCs w:val="20"/>
        </w:rPr>
        <w:t xml:space="preserve"> will increase economy</w:t>
      </w:r>
      <w:r w:rsidR="00280C07">
        <w:rPr>
          <w:rFonts w:ascii="Arial" w:eastAsia="Arial" w:hAnsi="Arial" w:cs="Times New Roman"/>
          <w:szCs w:val="20"/>
        </w:rPr>
        <w:noBreakHyphen/>
      </w:r>
      <w:r w:rsidRPr="00A10A0A">
        <w:rPr>
          <w:rFonts w:ascii="Arial" w:eastAsia="Arial" w:hAnsi="Arial" w:cs="Times New Roman"/>
          <w:szCs w:val="20"/>
        </w:rPr>
        <w:t xml:space="preserve">wide productivity. </w:t>
      </w:r>
      <w:r w:rsidR="00280C07">
        <w:rPr>
          <w:rFonts w:ascii="Arial" w:eastAsia="Arial" w:hAnsi="Arial" w:cs="Times New Roman"/>
          <w:szCs w:val="20"/>
        </w:rPr>
        <w:t>Currently,</w:t>
      </w:r>
      <w:r w:rsidR="00280C07" w:rsidRPr="00A10A0A">
        <w:rPr>
          <w:rFonts w:ascii="Arial" w:eastAsia="Arial" w:hAnsi="Arial" w:cs="Times New Roman"/>
          <w:szCs w:val="20"/>
        </w:rPr>
        <w:t xml:space="preserve"> </w:t>
      </w:r>
      <w:r w:rsidRPr="00A10A0A">
        <w:rPr>
          <w:rFonts w:ascii="Arial" w:eastAsia="Arial" w:hAnsi="Arial" w:cs="Times New Roman"/>
          <w:szCs w:val="20"/>
        </w:rPr>
        <w:t>the World Intellectual Property Organisation ranks Australia at 78th in the world in knowledge diffusion and 52nd in knowledge absorption.</w:t>
      </w:r>
    </w:p>
    <w:p w14:paraId="45B3D108" w14:textId="2BBAE87E" w:rsidR="00A449C3" w:rsidRPr="0026558A" w:rsidRDefault="00A10A0A" w:rsidP="00A449C3">
      <w:pPr>
        <w:rPr>
          <w:spacing w:val="-2"/>
          <w:szCs w:val="20"/>
        </w:rPr>
      </w:pPr>
      <w:r w:rsidRPr="0026558A">
        <w:rPr>
          <w:spacing w:val="-2"/>
          <w:szCs w:val="20"/>
        </w:rPr>
        <w:t xml:space="preserve">Diffusion of innovation in government services can also lead to large productivity improvements. </w:t>
      </w:r>
      <w:r w:rsidR="00604C36" w:rsidRPr="0026558A">
        <w:rPr>
          <w:spacing w:val="-2"/>
          <w:szCs w:val="20"/>
        </w:rPr>
        <w:t>G</w:t>
      </w:r>
      <w:r w:rsidRPr="0026558A">
        <w:rPr>
          <w:spacing w:val="-2"/>
          <w:szCs w:val="20"/>
        </w:rPr>
        <w:t>overnment spending was about $880 billion in 2020-21</w:t>
      </w:r>
      <w:r w:rsidR="00280C07" w:rsidRPr="0026558A">
        <w:rPr>
          <w:spacing w:val="-2"/>
          <w:szCs w:val="20"/>
        </w:rPr>
        <w:t xml:space="preserve">, </w:t>
      </w:r>
      <w:r w:rsidRPr="0026558A">
        <w:rPr>
          <w:spacing w:val="-2"/>
          <w:szCs w:val="20"/>
        </w:rPr>
        <w:t>or 42% of GDP</w:t>
      </w:r>
      <w:r w:rsidR="00280C07" w:rsidRPr="0026558A">
        <w:rPr>
          <w:spacing w:val="-2"/>
          <w:szCs w:val="20"/>
        </w:rPr>
        <w:t xml:space="preserve">, </w:t>
      </w:r>
      <w:r w:rsidR="00604C36" w:rsidRPr="0026558A">
        <w:rPr>
          <w:spacing w:val="-2"/>
          <w:szCs w:val="20"/>
        </w:rPr>
        <w:t xml:space="preserve">so </w:t>
      </w:r>
      <w:r w:rsidRPr="0026558A">
        <w:rPr>
          <w:spacing w:val="-2"/>
          <w:szCs w:val="20"/>
        </w:rPr>
        <w:t xml:space="preserve">even </w:t>
      </w:r>
      <w:r w:rsidRPr="0026558A">
        <w:rPr>
          <w:b/>
          <w:bCs/>
          <w:spacing w:val="-2"/>
          <w:szCs w:val="20"/>
        </w:rPr>
        <w:t xml:space="preserve">incremental adoption of best practice </w:t>
      </w:r>
      <w:r w:rsidR="00604C36" w:rsidRPr="0026558A">
        <w:rPr>
          <w:b/>
          <w:bCs/>
          <w:spacing w:val="-2"/>
          <w:szCs w:val="20"/>
        </w:rPr>
        <w:t xml:space="preserve">in government services </w:t>
      </w:r>
      <w:r w:rsidRPr="0026558A">
        <w:rPr>
          <w:b/>
          <w:bCs/>
          <w:spacing w:val="-2"/>
          <w:szCs w:val="20"/>
        </w:rPr>
        <w:t>can lead to significant service quality improvements and cost savings</w:t>
      </w:r>
      <w:r w:rsidRPr="0026558A">
        <w:rPr>
          <w:spacing w:val="-2"/>
          <w:szCs w:val="20"/>
        </w:rPr>
        <w:t>. Innovative approaches in service delivery, policy and system design are already evident throughout the public sector, though innovation is often slow, piecemeal, disorganised and inconsistent across jurisdictions. Improving the efficacy of government spending and achieving diffusion of better processes and approaches in government services could lead to major productivity gains and yield better citizen outcomes in areas such as health</w:t>
      </w:r>
      <w:r w:rsidR="007342CE" w:rsidRPr="0026558A">
        <w:rPr>
          <w:spacing w:val="-2"/>
          <w:szCs w:val="20"/>
        </w:rPr>
        <w:t>, education, infrastructure provision, community services and the criminal justice system.</w:t>
      </w:r>
    </w:p>
    <w:p w14:paraId="5BD11D01" w14:textId="1FC43862" w:rsidR="00A10A0A" w:rsidRPr="00A449C3" w:rsidRDefault="00A10A0A" w:rsidP="00A449C3">
      <w:pPr>
        <w:pStyle w:val="Heading2"/>
        <w:spacing w:after="0"/>
      </w:pPr>
      <w:r w:rsidRPr="00A449C3">
        <w:rPr>
          <w:b w:val="0"/>
        </w:rPr>
        <w:t>Recommendations</w:t>
      </w:r>
    </w:p>
    <w:p w14:paraId="0052A96D" w14:textId="77777777" w:rsidR="00A10A0A" w:rsidRPr="00A10A0A" w:rsidRDefault="00A10A0A" w:rsidP="004B371B">
      <w:pPr>
        <w:spacing w:after="0" w:line="280" w:lineRule="atLeast"/>
        <w:rPr>
          <w:rFonts w:ascii="Arial" w:eastAsia="Arial" w:hAnsi="Arial" w:cs="Times New Roman"/>
          <w:szCs w:val="20"/>
        </w:rPr>
      </w:pPr>
      <w:r w:rsidRPr="00A10A0A">
        <w:rPr>
          <w:rFonts w:ascii="Arial" w:eastAsia="Arial" w:hAnsi="Arial" w:cs="Times New Roman"/>
          <w:szCs w:val="20"/>
        </w:rPr>
        <w:t>Governments can support innovation diffusion to the 98% of businesses not at the frontier by:</w:t>
      </w:r>
    </w:p>
    <w:p w14:paraId="7E3A69F3" w14:textId="29262F25" w:rsidR="00A10A0A" w:rsidRPr="00A10A0A" w:rsidRDefault="00DB4AD0" w:rsidP="007342CE">
      <w:pPr>
        <w:pStyle w:val="ListBullet"/>
        <w:spacing w:before="60"/>
      </w:pPr>
      <w:r>
        <w:t>I</w:t>
      </w:r>
      <w:r w:rsidR="00A10A0A" w:rsidRPr="00A10A0A">
        <w:t xml:space="preserve">mproving the </w:t>
      </w:r>
      <w:r w:rsidR="00A10A0A" w:rsidRPr="00A10A0A">
        <w:rPr>
          <w:b/>
          <w:bCs/>
        </w:rPr>
        <w:t>skilled migration</w:t>
      </w:r>
      <w:r w:rsidR="00A10A0A" w:rsidRPr="00A10A0A">
        <w:t xml:space="preserve"> program — skilled migrants bring knowledge about frontier technologies and practices developed overseas into Australian businesses (</w:t>
      </w:r>
      <w:r>
        <w:t>Volume</w:t>
      </w:r>
      <w:r w:rsidR="00A10A0A" w:rsidRPr="00A10A0A">
        <w:t xml:space="preserve"> 7)</w:t>
      </w:r>
      <w:r>
        <w:t>.</w:t>
      </w:r>
    </w:p>
    <w:p w14:paraId="21FF87B1" w14:textId="3CA5F180" w:rsidR="00A10A0A" w:rsidRPr="00A10A0A" w:rsidRDefault="00DB4AD0" w:rsidP="00B5323D">
      <w:pPr>
        <w:pStyle w:val="ListBullet"/>
      </w:pPr>
      <w:r>
        <w:t>R</w:t>
      </w:r>
      <w:r w:rsidR="00A10A0A" w:rsidRPr="00A10A0A">
        <w:t xml:space="preserve">educing barriers to </w:t>
      </w:r>
      <w:r w:rsidR="00A10A0A" w:rsidRPr="00A10A0A">
        <w:rPr>
          <w:b/>
          <w:bCs/>
        </w:rPr>
        <w:t>trade and</w:t>
      </w:r>
      <w:r w:rsidR="00A10A0A" w:rsidRPr="00A10A0A">
        <w:t xml:space="preserve"> </w:t>
      </w:r>
      <w:r w:rsidR="00A10A0A" w:rsidRPr="00A10A0A">
        <w:rPr>
          <w:b/>
          <w:bCs/>
        </w:rPr>
        <w:t>foreign direct investment</w:t>
      </w:r>
      <w:r w:rsidR="00A10A0A" w:rsidRPr="00A10A0A">
        <w:t xml:space="preserve"> — overseas linkages via trade and foreign direct investment give Australian businesses access to information and ideas about innovation from the global frontier, while also bringing expertise and good management practices (</w:t>
      </w:r>
      <w:r>
        <w:t>Vo</w:t>
      </w:r>
      <w:r w:rsidR="00A10A0A" w:rsidRPr="00A10A0A">
        <w:t>l</w:t>
      </w:r>
      <w:r>
        <w:t>ume</w:t>
      </w:r>
      <w:r w:rsidR="00A10A0A" w:rsidRPr="00A10A0A">
        <w:t xml:space="preserve"> 3)</w:t>
      </w:r>
      <w:r>
        <w:t>.</w:t>
      </w:r>
    </w:p>
    <w:p w14:paraId="63054F44" w14:textId="277478A8" w:rsidR="00A10A0A" w:rsidRPr="00A10A0A" w:rsidRDefault="00DB4AD0" w:rsidP="00B5323D">
      <w:pPr>
        <w:pStyle w:val="ListBullet"/>
      </w:pPr>
      <w:r>
        <w:t>U</w:t>
      </w:r>
      <w:r w:rsidR="00A10A0A" w:rsidRPr="00A10A0A">
        <w:t xml:space="preserve">sing </w:t>
      </w:r>
      <w:r w:rsidR="00A10A0A" w:rsidRPr="00A10A0A">
        <w:rPr>
          <w:b/>
          <w:bCs/>
        </w:rPr>
        <w:t>government agencies’ data</w:t>
      </w:r>
      <w:r w:rsidR="00A10A0A" w:rsidRPr="00A10A0A">
        <w:t xml:space="preserve"> collected from businesses (e.g. data collected by ABS, ATO and ABARES) to help benchmark business performance and exploring opportunities for other government</w:t>
      </w:r>
      <w:r w:rsidR="007752B9">
        <w:noBreakHyphen/>
      </w:r>
      <w:r w:rsidR="00A10A0A" w:rsidRPr="00A10A0A">
        <w:t>held data to be used in benchmarking (e.g. APRA and ASIC data for financial services and ACCC data for various consumer products) (rec</w:t>
      </w:r>
      <w:r w:rsidR="007752B9">
        <w:t>ommendation</w:t>
      </w:r>
      <w:r w:rsidR="00A10A0A" w:rsidRPr="00A10A0A">
        <w:t xml:space="preserve"> 5.5)</w:t>
      </w:r>
      <w:r w:rsidR="007752B9">
        <w:t>.</w:t>
      </w:r>
    </w:p>
    <w:p w14:paraId="5DBEC5DC" w14:textId="22796BEE" w:rsidR="00A10A0A" w:rsidRPr="00A10A0A" w:rsidRDefault="007752B9" w:rsidP="00B5323D">
      <w:pPr>
        <w:pStyle w:val="ListBullet"/>
      </w:pPr>
      <w:r>
        <w:t>B</w:t>
      </w:r>
      <w:r w:rsidR="00A10A0A" w:rsidRPr="00A10A0A">
        <w:t xml:space="preserve">etter leveraging the </w:t>
      </w:r>
      <w:r w:rsidR="00A10A0A" w:rsidRPr="00A10A0A">
        <w:rPr>
          <w:b/>
          <w:bCs/>
        </w:rPr>
        <w:t>university sector</w:t>
      </w:r>
      <w:r w:rsidR="00A10A0A" w:rsidRPr="00A10A0A">
        <w:t xml:space="preserve"> by making industry and researcher linkage programs more industry agnostic to encourage diffusion in services sectors (rec</w:t>
      </w:r>
      <w:r>
        <w:t>ommendation</w:t>
      </w:r>
      <w:r w:rsidR="00A10A0A" w:rsidRPr="00A10A0A">
        <w:t xml:space="preserve"> 5.2), and facilitating lower barriers for academics to consult with </w:t>
      </w:r>
      <w:r w:rsidR="00604C36">
        <w:t xml:space="preserve">both the public and </w:t>
      </w:r>
      <w:r w:rsidR="00A10A0A" w:rsidRPr="00A10A0A">
        <w:t xml:space="preserve">private </w:t>
      </w:r>
      <w:r w:rsidR="00604C36">
        <w:t>sectors</w:t>
      </w:r>
      <w:r w:rsidR="00A10A0A" w:rsidRPr="00A10A0A">
        <w:t xml:space="preserve"> (rec</w:t>
      </w:r>
      <w:r>
        <w:t>ommendation</w:t>
      </w:r>
      <w:r w:rsidR="00A10A0A" w:rsidRPr="00A10A0A">
        <w:t xml:space="preserve"> 5.4)</w:t>
      </w:r>
      <w:r>
        <w:t>.</w:t>
      </w:r>
    </w:p>
    <w:p w14:paraId="7AB960CF" w14:textId="14E49A8E" w:rsidR="00A10A0A" w:rsidRPr="007342CE" w:rsidRDefault="009E0D2D" w:rsidP="00B5323D">
      <w:pPr>
        <w:pStyle w:val="ListBullet"/>
        <w:rPr>
          <w:spacing w:val="-4"/>
        </w:rPr>
      </w:pPr>
      <w:r>
        <w:rPr>
          <w:spacing w:val="-4"/>
        </w:rPr>
        <w:t>I</w:t>
      </w:r>
      <w:r w:rsidR="00A10A0A" w:rsidRPr="007342CE">
        <w:rPr>
          <w:spacing w:val="-4"/>
        </w:rPr>
        <w:t>mplementing changes that improve the information flows to businesses such as by: (</w:t>
      </w:r>
      <w:proofErr w:type="spellStart"/>
      <w:r w:rsidR="00A10A0A" w:rsidRPr="007342CE">
        <w:rPr>
          <w:spacing w:val="-4"/>
        </w:rPr>
        <w:t>i</w:t>
      </w:r>
      <w:proofErr w:type="spellEnd"/>
      <w:r w:rsidR="00A10A0A" w:rsidRPr="007342CE">
        <w:rPr>
          <w:spacing w:val="-4"/>
        </w:rPr>
        <w:t xml:space="preserve">) </w:t>
      </w:r>
      <w:r w:rsidR="009100C6" w:rsidRPr="007342CE">
        <w:rPr>
          <w:b/>
          <w:bCs/>
          <w:spacing w:val="-4"/>
        </w:rPr>
        <w:t>partnering with intermediaries</w:t>
      </w:r>
      <w:r w:rsidR="009100C6" w:rsidRPr="007342CE">
        <w:rPr>
          <w:spacing w:val="-4"/>
        </w:rPr>
        <w:t xml:space="preserve"> when implementing programs to support diffusion (e.g. industry associations and other advisory or network bodies) (rec</w:t>
      </w:r>
      <w:r w:rsidR="009100C6">
        <w:rPr>
          <w:spacing w:val="-4"/>
        </w:rPr>
        <w:t>ommendation</w:t>
      </w:r>
      <w:r w:rsidR="009100C6" w:rsidRPr="007342CE">
        <w:rPr>
          <w:spacing w:val="-4"/>
        </w:rPr>
        <w:t xml:space="preserve"> 5.3)</w:t>
      </w:r>
      <w:r w:rsidR="005216A9">
        <w:rPr>
          <w:spacing w:val="-4"/>
        </w:rPr>
        <w:t>;</w:t>
      </w:r>
      <w:r w:rsidR="00A10A0A" w:rsidRPr="007342CE">
        <w:rPr>
          <w:spacing w:val="-4"/>
        </w:rPr>
        <w:t xml:space="preserve"> (ii)</w:t>
      </w:r>
      <w:r w:rsidR="005216A9" w:rsidRPr="005216A9">
        <w:rPr>
          <w:spacing w:val="-4"/>
        </w:rPr>
        <w:t xml:space="preserve"> </w:t>
      </w:r>
      <w:r w:rsidR="005216A9" w:rsidRPr="007342CE">
        <w:rPr>
          <w:spacing w:val="-4"/>
        </w:rPr>
        <w:t>trialling government</w:t>
      </w:r>
      <w:r w:rsidR="005216A9">
        <w:rPr>
          <w:spacing w:val="-4"/>
        </w:rPr>
        <w:noBreakHyphen/>
      </w:r>
      <w:r w:rsidR="005216A9" w:rsidRPr="007342CE">
        <w:rPr>
          <w:spacing w:val="-4"/>
        </w:rPr>
        <w:t xml:space="preserve">funded </w:t>
      </w:r>
      <w:r w:rsidR="005216A9" w:rsidRPr="007342CE">
        <w:rPr>
          <w:b/>
          <w:bCs/>
          <w:spacing w:val="-4"/>
        </w:rPr>
        <w:t>extension services</w:t>
      </w:r>
      <w:r w:rsidR="005216A9" w:rsidRPr="007342CE">
        <w:rPr>
          <w:spacing w:val="-4"/>
        </w:rPr>
        <w:t xml:space="preserve"> tailored by sector</w:t>
      </w:r>
      <w:r w:rsidR="00621A96">
        <w:rPr>
          <w:spacing w:val="-4"/>
        </w:rPr>
        <w:t>;</w:t>
      </w:r>
      <w:r w:rsidR="00621A96" w:rsidRPr="00621A96">
        <w:rPr>
          <w:spacing w:val="-4"/>
        </w:rPr>
        <w:t xml:space="preserve"> </w:t>
      </w:r>
      <w:r w:rsidR="00621A96" w:rsidRPr="007342CE">
        <w:rPr>
          <w:spacing w:val="-4"/>
        </w:rPr>
        <w:t>(i</w:t>
      </w:r>
      <w:r w:rsidR="00621A96">
        <w:rPr>
          <w:spacing w:val="-4"/>
        </w:rPr>
        <w:t>i</w:t>
      </w:r>
      <w:r w:rsidR="00621A96" w:rsidRPr="007342CE">
        <w:rPr>
          <w:spacing w:val="-4"/>
        </w:rPr>
        <w:t xml:space="preserve">i) requiring </w:t>
      </w:r>
      <w:r w:rsidR="00621A96" w:rsidRPr="007342CE">
        <w:rPr>
          <w:b/>
          <w:bCs/>
          <w:spacing w:val="-4"/>
        </w:rPr>
        <w:t>open access for government</w:t>
      </w:r>
      <w:r w:rsidR="00621A96" w:rsidRPr="007342CE">
        <w:rPr>
          <w:b/>
          <w:bCs/>
          <w:spacing w:val="-4"/>
        </w:rPr>
        <w:noBreakHyphen/>
        <w:t>funded research</w:t>
      </w:r>
      <w:r w:rsidR="00621A96" w:rsidRPr="007342CE">
        <w:rPr>
          <w:spacing w:val="-4"/>
        </w:rPr>
        <w:t xml:space="preserve"> in journals, papers and publications</w:t>
      </w:r>
      <w:r w:rsidR="00621A96">
        <w:rPr>
          <w:spacing w:val="-4"/>
        </w:rPr>
        <w:t>.</w:t>
      </w:r>
    </w:p>
    <w:p w14:paraId="34C3E7E0" w14:textId="77777777" w:rsidR="00A10A0A" w:rsidRPr="00A10A0A" w:rsidRDefault="00A10A0A" w:rsidP="007342CE">
      <w:pPr>
        <w:spacing w:before="120" w:after="0" w:line="280" w:lineRule="atLeast"/>
        <w:rPr>
          <w:rFonts w:ascii="Arial" w:eastAsia="Arial" w:hAnsi="Arial" w:cs="Times New Roman"/>
          <w:szCs w:val="20"/>
        </w:rPr>
      </w:pPr>
      <w:r w:rsidRPr="00A10A0A">
        <w:rPr>
          <w:rFonts w:ascii="Arial" w:eastAsia="Arial" w:hAnsi="Arial" w:cs="Times New Roman"/>
          <w:szCs w:val="20"/>
        </w:rPr>
        <w:t>To improve innovation diffusion in the public sector, governments can:</w:t>
      </w:r>
    </w:p>
    <w:p w14:paraId="5AA34DD2" w14:textId="55904577" w:rsidR="00A10A0A" w:rsidRPr="00A10A0A" w:rsidRDefault="0089142E" w:rsidP="007342CE">
      <w:pPr>
        <w:pStyle w:val="ListBullet"/>
        <w:spacing w:before="60"/>
      </w:pPr>
      <w:r>
        <w:t>U</w:t>
      </w:r>
      <w:r w:rsidR="00A10A0A" w:rsidRPr="00A10A0A">
        <w:t>se health and human services funding arrangements to encourage adoption of best practice by:</w:t>
      </w:r>
    </w:p>
    <w:p w14:paraId="45ED5C23" w14:textId="77777777" w:rsidR="00A10A0A" w:rsidRPr="007342CE" w:rsidRDefault="00A10A0A" w:rsidP="00B5323D">
      <w:pPr>
        <w:pStyle w:val="ListBullet2"/>
        <w:rPr>
          <w:spacing w:val="-4"/>
        </w:rPr>
      </w:pPr>
      <w:r w:rsidRPr="007342CE">
        <w:rPr>
          <w:spacing w:val="-4"/>
        </w:rPr>
        <w:t>regularly updating the Medicare Benefits Schedule to reflect effective treatments via rolling annual reviews undertaken by the Medical Services Advisory Committee (focusing on treatments where emerging evidence or clinician feedback questions their efficacy or cost effectiveness)</w:t>
      </w:r>
    </w:p>
    <w:p w14:paraId="3DF4854E" w14:textId="1AC5DCB2" w:rsidR="00A10A0A" w:rsidRPr="00A10A0A" w:rsidRDefault="00A10A0A" w:rsidP="00B5323D">
      <w:pPr>
        <w:pStyle w:val="ListBullet2"/>
      </w:pPr>
      <w:r w:rsidRPr="00A10A0A">
        <w:t>having longer contract lengths for government-funded services delivered by community organisations, with default lengths of 5</w:t>
      </w:r>
      <w:r w:rsidR="008D691B">
        <w:t xml:space="preserve"> to </w:t>
      </w:r>
      <w:r w:rsidRPr="00A10A0A">
        <w:t>7 years depending on the type of service</w:t>
      </w:r>
    </w:p>
    <w:p w14:paraId="68AACBF6" w14:textId="1D8D5D19" w:rsidR="00A10A0A" w:rsidRPr="00B5323D" w:rsidRDefault="00A10A0A" w:rsidP="00B5323D">
      <w:pPr>
        <w:pStyle w:val="ListBullet2"/>
        <w:rPr>
          <w:spacing w:val="-4"/>
        </w:rPr>
      </w:pPr>
      <w:r w:rsidRPr="00B5323D">
        <w:rPr>
          <w:spacing w:val="-4"/>
        </w:rPr>
        <w:t xml:space="preserve">taking a </w:t>
      </w:r>
      <w:r w:rsidR="002A011D">
        <w:rPr>
          <w:spacing w:val="-4"/>
        </w:rPr>
        <w:t>person</w:t>
      </w:r>
      <w:r w:rsidRPr="00B5323D">
        <w:rPr>
          <w:spacing w:val="-4"/>
        </w:rPr>
        <w:t xml:space="preserve">-centred approach to </w:t>
      </w:r>
      <w:r w:rsidR="00AC38A7">
        <w:rPr>
          <w:spacing w:val="-4"/>
        </w:rPr>
        <w:t>service delivery</w:t>
      </w:r>
      <w:r w:rsidR="008D691B">
        <w:rPr>
          <w:spacing w:val="-4"/>
        </w:rPr>
        <w:t>,</w:t>
      </w:r>
      <w:r w:rsidRPr="00B5323D">
        <w:rPr>
          <w:spacing w:val="-4"/>
        </w:rPr>
        <w:t xml:space="preserve"> such as in healthcare, by accelerating and scaling up long-term co-operative funding mechanisms that align the incentives of primary and hospital providers to avoid costly hospital admissions and support integrated care, and in other human services including housing assistance, end-of-life care and public dental services (rec</w:t>
      </w:r>
      <w:r w:rsidR="00932FD4">
        <w:rPr>
          <w:spacing w:val="-4"/>
        </w:rPr>
        <w:t>ommendation</w:t>
      </w:r>
      <w:r w:rsidRPr="00B5323D">
        <w:rPr>
          <w:spacing w:val="-4"/>
        </w:rPr>
        <w:t xml:space="preserve"> 5.6).</w:t>
      </w:r>
    </w:p>
    <w:p w14:paraId="7B5F9945" w14:textId="57BF59A3" w:rsidR="00A10A0A" w:rsidRPr="00A10A0A" w:rsidRDefault="00932FD4" w:rsidP="00B5323D">
      <w:pPr>
        <w:pStyle w:val="ListBullet"/>
      </w:pPr>
      <w:r>
        <w:lastRenderedPageBreak/>
        <w:t>U</w:t>
      </w:r>
      <w:r w:rsidR="00A10A0A" w:rsidRPr="00A10A0A">
        <w:t>se alliance contracting or collaborative contracting for major infrastructure projects and build incentives into contracts for achieving certain targets or standards (rec</w:t>
      </w:r>
      <w:r>
        <w:t>ommendation</w:t>
      </w:r>
      <w:r w:rsidR="00A10A0A" w:rsidRPr="00A10A0A">
        <w:t xml:space="preserve"> 5.7)</w:t>
      </w:r>
      <w:r>
        <w:t>.</w:t>
      </w:r>
    </w:p>
    <w:p w14:paraId="1D87E467" w14:textId="62DE9768" w:rsidR="00A10A0A" w:rsidRPr="006A6209" w:rsidRDefault="00932FD4" w:rsidP="00B5323D">
      <w:pPr>
        <w:pStyle w:val="ListBullet"/>
        <w:rPr>
          <w:spacing w:val="-4"/>
        </w:rPr>
      </w:pPr>
      <w:r w:rsidRPr="006A6209">
        <w:rPr>
          <w:spacing w:val="-4"/>
        </w:rPr>
        <w:t>Make b</w:t>
      </w:r>
      <w:r w:rsidR="00A10A0A" w:rsidRPr="006A6209">
        <w:rPr>
          <w:spacing w:val="-4"/>
        </w:rPr>
        <w:t xml:space="preserve">etter use </w:t>
      </w:r>
      <w:r w:rsidRPr="006A6209">
        <w:rPr>
          <w:spacing w:val="-4"/>
        </w:rPr>
        <w:t xml:space="preserve">of </w:t>
      </w:r>
      <w:r w:rsidR="00A10A0A" w:rsidRPr="006A6209">
        <w:rPr>
          <w:spacing w:val="-4"/>
        </w:rPr>
        <w:t>cost-benefit analysis (CBA) for decisions about major infrastructure projects (and other government spending such as defence and social services). This could include independent evaluation of CBA assumptions and inputs (e.g. by the proposed Evaluator General); transparency around the CBA analysis; and government accountability for how CBA outcomes are used in project selection (rec</w:t>
      </w:r>
      <w:r w:rsidR="00CF490C" w:rsidRPr="006A6209">
        <w:rPr>
          <w:spacing w:val="-4"/>
        </w:rPr>
        <w:t>ommendation</w:t>
      </w:r>
      <w:r w:rsidR="00A10A0A" w:rsidRPr="006A6209">
        <w:rPr>
          <w:spacing w:val="-4"/>
        </w:rPr>
        <w:t xml:space="preserve"> 5.8)</w:t>
      </w:r>
      <w:r w:rsidR="00CF490C" w:rsidRPr="006A6209">
        <w:rPr>
          <w:spacing w:val="-4"/>
        </w:rPr>
        <w:t>.</w:t>
      </w:r>
    </w:p>
    <w:p w14:paraId="01521279" w14:textId="10635EC7" w:rsidR="00A10A0A" w:rsidRPr="00A10A0A" w:rsidRDefault="00CF490C" w:rsidP="00B5323D">
      <w:pPr>
        <w:pStyle w:val="ListBullet"/>
      </w:pPr>
      <w:r>
        <w:t>C</w:t>
      </w:r>
      <w:r w:rsidR="00A10A0A" w:rsidRPr="00A10A0A">
        <w:t>ollect and use data on service outcomes and provider performance to benchmark government service delivery and diffuse best practice (rec</w:t>
      </w:r>
      <w:r>
        <w:t>ommendation</w:t>
      </w:r>
      <w:r w:rsidR="00A10A0A" w:rsidRPr="00A10A0A">
        <w:t xml:space="preserve"> 5.9)</w:t>
      </w:r>
      <w:r>
        <w:t>.</w:t>
      </w:r>
    </w:p>
    <w:p w14:paraId="449B5145" w14:textId="4F37C4A5" w:rsidR="00A10A0A" w:rsidRPr="00A10A0A" w:rsidRDefault="00CF490C" w:rsidP="00B5323D">
      <w:pPr>
        <w:pStyle w:val="ListBullet"/>
      </w:pPr>
      <w:r>
        <w:t>Lo</w:t>
      </w:r>
      <w:r w:rsidR="00A10A0A" w:rsidRPr="00A10A0A">
        <w:t>osen security and citizenship requirements and reduce overly bureaucratic processes to recruit more public sector workers from overseas to bring in global best practice (rec</w:t>
      </w:r>
      <w:r>
        <w:t>ommendation</w:t>
      </w:r>
      <w:r w:rsidR="00A10A0A" w:rsidRPr="00A10A0A">
        <w:t xml:space="preserve"> 5.10)</w:t>
      </w:r>
      <w:r>
        <w:t>.</w:t>
      </w:r>
    </w:p>
    <w:p w14:paraId="1589AF71" w14:textId="1E9B1C0A" w:rsidR="00A10A0A" w:rsidRPr="00A10A0A" w:rsidRDefault="00CF490C" w:rsidP="00B5323D">
      <w:pPr>
        <w:pStyle w:val="ListBullet"/>
      </w:pPr>
      <w:r>
        <w:t>E</w:t>
      </w:r>
      <w:r w:rsidR="00A10A0A" w:rsidRPr="00A10A0A">
        <w:t>xpand or strengthen the role of existing diffusion bodies</w:t>
      </w:r>
      <w:r>
        <w:t xml:space="preserve">, </w:t>
      </w:r>
      <w:r w:rsidR="00A10A0A" w:rsidRPr="00A10A0A">
        <w:t>such as the Australian Commission on Safety and Quality in Health Care, CSIRO and Australian National Audit Office</w:t>
      </w:r>
      <w:r w:rsidR="00E20BC9">
        <w:t xml:space="preserve">, </w:t>
      </w:r>
      <w:r w:rsidR="00A10A0A" w:rsidRPr="00A10A0A">
        <w:t>and trial innovation funds in selected public services where there is no existing body for diffusing best practice, such as in mental health service delivery (rec</w:t>
      </w:r>
      <w:r w:rsidR="00E20BC9">
        <w:t>ommendation</w:t>
      </w:r>
      <w:r w:rsidR="00A10A0A" w:rsidRPr="00A10A0A">
        <w:t xml:space="preserve"> 5.11)</w:t>
      </w:r>
      <w:r w:rsidR="00E20BC9">
        <w:t>.</w:t>
      </w:r>
    </w:p>
    <w:p w14:paraId="5E1C4C27" w14:textId="3F8F6B66" w:rsidR="00A10A0A" w:rsidRPr="00A10A0A" w:rsidRDefault="00E20BC9" w:rsidP="00B5323D">
      <w:pPr>
        <w:pStyle w:val="ListBullet"/>
      </w:pPr>
      <w:r>
        <w:t>S</w:t>
      </w:r>
      <w:r w:rsidR="00A10A0A" w:rsidRPr="00A10A0A">
        <w:t>upport greater use of productivity-enhancing regtech by providing regulation in forms that lend themselves to regtech solutions (e.g. coding regulatory rules into machine-interpretable documents) and working with software providers to improve foundational regulatory settings (rec</w:t>
      </w:r>
      <w:r>
        <w:t>ommendation</w:t>
      </w:r>
      <w:r w:rsidR="00A10A0A" w:rsidRPr="00A10A0A">
        <w:t xml:space="preserve"> 5.12)</w:t>
      </w:r>
      <w:r>
        <w:t>.</w:t>
      </w:r>
    </w:p>
    <w:p w14:paraId="7EA266A8" w14:textId="7C17F1A2" w:rsidR="00A10A0A" w:rsidRPr="00A10A0A" w:rsidRDefault="00E20BC9" w:rsidP="00B5323D">
      <w:pPr>
        <w:pStyle w:val="ListBullet"/>
      </w:pPr>
      <w:r>
        <w:t>P</w:t>
      </w:r>
      <w:r w:rsidR="00A10A0A" w:rsidRPr="00A10A0A">
        <w:t>romote no-cost or low-cost access to ideas that have large public good value such as by (</w:t>
      </w:r>
      <w:proofErr w:type="spellStart"/>
      <w:r w:rsidR="00A10A0A" w:rsidRPr="00A10A0A">
        <w:t>i</w:t>
      </w:r>
      <w:proofErr w:type="spellEnd"/>
      <w:r w:rsidR="00A10A0A" w:rsidRPr="00A10A0A">
        <w:t xml:space="preserve">) making mandatory </w:t>
      </w:r>
      <w:r w:rsidR="00A10A0A" w:rsidRPr="00A10A0A">
        <w:rPr>
          <w:b/>
          <w:bCs/>
        </w:rPr>
        <w:t>standards freely available</w:t>
      </w:r>
      <w:r w:rsidR="00A10A0A" w:rsidRPr="00A10A0A">
        <w:t xml:space="preserve">; (ii) requiring </w:t>
      </w:r>
      <w:r w:rsidR="00A10A0A" w:rsidRPr="00A10A0A">
        <w:rPr>
          <w:b/>
          <w:bCs/>
        </w:rPr>
        <w:t>open access to research</w:t>
      </w:r>
      <w:r w:rsidR="00A10A0A" w:rsidRPr="00A10A0A">
        <w:t xml:space="preserve"> principally funded by governments; and (iii) reforming fair use provisions in intellectual property regulations to adopt a </w:t>
      </w:r>
      <w:r w:rsidR="00A10A0A" w:rsidRPr="00A10A0A">
        <w:rPr>
          <w:b/>
          <w:bCs/>
        </w:rPr>
        <w:t>principles-based fair use exception</w:t>
      </w:r>
      <w:r w:rsidR="00A10A0A" w:rsidRPr="00A10A0A">
        <w:t xml:space="preserve"> (rec</w:t>
      </w:r>
      <w:r>
        <w:t>ommendation</w:t>
      </w:r>
      <w:r w:rsidR="00A10A0A" w:rsidRPr="00A10A0A">
        <w:t xml:space="preserve"> 5.13).</w:t>
      </w:r>
    </w:p>
    <w:p w14:paraId="488598DB" w14:textId="77777777" w:rsidR="00A449C3" w:rsidRPr="00A10A0A" w:rsidRDefault="00A449C3" w:rsidP="0026558A">
      <w:pPr>
        <w:pStyle w:val="Heading2"/>
        <w:spacing w:before="240" w:after="0"/>
      </w:pPr>
      <w:bookmarkStart w:id="0" w:name="_Hlk94794966"/>
      <w:r w:rsidRPr="00A10A0A">
        <w:t>Key figures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205623" w:rsidRPr="00A10A0A" w14:paraId="73B2AB7D" w14:textId="77777777" w:rsidTr="006F6148">
        <w:trPr>
          <w:tblHeader/>
        </w:trPr>
        <w:tc>
          <w:tcPr>
            <w:tcW w:w="5000" w:type="pct"/>
            <w:shd w:val="clear" w:color="auto" w:fill="FCEFD2" w:themeFill="accent3" w:themeFillTint="33"/>
          </w:tcPr>
          <w:p w14:paraId="49704923" w14:textId="5FB979C3" w:rsidR="00205623" w:rsidRPr="00A10A0A" w:rsidRDefault="00205623" w:rsidP="00205623">
            <w:pPr>
              <w:spacing w:after="20" w:line="280" w:lineRule="atLeast"/>
              <w:ind w:left="57"/>
              <w:rPr>
                <w:rFonts w:ascii="Arial" w:eastAsia="Arial" w:hAnsi="Arial" w:cs="Times New Roman"/>
                <w:noProof/>
                <w:sz w:val="18"/>
                <w:szCs w:val="20"/>
              </w:rPr>
            </w:pPr>
            <w:r w:rsidRPr="00A10A0A">
              <w:rPr>
                <w:rFonts w:ascii="Arial" w:eastAsia="Arial" w:hAnsi="Arial" w:cs="Times New Roman"/>
                <w:szCs w:val="20"/>
              </w:rPr>
              <w:t xml:space="preserve">Most </w:t>
            </w:r>
            <w:r>
              <w:rPr>
                <w:rFonts w:ascii="Arial" w:eastAsia="Arial" w:hAnsi="Arial" w:cs="Times New Roman"/>
                <w:szCs w:val="20"/>
              </w:rPr>
              <w:t xml:space="preserve">product and process </w:t>
            </w:r>
            <w:r w:rsidRPr="00A10A0A">
              <w:rPr>
                <w:rFonts w:ascii="Arial" w:eastAsia="Arial" w:hAnsi="Arial" w:cs="Times New Roman"/>
                <w:szCs w:val="20"/>
              </w:rPr>
              <w:t xml:space="preserve">innovations adopted by Australian businesses </w:t>
            </w:r>
            <w:r>
              <w:rPr>
                <w:rFonts w:ascii="Arial" w:eastAsia="Arial" w:hAnsi="Arial" w:cs="Times New Roman"/>
                <w:szCs w:val="20"/>
              </w:rPr>
              <w:t>are</w:t>
            </w:r>
            <w:r w:rsidRPr="00A10A0A">
              <w:rPr>
                <w:rFonts w:ascii="Arial" w:eastAsia="Arial" w:hAnsi="Arial" w:cs="Times New Roman"/>
                <w:szCs w:val="20"/>
              </w:rPr>
              <w:t xml:space="preserve"> not new to the world</w:t>
            </w:r>
            <w:r>
              <w:rPr>
                <w:rFonts w:ascii="Arial" w:eastAsia="Arial" w:hAnsi="Arial" w:cs="Times New Roman"/>
                <w:szCs w:val="20"/>
              </w:rPr>
              <w:t xml:space="preserve"> (in 2 years ending June 2021)</w:t>
            </w:r>
            <w:r w:rsidRPr="00A10A0A">
              <w:rPr>
                <w:rFonts w:ascii="Arial" w:eastAsia="Arial" w:hAnsi="Arial" w:cs="Times New Roman"/>
                <w:szCs w:val="20"/>
              </w:rPr>
              <w:t xml:space="preserve">. Diffusion is where most of the innovation action is. </w:t>
            </w:r>
            <w:r>
              <w:t>(Volume 5, p. 7)</w:t>
            </w:r>
          </w:p>
        </w:tc>
      </w:tr>
      <w:tr w:rsidR="00205623" w:rsidRPr="00A10A0A" w14:paraId="4FAB3750" w14:textId="77777777" w:rsidTr="00205623">
        <w:trPr>
          <w:tblHeader/>
        </w:trPr>
        <w:tc>
          <w:tcPr>
            <w:tcW w:w="5000" w:type="pct"/>
            <w:shd w:val="clear" w:color="auto" w:fill="auto"/>
          </w:tcPr>
          <w:p w14:paraId="40888035" w14:textId="7FDFE972" w:rsidR="00205623" w:rsidRPr="00A10A0A" w:rsidRDefault="00B27784" w:rsidP="00205623">
            <w:pPr>
              <w:spacing w:after="20" w:line="280" w:lineRule="atLeast"/>
              <w:ind w:left="57"/>
              <w:rPr>
                <w:rFonts w:ascii="Arial" w:eastAsia="Arial" w:hAnsi="Arial" w:cs="Times New Roman"/>
                <w:sz w:val="18"/>
                <w:szCs w:val="20"/>
              </w:rPr>
            </w:pPr>
            <w:bookmarkStart w:id="1" w:name="_Toc30502221"/>
            <w:r w:rsidRPr="00B27784">
              <w:rPr>
                <w:rFonts w:ascii="Arial" w:eastAsia="Arial" w:hAnsi="Arial" w:cs="Times New Roman"/>
                <w:noProof/>
                <w:sz w:val="18"/>
                <w:szCs w:val="20"/>
              </w:rPr>
              <w:drawing>
                <wp:inline distT="0" distB="0" distL="0" distR="0" wp14:anchorId="392A324B" wp14:editId="07434F66">
                  <wp:extent cx="5986145" cy="2336800"/>
                  <wp:effectExtent l="0" t="0" r="0" b="0"/>
                  <wp:docPr id="2" name="Picture 2" descr="This figure shows the share of innovating businesses that engage in product and process innovations that are new to the world, new to Australia, new to their industry or new to their business only; covering the period over 2 years ending June 2021. It shows that most business innovations are only new to business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igure shows the share of innovating businesses that engage in product and process innovations that are new to the world, new to Australia, new to their industry or new to their business only; covering the period over 2 years ending June 2021. It shows that most business innovations are only new to businesses.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6145" cy="2336800"/>
                          </a:xfrm>
                          <a:prstGeom prst="rect">
                            <a:avLst/>
                          </a:prstGeom>
                          <a:noFill/>
                          <a:ln>
                            <a:noFill/>
                          </a:ln>
                        </pic:spPr>
                      </pic:pic>
                    </a:graphicData>
                  </a:graphic>
                </wp:inline>
              </w:drawing>
            </w:r>
          </w:p>
        </w:tc>
      </w:tr>
    </w:tbl>
    <w:p w14:paraId="5DC5AC7B" w14:textId="38311613" w:rsidR="006A6209" w:rsidRDefault="006A6209" w:rsidP="006A6209">
      <w:pPr>
        <w:spacing w:before="240"/>
        <w:jc w:val="center"/>
      </w:pPr>
      <w:r>
        <w:t>[MORE]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205623" w:rsidRPr="00A10A0A" w14:paraId="644275CE" w14:textId="77777777" w:rsidTr="006F6148">
        <w:trPr>
          <w:tblHeader/>
        </w:trPr>
        <w:tc>
          <w:tcPr>
            <w:tcW w:w="5000" w:type="pct"/>
            <w:shd w:val="clear" w:color="auto" w:fill="E7DCED" w:themeFill="accent6" w:themeFillTint="33"/>
          </w:tcPr>
          <w:p w14:paraId="0C278C6A" w14:textId="10A9D4DC" w:rsidR="00205623" w:rsidRPr="00A10A0A" w:rsidRDefault="00205623" w:rsidP="00205623">
            <w:pPr>
              <w:spacing w:after="20" w:line="280" w:lineRule="atLeast"/>
              <w:ind w:left="57"/>
              <w:rPr>
                <w:rFonts w:ascii="Arial" w:eastAsia="Arial" w:hAnsi="Arial" w:cs="Times New Roman"/>
                <w:noProof/>
                <w:sz w:val="18"/>
                <w:szCs w:val="20"/>
              </w:rPr>
            </w:pPr>
            <w:r w:rsidRPr="00A10A0A">
              <w:rPr>
                <w:rFonts w:ascii="Arial" w:eastAsia="Arial" w:hAnsi="Arial" w:cs="Times New Roman"/>
                <w:szCs w:val="20"/>
              </w:rPr>
              <w:lastRenderedPageBreak/>
              <w:t>Innovative ideas mostly come from within businesses or from clients and customers</w:t>
            </w:r>
            <w:r>
              <w:rPr>
                <w:rFonts w:ascii="Arial" w:eastAsia="Arial" w:hAnsi="Arial" w:cs="Times New Roman"/>
                <w:szCs w:val="20"/>
              </w:rPr>
              <w:t xml:space="preserve"> (2019-2021)</w:t>
            </w:r>
            <w:r w:rsidRPr="00A10A0A">
              <w:rPr>
                <w:rFonts w:ascii="Arial" w:eastAsia="Arial" w:hAnsi="Arial" w:cs="Times New Roman"/>
                <w:szCs w:val="20"/>
              </w:rPr>
              <w:t>.</w:t>
            </w:r>
            <w:r>
              <w:rPr>
                <w:rFonts w:ascii="Arial" w:eastAsia="Arial" w:hAnsi="Arial" w:cs="Times New Roman"/>
                <w:szCs w:val="20"/>
              </w:rPr>
              <w:t xml:space="preserve"> </w:t>
            </w:r>
            <w:r>
              <w:t>(Volume 5, p. 43)</w:t>
            </w:r>
          </w:p>
        </w:tc>
      </w:tr>
      <w:bookmarkEnd w:id="1"/>
      <w:tr w:rsidR="00205623" w:rsidRPr="00A10A0A" w14:paraId="513784D0" w14:textId="77777777" w:rsidTr="00205623">
        <w:trPr>
          <w:tblHeader/>
        </w:trPr>
        <w:tc>
          <w:tcPr>
            <w:tcW w:w="5000" w:type="pct"/>
            <w:shd w:val="clear" w:color="auto" w:fill="auto"/>
          </w:tcPr>
          <w:p w14:paraId="6F880BBF" w14:textId="6E7D7EAD" w:rsidR="00205623" w:rsidRPr="00A10A0A" w:rsidRDefault="0022628D" w:rsidP="00205623">
            <w:pPr>
              <w:spacing w:after="20" w:line="280" w:lineRule="atLeast"/>
              <w:ind w:left="57"/>
              <w:rPr>
                <w:rFonts w:ascii="Arial" w:eastAsia="Arial" w:hAnsi="Arial" w:cs="Times New Roman"/>
                <w:sz w:val="18"/>
                <w:szCs w:val="20"/>
              </w:rPr>
            </w:pPr>
            <w:r w:rsidRPr="0022628D">
              <w:rPr>
                <w:rFonts w:ascii="Arial" w:eastAsia="Arial" w:hAnsi="Arial" w:cs="Times New Roman"/>
                <w:noProof/>
                <w:sz w:val="18"/>
                <w:szCs w:val="20"/>
              </w:rPr>
              <w:drawing>
                <wp:inline distT="0" distB="0" distL="0" distR="0" wp14:anchorId="52EDCD2D" wp14:editId="26DBEAA6">
                  <wp:extent cx="6036945" cy="2760345"/>
                  <wp:effectExtent l="0" t="0" r="0" b="0"/>
                  <wp:docPr id="3" name="Picture 3" descr="This figure shows the sources of ideas or information for innovation for Australian businesses that were innovation-active in 2019-2021. The largest source of information is from within own business or businesses owned by the sam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figure shows the sources of ideas or information for innovation for Australian businesses that were innovation-active in 2019-2021. The largest source of information is from within own business or businesses owned by the same compan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6945" cy="2760345"/>
                          </a:xfrm>
                          <a:prstGeom prst="rect">
                            <a:avLst/>
                          </a:prstGeom>
                          <a:noFill/>
                          <a:ln>
                            <a:noFill/>
                          </a:ln>
                        </pic:spPr>
                      </pic:pic>
                    </a:graphicData>
                  </a:graphic>
                </wp:inline>
              </w:drawing>
            </w:r>
          </w:p>
        </w:tc>
      </w:tr>
    </w:tbl>
    <w:p w14:paraId="3CF098DC" w14:textId="5E4F9B80" w:rsidR="00614213" w:rsidRDefault="0015274A" w:rsidP="007342CE">
      <w:pPr>
        <w:spacing w:before="240"/>
      </w:pPr>
      <w:r w:rsidRPr="00CF4552">
        <w:t>The</w:t>
      </w:r>
      <w:r w:rsidR="00F67BF1">
        <w:t xml:space="preserve"> </w:t>
      </w:r>
      <w:r w:rsidR="00F67BF1">
        <w:rPr>
          <w:b/>
          <w:bCs/>
        </w:rPr>
        <w:t xml:space="preserve">5-year Productivity Inquiry: Advancing Prosperity </w:t>
      </w:r>
      <w:r w:rsidR="00F67BF1" w:rsidRPr="00F67BF1">
        <w:t>report</w:t>
      </w:r>
      <w:r w:rsidR="00F67BF1">
        <w:rPr>
          <w:b/>
          <w:bCs/>
        </w:rPr>
        <w:t xml:space="preserve"> </w:t>
      </w:r>
      <w:r w:rsidRPr="00CF4552">
        <w:t>can be found at:</w:t>
      </w:r>
      <w:r w:rsidRPr="00CF4552">
        <w:rPr>
          <w:color w:val="4D7028" w:themeColor="accent2"/>
        </w:rPr>
        <w:t xml:space="preserve"> </w:t>
      </w:r>
      <w:hyperlink r:id="rId14" w:history="1">
        <w:r w:rsidRPr="004D1CB9">
          <w:rPr>
            <w:rStyle w:val="Hyperlink"/>
          </w:rPr>
          <w:t>www.pc.gov.au</w:t>
        </w:r>
      </w:hyperlink>
      <w:bookmarkEnd w:id="0"/>
    </w:p>
    <w:sectPr w:rsidR="00614213" w:rsidSect="004F3A3A">
      <w:headerReference w:type="default" r:id="rId15"/>
      <w:footerReference w:type="even" r:id="rId16"/>
      <w:footerReference w:type="default" r:id="rId17"/>
      <w:headerReference w:type="first" r:id="rId18"/>
      <w:footerReference w:type="first" r:id="rId19"/>
      <w:pgSz w:w="11906" w:h="16838" w:code="9"/>
      <w:pgMar w:top="1843" w:right="1134" w:bottom="1134"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B6E3" w14:textId="77777777" w:rsidR="00F2001F" w:rsidRDefault="00F2001F" w:rsidP="00BF738A">
      <w:pPr>
        <w:spacing w:after="0" w:line="240" w:lineRule="auto"/>
      </w:pPr>
      <w:r>
        <w:separator/>
      </w:r>
    </w:p>
  </w:endnote>
  <w:endnote w:type="continuationSeparator" w:id="0">
    <w:p w14:paraId="30C88A55" w14:textId="77777777" w:rsidR="00F2001F" w:rsidRDefault="00F2001F" w:rsidP="00BF738A">
      <w:pPr>
        <w:spacing w:after="0" w:line="240" w:lineRule="auto"/>
      </w:pPr>
      <w:r>
        <w:continuationSeparator/>
      </w:r>
    </w:p>
  </w:endnote>
  <w:endnote w:type="continuationNotice" w:id="1">
    <w:p w14:paraId="0E427CB9" w14:textId="77777777" w:rsidR="00F2001F" w:rsidRDefault="00F20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0573" w14:textId="66019EBB" w:rsidR="004F3A3A" w:rsidRDefault="004F3A3A">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2F2CD55A" w:rsidR="00F67BF1" w:rsidRPr="001D4262" w:rsidRDefault="004F3A3A" w:rsidP="001D4262">
    <w:pPr>
      <w:pStyle w:val="Footer"/>
      <w:spacing w:before="0" w:beforeAutospacing="0" w:after="0" w:afterAutospacing="0"/>
      <w:jc w:val="right"/>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97C1" w14:textId="77777777" w:rsidR="00F2001F" w:rsidRDefault="00F2001F" w:rsidP="00BF738A">
      <w:pPr>
        <w:spacing w:after="0" w:line="240" w:lineRule="auto"/>
      </w:pPr>
      <w:r>
        <w:separator/>
      </w:r>
    </w:p>
  </w:footnote>
  <w:footnote w:type="continuationSeparator" w:id="0">
    <w:p w14:paraId="1063E8CC" w14:textId="77777777" w:rsidR="00F2001F" w:rsidRDefault="00F2001F" w:rsidP="00BF738A">
      <w:pPr>
        <w:spacing w:after="0" w:line="240" w:lineRule="auto"/>
      </w:pPr>
      <w:r>
        <w:continuationSeparator/>
      </w:r>
    </w:p>
  </w:footnote>
  <w:footnote w:type="continuationNotice" w:id="1">
    <w:p w14:paraId="21E341DC" w14:textId="77777777" w:rsidR="00F2001F" w:rsidRDefault="00F200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9848AD">
    <w:pPr>
      <w:pStyle w:val="Header"/>
      <w:spacing w:before="120"/>
      <w:ind w:right="-454"/>
      <w:rPr>
        <w:b/>
        <w:bCs/>
        <w:sz w:val="22"/>
      </w:rPr>
    </w:pPr>
    <w:r w:rsidRPr="009848AD">
      <w:rPr>
        <w:rFonts w:ascii="Arial Black" w:hAnsi="Arial Black"/>
        <w:b/>
        <w:bCs/>
        <w:color w:val="2D9AC2" w:themeColor="text2" w:themeShade="BF"/>
        <w:sz w:val="34"/>
        <w:szCs w:val="34"/>
      </w:rPr>
      <w:t>FACTSHEET</w:t>
    </w:r>
  </w:p>
  <w:p w14:paraId="65BA68B8" w14:textId="2E613803" w:rsidR="00BF738A" w:rsidRPr="00A326BA" w:rsidRDefault="0073286C" w:rsidP="00A326BA">
    <w:pPr>
      <w:pStyle w:val="Header"/>
      <w:spacing w:before="480"/>
      <w:ind w:right="-454"/>
      <w:rPr>
        <w:b/>
        <w:bCs/>
      </w:rPr>
    </w:pPr>
    <w:r w:rsidRPr="00A326BA">
      <w:rPr>
        <w:b/>
        <w:bCs/>
      </w:rPr>
      <w:t>#</w:t>
    </w:r>
    <w:r w:rsidR="00740656">
      <w:rPr>
        <w:b/>
        <w:bCs/>
      </w:rPr>
      <w:t>3</w:t>
    </w:r>
    <w:r w:rsidRPr="00A326BA">
      <w:rPr>
        <w:b/>
        <w:bCs/>
      </w:rPr>
      <w:t xml:space="preserve"> – </w:t>
    </w:r>
    <w:r w:rsidR="009848AD">
      <w:rPr>
        <w:b/>
        <w:bCs/>
      </w:rPr>
      <w:t xml:space="preserve">Advancing Prosperity </w:t>
    </w:r>
    <w:r w:rsidR="003C6BF2">
      <w:rPr>
        <w:b/>
        <w:bCs/>
      </w:rPr>
      <w:t xml:space="preserve">| </w:t>
    </w:r>
    <w:r w:rsidR="009848AD">
      <w:rPr>
        <w:b/>
        <w:bCs/>
      </w:rPr>
      <w:t>Inquiry Report</w:t>
    </w:r>
    <w:r w:rsidR="00293A3A">
      <w:rPr>
        <w:b/>
        <w:bCs/>
      </w:rPr>
      <w:t xml:space="preserve"> | Volume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2D1151FA"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65" name="Picture 165"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w:t>
    </w:r>
    <w:r w:rsidR="00740656">
      <w:rPr>
        <w:b/>
        <w:bCs/>
      </w:rPr>
      <w:t>3</w:t>
    </w:r>
    <w:r w:rsidRPr="00A326BA">
      <w:rPr>
        <w:b/>
        <w:bCs/>
      </w:rPr>
      <w:t xml:space="preserve"> – </w:t>
    </w:r>
    <w:r>
      <w:rPr>
        <w:b/>
        <w:bCs/>
      </w:rPr>
      <w:t>Advancing Prosperity | Inquiry Report</w:t>
    </w:r>
    <w:r w:rsidR="005E43B4">
      <w:rPr>
        <w:b/>
        <w:bCs/>
      </w:rPr>
      <w:t xml:space="preserve"> | Volume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20ED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E6C9D"/>
    <w:multiLevelType w:val="multilevel"/>
    <w:tmpl w:val="FF8069A4"/>
    <w:numStyleLink w:val="Bullets"/>
  </w:abstractNum>
  <w:abstractNum w:abstractNumId="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num w:numId="1" w16cid:durableId="1849828926">
    <w:abstractNumId w:val="4"/>
  </w:num>
  <w:num w:numId="2" w16cid:durableId="317923861">
    <w:abstractNumId w:val="3"/>
  </w:num>
  <w:num w:numId="3" w16cid:durableId="1228372660">
    <w:abstractNumId w:val="5"/>
  </w:num>
  <w:num w:numId="4" w16cid:durableId="2021546402">
    <w:abstractNumId w:val="1"/>
  </w:num>
  <w:num w:numId="5" w16cid:durableId="1958876224">
    <w:abstractNumId w:val="5"/>
  </w:num>
  <w:num w:numId="6" w16cid:durableId="779253751">
    <w:abstractNumId w:val="0"/>
  </w:num>
  <w:num w:numId="7" w16cid:durableId="230846041">
    <w:abstractNumId w:val="5"/>
  </w:num>
  <w:num w:numId="8" w16cid:durableId="833767088">
    <w:abstractNumId w:val="2"/>
  </w:num>
  <w:num w:numId="9" w16cid:durableId="617302055">
    <w:abstractNumId w:val="2"/>
  </w:num>
  <w:num w:numId="10" w16cid:durableId="176118987">
    <w:abstractNumId w:val="5"/>
  </w:num>
  <w:num w:numId="11" w16cid:durableId="1404641264">
    <w:abstractNumId w:val="5"/>
  </w:num>
  <w:num w:numId="12" w16cid:durableId="965233325">
    <w:abstractNumId w:val="5"/>
  </w:num>
  <w:num w:numId="13" w16cid:durableId="378168178">
    <w:abstractNumId w:val="2"/>
  </w:num>
  <w:num w:numId="14" w16cid:durableId="1952320758">
    <w:abstractNumId w:val="5"/>
  </w:num>
  <w:num w:numId="15" w16cid:durableId="179243797">
    <w:abstractNumId w:val="6"/>
  </w:num>
  <w:num w:numId="16" w16cid:durableId="2103646247">
    <w:abstractNumId w:val="5"/>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5"/>
  </w:num>
  <w:num w:numId="18" w16cid:durableId="1568492710">
    <w:abstractNumId w:val="5"/>
  </w:num>
  <w:num w:numId="19" w16cid:durableId="368183068">
    <w:abstractNumId w:val="5"/>
  </w:num>
  <w:num w:numId="20" w16cid:durableId="1741630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3218F"/>
    <w:rsid w:val="00047EEC"/>
    <w:rsid w:val="00052584"/>
    <w:rsid w:val="00057037"/>
    <w:rsid w:val="000872C3"/>
    <w:rsid w:val="000A49FE"/>
    <w:rsid w:val="000A73E6"/>
    <w:rsid w:val="000D1D4E"/>
    <w:rsid w:val="000E164A"/>
    <w:rsid w:val="000F3966"/>
    <w:rsid w:val="00127A31"/>
    <w:rsid w:val="0015274A"/>
    <w:rsid w:val="0017423D"/>
    <w:rsid w:val="00183181"/>
    <w:rsid w:val="00191365"/>
    <w:rsid w:val="001A2711"/>
    <w:rsid w:val="001B1AFC"/>
    <w:rsid w:val="001C3E7C"/>
    <w:rsid w:val="001D4262"/>
    <w:rsid w:val="001E1748"/>
    <w:rsid w:val="001E1C8B"/>
    <w:rsid w:val="00205623"/>
    <w:rsid w:val="00222096"/>
    <w:rsid w:val="0022628D"/>
    <w:rsid w:val="00256ED3"/>
    <w:rsid w:val="002647C2"/>
    <w:rsid w:val="0026558A"/>
    <w:rsid w:val="00280C07"/>
    <w:rsid w:val="002828EB"/>
    <w:rsid w:val="00293A3A"/>
    <w:rsid w:val="002A011D"/>
    <w:rsid w:val="002E3526"/>
    <w:rsid w:val="00363058"/>
    <w:rsid w:val="0038191A"/>
    <w:rsid w:val="003A65AB"/>
    <w:rsid w:val="003C0C27"/>
    <w:rsid w:val="003C2472"/>
    <w:rsid w:val="003C6629"/>
    <w:rsid w:val="003C6BF2"/>
    <w:rsid w:val="003D5F85"/>
    <w:rsid w:val="003E011F"/>
    <w:rsid w:val="00413963"/>
    <w:rsid w:val="00417019"/>
    <w:rsid w:val="00421411"/>
    <w:rsid w:val="00425485"/>
    <w:rsid w:val="00430C34"/>
    <w:rsid w:val="004401EB"/>
    <w:rsid w:val="00452FB0"/>
    <w:rsid w:val="004661E8"/>
    <w:rsid w:val="00474067"/>
    <w:rsid w:val="0047509D"/>
    <w:rsid w:val="00490D0C"/>
    <w:rsid w:val="00494DE7"/>
    <w:rsid w:val="004B1EAA"/>
    <w:rsid w:val="004B371B"/>
    <w:rsid w:val="004B7031"/>
    <w:rsid w:val="004D1CB9"/>
    <w:rsid w:val="004F28F5"/>
    <w:rsid w:val="004F3A3A"/>
    <w:rsid w:val="00507F98"/>
    <w:rsid w:val="005216A9"/>
    <w:rsid w:val="00537F9F"/>
    <w:rsid w:val="00561587"/>
    <w:rsid w:val="005629C7"/>
    <w:rsid w:val="005D3D17"/>
    <w:rsid w:val="005E0465"/>
    <w:rsid w:val="005E2C18"/>
    <w:rsid w:val="005E43B4"/>
    <w:rsid w:val="005E45DC"/>
    <w:rsid w:val="005F7BF9"/>
    <w:rsid w:val="00604C36"/>
    <w:rsid w:val="00614213"/>
    <w:rsid w:val="00621A96"/>
    <w:rsid w:val="00621EF8"/>
    <w:rsid w:val="00626F0D"/>
    <w:rsid w:val="00650E0D"/>
    <w:rsid w:val="0068446B"/>
    <w:rsid w:val="006A6209"/>
    <w:rsid w:val="006D7C2C"/>
    <w:rsid w:val="006E16F7"/>
    <w:rsid w:val="006F0134"/>
    <w:rsid w:val="006F24AB"/>
    <w:rsid w:val="006F6148"/>
    <w:rsid w:val="007144DA"/>
    <w:rsid w:val="00724381"/>
    <w:rsid w:val="0073286C"/>
    <w:rsid w:val="007342CE"/>
    <w:rsid w:val="00740656"/>
    <w:rsid w:val="007517C0"/>
    <w:rsid w:val="007752B9"/>
    <w:rsid w:val="007A14D9"/>
    <w:rsid w:val="007A4797"/>
    <w:rsid w:val="007D0634"/>
    <w:rsid w:val="007F4BD6"/>
    <w:rsid w:val="008248B3"/>
    <w:rsid w:val="00825DF2"/>
    <w:rsid w:val="008413EB"/>
    <w:rsid w:val="0084348F"/>
    <w:rsid w:val="00847BD4"/>
    <w:rsid w:val="00887F53"/>
    <w:rsid w:val="0089142E"/>
    <w:rsid w:val="008C1E20"/>
    <w:rsid w:val="008C36E5"/>
    <w:rsid w:val="008D5A05"/>
    <w:rsid w:val="008D691B"/>
    <w:rsid w:val="008D6CAD"/>
    <w:rsid w:val="008E3830"/>
    <w:rsid w:val="00900899"/>
    <w:rsid w:val="009100C6"/>
    <w:rsid w:val="009251C4"/>
    <w:rsid w:val="00932FD4"/>
    <w:rsid w:val="00934BEC"/>
    <w:rsid w:val="00934C0A"/>
    <w:rsid w:val="009414FB"/>
    <w:rsid w:val="00973096"/>
    <w:rsid w:val="00975997"/>
    <w:rsid w:val="009848AD"/>
    <w:rsid w:val="009E0D2D"/>
    <w:rsid w:val="009F3CF4"/>
    <w:rsid w:val="009F696C"/>
    <w:rsid w:val="00A10A0A"/>
    <w:rsid w:val="00A15395"/>
    <w:rsid w:val="00A178D1"/>
    <w:rsid w:val="00A326BA"/>
    <w:rsid w:val="00A36781"/>
    <w:rsid w:val="00A41D4E"/>
    <w:rsid w:val="00A449C3"/>
    <w:rsid w:val="00A52026"/>
    <w:rsid w:val="00A530B2"/>
    <w:rsid w:val="00A6285E"/>
    <w:rsid w:val="00A671CC"/>
    <w:rsid w:val="00A76A8D"/>
    <w:rsid w:val="00A80EF3"/>
    <w:rsid w:val="00AC38A7"/>
    <w:rsid w:val="00AF5830"/>
    <w:rsid w:val="00AF5C1A"/>
    <w:rsid w:val="00AF73CD"/>
    <w:rsid w:val="00B00048"/>
    <w:rsid w:val="00B040EA"/>
    <w:rsid w:val="00B26102"/>
    <w:rsid w:val="00B27784"/>
    <w:rsid w:val="00B43566"/>
    <w:rsid w:val="00B5323D"/>
    <w:rsid w:val="00B7381A"/>
    <w:rsid w:val="00B8446D"/>
    <w:rsid w:val="00BC2B85"/>
    <w:rsid w:val="00BF738A"/>
    <w:rsid w:val="00C0044A"/>
    <w:rsid w:val="00C008B0"/>
    <w:rsid w:val="00C06C50"/>
    <w:rsid w:val="00C17A92"/>
    <w:rsid w:val="00C606DB"/>
    <w:rsid w:val="00C63A5F"/>
    <w:rsid w:val="00CC514D"/>
    <w:rsid w:val="00CD6563"/>
    <w:rsid w:val="00CE35A8"/>
    <w:rsid w:val="00CF490C"/>
    <w:rsid w:val="00D353E1"/>
    <w:rsid w:val="00D51862"/>
    <w:rsid w:val="00D86D6E"/>
    <w:rsid w:val="00DB4AD0"/>
    <w:rsid w:val="00E12FC6"/>
    <w:rsid w:val="00E151AD"/>
    <w:rsid w:val="00E20BC9"/>
    <w:rsid w:val="00E2482C"/>
    <w:rsid w:val="00E8329A"/>
    <w:rsid w:val="00EC6523"/>
    <w:rsid w:val="00ED55A3"/>
    <w:rsid w:val="00ED57AE"/>
    <w:rsid w:val="00F1737E"/>
    <w:rsid w:val="00F2001F"/>
    <w:rsid w:val="00F264F6"/>
    <w:rsid w:val="00F639F4"/>
    <w:rsid w:val="00F67BF1"/>
    <w:rsid w:val="00FB3F10"/>
    <w:rsid w:val="00FE1FF2"/>
    <w:rsid w:val="00FE3664"/>
    <w:rsid w:val="00FE531F"/>
    <w:rsid w:val="00FF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E2C79F9F-D06A-44B6-BCB8-D9A4706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CE"/>
    <w:rPr>
      <w:sz w:val="20"/>
    </w:rPr>
  </w:style>
  <w:style w:type="paragraph" w:styleId="Heading1">
    <w:name w:val="heading 1"/>
    <w:basedOn w:val="Normal"/>
    <w:next w:val="Normal"/>
    <w:link w:val="Heading1Char"/>
    <w:uiPriority w:val="9"/>
    <w:qFormat/>
    <w:rsid w:val="001E1748"/>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1E1748"/>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CC514D"/>
    <w:pPr>
      <w:keepNext/>
      <w:keepLines/>
      <w:spacing w:before="4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1E1748"/>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CC514D"/>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B5323D"/>
    <w:pPr>
      <w:numPr>
        <w:numId w:val="19"/>
      </w:numPr>
      <w:spacing w:before="120" w:after="120" w:line="280" w:lineRule="atLeast"/>
      <w:contextualSpacing/>
    </w:pPr>
    <w:rPr>
      <w:szCs w:val="20"/>
    </w:rPr>
  </w:style>
  <w:style w:type="character" w:customStyle="1" w:styleId="ListBulletChar">
    <w:name w:val="List Bullet Char"/>
    <w:basedOn w:val="DefaultParagraphFont"/>
    <w:link w:val="ListBullet"/>
    <w:uiPriority w:val="1"/>
    <w:rsid w:val="00B5323D"/>
    <w:rPr>
      <w:sz w:val="20"/>
      <w:szCs w:val="20"/>
    </w:rPr>
  </w:style>
  <w:style w:type="paragraph" w:styleId="ListBullet2">
    <w:name w:val="List Bullet 2"/>
    <w:basedOn w:val="Normal"/>
    <w:uiPriority w:val="1"/>
    <w:qFormat/>
    <w:rsid w:val="00425485"/>
    <w:pPr>
      <w:numPr>
        <w:ilvl w:val="1"/>
        <w:numId w:val="19"/>
      </w:numPr>
      <w:spacing w:before="60" w:after="60"/>
      <w:contextualSpacing/>
    </w:pPr>
    <w:rPr>
      <w:szCs w:val="20"/>
    </w:rPr>
  </w:style>
  <w:style w:type="paragraph" w:styleId="ListBullet3">
    <w:name w:val="List Bullet 3"/>
    <w:basedOn w:val="Normal"/>
    <w:uiPriority w:val="1"/>
    <w:qFormat/>
    <w:rsid w:val="001E1748"/>
    <w:pPr>
      <w:numPr>
        <w:ilvl w:val="2"/>
        <w:numId w:val="19"/>
      </w:numPr>
      <w:spacing w:before="60" w:after="60" w:line="274" w:lineRule="auto"/>
      <w:contextualSpacing/>
    </w:pPr>
    <w:rPr>
      <w:szCs w:val="20"/>
    </w:rPr>
  </w:style>
  <w:style w:type="paragraph" w:styleId="ListNumber">
    <w:name w:val="List Number"/>
    <w:basedOn w:val="Normal"/>
    <w:uiPriority w:val="2"/>
    <w:qFormat/>
    <w:rsid w:val="001E1748"/>
    <w:pPr>
      <w:numPr>
        <w:numId w:val="13"/>
      </w:numPr>
      <w:ind w:left="227"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A6285E"/>
    <w:pPr>
      <w:spacing w:after="120"/>
    </w:pPr>
  </w:style>
  <w:style w:type="character" w:customStyle="1" w:styleId="BodyTextChar">
    <w:name w:val="Body Text Char"/>
    <w:basedOn w:val="DefaultParagraphFont"/>
    <w:link w:val="BodyText"/>
    <w:rsid w:val="00A6285E"/>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ED57AE"/>
    <w:pPr>
      <w:spacing w:after="0" w:line="240" w:lineRule="auto"/>
    </w:pPr>
  </w:style>
  <w:style w:type="character" w:styleId="CommentReference">
    <w:name w:val="annotation reference"/>
    <w:basedOn w:val="DefaultParagraphFont"/>
    <w:uiPriority w:val="99"/>
    <w:semiHidden/>
    <w:unhideWhenUsed/>
    <w:rsid w:val="0017423D"/>
    <w:rPr>
      <w:sz w:val="16"/>
      <w:szCs w:val="16"/>
    </w:rPr>
  </w:style>
  <w:style w:type="paragraph" w:styleId="CommentText">
    <w:name w:val="annotation text"/>
    <w:basedOn w:val="Normal"/>
    <w:link w:val="CommentTextChar"/>
    <w:uiPriority w:val="99"/>
    <w:unhideWhenUsed/>
    <w:rsid w:val="0017423D"/>
    <w:pPr>
      <w:spacing w:line="240" w:lineRule="auto"/>
    </w:pPr>
    <w:rPr>
      <w:szCs w:val="20"/>
    </w:rPr>
  </w:style>
  <w:style w:type="character" w:customStyle="1" w:styleId="CommentTextChar">
    <w:name w:val="Comment Text Char"/>
    <w:basedOn w:val="DefaultParagraphFont"/>
    <w:link w:val="CommentText"/>
    <w:uiPriority w:val="99"/>
    <w:rsid w:val="0017423D"/>
    <w:rPr>
      <w:sz w:val="20"/>
      <w:szCs w:val="20"/>
    </w:rPr>
  </w:style>
  <w:style w:type="paragraph" w:styleId="CommentSubject">
    <w:name w:val="annotation subject"/>
    <w:basedOn w:val="CommentText"/>
    <w:next w:val="CommentText"/>
    <w:link w:val="CommentSubjectChar"/>
    <w:uiPriority w:val="99"/>
    <w:semiHidden/>
    <w:unhideWhenUsed/>
    <w:rsid w:val="0017423D"/>
    <w:rPr>
      <w:b/>
      <w:bCs/>
    </w:rPr>
  </w:style>
  <w:style w:type="character" w:customStyle="1" w:styleId="CommentSubjectChar">
    <w:name w:val="Comment Subject Char"/>
    <w:basedOn w:val="CommentTextChar"/>
    <w:link w:val="CommentSubject"/>
    <w:uiPriority w:val="99"/>
    <w:semiHidden/>
    <w:rsid w:val="00174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Fact sheet","templateDescription":"","enableDocumentContentUpdater":false,"version":"2.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3.xml><?xml version="1.0" encoding="utf-8"?>
<TemplafyFormConfiguration><![CDATA[{"formFields":[],"formDataEntries":[]}]]></TemplafyForm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ae79436fdbe6c49ee2cb8aadcce0c88a">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30e8318bbbe8124869152e34116709fc"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1EFDB-C4E3-4BD1-B6FD-1F3EF20E8211}">
  <ds:schemaRefs/>
</ds:datastoreItem>
</file>

<file path=customXml/itemProps2.xml><?xml version="1.0" encoding="utf-8"?>
<ds:datastoreItem xmlns:ds="http://schemas.openxmlformats.org/officeDocument/2006/customXml" ds:itemID="{AB519A0F-7EBE-4D4C-80CD-213B09E3D82C}">
  <ds:schemaRefs>
    <ds:schemaRef ds:uri="http://purl.org/dc/terms/"/>
    <ds:schemaRef ds:uri="http://purl.org/dc/dcmitype/"/>
    <ds:schemaRef ds:uri="4999a062-bf25-4e1b-bf40-d0ceaadde115"/>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b9bf696-b976-42ed-b50a-48004ee2daad"/>
    <ds:schemaRef ds:uri="http://www.w3.org/XML/1998/namespace"/>
  </ds:schemaRefs>
</ds:datastoreItem>
</file>

<file path=customXml/itemProps3.xml><?xml version="1.0" encoding="utf-8"?>
<ds:datastoreItem xmlns:ds="http://schemas.openxmlformats.org/officeDocument/2006/customXml" ds:itemID="{52EDF02A-B8FF-46BF-BAF0-A1E8BE8BF93E}">
  <ds:schemaRefs/>
</ds:datastoreItem>
</file>

<file path=customXml/itemProps4.xml><?xml version="1.0" encoding="utf-8"?>
<ds:datastoreItem xmlns:ds="http://schemas.openxmlformats.org/officeDocument/2006/customXml" ds:itemID="{7C7747A9-CF51-4E8B-8745-C8B0683ED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EBFAB6-BB57-4C13-8674-CDE922F4E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Template>
  <TotalTime>275</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Fact sheet 3: Innovation for the 98% - Advancing Prosperity</vt:lpstr>
    </vt:vector>
  </TitlesOfParts>
  <Company>Productivity Commission</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3: Innovation for the 98% - Advancing Prosperity</dc:title>
  <dc:subject/>
  <dc:creator>Productivity Commission</dc:creator>
  <cp:keywords/>
  <cp:lastModifiedBy>Chris Alston</cp:lastModifiedBy>
  <cp:revision>40</cp:revision>
  <dcterms:created xsi:type="dcterms:W3CDTF">2023-03-15T13:39:00Z</dcterms:created>
  <dcterms:modified xsi:type="dcterms:W3CDTF">2023-03-16T23:37:00Z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