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898" w:rsidRPr="00DA4512" w:rsidRDefault="00177898" w:rsidP="00177898">
      <w:pPr>
        <w:pStyle w:val="Heading1"/>
        <w:rPr>
          <w:color w:val="FFFFFF" w:themeColor="background1"/>
        </w:rPr>
      </w:pPr>
      <w:bookmarkStart w:id="0" w:name="_Overview"/>
      <w:bookmarkStart w:id="1" w:name="ChapterNumber"/>
      <w:bookmarkEnd w:id="0"/>
      <w:r>
        <w:rPr>
          <w:noProof/>
          <w:color w:val="FFFFFF" w:themeColor="background1"/>
        </w:rPr>
        <w:drawing>
          <wp:anchor distT="0" distB="0" distL="114300" distR="114300" simplePos="0" relativeHeight="251665408" behindDoc="0" locked="0" layoutInCell="1" allowOverlap="1" wp14:anchorId="310E5942" wp14:editId="0E830AF4">
            <wp:simplePos x="0" y="0"/>
            <wp:positionH relativeFrom="page">
              <wp:align>center</wp:align>
            </wp:positionH>
            <wp:positionV relativeFrom="page">
              <wp:align>center</wp:align>
            </wp:positionV>
            <wp:extent cx="7558768" cy="10691999"/>
            <wp:effectExtent l="0" t="0" r="4445" b="0"/>
            <wp:wrapNone/>
            <wp:docPr id="242" name="Picture 242" descr="Cover image of overview with Australian Government Productivity Commission logo - dated Febr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dy-report-final-cover.png"/>
                    <pic:cNvPicPr/>
                  </pic:nvPicPr>
                  <pic:blipFill>
                    <a:blip r:embed="rId8">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margin">
              <wp14:pctWidth>0</wp14:pctWidth>
            </wp14:sizeRelH>
            <wp14:sizeRelV relativeFrom="margin">
              <wp14:pctHeight>0</wp14:pctHeight>
            </wp14:sizeRelV>
          </wp:anchor>
        </w:drawing>
      </w:r>
      <w:r w:rsidRPr="00DA4512">
        <w:rPr>
          <w:color w:val="FFFFFF" w:themeColor="background1"/>
        </w:rPr>
        <w:t>Remote Area Tax Concessions and Payments</w:t>
      </w:r>
    </w:p>
    <w:p w:rsidR="00177898" w:rsidRPr="00DA4512" w:rsidRDefault="00177898" w:rsidP="00177898">
      <w:pPr>
        <w:pStyle w:val="Copyrightbodytext"/>
        <w:rPr>
          <w:color w:val="FFFFFF" w:themeColor="background1"/>
        </w:rPr>
      </w:pPr>
      <w:r w:rsidRPr="00DA4512">
        <w:rPr>
          <w:color w:val="FFFFFF" w:themeColor="background1"/>
        </w:rPr>
        <w:t xml:space="preserve">Productivity Commission Study Report </w:t>
      </w:r>
    </w:p>
    <w:p w:rsidR="00177898" w:rsidRDefault="00177898" w:rsidP="00177898">
      <w:pPr>
        <w:pStyle w:val="BodyText"/>
        <w:rPr>
          <w:b/>
          <w:szCs w:val="26"/>
        </w:rPr>
      </w:pPr>
      <w:r>
        <w:br w:type="page"/>
      </w:r>
    </w:p>
    <w:p w:rsidR="00177898" w:rsidRDefault="00177898" w:rsidP="00177898">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2020</w:t>
      </w:r>
    </w:p>
    <w:p w:rsidR="00177898" w:rsidRPr="007809B8" w:rsidRDefault="00177898" w:rsidP="00177898">
      <w:pPr>
        <w:pStyle w:val="BodyText"/>
        <w:tabs>
          <w:tab w:val="left" w:pos="851"/>
        </w:tabs>
        <w:spacing w:before="200" w:after="120"/>
        <w:jc w:val="left"/>
        <w:rPr>
          <w:b/>
        </w:rPr>
      </w:pPr>
      <w:r>
        <w:rPr>
          <w:b/>
        </w:rPr>
        <w:t>ISBN</w:t>
      </w:r>
      <w:r>
        <w:rPr>
          <w:b/>
        </w:rPr>
        <w:tab/>
      </w:r>
      <w:r w:rsidRPr="0071708D">
        <w:rPr>
          <w:b/>
        </w:rPr>
        <w:t>978-1-74037-689-1</w:t>
      </w:r>
      <w:r>
        <w:rPr>
          <w:b/>
        </w:rPr>
        <w:t xml:space="preserve"> (PDF)</w:t>
      </w:r>
      <w:r>
        <w:rPr>
          <w:b/>
        </w:rPr>
        <w:br/>
        <w:t>ISBN</w:t>
      </w:r>
      <w:r>
        <w:rPr>
          <w:b/>
        </w:rPr>
        <w:tab/>
      </w:r>
      <w:r w:rsidRPr="0071708D">
        <w:rPr>
          <w:b/>
        </w:rPr>
        <w:t>978-1-74037-688-4</w:t>
      </w:r>
      <w:r>
        <w:rPr>
          <w:b/>
        </w:rPr>
        <w:t xml:space="preserve"> (Print)</w:t>
      </w:r>
    </w:p>
    <w:p w:rsidR="00177898" w:rsidRDefault="00177898" w:rsidP="00177898">
      <w:pPr>
        <w:pStyle w:val="BodyText"/>
        <w:spacing w:after="120"/>
      </w:pPr>
      <w:bookmarkStart w:id="2" w:name="ISSN"/>
      <w:bookmarkEnd w:id="2"/>
      <w:r w:rsidRPr="00862D8F">
        <w:rPr>
          <w:noProof/>
          <w:sz w:val="22"/>
          <w:szCs w:val="22"/>
        </w:rPr>
        <w:drawing>
          <wp:inline distT="0" distB="0" distL="0" distR="0" wp14:anchorId="5447DB2D" wp14:editId="63B03173">
            <wp:extent cx="843280" cy="295043"/>
            <wp:effectExtent l="0" t="0" r="0" b="0"/>
            <wp:docPr id="243" name="Picture 243"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rsidR="00177898" w:rsidRPr="00177898" w:rsidRDefault="00177898" w:rsidP="00177898">
      <w:pPr>
        <w:pStyle w:val="Copyrightbodytext"/>
        <w:rPr>
          <w:sz w:val="20"/>
        </w:rPr>
      </w:pPr>
      <w:r w:rsidRPr="00177898">
        <w:rPr>
          <w:sz w:val="20"/>
        </w:rPr>
        <w:t xml:space="preserve">Except for the Commonwealth Coat of Arms and content supplied by third parties, this copyright work is licensed under a Creative Commons Attribution 3.0 Australia licence. To view a copy of this licence, visit </w:t>
      </w:r>
      <w:hyperlink r:id="rId10" w:history="1">
        <w:hyperlink r:id="rId11" w:history="1">
          <w:r w:rsidRPr="00177898">
            <w:rPr>
              <w:sz w:val="20"/>
            </w:rPr>
            <w:t>http://creativecommons.org/licenses/by/3.0/au</w:t>
          </w:r>
        </w:hyperlink>
      </w:hyperlink>
      <w:r w:rsidRPr="00177898">
        <w:rPr>
          <w:sz w:val="20"/>
        </w:rPr>
        <w:t>. In essence, you are free to copy, communicate and adapt the work, as long as you attribute the work to the Productivity Commission (but not in any way that suggests the Commission endorses you or your use) and abide by the other licence terms.</w:t>
      </w:r>
    </w:p>
    <w:p w:rsidR="00177898" w:rsidRPr="008A3857" w:rsidRDefault="00177898" w:rsidP="00177898">
      <w:pPr>
        <w:pStyle w:val="Copyrightsubtitle"/>
      </w:pPr>
      <w:r w:rsidRPr="008A3857">
        <w:t>Use of the Commonwealth Coat of Arms</w:t>
      </w:r>
    </w:p>
    <w:p w:rsidR="00177898" w:rsidRPr="00081FB4" w:rsidRDefault="00177898" w:rsidP="00177898">
      <w:pPr>
        <w:pStyle w:val="Copyrightbodytext"/>
        <w:rPr>
          <w:spacing w:val="-2"/>
          <w:sz w:val="20"/>
        </w:rPr>
      </w:pPr>
      <w:r w:rsidRPr="00177898">
        <w:rPr>
          <w:spacing w:val="-2"/>
          <w:sz w:val="20"/>
        </w:rPr>
        <w:t xml:space="preserve">Terms of use for the Coat of Arms are available from the Department of the Prime Minister and Cabinet’s website: </w:t>
      </w:r>
      <w:hyperlink r:id="rId12" w:history="1">
        <w:r w:rsidRPr="00081FB4">
          <w:rPr>
            <w:rStyle w:val="Hyperlink"/>
            <w:color w:val="auto"/>
            <w:spacing w:val="-2"/>
            <w:sz w:val="20"/>
            <w:u w:val="none"/>
          </w:rPr>
          <w:t>https://www.pmc.gov.au/government/commonwealth-coat-arms</w:t>
        </w:r>
      </w:hyperlink>
      <w:r w:rsidR="00081FB4" w:rsidRPr="00081FB4">
        <w:rPr>
          <w:rStyle w:val="Hyperlink"/>
          <w:color w:val="auto"/>
          <w:spacing w:val="-2"/>
          <w:sz w:val="20"/>
          <w:u w:val="none"/>
        </w:rPr>
        <w:t>.</w:t>
      </w:r>
    </w:p>
    <w:p w:rsidR="00177898" w:rsidRPr="008A3857" w:rsidRDefault="00177898" w:rsidP="00177898">
      <w:pPr>
        <w:pStyle w:val="Copyrightsubtitle"/>
      </w:pPr>
      <w:r w:rsidRPr="008A3857">
        <w:t>Third party copyright</w:t>
      </w:r>
    </w:p>
    <w:p w:rsidR="00177898" w:rsidRPr="00177898" w:rsidRDefault="00177898" w:rsidP="00177898">
      <w:pPr>
        <w:pStyle w:val="Copyrightbodytext"/>
        <w:rPr>
          <w:sz w:val="20"/>
        </w:rPr>
      </w:pPr>
      <w:r w:rsidRPr="00177898">
        <w:rPr>
          <w:sz w:val="20"/>
        </w:rPr>
        <w:t>Wherever a third party holds copyright in this material, the copyright remains with that party. Their permission may be required to use the material, please contact them directly.</w:t>
      </w:r>
    </w:p>
    <w:p w:rsidR="00177898" w:rsidRPr="008A3857" w:rsidRDefault="00177898" w:rsidP="00177898">
      <w:pPr>
        <w:pStyle w:val="Copyrightsubtitle"/>
      </w:pPr>
      <w:r w:rsidRPr="008A3857">
        <w:t>Attribution</w:t>
      </w:r>
    </w:p>
    <w:p w:rsidR="00177898" w:rsidRPr="00177898" w:rsidRDefault="00177898" w:rsidP="00177898">
      <w:pPr>
        <w:pStyle w:val="Copyrightbodytext"/>
        <w:rPr>
          <w:sz w:val="20"/>
        </w:rPr>
      </w:pPr>
      <w:r w:rsidRPr="00177898">
        <w:rPr>
          <w:sz w:val="20"/>
        </w:rPr>
        <w:t xml:space="preserve">This work should be attributed as follows, </w:t>
      </w:r>
      <w:r w:rsidRPr="00177898">
        <w:rPr>
          <w:i/>
          <w:sz w:val="20"/>
        </w:rPr>
        <w:t>Source: Productivity Commission, Remote Area Tax Concessions and Payments</w:t>
      </w:r>
      <w:r w:rsidRPr="00177898">
        <w:rPr>
          <w:sz w:val="20"/>
        </w:rPr>
        <w:t>.</w:t>
      </w:r>
    </w:p>
    <w:p w:rsidR="00177898" w:rsidRPr="00177898" w:rsidRDefault="00177898" w:rsidP="00177898">
      <w:pPr>
        <w:pStyle w:val="Copyrightbodytext"/>
        <w:rPr>
          <w:sz w:val="20"/>
        </w:rPr>
      </w:pPr>
      <w:r w:rsidRPr="00177898">
        <w:rPr>
          <w:sz w:val="20"/>
        </w:rPr>
        <w:t xml:space="preserve">If you have adapted, modified or transformed this work in anyway, please use the following, </w:t>
      </w:r>
      <w:r w:rsidRPr="00177898">
        <w:rPr>
          <w:i/>
          <w:sz w:val="20"/>
        </w:rPr>
        <w:t>Source: based on Productivity Commission data, Remote Area Tax Concessions and Payments, Study Report</w:t>
      </w:r>
      <w:r w:rsidRPr="00177898">
        <w:rPr>
          <w:sz w:val="20"/>
        </w:rPr>
        <w:t>.</w:t>
      </w:r>
    </w:p>
    <w:p w:rsidR="00177898" w:rsidRPr="008A3857" w:rsidRDefault="00177898" w:rsidP="00177898">
      <w:pPr>
        <w:pStyle w:val="Copyrightsubtitle"/>
      </w:pPr>
      <w:r w:rsidRPr="008A3857">
        <w:t xml:space="preserve">An appropriate </w:t>
      </w:r>
      <w:r>
        <w:t>reference</w:t>
      </w:r>
      <w:r w:rsidRPr="008A3857">
        <w:t xml:space="preserve"> for this publication is:</w:t>
      </w:r>
    </w:p>
    <w:p w:rsidR="00177898" w:rsidRPr="00177898" w:rsidRDefault="00177898" w:rsidP="00177898">
      <w:pPr>
        <w:pStyle w:val="Copyrightbodytext"/>
        <w:rPr>
          <w:sz w:val="20"/>
        </w:rPr>
      </w:pPr>
      <w:r w:rsidRPr="00177898">
        <w:rPr>
          <w:sz w:val="20"/>
        </w:rPr>
        <w:t xml:space="preserve">Productivity Commission 2020, </w:t>
      </w:r>
      <w:r w:rsidRPr="00177898">
        <w:rPr>
          <w:i/>
          <w:sz w:val="20"/>
        </w:rPr>
        <w:t xml:space="preserve">Remote Area Tax Concessions and Payments, </w:t>
      </w:r>
      <w:r w:rsidRPr="00177898">
        <w:rPr>
          <w:sz w:val="20"/>
        </w:rPr>
        <w:t xml:space="preserve">Study Report, Canberra. </w:t>
      </w:r>
    </w:p>
    <w:p w:rsidR="00177898" w:rsidRPr="008A3857" w:rsidRDefault="00177898" w:rsidP="00177898">
      <w:pPr>
        <w:pStyle w:val="Copyrightsubtitle"/>
      </w:pPr>
      <w:bookmarkStart w:id="3" w:name="JEL"/>
      <w:bookmarkEnd w:id="3"/>
      <w:r w:rsidRPr="008A3857">
        <w:t>Publications enquiries</w:t>
      </w:r>
    </w:p>
    <w:p w:rsidR="00177898" w:rsidRPr="00177898" w:rsidRDefault="00177898" w:rsidP="00177898">
      <w:pPr>
        <w:pStyle w:val="Copyrightbodytext"/>
        <w:rPr>
          <w:sz w:val="20"/>
        </w:rPr>
      </w:pPr>
      <w:r w:rsidRPr="00177898">
        <w:rPr>
          <w:sz w:val="20"/>
        </w:rPr>
        <w:t>Media, Publications and Web, phone: (03) 9653 2244 or email: mpw@pc.gov.au</w:t>
      </w:r>
    </w:p>
    <w:p w:rsidR="00177898" w:rsidRDefault="00177898" w:rsidP="001778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77898" w:rsidTr="00081FB4">
        <w:trPr>
          <w:tblHeader/>
        </w:trPr>
        <w:tc>
          <w:tcPr>
            <w:tcW w:w="5000" w:type="pct"/>
            <w:tcBorders>
              <w:top w:val="single" w:sz="6" w:space="0" w:color="78A22F"/>
              <w:left w:val="nil"/>
              <w:bottom w:val="nil"/>
              <w:right w:val="nil"/>
            </w:tcBorders>
            <w:shd w:val="clear" w:color="auto" w:fill="F2F2F2" w:themeFill="background1" w:themeFillShade="F2"/>
          </w:tcPr>
          <w:p w:rsidR="00177898" w:rsidRPr="008A3857" w:rsidRDefault="00177898" w:rsidP="00081FB4">
            <w:pPr>
              <w:pStyle w:val="BoxTitle"/>
              <w:rPr>
                <w:sz w:val="22"/>
                <w:szCs w:val="22"/>
              </w:rPr>
            </w:pPr>
            <w:r w:rsidRPr="008A3857">
              <w:rPr>
                <w:sz w:val="22"/>
                <w:szCs w:val="22"/>
              </w:rPr>
              <w:t>The Productivity Commission</w:t>
            </w:r>
          </w:p>
        </w:tc>
      </w:tr>
      <w:tr w:rsidR="00177898" w:rsidTr="00081FB4">
        <w:tc>
          <w:tcPr>
            <w:tcW w:w="5000" w:type="pct"/>
            <w:tcBorders>
              <w:top w:val="nil"/>
              <w:left w:val="nil"/>
              <w:bottom w:val="nil"/>
              <w:right w:val="nil"/>
            </w:tcBorders>
            <w:shd w:val="clear" w:color="auto" w:fill="F2F2F2" w:themeFill="background1" w:themeFillShade="F2"/>
          </w:tcPr>
          <w:p w:rsidR="00177898" w:rsidRDefault="00177898" w:rsidP="00081FB4">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rsidR="00177898" w:rsidRDefault="00177898" w:rsidP="00081FB4">
            <w:pPr>
              <w:pStyle w:val="Box"/>
            </w:pPr>
            <w:r w:rsidRPr="00BB5DCF">
              <w:t>The Commission’s independence is underpinned by an Act of Parliament. Its processes and outputs are open to public scrutiny and are driven by concern for the wellbeing of the community as a whole.</w:t>
            </w:r>
          </w:p>
          <w:p w:rsidR="00177898" w:rsidRDefault="00177898" w:rsidP="00081FB4">
            <w:pPr>
              <w:pStyle w:val="Box"/>
            </w:pPr>
            <w:r w:rsidRPr="00BB5DCF">
              <w:rPr>
                <w:szCs w:val="24"/>
              </w:rPr>
              <w:t>Further information on the Productivity Commission can be obtained from the Commission’s website (</w:t>
            </w:r>
            <w:hyperlink r:id="rId13" w:history="1">
              <w:r w:rsidRPr="00805FD7">
                <w:t>www.pc.gov.au</w:t>
              </w:r>
            </w:hyperlink>
            <w:r w:rsidRPr="00BB5DCF">
              <w:rPr>
                <w:szCs w:val="24"/>
              </w:rPr>
              <w:t>)</w:t>
            </w:r>
            <w:r>
              <w:rPr>
                <w:szCs w:val="24"/>
              </w:rPr>
              <w:t>.</w:t>
            </w:r>
          </w:p>
        </w:tc>
      </w:tr>
      <w:tr w:rsidR="00177898" w:rsidTr="00081FB4">
        <w:tc>
          <w:tcPr>
            <w:tcW w:w="5000" w:type="pct"/>
            <w:tcBorders>
              <w:top w:val="nil"/>
              <w:left w:val="nil"/>
              <w:bottom w:val="single" w:sz="6" w:space="0" w:color="78A22F"/>
              <w:right w:val="nil"/>
            </w:tcBorders>
            <w:shd w:val="clear" w:color="auto" w:fill="F2F2F2" w:themeFill="background1" w:themeFillShade="F2"/>
          </w:tcPr>
          <w:p w:rsidR="00177898" w:rsidRDefault="00177898" w:rsidP="00081FB4">
            <w:pPr>
              <w:pStyle w:val="Box"/>
              <w:spacing w:before="0" w:line="120" w:lineRule="exact"/>
            </w:pPr>
          </w:p>
        </w:tc>
      </w:tr>
    </w:tbl>
    <w:p w:rsidR="00177898" w:rsidRDefault="00177898" w:rsidP="00177898">
      <w:pPr>
        <w:pStyle w:val="BodyText"/>
        <w:sectPr w:rsidR="00177898" w:rsidSect="00177898">
          <w:pgSz w:w="11907" w:h="16840" w:code="9"/>
          <w:pgMar w:top="1304" w:right="1304" w:bottom="567" w:left="1814" w:header="1701" w:footer="397" w:gutter="0"/>
          <w:pgNumType w:fmt="lowerRoman" w:start="1"/>
          <w:cols w:space="720"/>
          <w:titlePg/>
        </w:sectPr>
      </w:pPr>
      <w:bookmarkStart w:id="4" w:name="cov"/>
      <w:bookmarkEnd w:id="4"/>
    </w:p>
    <w:p w:rsidR="00177898" w:rsidRDefault="00177898" w:rsidP="00177898">
      <w:pPr>
        <w:pStyle w:val="Heading1"/>
      </w:pPr>
      <w:bookmarkStart w:id="5" w:name="_Toc500231998"/>
      <w:bookmarkStart w:id="6" w:name="_Toc31958248"/>
      <w:bookmarkStart w:id="7" w:name="_Toc17450622"/>
      <w:r>
        <w:lastRenderedPageBreak/>
        <w:t>Foreword</w:t>
      </w:r>
      <w:bookmarkEnd w:id="5"/>
      <w:bookmarkEnd w:id="6"/>
    </w:p>
    <w:p w:rsidR="00177898" w:rsidRPr="00B03516" w:rsidRDefault="00177898" w:rsidP="00177898">
      <w:pPr>
        <w:pStyle w:val="BodyText"/>
        <w:rPr>
          <w:lang w:eastAsia="en-US"/>
        </w:rPr>
      </w:pPr>
      <w:r>
        <w:rPr>
          <w:lang w:eastAsia="en-US"/>
        </w:rPr>
        <w:t xml:space="preserve">Tax concessions for </w:t>
      </w:r>
      <w:r w:rsidRPr="00B03516">
        <w:rPr>
          <w:lang w:eastAsia="en-US"/>
        </w:rPr>
        <w:t xml:space="preserve">remote areas </w:t>
      </w:r>
      <w:r w:rsidRPr="00FC1904">
        <w:rPr>
          <w:lang w:eastAsia="en-US"/>
        </w:rPr>
        <w:t>d</w:t>
      </w:r>
      <w:r w:rsidRPr="00B03516">
        <w:rPr>
          <w:lang w:eastAsia="en-US"/>
        </w:rPr>
        <w:t xml:space="preserve">ate back to the end of World War II when </w:t>
      </w:r>
      <w:r>
        <w:rPr>
          <w:lang w:eastAsia="en-US"/>
        </w:rPr>
        <w:t>an income tax concession was</w:t>
      </w:r>
      <w:r w:rsidRPr="00B03516">
        <w:rPr>
          <w:lang w:eastAsia="en-US"/>
        </w:rPr>
        <w:t xml:space="preserve"> introduced in recognition of the high living costs, isolation and uncongenial climate in much of remote Australia.</w:t>
      </w:r>
    </w:p>
    <w:p w:rsidR="00177898" w:rsidRPr="00B03516" w:rsidRDefault="00177898" w:rsidP="00177898">
      <w:pPr>
        <w:pStyle w:val="BodyText"/>
        <w:rPr>
          <w:rStyle w:val="BodyTextChar"/>
        </w:rPr>
      </w:pPr>
      <w:r w:rsidRPr="00B03516">
        <w:t xml:space="preserve">Australia has evolved considerably since then. </w:t>
      </w:r>
      <w:r w:rsidRPr="00B03516">
        <w:rPr>
          <w:rStyle w:val="BodyTextChar"/>
        </w:rPr>
        <w:t>Some places that were undeniably remote in 1945 have become urbanised, with good connections to the rest of the country and the world. Over that time, technological and economic developments have cushioned many of the difficulties of living in remote Australia.</w:t>
      </w:r>
    </w:p>
    <w:p w:rsidR="00177898" w:rsidRPr="00B03516" w:rsidRDefault="00177898" w:rsidP="00177898">
      <w:pPr>
        <w:pStyle w:val="BodyText"/>
        <w:rPr>
          <w:lang w:eastAsia="en-US"/>
        </w:rPr>
      </w:pPr>
      <w:r w:rsidRPr="00B03516">
        <w:t xml:space="preserve">This study is a timely review of three longstanding tax concessions and payments targeted to residents and businesses in remote and regional areas: the zone tax offset, the remote area allowance, and the fringe benefits tax remote area concessions. The study examines the operation and effectiveness of the measures, and their role and relevance in contemporary Australia, </w:t>
      </w:r>
      <w:r w:rsidRPr="00FC1904">
        <w:t xml:space="preserve">as part of a broader tax and </w:t>
      </w:r>
      <w:r>
        <w:t>transfer</w:t>
      </w:r>
      <w:r w:rsidRPr="00FC1904">
        <w:t xml:space="preserve"> system</w:t>
      </w:r>
      <w:r w:rsidRPr="00B03516">
        <w:t>.</w:t>
      </w:r>
    </w:p>
    <w:p w:rsidR="00177898" w:rsidRPr="00081FB4" w:rsidRDefault="00177898" w:rsidP="00177898">
      <w:pPr>
        <w:pStyle w:val="BodyText"/>
        <w:rPr>
          <w:spacing w:val="-2"/>
          <w:lang w:eastAsia="en-US"/>
        </w:rPr>
      </w:pPr>
      <w:r w:rsidRPr="00081FB4">
        <w:rPr>
          <w:spacing w:val="-2"/>
          <w:lang w:eastAsia="en-US"/>
        </w:rPr>
        <w:t xml:space="preserve">The Commission has benefited from </w:t>
      </w:r>
      <w:r w:rsidRPr="00081FB4">
        <w:rPr>
          <w:spacing w:val="-2"/>
        </w:rPr>
        <w:t xml:space="preserve">engaging with residents, business owners and community leaders in remote and regional Australia. </w:t>
      </w:r>
      <w:r w:rsidRPr="00081FB4">
        <w:rPr>
          <w:spacing w:val="-2"/>
          <w:lang w:eastAsia="en-US"/>
        </w:rPr>
        <w:t>We are grateful to everyone who has been involved in this study. We particularly thank those who provided written submissions, met with us, or provided assistance in organising our extensive program of visits around the country.</w:t>
      </w:r>
    </w:p>
    <w:p w:rsidR="00177898" w:rsidRDefault="00177898" w:rsidP="00177898">
      <w:pPr>
        <w:pStyle w:val="BodyText"/>
        <w:rPr>
          <w:lang w:eastAsia="en-US"/>
        </w:rPr>
      </w:pPr>
      <w:r w:rsidRPr="00B03516">
        <w:rPr>
          <w:lang w:eastAsia="en-US"/>
        </w:rPr>
        <w:t>This study would not have been possible without the assistance of</w:t>
      </w:r>
      <w:r>
        <w:rPr>
          <w:lang w:eastAsia="en-US"/>
        </w:rPr>
        <w:t xml:space="preserve"> the Australian Taxation Office and the Department of Social Services, which provided timely access to administrative data.</w:t>
      </w:r>
    </w:p>
    <w:p w:rsidR="00177898" w:rsidRDefault="00177898" w:rsidP="00177898">
      <w:pPr>
        <w:pStyle w:val="BodyText"/>
      </w:pPr>
      <w:r>
        <w:t>We would also like to express our appreciation to Jane Melanie, who led the study, and the team: Paul Loke, Tom Nankivell, Brent Carney, Matthew Hyde, Daniel McDonald, Bronwyn Fisher, Arseni Matveev, Manpreet Singh, Cathal Leslie and Annika Powers. Our thanks also go to Ralph Lattimore, Henry McMillan, Marco Hatt, Ingrid Ottaway and Pragya Giri for their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89"/>
      </w:tblGrid>
      <w:tr w:rsidR="00177898" w:rsidTr="00081FB4">
        <w:tc>
          <w:tcPr>
            <w:tcW w:w="4389" w:type="dxa"/>
          </w:tcPr>
          <w:p w:rsidR="00177898" w:rsidRDefault="00177898" w:rsidP="00081FB4">
            <w:pPr>
              <w:pStyle w:val="BodyText"/>
              <w:tabs>
                <w:tab w:val="left" w:pos="4536"/>
              </w:tabs>
              <w:spacing w:before="600"/>
              <w:ind w:left="-113"/>
              <w:jc w:val="left"/>
            </w:pPr>
            <w:r>
              <w:t xml:space="preserve">Jonathan Coppel </w:t>
            </w:r>
            <w:r>
              <w:br/>
              <w:t>Presiding</w:t>
            </w:r>
            <w:r w:rsidRPr="00440A55">
              <w:t xml:space="preserve"> </w:t>
            </w:r>
            <w:r>
              <w:t>Commissioner</w:t>
            </w:r>
          </w:p>
        </w:tc>
        <w:tc>
          <w:tcPr>
            <w:tcW w:w="4389" w:type="dxa"/>
          </w:tcPr>
          <w:p w:rsidR="00177898" w:rsidRDefault="00177898" w:rsidP="00081FB4">
            <w:pPr>
              <w:pStyle w:val="BodyText"/>
              <w:tabs>
                <w:tab w:val="left" w:pos="4536"/>
              </w:tabs>
              <w:spacing w:before="600"/>
              <w:ind w:left="-113"/>
              <w:jc w:val="left"/>
            </w:pPr>
            <w:r>
              <w:t xml:space="preserve">Paul Lindwall </w:t>
            </w:r>
            <w:r>
              <w:br/>
              <w:t>Commissioner</w:t>
            </w:r>
          </w:p>
        </w:tc>
      </w:tr>
    </w:tbl>
    <w:p w:rsidR="00177898" w:rsidRDefault="00177898" w:rsidP="00177898">
      <w:pPr>
        <w:pStyle w:val="BodyText"/>
      </w:pPr>
      <w:r>
        <w:t>February 2020</w:t>
      </w:r>
    </w:p>
    <w:p w:rsidR="00177898" w:rsidRDefault="00177898" w:rsidP="00177898">
      <w:pPr>
        <w:pStyle w:val="BodyText"/>
      </w:pPr>
    </w:p>
    <w:p w:rsidR="00177898" w:rsidRDefault="00177898" w:rsidP="00177898">
      <w:pPr>
        <w:pStyle w:val="BodyText"/>
        <w:sectPr w:rsidR="00177898" w:rsidSect="00081FB4">
          <w:headerReference w:type="even" r:id="rId14"/>
          <w:headerReference w:type="default" r:id="rId15"/>
          <w:footerReference w:type="even" r:id="rId16"/>
          <w:footerReference w:type="default" r:id="rId17"/>
          <w:pgSz w:w="11906" w:h="16838" w:code="9"/>
          <w:pgMar w:top="1985" w:right="1304" w:bottom="1247" w:left="1814" w:header="1701" w:footer="397" w:gutter="0"/>
          <w:pgNumType w:fmt="lowerRoman"/>
          <w:cols w:space="708"/>
          <w:docGrid w:linePitch="360"/>
        </w:sectPr>
      </w:pPr>
    </w:p>
    <w:p w:rsidR="00177898" w:rsidRDefault="00177898" w:rsidP="00177898">
      <w:pPr>
        <w:pStyle w:val="Heading1NotTOC"/>
        <w:rPr>
          <w:noProof/>
        </w:rPr>
      </w:pPr>
      <w:bookmarkStart w:id="8" w:name="Contents"/>
      <w:bookmarkEnd w:id="7"/>
      <w:bookmarkEnd w:id="8"/>
      <w:r w:rsidRPr="00B153C3">
        <w:lastRenderedPageBreak/>
        <w:t>Contents</w:t>
      </w:r>
      <w:bookmarkStart w:id="9" w:name="InsertContents"/>
      <w:bookmarkEnd w:id="9"/>
    </w:p>
    <w:p w:rsidR="00177898" w:rsidRPr="00751920" w:rsidRDefault="00177898" w:rsidP="00177898">
      <w:pPr>
        <w:pStyle w:val="TOC1"/>
        <w:rPr>
          <w:rFonts w:asciiTheme="minorHAnsi" w:eastAsiaTheme="minorEastAsia" w:hAnsiTheme="minorHAnsi" w:cstheme="minorBidi"/>
          <w:b w:val="0"/>
          <w:noProof/>
          <w:lang w:eastAsia="en-AU"/>
        </w:rPr>
      </w:pPr>
      <w:r w:rsidRPr="00751920">
        <w:rPr>
          <w:b w:val="0"/>
          <w:noProof/>
        </w:rPr>
        <w:t>Foreword</w:t>
      </w:r>
      <w:r w:rsidRPr="00751920">
        <w:rPr>
          <w:noProof/>
        </w:rPr>
        <w:tab/>
      </w:r>
      <w:r w:rsidRPr="00751920">
        <w:rPr>
          <w:b w:val="0"/>
          <w:noProof/>
        </w:rPr>
        <w:t>iii</w:t>
      </w:r>
    </w:p>
    <w:p w:rsidR="00177898" w:rsidRDefault="00177898" w:rsidP="00177898">
      <w:pPr>
        <w:pStyle w:val="TOC1"/>
        <w:spacing w:before="480"/>
        <w:rPr>
          <w:rFonts w:asciiTheme="minorHAnsi" w:eastAsiaTheme="minorEastAsia" w:hAnsiTheme="minorHAnsi" w:cstheme="minorBidi"/>
          <w:b w:val="0"/>
          <w:noProof/>
          <w:sz w:val="22"/>
          <w:szCs w:val="22"/>
          <w:lang w:eastAsia="en-AU"/>
        </w:rPr>
      </w:pPr>
      <w:r>
        <w:rPr>
          <w:noProof/>
        </w:rPr>
        <w:t>Overview</w:t>
      </w:r>
      <w:r>
        <w:rPr>
          <w:noProof/>
        </w:rPr>
        <w:tab/>
        <w:t>1</w:t>
      </w:r>
    </w:p>
    <w:p w:rsidR="00177898" w:rsidRDefault="00177898" w:rsidP="00177898">
      <w:pPr>
        <w:pStyle w:val="TOC2"/>
        <w:rPr>
          <w:rFonts w:asciiTheme="minorHAnsi" w:eastAsiaTheme="minorEastAsia" w:hAnsiTheme="minorHAnsi" w:cstheme="minorBidi"/>
          <w:noProof/>
          <w:sz w:val="22"/>
          <w:szCs w:val="22"/>
          <w:lang w:eastAsia="en-AU"/>
        </w:rPr>
      </w:pPr>
      <w:r>
        <w:rPr>
          <w:noProof/>
        </w:rPr>
        <w:t>The Commission’s approach</w:t>
      </w:r>
      <w:r>
        <w:rPr>
          <w:noProof/>
        </w:rPr>
        <w:tab/>
        <w:t>4</w:t>
      </w:r>
    </w:p>
    <w:p w:rsidR="00177898" w:rsidRDefault="00177898" w:rsidP="00177898">
      <w:pPr>
        <w:pStyle w:val="TOC2"/>
        <w:rPr>
          <w:rFonts w:asciiTheme="minorHAnsi" w:eastAsiaTheme="minorEastAsia" w:hAnsiTheme="minorHAnsi" w:cstheme="minorBidi"/>
          <w:noProof/>
          <w:sz w:val="22"/>
          <w:szCs w:val="22"/>
          <w:lang w:eastAsia="en-AU"/>
        </w:rPr>
      </w:pPr>
      <w:r>
        <w:rPr>
          <w:noProof/>
        </w:rPr>
        <w:t>Life in remote Australia</w:t>
      </w:r>
      <w:r>
        <w:rPr>
          <w:noProof/>
        </w:rPr>
        <w:tab/>
        <w:t>7</w:t>
      </w:r>
    </w:p>
    <w:p w:rsidR="00177898" w:rsidRDefault="00177898" w:rsidP="00177898">
      <w:pPr>
        <w:pStyle w:val="TOC2"/>
        <w:rPr>
          <w:rFonts w:asciiTheme="minorHAnsi" w:eastAsiaTheme="minorEastAsia" w:hAnsiTheme="minorHAnsi" w:cstheme="minorBidi"/>
          <w:noProof/>
          <w:sz w:val="22"/>
          <w:szCs w:val="22"/>
          <w:lang w:eastAsia="en-AU"/>
        </w:rPr>
      </w:pPr>
      <w:r>
        <w:rPr>
          <w:noProof/>
        </w:rPr>
        <w:t>The zone tax offset</w:t>
      </w:r>
      <w:r>
        <w:rPr>
          <w:noProof/>
        </w:rPr>
        <w:tab/>
        <w:t>12</w:t>
      </w:r>
    </w:p>
    <w:p w:rsidR="00177898" w:rsidRDefault="00177898" w:rsidP="00177898">
      <w:pPr>
        <w:pStyle w:val="TOC2"/>
        <w:rPr>
          <w:rFonts w:asciiTheme="minorHAnsi" w:eastAsiaTheme="minorEastAsia" w:hAnsiTheme="minorHAnsi" w:cstheme="minorBidi"/>
          <w:noProof/>
          <w:sz w:val="22"/>
          <w:szCs w:val="22"/>
          <w:lang w:eastAsia="en-AU"/>
        </w:rPr>
      </w:pPr>
      <w:r>
        <w:rPr>
          <w:noProof/>
        </w:rPr>
        <w:t>The remote area allowance</w:t>
      </w:r>
      <w:r>
        <w:rPr>
          <w:noProof/>
        </w:rPr>
        <w:tab/>
        <w:t>20</w:t>
      </w:r>
    </w:p>
    <w:p w:rsidR="00177898" w:rsidRDefault="00177898" w:rsidP="00177898">
      <w:pPr>
        <w:pStyle w:val="TOC2"/>
        <w:rPr>
          <w:rFonts w:asciiTheme="minorHAnsi" w:eastAsiaTheme="minorEastAsia" w:hAnsiTheme="minorHAnsi" w:cstheme="minorBidi"/>
          <w:noProof/>
          <w:sz w:val="22"/>
          <w:szCs w:val="22"/>
          <w:lang w:eastAsia="en-AU"/>
        </w:rPr>
      </w:pPr>
      <w:r>
        <w:rPr>
          <w:noProof/>
        </w:rPr>
        <w:t>Fringe benefits tax remote area concessions</w:t>
      </w:r>
      <w:r>
        <w:rPr>
          <w:noProof/>
        </w:rPr>
        <w:tab/>
        <w:t>25</w:t>
      </w:r>
    </w:p>
    <w:p w:rsidR="00177898" w:rsidRDefault="00177898" w:rsidP="00177898">
      <w:pPr>
        <w:pStyle w:val="TOC2"/>
        <w:rPr>
          <w:rFonts w:asciiTheme="minorHAnsi" w:eastAsiaTheme="minorEastAsia" w:hAnsiTheme="minorHAnsi" w:cstheme="minorBidi"/>
          <w:noProof/>
          <w:sz w:val="22"/>
          <w:szCs w:val="22"/>
          <w:lang w:eastAsia="en-AU"/>
        </w:rPr>
      </w:pPr>
      <w:r>
        <w:rPr>
          <w:noProof/>
        </w:rPr>
        <w:t>Alternative mechanisms to support remote Australians</w:t>
      </w:r>
      <w:r>
        <w:rPr>
          <w:noProof/>
        </w:rPr>
        <w:tab/>
        <w:t>39</w:t>
      </w:r>
    </w:p>
    <w:p w:rsidR="00177898" w:rsidRDefault="00177898" w:rsidP="00177898">
      <w:pPr>
        <w:pStyle w:val="TOC1"/>
        <w:spacing w:before="240"/>
        <w:rPr>
          <w:noProof/>
        </w:rPr>
      </w:pPr>
      <w:r>
        <w:rPr>
          <w:noProof/>
        </w:rPr>
        <w:t>Recommendations and findings</w:t>
      </w:r>
      <w:r>
        <w:rPr>
          <w:noProof/>
        </w:rPr>
        <w:tab/>
        <w:t>41</w:t>
      </w:r>
    </w:p>
    <w:p w:rsidR="004C2A8B" w:rsidRDefault="004C2A8B" w:rsidP="004C2A8B">
      <w:pPr>
        <w:pStyle w:val="TOC2"/>
        <w:rPr>
          <w:rFonts w:eastAsiaTheme="minorEastAsia"/>
        </w:rPr>
      </w:pPr>
    </w:p>
    <w:p w:rsidR="004C2A8B" w:rsidRPr="004C2A8B" w:rsidRDefault="004C2A8B" w:rsidP="004C2A8B">
      <w:pPr>
        <w:pStyle w:val="TOC2"/>
        <w:ind w:left="567"/>
        <w:rPr>
          <w:rFonts w:eastAsiaTheme="minorEastAsia"/>
        </w:rPr>
      </w:pPr>
      <w:r>
        <w:rPr>
          <w:rFonts w:eastAsiaTheme="minorEastAsia"/>
        </w:rPr>
        <w:t>The full report is available at www.pc.gov.au</w:t>
      </w:r>
      <w:bookmarkStart w:id="10" w:name="_GoBack"/>
      <w:bookmarkEnd w:id="10"/>
    </w:p>
    <w:p w:rsidR="004C2A8B" w:rsidRDefault="004C2A8B">
      <w:pPr>
        <w:pStyle w:val="PartNumber"/>
      </w:pPr>
      <w:bookmarkStart w:id="11" w:name="Abbreviations"/>
      <w:bookmarkStart w:id="12" w:name="EndContents"/>
      <w:bookmarkStart w:id="13" w:name="RDnote"/>
      <w:bookmarkEnd w:id="11"/>
      <w:bookmarkEnd w:id="12"/>
      <w:bookmarkEnd w:id="13"/>
    </w:p>
    <w:p w:rsidR="004C2A8B" w:rsidRPr="004C2A8B" w:rsidRDefault="004C2A8B" w:rsidP="004C2A8B">
      <w:pPr>
        <w:pStyle w:val="BodyText"/>
        <w:sectPr w:rsidR="004C2A8B" w:rsidRPr="004C2A8B" w:rsidSect="00081FB4">
          <w:headerReference w:type="even" r:id="rId18"/>
          <w:headerReference w:type="default" r:id="rId19"/>
          <w:footerReference w:type="even" r:id="rId20"/>
          <w:footerReference w:type="default" r:id="rId21"/>
          <w:pgSz w:w="11907" w:h="16840" w:code="9"/>
          <w:pgMar w:top="1985" w:right="1304" w:bottom="1247" w:left="1814" w:header="1701" w:footer="397" w:gutter="0"/>
          <w:pgNumType w:start="1" w:chapSep="period"/>
          <w:cols w:space="720"/>
          <w:titlePg/>
          <w:docGrid w:linePitch="326"/>
        </w:sectPr>
      </w:pPr>
    </w:p>
    <w:p w:rsidR="002A5D84" w:rsidRDefault="002A5D84">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2A5D84">
        <w:tc>
          <w:tcPr>
            <w:tcW w:w="6634" w:type="dxa"/>
            <w:tcBorders>
              <w:top w:val="single" w:sz="6" w:space="0" w:color="auto"/>
            </w:tcBorders>
          </w:tcPr>
          <w:p w:rsidR="002A5D84" w:rsidRDefault="002A5D84">
            <w:pPr>
              <w:pStyle w:val="PartDivider"/>
            </w:pPr>
          </w:p>
        </w:tc>
        <w:tc>
          <w:tcPr>
            <w:tcW w:w="2155" w:type="dxa"/>
            <w:tcBorders>
              <w:top w:val="single" w:sz="24" w:space="0" w:color="auto"/>
            </w:tcBorders>
          </w:tcPr>
          <w:p w:rsidR="002A5D84" w:rsidRDefault="002A5D84">
            <w:pPr>
              <w:pStyle w:val="PartDivider"/>
            </w:pPr>
          </w:p>
        </w:tc>
      </w:tr>
    </w:tbl>
    <w:p w:rsidR="002A5D84" w:rsidRDefault="002A5D84">
      <w:pPr>
        <w:pStyle w:val="PartDivider"/>
      </w:pPr>
    </w:p>
    <w:p w:rsidR="002A5D84" w:rsidRDefault="002A5D84" w:rsidP="00FB19CB">
      <w:pPr>
        <w:pStyle w:val="PartTitle"/>
      </w:pPr>
      <w:r>
        <w:t>Overview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2A5D84" w:rsidTr="00FB19CB">
        <w:tc>
          <w:tcPr>
            <w:tcW w:w="5000" w:type="pct"/>
            <w:tcBorders>
              <w:top w:val="single" w:sz="4" w:space="0" w:color="78A22F" w:themeColor="accent1"/>
              <w:left w:val="nil"/>
              <w:bottom w:val="nil"/>
              <w:right w:val="nil"/>
            </w:tcBorders>
            <w:shd w:val="clear" w:color="auto" w:fill="E5F1D0"/>
          </w:tcPr>
          <w:p w:rsidR="002A5D84" w:rsidRDefault="002A5D84" w:rsidP="00FB19CB">
            <w:pPr>
              <w:pStyle w:val="BoxTitle"/>
            </w:pPr>
            <w:r>
              <w:lastRenderedPageBreak/>
              <w:t>Key points</w:t>
            </w:r>
          </w:p>
        </w:tc>
      </w:tr>
      <w:tr w:rsidR="002A5D84" w:rsidTr="00FB19CB">
        <w:tc>
          <w:tcPr>
            <w:tcW w:w="5000" w:type="pct"/>
            <w:tcBorders>
              <w:top w:val="nil"/>
              <w:left w:val="nil"/>
              <w:bottom w:val="nil"/>
              <w:right w:val="nil"/>
            </w:tcBorders>
            <w:shd w:val="clear" w:color="auto" w:fill="E5F1D0"/>
          </w:tcPr>
          <w:p w:rsidR="002A5D84" w:rsidRPr="00CB3191" w:rsidRDefault="002A5D84" w:rsidP="00FB19CB">
            <w:pPr>
              <w:pStyle w:val="KeyPointsListBullet"/>
            </w:pPr>
            <w:r w:rsidRPr="00CB3191">
              <w:t>Remote area tax concessions and payments are outdated, inequitabl</w:t>
            </w:r>
            <w:r>
              <w:t>e and poorly designed. They should</w:t>
            </w:r>
            <w:r w:rsidRPr="00CB3191">
              <w:t xml:space="preserve"> be rationalised and reconfigured to reflect contemporary Australia.</w:t>
            </w:r>
          </w:p>
          <w:p w:rsidR="002A5D84" w:rsidRPr="00CB3191" w:rsidRDefault="002A5D84" w:rsidP="00FB19CB">
            <w:pPr>
              <w:pStyle w:val="KeyPointsListBullet"/>
            </w:pPr>
            <w:r>
              <w:t>Re</w:t>
            </w:r>
            <w:r w:rsidRPr="00CB3191">
              <w:t>mote Australia has changed considerably since</w:t>
            </w:r>
            <w:r>
              <w:t xml:space="preserve"> the introduction of the first of these concessions in 1945</w:t>
            </w:r>
            <w:r w:rsidRPr="00CB3191">
              <w:t xml:space="preserve">. Many areas once considered isolated </w:t>
            </w:r>
            <w:r>
              <w:t xml:space="preserve">are </w:t>
            </w:r>
            <w:r w:rsidRPr="00CB3191">
              <w:t>no longer</w:t>
            </w:r>
            <w:r>
              <w:t xml:space="preserve"> so</w:t>
            </w:r>
            <w:r w:rsidRPr="00CB3191">
              <w:t>, a</w:t>
            </w:r>
            <w:r>
              <w:t xml:space="preserve">nd improvements in technology </w:t>
            </w:r>
            <w:r w:rsidRPr="00CB3191">
              <w:rPr>
                <w:spacing w:val="-1"/>
              </w:rPr>
              <w:t xml:space="preserve">have </w:t>
            </w:r>
            <w:r>
              <w:rPr>
                <w:spacing w:val="-1"/>
              </w:rPr>
              <w:t>reduced</w:t>
            </w:r>
            <w:r w:rsidRPr="00CB3191">
              <w:rPr>
                <w:spacing w:val="-1"/>
              </w:rPr>
              <w:t xml:space="preserve"> </w:t>
            </w:r>
            <w:r>
              <w:rPr>
                <w:spacing w:val="-1"/>
              </w:rPr>
              <w:t>the difficulties</w:t>
            </w:r>
            <w:r w:rsidRPr="00CB3191">
              <w:rPr>
                <w:spacing w:val="-1"/>
              </w:rPr>
              <w:t xml:space="preserve"> of life in remote Australia, although </w:t>
            </w:r>
            <w:r>
              <w:rPr>
                <w:spacing w:val="-1"/>
              </w:rPr>
              <w:t>to a lesser extent in very remote places.</w:t>
            </w:r>
          </w:p>
          <w:p w:rsidR="002A5D84" w:rsidRPr="00CB3191" w:rsidRDefault="002A5D84" w:rsidP="00FB19CB">
            <w:pPr>
              <w:pStyle w:val="KeyPointsListBullet"/>
            </w:pPr>
            <w:r>
              <w:t>About</w:t>
            </w:r>
            <w:r w:rsidRPr="00CB3191">
              <w:t xml:space="preserve"> half a million Australians live in </w:t>
            </w:r>
            <w:r>
              <w:t>remote areas far from cities and regional centres</w:t>
            </w:r>
            <w:r w:rsidRPr="00CB3191">
              <w:t>. The tyranny of distance make</w:t>
            </w:r>
            <w:r>
              <w:t>s</w:t>
            </w:r>
            <w:r w:rsidRPr="00CB3191">
              <w:t xml:space="preserve"> living and doing business challenging</w:t>
            </w:r>
            <w:r>
              <w:t>, with many</w:t>
            </w:r>
            <w:r w:rsidRPr="00CB3191">
              <w:t xml:space="preserve"> things </w:t>
            </w:r>
            <w:r>
              <w:t>taken for granted by most Australians</w:t>
            </w:r>
            <w:r w:rsidRPr="00CB3191">
              <w:t xml:space="preserve"> </w:t>
            </w:r>
            <w:r>
              <w:t>unavailable or difficult to get</w:t>
            </w:r>
            <w:r w:rsidRPr="00CB3191">
              <w:t xml:space="preserve">. Yet </w:t>
            </w:r>
            <w:r>
              <w:t xml:space="preserve">for those in remote Australia there is frequently </w:t>
            </w:r>
            <w:r w:rsidRPr="00CB3191">
              <w:t xml:space="preserve">a strong personal </w:t>
            </w:r>
            <w:r>
              <w:t xml:space="preserve">or cultural </w:t>
            </w:r>
            <w:r w:rsidRPr="00CB3191">
              <w:t xml:space="preserve">connection to a place and community as well as </w:t>
            </w:r>
            <w:r>
              <w:t xml:space="preserve">to </w:t>
            </w:r>
            <w:r w:rsidRPr="00CB3191">
              <w:t xml:space="preserve">the way of life it offers. </w:t>
            </w:r>
            <w:r>
              <w:t>O</w:t>
            </w:r>
            <w:r w:rsidRPr="00CB3191">
              <w:t xml:space="preserve">thers </w:t>
            </w:r>
            <w:r>
              <w:t xml:space="preserve">are </w:t>
            </w:r>
            <w:r w:rsidRPr="00CB3191">
              <w:t>attracted by job opportunities</w:t>
            </w:r>
            <w:r>
              <w:t>.</w:t>
            </w:r>
          </w:p>
          <w:p w:rsidR="002A5D84" w:rsidRPr="00CB3191" w:rsidRDefault="002A5D84" w:rsidP="00FB19CB">
            <w:pPr>
              <w:pStyle w:val="KeyPointsListBullet"/>
            </w:pPr>
            <w:r w:rsidRPr="00CB3191">
              <w:t xml:space="preserve">The zone tax offset (ZTO), remote area allowance (RAA), and fringe benefits tax (FBT) remote area concessions are designed to </w:t>
            </w:r>
            <w:r>
              <w:t>redress</w:t>
            </w:r>
            <w:r w:rsidRPr="00CB3191">
              <w:t xml:space="preserve"> some of the inherent challenges</w:t>
            </w:r>
            <w:r>
              <w:t xml:space="preserve"> of living in,</w:t>
            </w:r>
            <w:r w:rsidRPr="00CB3191">
              <w:t xml:space="preserve"> </w:t>
            </w:r>
            <w:r>
              <w:t xml:space="preserve">or to support, parts of </w:t>
            </w:r>
            <w:r w:rsidRPr="00CB3191">
              <w:t>regional and remote Australia.</w:t>
            </w:r>
          </w:p>
          <w:p w:rsidR="002A5D84" w:rsidRDefault="002A5D84" w:rsidP="002A5D84">
            <w:pPr>
              <w:pStyle w:val="KeyPointsListBullet"/>
            </w:pPr>
            <w:r w:rsidRPr="00CB3191">
              <w:t>The ZTO</w:t>
            </w:r>
            <w:r>
              <w:t xml:space="preserve"> — a small tax concession available</w:t>
            </w:r>
            <w:r w:rsidRPr="00CB3191">
              <w:t xml:space="preserve"> </w:t>
            </w:r>
            <w:r>
              <w:t xml:space="preserve">to residents of specified areas — </w:t>
            </w:r>
            <w:r w:rsidRPr="00CB3191">
              <w:t xml:space="preserve">is </w:t>
            </w:r>
            <w:r>
              <w:t>outdated. As it currently operates, it is poorly</w:t>
            </w:r>
            <w:r>
              <w:noBreakHyphen/>
              <w:t xml:space="preserve">targeted, and ineffective as a magnet for remote living. </w:t>
            </w:r>
          </w:p>
          <w:p w:rsidR="002A5D84" w:rsidRDefault="002A5D84" w:rsidP="00276110">
            <w:pPr>
              <w:pStyle w:val="KeyPointsListBullet2"/>
              <w:ind w:left="641"/>
            </w:pPr>
            <w:r>
              <w:t>It lacks a compelling contemporary rationale, and should be abolished. In many cases, higher</w:t>
            </w:r>
            <w:r w:rsidRPr="002A5E24">
              <w:t xml:space="preserve"> </w:t>
            </w:r>
            <w:r>
              <w:t>remuneration for jobs in remote Australia</w:t>
            </w:r>
            <w:r w:rsidRPr="002A5E24">
              <w:t xml:space="preserve"> </w:t>
            </w:r>
            <w:r>
              <w:t xml:space="preserve">compensates workers, at least to some extent, for the disadvantages of remote living. </w:t>
            </w:r>
          </w:p>
          <w:p w:rsidR="002A5D84" w:rsidRDefault="002A5D84" w:rsidP="00276110">
            <w:pPr>
              <w:pStyle w:val="KeyPointsListBullet2"/>
              <w:ind w:left="641"/>
            </w:pPr>
            <w:r w:rsidDel="009802A2">
              <w:t xml:space="preserve">If the </w:t>
            </w:r>
            <w:r>
              <w:t xml:space="preserve">ZTO </w:t>
            </w:r>
            <w:r w:rsidDel="009802A2">
              <w:t xml:space="preserve">is </w:t>
            </w:r>
            <w:r>
              <w:t xml:space="preserve">retained, only those people living in </w:t>
            </w:r>
            <w:r w:rsidRPr="00294EEE">
              <w:rPr>
                <w:i/>
              </w:rPr>
              <w:t>very remote</w:t>
            </w:r>
            <w:r>
              <w:t xml:space="preserve"> areas should be eligible.</w:t>
            </w:r>
          </w:p>
          <w:p w:rsidR="002A5D84" w:rsidRPr="004B6E14" w:rsidRDefault="002A5D84" w:rsidP="00FB19CB">
            <w:pPr>
              <w:pStyle w:val="KeyPointsListBullet"/>
            </w:pPr>
            <w:r w:rsidRPr="004B6E14">
              <w:t xml:space="preserve">The RAA is a supplementary payment </w:t>
            </w:r>
            <w:r>
              <w:t>for</w:t>
            </w:r>
            <w:r w:rsidRPr="004B6E14">
              <w:t xml:space="preserve"> people on income support in remote areas. It</w:t>
            </w:r>
            <w:r w:rsidRPr="004B6E14" w:rsidDel="0019503C">
              <w:t xml:space="preserve"> </w:t>
            </w:r>
            <w:r w:rsidRPr="004B6E14">
              <w:t>partially compensat</w:t>
            </w:r>
            <w:r>
              <w:t>es</w:t>
            </w:r>
            <w:r w:rsidRPr="004B6E14">
              <w:t xml:space="preserve"> for higher living costs. The majority of recipients </w:t>
            </w:r>
            <w:r>
              <w:rPr>
                <w:spacing w:val="-2"/>
              </w:rPr>
              <w:t>face</w:t>
            </w:r>
            <w:r w:rsidRPr="004B6E14">
              <w:rPr>
                <w:spacing w:val="-2"/>
              </w:rPr>
              <w:t xml:space="preserve"> </w:t>
            </w:r>
            <w:r w:rsidRPr="004B6E14">
              <w:t xml:space="preserve">socioeconomic disadvantage and barriers to mobility. Being out of the labour market, RAA recipients do not benefit from the </w:t>
            </w:r>
            <w:r>
              <w:t>remuneration</w:t>
            </w:r>
            <w:r w:rsidRPr="004B6E14">
              <w:t xml:space="preserve"> premiums that apply to ZTO recipients.</w:t>
            </w:r>
          </w:p>
          <w:p w:rsidR="002A5D84" w:rsidRPr="004B6E14" w:rsidRDefault="002A5D84" w:rsidP="00276110">
            <w:pPr>
              <w:pStyle w:val="KeyPointsListBullet2"/>
              <w:ind w:left="641"/>
            </w:pPr>
            <w:r>
              <w:t>The</w:t>
            </w:r>
            <w:r w:rsidRPr="004B6E14">
              <w:t xml:space="preserve"> RAA has a legitimate role</w:t>
            </w:r>
            <w:r>
              <w:t xml:space="preserve"> — it can serve to partly compensate people on income support for higher living costs and less ready access to services</w:t>
            </w:r>
            <w:r>
              <w:rPr>
                <w:spacing w:val="-2"/>
              </w:rPr>
              <w:t>.</w:t>
            </w:r>
            <w:r>
              <w:t xml:space="preserve"> But </w:t>
            </w:r>
            <w:r w:rsidRPr="004B6E14">
              <w:t xml:space="preserve">it needs a refresh — with boundaries </w:t>
            </w:r>
            <w:r>
              <w:t xml:space="preserve">set around </w:t>
            </w:r>
            <w:r w:rsidRPr="009627BE">
              <w:rPr>
                <w:i/>
              </w:rPr>
              <w:t>very remote</w:t>
            </w:r>
            <w:r>
              <w:t xml:space="preserve"> Australia only</w:t>
            </w:r>
            <w:r w:rsidRPr="004B6E14">
              <w:t xml:space="preserve"> </w:t>
            </w:r>
            <w:r>
              <w:t>and</w:t>
            </w:r>
            <w:r w:rsidRPr="004B6E14">
              <w:t xml:space="preserve"> payment rates reviewed.</w:t>
            </w:r>
          </w:p>
          <w:p w:rsidR="002A5D84" w:rsidRDefault="002A5D84" w:rsidP="00FB19CB">
            <w:pPr>
              <w:pStyle w:val="KeyPointsListBullet"/>
            </w:pPr>
            <w:r>
              <w:t xml:space="preserve">FBT concessions for remote areas have dual </w:t>
            </w:r>
            <w:r w:rsidRPr="00565097">
              <w:t xml:space="preserve">objectives: equitable </w:t>
            </w:r>
            <w:r>
              <w:t>tax treatment where employers have operational reasons to provide goods and services to employees; and regional assistance goals.</w:t>
            </w:r>
          </w:p>
          <w:p w:rsidR="002A5D84" w:rsidRDefault="002A5D84" w:rsidP="00276110">
            <w:pPr>
              <w:pStyle w:val="KeyPointsListBullet2"/>
              <w:ind w:left="641"/>
            </w:pPr>
            <w:r>
              <w:t>The most compelling argument for these concessions is the former. But current concessions are overly generous and complex, thereby creating other inequities. By virtue of their broad application, they are ineffective in supporting service delivery needs and regional development.</w:t>
            </w:r>
          </w:p>
          <w:p w:rsidR="002A5D84" w:rsidRDefault="002A5D84" w:rsidP="00276110">
            <w:pPr>
              <w:pStyle w:val="KeyPointsListBullet2"/>
              <w:ind w:left="641"/>
            </w:pPr>
            <w:r>
              <w:t>The concessions should be redesigned to be more tax neutral. This would reduce the scope for differential tax treatment to distort investment decisions — delivering more efficient outcomes and generating tax revenue that could be used for other priorities.</w:t>
            </w:r>
          </w:p>
          <w:p w:rsidR="002A5D84" w:rsidRDefault="002A5D84" w:rsidP="00276110">
            <w:pPr>
              <w:pStyle w:val="BoxListBullet2"/>
              <w:ind w:left="641"/>
            </w:pPr>
            <w:r>
              <w:t>Most significantly, the exemption for employer</w:t>
            </w:r>
            <w:r>
              <w:noBreakHyphen/>
              <w:t>provided housing should be changed to a 50 per cent concession (as it was prior to 2000), and provisions allowing employers to claim housing exemptions solely because it is ‘customary’ should be removed.</w:t>
            </w:r>
          </w:p>
          <w:p w:rsidR="002A5D84" w:rsidRDefault="002A5D84" w:rsidP="00FB19CB">
            <w:pPr>
              <w:pStyle w:val="KeyPointsListBullet"/>
            </w:pPr>
            <w:r>
              <w:t>In looking at alternative mechanisms to support regions, governments should be cautious of top</w:t>
            </w:r>
            <w:r>
              <w:noBreakHyphen/>
              <w:t>down approaches. While there are few one</w:t>
            </w:r>
            <w:r>
              <w:noBreakHyphen/>
              <w:t>size</w:t>
            </w:r>
            <w:r>
              <w:noBreakHyphen/>
              <w:t>fits</w:t>
            </w:r>
            <w:r>
              <w:noBreakHyphen/>
              <w:t xml:space="preserve">all solutions, </w:t>
            </w:r>
            <w:r w:rsidRPr="00B63BAD">
              <w:t>harness</w:t>
            </w:r>
            <w:r>
              <w:t>ing existing capabilities</w:t>
            </w:r>
            <w:r w:rsidRPr="00B63BAD">
              <w:t xml:space="preserve"> and locational advantages</w:t>
            </w:r>
            <w:r>
              <w:t xml:space="preserve"> should be at the core of any such strategy.</w:t>
            </w:r>
          </w:p>
        </w:tc>
      </w:tr>
      <w:tr w:rsidR="002A5D84" w:rsidTr="00FB19CB">
        <w:tc>
          <w:tcPr>
            <w:tcW w:w="5000" w:type="pct"/>
            <w:tcBorders>
              <w:top w:val="nil"/>
              <w:left w:val="nil"/>
              <w:bottom w:val="single" w:sz="4" w:space="0" w:color="78A22F" w:themeColor="accent1"/>
              <w:right w:val="nil"/>
            </w:tcBorders>
            <w:shd w:val="clear" w:color="auto" w:fill="E5F1D0"/>
          </w:tcPr>
          <w:p w:rsidR="002A5D84" w:rsidRDefault="002A5D84" w:rsidP="00FB19CB">
            <w:pPr>
              <w:pStyle w:val="Box"/>
              <w:spacing w:before="0" w:line="120" w:lineRule="exact"/>
            </w:pPr>
          </w:p>
        </w:tc>
      </w:tr>
      <w:tr w:rsidR="002A5D84" w:rsidTr="00FB19CB">
        <w:trPr>
          <w:trHeight w:val="63"/>
        </w:trPr>
        <w:tc>
          <w:tcPr>
            <w:tcW w:w="5000" w:type="pct"/>
            <w:tcBorders>
              <w:top w:val="single" w:sz="4" w:space="0" w:color="78A22F" w:themeColor="accent1"/>
              <w:left w:val="nil"/>
              <w:bottom w:val="nil"/>
              <w:right w:val="nil"/>
            </w:tcBorders>
          </w:tcPr>
          <w:p w:rsidR="002A5D84" w:rsidRPr="006D524D" w:rsidRDefault="002A5D84" w:rsidP="00FB19CB">
            <w:pPr>
              <w:pStyle w:val="BoxSpaceBelow"/>
            </w:pPr>
          </w:p>
        </w:tc>
      </w:tr>
    </w:tbl>
    <w:p w:rsidR="002A5D84" w:rsidRPr="00D150C0" w:rsidRDefault="002A5D84" w:rsidP="009C601F">
      <w:pPr>
        <w:pStyle w:val="Heading1"/>
      </w:pPr>
      <w:r>
        <w:lastRenderedPageBreak/>
        <w:t>Overview</w:t>
      </w:r>
    </w:p>
    <w:p w:rsidR="002A5D84" w:rsidRDefault="002A5D84" w:rsidP="00FB19CB">
      <w:pPr>
        <w:pStyle w:val="BodyText"/>
      </w:pPr>
      <w:r>
        <w:t>As</w:t>
      </w:r>
      <w:r w:rsidRPr="00D77A00">
        <w:t xml:space="preserve"> </w:t>
      </w:r>
      <w:r>
        <w:t xml:space="preserve">one of </w:t>
      </w:r>
      <w:r w:rsidRPr="00D77A00" w:rsidDel="00692C4D">
        <w:t xml:space="preserve">the </w:t>
      </w:r>
      <w:r w:rsidRPr="00D77A00">
        <w:t xml:space="preserve">least densely </w:t>
      </w:r>
      <w:r>
        <w:t>populated</w:t>
      </w:r>
      <w:r w:rsidRPr="00D77A00">
        <w:t xml:space="preserve"> countr</w:t>
      </w:r>
      <w:r>
        <w:t>ies</w:t>
      </w:r>
      <w:r w:rsidRPr="00D77A00">
        <w:t xml:space="preserve"> in the world</w:t>
      </w:r>
      <w:r>
        <w:t>, large</w:t>
      </w:r>
      <w:r w:rsidRPr="00D77A00">
        <w:t xml:space="preserve"> swathes of the </w:t>
      </w:r>
      <w:r>
        <w:t>Australian continent</w:t>
      </w:r>
      <w:r w:rsidRPr="00D77A00">
        <w:t xml:space="preserve"> </w:t>
      </w:r>
      <w:r>
        <w:t xml:space="preserve">are ‘remote’: </w:t>
      </w:r>
      <w:r w:rsidRPr="00D77A00">
        <w:t xml:space="preserve">sparsely populated and distant from major </w:t>
      </w:r>
      <w:r>
        <w:t>cities</w:t>
      </w:r>
      <w:r w:rsidRPr="00D66FCD">
        <w:t>.</w:t>
      </w:r>
      <w:r>
        <w:t xml:space="preserve"> Many parts of remote Australia offer their residents a unique lifestyle, or a different set of employment opportunities to other parts of Australia. Living and doing business in remote places, however, can be challenging and demands resilience.</w:t>
      </w:r>
    </w:p>
    <w:p w:rsidR="002A5D84" w:rsidRDefault="002A5D84" w:rsidP="00FB19CB">
      <w:pPr>
        <w:pStyle w:val="BodyText"/>
      </w:pPr>
      <w:r>
        <w:t>Australian governments at all levels have a long history of supporting people and businesses in remote Australia. As communities have continued to transition over time in response to economic, social and technological changes, there has been continued pressure to help sustain their long</w:t>
      </w:r>
      <w:r>
        <w:noBreakHyphen/>
        <w:t>term viability and prosperity.</w:t>
      </w:r>
    </w:p>
    <w:p w:rsidR="002A5D84" w:rsidRDefault="002A5D84" w:rsidP="00FB19CB">
      <w:pPr>
        <w:pStyle w:val="BodyText"/>
        <w:rPr>
          <w:rStyle w:val="BodyTextChar"/>
        </w:rPr>
      </w:pPr>
      <w:r>
        <w:t xml:space="preserve">The nature and scope of this support has evolved — mirroring the evolution of remote Australia itself. </w:t>
      </w:r>
      <w:r>
        <w:rPr>
          <w:rStyle w:val="BodyTextChar"/>
        </w:rPr>
        <w:t xml:space="preserve">Some places that were undeniably remote in 1945 (when tax concessions for ‘isolated areas’ were introduced) have since become highly developed, with connections to </w:t>
      </w:r>
      <w:r w:rsidRPr="009C601F">
        <w:rPr>
          <w:rStyle w:val="BodyTextChar"/>
          <w:spacing w:val="-1"/>
        </w:rPr>
        <w:t xml:space="preserve">the rest of the country and the world. Further, technological and economic developments </w:t>
      </w:r>
      <w:r w:rsidR="009C601F" w:rsidRPr="009C601F">
        <w:rPr>
          <w:rStyle w:val="BodyTextChar"/>
          <w:spacing w:val="-1"/>
        </w:rPr>
        <w:t>h</w:t>
      </w:r>
      <w:r w:rsidRPr="009C601F">
        <w:rPr>
          <w:rStyle w:val="BodyTextChar"/>
          <w:spacing w:val="-1"/>
        </w:rPr>
        <w:t>ave</w:t>
      </w:r>
      <w:r>
        <w:rPr>
          <w:rStyle w:val="BodyTextChar"/>
        </w:rPr>
        <w:t xml:space="preserve"> cushioned many of the difficulties stemming from distance, isolation, and a harsh climate.</w:t>
      </w:r>
    </w:p>
    <w:p w:rsidR="002A5D84" w:rsidRDefault="002A5D84" w:rsidP="00FB19CB">
      <w:pPr>
        <w:pStyle w:val="BodyText"/>
      </w:pPr>
      <w:r>
        <w:rPr>
          <w:rStyle w:val="BodyTextChar"/>
        </w:rPr>
        <w:t xml:space="preserve">Against this backdrop, the Commission has been asked to review </w:t>
      </w:r>
      <w:r w:rsidRPr="00014F61">
        <w:t>three longstanding tax concessions and payments for residents and businesses in re</w:t>
      </w:r>
      <w:r>
        <w:t xml:space="preserve">mote and certain regional areas: the zone tax offset (ZTO); </w:t>
      </w:r>
      <w:r w:rsidRPr="00982867">
        <w:t>the remote area allowance (RAA)</w:t>
      </w:r>
      <w:r>
        <w:t>;</w:t>
      </w:r>
      <w:r w:rsidRPr="00982867">
        <w:t xml:space="preserve"> and </w:t>
      </w:r>
      <w:r>
        <w:t xml:space="preserve">the </w:t>
      </w:r>
      <w:r w:rsidRPr="00982867">
        <w:t>fringe benefits tax (FBT)</w:t>
      </w:r>
      <w:r>
        <w:t xml:space="preserve"> remote area concessions. These constitute </w:t>
      </w:r>
      <w:r w:rsidRPr="008F4C15">
        <w:t>small and discrete measures that sit within an existing, and much larger, tax and transfer system.</w:t>
      </w:r>
    </w:p>
    <w:p w:rsidR="002A5D84" w:rsidRDefault="009C601F" w:rsidP="00FB19CB">
      <w:pPr>
        <w:pStyle w:val="BodyText"/>
      </w:pPr>
      <w:r>
        <w:t>The</w:t>
      </w:r>
      <w:r w:rsidR="002A5D84">
        <w:t xml:space="preserve"> concessions date</w:t>
      </w:r>
      <w:r w:rsidR="002A5D84" w:rsidRPr="00982867">
        <w:t xml:space="preserve"> back to </w:t>
      </w:r>
      <w:r w:rsidR="002A5D84">
        <w:t xml:space="preserve">the end of World War II, when the Australian Government introduced </w:t>
      </w:r>
      <w:r w:rsidR="002A5D84" w:rsidRPr="00982867">
        <w:t xml:space="preserve">income tax deductions for </w:t>
      </w:r>
      <w:r w:rsidR="002A5D84">
        <w:t>residents</w:t>
      </w:r>
      <w:r w:rsidR="002A5D84" w:rsidRPr="00982867">
        <w:t xml:space="preserve"> of designated zones</w:t>
      </w:r>
      <w:r w:rsidR="002A5D84">
        <w:t xml:space="preserve"> in recognition of the </w:t>
      </w:r>
      <w:r>
        <w:t>hard</w:t>
      </w:r>
      <w:r w:rsidR="002A5D84">
        <w:t xml:space="preserve">ship that they faced. </w:t>
      </w:r>
      <w:r w:rsidR="002A5D84" w:rsidRPr="00982867">
        <w:t xml:space="preserve">Governments </w:t>
      </w:r>
      <w:r w:rsidR="002A5D84">
        <w:t>further expanded</w:t>
      </w:r>
      <w:r w:rsidR="002A5D84" w:rsidRPr="00982867">
        <w:t xml:space="preserve"> the arrangem</w:t>
      </w:r>
      <w:r w:rsidR="002A5D84">
        <w:t>ents over the following decades.</w:t>
      </w:r>
    </w:p>
    <w:p w:rsidR="002A5D84" w:rsidRPr="00982867" w:rsidRDefault="002A5D84" w:rsidP="00FB19CB">
      <w:pPr>
        <w:numPr>
          <w:ilvl w:val="0"/>
          <w:numId w:val="11"/>
        </w:numPr>
        <w:spacing w:before="120" w:line="300" w:lineRule="atLeast"/>
        <w:jc w:val="both"/>
        <w:rPr>
          <w:szCs w:val="20"/>
        </w:rPr>
      </w:pPr>
      <w:r>
        <w:rPr>
          <w:szCs w:val="20"/>
        </w:rPr>
        <w:t>I</w:t>
      </w:r>
      <w:r w:rsidRPr="00982867">
        <w:rPr>
          <w:szCs w:val="20"/>
        </w:rPr>
        <w:t xml:space="preserve">n 1984, </w:t>
      </w:r>
      <w:r>
        <w:rPr>
          <w:szCs w:val="20"/>
        </w:rPr>
        <w:t xml:space="preserve">the RAA was introduced as a supplementary </w:t>
      </w:r>
      <w:r w:rsidRPr="00982867">
        <w:rPr>
          <w:szCs w:val="20"/>
        </w:rPr>
        <w:t xml:space="preserve">payment for </w:t>
      </w:r>
      <w:r>
        <w:rPr>
          <w:szCs w:val="20"/>
        </w:rPr>
        <w:t>income support</w:t>
      </w:r>
      <w:r w:rsidRPr="00982867">
        <w:rPr>
          <w:szCs w:val="20"/>
        </w:rPr>
        <w:t xml:space="preserve"> </w:t>
      </w:r>
      <w:r w:rsidR="009C601F" w:rsidRPr="009C601F">
        <w:rPr>
          <w:spacing w:val="-2"/>
          <w:szCs w:val="20"/>
        </w:rPr>
        <w:t>re</w:t>
      </w:r>
      <w:r w:rsidRPr="009C601F">
        <w:rPr>
          <w:spacing w:val="-2"/>
          <w:szCs w:val="20"/>
        </w:rPr>
        <w:t>cipients, extending the benefits of the ZTO to non</w:t>
      </w:r>
      <w:r w:rsidRPr="009C601F">
        <w:rPr>
          <w:spacing w:val="-2"/>
          <w:szCs w:val="20"/>
        </w:rPr>
        <w:noBreakHyphen/>
      </w:r>
      <w:r w:rsidRPr="009C601F" w:rsidDel="003033BE">
        <w:rPr>
          <w:spacing w:val="-2"/>
          <w:szCs w:val="20"/>
        </w:rPr>
        <w:t>taxpayers residing in remote Australia</w:t>
      </w:r>
      <w:r w:rsidRPr="009C601F">
        <w:rPr>
          <w:spacing w:val="-2"/>
          <w:szCs w:val="20"/>
        </w:rPr>
        <w:t>.</w:t>
      </w:r>
    </w:p>
    <w:p w:rsidR="002A5D84" w:rsidRPr="00FD5E28" w:rsidRDefault="002A5D84" w:rsidP="00FB19CB">
      <w:pPr>
        <w:numPr>
          <w:ilvl w:val="0"/>
          <w:numId w:val="11"/>
        </w:numPr>
        <w:spacing w:before="120" w:line="300" w:lineRule="atLeast"/>
        <w:jc w:val="both"/>
        <w:rPr>
          <w:spacing w:val="-2"/>
          <w:szCs w:val="20"/>
        </w:rPr>
      </w:pPr>
      <w:r w:rsidRPr="00FD5E28">
        <w:rPr>
          <w:spacing w:val="-2"/>
          <w:szCs w:val="20"/>
        </w:rPr>
        <w:t>In 1986, FBT remote area concessions were introduced to lessen the impact of the then</w:t>
      </w:r>
      <w:r>
        <w:rPr>
          <w:spacing w:val="-2"/>
          <w:szCs w:val="20"/>
        </w:rPr>
        <w:noBreakHyphen/>
      </w:r>
      <w:r w:rsidRPr="00FD5E28">
        <w:rPr>
          <w:spacing w:val="-2"/>
          <w:szCs w:val="20"/>
        </w:rPr>
        <w:t xml:space="preserve">new FBT. </w:t>
      </w:r>
      <w:r>
        <w:rPr>
          <w:spacing w:val="-2"/>
          <w:szCs w:val="20"/>
        </w:rPr>
        <w:t xml:space="preserve">These concessions were subsequently expanded, most notably </w:t>
      </w:r>
      <w:r w:rsidRPr="00FD5E28">
        <w:rPr>
          <w:spacing w:val="-2"/>
          <w:szCs w:val="20"/>
        </w:rPr>
        <w:t>in 1997 (for primary producers) and 2000 (for other employers), with a change from a 50 per cent FBT concession to a full exemption for employer</w:t>
      </w:r>
      <w:r w:rsidRPr="00FD5E28">
        <w:rPr>
          <w:spacing w:val="-2"/>
          <w:szCs w:val="20"/>
        </w:rPr>
        <w:noBreakHyphen/>
        <w:t>provided housing in remote areas.</w:t>
      </w:r>
    </w:p>
    <w:p w:rsidR="002A5D84" w:rsidRPr="004B6E14" w:rsidRDefault="002A5D84" w:rsidP="00FB19CB">
      <w:pPr>
        <w:pStyle w:val="BodyText"/>
        <w:rPr>
          <w:spacing w:val="-2"/>
        </w:rPr>
      </w:pPr>
      <w:r w:rsidRPr="004B6E14">
        <w:rPr>
          <w:spacing w:val="-2"/>
        </w:rPr>
        <w:t>Apart from a 2015 amendment to the ZTO to exclude fly</w:t>
      </w:r>
      <w:r w:rsidRPr="004B6E14">
        <w:rPr>
          <w:spacing w:val="-2"/>
        </w:rPr>
        <w:noBreakHyphen/>
        <w:t>in fly</w:t>
      </w:r>
      <w:r w:rsidRPr="004B6E14">
        <w:rPr>
          <w:spacing w:val="-2"/>
        </w:rPr>
        <w:noBreakHyphen/>
        <w:t>out</w:t>
      </w:r>
      <w:r>
        <w:rPr>
          <w:spacing w:val="-2"/>
        </w:rPr>
        <w:t xml:space="preserve"> (FIFO)</w:t>
      </w:r>
      <w:r w:rsidRPr="004B6E14">
        <w:rPr>
          <w:spacing w:val="-2"/>
        </w:rPr>
        <w:t xml:space="preserve"> workers who reside outside the zones, there has been no substantive change to the </w:t>
      </w:r>
      <w:r>
        <w:rPr>
          <w:spacing w:val="-2"/>
        </w:rPr>
        <w:t>ZTO and the RAA</w:t>
      </w:r>
      <w:r w:rsidRPr="004B6E14">
        <w:rPr>
          <w:spacing w:val="-2"/>
        </w:rPr>
        <w:t xml:space="preserve"> for more than thirty years. This </w:t>
      </w:r>
      <w:r w:rsidRPr="004B6E14" w:rsidDel="00CD2AF1">
        <w:rPr>
          <w:spacing w:val="-2"/>
        </w:rPr>
        <w:t xml:space="preserve">inertia </w:t>
      </w:r>
      <w:r w:rsidRPr="004B6E14">
        <w:rPr>
          <w:spacing w:val="-2"/>
        </w:rPr>
        <w:t>has kindled concerns that these measures have failed to keep pace with change in remote Australia, and may now be outdated.</w:t>
      </w:r>
    </w:p>
    <w:p w:rsidR="002A5D84" w:rsidRDefault="002A5D84" w:rsidP="00FB19CB">
      <w:pPr>
        <w:pStyle w:val="Heading2nosectionno"/>
      </w:pPr>
      <w:r w:rsidRPr="00B40F00">
        <w:lastRenderedPageBreak/>
        <w:t>The Commission’s approach</w:t>
      </w:r>
    </w:p>
    <w:p w:rsidR="002A5D84" w:rsidRDefault="002A5D84" w:rsidP="00FB19CB">
      <w:pPr>
        <w:pStyle w:val="BodyText"/>
      </w:pPr>
      <w:r>
        <w:t xml:space="preserve">The Australian Government asked the Commission to assess the effects and policy merits of the three remote area measures, whether they meet their objectives, and the relevance of these objectives in contemporary Australia. It also asked the Commission to make </w:t>
      </w:r>
      <w:r w:rsidRPr="008F4C15">
        <w:t xml:space="preserve">recommendations for </w:t>
      </w:r>
      <w:r>
        <w:t>their future operation, including the levels of assistance provided, indexation and boundaries</w:t>
      </w:r>
      <w:r w:rsidRPr="008F4C15">
        <w:t>.</w:t>
      </w:r>
    </w:p>
    <w:p w:rsidR="002A5D84" w:rsidRDefault="002A5D84" w:rsidP="00FB19CB">
      <w:pPr>
        <w:pStyle w:val="BodyText"/>
      </w:pPr>
      <w:r w:rsidRPr="00F002CD">
        <w:t xml:space="preserve">As required by the </w:t>
      </w:r>
      <w:r w:rsidRPr="00456496">
        <w:rPr>
          <w:i/>
        </w:rPr>
        <w:t>Productivity Commission Act 1998</w:t>
      </w:r>
      <w:r w:rsidRPr="00F002CD">
        <w:t xml:space="preserve"> (Cth), the Commission has taken a community</w:t>
      </w:r>
      <w:r w:rsidRPr="00F002CD">
        <w:noBreakHyphen/>
        <w:t xml:space="preserve">wide perspective while also considering </w:t>
      </w:r>
      <w:r>
        <w:t>ways of promoting</w:t>
      </w:r>
      <w:r w:rsidRPr="00F002CD">
        <w:t xml:space="preserve"> regional development</w:t>
      </w:r>
      <w:r>
        <w:t>. This involved</w:t>
      </w:r>
      <w:r w:rsidRPr="00F002CD">
        <w:t xml:space="preserve"> taking into account not only the economic and employment </w:t>
      </w:r>
      <w:r>
        <w:t>effects</w:t>
      </w:r>
      <w:r w:rsidRPr="00F002CD">
        <w:t xml:space="preserve"> of the measures at a local level but also their ramifications at a national level in terms of forgone tax revenue, increased government outlays, and displaced economic activity. </w:t>
      </w:r>
    </w:p>
    <w:p w:rsidR="002A5D84" w:rsidRPr="00C7728B" w:rsidRDefault="002A5D84" w:rsidP="00FB19CB">
      <w:pPr>
        <w:pStyle w:val="BodyText"/>
      </w:pPr>
      <w:r>
        <w:t xml:space="preserve">The Commission has </w:t>
      </w:r>
      <w:r w:rsidRPr="00AA1953">
        <w:t>take</w:t>
      </w:r>
      <w:r>
        <w:t>n</w:t>
      </w:r>
      <w:r w:rsidRPr="00AA1953">
        <w:t xml:space="preserve"> the broad architecture of the </w:t>
      </w:r>
      <w:r>
        <w:t xml:space="preserve">tax, expenditure and </w:t>
      </w:r>
      <w:r w:rsidRPr="00AA1953">
        <w:t>welfa</w:t>
      </w:r>
      <w:r>
        <w:t>re system as given in assessing the design and desirability of the three measures</w:t>
      </w:r>
      <w:r w:rsidRPr="00AA1953">
        <w:t>.</w:t>
      </w:r>
      <w:r>
        <w:t xml:space="preserve"> In determining whether the measures are warranted</w:t>
      </w:r>
      <w:r w:rsidRPr="00C7728B">
        <w:t xml:space="preserve">, </w:t>
      </w:r>
      <w:r>
        <w:t>the Commission has considered:</w:t>
      </w:r>
    </w:p>
    <w:p w:rsidR="002A5D84" w:rsidRPr="00C7728B" w:rsidRDefault="002A5D84" w:rsidP="00FB19CB">
      <w:pPr>
        <w:pStyle w:val="ListBullet"/>
      </w:pPr>
      <w:r>
        <w:t>whether</w:t>
      </w:r>
      <w:r w:rsidRPr="00C7728B">
        <w:t xml:space="preserve"> </w:t>
      </w:r>
      <w:r>
        <w:t>there is</w:t>
      </w:r>
      <w:r w:rsidRPr="00C7728B">
        <w:t xml:space="preserve"> a significant market or government </w:t>
      </w:r>
      <w:r>
        <w:t>distortion</w:t>
      </w:r>
      <w:r w:rsidRPr="00C7728B">
        <w:t xml:space="preserve"> impairing economic efficiency </w:t>
      </w:r>
      <w:r>
        <w:t>(</w:t>
      </w:r>
      <w:r w:rsidRPr="00C7728B">
        <w:t>and hence aggregate welfare</w:t>
      </w:r>
      <w:r>
        <w:t>),</w:t>
      </w:r>
      <w:r w:rsidRPr="00C7728B">
        <w:t xml:space="preserve"> or an explicit </w:t>
      </w:r>
      <w:r>
        <w:t xml:space="preserve">‘social </w:t>
      </w:r>
      <w:r w:rsidRPr="00C7728B">
        <w:t>equity</w:t>
      </w:r>
      <w:r>
        <w:t>’</w:t>
      </w:r>
      <w:r w:rsidRPr="00C7728B">
        <w:t xml:space="preserve"> objective</w:t>
      </w:r>
      <w:r>
        <w:t xml:space="preserve"> </w:t>
      </w:r>
    </w:p>
    <w:p w:rsidR="002A5D84" w:rsidRPr="00C7728B" w:rsidRDefault="002A5D84" w:rsidP="00FB19CB">
      <w:pPr>
        <w:pStyle w:val="ListBullet"/>
      </w:pPr>
      <w:r>
        <w:t>whether</w:t>
      </w:r>
      <w:r w:rsidRPr="00C7728B">
        <w:t xml:space="preserve"> the benefits of </w:t>
      </w:r>
      <w:r>
        <w:t>an</w:t>
      </w:r>
      <w:r w:rsidRPr="00C7728B">
        <w:t xml:space="preserve"> intervention outweigh </w:t>
      </w:r>
      <w:r>
        <w:t>its</w:t>
      </w:r>
      <w:r w:rsidRPr="00C7728B">
        <w:t xml:space="preserve"> costs</w:t>
      </w:r>
      <w:r>
        <w:t>, and whether</w:t>
      </w:r>
      <w:r w:rsidRPr="00C7728B" w:rsidDel="00C728CF">
        <w:t xml:space="preserve"> </w:t>
      </w:r>
      <w:r>
        <w:t>the measure in question</w:t>
      </w:r>
      <w:r w:rsidRPr="00C7728B">
        <w:t xml:space="preserve"> is the best available means to address the policy issue</w:t>
      </w:r>
      <w:r>
        <w:t>.</w:t>
      </w:r>
    </w:p>
    <w:p w:rsidR="002A5D84" w:rsidRDefault="002A5D84" w:rsidP="00FB19CB">
      <w:pPr>
        <w:pStyle w:val="Heading3"/>
      </w:pPr>
      <w:r>
        <w:t>Community input</w:t>
      </w:r>
    </w:p>
    <w:p w:rsidR="002A5D84" w:rsidRDefault="002A5D84" w:rsidP="00FB19CB">
      <w:pPr>
        <w:pStyle w:val="BodyText"/>
        <w:rPr>
          <w:spacing w:val="-2"/>
        </w:rPr>
      </w:pPr>
      <w:r>
        <w:t>As a first step, the Commission sought to understand the demands of life in remote Australia. This involved</w:t>
      </w:r>
      <w:r w:rsidDel="006A00CB">
        <w:t xml:space="preserve"> </w:t>
      </w:r>
      <w:r>
        <w:t>an extensive program of visits to meet with residents, business owners and community leaders. The Commission received 98 submissions from a wide cross</w:t>
      </w:r>
      <w:r>
        <w:noBreakHyphen/>
        <w:t xml:space="preserve">section of stakeholders before the draft report. Following the release of the draft report, the Commission engaged further with stakeholders across all key affected jurisdictions, and received a further 101 submissions. </w:t>
      </w:r>
      <w:r>
        <w:rPr>
          <w:spacing w:val="-2"/>
        </w:rPr>
        <w:t>Most submissions were from people and groups who favoured retaining, extending and increasing the level of support.</w:t>
      </w:r>
    </w:p>
    <w:p w:rsidR="002A5D84" w:rsidRPr="00081FB4" w:rsidRDefault="002A5D84" w:rsidP="00FB19CB">
      <w:pPr>
        <w:pStyle w:val="BodyText"/>
        <w:rPr>
          <w:spacing w:val="2"/>
        </w:rPr>
      </w:pPr>
      <w:r w:rsidRPr="00081FB4">
        <w:rPr>
          <w:spacing w:val="2"/>
        </w:rPr>
        <w:t>The submissions also highlighted the issues remote communities face on a daily basis. Some people keenly felt the absence of the things they believe most Australians take for granted — for example, having access to nearby schools. Others held deep concerns over the social and economic decline in their community, the loss of social fabric, and the prospects of their towns.</w:t>
      </w:r>
    </w:p>
    <w:p w:rsidR="002A5D84" w:rsidRDefault="002A5D84" w:rsidP="00FB19CB">
      <w:pPr>
        <w:pStyle w:val="BodyText"/>
      </w:pPr>
      <w:r>
        <w:t>In some cases, the challenges raised diverged sharply from one town to the next. Some people questioned the value of a transient FIFO workforce for their communities, while those in ‘source’ regions saw FIFO as generating beneficial income and employment opportunities for their residents.</w:t>
      </w:r>
    </w:p>
    <w:p w:rsidR="002A5D84" w:rsidRDefault="002A5D84" w:rsidP="00FB19CB">
      <w:pPr>
        <w:pStyle w:val="BodyText"/>
      </w:pPr>
      <w:r>
        <w:lastRenderedPageBreak/>
        <w:t>In other cases, the same issues resonated with people from opposite ends of the country. One prominent issue was the high cost of living in remote Australia. It was also clear that expectations about the accessibility and quality of services have risen significantly over the years, just as they have elsewhere in Australia.</w:t>
      </w:r>
    </w:p>
    <w:p w:rsidR="002A5D84" w:rsidRDefault="002A5D84" w:rsidP="00FB19CB">
      <w:pPr>
        <w:pStyle w:val="BodyText"/>
        <w:rPr>
          <w:spacing w:val="-2"/>
        </w:rPr>
      </w:pPr>
      <w:r w:rsidRPr="004B6E14">
        <w:rPr>
          <w:spacing w:val="-2"/>
        </w:rPr>
        <w:t xml:space="preserve">The Commission also visited communities </w:t>
      </w:r>
      <w:r>
        <w:rPr>
          <w:spacing w:val="-2"/>
        </w:rPr>
        <w:t>that</w:t>
      </w:r>
      <w:r w:rsidRPr="004B6E14">
        <w:rPr>
          <w:spacing w:val="-2"/>
        </w:rPr>
        <w:t xml:space="preserve"> were optimistic about their future, typically </w:t>
      </w:r>
      <w:r>
        <w:rPr>
          <w:spacing w:val="-2"/>
        </w:rPr>
        <w:t>due to</w:t>
      </w:r>
      <w:r w:rsidRPr="004B6E14">
        <w:rPr>
          <w:spacing w:val="-2"/>
        </w:rPr>
        <w:t xml:space="preserve"> access to a large natural asset base (amenable to mining or tourism) and to a pool of workers with the necessary skills. The Commission came across many individuals with a strong sense of purpose and determination who enjoy living where they do</w:t>
      </w:r>
      <w:r>
        <w:rPr>
          <w:spacing w:val="-2"/>
        </w:rPr>
        <w:t>, although some also felt somewhat ‘stuck’ in remote Australia</w:t>
      </w:r>
      <w:r w:rsidRPr="004B6E14">
        <w:rPr>
          <w:spacing w:val="-2"/>
        </w:rPr>
        <w:t xml:space="preserve">. </w:t>
      </w:r>
    </w:p>
    <w:p w:rsidR="002A5D84" w:rsidRPr="00280F2E" w:rsidRDefault="002A5D84" w:rsidP="00FB19CB">
      <w:pPr>
        <w:pStyle w:val="Heading3"/>
      </w:pPr>
      <w:r w:rsidRPr="00280F2E">
        <w:t>The broader policy context</w:t>
      </w:r>
    </w:p>
    <w:p w:rsidR="002A5D84" w:rsidRPr="008F4C15" w:rsidRDefault="002A5D84" w:rsidP="00FB19CB">
      <w:pPr>
        <w:spacing w:before="240" w:line="300" w:lineRule="atLeast"/>
        <w:jc w:val="both"/>
        <w:rPr>
          <w:szCs w:val="20"/>
        </w:rPr>
      </w:pPr>
      <w:r>
        <w:rPr>
          <w:szCs w:val="20"/>
        </w:rPr>
        <w:t>In undertaking this study, t</w:t>
      </w:r>
      <w:r w:rsidRPr="008F4C15">
        <w:rPr>
          <w:szCs w:val="20"/>
        </w:rPr>
        <w:t xml:space="preserve">he Commission has considered other government measures designed to provide support for </w:t>
      </w:r>
      <w:r>
        <w:rPr>
          <w:szCs w:val="20"/>
        </w:rPr>
        <w:t xml:space="preserve">regional and </w:t>
      </w:r>
      <w:r w:rsidRPr="008F4C15">
        <w:rPr>
          <w:szCs w:val="20"/>
        </w:rPr>
        <w:t>remote Australia</w:t>
      </w:r>
      <w:r>
        <w:rPr>
          <w:szCs w:val="20"/>
        </w:rPr>
        <w:t xml:space="preserve"> —</w:t>
      </w:r>
      <w:r w:rsidRPr="008F4C15">
        <w:rPr>
          <w:szCs w:val="20"/>
        </w:rPr>
        <w:t xml:space="preserve"> </w:t>
      </w:r>
      <w:r>
        <w:rPr>
          <w:szCs w:val="20"/>
        </w:rPr>
        <w:t>as well as</w:t>
      </w:r>
      <w:r w:rsidRPr="008F4C15">
        <w:rPr>
          <w:szCs w:val="20"/>
        </w:rPr>
        <w:t xml:space="preserve"> measures </w:t>
      </w:r>
      <w:r>
        <w:rPr>
          <w:szCs w:val="20"/>
        </w:rPr>
        <w:t>that</w:t>
      </w:r>
      <w:r w:rsidRPr="008F4C15">
        <w:rPr>
          <w:szCs w:val="20"/>
        </w:rPr>
        <w:t xml:space="preserve"> are broader in scope and intent but interact with </w:t>
      </w:r>
      <w:r w:rsidRPr="008F4C15" w:rsidDel="00DF7F9D">
        <w:rPr>
          <w:szCs w:val="20"/>
        </w:rPr>
        <w:t xml:space="preserve">the </w:t>
      </w:r>
      <w:r>
        <w:rPr>
          <w:szCs w:val="20"/>
        </w:rPr>
        <w:t>tax concessions and payments, such as those responding to the needs of Indigenous communities. An understanding of these broader measures helps put into context the relative importance of the</w:t>
      </w:r>
      <w:r w:rsidRPr="008F4C15">
        <w:rPr>
          <w:szCs w:val="20"/>
        </w:rPr>
        <w:t xml:space="preserve"> </w:t>
      </w:r>
      <w:r>
        <w:rPr>
          <w:szCs w:val="20"/>
        </w:rPr>
        <w:t xml:space="preserve">remote area tax concessions and payments for regional and remote Australia. </w:t>
      </w:r>
    </w:p>
    <w:p w:rsidR="002A5D84" w:rsidRDefault="002A5D84" w:rsidP="00FB19CB">
      <w:pPr>
        <w:spacing w:before="240" w:line="300" w:lineRule="atLeast"/>
        <w:jc w:val="both"/>
        <w:rPr>
          <w:szCs w:val="20"/>
        </w:rPr>
      </w:pPr>
      <w:r>
        <w:rPr>
          <w:szCs w:val="20"/>
        </w:rPr>
        <w:t>S</w:t>
      </w:r>
      <w:r w:rsidRPr="008F4C15">
        <w:rPr>
          <w:szCs w:val="20"/>
        </w:rPr>
        <w:t xml:space="preserve">tate and </w:t>
      </w:r>
      <w:r>
        <w:rPr>
          <w:szCs w:val="20"/>
        </w:rPr>
        <w:t>T</w:t>
      </w:r>
      <w:r w:rsidRPr="008F4C15">
        <w:rPr>
          <w:szCs w:val="20"/>
        </w:rPr>
        <w:t>erritory governments</w:t>
      </w:r>
      <w:r>
        <w:rPr>
          <w:szCs w:val="20"/>
        </w:rPr>
        <w:t>, with support from local governments, have primary responsibility for service delivery within their jurisdictions. The</w:t>
      </w:r>
      <w:r w:rsidRPr="008F4C15">
        <w:rPr>
          <w:szCs w:val="20"/>
        </w:rPr>
        <w:t xml:space="preserve"> measures </w:t>
      </w:r>
      <w:r>
        <w:rPr>
          <w:szCs w:val="20"/>
        </w:rPr>
        <w:t>include</w:t>
      </w:r>
      <w:r w:rsidR="009C502D">
        <w:rPr>
          <w:szCs w:val="20"/>
        </w:rPr>
        <w:t>:</w:t>
      </w:r>
      <w:r w:rsidRPr="008F4C15">
        <w:rPr>
          <w:szCs w:val="20"/>
        </w:rPr>
        <w:t xml:space="preserve"> </w:t>
      </w:r>
      <w:r>
        <w:rPr>
          <w:szCs w:val="20"/>
        </w:rPr>
        <w:t xml:space="preserve">remote area (district) </w:t>
      </w:r>
      <w:r w:rsidRPr="008F4C15">
        <w:rPr>
          <w:szCs w:val="20"/>
        </w:rPr>
        <w:t>allowances to attract police, teachers and other professionals</w:t>
      </w:r>
      <w:r w:rsidR="009C502D">
        <w:rPr>
          <w:szCs w:val="20"/>
        </w:rPr>
        <w:t>;</w:t>
      </w:r>
      <w:r w:rsidRPr="008F4C15">
        <w:rPr>
          <w:szCs w:val="20"/>
        </w:rPr>
        <w:t xml:space="preserve"> support</w:t>
      </w:r>
      <w:r>
        <w:rPr>
          <w:szCs w:val="20"/>
        </w:rPr>
        <w:t xml:space="preserve"> for </w:t>
      </w:r>
      <w:r w:rsidRPr="008F4C15">
        <w:rPr>
          <w:szCs w:val="20"/>
        </w:rPr>
        <w:t>patients needing to travel long distances to access specialist medical services</w:t>
      </w:r>
      <w:r w:rsidR="009C502D">
        <w:rPr>
          <w:szCs w:val="20"/>
        </w:rPr>
        <w:t>;</w:t>
      </w:r>
      <w:r w:rsidRPr="008F4C15">
        <w:rPr>
          <w:szCs w:val="20"/>
        </w:rPr>
        <w:t xml:space="preserve"> </w:t>
      </w:r>
      <w:r>
        <w:rPr>
          <w:szCs w:val="20"/>
        </w:rPr>
        <w:t>and</w:t>
      </w:r>
      <w:r w:rsidRPr="008F4C15">
        <w:rPr>
          <w:szCs w:val="20"/>
        </w:rPr>
        <w:t xml:space="preserve"> distance education. </w:t>
      </w:r>
      <w:r>
        <w:rPr>
          <w:szCs w:val="20"/>
        </w:rPr>
        <w:t xml:space="preserve">In addition, initiatives extend to the funding of regional projects — </w:t>
      </w:r>
      <w:r>
        <w:t>the Western Australian Government’s Royalties for Regions program is but one example.</w:t>
      </w:r>
    </w:p>
    <w:p w:rsidR="002A5D84" w:rsidRPr="008F4C15" w:rsidRDefault="002A5D84" w:rsidP="00FB19CB">
      <w:pPr>
        <w:spacing w:before="240" w:line="300" w:lineRule="atLeast"/>
        <w:jc w:val="both"/>
        <w:rPr>
          <w:szCs w:val="20"/>
        </w:rPr>
      </w:pPr>
      <w:r>
        <w:rPr>
          <w:szCs w:val="20"/>
        </w:rPr>
        <w:t xml:space="preserve">The Australian Government also </w:t>
      </w:r>
      <w:r w:rsidRPr="008F4C15">
        <w:t>assist</w:t>
      </w:r>
      <w:r>
        <w:t>s</w:t>
      </w:r>
      <w:r w:rsidRPr="008F4C15">
        <w:t xml:space="preserve"> people, businesses and communities in </w:t>
      </w:r>
      <w:r>
        <w:t xml:space="preserve">regional and </w:t>
      </w:r>
      <w:r w:rsidRPr="008F4C15">
        <w:t>remote areas</w:t>
      </w:r>
      <w:r>
        <w:t>, including</w:t>
      </w:r>
      <w:r w:rsidRPr="008F4C15">
        <w:rPr>
          <w:szCs w:val="20"/>
        </w:rPr>
        <w:t xml:space="preserve"> </w:t>
      </w:r>
      <w:r>
        <w:rPr>
          <w:szCs w:val="20"/>
        </w:rPr>
        <w:t xml:space="preserve">through </w:t>
      </w:r>
      <w:r w:rsidRPr="008F4C15">
        <w:rPr>
          <w:szCs w:val="20"/>
        </w:rPr>
        <w:t>payments to doctors to work in remote areas,</w:t>
      </w:r>
      <w:r w:rsidRPr="004E1274">
        <w:rPr>
          <w:szCs w:val="20"/>
        </w:rPr>
        <w:t xml:space="preserve"> </w:t>
      </w:r>
      <w:r>
        <w:rPr>
          <w:szCs w:val="20"/>
        </w:rPr>
        <w:t xml:space="preserve">subsidies for the supply of some utility services like telecommunications, </w:t>
      </w:r>
      <w:r w:rsidRPr="008F4C15">
        <w:rPr>
          <w:szCs w:val="20"/>
        </w:rPr>
        <w:t xml:space="preserve">assistance for industries </w:t>
      </w:r>
      <w:r>
        <w:rPr>
          <w:szCs w:val="20"/>
        </w:rPr>
        <w:t xml:space="preserve">prominent </w:t>
      </w:r>
      <w:r w:rsidRPr="008F4C15">
        <w:rPr>
          <w:szCs w:val="20"/>
        </w:rPr>
        <w:t>in regional and remote areas</w:t>
      </w:r>
      <w:r>
        <w:rPr>
          <w:szCs w:val="20"/>
        </w:rPr>
        <w:t>,</w:t>
      </w:r>
      <w:r w:rsidRPr="008F4C15">
        <w:rPr>
          <w:szCs w:val="20"/>
        </w:rPr>
        <w:t xml:space="preserve"> specific funds such as the Buildi</w:t>
      </w:r>
      <w:r>
        <w:rPr>
          <w:szCs w:val="20"/>
        </w:rPr>
        <w:t xml:space="preserve">ng Better Regions Fund and significant infrastructure investments (including regional airports). </w:t>
      </w:r>
      <w:r>
        <w:t>This is on top of</w:t>
      </w:r>
      <w:r w:rsidRPr="008F4C15">
        <w:t xml:space="preserve"> Australia’s system of horizontal fiscal equalisat</w:t>
      </w:r>
      <w:r>
        <w:t xml:space="preserve">ion, which aims </w:t>
      </w:r>
      <w:r w:rsidRPr="008F4C15">
        <w:t>to give each jurisdiction</w:t>
      </w:r>
      <w:r w:rsidRPr="008F4C15">
        <w:rPr>
          <w:rFonts w:eastAsiaTheme="minorHAnsi" w:cstheme="minorBidi"/>
          <w:lang w:eastAsia="en-US"/>
        </w:rPr>
        <w:t xml:space="preserve"> the </w:t>
      </w:r>
      <w:r>
        <w:rPr>
          <w:rFonts w:eastAsiaTheme="minorHAnsi" w:cstheme="minorBidi"/>
          <w:lang w:eastAsia="en-US"/>
        </w:rPr>
        <w:t xml:space="preserve">fiscal </w:t>
      </w:r>
      <w:r w:rsidRPr="008F4C15">
        <w:rPr>
          <w:rFonts w:eastAsiaTheme="minorHAnsi" w:cstheme="minorBidi"/>
          <w:lang w:eastAsia="en-US"/>
        </w:rPr>
        <w:t>capacity</w:t>
      </w:r>
      <w:r w:rsidRPr="008F4C15">
        <w:t xml:space="preserve"> to</w:t>
      </w:r>
      <w:r w:rsidRPr="008F4C15">
        <w:rPr>
          <w:rFonts w:eastAsiaTheme="minorHAnsi" w:cstheme="minorBidi"/>
          <w:lang w:eastAsia="en-US"/>
        </w:rPr>
        <w:t xml:space="preserve"> provide </w:t>
      </w:r>
      <w:r>
        <w:rPr>
          <w:rFonts w:eastAsiaTheme="minorHAnsi" w:cstheme="minorBidi"/>
          <w:lang w:eastAsia="en-US"/>
        </w:rPr>
        <w:t>a similar level of public</w:t>
      </w:r>
      <w:r w:rsidRPr="008F4C15">
        <w:rPr>
          <w:rFonts w:eastAsiaTheme="minorHAnsi" w:cstheme="minorBidi"/>
          <w:lang w:eastAsia="en-US"/>
        </w:rPr>
        <w:t xml:space="preserve"> </w:t>
      </w:r>
      <w:r>
        <w:rPr>
          <w:rFonts w:eastAsiaTheme="minorHAnsi" w:cstheme="minorBidi"/>
          <w:lang w:eastAsia="en-US"/>
        </w:rPr>
        <w:t>services, and notably considers</w:t>
      </w:r>
      <w:r w:rsidRPr="008F4C15">
        <w:t xml:space="preserve"> the higher per capita </w:t>
      </w:r>
      <w:r>
        <w:t>expenditure on</w:t>
      </w:r>
      <w:r w:rsidRPr="008F4C15">
        <w:t xml:space="preserve"> s</w:t>
      </w:r>
      <w:r>
        <w:t>ervice delivery in remote areas.</w:t>
      </w:r>
    </w:p>
    <w:p w:rsidR="002A5D84" w:rsidRDefault="002A5D84" w:rsidP="00FB19CB">
      <w:pPr>
        <w:spacing w:before="240" w:line="300" w:lineRule="atLeast"/>
        <w:jc w:val="both"/>
        <w:rPr>
          <w:szCs w:val="20"/>
        </w:rPr>
      </w:pPr>
      <w:r>
        <w:rPr>
          <w:szCs w:val="20"/>
        </w:rPr>
        <w:t>All governments have extensive involvement in the relief, recovery and reconstruction of communities devastated by natural disasters, such as the recent bushfires. Their responsibilities include building resilience to future natural disasters — through mitigation and prevention strategies — as well as the initial response and recovery from a natural disaster. The crux of this support is that it is targeted to the communities affected, wherever they are located.</w:t>
      </w:r>
    </w:p>
    <w:p w:rsidR="002A5D84" w:rsidRPr="008F4C15" w:rsidRDefault="002A5D84" w:rsidP="00FB19CB">
      <w:pPr>
        <w:spacing w:before="240" w:line="300" w:lineRule="atLeast"/>
        <w:jc w:val="both"/>
        <w:rPr>
          <w:szCs w:val="20"/>
        </w:rPr>
      </w:pPr>
      <w:r w:rsidRPr="008F4C15">
        <w:rPr>
          <w:szCs w:val="20"/>
        </w:rPr>
        <w:lastRenderedPageBreak/>
        <w:t>In this</w:t>
      </w:r>
      <w:r>
        <w:rPr>
          <w:szCs w:val="20"/>
        </w:rPr>
        <w:t xml:space="preserve"> broader</w:t>
      </w:r>
      <w:r w:rsidRPr="008F4C15">
        <w:rPr>
          <w:szCs w:val="20"/>
        </w:rPr>
        <w:t xml:space="preserve"> context, the ZTO, </w:t>
      </w:r>
      <w:r>
        <w:rPr>
          <w:szCs w:val="20"/>
        </w:rPr>
        <w:t xml:space="preserve">the </w:t>
      </w:r>
      <w:r w:rsidRPr="008F4C15">
        <w:rPr>
          <w:szCs w:val="20"/>
        </w:rPr>
        <w:t xml:space="preserve">RAA and the FBT concessions are a </w:t>
      </w:r>
      <w:r>
        <w:rPr>
          <w:szCs w:val="20"/>
        </w:rPr>
        <w:t>very</w:t>
      </w:r>
      <w:r w:rsidRPr="008F4C15">
        <w:rPr>
          <w:szCs w:val="20"/>
        </w:rPr>
        <w:t xml:space="preserve"> small </w:t>
      </w:r>
      <w:r>
        <w:rPr>
          <w:szCs w:val="20"/>
        </w:rPr>
        <w:t>subset</w:t>
      </w:r>
      <w:r w:rsidRPr="008F4C15">
        <w:rPr>
          <w:szCs w:val="20"/>
        </w:rPr>
        <w:t xml:space="preserve"> of the measures that </w:t>
      </w:r>
      <w:r>
        <w:rPr>
          <w:szCs w:val="20"/>
        </w:rPr>
        <w:t>assist</w:t>
      </w:r>
      <w:r w:rsidRPr="008F4C15">
        <w:rPr>
          <w:szCs w:val="20"/>
        </w:rPr>
        <w:t xml:space="preserve"> individuals, businesses and communities</w:t>
      </w:r>
      <w:r>
        <w:rPr>
          <w:szCs w:val="20"/>
        </w:rPr>
        <w:t xml:space="preserve"> in</w:t>
      </w:r>
      <w:r w:rsidRPr="008F4C15">
        <w:rPr>
          <w:szCs w:val="20"/>
        </w:rPr>
        <w:t xml:space="preserve"> regional and remote </w:t>
      </w:r>
      <w:r>
        <w:rPr>
          <w:szCs w:val="20"/>
        </w:rPr>
        <w:t>Australia, and which facilitate their development</w:t>
      </w:r>
      <w:r w:rsidRPr="008F4C15">
        <w:rPr>
          <w:szCs w:val="20"/>
        </w:rPr>
        <w:t xml:space="preserve">. </w:t>
      </w:r>
    </w:p>
    <w:p w:rsidR="002A5D84" w:rsidRDefault="002A5D84" w:rsidP="00FB19CB">
      <w:pPr>
        <w:pStyle w:val="Heading3"/>
      </w:pPr>
      <w:r>
        <w:t>The empirical challenge</w:t>
      </w:r>
    </w:p>
    <w:p w:rsidR="002A5D84" w:rsidRDefault="002A5D84" w:rsidP="00FB19CB">
      <w:pPr>
        <w:pStyle w:val="BodyText"/>
      </w:pPr>
      <w:r w:rsidRPr="008F4C15">
        <w:t>A</w:t>
      </w:r>
      <w:r w:rsidRPr="008F4C15" w:rsidDel="004811B1">
        <w:t xml:space="preserve"> </w:t>
      </w:r>
      <w:r w:rsidRPr="008F4C15">
        <w:t xml:space="preserve">challenge for this study has been the dearth </w:t>
      </w:r>
      <w:r>
        <w:t xml:space="preserve">of </w:t>
      </w:r>
      <w:r w:rsidRPr="008F4C15">
        <w:t>data</w:t>
      </w:r>
      <w:r>
        <w:t>.</w:t>
      </w:r>
      <w:r w:rsidRPr="008F4C15">
        <w:t xml:space="preserve"> Even where data </w:t>
      </w:r>
      <w:r>
        <w:t>are available</w:t>
      </w:r>
      <w:r w:rsidRPr="008F4C15">
        <w:t xml:space="preserve">, gauging the effects of the measures is </w:t>
      </w:r>
      <w:r>
        <w:t>problematic</w:t>
      </w:r>
      <w:r w:rsidRPr="008F4C15">
        <w:t>. The value of the ZTO and RAA is small</w:t>
      </w:r>
      <w:r>
        <w:t xml:space="preserve"> in relation to incomes</w:t>
      </w:r>
      <w:r w:rsidRPr="008F4C15">
        <w:t>, making it difficult to disentangle their effects from other factors</w:t>
      </w:r>
      <w:r>
        <w:t xml:space="preserve"> and to assess their local impacts</w:t>
      </w:r>
      <w:r w:rsidRPr="008F4C15">
        <w:t xml:space="preserve">. </w:t>
      </w:r>
      <w:r>
        <w:t xml:space="preserve">Equally, the impacts of the FBT remote area concessions on particular industries are confounded by factors that have a much greater influence on the performance of these industries, such as commodity price cycles in the case of the mining sector. </w:t>
      </w:r>
    </w:p>
    <w:p w:rsidR="002A5D84" w:rsidRDefault="002A5D84" w:rsidP="00FB19CB">
      <w:pPr>
        <w:pStyle w:val="BodyText"/>
      </w:pPr>
      <w:r>
        <w:t>Given this</w:t>
      </w:r>
      <w:r w:rsidRPr="008F4C15">
        <w:t xml:space="preserve">, the Commission has undertaken several empirical </w:t>
      </w:r>
      <w:r>
        <w:t xml:space="preserve">exercises, drawing largely on unpublished data sources, and conducted a survey of the use of FBT remote area concessions in the mining, agricultural and local government administration sectors. This final report has benefited from participants’ responses to the information requests in the draft report, which have contributed to narrowing some of the data gaps. Drawing from other data sources, the Commission has also revisited its analysis of wage and cost of living differentials. </w:t>
      </w:r>
    </w:p>
    <w:p w:rsidR="002A5D84" w:rsidRDefault="002A5D84" w:rsidP="00FB19CB">
      <w:pPr>
        <w:pStyle w:val="Heading3"/>
      </w:pPr>
      <w:r>
        <w:t>Constitutional issues</w:t>
      </w:r>
    </w:p>
    <w:p w:rsidR="002A5D84" w:rsidRPr="00982867" w:rsidRDefault="002A5D84" w:rsidP="00FB19CB">
      <w:pPr>
        <w:spacing w:before="240" w:line="300" w:lineRule="atLeast"/>
        <w:jc w:val="both"/>
        <w:rPr>
          <w:szCs w:val="20"/>
        </w:rPr>
      </w:pPr>
      <w:r>
        <w:rPr>
          <w:szCs w:val="20"/>
        </w:rPr>
        <w:t>There has been persistent debate about the constitutionality of remote area tax concessions</w:t>
      </w:r>
      <w:r w:rsidRPr="00982867">
        <w:rPr>
          <w:szCs w:val="20"/>
        </w:rPr>
        <w:t>. Section 51(ii) of the Constitution confers on the Commonwealth the power to make laws with respect to ‘</w:t>
      </w:r>
      <w:r>
        <w:rPr>
          <w:szCs w:val="20"/>
        </w:rPr>
        <w:t>t</w:t>
      </w:r>
      <w:r w:rsidRPr="00982867">
        <w:rPr>
          <w:szCs w:val="20"/>
        </w:rPr>
        <w:t>axation; but so as not to discriminate between States or parts of States’. Section 99 further states</w:t>
      </w:r>
      <w:r>
        <w:rPr>
          <w:szCs w:val="20"/>
        </w:rPr>
        <w:t xml:space="preserve"> that</w:t>
      </w:r>
      <w:r w:rsidRPr="00982867">
        <w:rPr>
          <w:szCs w:val="20"/>
        </w:rPr>
        <w:t xml:space="preserve"> ‘The Commonwealth shall not, by any law or regulation of … revenue, give preference to one State or any part thereof over another State or any part thereof’. The arrangements</w:t>
      </w:r>
      <w:r>
        <w:rPr>
          <w:szCs w:val="20"/>
        </w:rPr>
        <w:t>, however,</w:t>
      </w:r>
      <w:r w:rsidRPr="00982867">
        <w:rPr>
          <w:szCs w:val="20"/>
        </w:rPr>
        <w:t xml:space="preserve"> have never been </w:t>
      </w:r>
      <w:r>
        <w:rPr>
          <w:szCs w:val="20"/>
        </w:rPr>
        <w:t>directly</w:t>
      </w:r>
      <w:r w:rsidRPr="00982867">
        <w:rPr>
          <w:szCs w:val="20"/>
        </w:rPr>
        <w:t xml:space="preserve"> tested </w:t>
      </w:r>
      <w:r>
        <w:rPr>
          <w:szCs w:val="20"/>
        </w:rPr>
        <w:t>by</w:t>
      </w:r>
      <w:r w:rsidRPr="00982867">
        <w:rPr>
          <w:szCs w:val="20"/>
        </w:rPr>
        <w:t xml:space="preserve"> the High Court</w:t>
      </w:r>
      <w:r>
        <w:rPr>
          <w:szCs w:val="20"/>
        </w:rPr>
        <w:t>.</w:t>
      </w:r>
    </w:p>
    <w:p w:rsidR="002A5D84" w:rsidRPr="00982867" w:rsidRDefault="002A5D84" w:rsidP="00FB19CB">
      <w:pPr>
        <w:spacing w:before="240" w:line="300" w:lineRule="atLeast"/>
        <w:jc w:val="both"/>
        <w:rPr>
          <w:szCs w:val="20"/>
        </w:rPr>
      </w:pPr>
      <w:r w:rsidRPr="00982867">
        <w:rPr>
          <w:szCs w:val="20"/>
        </w:rPr>
        <w:t>After seeking the advice of the Attorney</w:t>
      </w:r>
      <w:r w:rsidRPr="00982867">
        <w:rPr>
          <w:szCs w:val="20"/>
        </w:rPr>
        <w:noBreakHyphen/>
        <w:t xml:space="preserve">General’s Department on the constitutional validity of </w:t>
      </w:r>
      <w:r>
        <w:rPr>
          <w:szCs w:val="20"/>
        </w:rPr>
        <w:t>the ZTO</w:t>
      </w:r>
      <w:r w:rsidRPr="00982867">
        <w:rPr>
          <w:szCs w:val="20"/>
        </w:rPr>
        <w:t xml:space="preserve">, the Cox </w:t>
      </w:r>
      <w:r>
        <w:rPr>
          <w:szCs w:val="20"/>
        </w:rPr>
        <w:t>R</w:t>
      </w:r>
      <w:r w:rsidRPr="00982867">
        <w:rPr>
          <w:szCs w:val="20"/>
        </w:rPr>
        <w:t>eview (1981, p. 5) noted that:</w:t>
      </w:r>
    </w:p>
    <w:p w:rsidR="002A5D84" w:rsidRPr="00982867" w:rsidRDefault="002A5D84" w:rsidP="00FB19CB">
      <w:pPr>
        <w:spacing w:before="120" w:line="280" w:lineRule="exact"/>
        <w:ind w:left="340"/>
        <w:jc w:val="both"/>
        <w:rPr>
          <w:sz w:val="22"/>
          <w:szCs w:val="20"/>
        </w:rPr>
      </w:pPr>
      <w:r>
        <w:rPr>
          <w:sz w:val="22"/>
          <w:szCs w:val="20"/>
        </w:rPr>
        <w:t xml:space="preserve">… </w:t>
      </w:r>
      <w:r w:rsidRPr="00982867">
        <w:rPr>
          <w:sz w:val="22"/>
          <w:szCs w:val="20"/>
        </w:rPr>
        <w:t>there was doubt about the issue and that [</w:t>
      </w:r>
      <w:r>
        <w:rPr>
          <w:sz w:val="22"/>
          <w:szCs w:val="20"/>
        </w:rPr>
        <w:t>the members of the Cox Review</w:t>
      </w:r>
      <w:r w:rsidRPr="00982867">
        <w:rPr>
          <w:sz w:val="22"/>
          <w:szCs w:val="20"/>
        </w:rPr>
        <w:t>] could have no assurance that the provision was constitutionally sound, notwithstanding that the arrangements had been in existence since 1945.</w:t>
      </w:r>
    </w:p>
    <w:p w:rsidR="002A5D84" w:rsidRDefault="002A5D84" w:rsidP="00FB19CB">
      <w:pPr>
        <w:spacing w:before="240" w:line="300" w:lineRule="atLeast"/>
        <w:jc w:val="both"/>
        <w:rPr>
          <w:szCs w:val="20"/>
        </w:rPr>
      </w:pPr>
      <w:r>
        <w:rPr>
          <w:szCs w:val="20"/>
        </w:rPr>
        <w:t>The Commission has also sought and received legal advice and has considered the associated constitutional risk when examining different reform options</w:t>
      </w:r>
      <w:r w:rsidRPr="00982867" w:rsidDel="00E4131B">
        <w:rPr>
          <w:szCs w:val="20"/>
        </w:rPr>
        <w:t>.</w:t>
      </w:r>
    </w:p>
    <w:p w:rsidR="009C601F" w:rsidRDefault="009C601F">
      <w:pPr>
        <w:rPr>
          <w:szCs w:val="20"/>
        </w:rPr>
      </w:pPr>
      <w:r>
        <w:rPr>
          <w:szCs w:val="20"/>
        </w:rPr>
        <w:br w:type="page"/>
      </w:r>
    </w:p>
    <w:p w:rsidR="002A5D84" w:rsidRDefault="002A5D84" w:rsidP="00FB19CB">
      <w:pPr>
        <w:pStyle w:val="Heading2"/>
      </w:pPr>
      <w:r>
        <w:lastRenderedPageBreak/>
        <w:t>Life in remote Australia</w:t>
      </w:r>
    </w:p>
    <w:p w:rsidR="002A5D84" w:rsidRDefault="002A5D84" w:rsidP="00FB19CB">
      <w:pPr>
        <w:pStyle w:val="BodyText"/>
      </w:pPr>
      <w:r>
        <w:t xml:space="preserve">Remote Australia accounts for more than 85 per cent of Australia’s landmass but just 2 per cent of Australia’s population. It encompasses outback stations, small country towns, outback and coastal </w:t>
      </w:r>
      <w:r w:rsidRPr="00A64FAD">
        <w:t>Indigenous communities</w:t>
      </w:r>
      <w:r>
        <w:t>,</w:t>
      </w:r>
      <w:r w:rsidRPr="00A64FAD">
        <w:t xml:space="preserve"> mining </w:t>
      </w:r>
      <w:r>
        <w:t>towns,</w:t>
      </w:r>
      <w:r w:rsidRPr="00A64FAD">
        <w:t xml:space="preserve"> </w:t>
      </w:r>
      <w:r>
        <w:t xml:space="preserve">offshore </w:t>
      </w:r>
      <w:r w:rsidRPr="00A64FAD">
        <w:t>islands</w:t>
      </w:r>
      <w:r>
        <w:t xml:space="preserve"> — and the vast and barely populated spaces between</w:t>
      </w:r>
      <w:r w:rsidRPr="00A64FAD">
        <w:t>.</w:t>
      </w:r>
      <w:r>
        <w:t xml:space="preserve"> The diversity of people, cultures, natural environments and settlements makes it impossible to tell a single </w:t>
      </w:r>
      <w:r w:rsidRPr="004A143B">
        <w:t xml:space="preserve">story of </w:t>
      </w:r>
      <w:r>
        <w:t>life</w:t>
      </w:r>
      <w:r w:rsidRPr="004A143B">
        <w:t xml:space="preserve"> in remote </w:t>
      </w:r>
      <w:r>
        <w:t>Australia.</w:t>
      </w:r>
    </w:p>
    <w:p w:rsidR="002A5D84" w:rsidRDefault="009C601F" w:rsidP="00FB19CB">
      <w:pPr>
        <w:pStyle w:val="BodyText"/>
      </w:pPr>
      <w:r>
        <w:t>W</w:t>
      </w:r>
      <w:r w:rsidR="002A5D84" w:rsidRPr="00A57D58">
        <w:t>hen income tax concessions were introduced in the mid</w:t>
      </w:r>
      <w:r w:rsidR="002A5D84" w:rsidRPr="00A57D58">
        <w:noBreakHyphen/>
        <w:t>1940s, life in remote Australia was</w:t>
      </w:r>
      <w:r w:rsidR="002A5D84" w:rsidRPr="00A57D58" w:rsidDel="009953E3">
        <w:t xml:space="preserve"> </w:t>
      </w:r>
      <w:r w:rsidR="002A5D84" w:rsidRPr="00A57D58">
        <w:t>often arduous</w:t>
      </w:r>
      <w:r w:rsidR="002A5D84">
        <w:t>,</w:t>
      </w:r>
      <w:r w:rsidR="002A5D84" w:rsidRPr="00A57D58">
        <w:t xml:space="preserve"> with less access to the amenities available in cities (</w:t>
      </w:r>
      <w:r w:rsidR="002A5D84" w:rsidRPr="00A57D58" w:rsidDel="002E6F63">
        <w:t>figure</w:t>
      </w:r>
      <w:r w:rsidR="002A5D84" w:rsidRPr="00A57D58">
        <w:t xml:space="preserve"> 1, panel A). These difficulties were particularly acute when compounded by a high cost of living and a harsh climate. </w:t>
      </w:r>
    </w:p>
    <w:p w:rsidR="002A5D84" w:rsidRPr="00A57D58" w:rsidRDefault="002A5D84" w:rsidP="00FB19CB">
      <w:pPr>
        <w:pStyle w:val="BodyText"/>
      </w:pPr>
      <w:r w:rsidRPr="00A57D58">
        <w:t>Since then, economic, social and technological change has altered where and how Australians live. Over a long period, the Australian economy has grown from its agrarian (and rural) roots to become a service economy. With a greater share of economic activity and employment now centred in our major cities, regional centres and coastal areas, some previously isolated towns have</w:t>
      </w:r>
      <w:r w:rsidRPr="00A57D58" w:rsidDel="0046758C">
        <w:t xml:space="preserve"> </w:t>
      </w:r>
      <w:r w:rsidRPr="00A57D58">
        <w:t xml:space="preserve">developed into large, connected economic centres </w:t>
      </w:r>
      <w:r w:rsidRPr="00A57D58" w:rsidDel="001C7E56">
        <w:t xml:space="preserve">in their own right </w:t>
      </w:r>
      <w:r w:rsidRPr="00A57D58">
        <w:t xml:space="preserve">and are no longer remote (figure 1, panel B). </w:t>
      </w:r>
      <w:r>
        <w:t xml:space="preserve">For example, in 1947, Cairns had a population of 16 600 (now 152 700) while Darwin had just 2500 residents (now 134 500). </w:t>
      </w:r>
      <w:r w:rsidRPr="00A57D58">
        <w:t>At the same time, improved communication and (air and road) transport infrastructure, more affordable air</w:t>
      </w:r>
      <w:r w:rsidRPr="00A57D58">
        <w:noBreakHyphen/>
        <w:t>conditioning and other advances have helped lessen the difficulties of life in many remote places.</w:t>
      </w:r>
    </w:p>
    <w:p w:rsidR="002A5D84" w:rsidRDefault="002A5D84" w:rsidP="00FB19CB">
      <w:pPr>
        <w:pStyle w:val="BodyText"/>
      </w:pPr>
      <w:r>
        <w:t>Of course, the tide of economic progress does not lift all boats equally, and nor has the story been one of universal, continuous growth — some places grow steadily, while others experience booms and busts. Accordingly</w:t>
      </w:r>
      <w:r w:rsidRPr="00A423A2">
        <w:t xml:space="preserve">, some </w:t>
      </w:r>
      <w:r>
        <w:t xml:space="preserve">remote </w:t>
      </w:r>
      <w:r w:rsidRPr="00A423A2">
        <w:t>areas have not benefited from economic development as much as others</w:t>
      </w:r>
      <w:r>
        <w:t>, and some others h</w:t>
      </w:r>
      <w:r w:rsidR="00157A6C">
        <w:t>ave had a declining population.</w:t>
      </w:r>
    </w:p>
    <w:p w:rsidR="002A5D84" w:rsidRDefault="002A5D84" w:rsidP="00FB19CB">
      <w:pPr>
        <w:pStyle w:val="BodyText"/>
      </w:pPr>
      <w:r>
        <w:t>More generally, in much of very remote Australia,</w:t>
      </w:r>
      <w:r w:rsidRPr="00A423A2">
        <w:t xml:space="preserve"> the difficulties of remote living have</w:t>
      </w:r>
      <w:r>
        <w:t>, at best,</w:t>
      </w:r>
      <w:r w:rsidRPr="00A423A2">
        <w:t xml:space="preserve"> been </w:t>
      </w:r>
      <w:r>
        <w:t xml:space="preserve">only partly </w:t>
      </w:r>
      <w:r w:rsidRPr="00A423A2">
        <w:t>overcome</w:t>
      </w:r>
      <w:r>
        <w:t>;</w:t>
      </w:r>
      <w:r w:rsidRPr="00A423A2" w:rsidDel="00B4739D">
        <w:t xml:space="preserve"> </w:t>
      </w:r>
      <w:r w:rsidRPr="00A423A2">
        <w:t xml:space="preserve">as one </w:t>
      </w:r>
      <w:r>
        <w:t>former resident of remote</w:t>
      </w:r>
      <w:r w:rsidRPr="00A423A2">
        <w:t xml:space="preserve"> Western Australia put it:</w:t>
      </w:r>
    </w:p>
    <w:p w:rsidR="002A5D84" w:rsidRDefault="002A5D84" w:rsidP="00FB19CB">
      <w:pPr>
        <w:pStyle w:val="Quote"/>
      </w:pPr>
      <w:r w:rsidRPr="00802E1E">
        <w:t>Long hours in cars to get anywhere; high airfares; fuel prices; food prices; costly housing; high insurance costs; liquor restrictions in some of the very remote regions; poor roads that bash their cars to pieces; high education costs of kids having to be sent away to schools; medical services where the Flying Doctor works day and night; lack of entertainment and access to major events such as concerts, grand finals and the like</w:t>
      </w:r>
      <w:r>
        <w:t xml:space="preserve">. </w:t>
      </w:r>
    </w:p>
    <w:p w:rsidR="002A5D84" w:rsidRDefault="002A5D84" w:rsidP="00FB19CB">
      <w:pPr>
        <w:pStyle w:val="Quote"/>
      </w:pPr>
      <w:r>
        <w:t>Things may have improved from the days of telegraph lines and the weekly mail truck but the difference between city, town and bush remains – and the cyclones, droughts and floods keep coming. (Malcolm Ainsworth, sub. 10, p. 1)</w:t>
      </w:r>
    </w:p>
    <w:p w:rsidR="003D445C" w:rsidRPr="00157A6C" w:rsidRDefault="002A5D84" w:rsidP="003D445C">
      <w:pPr>
        <w:pStyle w:val="BodyText"/>
      </w:pPr>
      <w:r>
        <w:t xml:space="preserve">Isolation can make it hard for people in remote areas to attain a comparable standard of living </w:t>
      </w:r>
      <w:r w:rsidRPr="00157A6C">
        <w:rPr>
          <w:spacing w:val="-1"/>
        </w:rPr>
        <w:t>to city residents or to those living in regional towns. Access to key services such as education,</w:t>
      </w:r>
      <w:r>
        <w:t xml:space="preserve"> </w:t>
      </w:r>
      <w:r w:rsidRPr="00A72DD6">
        <w:t>healthcare</w:t>
      </w:r>
      <w:r>
        <w:t xml:space="preserve"> and transport</w:t>
      </w:r>
      <w:r w:rsidRPr="00A72DD6">
        <w:t xml:space="preserve"> is a major concern</w:t>
      </w:r>
      <w:r>
        <w:t>, especially for those living in</w:t>
      </w:r>
      <w:r w:rsidRPr="00A72DD6">
        <w:t xml:space="preserve"> </w:t>
      </w:r>
      <w:r w:rsidRPr="00EC0E06">
        <w:rPr>
          <w:i/>
        </w:rPr>
        <w:t>very remote</w:t>
      </w:r>
      <w:r w:rsidRPr="00A72DD6">
        <w:t xml:space="preserve"> </w:t>
      </w:r>
      <w:r>
        <w:t>areas (as defined by the ABS). The cost of living is generally higher, and businesses</w:t>
      </w:r>
      <w:r w:rsidDel="00EF1FBB">
        <w:t xml:space="preserve"> </w:t>
      </w:r>
      <w:r w:rsidR="003D445C">
        <w:t xml:space="preserve">face higher </w:t>
      </w:r>
      <w:r w:rsidR="003D445C" w:rsidRPr="00157A6C">
        <w:rPr>
          <w:spacing w:val="-1"/>
        </w:rPr>
        <w:t>costs: for example, in paying higher ‘compensating’ wages to attract and retain skilled labour.</w:t>
      </w:r>
    </w:p>
    <w:p w:rsidR="002A5D84" w:rsidRDefault="002A5D84" w:rsidP="00FB19CB">
      <w:pPr>
        <w:pStyle w:val="BoxSpaceAbove"/>
      </w:pPr>
    </w:p>
    <w:tbl>
      <w:tblPr>
        <w:tblW w:w="0" w:type="auto"/>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rHeight w:val="478"/>
          <w:tblHeader/>
        </w:trPr>
        <w:tc>
          <w:tcPr>
            <w:tcW w:w="0" w:type="auto"/>
            <w:tcBorders>
              <w:top w:val="single" w:sz="6" w:space="0" w:color="78A22F"/>
              <w:left w:val="nil"/>
              <w:bottom w:val="nil"/>
              <w:right w:val="nil"/>
            </w:tcBorders>
            <w:shd w:val="clear" w:color="auto" w:fill="auto"/>
          </w:tcPr>
          <w:p w:rsidR="002A5D84" w:rsidRPr="00176D3F" w:rsidRDefault="002A5D84" w:rsidP="00FB19CB">
            <w:pPr>
              <w:pStyle w:val="FigureTitle"/>
            </w:pPr>
            <w:r w:rsidRPr="00784A05">
              <w:rPr>
                <w:b w:val="0"/>
              </w:rPr>
              <w:t>Figure</w:t>
            </w:r>
            <w:r>
              <w:rPr>
                <w:b w:val="0"/>
              </w:rPr>
              <w:t xml:space="preserve"> 1</w:t>
            </w:r>
            <w:r>
              <w:tab/>
              <w:t>A snapshot of remote Australia and its evolution</w:t>
            </w:r>
          </w:p>
        </w:tc>
      </w:tr>
      <w:tr w:rsidR="002A5D84" w:rsidTr="00FB19CB">
        <w:trPr>
          <w:trHeight w:val="11851"/>
        </w:trPr>
        <w:tc>
          <w:tcPr>
            <w:tcW w:w="0" w:type="auto"/>
            <w:tcBorders>
              <w:top w:val="nil"/>
              <w:left w:val="nil"/>
              <w:bottom w:val="nil"/>
              <w:right w:val="nil"/>
            </w:tcBorders>
            <w:shd w:val="clear" w:color="auto" w:fill="auto"/>
            <w:tcMar>
              <w:top w:w="28" w:type="dxa"/>
              <w:bottom w:w="28" w:type="dxa"/>
            </w:tcMar>
          </w:tcPr>
          <w:tbl>
            <w:tblPr>
              <w:tblW w:w="4987"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191"/>
              <w:gridCol w:w="4292"/>
            </w:tblGrid>
            <w:tr w:rsidR="002A5D84" w:rsidRPr="00B1465D" w:rsidTr="00FB19CB">
              <w:trPr>
                <w:trHeight w:val="272"/>
                <w:tblHeader/>
                <w:jc w:val="center"/>
              </w:trPr>
              <w:tc>
                <w:tcPr>
                  <w:tcW w:w="2470" w:type="pct"/>
                  <w:tcBorders>
                    <w:top w:val="nil"/>
                    <w:bottom w:val="nil"/>
                  </w:tcBorders>
                </w:tcPr>
                <w:p w:rsidR="002A5D84" w:rsidRDefault="002A5D84" w:rsidP="002A5D84">
                  <w:pPr>
                    <w:pStyle w:val="TableColumnHeading"/>
                    <w:numPr>
                      <w:ilvl w:val="0"/>
                      <w:numId w:val="20"/>
                    </w:numPr>
                    <w:jc w:val="center"/>
                  </w:pPr>
                  <w:r>
                    <w:t>In 1947, remote residents had fewer comforts</w:t>
                  </w:r>
                </w:p>
              </w:tc>
              <w:tc>
                <w:tcPr>
                  <w:tcW w:w="2530" w:type="pct"/>
                  <w:tcBorders>
                    <w:top w:val="nil"/>
                    <w:bottom w:val="nil"/>
                  </w:tcBorders>
                </w:tcPr>
                <w:p w:rsidR="002A5D84" w:rsidRDefault="002A5D84" w:rsidP="002A5D84">
                  <w:pPr>
                    <w:pStyle w:val="TableColumnHeading"/>
                    <w:numPr>
                      <w:ilvl w:val="0"/>
                      <w:numId w:val="20"/>
                    </w:numPr>
                    <w:jc w:val="center"/>
                  </w:pPr>
                  <w:r>
                    <w:t xml:space="preserve">Some remote towns have grown into cities, </w:t>
                  </w:r>
                  <w:r>
                    <w:br/>
                    <w:t>while others have not</w:t>
                  </w:r>
                </w:p>
              </w:tc>
            </w:tr>
            <w:tr w:rsidR="002A5D84" w:rsidRPr="00B1465D" w:rsidTr="00FB19CB">
              <w:trPr>
                <w:trHeight w:val="3156"/>
                <w:tblHeader/>
                <w:jc w:val="center"/>
              </w:trPr>
              <w:tc>
                <w:tcPr>
                  <w:tcW w:w="2470" w:type="pct"/>
                  <w:tcBorders>
                    <w:top w:val="nil"/>
                    <w:bottom w:val="nil"/>
                  </w:tcBorders>
                </w:tcPr>
                <w:p w:rsidR="002A5D84" w:rsidRDefault="002A5D84" w:rsidP="00FB19CB">
                  <w:pPr>
                    <w:pStyle w:val="Figure"/>
                    <w:spacing w:before="60" w:after="60"/>
                    <w:rPr>
                      <w:rFonts w:ascii="Arial" w:hAnsi="Arial" w:cs="Arial"/>
                      <w:sz w:val="18"/>
                      <w:szCs w:val="18"/>
                    </w:rPr>
                  </w:pPr>
                  <w:r w:rsidRPr="007034DF">
                    <w:rPr>
                      <w:rFonts w:ascii="Arial" w:hAnsi="Arial" w:cs="Arial"/>
                      <w:noProof/>
                      <w:sz w:val="18"/>
                      <w:szCs w:val="18"/>
                    </w:rPr>
                    <w:drawing>
                      <wp:inline distT="0" distB="0" distL="0" distR="0" wp14:anchorId="01519292" wp14:editId="3170A975">
                        <wp:extent cx="2424459" cy="2091690"/>
                        <wp:effectExtent l="0" t="0" r="0" b="0"/>
                        <wp:docPr id="40" name="Picture 40" descr="This figure shows the propensity of households in remote and non-remote areas to respond yes to the 1947 census questions of having electricity, flushable toilets and gas in their homes. For each question, the percentage that replied yes were significantly higher for households that were based in non-remote areas." title="In 1947, remote residents had fewer comf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1499" cy="2097764"/>
                                </a:xfrm>
                                <a:prstGeom prst="rect">
                                  <a:avLst/>
                                </a:prstGeom>
                                <a:noFill/>
                                <a:ln>
                                  <a:noFill/>
                                </a:ln>
                              </pic:spPr>
                            </pic:pic>
                          </a:graphicData>
                        </a:graphic>
                      </wp:inline>
                    </w:drawing>
                  </w:r>
                </w:p>
              </w:tc>
              <w:tc>
                <w:tcPr>
                  <w:tcW w:w="2530" w:type="pct"/>
                  <w:tcBorders>
                    <w:top w:val="nil"/>
                    <w:bottom w:val="nil"/>
                  </w:tcBorders>
                </w:tcPr>
                <w:p w:rsidR="002A5D84" w:rsidRDefault="002A5D84" w:rsidP="00FB19CB">
                  <w:pPr>
                    <w:pStyle w:val="Figure"/>
                    <w:spacing w:before="60" w:after="60"/>
                    <w:rPr>
                      <w:rFonts w:ascii="Arial" w:hAnsi="Arial" w:cs="Arial"/>
                      <w:sz w:val="18"/>
                      <w:szCs w:val="18"/>
                    </w:rPr>
                  </w:pPr>
                  <w:r w:rsidRPr="007034DF">
                    <w:rPr>
                      <w:rFonts w:ascii="Arial" w:hAnsi="Arial" w:cs="Arial"/>
                      <w:noProof/>
                      <w:sz w:val="18"/>
                      <w:szCs w:val="18"/>
                    </w:rPr>
                    <w:drawing>
                      <wp:inline distT="0" distB="0" distL="0" distR="0" wp14:anchorId="4A21ACBF" wp14:editId="08ECE60E">
                        <wp:extent cx="2459733" cy="2091805"/>
                        <wp:effectExtent l="0" t="0" r="0" b="0"/>
                        <wp:docPr id="23" name="Picture 23" descr="This figure shows the populations of several localities over time. Since the introduction of remote taxation arrangements in 1945, some localities have grown substantially whereas others have seen little change." title="Some remote town have grown into cities, while others have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7370" cy="2098300"/>
                                </a:xfrm>
                                <a:prstGeom prst="rect">
                                  <a:avLst/>
                                </a:prstGeom>
                                <a:noFill/>
                                <a:ln>
                                  <a:noFill/>
                                </a:ln>
                              </pic:spPr>
                            </pic:pic>
                          </a:graphicData>
                        </a:graphic>
                      </wp:inline>
                    </w:drawing>
                  </w:r>
                </w:p>
              </w:tc>
            </w:tr>
            <w:tr w:rsidR="002A5D84" w:rsidRPr="00B1465D" w:rsidTr="00FB19CB">
              <w:trPr>
                <w:trHeight w:val="271"/>
                <w:tblHeader/>
                <w:jc w:val="center"/>
              </w:trPr>
              <w:tc>
                <w:tcPr>
                  <w:tcW w:w="2470" w:type="pct"/>
                  <w:tcBorders>
                    <w:top w:val="nil"/>
                    <w:bottom w:val="nil"/>
                  </w:tcBorders>
                </w:tcPr>
                <w:p w:rsidR="002A5D84" w:rsidRPr="00E4088D" w:rsidRDefault="002A5D84" w:rsidP="002A5D84">
                  <w:pPr>
                    <w:pStyle w:val="TableColumnHeading"/>
                    <w:numPr>
                      <w:ilvl w:val="0"/>
                      <w:numId w:val="20"/>
                    </w:numPr>
                    <w:jc w:val="center"/>
                    <w:rPr>
                      <w:rFonts w:asciiTheme="minorHAnsi" w:hAnsiTheme="minorHAnsi" w:cstheme="minorHAnsi"/>
                    </w:rPr>
                  </w:pPr>
                  <w:r w:rsidDel="00FB3F85">
                    <w:rPr>
                      <w:rFonts w:asciiTheme="minorHAnsi" w:hAnsiTheme="minorHAnsi" w:cstheme="minorHAnsi"/>
                    </w:rPr>
                    <w:t>Much</w:t>
                  </w:r>
                  <w:r w:rsidRPr="00E4088D" w:rsidDel="00FB3F85">
                    <w:rPr>
                      <w:rFonts w:asciiTheme="minorHAnsi" w:hAnsiTheme="minorHAnsi" w:cstheme="minorHAnsi"/>
                    </w:rPr>
                    <w:t xml:space="preserve"> of the </w:t>
                  </w:r>
                  <w:r w:rsidDel="00FB3F85">
                    <w:rPr>
                      <w:rFonts w:asciiTheme="minorHAnsi" w:hAnsiTheme="minorHAnsi" w:cstheme="minorHAnsi"/>
                    </w:rPr>
                    <w:t>non</w:t>
                  </w:r>
                  <w:r w:rsidDel="00FB3F85">
                    <w:rPr>
                      <w:rFonts w:asciiTheme="minorHAnsi" w:hAnsiTheme="minorHAnsi" w:cstheme="minorHAnsi"/>
                    </w:rPr>
                    <w:noBreakHyphen/>
                    <w:t>Indigenous</w:t>
                  </w:r>
                  <w:r w:rsidRPr="00E4088D" w:rsidDel="00FB3F85">
                    <w:rPr>
                      <w:rFonts w:asciiTheme="minorHAnsi" w:hAnsiTheme="minorHAnsi" w:cstheme="minorHAnsi"/>
                    </w:rPr>
                    <w:t xml:space="preserve"> population </w:t>
                  </w:r>
                  <w:r>
                    <w:rPr>
                      <w:rFonts w:asciiTheme="minorHAnsi" w:hAnsiTheme="minorHAnsi" w:cstheme="minorHAnsi"/>
                    </w:rPr>
                    <w:t xml:space="preserve">are in their prime </w:t>
                  </w:r>
                  <w:r w:rsidRPr="00E4088D" w:rsidDel="00FB3F85">
                    <w:rPr>
                      <w:rFonts w:asciiTheme="minorHAnsi" w:hAnsiTheme="minorHAnsi" w:cstheme="minorHAnsi"/>
                    </w:rPr>
                    <w:t>working</w:t>
                  </w:r>
                  <w:r w:rsidRPr="00E4088D">
                    <w:rPr>
                      <w:rFonts w:asciiTheme="minorHAnsi" w:hAnsiTheme="minorHAnsi" w:cstheme="minorHAnsi"/>
                    </w:rPr>
                    <w:t xml:space="preserve"> </w:t>
                  </w:r>
                  <w:r>
                    <w:rPr>
                      <w:rFonts w:asciiTheme="minorHAnsi" w:hAnsiTheme="minorHAnsi" w:cstheme="minorHAnsi"/>
                    </w:rPr>
                    <w:t>years</w:t>
                  </w:r>
                  <w:r w:rsidRPr="00E4088D">
                    <w:rPr>
                      <w:rFonts w:asciiTheme="minorHAnsi" w:hAnsiTheme="minorHAnsi" w:cstheme="minorHAnsi"/>
                    </w:rPr>
                    <w:t xml:space="preserve"> </w:t>
                  </w:r>
                  <w:r>
                    <w:rPr>
                      <w:rFonts w:asciiTheme="minorHAnsi" w:hAnsiTheme="minorHAnsi" w:cstheme="minorHAnsi"/>
                    </w:rPr>
                    <w:t>…</w:t>
                  </w:r>
                </w:p>
              </w:tc>
              <w:tc>
                <w:tcPr>
                  <w:tcW w:w="2530" w:type="pct"/>
                  <w:tcBorders>
                    <w:top w:val="nil"/>
                    <w:bottom w:val="nil"/>
                  </w:tcBorders>
                </w:tcPr>
                <w:p w:rsidR="002A5D84" w:rsidRPr="00D369AF" w:rsidRDefault="002A5D84" w:rsidP="002A5D84">
                  <w:pPr>
                    <w:pStyle w:val="TableColumnHeading"/>
                    <w:numPr>
                      <w:ilvl w:val="0"/>
                      <w:numId w:val="20"/>
                    </w:numPr>
                    <w:jc w:val="center"/>
                  </w:pPr>
                  <w:r>
                    <w:t>… and they are generally more mobile than their Indigenous counterparts</w:t>
                  </w:r>
                </w:p>
              </w:tc>
            </w:tr>
            <w:tr w:rsidR="002A5D84" w:rsidRPr="00B1465D" w:rsidTr="00FB19CB">
              <w:trPr>
                <w:trHeight w:val="3413"/>
                <w:tblHeader/>
                <w:jc w:val="center"/>
              </w:trPr>
              <w:tc>
                <w:tcPr>
                  <w:tcW w:w="2470" w:type="pct"/>
                  <w:tcBorders>
                    <w:top w:val="nil"/>
                    <w:bottom w:val="nil"/>
                  </w:tcBorders>
                </w:tcPr>
                <w:p w:rsidR="002A5D84" w:rsidRDefault="002A5D84" w:rsidP="00FB19CB">
                  <w:pPr>
                    <w:pStyle w:val="Figure"/>
                    <w:spacing w:before="60" w:after="60"/>
                    <w:rPr>
                      <w:rFonts w:ascii="Arial" w:hAnsi="Arial" w:cs="Arial"/>
                      <w:sz w:val="18"/>
                      <w:szCs w:val="18"/>
                    </w:rPr>
                  </w:pPr>
                  <w:r w:rsidRPr="007034DF">
                    <w:rPr>
                      <w:rFonts w:ascii="Arial" w:hAnsi="Arial" w:cs="Arial"/>
                      <w:noProof/>
                      <w:sz w:val="18"/>
                      <w:szCs w:val="18"/>
                    </w:rPr>
                    <w:drawing>
                      <wp:inline distT="0" distB="0" distL="0" distR="0" wp14:anchorId="03426DF9" wp14:editId="2681967E">
                        <wp:extent cx="2437534" cy="2077529"/>
                        <wp:effectExtent l="0" t="0" r="1270" b="0"/>
                        <wp:docPr id="22" name="Picture 22" descr="This figure shows the age composition of the remote Indigenous, non-remote Indigenous, remote non-Indigenous and non-remote non-Indigenous populations. Both sets of Indigenous have large proportions of people in the 0 to 14 cohort and smaller proportions of people in the 65 plus cohort. For the remote non-Indigenous population, there are significantly fewer people in the 15 to 24 and 65 plus brackets, but a larger proportion in the 25 to 64 bracket compared to their non-remote counterparts." title="Much of the non Indigenous population are in their prime working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2817" cy="2090555"/>
                                </a:xfrm>
                                <a:prstGeom prst="rect">
                                  <a:avLst/>
                                </a:prstGeom>
                                <a:noFill/>
                                <a:ln>
                                  <a:noFill/>
                                </a:ln>
                              </pic:spPr>
                            </pic:pic>
                          </a:graphicData>
                        </a:graphic>
                      </wp:inline>
                    </w:drawing>
                  </w:r>
                </w:p>
              </w:tc>
              <w:tc>
                <w:tcPr>
                  <w:tcW w:w="2530" w:type="pct"/>
                  <w:tcBorders>
                    <w:top w:val="nil"/>
                    <w:bottom w:val="nil"/>
                  </w:tcBorders>
                </w:tcPr>
                <w:p w:rsidR="002A5D84" w:rsidRDefault="002A5D84" w:rsidP="00FB19CB">
                  <w:pPr>
                    <w:pStyle w:val="Figure"/>
                    <w:spacing w:before="60" w:after="60"/>
                    <w:rPr>
                      <w:rFonts w:ascii="Arial" w:hAnsi="Arial" w:cs="Arial"/>
                      <w:sz w:val="18"/>
                      <w:szCs w:val="18"/>
                    </w:rPr>
                  </w:pPr>
                  <w:r w:rsidRPr="007034DF">
                    <w:rPr>
                      <w:rStyle w:val="CommentReference"/>
                      <w:rFonts w:ascii="Arial" w:hAnsi="Arial" w:cs="Arial"/>
                      <w:b w:val="0"/>
                      <w:noProof/>
                      <w:vanish w:val="0"/>
                      <w:color w:val="auto"/>
                      <w:sz w:val="18"/>
                      <w:szCs w:val="18"/>
                    </w:rPr>
                    <w:drawing>
                      <wp:inline distT="0" distB="0" distL="0" distR="0" wp14:anchorId="5477199F" wp14:editId="781EBBEE">
                        <wp:extent cx="2430535" cy="2099194"/>
                        <wp:effectExtent l="0" t="0" r="0" b="0"/>
                        <wp:docPr id="32" name="Picture 32" descr="This figure shows the rate of relocation between the 2011 and 2016 census on a SA2 level split by both Indigenous status and by Australian Bureau of Statistics remoteness areas. It shows that the rates in major cities and regional areas are broadly comparable between Indigenous and non-Indigenous residents, but for remote and very remote areas, mobility for non-Indigenous people is high and for Indigenous people much lower.   " title="and they are generally more mobile than their Indigenous counter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8983" cy="2115127"/>
                                </a:xfrm>
                                <a:prstGeom prst="rect">
                                  <a:avLst/>
                                </a:prstGeom>
                                <a:noFill/>
                                <a:ln>
                                  <a:noFill/>
                                </a:ln>
                              </pic:spPr>
                            </pic:pic>
                          </a:graphicData>
                        </a:graphic>
                      </wp:inline>
                    </w:drawing>
                  </w:r>
                  <w:r>
                    <w:rPr>
                      <w:rStyle w:val="CommentReference"/>
                      <w:rFonts w:ascii="Arial" w:hAnsi="Arial" w:cs="Arial"/>
                      <w:b w:val="0"/>
                      <w:noProof/>
                      <w:vanish w:val="0"/>
                      <w:color w:val="auto"/>
                      <w:sz w:val="18"/>
                      <w:szCs w:val="18"/>
                    </w:rPr>
                    <w:t xml:space="preserve"> </w:t>
                  </w:r>
                </w:p>
              </w:tc>
            </w:tr>
            <w:tr w:rsidR="002A5D84" w:rsidRPr="00B1465D" w:rsidTr="00FB19CB">
              <w:trPr>
                <w:trHeight w:val="271"/>
                <w:tblHeader/>
                <w:jc w:val="center"/>
              </w:trPr>
              <w:tc>
                <w:tcPr>
                  <w:tcW w:w="2470" w:type="pct"/>
                  <w:tcBorders>
                    <w:top w:val="nil"/>
                    <w:bottom w:val="nil"/>
                  </w:tcBorders>
                </w:tcPr>
                <w:p w:rsidR="002A5D84" w:rsidRPr="00E4088D" w:rsidRDefault="002A5D84" w:rsidP="002A5D84">
                  <w:pPr>
                    <w:pStyle w:val="Figure"/>
                    <w:numPr>
                      <w:ilvl w:val="0"/>
                      <w:numId w:val="20"/>
                    </w:numPr>
                    <w:spacing w:before="60" w:after="60"/>
                    <w:rPr>
                      <w:rFonts w:asciiTheme="minorHAnsi" w:hAnsiTheme="minorHAnsi" w:cstheme="minorHAnsi"/>
                      <w:i/>
                      <w:noProof/>
                      <w:sz w:val="18"/>
                      <w:szCs w:val="18"/>
                    </w:rPr>
                  </w:pPr>
                  <w:r>
                    <w:rPr>
                      <w:rFonts w:asciiTheme="minorHAnsi" w:hAnsiTheme="minorHAnsi" w:cstheme="minorHAnsi"/>
                      <w:i/>
                      <w:sz w:val="18"/>
                    </w:rPr>
                    <w:t xml:space="preserve">There are divergent employment rates </w:t>
                  </w:r>
                  <w:r>
                    <w:rPr>
                      <w:rFonts w:asciiTheme="minorHAnsi" w:hAnsiTheme="minorHAnsi" w:cstheme="minorHAnsi"/>
                      <w:i/>
                      <w:sz w:val="18"/>
                    </w:rPr>
                    <w:br/>
                    <w:t>across and within areas …</w:t>
                  </w:r>
                </w:p>
              </w:tc>
              <w:tc>
                <w:tcPr>
                  <w:tcW w:w="2530" w:type="pct"/>
                  <w:tcBorders>
                    <w:top w:val="nil"/>
                    <w:bottom w:val="nil"/>
                  </w:tcBorders>
                </w:tcPr>
                <w:p w:rsidR="002A5D84" w:rsidRPr="00E4088D" w:rsidRDefault="002A5D84" w:rsidP="002A5D84">
                  <w:pPr>
                    <w:pStyle w:val="Figure"/>
                    <w:numPr>
                      <w:ilvl w:val="0"/>
                      <w:numId w:val="20"/>
                    </w:numPr>
                    <w:spacing w:before="60" w:after="60"/>
                    <w:rPr>
                      <w:rFonts w:ascii="Arial" w:hAnsi="Arial" w:cs="Arial"/>
                      <w:i/>
                      <w:noProof/>
                      <w:sz w:val="18"/>
                      <w:szCs w:val="18"/>
                    </w:rPr>
                  </w:pPr>
                  <w:r>
                    <w:rPr>
                      <w:rFonts w:ascii="Arial" w:hAnsi="Arial" w:cs="Arial"/>
                      <w:i/>
                      <w:noProof/>
                      <w:sz w:val="18"/>
                      <w:szCs w:val="18"/>
                    </w:rPr>
                    <w:t xml:space="preserve">… </w:t>
                  </w:r>
                  <w:r w:rsidRPr="00E4088D">
                    <w:rPr>
                      <w:rFonts w:ascii="Arial" w:hAnsi="Arial" w:cs="Arial"/>
                      <w:i/>
                      <w:noProof/>
                      <w:sz w:val="18"/>
                      <w:szCs w:val="18"/>
                    </w:rPr>
                    <w:t>as well as divergent income patterns</w:t>
                  </w:r>
                </w:p>
              </w:tc>
            </w:tr>
            <w:tr w:rsidR="002A5D84" w:rsidRPr="00B1465D" w:rsidTr="00FB19CB">
              <w:trPr>
                <w:trHeight w:val="3014"/>
                <w:tblHeader/>
                <w:jc w:val="center"/>
              </w:trPr>
              <w:tc>
                <w:tcPr>
                  <w:tcW w:w="2470" w:type="pct"/>
                  <w:tcBorders>
                    <w:top w:val="nil"/>
                    <w:bottom w:val="nil"/>
                  </w:tcBorders>
                </w:tcPr>
                <w:p w:rsidR="002A5D84" w:rsidRPr="00533F98" w:rsidRDefault="002A5D84" w:rsidP="00FB19CB">
                  <w:pPr>
                    <w:pStyle w:val="Figure"/>
                    <w:spacing w:before="60" w:after="60"/>
                    <w:rPr>
                      <w:rFonts w:ascii="Arial" w:hAnsi="Arial" w:cs="Arial"/>
                      <w:noProof/>
                      <w:sz w:val="18"/>
                      <w:szCs w:val="18"/>
                    </w:rPr>
                  </w:pPr>
                  <w:r w:rsidRPr="007034DF">
                    <w:rPr>
                      <w:rFonts w:ascii="Arial" w:hAnsi="Arial" w:cs="Arial"/>
                      <w:noProof/>
                      <w:sz w:val="18"/>
                      <w:szCs w:val="18"/>
                    </w:rPr>
                    <w:drawing>
                      <wp:inline distT="0" distB="0" distL="0" distR="0" wp14:anchorId="4E1C8B20" wp14:editId="38123998">
                        <wp:extent cx="2598048" cy="2048934"/>
                        <wp:effectExtent l="0" t="0" r="0" b="0"/>
                        <wp:docPr id="41" name="Picture 41" descr="This figure shows the separate employment rates of Indigenous and non-Indigenous people over the age of 15, split by Australian Bureau of Statistics remoteness areas. For non-Indigenous people, employment increases as remoteness increases whereas for the Indigenous population it falls." title="There are divergent employment rates across and withi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7309" cy="2056238"/>
                                </a:xfrm>
                                <a:prstGeom prst="rect">
                                  <a:avLst/>
                                </a:prstGeom>
                                <a:noFill/>
                                <a:ln>
                                  <a:noFill/>
                                </a:ln>
                              </pic:spPr>
                            </pic:pic>
                          </a:graphicData>
                        </a:graphic>
                      </wp:inline>
                    </w:drawing>
                  </w:r>
                </w:p>
              </w:tc>
              <w:tc>
                <w:tcPr>
                  <w:tcW w:w="2530" w:type="pct"/>
                  <w:tcBorders>
                    <w:top w:val="nil"/>
                    <w:bottom w:val="nil"/>
                  </w:tcBorders>
                </w:tcPr>
                <w:p w:rsidR="002A5D84" w:rsidRPr="0025369E" w:rsidRDefault="002A5D84" w:rsidP="00FB19CB">
                  <w:pPr>
                    <w:pStyle w:val="Figure"/>
                    <w:spacing w:before="60" w:after="60"/>
                    <w:rPr>
                      <w:rFonts w:ascii="Arial" w:hAnsi="Arial" w:cs="Arial"/>
                      <w:noProof/>
                      <w:sz w:val="18"/>
                      <w:szCs w:val="18"/>
                    </w:rPr>
                  </w:pPr>
                  <w:r w:rsidRPr="007034DF">
                    <w:rPr>
                      <w:rFonts w:ascii="Arial" w:hAnsi="Arial" w:cs="Arial"/>
                      <w:noProof/>
                      <w:sz w:val="18"/>
                      <w:szCs w:val="18"/>
                    </w:rPr>
                    <w:drawing>
                      <wp:inline distT="0" distB="0" distL="0" distR="0" wp14:anchorId="2E38566F" wp14:editId="4258AE7A">
                        <wp:extent cx="2416059" cy="2033661"/>
                        <wp:effectExtent l="0" t="0" r="0" b="0"/>
                        <wp:docPr id="43" name="Picture 43" descr="This figure shows median incomes for Indigenous Australians, non-Indigenous Australians and the combined population by the 5 categories of remoteness: Major cities, inner regional, outer regional, remote and very remote. For Indigenous Australians median incomes fall substantially as remoteness increases. For non-Indigenous Australians, incomes are slightly lower in inner and outer regional areas but are higher in remote areas and much higher in very remote areas." title="as well as divergent income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4207" cy="2040519"/>
                                </a:xfrm>
                                <a:prstGeom prst="rect">
                                  <a:avLst/>
                                </a:prstGeom>
                                <a:noFill/>
                                <a:ln>
                                  <a:noFill/>
                                </a:ln>
                              </pic:spPr>
                            </pic:pic>
                          </a:graphicData>
                        </a:graphic>
                      </wp:inline>
                    </w:drawing>
                  </w:r>
                </w:p>
              </w:tc>
            </w:tr>
          </w:tbl>
          <w:p w:rsidR="002A5D84" w:rsidRDefault="002A5D84" w:rsidP="00FB19CB">
            <w:pPr>
              <w:pStyle w:val="Figure"/>
            </w:pPr>
          </w:p>
        </w:tc>
      </w:tr>
      <w:tr w:rsidR="002A5D84" w:rsidTr="00FB19CB">
        <w:trPr>
          <w:trHeight w:val="119"/>
        </w:trPr>
        <w:tc>
          <w:tcPr>
            <w:tcW w:w="0" w:type="auto"/>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rPr>
          <w:trHeight w:val="53"/>
        </w:trPr>
        <w:tc>
          <w:tcPr>
            <w:tcW w:w="0" w:type="auto"/>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pPr>
      <w:r>
        <w:lastRenderedPageBreak/>
        <w:t xml:space="preserve">In spite of these challenges, many Australians choose to live in remote locations because they have compensating benefits. Some hold a strong cultural or personal attachment to a particular place and the way of life it offers, while others obtain higher remuneration or job opportunities that make living there more attractive. The Commission was also struck by the community spirit in many remote areas, which enhances people’s quality of life. </w:t>
      </w:r>
    </w:p>
    <w:p w:rsidR="002A5D84" w:rsidRDefault="002A5D84" w:rsidP="00FB19CB">
      <w:pPr>
        <w:pStyle w:val="BodyText"/>
        <w:rPr>
          <w:spacing w:val="2"/>
        </w:rPr>
      </w:pPr>
      <w:r>
        <w:rPr>
          <w:spacing w:val="2"/>
        </w:rPr>
        <w:t>However, other people</w:t>
      </w:r>
      <w:r w:rsidRPr="00C254EA">
        <w:rPr>
          <w:spacing w:val="2"/>
        </w:rPr>
        <w:t xml:space="preserve"> are less mobile, which affects their ability to seize economic and educational opportunities</w:t>
      </w:r>
      <w:r>
        <w:rPr>
          <w:spacing w:val="2"/>
        </w:rPr>
        <w:t xml:space="preserve"> elsewhere</w:t>
      </w:r>
      <w:r w:rsidRPr="00C254EA">
        <w:rPr>
          <w:spacing w:val="2"/>
        </w:rPr>
        <w:t>. This contributes to diverging socioeconomic outcomes among those who are mobile and those who are not.</w:t>
      </w:r>
    </w:p>
    <w:p w:rsidR="002A5D84" w:rsidRDefault="002A5D84" w:rsidP="00FB19CB">
      <w:pPr>
        <w:pStyle w:val="BodyText"/>
      </w:pPr>
      <w:r w:rsidRPr="00C254EA">
        <w:rPr>
          <w:spacing w:val="2"/>
        </w:rPr>
        <w:t>Indigenous Australians, representing about a quarter of remote area residents, are far less likely to have moved in the previous five years than their non</w:t>
      </w:r>
      <w:r w:rsidRPr="00C254EA">
        <w:rPr>
          <w:spacing w:val="2"/>
        </w:rPr>
        <w:noBreakHyphen/>
        <w:t xml:space="preserve">Indigenous counterparts (figure 1, panel D). </w:t>
      </w:r>
      <w:r>
        <w:rPr>
          <w:spacing w:val="2"/>
        </w:rPr>
        <w:t xml:space="preserve">Further, the patterns of movement are different. </w:t>
      </w:r>
      <w:r>
        <w:t>Non</w:t>
      </w:r>
      <w:r>
        <w:noBreakHyphen/>
        <w:t>Indigenous residents typically move between remote Australia and large urban areas, suggesting that they might be moving temporarily for work purposes. For Indigenous</w:t>
      </w:r>
      <w:r w:rsidDel="00041EA7">
        <w:t xml:space="preserve"> </w:t>
      </w:r>
      <w:r>
        <w:t xml:space="preserve">Australians, there is little movement between large urban areas and remote areas, with movement overwhelmingly </w:t>
      </w:r>
      <w:r w:rsidRPr="0077501C">
        <w:rPr>
          <w:i/>
        </w:rPr>
        <w:t>within</w:t>
      </w:r>
      <w:r>
        <w:t xml:space="preserve"> remote Australia and largely motivated by familial and cultural ties. </w:t>
      </w:r>
    </w:p>
    <w:p w:rsidR="002A5D84" w:rsidRPr="00C254EA" w:rsidRDefault="002A5D84" w:rsidP="00FB19CB">
      <w:pPr>
        <w:pStyle w:val="BodyText"/>
        <w:rPr>
          <w:spacing w:val="2"/>
        </w:rPr>
      </w:pPr>
      <w:r w:rsidRPr="00C254EA">
        <w:rPr>
          <w:spacing w:val="2"/>
        </w:rPr>
        <w:t>There are also marked divergences in income and employment outcomes between Indigenous and non</w:t>
      </w:r>
      <w:r w:rsidRPr="00C254EA">
        <w:rPr>
          <w:spacing w:val="2"/>
        </w:rPr>
        <w:noBreakHyphen/>
        <w:t>Indigenous Australians.</w:t>
      </w:r>
      <w:r>
        <w:rPr>
          <w:spacing w:val="2"/>
        </w:rPr>
        <w:t xml:space="preserve"> These differences are particularly stark in </w:t>
      </w:r>
      <w:r w:rsidRPr="0048075D">
        <w:rPr>
          <w:i/>
          <w:spacing w:val="2"/>
        </w:rPr>
        <w:t>very remote</w:t>
      </w:r>
      <w:r>
        <w:rPr>
          <w:spacing w:val="2"/>
        </w:rPr>
        <w:t xml:space="preserve"> areas </w:t>
      </w:r>
      <w:r w:rsidRPr="00C254EA">
        <w:rPr>
          <w:spacing w:val="2"/>
        </w:rPr>
        <w:t>(figure 1, panels E and F)</w:t>
      </w:r>
      <w:r>
        <w:rPr>
          <w:spacing w:val="2"/>
        </w:rPr>
        <w:t>.</w:t>
      </w:r>
    </w:p>
    <w:p w:rsidR="002A5D84" w:rsidRDefault="002A5D84" w:rsidP="00FB19CB">
      <w:pPr>
        <w:pStyle w:val="Heading3"/>
      </w:pPr>
      <w:r>
        <w:t>A closer look at the cost of living</w:t>
      </w:r>
    </w:p>
    <w:p w:rsidR="002A5D84" w:rsidRDefault="002A5D84" w:rsidP="00FB19CB">
      <w:pPr>
        <w:pStyle w:val="BodyText"/>
      </w:pPr>
      <w:r w:rsidRPr="00FF3D24">
        <w:t xml:space="preserve">Many </w:t>
      </w:r>
      <w:r>
        <w:t>goods and services</w:t>
      </w:r>
      <w:r w:rsidRPr="00FF3D24">
        <w:t xml:space="preserve"> </w:t>
      </w:r>
      <w:r>
        <w:t>are</w:t>
      </w:r>
      <w:r w:rsidRPr="00FF3D24">
        <w:t xml:space="preserve"> more expensive in remote </w:t>
      </w:r>
      <w:r>
        <w:t>Australia. Study participants gave specific examples, which were useful in their own right although they do not provide a comprehensive basis for enumerating the geographic differences in the cost of living. The Commission has had to draw on a wider range of sources — including data from the ABS, the Australian Competition and Consumer Commission, CoreLogic and the consumer advocacy body CHOICE, as well as State</w:t>
      </w:r>
      <w:r>
        <w:noBreakHyphen/>
        <w:t xml:space="preserve">based price surveys — to help paint a picture on how the cost of living varies across Australia. </w:t>
      </w:r>
    </w:p>
    <w:p w:rsidR="002A5D84" w:rsidRDefault="002A5D84" w:rsidP="00FB19CB">
      <w:pPr>
        <w:pStyle w:val="BodyText"/>
      </w:pPr>
      <w:r w:rsidDel="00BA290E">
        <w:t>Regional price indexes for Queensland and Western Australia</w:t>
      </w:r>
      <w:r>
        <w:t xml:space="preserve">, which cover the places where 75 per cent of ZTO recipients and 40 per cent of RAA recipients live, suggest </w:t>
      </w:r>
      <w:r w:rsidDel="00BA290E">
        <w:t xml:space="preserve">that </w:t>
      </w:r>
      <w:r>
        <w:t>a typical household basket of goods costs more</w:t>
      </w:r>
      <w:r w:rsidDel="00BA290E">
        <w:t xml:space="preserve"> in special area</w:t>
      </w:r>
      <w:r>
        <w:t>s</w:t>
      </w:r>
      <w:r w:rsidDel="00BA290E">
        <w:t xml:space="preserve"> and </w:t>
      </w:r>
      <w:r w:rsidDel="002E6F63">
        <w:t>Zone</w:t>
      </w:r>
      <w:r>
        <w:t> </w:t>
      </w:r>
      <w:r w:rsidDel="00BA290E">
        <w:t>A communities than in</w:t>
      </w:r>
      <w:r w:rsidDel="00CB799C">
        <w:t xml:space="preserve"> </w:t>
      </w:r>
      <w:r w:rsidDel="00BA290E">
        <w:t xml:space="preserve">the less remote </w:t>
      </w:r>
      <w:r w:rsidDel="002E6F63">
        <w:t>Zone</w:t>
      </w:r>
      <w:r>
        <w:t> </w:t>
      </w:r>
      <w:r w:rsidDel="00CB799C">
        <w:t>B</w:t>
      </w:r>
      <w:r>
        <w:t>, where price levels are on average close to those in the relevant capital city (</w:t>
      </w:r>
      <w:r w:rsidDel="002E6F63">
        <w:t>figure</w:t>
      </w:r>
      <w:r>
        <w:t> 2). That said, there is some variation within the zones. A similar pattern holds for the ABS remoteness areas (figure 2).</w:t>
      </w:r>
    </w:p>
    <w:p w:rsidR="002A5D84" w:rsidRDefault="002A5D84" w:rsidP="00FB19CB">
      <w:pPr>
        <w:pStyle w:val="BodyText"/>
        <w:rPr>
          <w:szCs w:val="24"/>
        </w:rPr>
      </w:pPr>
      <w:r>
        <w:rPr>
          <w:szCs w:val="24"/>
        </w:rPr>
        <w:t xml:space="preserve">There is clearer and more consistent evidence that food and grocery prices increase with remoteness. </w:t>
      </w:r>
      <w:r w:rsidRPr="005835FB">
        <w:rPr>
          <w:szCs w:val="24"/>
        </w:rPr>
        <w:t xml:space="preserve">For example, </w:t>
      </w:r>
      <w:r>
        <w:rPr>
          <w:szCs w:val="24"/>
        </w:rPr>
        <w:t xml:space="preserve">in 2017, </w:t>
      </w:r>
      <w:r w:rsidRPr="005835FB">
        <w:rPr>
          <w:szCs w:val="24"/>
        </w:rPr>
        <w:t xml:space="preserve">the Northern Territory Market Basket Survey found that the average cost of a food basket </w:t>
      </w:r>
      <w:r>
        <w:rPr>
          <w:szCs w:val="24"/>
        </w:rPr>
        <w:t>based on the average diet of Indigenous Australians</w:t>
      </w:r>
      <w:r w:rsidRPr="005835FB">
        <w:rPr>
          <w:szCs w:val="24"/>
        </w:rPr>
        <w:t xml:space="preserve"> in </w:t>
      </w:r>
      <w:r w:rsidRPr="005873FA">
        <w:rPr>
          <w:szCs w:val="24"/>
        </w:rPr>
        <w:t xml:space="preserve">remote </w:t>
      </w:r>
      <w:r w:rsidRPr="005835FB">
        <w:rPr>
          <w:szCs w:val="24"/>
        </w:rPr>
        <w:t xml:space="preserve">stores was </w:t>
      </w:r>
      <w:r>
        <w:rPr>
          <w:szCs w:val="24"/>
        </w:rPr>
        <w:t>45</w:t>
      </w:r>
      <w:r w:rsidRPr="005835FB">
        <w:rPr>
          <w:szCs w:val="24"/>
        </w:rPr>
        <w:t> per</w:t>
      </w:r>
      <w:r>
        <w:rPr>
          <w:szCs w:val="24"/>
        </w:rPr>
        <w:t> </w:t>
      </w:r>
      <w:r w:rsidRPr="005835FB">
        <w:rPr>
          <w:szCs w:val="24"/>
        </w:rPr>
        <w:t>cent higher than in a Darwin supermarket.</w:t>
      </w:r>
      <w:r>
        <w:rPr>
          <w:szCs w:val="24"/>
        </w:rPr>
        <w:t xml:space="preserve"> </w:t>
      </w:r>
    </w:p>
    <w:p w:rsidR="002A5D84" w:rsidRDefault="002A5D84" w:rsidP="00FB19CB">
      <w:pPr>
        <w:pStyle w:val="BoxSpaceAbove"/>
      </w:pPr>
    </w:p>
    <w:tbl>
      <w:tblPr>
        <w:tblW w:w="511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982"/>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FigureTitle"/>
            </w:pPr>
            <w:r w:rsidRPr="00784A05">
              <w:rPr>
                <w:b w:val="0"/>
              </w:rPr>
              <w:t xml:space="preserve">Figure </w:t>
            </w:r>
            <w:r>
              <w:rPr>
                <w:b w:val="0"/>
              </w:rPr>
              <w:t>2</w:t>
            </w:r>
            <w:r>
              <w:tab/>
              <w:t>Price levels are higher in remote areas</w:t>
            </w:r>
          </w:p>
          <w:p w:rsidR="002A5D84" w:rsidRPr="00723CD3" w:rsidRDefault="002A5D84" w:rsidP="009C502D">
            <w:pPr>
              <w:pStyle w:val="Subtitle"/>
              <w:spacing w:line="240" w:lineRule="exact"/>
            </w:pPr>
            <w:r>
              <w:t>Cost of overall basket of good</w:t>
            </w:r>
            <w:r w:rsidR="009C502D">
              <w:t>s and services by zone and ABS r</w:t>
            </w:r>
            <w:r>
              <w:t xml:space="preserve">emoteness </w:t>
            </w:r>
            <w:r w:rsidR="009C502D">
              <w:t>a</w:t>
            </w:r>
            <w:r>
              <w:t>reas, Queensland and WA regional price indexes</w:t>
            </w:r>
            <w:r>
              <w:rPr>
                <w:rStyle w:val="NoteLabel"/>
              </w:rPr>
              <w:t>a,b,c,d</w:t>
            </w:r>
          </w:p>
        </w:tc>
      </w:tr>
      <w:tr w:rsidR="002A5D84" w:rsidTr="00FB19CB">
        <w:tblPrEx>
          <w:tblCellMar>
            <w:left w:w="108" w:type="dxa"/>
            <w:right w:w="108" w:type="dxa"/>
          </w:tblCellMar>
        </w:tblPrEx>
        <w:tc>
          <w:tcPr>
            <w:tcW w:w="5000" w:type="pct"/>
            <w:tcBorders>
              <w:top w:val="nil"/>
              <w:left w:val="nil"/>
              <w:bottom w:val="nil"/>
              <w:right w:val="nil"/>
            </w:tcBorders>
            <w:shd w:val="clear" w:color="auto" w:fill="auto"/>
          </w:tcPr>
          <w:tbl>
            <w:tblPr>
              <w:tblW w:w="8573"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36"/>
            </w:tblGrid>
            <w:tr w:rsidR="002A5D84" w:rsidRPr="00B1465D" w:rsidTr="00FB19CB">
              <w:trPr>
                <w:trHeight w:val="3270"/>
                <w:tblHeader/>
                <w:jc w:val="center"/>
              </w:trPr>
              <w:tc>
                <w:tcPr>
                  <w:tcW w:w="8573" w:type="dxa"/>
                  <w:tcBorders>
                    <w:top w:val="nil"/>
                    <w:bottom w:val="nil"/>
                  </w:tcBorders>
                </w:tcPr>
                <w:p w:rsidR="002A5D84" w:rsidRPr="00B1465D" w:rsidRDefault="002A5D84" w:rsidP="00FB19CB">
                  <w:pPr>
                    <w:pStyle w:val="Figure"/>
                    <w:spacing w:before="60" w:after="60"/>
                    <w:rPr>
                      <w:rFonts w:ascii="Arial" w:hAnsi="Arial" w:cs="Arial"/>
                      <w:sz w:val="18"/>
                      <w:szCs w:val="18"/>
                    </w:rPr>
                  </w:pPr>
                  <w:r w:rsidRPr="00434AEB">
                    <w:rPr>
                      <w:noProof/>
                    </w:rPr>
                    <w:drawing>
                      <wp:inline distT="0" distB="0" distL="0" distR="0" wp14:anchorId="5F2A431A" wp14:editId="735D32E7">
                        <wp:extent cx="5393055" cy="1981200"/>
                        <wp:effectExtent l="0" t="0" r="0" b="0"/>
                        <wp:docPr id="5" name="Picture 5" descr="This figure shows the average price of a typical capital city household basket of goods and services in Queensland and Western Australia increasing with greater remoteness, as defined by the tax zones and Australian Bureau of Statistics remoteness areas." title="Price levels are higher in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3055" cy="1981200"/>
                                </a:xfrm>
                                <a:prstGeom prst="rect">
                                  <a:avLst/>
                                </a:prstGeom>
                                <a:noFill/>
                                <a:ln>
                                  <a:noFill/>
                                </a:ln>
                              </pic:spPr>
                            </pic:pic>
                          </a:graphicData>
                        </a:graphic>
                      </wp:inline>
                    </w:drawing>
                  </w:r>
                  <w:r w:rsidRPr="00A32B97">
                    <w:rPr>
                      <w:noProof/>
                    </w:rPr>
                    <w:drawing>
                      <wp:inline distT="0" distB="0" distL="0" distR="0" wp14:anchorId="5976CECA" wp14:editId="3DE7F36D">
                        <wp:extent cx="5402580" cy="1981200"/>
                        <wp:effectExtent l="0" t="0" r="7620" b="0"/>
                        <wp:docPr id="7" name="Picture 7" descr="See alt text from previou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2580" cy="1981200"/>
                                </a:xfrm>
                                <a:prstGeom prst="rect">
                                  <a:avLst/>
                                </a:prstGeom>
                                <a:noFill/>
                                <a:ln>
                                  <a:noFill/>
                                </a:ln>
                              </pic:spPr>
                            </pic:pic>
                          </a:graphicData>
                        </a:graphic>
                      </wp:inline>
                    </w:drawing>
                  </w:r>
                </w:p>
              </w:tc>
            </w:tr>
          </w:tbl>
          <w:p w:rsidR="002A5D84" w:rsidRDefault="002A5D84" w:rsidP="00FB19CB">
            <w:pPr>
              <w:pStyle w:val="Figure"/>
            </w:pP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Note"/>
              <w:spacing w:line="240" w:lineRule="exact"/>
            </w:pPr>
            <w:r>
              <w:rPr>
                <w:rStyle w:val="NoteLabel"/>
              </w:rPr>
              <w:t>a</w:t>
            </w:r>
            <w:r>
              <w:t xml:space="preserve"> Queensland and Western Australia price index values are not directly comparable. They use different baskets of goods and services and apply different weightings; Queensland prices were surveyed in 2015 and Western Australia prices were surveyed in 2019; the indexes measure deviation of price levels from different cities (Brisbane and Perth, respectively). </w:t>
            </w:r>
            <w:r>
              <w:rPr>
                <w:rStyle w:val="NoteLabel"/>
              </w:rPr>
              <w:t>b</w:t>
            </w:r>
            <w:r>
              <w:t xml:space="preserve"> Unweighted averages of observations are shown. In Queensland, there were three observations in the </w:t>
            </w:r>
            <w:r w:rsidRPr="00AF1C86">
              <w:rPr>
                <w:i/>
              </w:rPr>
              <w:t>very remote</w:t>
            </w:r>
            <w:r>
              <w:t xml:space="preserve"> category, two of which were also in Zone B and were of lower price levels than in Brisbane. </w:t>
            </w:r>
            <w:r>
              <w:rPr>
                <w:rStyle w:val="NoteLabel"/>
              </w:rPr>
              <w:t>c</w:t>
            </w:r>
            <w:r>
              <w:t xml:space="preserve"> In Queensland, only one community was surveyed in each of the following categories: special area (Weipa), Zone A (Mount Isa) and </w:t>
            </w:r>
            <w:r w:rsidRPr="00270C3B">
              <w:rPr>
                <w:i/>
              </w:rPr>
              <w:t>remote</w:t>
            </w:r>
            <w:r>
              <w:t xml:space="preserve"> (Mount Isa). </w:t>
            </w:r>
            <w:r>
              <w:rPr>
                <w:rStyle w:val="NoteLabel"/>
              </w:rPr>
              <w:t>d</w:t>
            </w:r>
            <w:r>
              <w:t xml:space="preserve"> </w:t>
            </w:r>
            <w:r w:rsidRPr="003079D2">
              <w:rPr>
                <w:spacing w:val="-2"/>
              </w:rPr>
              <w:t>The light blue bars refer to the zones as defined for the purposes of the ZTO. The darker blue bars refer to remoteness categories as defined by the ABS.</w:t>
            </w:r>
          </w:p>
        </w:tc>
      </w:tr>
      <w:tr w:rsidR="002A5D84" w:rsidTr="00FB19CB">
        <w:trPr>
          <w:trHeight w:val="68"/>
        </w:trPr>
        <w:tc>
          <w:tcPr>
            <w:tcW w:w="5000" w:type="pct"/>
            <w:tcBorders>
              <w:top w:val="nil"/>
              <w:left w:val="nil"/>
              <w:bottom w:val="single" w:sz="6" w:space="0" w:color="78A22F"/>
              <w:right w:val="nil"/>
            </w:tcBorders>
            <w:shd w:val="clear" w:color="auto" w:fill="auto"/>
          </w:tcPr>
          <w:p w:rsidR="002A5D84" w:rsidRDefault="002A5D84" w:rsidP="00FB19CB">
            <w:pPr>
              <w:pStyle w:val="BoxSpaceBelow"/>
            </w:pPr>
          </w:p>
        </w:tc>
      </w:tr>
    </w:tbl>
    <w:p w:rsidR="002A5D84" w:rsidRDefault="002A5D84" w:rsidP="00FB19CB">
      <w:pPr>
        <w:pStyle w:val="BodyText"/>
        <w:rPr>
          <w:szCs w:val="24"/>
        </w:rPr>
      </w:pPr>
      <w:r>
        <w:rPr>
          <w:szCs w:val="24"/>
        </w:rPr>
        <w:t>The pattern of food and grocery prices in part reflects the presence of major supermarkets that typically apply broadly uniform pricing across Australia.</w:t>
      </w:r>
      <w:r>
        <w:t xml:space="preserve"> More than four in five residents of </w:t>
      </w:r>
      <w:r>
        <w:rPr>
          <w:i/>
        </w:rPr>
        <w:t xml:space="preserve">outer regional </w:t>
      </w:r>
      <w:r>
        <w:t xml:space="preserve">areas live within a 50 km radius of a Coles or Woolworths store, falling to about half in </w:t>
      </w:r>
      <w:r>
        <w:rPr>
          <w:i/>
        </w:rPr>
        <w:t xml:space="preserve">remote </w:t>
      </w:r>
      <w:r>
        <w:t xml:space="preserve">areas and one in five in </w:t>
      </w:r>
      <w:r>
        <w:rPr>
          <w:i/>
        </w:rPr>
        <w:t xml:space="preserve">very remote </w:t>
      </w:r>
      <w:r>
        <w:t>areas — with areas in italics referring to ABS classifications of remoteness.</w:t>
      </w:r>
    </w:p>
    <w:p w:rsidR="002A5D84" w:rsidRPr="00A008B7" w:rsidRDefault="002A5D84" w:rsidP="00FB19CB">
      <w:pPr>
        <w:pStyle w:val="BodyText"/>
      </w:pPr>
      <w:r w:rsidRPr="00A008B7">
        <w:t xml:space="preserve">More generally, prices of items that can be bought online are </w:t>
      </w:r>
      <w:r>
        <w:t>the same</w:t>
      </w:r>
      <w:r w:rsidRPr="00A008B7">
        <w:t xml:space="preserve"> across Australia. However, freight costs can add significantly to the final cost of delivered goods</w:t>
      </w:r>
      <w:r>
        <w:t>, especially</w:t>
      </w:r>
      <w:r w:rsidRPr="00A008B7">
        <w:t xml:space="preserve"> in</w:t>
      </w:r>
      <w:r>
        <w:t xml:space="preserve"> </w:t>
      </w:r>
      <w:r w:rsidRPr="00897D34">
        <w:rPr>
          <w:i/>
        </w:rPr>
        <w:t>very remote</w:t>
      </w:r>
      <w:r w:rsidRPr="00A008B7">
        <w:t xml:space="preserve"> areas.</w:t>
      </w:r>
    </w:p>
    <w:p w:rsidR="002A5D84" w:rsidRDefault="002A5D84" w:rsidP="00FB19CB">
      <w:pPr>
        <w:pStyle w:val="BodyText"/>
        <w:keepNext/>
      </w:pPr>
      <w:r>
        <w:lastRenderedPageBreak/>
        <w:t>Residents of remote areas also face additional car maintenance and fuel costs. A resident of Useless Loop in Western Australia observed that:</w:t>
      </w:r>
    </w:p>
    <w:p w:rsidR="002A5D84" w:rsidRDefault="002A5D84" w:rsidP="00FB19CB">
      <w:pPr>
        <w:pStyle w:val="Quote"/>
      </w:pPr>
      <w:r>
        <w:t>Essentially to do almost anything, that the general public take for granted, necessitates a 350km trip by road, to the nearest towns of Carnarvon or Geraldton. Some 120km of that road journey is unsealed, and often impassable, roadway. (Katherine Trigg, sub. 17, p. 1)</w:t>
      </w:r>
    </w:p>
    <w:p w:rsidR="002A5D84" w:rsidRDefault="002A5D84" w:rsidP="00FB19CB">
      <w:pPr>
        <w:pStyle w:val="BodyText"/>
      </w:pPr>
      <w:r>
        <w:t xml:space="preserve">For housing, the issues are more complex. </w:t>
      </w:r>
    </w:p>
    <w:p w:rsidR="002A5D84" w:rsidRDefault="002A5D84" w:rsidP="00FB19CB">
      <w:pPr>
        <w:pStyle w:val="BodyText"/>
      </w:pPr>
      <w:r>
        <w:t xml:space="preserve">On the one hand, comprehensive data from CoreLogic indicate that median house prices and rents are significantly lower in </w:t>
      </w:r>
      <w:r>
        <w:rPr>
          <w:i/>
        </w:rPr>
        <w:t xml:space="preserve">remote </w:t>
      </w:r>
      <w:r>
        <w:t xml:space="preserve">and </w:t>
      </w:r>
      <w:r>
        <w:rPr>
          <w:i/>
        </w:rPr>
        <w:t>very remote</w:t>
      </w:r>
      <w:r>
        <w:t xml:space="preserve"> areas than in </w:t>
      </w:r>
      <w:r>
        <w:rPr>
          <w:i/>
        </w:rPr>
        <w:t xml:space="preserve">major </w:t>
      </w:r>
      <w:r w:rsidRPr="003301DF">
        <w:rPr>
          <w:i/>
        </w:rPr>
        <w:t>cities</w:t>
      </w:r>
      <w:r>
        <w:t xml:space="preserve"> for a given number of bedrooms. Further, in many remote communities there is a high reliance on subsidised social housing. </w:t>
      </w:r>
    </w:p>
    <w:p w:rsidR="002A5D84" w:rsidRDefault="002A5D84" w:rsidP="00FB19CB">
      <w:pPr>
        <w:pStyle w:val="BodyText"/>
        <w:rPr>
          <w:szCs w:val="24"/>
        </w:rPr>
      </w:pPr>
      <w:r>
        <w:t xml:space="preserve">On the other, regional price index data from Queensland and Western Australia indicate that </w:t>
      </w:r>
      <w:r w:rsidRPr="003864A5">
        <w:rPr>
          <w:i/>
        </w:rPr>
        <w:t>total</w:t>
      </w:r>
      <w:r>
        <w:t xml:space="preserve"> housing costs, including utilities, maintenance and insurance, are higher in </w:t>
      </w:r>
      <w:r>
        <w:rPr>
          <w:i/>
        </w:rPr>
        <w:t xml:space="preserve">remote </w:t>
      </w:r>
      <w:r w:rsidRPr="00DB1E38">
        <w:t>and</w:t>
      </w:r>
      <w:r>
        <w:rPr>
          <w:i/>
        </w:rPr>
        <w:t xml:space="preserve"> very remote </w:t>
      </w:r>
      <w:r>
        <w:t xml:space="preserve">areas than in </w:t>
      </w:r>
      <w:r>
        <w:rPr>
          <w:i/>
        </w:rPr>
        <w:t xml:space="preserve">major cities </w:t>
      </w:r>
      <w:r>
        <w:t xml:space="preserve">and in </w:t>
      </w:r>
      <w:r>
        <w:rPr>
          <w:i/>
        </w:rPr>
        <w:t xml:space="preserve">inner </w:t>
      </w:r>
      <w:r>
        <w:t xml:space="preserve">and </w:t>
      </w:r>
      <w:r>
        <w:rPr>
          <w:i/>
        </w:rPr>
        <w:t xml:space="preserve">outer regional </w:t>
      </w:r>
      <w:r>
        <w:t xml:space="preserve">areas. </w:t>
      </w:r>
      <w:r>
        <w:rPr>
          <w:szCs w:val="24"/>
        </w:rPr>
        <w:t xml:space="preserve">This is </w:t>
      </w:r>
      <w:r w:rsidRPr="005835FB">
        <w:rPr>
          <w:szCs w:val="24"/>
        </w:rPr>
        <w:t xml:space="preserve">particularly </w:t>
      </w:r>
      <w:r>
        <w:rPr>
          <w:szCs w:val="24"/>
        </w:rPr>
        <w:t xml:space="preserve">the case </w:t>
      </w:r>
      <w:r w:rsidRPr="005835FB">
        <w:rPr>
          <w:szCs w:val="24"/>
        </w:rPr>
        <w:t>in small communities lack</w:t>
      </w:r>
      <w:r>
        <w:rPr>
          <w:szCs w:val="24"/>
        </w:rPr>
        <w:t>ing</w:t>
      </w:r>
      <w:r w:rsidRPr="005835FB">
        <w:rPr>
          <w:szCs w:val="24"/>
        </w:rPr>
        <w:t xml:space="preserve"> resident tradespeople and where materials need to be transported over long</w:t>
      </w:r>
      <w:r>
        <w:rPr>
          <w:szCs w:val="24"/>
        </w:rPr>
        <w:t xml:space="preserve"> distances or across water. These price data do not control for the quality of housing, making firm conclusions difficult.</w:t>
      </w:r>
    </w:p>
    <w:p w:rsidR="002A5D84" w:rsidRDefault="002A5D84" w:rsidP="00FB19CB">
      <w:pPr>
        <w:pStyle w:val="BodyText"/>
      </w:pPr>
      <w:r>
        <w:t xml:space="preserve">Overall, living costs in some </w:t>
      </w:r>
      <w:r w:rsidRPr="00941944">
        <w:rPr>
          <w:i/>
        </w:rPr>
        <w:t>remote</w:t>
      </w:r>
      <w:r>
        <w:t xml:space="preserve"> areas may not be significantly different from those in their respective capital cities. However, it is clear that </w:t>
      </w:r>
      <w:r w:rsidRPr="00470D5A">
        <w:rPr>
          <w:i/>
        </w:rPr>
        <w:t>very remote</w:t>
      </w:r>
      <w:r>
        <w:t xml:space="preserve"> areas face higher living costs on average, and that some communities in those areas experience prices for many goods and services that are substantially greater than those elsewhere in Australia.</w:t>
      </w:r>
    </w:p>
    <w:p w:rsidR="002A5D84" w:rsidRDefault="002A5D84" w:rsidP="00FB19CB">
      <w:pPr>
        <w:pStyle w:val="Heading3"/>
      </w:pPr>
      <w:r>
        <w:t>A closer look at the accessibility of services</w:t>
      </w:r>
    </w:p>
    <w:p w:rsidR="002A5D84" w:rsidRDefault="002A5D84" w:rsidP="00FB19CB">
      <w:pPr>
        <w:pStyle w:val="BodyText"/>
      </w:pPr>
      <w:r w:rsidRPr="00C234DC">
        <w:t xml:space="preserve">The availability and cost of accessing key services, </w:t>
      </w:r>
      <w:r>
        <w:t>such as</w:t>
      </w:r>
      <w:r w:rsidRPr="00C234DC">
        <w:t xml:space="preserve"> </w:t>
      </w:r>
      <w:r>
        <w:t>healthcare,</w:t>
      </w:r>
      <w:r w:rsidRPr="00C234DC">
        <w:t xml:space="preserve"> is a major concern for many Australians living in remote areas. </w:t>
      </w:r>
      <w:r>
        <w:t>In many cases, residents must travel long distances for face</w:t>
      </w:r>
      <w:r>
        <w:noBreakHyphen/>
        <w:t>to</w:t>
      </w:r>
      <w:r>
        <w:noBreakHyphen/>
        <w:t xml:space="preserve">face treatment — and even further to access specialists. About 40 per cent of </w:t>
      </w:r>
      <w:r>
        <w:rPr>
          <w:i/>
        </w:rPr>
        <w:t xml:space="preserve">very remote </w:t>
      </w:r>
      <w:r>
        <w:t xml:space="preserve">Australians are more than 100 kilometres from the nearest hospital, compared with only 3 per cent of </w:t>
      </w:r>
      <w:r w:rsidRPr="00A1325D">
        <w:rPr>
          <w:i/>
        </w:rPr>
        <w:t>remote</w:t>
      </w:r>
      <w:r>
        <w:t xml:space="preserve"> area Australians (figure 3). Further, response times for emergency services can be several times higher</w:t>
      </w:r>
      <w:r w:rsidRPr="00D138E1">
        <w:t xml:space="preserve"> </w:t>
      </w:r>
      <w:r>
        <w:t>in</w:t>
      </w:r>
      <w:r>
        <w:rPr>
          <w:i/>
        </w:rPr>
        <w:t xml:space="preserve"> remote </w:t>
      </w:r>
      <w:r>
        <w:t xml:space="preserve">areas than in </w:t>
      </w:r>
      <w:r>
        <w:rPr>
          <w:i/>
        </w:rPr>
        <w:t>major cities</w:t>
      </w:r>
      <w:r>
        <w:t xml:space="preserve">, and higher still in </w:t>
      </w:r>
      <w:r>
        <w:rPr>
          <w:i/>
        </w:rPr>
        <w:t xml:space="preserve">very remote </w:t>
      </w:r>
      <w:r>
        <w:t xml:space="preserve">areas. </w:t>
      </w:r>
    </w:p>
    <w:p w:rsidR="002A5D84" w:rsidRDefault="002A5D84" w:rsidP="00FB19CB">
      <w:pPr>
        <w:pStyle w:val="BodyText"/>
      </w:pPr>
      <w:r>
        <w:t>Similarly, while primary education is relatively accessible for most remote area residents, access becomes more difficult as students progress through high school and on to university or vocational education. Even though there are alternatives to traditional class</w:t>
      </w:r>
      <w:r>
        <w:noBreakHyphen/>
        <w:t xml:space="preserve">based learning, including distance education, it is still common for </w:t>
      </w:r>
      <w:r w:rsidRPr="00712B58">
        <w:t xml:space="preserve">many remote </w:t>
      </w:r>
      <w:r>
        <w:t xml:space="preserve">area </w:t>
      </w:r>
      <w:r w:rsidRPr="00712B58">
        <w:t xml:space="preserve">families </w:t>
      </w:r>
      <w:r>
        <w:t>to enrol their children in</w:t>
      </w:r>
      <w:r w:rsidRPr="00712B58">
        <w:t xml:space="preserve"> boarding school</w:t>
      </w:r>
      <w:r>
        <w:t>s, and for tertiary students to relocate to regional centres or cities to continue their studies.</w:t>
      </w:r>
    </w:p>
    <w:p w:rsidR="002A5D84" w:rsidRDefault="002A5D84" w:rsidP="00FB19CB">
      <w:pPr>
        <w:pStyle w:val="BodyText"/>
      </w:pPr>
      <w:r>
        <w:t xml:space="preserve">These challenges vary from place to place, but can be significant — especially in </w:t>
      </w:r>
      <w:r w:rsidRPr="00961351">
        <w:rPr>
          <w:i/>
        </w:rPr>
        <w:t>very</w:t>
      </w:r>
      <w:r w:rsidRPr="00C91B6E">
        <w:rPr>
          <w:i/>
        </w:rPr>
        <w:t xml:space="preserve"> remote</w:t>
      </w:r>
      <w:r>
        <w:t xml:space="preserve"> areas.</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FigureTitle"/>
            </w:pPr>
            <w:r w:rsidRPr="00784A05">
              <w:rPr>
                <w:b w:val="0"/>
              </w:rPr>
              <w:t xml:space="preserve">Figure </w:t>
            </w:r>
            <w:r>
              <w:rPr>
                <w:b w:val="0"/>
              </w:rPr>
              <w:t>3</w:t>
            </w:r>
            <w:r>
              <w:tab/>
              <w:t xml:space="preserve">Access to public hospitals is limited in </w:t>
            </w:r>
            <w:r w:rsidRPr="002A46A6">
              <w:rPr>
                <w:i/>
              </w:rPr>
              <w:t>very remote</w:t>
            </w:r>
            <w:r>
              <w:t xml:space="preserve"> areas</w:t>
            </w:r>
            <w:r w:rsidRPr="006C19EE">
              <w:rPr>
                <w:rStyle w:val="NoteLabel"/>
                <w:b/>
              </w:rPr>
              <w:t>a</w:t>
            </w:r>
          </w:p>
          <w:p w:rsidR="002A5D84" w:rsidRPr="00176D3F" w:rsidRDefault="002A5D84" w:rsidP="00FB19CB">
            <w:pPr>
              <w:pStyle w:val="Subtitle"/>
            </w:pPr>
            <w:r>
              <w:t>Towns more than 100 km from an emergency department</w:t>
            </w:r>
          </w:p>
        </w:tc>
      </w:tr>
      <w:tr w:rsidR="002A5D84" w:rsidTr="00FB19C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A5D84" w:rsidRPr="00B1465D" w:rsidTr="00FB19CB">
              <w:trPr>
                <w:tblHeader/>
                <w:jc w:val="center"/>
              </w:trPr>
              <w:tc>
                <w:tcPr>
                  <w:tcW w:w="5000" w:type="pct"/>
                  <w:tcBorders>
                    <w:top w:val="nil"/>
                    <w:bottom w:val="nil"/>
                  </w:tcBorders>
                </w:tcPr>
                <w:p w:rsidR="002A5D84" w:rsidRPr="00B1465D" w:rsidRDefault="002A5D84" w:rsidP="00FB19CB">
                  <w:pPr>
                    <w:pStyle w:val="Figure"/>
                    <w:spacing w:before="60" w:after="60"/>
                    <w:rPr>
                      <w:rFonts w:ascii="Arial" w:hAnsi="Arial" w:cs="Arial"/>
                      <w:sz w:val="18"/>
                      <w:szCs w:val="18"/>
                    </w:rPr>
                  </w:pPr>
                  <w:r w:rsidRPr="00257E31">
                    <w:rPr>
                      <w:rFonts w:ascii="Arial" w:hAnsi="Arial" w:cs="Arial"/>
                      <w:noProof/>
                      <w:sz w:val="18"/>
                      <w:szCs w:val="18"/>
                    </w:rPr>
                    <w:drawing>
                      <wp:inline distT="0" distB="0" distL="0" distR="0" wp14:anchorId="0672607D" wp14:editId="6CEC3E40">
                        <wp:extent cx="5311140" cy="3611880"/>
                        <wp:effectExtent l="0" t="0" r="0" b="7620"/>
                        <wp:docPr id="2" name="Picture 2" descr="This map shows the location of public hospitals across Australia. It reveals for a large number of towns in very remote Australia, residents must travel in excess of 100km to access a hospital" title="Access to public hospitals is limited in very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11140" cy="3611880"/>
                                </a:xfrm>
                                <a:prstGeom prst="rect">
                                  <a:avLst/>
                                </a:prstGeom>
                                <a:noFill/>
                                <a:ln>
                                  <a:noFill/>
                                </a:ln>
                              </pic:spPr>
                            </pic:pic>
                          </a:graphicData>
                        </a:graphic>
                      </wp:inline>
                    </w:drawing>
                  </w:r>
                </w:p>
              </w:tc>
            </w:tr>
          </w:tbl>
          <w:p w:rsidR="002A5D84" w:rsidRDefault="002A5D84" w:rsidP="00FB19CB">
            <w:pPr>
              <w:pStyle w:val="Figure"/>
            </w:pP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Note"/>
            </w:pPr>
            <w:r>
              <w:rPr>
                <w:rStyle w:val="NoteLabel"/>
              </w:rPr>
              <w:t>a</w:t>
            </w:r>
            <w:r>
              <w:t xml:space="preserve"> </w:t>
            </w:r>
            <w:r w:rsidRPr="00386E4B">
              <w:t>The map shows the distribution of public hospitals across the remoteness areas</w:t>
            </w:r>
            <w:r>
              <w:t>,</w:t>
            </w:r>
            <w:r w:rsidRPr="00386E4B">
              <w:t xml:space="preserve"> and </w:t>
            </w:r>
            <w:r>
              <w:t xml:space="preserve">distances of more than 100 km between towns of over 200 people and public hospitals. The overwhelming majority of these towns are in </w:t>
            </w:r>
            <w:r w:rsidRPr="00C91B6E">
              <w:rPr>
                <w:i/>
              </w:rPr>
              <w:t>very remote</w:t>
            </w:r>
            <w:r>
              <w:t xml:space="preserve"> areas. </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FB19CB" w:rsidRDefault="002A5D84" w:rsidP="00FB19CB">
            <w:pPr>
              <w:pStyle w:val="BoxSpaceBelow"/>
            </w:pPr>
          </w:p>
        </w:tc>
      </w:tr>
    </w:tbl>
    <w:p w:rsidR="002A5D84" w:rsidRDefault="002A5D84" w:rsidP="00157A6C">
      <w:pPr>
        <w:pStyle w:val="Heading2"/>
        <w:spacing w:before="660"/>
      </w:pPr>
      <w:r>
        <w:t>The zone tax offset</w:t>
      </w:r>
    </w:p>
    <w:p w:rsidR="002A5D84" w:rsidRPr="00907FA4" w:rsidRDefault="002A5D84" w:rsidP="00FB19CB">
      <w:pPr>
        <w:pStyle w:val="BodyText"/>
      </w:pPr>
      <w:r>
        <w:t>The ZTO is a concession targeted at residents of specified parts of Australia (the zones). While more modest in value than when first introduced,</w:t>
      </w:r>
      <w:r w:rsidRPr="00732BA0">
        <w:t xml:space="preserve"> </w:t>
      </w:r>
      <w:r>
        <w:t>today’s ZTO</w:t>
      </w:r>
      <w:r w:rsidRPr="00732BA0">
        <w:t xml:space="preserve"> still applies to taxpayers </w:t>
      </w:r>
      <w:r>
        <w:t xml:space="preserve">across </w:t>
      </w:r>
      <w:r w:rsidRPr="00732BA0">
        <w:t>more than three</w:t>
      </w:r>
      <w:r w:rsidRPr="00732BA0">
        <w:noBreakHyphen/>
        <w:t>quarters of Australia’s landmass.</w:t>
      </w:r>
      <w:r>
        <w:t xml:space="preserve"> I</w:t>
      </w:r>
      <w:r>
        <w:rPr>
          <w:szCs w:val="24"/>
        </w:rPr>
        <w:t>t is</w:t>
      </w:r>
      <w:r w:rsidRPr="009F7BBC">
        <w:rPr>
          <w:szCs w:val="24"/>
        </w:rPr>
        <w:t xml:space="preserve"> a small part of the tax and transfer system</w:t>
      </w:r>
      <w:r>
        <w:rPr>
          <w:szCs w:val="24"/>
        </w:rPr>
        <w:t xml:space="preserve">, claimed by </w:t>
      </w:r>
      <w:r w:rsidRPr="009F7BBC">
        <w:rPr>
          <w:szCs w:val="24"/>
        </w:rPr>
        <w:t>just 3 per</w:t>
      </w:r>
      <w:r>
        <w:rPr>
          <w:szCs w:val="24"/>
        </w:rPr>
        <w:t> </w:t>
      </w:r>
      <w:r w:rsidRPr="009F7BBC">
        <w:rPr>
          <w:szCs w:val="24"/>
        </w:rPr>
        <w:t xml:space="preserve">cent of taxpayers (around </w:t>
      </w:r>
      <w:r w:rsidRPr="009F7BBC" w:rsidDel="00CE60E6">
        <w:rPr>
          <w:szCs w:val="24"/>
        </w:rPr>
        <w:t>480</w:t>
      </w:r>
      <w:r>
        <w:rPr>
          <w:szCs w:val="24"/>
        </w:rPr>
        <w:t> </w:t>
      </w:r>
      <w:r w:rsidRPr="009F7BBC">
        <w:rPr>
          <w:szCs w:val="24"/>
        </w:rPr>
        <w:t>000</w:t>
      </w:r>
      <w:r>
        <w:rPr>
          <w:szCs w:val="24"/>
        </w:rPr>
        <w:t> </w:t>
      </w:r>
      <w:r w:rsidRPr="009F7BBC">
        <w:rPr>
          <w:szCs w:val="24"/>
        </w:rPr>
        <w:t>people).</w:t>
      </w:r>
    </w:p>
    <w:p w:rsidR="002A5D84" w:rsidRDefault="002A5D84" w:rsidP="00FB19CB">
      <w:pPr>
        <w:pStyle w:val="BodyText"/>
      </w:pPr>
      <w:r>
        <w:t xml:space="preserve">Table 1 and figure 4 provide a snapshot of the measure. </w:t>
      </w:r>
    </w:p>
    <w:p w:rsidR="002A5D84" w:rsidRPr="00157A6C" w:rsidRDefault="002A5D84" w:rsidP="00FB19CB">
      <w:pPr>
        <w:pStyle w:val="ListBullet"/>
        <w:rPr>
          <w:szCs w:val="24"/>
        </w:rPr>
      </w:pPr>
      <w:r>
        <w:t>B</w:t>
      </w:r>
      <w:r w:rsidRPr="00D94365">
        <w:t xml:space="preserve">ase rates differ by zone, with higher </w:t>
      </w:r>
      <w:r>
        <w:t>tax offsets</w:t>
      </w:r>
      <w:r w:rsidRPr="00D94365">
        <w:t xml:space="preserve"> available to residents of areas considered to be more remote</w:t>
      </w:r>
      <w:r>
        <w:t xml:space="preserve"> </w:t>
      </w:r>
      <w:r w:rsidRPr="00D94365">
        <w:t>(</w:t>
      </w:r>
      <w:r>
        <w:t>table 1</w:t>
      </w:r>
      <w:r w:rsidRPr="00D94365">
        <w:t xml:space="preserve">). The highest rates are available for residents of ‘special areas’, covering particularly remote parts of </w:t>
      </w:r>
      <w:r w:rsidRPr="00D94365" w:rsidDel="00CE60E6">
        <w:t>Zones</w:t>
      </w:r>
      <w:r>
        <w:t> </w:t>
      </w:r>
      <w:r w:rsidRPr="00D94365">
        <w:t xml:space="preserve">A and B and some adjacent </w:t>
      </w:r>
      <w:r>
        <w:t xml:space="preserve">and offshore </w:t>
      </w:r>
      <w:r w:rsidRPr="00D94365">
        <w:t>islands</w:t>
      </w:r>
      <w:r>
        <w:t xml:space="preserve"> (figure 4)</w:t>
      </w:r>
      <w:r w:rsidRPr="00D94365">
        <w:t xml:space="preserve">. </w:t>
      </w:r>
      <w:r>
        <w:t xml:space="preserve">Taxpayers can claim a larger offset if they maintain </w:t>
      </w:r>
      <w:r w:rsidRPr="00D94365">
        <w:t xml:space="preserve">dependants. </w:t>
      </w:r>
    </w:p>
    <w:p w:rsidR="00157A6C" w:rsidRDefault="00157A6C">
      <w:r>
        <w:br w:type="page"/>
      </w:r>
    </w:p>
    <w:p w:rsidR="002A5D84" w:rsidRDefault="002A5D84" w:rsidP="00FB19CB">
      <w:pPr>
        <w:pStyle w:val="ListBullet"/>
      </w:pPr>
      <w:r>
        <w:lastRenderedPageBreak/>
        <w:t>About 95 per cent of claimants reside in Queensland, Western Australia or the Northern Territory, and nearly half</w:t>
      </w:r>
      <w:r w:rsidRPr="009F7BBC" w:rsidDel="00005803">
        <w:t xml:space="preserve"> </w:t>
      </w:r>
      <w:r w:rsidRPr="009F7BBC">
        <w:t>live in the four largest cities in the zones (Townsville</w:t>
      </w:r>
      <w:r>
        <w:t>,</w:t>
      </w:r>
      <w:r w:rsidRPr="009F7BBC">
        <w:t xml:space="preserve"> Cairns, Darwin and Mackay).</w:t>
      </w:r>
      <w:r>
        <w:t xml:space="preserve"> The average per</w:t>
      </w:r>
      <w:r>
        <w:noBreakHyphen/>
        <w:t xml:space="preserve">person claim was $319 per year, although nearly half of all claims were less than $100. </w:t>
      </w:r>
    </w:p>
    <w:p w:rsidR="002A5D84" w:rsidRDefault="002A5D84" w:rsidP="00FB19CB">
      <w:pPr>
        <w:pStyle w:val="ListBullet"/>
      </w:pPr>
      <w:r>
        <w:t>In aggregate, t</w:t>
      </w:r>
      <w:r w:rsidRPr="00234AA9">
        <w:t xml:space="preserve">he offset </w:t>
      </w:r>
      <w:r>
        <w:t>amount claimed is estimated at</w:t>
      </w:r>
      <w:r w:rsidRPr="00234AA9">
        <w:t xml:space="preserve"> $153 million</w:t>
      </w:r>
      <w:r>
        <w:t xml:space="preserve"> in 2016</w:t>
      </w:r>
      <w:r>
        <w:noBreakHyphen/>
        <w:t xml:space="preserve">17 — </w:t>
      </w:r>
      <w:r w:rsidRPr="00234AA9">
        <w:t xml:space="preserve">a relatively small concession compared </w:t>
      </w:r>
      <w:r>
        <w:t>with</w:t>
      </w:r>
      <w:r w:rsidRPr="00234AA9">
        <w:t xml:space="preserve"> other tax offsets (including the Seniors and Pensioners Tax Offset and the Australian Super Income Stream Offset, jointly worth about $1.4 billion</w:t>
      </w:r>
      <w:r>
        <w:t xml:space="preserve"> annually</w:t>
      </w:r>
      <w:r w:rsidRPr="00234AA9">
        <w:t>)</w:t>
      </w:r>
      <w:r>
        <w:t>.</w:t>
      </w:r>
    </w:p>
    <w:p w:rsidR="002A5D84" w:rsidRDefault="002A5D84" w:rsidP="00FB19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Pr="00784A05" w:rsidRDefault="002A5D84" w:rsidP="00FB19CB">
            <w:pPr>
              <w:pStyle w:val="TableTitle"/>
            </w:pPr>
            <w:r>
              <w:rPr>
                <w:b w:val="0"/>
              </w:rPr>
              <w:t>Table 1</w:t>
            </w:r>
            <w:r>
              <w:tab/>
              <w:t>Summary of the zone tax offset</w:t>
            </w:r>
            <w:r w:rsidRPr="0059227D">
              <w:rPr>
                <w:rStyle w:val="NoteLabel"/>
                <w:b/>
              </w:rPr>
              <w:t>a</w:t>
            </w:r>
          </w:p>
        </w:tc>
      </w:tr>
      <w:tr w:rsidR="002A5D84" w:rsidTr="00FB19CB">
        <w:tc>
          <w:tcPr>
            <w:tcW w:w="5000" w:type="pct"/>
            <w:tcBorders>
              <w:top w:val="nil"/>
              <w:left w:val="nil"/>
              <w:bottom w:val="nil"/>
              <w:right w:val="nil"/>
            </w:tcBorders>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1"/>
            </w:tblPr>
            <w:tblGrid>
              <w:gridCol w:w="1761"/>
              <w:gridCol w:w="1107"/>
              <w:gridCol w:w="1408"/>
              <w:gridCol w:w="1419"/>
              <w:gridCol w:w="1381"/>
              <w:gridCol w:w="1429"/>
            </w:tblGrid>
            <w:tr w:rsidR="002A5D84" w:rsidTr="00FB19CB">
              <w:trPr>
                <w:trHeight w:val="473"/>
                <w:tblHeader/>
              </w:trPr>
              <w:tc>
                <w:tcPr>
                  <w:tcW w:w="1035" w:type="pct"/>
                  <w:tcBorders>
                    <w:top w:val="single" w:sz="4" w:space="0" w:color="BFBFBF" w:themeColor="background1" w:themeShade="BF"/>
                    <w:bottom w:val="single" w:sz="4" w:space="0" w:color="BFBFBF" w:themeColor="background1" w:themeShade="BF"/>
                  </w:tcBorders>
                  <w:shd w:val="clear" w:color="auto" w:fill="auto"/>
                  <w:vAlign w:val="bottom"/>
                </w:tcPr>
                <w:p w:rsidR="002A5D84" w:rsidRPr="00BB3F1C" w:rsidRDefault="002A5D84" w:rsidP="00FB19CB">
                  <w:pPr>
                    <w:pStyle w:val="TableBodyText"/>
                    <w:ind w:right="6"/>
                    <w:rPr>
                      <w:sz w:val="16"/>
                    </w:rPr>
                  </w:pPr>
                </w:p>
              </w:tc>
              <w:tc>
                <w:tcPr>
                  <w:tcW w:w="651" w:type="pct"/>
                  <w:tcBorders>
                    <w:top w:val="single" w:sz="4" w:space="0" w:color="BFBFBF" w:themeColor="background1" w:themeShade="BF"/>
                    <w:bottom w:val="single" w:sz="4" w:space="0" w:color="BFBFBF" w:themeColor="background1" w:themeShade="BF"/>
                  </w:tcBorders>
                  <w:shd w:val="clear" w:color="auto" w:fill="auto"/>
                  <w:vAlign w:val="bottom"/>
                </w:tcPr>
                <w:p w:rsidR="002A5D84" w:rsidRPr="00BB3F1C" w:rsidRDefault="002A5D84" w:rsidP="00FB19CB">
                  <w:pPr>
                    <w:pStyle w:val="TableColumnHeading"/>
                  </w:pPr>
                  <w:r>
                    <w:t>Base offset</w:t>
                  </w:r>
                </w:p>
              </w:tc>
              <w:tc>
                <w:tcPr>
                  <w:tcW w:w="828" w:type="pct"/>
                  <w:tcBorders>
                    <w:top w:val="single" w:sz="4" w:space="0" w:color="BFBFBF" w:themeColor="background1" w:themeShade="BF"/>
                    <w:bottom w:val="single" w:sz="4" w:space="0" w:color="BFBFBF" w:themeColor="background1" w:themeShade="BF"/>
                  </w:tcBorders>
                  <w:shd w:val="clear" w:color="auto" w:fill="auto"/>
                  <w:vAlign w:val="bottom"/>
                </w:tcPr>
                <w:p w:rsidR="002A5D84" w:rsidRPr="00BB3F1C" w:rsidRDefault="002A5D84" w:rsidP="00FB19CB">
                  <w:pPr>
                    <w:pStyle w:val="TableColumnHeading"/>
                  </w:pPr>
                  <w:r w:rsidRPr="00BB3F1C">
                    <w:rPr>
                      <w:rFonts w:eastAsiaTheme="minorEastAsia"/>
                    </w:rPr>
                    <w:t xml:space="preserve">Dependant </w:t>
                  </w:r>
                  <w:r>
                    <w:rPr>
                      <w:rFonts w:eastAsiaTheme="minorEastAsia"/>
                    </w:rPr>
                    <w:t>l</w:t>
                  </w:r>
                  <w:r w:rsidRPr="00BB3F1C">
                    <w:rPr>
                      <w:rFonts w:eastAsiaTheme="minorEastAsia"/>
                    </w:rPr>
                    <w:t>oading</w:t>
                  </w:r>
                </w:p>
              </w:tc>
              <w:tc>
                <w:tcPr>
                  <w:tcW w:w="834" w:type="pct"/>
                  <w:tcBorders>
                    <w:top w:val="single" w:sz="4" w:space="0" w:color="BFBFBF" w:themeColor="background1" w:themeShade="BF"/>
                    <w:bottom w:val="single" w:sz="4" w:space="0" w:color="BFBFBF" w:themeColor="background1" w:themeShade="BF"/>
                  </w:tcBorders>
                  <w:shd w:val="clear" w:color="auto" w:fill="auto"/>
                  <w:vAlign w:val="bottom"/>
                </w:tcPr>
                <w:p w:rsidR="002A5D84" w:rsidRPr="00BB3F1C" w:rsidRDefault="002A5D84" w:rsidP="00FB19CB">
                  <w:pPr>
                    <w:pStyle w:val="TableColumnHeading"/>
                  </w:pPr>
                  <w:r>
                    <w:t>C</w:t>
                  </w:r>
                  <w:r w:rsidRPr="00BB3F1C">
                    <w:t>laimants</w:t>
                  </w:r>
                </w:p>
              </w:tc>
              <w:tc>
                <w:tcPr>
                  <w:tcW w:w="812" w:type="pct"/>
                  <w:tcBorders>
                    <w:top w:val="single" w:sz="4" w:space="0" w:color="BFBFBF" w:themeColor="background1" w:themeShade="BF"/>
                    <w:bottom w:val="single" w:sz="4" w:space="0" w:color="BFBFBF" w:themeColor="background1" w:themeShade="BF"/>
                  </w:tcBorders>
                  <w:shd w:val="clear" w:color="auto" w:fill="auto"/>
                  <w:vAlign w:val="bottom"/>
                </w:tcPr>
                <w:p w:rsidR="002A5D84" w:rsidRPr="00BB3F1C" w:rsidRDefault="002A5D84" w:rsidP="00081FB4">
                  <w:pPr>
                    <w:pStyle w:val="TableColumnHeading"/>
                  </w:pPr>
                  <w:r w:rsidRPr="00BB3F1C">
                    <w:t>Total claims</w:t>
                  </w:r>
                  <w:r>
                    <w:rPr>
                      <w:rStyle w:val="NoteLabel"/>
                    </w:rPr>
                    <w:t>b</w:t>
                  </w:r>
                </w:p>
              </w:tc>
              <w:tc>
                <w:tcPr>
                  <w:tcW w:w="840" w:type="pct"/>
                  <w:tcBorders>
                    <w:top w:val="single" w:sz="4" w:space="0" w:color="BFBFBF" w:themeColor="background1" w:themeShade="BF"/>
                    <w:bottom w:val="single" w:sz="4" w:space="0" w:color="BFBFBF" w:themeColor="background1" w:themeShade="BF"/>
                  </w:tcBorders>
                  <w:shd w:val="clear" w:color="auto" w:fill="auto"/>
                  <w:vAlign w:val="bottom"/>
                </w:tcPr>
                <w:p w:rsidR="002A5D84" w:rsidRPr="00BB3F1C" w:rsidRDefault="002A5D84" w:rsidP="00FB19CB">
                  <w:pPr>
                    <w:pStyle w:val="TableColumnHeading"/>
                  </w:pPr>
                  <w:r>
                    <w:t>Average claim</w:t>
                  </w:r>
                </w:p>
              </w:tc>
            </w:tr>
            <w:tr w:rsidR="002A5D84" w:rsidTr="00FB19CB">
              <w:trPr>
                <w:trHeight w:val="317"/>
              </w:trPr>
              <w:tc>
                <w:tcPr>
                  <w:tcW w:w="1035" w:type="pct"/>
                  <w:tcBorders>
                    <w:top w:val="single" w:sz="4" w:space="0" w:color="BFBFBF" w:themeColor="background1" w:themeShade="BF"/>
                  </w:tcBorders>
                  <w:shd w:val="clear" w:color="auto" w:fill="auto"/>
                  <w:vAlign w:val="center"/>
                </w:tcPr>
                <w:p w:rsidR="002A5D84" w:rsidRPr="001778C4" w:rsidRDefault="002A5D84" w:rsidP="00FB19CB">
                  <w:pPr>
                    <w:pStyle w:val="TableBodyText"/>
                    <w:spacing w:before="40"/>
                  </w:pPr>
                  <w:r w:rsidRPr="001778C4">
                    <w:t>Ordinary Zone B</w:t>
                  </w:r>
                </w:p>
              </w:tc>
              <w:tc>
                <w:tcPr>
                  <w:tcW w:w="651" w:type="pct"/>
                  <w:tcBorders>
                    <w:top w:val="single" w:sz="4" w:space="0" w:color="BFBFBF" w:themeColor="background1" w:themeShade="BF"/>
                  </w:tcBorders>
                  <w:shd w:val="clear" w:color="auto" w:fill="E0F1F7" w:themeFill="text2" w:themeFillTint="33"/>
                  <w:vAlign w:val="center"/>
                </w:tcPr>
                <w:p w:rsidR="002A5D84" w:rsidRPr="001778C4" w:rsidRDefault="002A5D84" w:rsidP="00FB19CB">
                  <w:pPr>
                    <w:pStyle w:val="TableBodyText"/>
                    <w:spacing w:before="40"/>
                  </w:pPr>
                  <w:r>
                    <w:t>$</w:t>
                  </w:r>
                  <w:r w:rsidRPr="001778C4">
                    <w:t>57</w:t>
                  </w:r>
                </w:p>
              </w:tc>
              <w:tc>
                <w:tcPr>
                  <w:tcW w:w="828" w:type="pct"/>
                  <w:tcBorders>
                    <w:top w:val="single" w:sz="4" w:space="0" w:color="BFBFBF" w:themeColor="background1" w:themeShade="BF"/>
                  </w:tcBorders>
                  <w:shd w:val="clear" w:color="auto" w:fill="F2F2F2" w:themeFill="background1" w:themeFillShade="F2"/>
                  <w:vAlign w:val="center"/>
                </w:tcPr>
                <w:p w:rsidR="002A5D84" w:rsidRPr="001778C4" w:rsidRDefault="002A5D84" w:rsidP="00FB19CB">
                  <w:pPr>
                    <w:pStyle w:val="TableBodyText"/>
                    <w:spacing w:before="40"/>
                  </w:pPr>
                  <w:r w:rsidRPr="001778C4">
                    <w:t>20%</w:t>
                  </w:r>
                </w:p>
              </w:tc>
              <w:tc>
                <w:tcPr>
                  <w:tcW w:w="834" w:type="pct"/>
                  <w:tcBorders>
                    <w:top w:val="single" w:sz="4" w:space="0" w:color="BFBFBF" w:themeColor="background1" w:themeShade="BF"/>
                  </w:tcBorders>
                  <w:shd w:val="clear" w:color="auto" w:fill="auto"/>
                  <w:vAlign w:val="center"/>
                </w:tcPr>
                <w:p w:rsidR="002A5D84" w:rsidRPr="001778C4" w:rsidRDefault="002A5D84" w:rsidP="00FB19CB">
                  <w:pPr>
                    <w:pStyle w:val="TableBodyText"/>
                    <w:spacing w:before="40"/>
                  </w:pPr>
                  <w:r w:rsidRPr="001778C4">
                    <w:t>2</w:t>
                  </w:r>
                  <w:r>
                    <w:t>91</w:t>
                  </w:r>
                  <w:r w:rsidRPr="001778C4">
                    <w:t xml:space="preserve"> 000</w:t>
                  </w:r>
                </w:p>
              </w:tc>
              <w:tc>
                <w:tcPr>
                  <w:tcW w:w="812" w:type="pct"/>
                  <w:tcBorders>
                    <w:top w:val="single" w:sz="4" w:space="0" w:color="BFBFBF" w:themeColor="background1" w:themeShade="BF"/>
                  </w:tcBorders>
                  <w:shd w:val="clear" w:color="auto" w:fill="E0F1F7" w:themeFill="text2" w:themeFillTint="33"/>
                  <w:vAlign w:val="center"/>
                </w:tcPr>
                <w:p w:rsidR="002A5D84" w:rsidRPr="001778C4" w:rsidRDefault="002A5D84" w:rsidP="00FB19CB">
                  <w:pPr>
                    <w:pStyle w:val="TableBodyText"/>
                    <w:spacing w:before="40"/>
                  </w:pPr>
                  <w:r>
                    <w:t>$</w:t>
                  </w:r>
                  <w:r w:rsidRPr="001778C4">
                    <w:t>3</w:t>
                  </w:r>
                  <w:r>
                    <w:t>9 million</w:t>
                  </w:r>
                </w:p>
              </w:tc>
              <w:tc>
                <w:tcPr>
                  <w:tcW w:w="840" w:type="pct"/>
                  <w:tcBorders>
                    <w:top w:val="single" w:sz="4" w:space="0" w:color="BFBFBF" w:themeColor="background1" w:themeShade="BF"/>
                  </w:tcBorders>
                  <w:shd w:val="clear" w:color="auto" w:fill="F2F2F2" w:themeFill="background1" w:themeFillShade="F2"/>
                </w:tcPr>
                <w:p w:rsidR="002A5D84" w:rsidRDefault="002A5D84" w:rsidP="00FB19CB">
                  <w:pPr>
                    <w:pStyle w:val="TableBodyText"/>
                    <w:spacing w:before="40"/>
                  </w:pPr>
                  <w:r>
                    <w:t>$133</w:t>
                  </w:r>
                </w:p>
              </w:tc>
            </w:tr>
            <w:tr w:rsidR="002A5D84" w:rsidTr="00FB19CB">
              <w:trPr>
                <w:trHeight w:val="317"/>
              </w:trPr>
              <w:tc>
                <w:tcPr>
                  <w:tcW w:w="1035" w:type="pct"/>
                  <w:shd w:val="clear" w:color="auto" w:fill="auto"/>
                  <w:vAlign w:val="center"/>
                </w:tcPr>
                <w:p w:rsidR="002A5D84" w:rsidRPr="001778C4" w:rsidRDefault="002A5D84" w:rsidP="00FB19CB">
                  <w:pPr>
                    <w:pStyle w:val="TableBodyText"/>
                  </w:pPr>
                  <w:r w:rsidRPr="001778C4">
                    <w:t>Ordinary Zone A</w:t>
                  </w:r>
                </w:p>
              </w:tc>
              <w:tc>
                <w:tcPr>
                  <w:tcW w:w="651" w:type="pct"/>
                  <w:shd w:val="clear" w:color="auto" w:fill="E0F1F7" w:themeFill="text2" w:themeFillTint="33"/>
                  <w:vAlign w:val="center"/>
                </w:tcPr>
                <w:p w:rsidR="002A5D84" w:rsidRPr="001778C4" w:rsidRDefault="002A5D84" w:rsidP="00FB19CB">
                  <w:pPr>
                    <w:pStyle w:val="TableBodyText"/>
                  </w:pPr>
                  <w:r>
                    <w:t>$</w:t>
                  </w:r>
                  <w:r w:rsidRPr="001778C4">
                    <w:t>338</w:t>
                  </w:r>
                </w:p>
              </w:tc>
              <w:tc>
                <w:tcPr>
                  <w:tcW w:w="828" w:type="pct"/>
                  <w:shd w:val="clear" w:color="auto" w:fill="F2F2F2" w:themeFill="background1" w:themeFillShade="F2"/>
                  <w:vAlign w:val="center"/>
                </w:tcPr>
                <w:p w:rsidR="002A5D84" w:rsidRPr="001778C4" w:rsidRDefault="002A5D84" w:rsidP="00FB19CB">
                  <w:pPr>
                    <w:pStyle w:val="TableBodyText"/>
                  </w:pPr>
                  <w:r w:rsidRPr="001778C4">
                    <w:t>50%</w:t>
                  </w:r>
                </w:p>
              </w:tc>
              <w:tc>
                <w:tcPr>
                  <w:tcW w:w="834" w:type="pct"/>
                  <w:shd w:val="clear" w:color="auto" w:fill="auto"/>
                  <w:vAlign w:val="center"/>
                </w:tcPr>
                <w:p w:rsidR="002A5D84" w:rsidRPr="001778C4" w:rsidRDefault="002A5D84" w:rsidP="00FB19CB">
                  <w:pPr>
                    <w:pStyle w:val="TableBodyText"/>
                  </w:pPr>
                  <w:r w:rsidRPr="001778C4">
                    <w:t>123 000</w:t>
                  </w:r>
                </w:p>
              </w:tc>
              <w:tc>
                <w:tcPr>
                  <w:tcW w:w="812" w:type="pct"/>
                  <w:shd w:val="clear" w:color="auto" w:fill="E0F1F7" w:themeFill="text2" w:themeFillTint="33"/>
                  <w:vAlign w:val="center"/>
                </w:tcPr>
                <w:p w:rsidR="002A5D84" w:rsidRPr="001778C4" w:rsidRDefault="002A5D84" w:rsidP="00FB19CB">
                  <w:pPr>
                    <w:pStyle w:val="TableBodyText"/>
                  </w:pPr>
                  <w:r>
                    <w:t>$</w:t>
                  </w:r>
                  <w:r w:rsidRPr="001778C4">
                    <w:t>63</w:t>
                  </w:r>
                  <w:r>
                    <w:t> million</w:t>
                  </w:r>
                </w:p>
              </w:tc>
              <w:tc>
                <w:tcPr>
                  <w:tcW w:w="840" w:type="pct"/>
                  <w:shd w:val="clear" w:color="auto" w:fill="F2F2F2" w:themeFill="background1" w:themeFillShade="F2"/>
                </w:tcPr>
                <w:p w:rsidR="002A5D84" w:rsidRDefault="002A5D84" w:rsidP="00FB19CB">
                  <w:pPr>
                    <w:pStyle w:val="TableBodyText"/>
                  </w:pPr>
                  <w:r>
                    <w:t>$511</w:t>
                  </w:r>
                </w:p>
              </w:tc>
            </w:tr>
            <w:tr w:rsidR="002A5D84" w:rsidTr="00FB19CB">
              <w:trPr>
                <w:trHeight w:val="317"/>
              </w:trPr>
              <w:tc>
                <w:tcPr>
                  <w:tcW w:w="1035" w:type="pct"/>
                  <w:shd w:val="clear" w:color="auto" w:fill="auto"/>
                  <w:vAlign w:val="center"/>
                </w:tcPr>
                <w:p w:rsidR="002A5D84" w:rsidRPr="001778C4" w:rsidRDefault="002A5D84" w:rsidP="00FB19CB">
                  <w:pPr>
                    <w:pStyle w:val="TableBodyText"/>
                  </w:pPr>
                  <w:r w:rsidRPr="001778C4">
                    <w:t>Special Areas</w:t>
                  </w:r>
                </w:p>
              </w:tc>
              <w:tc>
                <w:tcPr>
                  <w:tcW w:w="651" w:type="pct"/>
                  <w:shd w:val="clear" w:color="auto" w:fill="E0F1F7" w:themeFill="text2" w:themeFillTint="33"/>
                  <w:vAlign w:val="center"/>
                </w:tcPr>
                <w:p w:rsidR="002A5D84" w:rsidRPr="001778C4" w:rsidRDefault="002A5D84" w:rsidP="00FB19CB">
                  <w:pPr>
                    <w:pStyle w:val="TableBodyText"/>
                  </w:pPr>
                  <w:r>
                    <w:t>$</w:t>
                  </w:r>
                  <w:r w:rsidRPr="001778C4">
                    <w:t>1 173</w:t>
                  </w:r>
                </w:p>
              </w:tc>
              <w:tc>
                <w:tcPr>
                  <w:tcW w:w="828" w:type="pct"/>
                  <w:shd w:val="clear" w:color="auto" w:fill="F2F2F2" w:themeFill="background1" w:themeFillShade="F2"/>
                  <w:vAlign w:val="center"/>
                </w:tcPr>
                <w:p w:rsidR="002A5D84" w:rsidRPr="001778C4" w:rsidRDefault="002A5D84" w:rsidP="00FB19CB">
                  <w:pPr>
                    <w:pStyle w:val="TableBodyText"/>
                  </w:pPr>
                  <w:r w:rsidRPr="001778C4">
                    <w:t>50%</w:t>
                  </w:r>
                </w:p>
              </w:tc>
              <w:tc>
                <w:tcPr>
                  <w:tcW w:w="834" w:type="pct"/>
                  <w:shd w:val="clear" w:color="auto" w:fill="auto"/>
                  <w:vAlign w:val="center"/>
                </w:tcPr>
                <w:p w:rsidR="002A5D84" w:rsidRPr="001778C4" w:rsidRDefault="002A5D84" w:rsidP="00FB19CB">
                  <w:pPr>
                    <w:pStyle w:val="TableBodyText"/>
                  </w:pPr>
                  <w:r>
                    <w:t>28</w:t>
                  </w:r>
                  <w:r w:rsidRPr="001778C4">
                    <w:t xml:space="preserve"> 000</w:t>
                  </w:r>
                </w:p>
              </w:tc>
              <w:tc>
                <w:tcPr>
                  <w:tcW w:w="812" w:type="pct"/>
                  <w:shd w:val="clear" w:color="auto" w:fill="E0F1F7" w:themeFill="text2" w:themeFillTint="33"/>
                  <w:vAlign w:val="center"/>
                </w:tcPr>
                <w:p w:rsidR="002A5D84" w:rsidRPr="001778C4" w:rsidRDefault="002A5D84" w:rsidP="00FB19CB">
                  <w:pPr>
                    <w:pStyle w:val="TableBodyText"/>
                  </w:pPr>
                  <w:r>
                    <w:t>$</w:t>
                  </w:r>
                  <w:r w:rsidRPr="001778C4">
                    <w:t>3</w:t>
                  </w:r>
                  <w:r>
                    <w:t>2 million</w:t>
                  </w:r>
                </w:p>
              </w:tc>
              <w:tc>
                <w:tcPr>
                  <w:tcW w:w="840" w:type="pct"/>
                  <w:shd w:val="clear" w:color="auto" w:fill="F2F2F2" w:themeFill="background1" w:themeFillShade="F2"/>
                </w:tcPr>
                <w:p w:rsidR="002A5D84" w:rsidRDefault="002A5D84" w:rsidP="00FB19CB">
                  <w:pPr>
                    <w:pStyle w:val="TableBodyText"/>
                  </w:pPr>
                  <w:r>
                    <w:t>$1 146</w:t>
                  </w:r>
                  <w:r>
                    <w:rPr>
                      <w:rStyle w:val="NoteLabel"/>
                    </w:rPr>
                    <w:t>c</w:t>
                  </w:r>
                </w:p>
              </w:tc>
            </w:tr>
            <w:tr w:rsidR="002A5D84" w:rsidTr="00FB19CB">
              <w:trPr>
                <w:trHeight w:val="317"/>
              </w:trPr>
              <w:tc>
                <w:tcPr>
                  <w:tcW w:w="1035" w:type="pct"/>
                  <w:shd w:val="clear" w:color="auto" w:fill="auto"/>
                  <w:vAlign w:val="center"/>
                </w:tcPr>
                <w:p w:rsidR="002A5D84" w:rsidRPr="001778C4" w:rsidRDefault="002A5D84" w:rsidP="00FB19CB">
                  <w:pPr>
                    <w:pStyle w:val="TableBodyText"/>
                  </w:pPr>
                  <w:r w:rsidRPr="001778C4">
                    <w:t>Other</w:t>
                  </w:r>
                  <w:r>
                    <w:rPr>
                      <w:rStyle w:val="NoteLabel"/>
                    </w:rPr>
                    <w:t>d</w:t>
                  </w:r>
                </w:p>
              </w:tc>
              <w:tc>
                <w:tcPr>
                  <w:tcW w:w="651" w:type="pct"/>
                  <w:shd w:val="clear" w:color="auto" w:fill="E0F1F7" w:themeFill="text2" w:themeFillTint="33"/>
                  <w:vAlign w:val="center"/>
                </w:tcPr>
                <w:p w:rsidR="002A5D84" w:rsidRPr="006C19EE" w:rsidRDefault="002A5D84" w:rsidP="00FB19CB">
                  <w:pPr>
                    <w:pStyle w:val="TableBodyText"/>
                    <w:rPr>
                      <w:b/>
                    </w:rPr>
                  </w:pPr>
                  <w:r w:rsidRPr="006C19EE">
                    <w:rPr>
                      <w:b/>
                    </w:rPr>
                    <w:t>na</w:t>
                  </w:r>
                </w:p>
              </w:tc>
              <w:tc>
                <w:tcPr>
                  <w:tcW w:w="828" w:type="pct"/>
                  <w:shd w:val="clear" w:color="auto" w:fill="F2F2F2" w:themeFill="background1" w:themeFillShade="F2"/>
                  <w:vAlign w:val="center"/>
                </w:tcPr>
                <w:p w:rsidR="002A5D84" w:rsidRPr="006C19EE" w:rsidRDefault="002A5D84" w:rsidP="00FB19CB">
                  <w:pPr>
                    <w:pStyle w:val="TableBodyText"/>
                    <w:rPr>
                      <w:b/>
                    </w:rPr>
                  </w:pPr>
                  <w:r w:rsidRPr="006C19EE">
                    <w:rPr>
                      <w:b/>
                    </w:rPr>
                    <w:t>na</w:t>
                  </w:r>
                </w:p>
              </w:tc>
              <w:tc>
                <w:tcPr>
                  <w:tcW w:w="834" w:type="pct"/>
                  <w:shd w:val="clear" w:color="auto" w:fill="auto"/>
                  <w:vAlign w:val="center"/>
                </w:tcPr>
                <w:p w:rsidR="002A5D84" w:rsidRPr="001778C4" w:rsidRDefault="002A5D84" w:rsidP="00FB19CB">
                  <w:pPr>
                    <w:pStyle w:val="TableBodyText"/>
                  </w:pPr>
                  <w:r w:rsidRPr="001778C4">
                    <w:t>3</w:t>
                  </w:r>
                  <w:r>
                    <w:t>8</w:t>
                  </w:r>
                  <w:r w:rsidRPr="001778C4">
                    <w:t xml:space="preserve"> 000</w:t>
                  </w:r>
                </w:p>
              </w:tc>
              <w:tc>
                <w:tcPr>
                  <w:tcW w:w="812" w:type="pct"/>
                  <w:shd w:val="clear" w:color="auto" w:fill="E0F1F7" w:themeFill="text2" w:themeFillTint="33"/>
                  <w:vAlign w:val="center"/>
                </w:tcPr>
                <w:p w:rsidR="002A5D84" w:rsidRPr="001778C4" w:rsidRDefault="002A5D84" w:rsidP="00FB19CB">
                  <w:pPr>
                    <w:pStyle w:val="TableBodyText"/>
                  </w:pPr>
                  <w:r>
                    <w:t>$</w:t>
                  </w:r>
                  <w:r w:rsidRPr="001778C4">
                    <w:t>19</w:t>
                  </w:r>
                  <w:r>
                    <w:t> million</w:t>
                  </w:r>
                  <w:r w:rsidRPr="001778C4">
                    <w:t xml:space="preserve"> </w:t>
                  </w:r>
                </w:p>
              </w:tc>
              <w:tc>
                <w:tcPr>
                  <w:tcW w:w="840" w:type="pct"/>
                  <w:shd w:val="clear" w:color="auto" w:fill="F2F2F2" w:themeFill="background1" w:themeFillShade="F2"/>
                </w:tcPr>
                <w:p w:rsidR="002A5D84" w:rsidRDefault="002A5D84" w:rsidP="00FB19CB">
                  <w:pPr>
                    <w:pStyle w:val="TableBodyText"/>
                  </w:pPr>
                  <w:r>
                    <w:t>$496</w:t>
                  </w:r>
                </w:p>
              </w:tc>
            </w:tr>
            <w:tr w:rsidR="002A5D84" w:rsidTr="00FB19CB">
              <w:trPr>
                <w:trHeight w:val="317"/>
              </w:trPr>
              <w:tc>
                <w:tcPr>
                  <w:tcW w:w="1035" w:type="pct"/>
                  <w:tcBorders>
                    <w:bottom w:val="single" w:sz="4" w:space="0" w:color="BFBFBF" w:themeColor="background1" w:themeShade="BF"/>
                  </w:tcBorders>
                  <w:shd w:val="clear" w:color="auto" w:fill="auto"/>
                  <w:vAlign w:val="center"/>
                </w:tcPr>
                <w:p w:rsidR="002A5D84" w:rsidRPr="001778C4" w:rsidRDefault="002A5D84" w:rsidP="00FB19CB">
                  <w:pPr>
                    <w:pStyle w:val="TableBodyText"/>
                    <w:rPr>
                      <w:b/>
                    </w:rPr>
                  </w:pPr>
                  <w:r w:rsidRPr="001778C4">
                    <w:rPr>
                      <w:b/>
                    </w:rPr>
                    <w:t>Total</w:t>
                  </w:r>
                </w:p>
              </w:tc>
              <w:tc>
                <w:tcPr>
                  <w:tcW w:w="651" w:type="pct"/>
                  <w:tcBorders>
                    <w:bottom w:val="single" w:sz="4" w:space="0" w:color="BFBFBF" w:themeColor="background1" w:themeShade="BF"/>
                  </w:tcBorders>
                  <w:shd w:val="clear" w:color="auto" w:fill="E0F1F7" w:themeFill="text2" w:themeFillTint="33"/>
                  <w:vAlign w:val="center"/>
                </w:tcPr>
                <w:p w:rsidR="002A5D84" w:rsidRPr="001778C4" w:rsidRDefault="002A5D84" w:rsidP="00FB19CB">
                  <w:pPr>
                    <w:pStyle w:val="TableBodyText"/>
                    <w:rPr>
                      <w:b/>
                    </w:rPr>
                  </w:pPr>
                  <w:r w:rsidRPr="001778C4">
                    <w:rPr>
                      <w:b/>
                    </w:rPr>
                    <w:t>na</w:t>
                  </w:r>
                </w:p>
              </w:tc>
              <w:tc>
                <w:tcPr>
                  <w:tcW w:w="828" w:type="pct"/>
                  <w:tcBorders>
                    <w:bottom w:val="single" w:sz="4" w:space="0" w:color="BFBFBF" w:themeColor="background1" w:themeShade="BF"/>
                  </w:tcBorders>
                  <w:shd w:val="clear" w:color="auto" w:fill="F2F2F2" w:themeFill="background1" w:themeFillShade="F2"/>
                  <w:vAlign w:val="center"/>
                </w:tcPr>
                <w:p w:rsidR="002A5D84" w:rsidRPr="001778C4" w:rsidRDefault="002A5D84" w:rsidP="00FB19CB">
                  <w:pPr>
                    <w:pStyle w:val="TableBodyText"/>
                    <w:rPr>
                      <w:b/>
                    </w:rPr>
                  </w:pPr>
                  <w:r w:rsidRPr="001778C4">
                    <w:rPr>
                      <w:b/>
                    </w:rPr>
                    <w:t>na</w:t>
                  </w:r>
                </w:p>
              </w:tc>
              <w:tc>
                <w:tcPr>
                  <w:tcW w:w="834" w:type="pct"/>
                  <w:tcBorders>
                    <w:bottom w:val="single" w:sz="4" w:space="0" w:color="BFBFBF" w:themeColor="background1" w:themeShade="BF"/>
                  </w:tcBorders>
                  <w:shd w:val="clear" w:color="auto" w:fill="auto"/>
                  <w:vAlign w:val="center"/>
                </w:tcPr>
                <w:p w:rsidR="002A5D84" w:rsidRPr="001778C4" w:rsidRDefault="002A5D84" w:rsidP="00FB19CB">
                  <w:pPr>
                    <w:pStyle w:val="TableBodyText"/>
                    <w:rPr>
                      <w:b/>
                    </w:rPr>
                  </w:pPr>
                  <w:r w:rsidRPr="001778C4">
                    <w:rPr>
                      <w:b/>
                    </w:rPr>
                    <w:t>480 000</w:t>
                  </w:r>
                </w:p>
              </w:tc>
              <w:tc>
                <w:tcPr>
                  <w:tcW w:w="812" w:type="pct"/>
                  <w:tcBorders>
                    <w:bottom w:val="single" w:sz="4" w:space="0" w:color="BFBFBF" w:themeColor="background1" w:themeShade="BF"/>
                  </w:tcBorders>
                  <w:shd w:val="clear" w:color="auto" w:fill="E0F1F7" w:themeFill="text2" w:themeFillTint="33"/>
                  <w:vAlign w:val="center"/>
                </w:tcPr>
                <w:p w:rsidR="002A5D84" w:rsidRPr="001778C4" w:rsidRDefault="002A5D84" w:rsidP="00FB19CB">
                  <w:pPr>
                    <w:pStyle w:val="TableBodyText"/>
                    <w:rPr>
                      <w:b/>
                    </w:rPr>
                  </w:pPr>
                  <w:r w:rsidRPr="001778C4">
                    <w:rPr>
                      <w:b/>
                    </w:rPr>
                    <w:t>$153 million</w:t>
                  </w:r>
                </w:p>
              </w:tc>
              <w:tc>
                <w:tcPr>
                  <w:tcW w:w="840" w:type="pct"/>
                  <w:tcBorders>
                    <w:bottom w:val="single" w:sz="4" w:space="0" w:color="BFBFBF" w:themeColor="background1" w:themeShade="BF"/>
                  </w:tcBorders>
                  <w:shd w:val="clear" w:color="auto" w:fill="F2F2F2" w:themeFill="background1" w:themeFillShade="F2"/>
                </w:tcPr>
                <w:p w:rsidR="002A5D84" w:rsidRPr="001778C4" w:rsidRDefault="002A5D84" w:rsidP="00FB19CB">
                  <w:pPr>
                    <w:pStyle w:val="TableBodyText"/>
                    <w:rPr>
                      <w:b/>
                    </w:rPr>
                  </w:pPr>
                  <w:r>
                    <w:rPr>
                      <w:b/>
                    </w:rPr>
                    <w:t>$319</w:t>
                  </w:r>
                </w:p>
              </w:tc>
            </w:tr>
          </w:tbl>
          <w:p w:rsidR="002A5D84" w:rsidRDefault="002A5D84" w:rsidP="00FB19CB">
            <w:pPr>
              <w:pStyle w:val="Box"/>
            </w:pPr>
          </w:p>
        </w:tc>
      </w:tr>
      <w:tr w:rsidR="002A5D84" w:rsidTr="00FB19CB">
        <w:trPr>
          <w:trHeight w:val="642"/>
        </w:trPr>
        <w:tc>
          <w:tcPr>
            <w:tcW w:w="5000" w:type="pct"/>
            <w:tcBorders>
              <w:top w:val="nil"/>
              <w:left w:val="nil"/>
              <w:bottom w:val="nil"/>
              <w:right w:val="nil"/>
            </w:tcBorders>
            <w:shd w:val="clear" w:color="auto" w:fill="auto"/>
          </w:tcPr>
          <w:p w:rsidR="002A5D84" w:rsidRDefault="002A5D84" w:rsidP="00FB19CB">
            <w:pPr>
              <w:pStyle w:val="Note"/>
              <w:rPr>
                <w:i/>
              </w:rPr>
            </w:pPr>
            <w:r w:rsidRPr="008E77FE">
              <w:rPr>
                <w:rStyle w:val="NoteLabel"/>
              </w:rPr>
              <w:t>a</w:t>
            </w:r>
            <w:r>
              <w:t xml:space="preserve"> Based on Commission estimates of zone boundaries. </w:t>
            </w:r>
            <w:r>
              <w:rPr>
                <w:rStyle w:val="NoteLabel"/>
              </w:rPr>
              <w:t>b </w:t>
            </w:r>
            <w:r>
              <w:t>Refers to self</w:t>
            </w:r>
            <w:r>
              <w:noBreakHyphen/>
              <w:t>assessed amount of ZTO claimed by taxpayers, which may exceed the amount actually received.</w:t>
            </w:r>
            <w:r w:rsidDel="001778C4">
              <w:t xml:space="preserve"> </w:t>
            </w:r>
            <w:r>
              <w:rPr>
                <w:rStyle w:val="NoteLabel"/>
              </w:rPr>
              <w:t>c </w:t>
            </w:r>
            <w:r w:rsidRPr="007C7FAF">
              <w:t>Averag</w:t>
            </w:r>
            <w:r>
              <w:t xml:space="preserve">e claim is less than the base rate because some taxpayers did not reside in a special area for the entire financial year. </w:t>
            </w:r>
            <w:r>
              <w:rPr>
                <w:rStyle w:val="NoteLabel"/>
              </w:rPr>
              <w:t>d</w:t>
            </w:r>
            <w:r>
              <w:t> Includes claimants who recorded out</w:t>
            </w:r>
            <w:r>
              <w:noBreakHyphen/>
              <w:t>of</w:t>
            </w:r>
            <w:r>
              <w:noBreakHyphen/>
              <w:t xml:space="preserve">zone addresses, overseas addresses, and postcodes not linked to a geographical area. </w:t>
            </w:r>
            <w:r w:rsidRPr="006C19EE">
              <w:rPr>
                <w:b/>
              </w:rPr>
              <w:t>na</w:t>
            </w:r>
            <w:r w:rsidRPr="006C19EE">
              <w:t xml:space="preserve"> Not available.</w:t>
            </w: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Box"/>
              <w:spacing w:before="0" w:line="120" w:lineRule="exact"/>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3"/>
      </w:pPr>
      <w:r>
        <w:t>Operation of the ZTO</w:t>
      </w:r>
    </w:p>
    <w:p w:rsidR="002A5D84" w:rsidRDefault="002A5D84" w:rsidP="00FB19CB">
      <w:pPr>
        <w:pStyle w:val="BodyText"/>
      </w:pPr>
      <w:r w:rsidRPr="004A2378">
        <w:t xml:space="preserve">As currently configured, the ZTO </w:t>
      </w:r>
      <w:r>
        <w:t xml:space="preserve">is largely ineffective and </w:t>
      </w:r>
      <w:r w:rsidRPr="004A2378">
        <w:t xml:space="preserve">does not deliver on its original objective </w:t>
      </w:r>
      <w:r>
        <w:t>(</w:t>
      </w:r>
      <w:r w:rsidRPr="004A2378">
        <w:t>nor against any others that ha</w:t>
      </w:r>
      <w:r>
        <w:t>ve</w:t>
      </w:r>
      <w:r w:rsidRPr="004A2378">
        <w:t xml:space="preserve"> been ascribed to it</w:t>
      </w:r>
      <w:r>
        <w:t xml:space="preserve">), and the zones are outdated. </w:t>
      </w:r>
    </w:p>
    <w:p w:rsidR="002A5D84" w:rsidRPr="00217D6B" w:rsidRDefault="002A5D84" w:rsidP="00FB19CB">
      <w:pPr>
        <w:pStyle w:val="Heading4"/>
      </w:pPr>
      <w:r>
        <w:t>The measure has little effect</w:t>
      </w:r>
    </w:p>
    <w:p w:rsidR="002A5D84" w:rsidRDefault="002A5D84" w:rsidP="00FB19CB">
      <w:pPr>
        <w:pStyle w:val="BodyText"/>
      </w:pPr>
      <w:r>
        <w:t>Since the last increase</w:t>
      </w:r>
      <w:r w:rsidRPr="00DD7E4E">
        <w:t xml:space="preserve"> in </w:t>
      </w:r>
      <w:r>
        <w:t xml:space="preserve">the level of the ZTO in </w:t>
      </w:r>
      <w:r w:rsidRPr="00DD7E4E">
        <w:t>1993</w:t>
      </w:r>
      <w:r>
        <w:noBreakHyphen/>
        <w:t xml:space="preserve">94, its value has declined markedly in real terms and as a share of </w:t>
      </w:r>
      <w:r w:rsidDel="000C60F7">
        <w:t>after</w:t>
      </w:r>
      <w:r>
        <w:noBreakHyphen/>
        <w:t>tax earnings. Today, for a taxpayer on an average income, the base Zone A offset represents less than 1 per cent of after</w:t>
      </w:r>
      <w:r>
        <w:noBreakHyphen/>
        <w:t>tax income — compared with 3.7 per cent when the ZTO’s predecessor was first introduced in 1945. If the</w:t>
      </w:r>
      <w:r w:rsidDel="00005803">
        <w:t xml:space="preserve"> </w:t>
      </w:r>
      <w:r>
        <w:t>offset had been adjusted to keep pace with inflation, it would be more than double the current base rate of $338. The</w:t>
      </w:r>
      <w:r w:rsidDel="00005803">
        <w:t xml:space="preserve"> </w:t>
      </w:r>
      <w:r>
        <w:t xml:space="preserve">offset available to those living in one of the special areas created in 1982 is more substantial, but its real value has also fallen (figure 4, panel C).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Pr="00176D3F" w:rsidRDefault="002A5D84" w:rsidP="00FB19CB">
            <w:pPr>
              <w:pStyle w:val="FigureTitle"/>
            </w:pPr>
            <w:r w:rsidRPr="00784A05">
              <w:rPr>
                <w:b w:val="0"/>
              </w:rPr>
              <w:lastRenderedPageBreak/>
              <w:t>Figure</w:t>
            </w:r>
            <w:r>
              <w:rPr>
                <w:b w:val="0"/>
              </w:rPr>
              <w:t xml:space="preserve"> 4</w:t>
            </w:r>
            <w:r>
              <w:tab/>
              <w:t>A snapshot of the ZTO</w:t>
            </w:r>
          </w:p>
        </w:tc>
      </w:tr>
      <w:tr w:rsidR="002A5D84" w:rsidTr="00FB19CB">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536"/>
              <w:gridCol w:w="3969"/>
            </w:tblGrid>
            <w:tr w:rsidR="002A5D84" w:rsidRPr="00B1465D" w:rsidTr="00FB19CB">
              <w:trPr>
                <w:trHeight w:val="249"/>
                <w:tblHeader/>
                <w:jc w:val="center"/>
              </w:trPr>
              <w:tc>
                <w:tcPr>
                  <w:tcW w:w="4536" w:type="dxa"/>
                  <w:tcBorders>
                    <w:top w:val="nil"/>
                    <w:bottom w:val="nil"/>
                  </w:tcBorders>
                </w:tcPr>
                <w:p w:rsidR="002A5D84" w:rsidRPr="00961282" w:rsidRDefault="00F03B0D" w:rsidP="00F03B0D">
                  <w:pPr>
                    <w:pStyle w:val="TableColumnHeading"/>
                    <w:numPr>
                      <w:ilvl w:val="0"/>
                      <w:numId w:val="21"/>
                    </w:numPr>
                    <w:jc w:val="center"/>
                  </w:pPr>
                  <w:r>
                    <w:t>The ZTO zones cover more</w:t>
                  </w:r>
                  <w:r w:rsidR="002A5D84" w:rsidRPr="00961282">
                    <w:t xml:space="preserve"> than 3/4 of</w:t>
                  </w:r>
                  <w:r>
                    <w:t xml:space="preserve"> </w:t>
                  </w:r>
                  <w:r>
                    <w:br/>
                  </w:r>
                  <w:r w:rsidR="002A5D84" w:rsidRPr="00961282">
                    <w:t>Australia’s landmass</w:t>
                  </w:r>
                </w:p>
              </w:tc>
              <w:tc>
                <w:tcPr>
                  <w:tcW w:w="3969" w:type="dxa"/>
                  <w:tcBorders>
                    <w:top w:val="nil"/>
                    <w:bottom w:val="nil"/>
                  </w:tcBorders>
                </w:tcPr>
                <w:p w:rsidR="002A5D84" w:rsidRDefault="002A5D84" w:rsidP="00F03B0D">
                  <w:pPr>
                    <w:pStyle w:val="TableColumnHeading"/>
                    <w:numPr>
                      <w:ilvl w:val="0"/>
                      <w:numId w:val="21"/>
                    </w:numPr>
                    <w:jc w:val="center"/>
                  </w:pPr>
                  <w:r>
                    <w:t>Nearly half of claimants reside in large</w:t>
                  </w:r>
                  <w:r w:rsidR="00F03B0D">
                    <w:t xml:space="preserve"> </w:t>
                  </w:r>
                  <w:r w:rsidR="00F03B0D">
                    <w:br/>
                  </w:r>
                  <w:r>
                    <w:t>coastal cities</w:t>
                  </w:r>
                </w:p>
              </w:tc>
            </w:tr>
            <w:tr w:rsidR="002A5D84" w:rsidRPr="00B1465D" w:rsidTr="00FB19CB">
              <w:trPr>
                <w:trHeight w:val="3554"/>
                <w:tblHeader/>
                <w:jc w:val="center"/>
              </w:trPr>
              <w:tc>
                <w:tcPr>
                  <w:tcW w:w="4536" w:type="dxa"/>
                  <w:tcBorders>
                    <w:top w:val="nil"/>
                    <w:bottom w:val="nil"/>
                  </w:tcBorders>
                </w:tcPr>
                <w:p w:rsidR="002A5D84" w:rsidRDefault="002A5D84" w:rsidP="00FB19CB">
                  <w:pPr>
                    <w:pStyle w:val="Figure"/>
                    <w:spacing w:before="60" w:after="60"/>
                    <w:rPr>
                      <w:rFonts w:ascii="Arial" w:hAnsi="Arial" w:cs="Arial"/>
                      <w:sz w:val="18"/>
                      <w:szCs w:val="18"/>
                    </w:rPr>
                  </w:pPr>
                  <w:r w:rsidRPr="009C5FE7">
                    <w:rPr>
                      <w:rFonts w:ascii="Arial" w:hAnsi="Arial" w:cs="Arial"/>
                      <w:noProof/>
                      <w:sz w:val="18"/>
                      <w:szCs w:val="18"/>
                    </w:rPr>
                    <w:drawing>
                      <wp:inline distT="0" distB="0" distL="0" distR="0" wp14:anchorId="3E1D08D9" wp14:editId="7AE94060">
                        <wp:extent cx="2876550" cy="2152650"/>
                        <wp:effectExtent l="0" t="0" r="0" b="0"/>
                        <wp:docPr id="17" name="Picture 17" descr="This map of Australia shows the areas where taxpayers are eligible to claim the zone tax offset. All of the Northern Territory, and much of northern Queensland and northern Western Australia are either ordinary or special Zone A. Zone B covers central Queensland, western New South Wales, much of South Australia and parts of southern Western Australia." title="The ZTO zones cover more than 3/4 of Australia's land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6550" cy="2152650"/>
                                </a:xfrm>
                                <a:prstGeom prst="rect">
                                  <a:avLst/>
                                </a:prstGeom>
                                <a:noFill/>
                                <a:ln>
                                  <a:noFill/>
                                </a:ln>
                              </pic:spPr>
                            </pic:pic>
                          </a:graphicData>
                        </a:graphic>
                      </wp:inline>
                    </w:drawing>
                  </w:r>
                </w:p>
              </w:tc>
              <w:tc>
                <w:tcPr>
                  <w:tcW w:w="3969" w:type="dxa"/>
                  <w:tcBorders>
                    <w:top w:val="nil"/>
                    <w:bottom w:val="nil"/>
                  </w:tcBorders>
                </w:tcPr>
                <w:p w:rsidR="002A5D84" w:rsidRDefault="002A5D84" w:rsidP="00FB19CB">
                  <w:pPr>
                    <w:pStyle w:val="Figure"/>
                    <w:spacing w:before="60" w:after="60"/>
                    <w:rPr>
                      <w:rFonts w:ascii="Arial" w:hAnsi="Arial" w:cs="Arial"/>
                      <w:sz w:val="18"/>
                      <w:szCs w:val="18"/>
                    </w:rPr>
                  </w:pPr>
                  <w:r w:rsidRPr="009C5FE7">
                    <w:rPr>
                      <w:rFonts w:ascii="Arial" w:hAnsi="Arial" w:cs="Arial"/>
                      <w:noProof/>
                      <w:sz w:val="18"/>
                      <w:szCs w:val="18"/>
                    </w:rPr>
                    <w:drawing>
                      <wp:inline distT="0" distB="0" distL="0" distR="0" wp14:anchorId="61579105" wp14:editId="77634740">
                        <wp:extent cx="2506345" cy="2091055"/>
                        <wp:effectExtent l="0" t="0" r="0" b="0"/>
                        <wp:docPr id="8" name="Picture 8" descr="This figure shows how many taxpayers claimed the zone tax offset in each state. Close to 300000 claimants lived in Queensland, and more than half of Queensland claimants lived in either Cairns, Townsville or Mackay." title="Nearly half of claimants reside in large coastal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6345" cy="2091055"/>
                                </a:xfrm>
                                <a:prstGeom prst="rect">
                                  <a:avLst/>
                                </a:prstGeom>
                                <a:noFill/>
                                <a:ln>
                                  <a:noFill/>
                                </a:ln>
                              </pic:spPr>
                            </pic:pic>
                          </a:graphicData>
                        </a:graphic>
                      </wp:inline>
                    </w:drawing>
                  </w:r>
                </w:p>
              </w:tc>
            </w:tr>
            <w:tr w:rsidR="002A5D84" w:rsidRPr="00B1465D" w:rsidTr="00FB19CB">
              <w:trPr>
                <w:trHeight w:val="248"/>
                <w:tblHeader/>
                <w:jc w:val="center"/>
              </w:trPr>
              <w:tc>
                <w:tcPr>
                  <w:tcW w:w="4536" w:type="dxa"/>
                  <w:tcBorders>
                    <w:top w:val="nil"/>
                    <w:bottom w:val="nil"/>
                  </w:tcBorders>
                </w:tcPr>
                <w:p w:rsidR="002A5D84" w:rsidRPr="00D369AF" w:rsidRDefault="002A5D84" w:rsidP="002A5D84">
                  <w:pPr>
                    <w:pStyle w:val="TableColumnHeading"/>
                    <w:numPr>
                      <w:ilvl w:val="0"/>
                      <w:numId w:val="21"/>
                    </w:numPr>
                    <w:jc w:val="center"/>
                  </w:pPr>
                  <w:r w:rsidRPr="00D369AF">
                    <w:t>The ZTO has fallen significantly in real value</w:t>
                  </w:r>
                  <w:r>
                    <w:t xml:space="preserve"> … </w:t>
                  </w:r>
                </w:p>
              </w:tc>
              <w:tc>
                <w:tcPr>
                  <w:tcW w:w="3969" w:type="dxa"/>
                  <w:tcBorders>
                    <w:top w:val="nil"/>
                    <w:bottom w:val="nil"/>
                  </w:tcBorders>
                </w:tcPr>
                <w:p w:rsidR="002A5D84" w:rsidRPr="00D369AF" w:rsidRDefault="002A5D84" w:rsidP="002A5D84">
                  <w:pPr>
                    <w:pStyle w:val="TableColumnHeading"/>
                    <w:numPr>
                      <w:ilvl w:val="0"/>
                      <w:numId w:val="21"/>
                    </w:numPr>
                    <w:jc w:val="center"/>
                  </w:pPr>
                  <w:r>
                    <w:t xml:space="preserve">… and is a small share of income for </w:t>
                  </w:r>
                  <w:r w:rsidR="00F03B0D">
                    <w:br/>
                  </w:r>
                  <w:r>
                    <w:t>most claimants</w:t>
                  </w:r>
                </w:p>
              </w:tc>
            </w:tr>
            <w:tr w:rsidR="002A5D84" w:rsidRPr="00B1465D" w:rsidTr="00FB19CB">
              <w:trPr>
                <w:trHeight w:val="2822"/>
                <w:tblHeader/>
                <w:jc w:val="center"/>
              </w:trPr>
              <w:tc>
                <w:tcPr>
                  <w:tcW w:w="4536" w:type="dxa"/>
                  <w:tcBorders>
                    <w:top w:val="nil"/>
                    <w:bottom w:val="nil"/>
                  </w:tcBorders>
                </w:tcPr>
                <w:p w:rsidR="002A5D84" w:rsidRDefault="003E6FE8" w:rsidP="00FB19CB">
                  <w:pPr>
                    <w:pStyle w:val="Figure"/>
                    <w:spacing w:before="60" w:after="60"/>
                    <w:rPr>
                      <w:rFonts w:ascii="Arial" w:hAnsi="Arial" w:cs="Arial"/>
                      <w:sz w:val="18"/>
                      <w:szCs w:val="18"/>
                    </w:rPr>
                  </w:pPr>
                  <w:r>
                    <w:rPr>
                      <w:rFonts w:ascii="Arial" w:hAnsi="Arial" w:cs="Arial"/>
                      <w:noProof/>
                      <w:sz w:val="18"/>
                      <w:szCs w:val="18"/>
                    </w:rPr>
                    <w:drawing>
                      <wp:inline distT="0" distB="0" distL="0" distR="0" wp14:anchorId="28982C10" wp14:editId="70DF34FB">
                        <wp:extent cx="2514600" cy="2278380"/>
                        <wp:effectExtent l="0" t="0" r="0" b="0"/>
                        <wp:docPr id="241" name="Picture 241" descr="This figure shows the real value of the zone tax offset for special areas, Zone A and Zone B between 1975-76 and 2018 19. The value of each concession has gradually declined since 1994." title="The ZTO has fallen significantly in real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14600" cy="2278380"/>
                                </a:xfrm>
                                <a:prstGeom prst="rect">
                                  <a:avLst/>
                                </a:prstGeom>
                                <a:noFill/>
                                <a:ln>
                                  <a:noFill/>
                                </a:ln>
                              </pic:spPr>
                            </pic:pic>
                          </a:graphicData>
                        </a:graphic>
                      </wp:inline>
                    </w:drawing>
                  </w:r>
                </w:p>
              </w:tc>
              <w:tc>
                <w:tcPr>
                  <w:tcW w:w="3969" w:type="dxa"/>
                  <w:tcBorders>
                    <w:top w:val="nil"/>
                    <w:bottom w:val="nil"/>
                  </w:tcBorders>
                </w:tcPr>
                <w:p w:rsidR="002A5D84" w:rsidRDefault="002A5D84" w:rsidP="00FB19CB">
                  <w:pPr>
                    <w:pStyle w:val="Figure"/>
                    <w:spacing w:before="60" w:after="60"/>
                    <w:rPr>
                      <w:rFonts w:ascii="Arial" w:hAnsi="Arial" w:cs="Arial"/>
                      <w:sz w:val="18"/>
                      <w:szCs w:val="18"/>
                    </w:rPr>
                  </w:pPr>
                  <w:r w:rsidRPr="00D41379">
                    <w:rPr>
                      <w:rFonts w:ascii="Arial" w:hAnsi="Arial" w:cs="Arial"/>
                      <w:noProof/>
                      <w:sz w:val="18"/>
                      <w:szCs w:val="18"/>
                    </w:rPr>
                    <w:drawing>
                      <wp:inline distT="0" distB="0" distL="0" distR="0" wp14:anchorId="4F7C5E0E" wp14:editId="71311E3E">
                        <wp:extent cx="2514600" cy="2155190"/>
                        <wp:effectExtent l="0" t="0" r="0" b="0"/>
                        <wp:docPr id="13" name="Picture 13" descr="This shows the zone tax offset as a share of after tax income for claimants. For 82 per cent of claimants, the amount of zone tax offset claimed is less than 1 per cent of income. " title="and is a small share of income for most claim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4600" cy="2155190"/>
                                </a:xfrm>
                                <a:prstGeom prst="rect">
                                  <a:avLst/>
                                </a:prstGeom>
                                <a:noFill/>
                                <a:ln>
                                  <a:noFill/>
                                </a:ln>
                              </pic:spPr>
                            </pic:pic>
                          </a:graphicData>
                        </a:graphic>
                      </wp:inline>
                    </w:drawing>
                  </w:r>
                  <w:r w:rsidRPr="004332A9" w:rsidDel="00FD600C">
                    <w:rPr>
                      <w:rFonts w:ascii="Arial" w:hAnsi="Arial" w:cs="Arial"/>
                      <w:noProof/>
                      <w:sz w:val="18"/>
                      <w:szCs w:val="18"/>
                    </w:rPr>
                    <w:t xml:space="preserve"> </w:t>
                  </w:r>
                </w:p>
              </w:tc>
            </w:tr>
            <w:tr w:rsidR="002A5D84" w:rsidRPr="00B1465D" w:rsidTr="00FB19CB">
              <w:trPr>
                <w:trHeight w:val="248"/>
                <w:tblHeader/>
                <w:jc w:val="center"/>
              </w:trPr>
              <w:tc>
                <w:tcPr>
                  <w:tcW w:w="0" w:type="auto"/>
                  <w:gridSpan w:val="2"/>
                  <w:tcBorders>
                    <w:top w:val="nil"/>
                    <w:bottom w:val="nil"/>
                  </w:tcBorders>
                </w:tcPr>
                <w:p w:rsidR="002A5D84" w:rsidRPr="009C3276" w:rsidRDefault="002A5D84" w:rsidP="002A5D84">
                  <w:pPr>
                    <w:pStyle w:val="Figure"/>
                    <w:numPr>
                      <w:ilvl w:val="0"/>
                      <w:numId w:val="21"/>
                    </w:numPr>
                    <w:spacing w:before="60" w:after="60"/>
                    <w:rPr>
                      <w:rFonts w:ascii="Arial" w:hAnsi="Arial" w:cs="Arial"/>
                      <w:i/>
                      <w:sz w:val="18"/>
                      <w:szCs w:val="18"/>
                    </w:rPr>
                  </w:pPr>
                  <w:r w:rsidRPr="009C3276">
                    <w:rPr>
                      <w:rFonts w:ascii="Arial" w:hAnsi="Arial" w:cs="Arial"/>
                      <w:i/>
                      <w:sz w:val="18"/>
                      <w:szCs w:val="18"/>
                    </w:rPr>
                    <w:t>Median wages</w:t>
                  </w:r>
                  <w:r>
                    <w:rPr>
                      <w:rFonts w:ascii="Arial" w:hAnsi="Arial" w:cs="Arial"/>
                      <w:i/>
                      <w:sz w:val="18"/>
                      <w:szCs w:val="18"/>
                    </w:rPr>
                    <w:t xml:space="preserve"> and salaries</w:t>
                  </w:r>
                  <w:r w:rsidRPr="009C3276">
                    <w:rPr>
                      <w:rFonts w:ascii="Arial" w:hAnsi="Arial" w:cs="Arial"/>
                      <w:i/>
                      <w:sz w:val="18"/>
                      <w:szCs w:val="18"/>
                    </w:rPr>
                    <w:t xml:space="preserve"> are higher in the zones for many occupations</w:t>
                  </w:r>
                </w:p>
              </w:tc>
            </w:tr>
            <w:tr w:rsidR="002A5D84" w:rsidRPr="00B1465D" w:rsidTr="00FB19CB">
              <w:trPr>
                <w:trHeight w:val="2980"/>
                <w:tblHeader/>
                <w:jc w:val="center"/>
              </w:trPr>
              <w:tc>
                <w:tcPr>
                  <w:tcW w:w="0" w:type="auto"/>
                  <w:gridSpan w:val="2"/>
                  <w:tcBorders>
                    <w:top w:val="nil"/>
                    <w:bottom w:val="nil"/>
                  </w:tcBorders>
                </w:tcPr>
                <w:p w:rsidR="002A5D84" w:rsidRPr="002A5AA5" w:rsidRDefault="002A5D84" w:rsidP="00FB19CB">
                  <w:pPr>
                    <w:pStyle w:val="Figure"/>
                    <w:spacing w:before="60" w:after="60"/>
                  </w:pPr>
                  <w:r w:rsidRPr="009C5FE7">
                    <w:rPr>
                      <w:noProof/>
                    </w:rPr>
                    <w:drawing>
                      <wp:inline distT="0" distB="0" distL="0" distR="0" wp14:anchorId="04622497" wp14:editId="44227645">
                        <wp:extent cx="5041900" cy="2120900"/>
                        <wp:effectExtent l="0" t="0" r="0" b="0"/>
                        <wp:docPr id="20" name="Picture 20" descr="This figure shows the difference in median salaries and wages for employees living in the zone tax offset zones, compared to those living outside of the zones, for certain occupations. Median salaries and wages are 6 to 8 per cent higher in the zones for some lower skilled positions including salespersons, cleaners and laundry workers. Median salaries and wages in the zones are more than 10 per cent higher for health and education professionals." title="Median wages and salaries are higher in the zones for many occup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1900" cy="2120900"/>
                                </a:xfrm>
                                <a:prstGeom prst="rect">
                                  <a:avLst/>
                                </a:prstGeom>
                                <a:noFill/>
                                <a:ln>
                                  <a:noFill/>
                                </a:ln>
                              </pic:spPr>
                            </pic:pic>
                          </a:graphicData>
                        </a:graphic>
                      </wp:inline>
                    </w:drawing>
                  </w:r>
                </w:p>
              </w:tc>
            </w:tr>
          </w:tbl>
          <w:p w:rsidR="002A5D84" w:rsidRDefault="002A5D84" w:rsidP="00FB19CB">
            <w:pPr>
              <w:pStyle w:val="Figure"/>
            </w:pPr>
          </w:p>
        </w:tc>
      </w:tr>
      <w:tr w:rsidR="002A5D84" w:rsidTr="00FB19CB">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Tr="00FB19CB">
        <w:tc>
          <w:tcPr>
            <w:tcW w:w="5000" w:type="pct"/>
            <w:tcBorders>
              <w:top w:val="nil"/>
              <w:left w:val="nil"/>
              <w:bottom w:val="nil"/>
              <w:right w:val="nil"/>
            </w:tcBorders>
            <w:shd w:val="clear" w:color="auto" w:fill="auto"/>
          </w:tcPr>
          <w:p w:rsidR="002A5D84" w:rsidRDefault="002A5D84" w:rsidP="00FB19CB">
            <w:pPr>
              <w:pStyle w:val="BoxSpaceBelow"/>
            </w:pPr>
          </w:p>
        </w:tc>
      </w:tr>
    </w:tbl>
    <w:p w:rsidR="002A5D84" w:rsidRDefault="002A5D84" w:rsidP="00FB19CB">
      <w:pPr>
        <w:pStyle w:val="BodyText"/>
      </w:pPr>
      <w:r>
        <w:lastRenderedPageBreak/>
        <w:t>A near</w:t>
      </w:r>
      <w:r>
        <w:noBreakHyphen/>
        <w:t>universal view in submissions was that the ZTO rates are inadequate to compensate for the disadvantages of remote living or to encourage people to move to the zones from elsewhere in Australia. The Commission likewise found no evidence to suggest that the ZTO (at its current rate) affects where people decide to live and work.</w:t>
      </w:r>
    </w:p>
    <w:p w:rsidR="002A5D84" w:rsidRDefault="002A5D84" w:rsidP="00FB19CB">
      <w:pPr>
        <w:pStyle w:val="BodyText"/>
      </w:pPr>
      <w:r>
        <w:t>Further, it was clear from our engagement with remote communities (and a review of the literature) that decisions to move to and settle in a remote environment are not only about dollars. Many people decide where to live based on liveability (including access to services) and lifestyle. These factors cannot be addressed by a tax concession alone.</w:t>
      </w:r>
    </w:p>
    <w:p w:rsidR="002A5D84" w:rsidRPr="00935809" w:rsidRDefault="002A5D84" w:rsidP="00FB19CB">
      <w:pPr>
        <w:pStyle w:val="Heading4"/>
      </w:pPr>
      <w:r>
        <w:t>The zones are outdated</w:t>
      </w:r>
    </w:p>
    <w:p w:rsidR="002A5D84" w:rsidRDefault="002A5D84" w:rsidP="00FB19CB">
      <w:pPr>
        <w:pStyle w:val="BodyText"/>
      </w:pPr>
      <w:r>
        <w:t xml:space="preserve">Against a backdrop of </w:t>
      </w:r>
      <w:r w:rsidRPr="0013052D">
        <w:t xml:space="preserve">significant </w:t>
      </w:r>
      <w:r>
        <w:t>evolution in remote Australia, s</w:t>
      </w:r>
      <w:r w:rsidRPr="00A626E2">
        <w:t xml:space="preserve">ome areas covered by the ZTO are clearly no longer ‘isolated’. In particular, </w:t>
      </w:r>
      <w:r>
        <w:t xml:space="preserve">as noted above, </w:t>
      </w:r>
      <w:r w:rsidRPr="00A626E2">
        <w:t xml:space="preserve">coastal areas </w:t>
      </w:r>
      <w:r>
        <w:t xml:space="preserve">like Townsville, </w:t>
      </w:r>
      <w:r w:rsidRPr="00A626E2">
        <w:t xml:space="preserve">Cairns and Darwin have developed considerably since the 1940s. </w:t>
      </w:r>
    </w:p>
    <w:p w:rsidR="002A5D84" w:rsidRDefault="002A5D84" w:rsidP="00FB19CB">
      <w:pPr>
        <w:pStyle w:val="BodyText"/>
      </w:pPr>
      <w:r>
        <w:t>These</w:t>
      </w:r>
      <w:r w:rsidRPr="00A626E2">
        <w:t xml:space="preserve"> places, along</w:t>
      </w:r>
      <w:r>
        <w:t xml:space="preserve"> with</w:t>
      </w:r>
      <w:r w:rsidRPr="00A626E2">
        <w:t xml:space="preserve"> Mackay</w:t>
      </w:r>
      <w:r>
        <w:t>,</w:t>
      </w:r>
      <w:r w:rsidRPr="00A626E2">
        <w:t xml:space="preserve"> are </w:t>
      </w:r>
      <w:r>
        <w:t>regional</w:t>
      </w:r>
      <w:r w:rsidRPr="00A626E2">
        <w:t xml:space="preserve"> cities in their own right, with easy access to key services</w:t>
      </w:r>
      <w:r>
        <w:t xml:space="preserve">, </w:t>
      </w:r>
      <w:r w:rsidRPr="00A626E2">
        <w:t>well</w:t>
      </w:r>
      <w:r w:rsidRPr="00A626E2">
        <w:noBreakHyphen/>
        <w:t xml:space="preserve">developed retail markets, and </w:t>
      </w:r>
      <w:r>
        <w:t xml:space="preserve">good transport connections </w:t>
      </w:r>
      <w:r w:rsidRPr="00A626E2">
        <w:t>to other capital cities.</w:t>
      </w:r>
      <w:r w:rsidRPr="00A626E2" w:rsidDel="00906E17">
        <w:t xml:space="preserve"> </w:t>
      </w:r>
      <w:r>
        <w:t>A more contemporary measure of remoteness</w:t>
      </w:r>
      <w:r w:rsidDel="00005803">
        <w:t xml:space="preserve"> </w:t>
      </w:r>
      <w:r>
        <w:t xml:space="preserve">(the ABS remoteness classification) </w:t>
      </w:r>
      <w:r w:rsidRPr="00A626E2">
        <w:t>define</w:t>
      </w:r>
      <w:r>
        <w:t>s</w:t>
      </w:r>
      <w:r w:rsidRPr="00A626E2">
        <w:t xml:space="preserve"> much of the north</w:t>
      </w:r>
      <w:r w:rsidRPr="00A626E2">
        <w:noBreakHyphen/>
        <w:t>east coast of Queensland</w:t>
      </w:r>
      <w:r>
        <w:t xml:space="preserve">, as well as Darwin, as </w:t>
      </w:r>
      <w:r w:rsidRPr="008836FB">
        <w:rPr>
          <w:i/>
        </w:rPr>
        <w:t>outer regional</w:t>
      </w:r>
      <w:r>
        <w:t xml:space="preserve">, and not </w:t>
      </w:r>
      <w:r w:rsidRPr="008836FB">
        <w:rPr>
          <w:i/>
        </w:rPr>
        <w:t>remote</w:t>
      </w:r>
      <w:r>
        <w:t xml:space="preserve"> or </w:t>
      </w:r>
      <w:r w:rsidRPr="008836FB">
        <w:rPr>
          <w:i/>
        </w:rPr>
        <w:t>very remote</w:t>
      </w:r>
      <w:r>
        <w:t>.</w:t>
      </w:r>
    </w:p>
    <w:p w:rsidR="002A5D84" w:rsidRPr="00915AD1" w:rsidRDefault="002A5D84" w:rsidP="00FB19CB">
      <w:pPr>
        <w:pStyle w:val="BodyText"/>
        <w:keepNext/>
      </w:pPr>
      <w:r>
        <w:t>Other anomalies in the current boundaries were brought to the Commission’s attention. For example, one participant</w:t>
      </w:r>
      <w:r w:rsidRPr="00915AD1">
        <w:t xml:space="preserve"> observed that towns with vastly different circumstances are eligible for the same ZTO </w:t>
      </w:r>
      <w:r>
        <w:t>rate</w:t>
      </w:r>
      <w:r w:rsidRPr="00915AD1">
        <w:t xml:space="preserve">, commenting that the Queensland part of Zone A includes: </w:t>
      </w:r>
    </w:p>
    <w:p w:rsidR="002A5D84" w:rsidRDefault="002A5D84" w:rsidP="00FB19CB">
      <w:pPr>
        <w:pStyle w:val="Quote"/>
      </w:pPr>
      <w:r>
        <w:t>… Camooweal, Cloncurry and Mount Isa – the infrastructure, business, travel and education opportunities along with cost of living in these three towns are vastly different but all receive the same Zone Tax Offset. Mount Isa is a regional town with a population close to 22,000, a regional airport with commercial flights, several schools (both primary and secondary) and numerous businesses. Cloncurry has a population of approximately 2719. Camooweal, 200kms away from Mount Isa, has a population of 208 and is a significantly smaller town, with limited services or infrastructure in or surrounding the town. Yet these towns all fall under the same zone for the ZTO. (Isolated Children’s Parents’ Association of Australia, sub. 74, pp. 2–3)</w:t>
      </w:r>
    </w:p>
    <w:p w:rsidR="002A5D84" w:rsidRPr="007A633A" w:rsidRDefault="002A5D84" w:rsidP="00FB19CB">
      <w:pPr>
        <w:pStyle w:val="BodyText"/>
      </w:pPr>
      <w:r w:rsidRPr="007A633A">
        <w:t xml:space="preserve">Similarly, some </w:t>
      </w:r>
      <w:r w:rsidRPr="008836FB">
        <w:rPr>
          <w:i/>
        </w:rPr>
        <w:t>very remote</w:t>
      </w:r>
      <w:r w:rsidRPr="007A633A">
        <w:t xml:space="preserve"> areas (based on the ABS </w:t>
      </w:r>
      <w:r>
        <w:t>classification</w:t>
      </w:r>
      <w:r w:rsidRPr="007A633A">
        <w:t xml:space="preserve">) receive a small </w:t>
      </w:r>
      <w:r>
        <w:t>offset</w:t>
      </w:r>
      <w:r w:rsidRPr="007A633A">
        <w:t xml:space="preserve"> as part of </w:t>
      </w:r>
      <w:r>
        <w:t xml:space="preserve">ordinary </w:t>
      </w:r>
      <w:r w:rsidRPr="007A633A">
        <w:t>Zone B</w:t>
      </w:r>
      <w:r>
        <w:t>, or lie outside the zones</w:t>
      </w:r>
      <w:r w:rsidRPr="007A633A">
        <w:t xml:space="preserve">. For example, Wilcannia (in New South Wales), which is classified as </w:t>
      </w:r>
      <w:r w:rsidRPr="008836FB">
        <w:rPr>
          <w:i/>
        </w:rPr>
        <w:t>very remote</w:t>
      </w:r>
      <w:r w:rsidRPr="007A633A">
        <w:t xml:space="preserve"> by the ABS, is eligible for the same </w:t>
      </w:r>
      <w:r>
        <w:t>tax offset</w:t>
      </w:r>
      <w:r w:rsidRPr="007A633A">
        <w:t xml:space="preserve"> as Townsville, which is classified as </w:t>
      </w:r>
      <w:r w:rsidRPr="008836FB">
        <w:rPr>
          <w:i/>
        </w:rPr>
        <w:t>outer regional</w:t>
      </w:r>
      <w:r w:rsidRPr="007A633A">
        <w:t xml:space="preserve"> (figure </w:t>
      </w:r>
      <w:r>
        <w:t>5</w:t>
      </w:r>
      <w:r w:rsidRPr="007A633A">
        <w:t>).</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Pr>
      <w:tblGrid>
        <w:gridCol w:w="8789"/>
      </w:tblGrid>
      <w:tr w:rsidR="002A5D84" w:rsidTr="00FB19CB">
        <w:trPr>
          <w:trHeight w:val="477"/>
          <w:tblHeader/>
        </w:trPr>
        <w:tc>
          <w:tcPr>
            <w:tcW w:w="5000" w:type="pct"/>
            <w:tcBorders>
              <w:top w:val="single" w:sz="6" w:space="0" w:color="78A22F"/>
              <w:left w:val="nil"/>
              <w:bottom w:val="nil"/>
              <w:right w:val="nil"/>
            </w:tcBorders>
            <w:hideMark/>
          </w:tcPr>
          <w:p w:rsidR="002A5D84" w:rsidRDefault="002A5D84" w:rsidP="00FB19CB">
            <w:pPr>
              <w:pStyle w:val="FigureTitle"/>
            </w:pPr>
            <w:r>
              <w:rPr>
                <w:b w:val="0"/>
              </w:rPr>
              <w:t>Figure 5</w:t>
            </w:r>
            <w:r>
              <w:tab/>
              <w:t>ABS remoteness areas</w:t>
            </w:r>
            <w:r w:rsidRPr="008836FB">
              <w:rPr>
                <w:rStyle w:val="NoteLabel"/>
                <w:b/>
              </w:rPr>
              <w:t>a</w:t>
            </w:r>
            <w:r w:rsidRPr="00D6132D">
              <w:rPr>
                <w:rStyle w:val="NoteLabel"/>
                <w:b/>
              </w:rPr>
              <w:t>,</w:t>
            </w:r>
            <w:r w:rsidRPr="00D6132D" w:rsidDel="008836FB">
              <w:rPr>
                <w:rStyle w:val="NoteLabel"/>
                <w:b/>
              </w:rPr>
              <w:t>b</w:t>
            </w:r>
          </w:p>
          <w:p w:rsidR="002A5D84" w:rsidRDefault="002A5D84" w:rsidP="00FB19CB">
            <w:pPr>
              <w:pStyle w:val="Subtitle"/>
            </w:pPr>
            <w:r>
              <w:t xml:space="preserve">Based on the 2016 </w:t>
            </w:r>
            <w:r w:rsidR="00901AB4">
              <w:t>census</w:t>
            </w:r>
            <w:r>
              <w:t xml:space="preserve"> </w:t>
            </w:r>
          </w:p>
        </w:tc>
      </w:tr>
      <w:tr w:rsidR="002A5D84" w:rsidTr="00FB19CB">
        <w:trPr>
          <w:trHeight w:val="6101"/>
          <w:hidden w:val="0"/>
        </w:trPr>
        <w:tc>
          <w:tcPr>
            <w:tcW w:w="5000" w:type="pct"/>
            <w:tcBorders>
              <w:top w:val="nil"/>
              <w:left w:val="nil"/>
              <w:bottom w:val="nil"/>
              <w:right w:val="nil"/>
            </w:tcBorders>
            <w:tcMar>
              <w:top w:w="28" w:type="dxa"/>
              <w:left w:w="142" w:type="dxa"/>
              <w:bottom w:w="28" w:type="dxa"/>
              <w:right w:w="142" w:type="dxa"/>
            </w:tcMar>
            <w:hideMark/>
          </w:tcPr>
          <w:p w:rsidR="002A5D84" w:rsidRDefault="002A5D84" w:rsidP="00FB19CB">
            <w:pPr>
              <w:pStyle w:val="Figure"/>
            </w:pPr>
            <w:r w:rsidRPr="00617D53">
              <w:rPr>
                <w:rStyle w:val="CommentReference"/>
                <w:b w:val="0"/>
                <w:noProof/>
                <w:vanish w:val="0"/>
                <w:color w:val="auto"/>
                <w:sz w:val="24"/>
              </w:rPr>
              <w:drawing>
                <wp:inline distT="0" distB="0" distL="0" distR="0" wp14:anchorId="791FFE7E" wp14:editId="6D7141DE">
                  <wp:extent cx="5418455" cy="4038600"/>
                  <wp:effectExtent l="0" t="0" r="0" b="0"/>
                  <wp:docPr id="16" name="Picture 16" descr="This map of Australia shows the Australian Bureau of Statistics’ remoteness areas. Large parts of inland Australia are defined as ‘Very Remote Australia’. The map also shows the locations that the Commission visited during the course of the study, which are listed in Appendix A." title="ABS remoteness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403" b="6424"/>
                          <a:stretch/>
                        </pic:blipFill>
                        <pic:spPr bwMode="auto">
                          <a:xfrm>
                            <a:off x="0" y="0"/>
                            <a:ext cx="5418455" cy="4038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A5D84" w:rsidTr="00FB19CB">
        <w:trPr>
          <w:trHeight w:val="193"/>
        </w:trPr>
        <w:tc>
          <w:tcPr>
            <w:tcW w:w="5000" w:type="pct"/>
            <w:tcBorders>
              <w:top w:val="nil"/>
              <w:left w:val="nil"/>
              <w:bottom w:val="nil"/>
              <w:right w:val="nil"/>
            </w:tcBorders>
            <w:hideMark/>
          </w:tcPr>
          <w:p w:rsidR="002A5D84" w:rsidRDefault="002A5D84" w:rsidP="00FB19CB">
            <w:pPr>
              <w:pStyle w:val="Note"/>
              <w:keepNext/>
            </w:pPr>
            <w:r>
              <w:rPr>
                <w:rStyle w:val="NoteLabel"/>
              </w:rPr>
              <w:t>a </w:t>
            </w:r>
            <w:r>
              <w:t>The</w:t>
            </w:r>
            <w:r w:rsidDel="00D6132D">
              <w:t xml:space="preserve"> </w:t>
            </w:r>
            <w:r>
              <w:t>settlements marked on the map are the places where the Commission held consultative visits. Note that, although not visible due to the scale of the map, Broken Hill, Darwin and Kalgoorlie</w:t>
            </w:r>
            <w:r>
              <w:noBreakHyphen/>
              <w:t xml:space="preserve">Boulder are classified as </w:t>
            </w:r>
            <w:r w:rsidRPr="007040F4">
              <w:rPr>
                <w:i/>
              </w:rPr>
              <w:t>outer regional</w:t>
            </w:r>
            <w:r>
              <w:t xml:space="preserve">; Port Hedland, Roxby Downs and Mt Isa are each classified as </w:t>
            </w:r>
            <w:r w:rsidRPr="007040F4">
              <w:rPr>
                <w:i/>
              </w:rPr>
              <w:t>remote</w:t>
            </w:r>
            <w:r>
              <w:t xml:space="preserve">. </w:t>
            </w:r>
            <w:r>
              <w:rPr>
                <w:rStyle w:val="NoteLabel"/>
              </w:rPr>
              <w:t>b</w:t>
            </w:r>
            <w:r>
              <w:t> </w:t>
            </w:r>
            <w:r w:rsidRPr="007040F4">
              <w:rPr>
                <w:i/>
              </w:rPr>
              <w:t>Major cities</w:t>
            </w:r>
            <w:r>
              <w:t xml:space="preserve"> include Sydney, Melbourne, Brisbane, Perth, Adelaide, Canberra and Newcastle.</w:t>
            </w:r>
          </w:p>
        </w:tc>
      </w:tr>
      <w:tr w:rsidR="002A5D84" w:rsidTr="00FB19CB">
        <w:trPr>
          <w:trHeight w:val="45"/>
        </w:trPr>
        <w:tc>
          <w:tcPr>
            <w:tcW w:w="5000" w:type="pct"/>
            <w:tcBorders>
              <w:top w:val="nil"/>
              <w:left w:val="nil"/>
              <w:bottom w:val="single" w:sz="6" w:space="0" w:color="78A22F"/>
              <w:right w:val="nil"/>
            </w:tcBorders>
          </w:tcPr>
          <w:p w:rsidR="002A5D84" w:rsidRDefault="002A5D84" w:rsidP="00FB19CB">
            <w:pPr>
              <w:pStyle w:val="Figurespace"/>
            </w:pPr>
          </w:p>
        </w:tc>
      </w:tr>
      <w:tr w:rsidR="002A5D84" w:rsidTr="00FB19CB">
        <w:trPr>
          <w:trHeight w:val="41"/>
        </w:trPr>
        <w:tc>
          <w:tcPr>
            <w:tcW w:w="5000" w:type="pct"/>
            <w:tcBorders>
              <w:top w:val="single" w:sz="6" w:space="0" w:color="78A22F"/>
              <w:left w:val="nil"/>
              <w:bottom w:val="nil"/>
              <w:right w:val="nil"/>
            </w:tcBorders>
            <w:hideMark/>
          </w:tcPr>
          <w:p w:rsidR="002A5D84" w:rsidRDefault="002A5D84" w:rsidP="00FB19CB">
            <w:pPr>
              <w:pStyle w:val="BoxSpaceBelow"/>
              <w:keepNext/>
            </w:pPr>
          </w:p>
        </w:tc>
      </w:tr>
    </w:tbl>
    <w:p w:rsidR="002A5D84" w:rsidRPr="003A323D" w:rsidRDefault="002A5D84" w:rsidP="00FB19CB">
      <w:pPr>
        <w:pStyle w:val="Heading3"/>
      </w:pPr>
      <w:r w:rsidRPr="00C7728B">
        <w:t xml:space="preserve">Is there a role for </w:t>
      </w:r>
      <w:r>
        <w:t>the ZTO</w:t>
      </w:r>
      <w:r w:rsidRPr="00C7728B">
        <w:t xml:space="preserve"> in contemporary Australia?</w:t>
      </w:r>
    </w:p>
    <w:p w:rsidR="002A5D84" w:rsidRDefault="002A5D84" w:rsidP="00FB19CB">
      <w:pPr>
        <w:pStyle w:val="BodyText"/>
      </w:pPr>
      <w:r>
        <w:t xml:space="preserve">While the flaws in the ZTO mean that at the very least it should not continue in its current form, the larger question is whether a ZTO is warranted at all. </w:t>
      </w:r>
    </w:p>
    <w:p w:rsidR="002A5D84" w:rsidRPr="00F17E16" w:rsidRDefault="002A5D84" w:rsidP="00FB19CB">
      <w:pPr>
        <w:pStyle w:val="BodyText"/>
      </w:pPr>
      <w:r w:rsidRPr="006F0B4E">
        <w:t xml:space="preserve">The rationale for the </w:t>
      </w:r>
      <w:r>
        <w:t>ZTO</w:t>
      </w:r>
      <w:r w:rsidRPr="005F4D03">
        <w:t xml:space="preserve"> </w:t>
      </w:r>
      <w:r w:rsidRPr="006F0B4E">
        <w:t>has shifted over time. Originally</w:t>
      </w:r>
      <w:r>
        <w:t>,</w:t>
      </w:r>
      <w:r w:rsidRPr="006F0B4E">
        <w:t xml:space="preserve"> </w:t>
      </w:r>
      <w:r>
        <w:t>the concession was</w:t>
      </w:r>
      <w:r w:rsidRPr="006F0B4E">
        <w:t xml:space="preserve"> designed to reduce income tax paid on the higher wages needed </w:t>
      </w:r>
      <w:r w:rsidRPr="000938F7">
        <w:t>to attract workers to isolated areas</w:t>
      </w:r>
      <w:r w:rsidRPr="005F4D03">
        <w:t xml:space="preserve">. </w:t>
      </w:r>
      <w:r>
        <w:t>This became less relevant as, s</w:t>
      </w:r>
      <w:r w:rsidRPr="00BA5679">
        <w:t>ince</w:t>
      </w:r>
      <w:r w:rsidRPr="006F0B4E">
        <w:t xml:space="preserve"> </w:t>
      </w:r>
      <w:r>
        <w:t>its introduction</w:t>
      </w:r>
      <w:r w:rsidRPr="006F0B4E">
        <w:t xml:space="preserve">, marginal tax rates on high incomes have fallen significantly. </w:t>
      </w:r>
      <w:r>
        <w:t>Later on, t</w:t>
      </w:r>
      <w:r w:rsidRPr="006F0B4E">
        <w:t>he 1981 Cox Review (</w:t>
      </w:r>
      <w:r w:rsidRPr="000938F7">
        <w:t xml:space="preserve">the most recent review) </w:t>
      </w:r>
      <w:r w:rsidRPr="003B7112">
        <w:t>justifi</w:t>
      </w:r>
      <w:r>
        <w:t xml:space="preserve">ed </w:t>
      </w:r>
      <w:r w:rsidRPr="006F0B4E">
        <w:t xml:space="preserve">the concession on what it termed ‘social grounds’. This effectively reframed the ZTO’s objective towards equity, with a focus on addressing the </w:t>
      </w:r>
      <w:r w:rsidRPr="000938F7">
        <w:t>hardships of</w:t>
      </w:r>
      <w:r w:rsidRPr="00340868">
        <w:t xml:space="preserve"> remote</w:t>
      </w:r>
      <w:r w:rsidRPr="00F17E16">
        <w:t xml:space="preserve"> living. </w:t>
      </w:r>
    </w:p>
    <w:p w:rsidR="002A5D84" w:rsidRPr="009D634F" w:rsidRDefault="002A5D84" w:rsidP="006E0D4A">
      <w:pPr>
        <w:pStyle w:val="BodyText"/>
        <w:keepNext/>
      </w:pPr>
      <w:r>
        <w:lastRenderedPageBreak/>
        <w:t>P</w:t>
      </w:r>
      <w:r w:rsidRPr="009D634F">
        <w:t xml:space="preserve">articipants </w:t>
      </w:r>
      <w:r>
        <w:t>in</w:t>
      </w:r>
      <w:r w:rsidRPr="009D634F">
        <w:t xml:space="preserve"> this study </w:t>
      </w:r>
      <w:r>
        <w:t>also</w:t>
      </w:r>
      <w:r w:rsidRPr="009D634F">
        <w:t xml:space="preserve"> posited rationales for the concession</w:t>
      </w:r>
      <w:r>
        <w:t>. Most fell into two broad categories:</w:t>
      </w:r>
    </w:p>
    <w:p w:rsidR="002A5D84" w:rsidRDefault="002A5D84" w:rsidP="00FB19CB">
      <w:pPr>
        <w:pStyle w:val="ListBullet"/>
      </w:pPr>
      <w:r w:rsidRPr="001E1B29">
        <w:rPr>
          <w:i/>
        </w:rPr>
        <w:t>compensation</w:t>
      </w:r>
      <w:r w:rsidRPr="00C7728B">
        <w:t xml:space="preserve"> </w:t>
      </w:r>
      <w:r>
        <w:t xml:space="preserve">— </w:t>
      </w:r>
      <w:r w:rsidRPr="00C7728B">
        <w:t>for the disadvan</w:t>
      </w:r>
      <w:r>
        <w:t xml:space="preserve">tages of living in remote areas, such as higher living </w:t>
      </w:r>
      <w:r w:rsidR="006E0D4A">
        <w:t>cos</w:t>
      </w:r>
      <w:r>
        <w:t xml:space="preserve">ts or impaired access to </w:t>
      </w:r>
      <w:r w:rsidR="00254E71">
        <w:t>g</w:t>
      </w:r>
      <w:r>
        <w:t xml:space="preserve">overnment and other services, along similar lines to the Cox </w:t>
      </w:r>
      <w:r w:rsidR="006E0D4A">
        <w:t>Rev</w:t>
      </w:r>
      <w:r>
        <w:t>iew</w:t>
      </w:r>
    </w:p>
    <w:p w:rsidR="002A5D84" w:rsidRDefault="002A5D84" w:rsidP="00FB19CB">
      <w:pPr>
        <w:pStyle w:val="ListBullet"/>
      </w:pPr>
      <w:r w:rsidRPr="001E1B29">
        <w:rPr>
          <w:i/>
        </w:rPr>
        <w:t>regional</w:t>
      </w:r>
      <w:r w:rsidRPr="001E1B29" w:rsidDel="00905775">
        <w:rPr>
          <w:i/>
        </w:rPr>
        <w:t xml:space="preserve"> </w:t>
      </w:r>
      <w:r>
        <w:rPr>
          <w:i/>
        </w:rPr>
        <w:t xml:space="preserve">assistance </w:t>
      </w:r>
      <w:r>
        <w:t>— particularly to</w:t>
      </w:r>
      <w:r w:rsidRPr="00C7728B">
        <w:t xml:space="preserve"> encourage </w:t>
      </w:r>
      <w:r>
        <w:t xml:space="preserve">people to live, work and start businesses </w:t>
      </w:r>
      <w:r w:rsidRPr="00C7728B">
        <w:t xml:space="preserve">in </w:t>
      </w:r>
      <w:r>
        <w:t xml:space="preserve">regional and </w:t>
      </w:r>
      <w:r w:rsidRPr="00C7728B">
        <w:t>remote areas</w:t>
      </w:r>
      <w:r>
        <w:t>, and to reduce congestion in our major cities.</w:t>
      </w:r>
      <w:r w:rsidRPr="00C7728B">
        <w:t xml:space="preserve"> </w:t>
      </w:r>
    </w:p>
    <w:p w:rsidR="002A5D84" w:rsidRPr="00474316" w:rsidRDefault="002A5D84" w:rsidP="00FB19CB">
      <w:pPr>
        <w:pStyle w:val="BodyText"/>
        <w:rPr>
          <w:szCs w:val="26"/>
        </w:rPr>
      </w:pPr>
      <w:r w:rsidRPr="00474316">
        <w:rPr>
          <w:szCs w:val="26"/>
        </w:rPr>
        <w:t>In many parts of regional and remote Australia</w:t>
      </w:r>
      <w:r>
        <w:rPr>
          <w:szCs w:val="26"/>
        </w:rPr>
        <w:t xml:space="preserve"> </w:t>
      </w:r>
      <w:r w:rsidRPr="00474316">
        <w:rPr>
          <w:szCs w:val="26"/>
        </w:rPr>
        <w:t xml:space="preserve">(but not </w:t>
      </w:r>
      <w:r w:rsidRPr="00776593">
        <w:rPr>
          <w:i/>
          <w:szCs w:val="26"/>
        </w:rPr>
        <w:t>very</w:t>
      </w:r>
      <w:r w:rsidRPr="00474316">
        <w:rPr>
          <w:szCs w:val="26"/>
        </w:rPr>
        <w:t xml:space="preserve"> </w:t>
      </w:r>
      <w:r w:rsidRPr="00776593">
        <w:rPr>
          <w:i/>
          <w:szCs w:val="26"/>
        </w:rPr>
        <w:t>remote</w:t>
      </w:r>
      <w:r>
        <w:rPr>
          <w:i/>
          <w:szCs w:val="26"/>
        </w:rPr>
        <w:t xml:space="preserve"> </w:t>
      </w:r>
      <w:r w:rsidRPr="00776593">
        <w:rPr>
          <w:szCs w:val="26"/>
        </w:rPr>
        <w:t>Australia</w:t>
      </w:r>
      <w:r w:rsidR="000E3F65">
        <w:rPr>
          <w:szCs w:val="26"/>
        </w:rPr>
        <w:t>)</w:t>
      </w:r>
      <w:r w:rsidRPr="00474316">
        <w:rPr>
          <w:szCs w:val="26"/>
        </w:rPr>
        <w:t>, costs are not higher than in major cities. Even where this is the case, higher living costs or other aspects of life in remote areas do not warrant compensation for two main reasons</w:t>
      </w:r>
      <w:r>
        <w:rPr>
          <w:szCs w:val="26"/>
        </w:rPr>
        <w:t>.</w:t>
      </w:r>
    </w:p>
    <w:p w:rsidR="002A5D84" w:rsidRDefault="002A5D84" w:rsidP="00FB19CB">
      <w:pPr>
        <w:pStyle w:val="ListBullet"/>
      </w:pPr>
      <w:r>
        <w:t xml:space="preserve">First, everyone </w:t>
      </w:r>
      <w:r w:rsidRPr="00E22D33">
        <w:t>face</w:t>
      </w:r>
      <w:r>
        <w:t>s</w:t>
      </w:r>
      <w:r w:rsidRPr="00E22D33">
        <w:t xml:space="preserve"> </w:t>
      </w:r>
      <w:r>
        <w:t>advantages and disadvantages</w:t>
      </w:r>
      <w:r w:rsidRPr="00E22D33">
        <w:t xml:space="preserve"> </w:t>
      </w:r>
      <w:r>
        <w:t xml:space="preserve">in where they </w:t>
      </w:r>
      <w:r w:rsidRPr="00E22D33">
        <w:t>liv</w:t>
      </w:r>
      <w:r>
        <w:t>e</w:t>
      </w:r>
      <w:r w:rsidRPr="00E22D33">
        <w:t xml:space="preserve"> and will </w:t>
      </w:r>
      <w:r>
        <w:t>typically</w:t>
      </w:r>
      <w:r w:rsidRPr="00E22D33">
        <w:t xml:space="preserve"> </w:t>
      </w:r>
      <w:r>
        <w:t>locate themselves in</w:t>
      </w:r>
      <w:r w:rsidRPr="00E22D33">
        <w:t xml:space="preserve"> the </w:t>
      </w:r>
      <w:r>
        <w:t xml:space="preserve">area </w:t>
      </w:r>
      <w:r w:rsidRPr="00E22D33">
        <w:t>they value most highly</w:t>
      </w:r>
      <w:r>
        <w:t xml:space="preserve">. </w:t>
      </w:r>
    </w:p>
    <w:p w:rsidR="002A5D84" w:rsidRDefault="002A5D84" w:rsidP="00FB19CB">
      <w:pPr>
        <w:pStyle w:val="ListBullet"/>
      </w:pPr>
      <w:r>
        <w:t>Second</w:t>
      </w:r>
      <w:r w:rsidRPr="00BC4941">
        <w:t xml:space="preserve">, </w:t>
      </w:r>
      <w:r>
        <w:t xml:space="preserve">many employers both in private and public sectors already </w:t>
      </w:r>
      <w:r w:rsidRPr="00BC4941">
        <w:t>provid</w:t>
      </w:r>
      <w:r>
        <w:t>e</w:t>
      </w:r>
      <w:r w:rsidRPr="00BC4941">
        <w:t xml:space="preserve"> </w:t>
      </w:r>
      <w:r>
        <w:t xml:space="preserve">additional wages to compensate </w:t>
      </w:r>
      <w:r w:rsidRPr="00BC4941">
        <w:t>for the disadvantages of remote living</w:t>
      </w:r>
      <w:r>
        <w:t xml:space="preserve"> </w:t>
      </w:r>
      <w:r w:rsidRPr="00BC4941">
        <w:t>(figure</w:t>
      </w:r>
      <w:r>
        <w:t xml:space="preserve"> 4, </w:t>
      </w:r>
      <w:r w:rsidRPr="006D141D">
        <w:t>panel</w:t>
      </w:r>
      <w:r>
        <w:t> </w:t>
      </w:r>
      <w:r w:rsidRPr="006D141D">
        <w:t>E</w:t>
      </w:r>
      <w:r w:rsidRPr="00BC4941">
        <w:t>)</w:t>
      </w:r>
      <w:r>
        <w:t>. Many State governments (as well as both the Australian Public Service and the Australian Defence Force) pay allowances and provide ‘in</w:t>
      </w:r>
      <w:r>
        <w:noBreakHyphen/>
        <w:t xml:space="preserve">kind’ remuneration to remote area workers, teachers, police officers and health care professionals. </w:t>
      </w:r>
    </w:p>
    <w:p w:rsidR="002A5D84" w:rsidRDefault="002A5D84" w:rsidP="00FB19CB">
      <w:pPr>
        <w:pStyle w:val="BodyText"/>
      </w:pPr>
      <w:r w:rsidRPr="00BC4941">
        <w:t xml:space="preserve">There is no general role for </w:t>
      </w:r>
      <w:r>
        <w:t>the Australian G</w:t>
      </w:r>
      <w:r w:rsidRPr="00BC4941">
        <w:t xml:space="preserve">overnment to augment these dynamics. </w:t>
      </w:r>
      <w:r>
        <w:t xml:space="preserve">However, an </w:t>
      </w:r>
      <w:r w:rsidRPr="00003788">
        <w:rPr>
          <w:szCs w:val="26"/>
        </w:rPr>
        <w:t xml:space="preserve">exception </w:t>
      </w:r>
      <w:r>
        <w:rPr>
          <w:szCs w:val="26"/>
        </w:rPr>
        <w:t>may apply to people</w:t>
      </w:r>
      <w:r w:rsidRPr="00C34F17">
        <w:rPr>
          <w:szCs w:val="26"/>
        </w:rPr>
        <w:t xml:space="preserve"> who live in remote areas </w:t>
      </w:r>
      <w:r>
        <w:rPr>
          <w:szCs w:val="26"/>
        </w:rPr>
        <w:t xml:space="preserve">and </w:t>
      </w:r>
      <w:r w:rsidRPr="00C34F17">
        <w:rPr>
          <w:szCs w:val="26"/>
        </w:rPr>
        <w:t xml:space="preserve">face significant barriers to </w:t>
      </w:r>
      <w:r>
        <w:rPr>
          <w:szCs w:val="26"/>
        </w:rPr>
        <w:t xml:space="preserve">geographic </w:t>
      </w:r>
      <w:r w:rsidRPr="00C34F17">
        <w:rPr>
          <w:szCs w:val="26"/>
        </w:rPr>
        <w:t>mobility</w:t>
      </w:r>
      <w:r>
        <w:rPr>
          <w:szCs w:val="26"/>
        </w:rPr>
        <w:t xml:space="preserve">, or whose income is not primarily derived from paid employment </w:t>
      </w:r>
      <w:r>
        <w:t>—</w:t>
      </w:r>
      <w:r>
        <w:rPr>
          <w:szCs w:val="26"/>
        </w:rPr>
        <w:t xml:space="preserve"> a situation </w:t>
      </w:r>
      <w:r w:rsidRPr="00C34F17">
        <w:rPr>
          <w:szCs w:val="26"/>
        </w:rPr>
        <w:t xml:space="preserve">most likely </w:t>
      </w:r>
      <w:r>
        <w:rPr>
          <w:szCs w:val="26"/>
        </w:rPr>
        <w:t xml:space="preserve">to </w:t>
      </w:r>
      <w:r w:rsidRPr="00C34F17">
        <w:rPr>
          <w:szCs w:val="26"/>
        </w:rPr>
        <w:t xml:space="preserve">apply to </w:t>
      </w:r>
      <w:r>
        <w:rPr>
          <w:szCs w:val="26"/>
        </w:rPr>
        <w:t xml:space="preserve">RAA recipients (discussed later). </w:t>
      </w:r>
    </w:p>
    <w:p w:rsidR="002A5D84" w:rsidRDefault="002A5D84" w:rsidP="00FB19CB">
      <w:pPr>
        <w:pStyle w:val="BodyText"/>
      </w:pPr>
      <w:r>
        <w:rPr>
          <w:szCs w:val="26"/>
        </w:rPr>
        <w:t xml:space="preserve">The ZTO is also difficult to justify as a way of encouraging people to relocate to particular areas. Broad tax concessions are an ineffective tool to promote migration and do little to support regional economic development. </w:t>
      </w:r>
      <w:r>
        <w:t xml:space="preserve">As the Commission found in its 2017 </w:t>
      </w:r>
      <w:r w:rsidRPr="00D231B1">
        <w:rPr>
          <w:i/>
          <w:szCs w:val="26"/>
        </w:rPr>
        <w:t>Transitioning Regional Economies</w:t>
      </w:r>
      <w:r>
        <w:t xml:space="preserve"> report, the growth (or decline) of areas generally reflects their intrinsic economic advantages (or disadvantages), and their capacity to withstand economic shocks. </w:t>
      </w:r>
    </w:p>
    <w:p w:rsidR="002A5D84" w:rsidRPr="00394854" w:rsidRDefault="002A5D84" w:rsidP="00FB19CB">
      <w:pPr>
        <w:pStyle w:val="Heading3"/>
        <w:rPr>
          <w:b w:val="0"/>
          <w:sz w:val="24"/>
        </w:rPr>
      </w:pPr>
      <w:r w:rsidRPr="00394854" w:rsidDel="00175FF4">
        <w:rPr>
          <w:b w:val="0"/>
          <w:sz w:val="24"/>
        </w:rPr>
        <w:t>The ZTO should be abolished</w:t>
      </w:r>
    </w:p>
    <w:p w:rsidR="002A5D84" w:rsidRDefault="002A5D84" w:rsidP="00FB19CB">
      <w:pPr>
        <w:pStyle w:val="BodyText"/>
      </w:pPr>
      <w:r>
        <w:t xml:space="preserve">In sum, </w:t>
      </w:r>
      <w:r w:rsidDel="00440446">
        <w:t>t</w:t>
      </w:r>
      <w:r w:rsidRPr="00C7728B" w:rsidDel="00440446">
        <w:t xml:space="preserve">he </w:t>
      </w:r>
      <w:r>
        <w:t xml:space="preserve">Commission considers that there is no compelling, contemporary justification for the ZTO and, on this basis, it should be abolished. </w:t>
      </w:r>
    </w:p>
    <w:p w:rsidR="002A5D84" w:rsidRDefault="002A5D84" w:rsidP="00FB19CB">
      <w:pPr>
        <w:pStyle w:val="BodyText"/>
      </w:pPr>
      <w:r>
        <w:rPr>
          <w:spacing w:val="-2"/>
        </w:rPr>
        <w:t xml:space="preserve">For most claimants, abolishing the ZTO would have small impacts. Among </w:t>
      </w:r>
      <w:r>
        <w:t xml:space="preserve">taxpayers in ordinary Zone B (who represent about 60 per cent of claimants), the average loss of $133 each year — about $2.50 a week — would be absorbed with little discernible impact. And for most others, the loss would be modest. </w:t>
      </w:r>
    </w:p>
    <w:p w:rsidR="002A5D84" w:rsidRDefault="002A5D84" w:rsidP="00FB19CB">
      <w:pPr>
        <w:pStyle w:val="BodyText"/>
      </w:pPr>
      <w:r>
        <w:t>F</w:t>
      </w:r>
      <w:r w:rsidRPr="00C7728B">
        <w:t>or a small number of low</w:t>
      </w:r>
      <w:r w:rsidRPr="00C7728B">
        <w:noBreakHyphen/>
        <w:t xml:space="preserve">income earners residing in special areas (about </w:t>
      </w:r>
      <w:r>
        <w:t>1</w:t>
      </w:r>
      <w:r w:rsidRPr="00947E08">
        <w:t>2</w:t>
      </w:r>
      <w:r>
        <w:t> </w:t>
      </w:r>
      <w:r w:rsidRPr="00947E08">
        <w:t>000</w:t>
      </w:r>
      <w:r>
        <w:t> </w:t>
      </w:r>
      <w:r w:rsidRPr="00C7728B">
        <w:t xml:space="preserve">taxpayers), </w:t>
      </w:r>
      <w:r>
        <w:t xml:space="preserve">ending </w:t>
      </w:r>
      <w:r w:rsidRPr="00C7728B">
        <w:t xml:space="preserve">the concession </w:t>
      </w:r>
      <w:r>
        <w:t xml:space="preserve">would </w:t>
      </w:r>
      <w:r w:rsidRPr="00C7728B">
        <w:t>represent</w:t>
      </w:r>
      <w:r>
        <w:t xml:space="preserve"> a more substantial loss, equivalent to more than </w:t>
      </w:r>
      <w:r w:rsidRPr="00C7728B">
        <w:t xml:space="preserve">3 per cent of their </w:t>
      </w:r>
      <w:r>
        <w:t>after</w:t>
      </w:r>
      <w:r>
        <w:noBreakHyphen/>
        <w:t xml:space="preserve">tax </w:t>
      </w:r>
      <w:r w:rsidRPr="00C7728B">
        <w:t>income</w:t>
      </w:r>
      <w:r>
        <w:t xml:space="preserve">. Moreover, in a few of these special areas (particularly </w:t>
      </w:r>
      <w:r>
        <w:lastRenderedPageBreak/>
        <w:t xml:space="preserve">remote islands, such as King Island and Lord Howe Island), the cumulative impact from the abolition of the ZTO would be larger. Over time, wages may </w:t>
      </w:r>
      <w:r w:rsidRPr="00C7728B">
        <w:t>adjust</w:t>
      </w:r>
      <w:r>
        <w:t xml:space="preserve"> (</w:t>
      </w:r>
      <w:r w:rsidRPr="00C7728B">
        <w:t>at least partially</w:t>
      </w:r>
      <w:r>
        <w:t>)</w:t>
      </w:r>
      <w:r w:rsidRPr="00C7728B">
        <w:t xml:space="preserve"> </w:t>
      </w:r>
      <w:r>
        <w:t>in response to the change, limiting these direct impacts.</w:t>
      </w:r>
    </w:p>
    <w:p w:rsidR="002A5D84" w:rsidRDefault="002A5D84" w:rsidP="00FB19CB">
      <w:pPr>
        <w:pStyle w:val="BodyText"/>
      </w:pPr>
      <w:r>
        <w:t xml:space="preserve">Repealing the ZTO would also bear on the </w:t>
      </w:r>
      <w:r w:rsidRPr="00C7728B">
        <w:t>ov</w:t>
      </w:r>
      <w:r>
        <w:t>erseas forces tax offset (OFTO). This gives</w:t>
      </w:r>
      <w:r w:rsidRPr="00C7728B">
        <w:t xml:space="preserve"> a tax concession to defence force employees </w:t>
      </w:r>
      <w:r>
        <w:t>and civilians on particular overseas assignments — although currently fewer than 50 people claim it.</w:t>
      </w:r>
      <w:r w:rsidRPr="00C7728B">
        <w:t xml:space="preserve"> </w:t>
      </w:r>
      <w:r>
        <w:t xml:space="preserve">As with the ZTO, there is not a good case for retaining the OFTO — defence employees should be compensated directly through normal remuneration arrangements, not the tax system. Accordingly, the OFTO should similarly be abolished. </w:t>
      </w:r>
    </w:p>
    <w:p w:rsidR="002A5D84" w:rsidRDefault="002A5D84" w:rsidP="00FB19CB">
      <w:pPr>
        <w:pStyle w:val="BodyText"/>
      </w:pPr>
      <w:r>
        <w:t>Abolishing</w:t>
      </w:r>
      <w:r w:rsidRPr="00C7728B">
        <w:t xml:space="preserve"> the </w:t>
      </w:r>
      <w:r>
        <w:t>ZTO and OFTO would</w:t>
      </w:r>
      <w:r w:rsidRPr="00C7728B">
        <w:t xml:space="preserve"> increase </w:t>
      </w:r>
      <w:r>
        <w:t xml:space="preserve">Australian </w:t>
      </w:r>
      <w:r w:rsidRPr="00C7728B">
        <w:t>Government revenue</w:t>
      </w:r>
      <w:r>
        <w:t xml:space="preserve"> by around $150 million per year. </w:t>
      </w:r>
    </w:p>
    <w:p w:rsidR="002A5D84" w:rsidRPr="003A323D" w:rsidRDefault="002A5D84" w:rsidP="00FB19CB">
      <w:pPr>
        <w:pStyle w:val="Heading4"/>
      </w:pPr>
      <w:r>
        <w:t>If retained, the ZTO should be reconditioned</w:t>
      </w:r>
    </w:p>
    <w:p w:rsidR="002A5D84" w:rsidRPr="005E2BAD" w:rsidRDefault="002A5D84" w:rsidP="00FB19CB">
      <w:pPr>
        <w:spacing w:before="240" w:line="300" w:lineRule="atLeast"/>
        <w:jc w:val="both"/>
        <w:rPr>
          <w:szCs w:val="20"/>
        </w:rPr>
      </w:pPr>
      <w:r>
        <w:rPr>
          <w:szCs w:val="20"/>
        </w:rPr>
        <w:t>T</w:t>
      </w:r>
      <w:r w:rsidRPr="005E2BAD">
        <w:rPr>
          <w:szCs w:val="20"/>
        </w:rPr>
        <w:t>he terms of reference ask the Commission to determine what an appropriate ongoing form and function of the ZTO might be</w:t>
      </w:r>
      <w:r>
        <w:rPr>
          <w:szCs w:val="20"/>
        </w:rPr>
        <w:t xml:space="preserve"> — a Gordian knot, given </w:t>
      </w:r>
      <w:r w:rsidRPr="005E2BAD">
        <w:rPr>
          <w:szCs w:val="20"/>
        </w:rPr>
        <w:t xml:space="preserve">that the </w:t>
      </w:r>
      <w:r>
        <w:rPr>
          <w:szCs w:val="20"/>
        </w:rPr>
        <w:t xml:space="preserve">Commission considers that the </w:t>
      </w:r>
      <w:r w:rsidRPr="005E2BAD">
        <w:rPr>
          <w:szCs w:val="20"/>
        </w:rPr>
        <w:t>ZTO lacks a compelling or contemporary policy rationale</w:t>
      </w:r>
      <w:r>
        <w:rPr>
          <w:szCs w:val="20"/>
        </w:rPr>
        <w:t>.</w:t>
      </w:r>
      <w:r w:rsidRPr="005E2BAD">
        <w:rPr>
          <w:szCs w:val="20"/>
        </w:rPr>
        <w:t xml:space="preserve"> </w:t>
      </w:r>
    </w:p>
    <w:p w:rsidR="002A5D84" w:rsidRDefault="002A5D84" w:rsidP="00FB19CB">
      <w:pPr>
        <w:spacing w:before="240" w:line="300" w:lineRule="atLeast"/>
        <w:jc w:val="both"/>
        <w:rPr>
          <w:szCs w:val="20"/>
        </w:rPr>
      </w:pPr>
      <w:r>
        <w:rPr>
          <w:szCs w:val="20"/>
        </w:rPr>
        <w:t>If the ZTO is nevertheless retained, it</w:t>
      </w:r>
      <w:r w:rsidRPr="005E2BAD">
        <w:rPr>
          <w:szCs w:val="20"/>
        </w:rPr>
        <w:t xml:space="preserve"> should remain a </w:t>
      </w:r>
      <w:r>
        <w:rPr>
          <w:szCs w:val="20"/>
        </w:rPr>
        <w:t>minimalist</w:t>
      </w:r>
      <w:r w:rsidRPr="005E2BAD">
        <w:rPr>
          <w:szCs w:val="20"/>
        </w:rPr>
        <w:t xml:space="preserve"> financial support measure </w:t>
      </w:r>
      <w:r>
        <w:rPr>
          <w:szCs w:val="20"/>
        </w:rPr>
        <w:t xml:space="preserve">to reduce its adverse impacts. A pragmatic approach would be to limit it to </w:t>
      </w:r>
      <w:r w:rsidRPr="002F0361">
        <w:rPr>
          <w:i/>
          <w:szCs w:val="20"/>
        </w:rPr>
        <w:t>very remote</w:t>
      </w:r>
      <w:r>
        <w:rPr>
          <w:szCs w:val="20"/>
        </w:rPr>
        <w:t xml:space="preserve"> </w:t>
      </w:r>
      <w:r w:rsidRPr="005E2BAD">
        <w:rPr>
          <w:szCs w:val="20"/>
        </w:rPr>
        <w:t>areas</w:t>
      </w:r>
      <w:r>
        <w:rPr>
          <w:szCs w:val="20"/>
        </w:rPr>
        <w:t xml:space="preserve">, </w:t>
      </w:r>
      <w:r w:rsidRPr="005E2BAD">
        <w:rPr>
          <w:szCs w:val="20"/>
        </w:rPr>
        <w:t xml:space="preserve">where the cost of living </w:t>
      </w:r>
      <w:r>
        <w:rPr>
          <w:szCs w:val="20"/>
        </w:rPr>
        <w:t>most clearly exceeds</w:t>
      </w:r>
      <w:r w:rsidRPr="005E2BAD">
        <w:rPr>
          <w:szCs w:val="20"/>
        </w:rPr>
        <w:t xml:space="preserve"> living costs in the rest of Australia, </w:t>
      </w:r>
      <w:r>
        <w:rPr>
          <w:szCs w:val="20"/>
        </w:rPr>
        <w:t xml:space="preserve">and </w:t>
      </w:r>
      <w:r w:rsidRPr="005E2BAD">
        <w:rPr>
          <w:szCs w:val="20"/>
        </w:rPr>
        <w:t>where access to services is most difficult and barriers to mobility are most acute.</w:t>
      </w:r>
      <w:r>
        <w:rPr>
          <w:szCs w:val="20"/>
        </w:rPr>
        <w:t xml:space="preserve"> This would at least make the measure’s eligibility criteria more compatible with its claimed objectives, a good design principle for any program.</w:t>
      </w:r>
    </w:p>
    <w:p w:rsidR="002A5D84" w:rsidRPr="005E2BAD" w:rsidRDefault="002A5D84" w:rsidP="00FB19CB">
      <w:pPr>
        <w:spacing w:before="240" w:line="300" w:lineRule="atLeast"/>
        <w:jc w:val="both"/>
        <w:rPr>
          <w:szCs w:val="20"/>
        </w:rPr>
      </w:pPr>
      <w:r>
        <w:rPr>
          <w:szCs w:val="20"/>
        </w:rPr>
        <w:t>The</w:t>
      </w:r>
      <w:r w:rsidRPr="005E2BAD">
        <w:rPr>
          <w:szCs w:val="20"/>
        </w:rPr>
        <w:t xml:space="preserve"> ZTO </w:t>
      </w:r>
      <w:r>
        <w:rPr>
          <w:szCs w:val="20"/>
        </w:rPr>
        <w:t xml:space="preserve">should be </w:t>
      </w:r>
      <w:r w:rsidRPr="005E2BAD">
        <w:rPr>
          <w:szCs w:val="20"/>
        </w:rPr>
        <w:t>provided as a fixed offset at the current special area rate ($1173 a year)</w:t>
      </w:r>
      <w:r>
        <w:rPr>
          <w:szCs w:val="20"/>
        </w:rPr>
        <w:t xml:space="preserve"> for all </w:t>
      </w:r>
      <w:r w:rsidRPr="002F0361">
        <w:rPr>
          <w:i/>
          <w:szCs w:val="20"/>
        </w:rPr>
        <w:t>very remote</w:t>
      </w:r>
      <w:r>
        <w:rPr>
          <w:szCs w:val="20"/>
        </w:rPr>
        <w:t xml:space="preserve"> areas</w:t>
      </w:r>
      <w:r w:rsidRPr="005E2BAD">
        <w:rPr>
          <w:szCs w:val="20"/>
        </w:rPr>
        <w:t>.</w:t>
      </w:r>
      <w:r>
        <w:rPr>
          <w:szCs w:val="20"/>
        </w:rPr>
        <w:t xml:space="preserve"> The concession should be streamlined further by abolishing t</w:t>
      </w:r>
      <w:r w:rsidRPr="005E2BAD">
        <w:rPr>
          <w:szCs w:val="20"/>
        </w:rPr>
        <w:t>he current complex system of dependant rebates</w:t>
      </w:r>
      <w:r>
        <w:rPr>
          <w:szCs w:val="20"/>
        </w:rPr>
        <w:t>. And t</w:t>
      </w:r>
      <w:r w:rsidRPr="005E2BAD">
        <w:rPr>
          <w:szCs w:val="20"/>
        </w:rPr>
        <w:t xml:space="preserve">he boundaries for eligibility should be redrawn </w:t>
      </w:r>
      <w:r>
        <w:rPr>
          <w:szCs w:val="20"/>
        </w:rPr>
        <w:t xml:space="preserve">accordingly, </w:t>
      </w:r>
      <w:r w:rsidRPr="005E2BAD">
        <w:rPr>
          <w:szCs w:val="20"/>
        </w:rPr>
        <w:t xml:space="preserve">using the remoteness </w:t>
      </w:r>
      <w:r>
        <w:rPr>
          <w:szCs w:val="20"/>
        </w:rPr>
        <w:t>classifications</w:t>
      </w:r>
      <w:r w:rsidRPr="005E2BAD">
        <w:rPr>
          <w:szCs w:val="20"/>
        </w:rPr>
        <w:t xml:space="preserve"> published by the ABS. </w:t>
      </w:r>
    </w:p>
    <w:p w:rsidR="002A5D84" w:rsidRDefault="002A5D84" w:rsidP="00FB19CB">
      <w:pPr>
        <w:pStyle w:val="BodyText"/>
      </w:pPr>
      <w:r>
        <w:t>A</w:t>
      </w:r>
      <w:r w:rsidRPr="002165B3">
        <w:t xml:space="preserve"> ZTO </w:t>
      </w:r>
      <w:r>
        <w:t xml:space="preserve">only </w:t>
      </w:r>
      <w:r w:rsidRPr="002165B3">
        <w:t>for</w:t>
      </w:r>
      <w:r w:rsidRPr="002165B3" w:rsidDel="008836FB">
        <w:t xml:space="preserve"> </w:t>
      </w:r>
      <w:r w:rsidRPr="008836FB">
        <w:rPr>
          <w:i/>
        </w:rPr>
        <w:t>very remote</w:t>
      </w:r>
      <w:r w:rsidRPr="002165B3">
        <w:t xml:space="preserve"> areas</w:t>
      </w:r>
      <w:r>
        <w:t>, provided at the special area rate,</w:t>
      </w:r>
      <w:r w:rsidRPr="002165B3">
        <w:t xml:space="preserve"> would reduce the number of concession rates from three to one</w:t>
      </w:r>
      <w:r>
        <w:t xml:space="preserve"> and trim</w:t>
      </w:r>
      <w:r w:rsidRPr="002165B3">
        <w:t xml:space="preserve"> the number of income taxpayers eligible for the offset to </w:t>
      </w:r>
      <w:r>
        <w:t>about</w:t>
      </w:r>
      <w:r w:rsidRPr="002165B3">
        <w:t xml:space="preserve"> </w:t>
      </w:r>
      <w:r>
        <w:t>60 </w:t>
      </w:r>
      <w:r w:rsidRPr="002165B3">
        <w:t>000 (down from 480 000 who claimed the ZTO in 2016</w:t>
      </w:r>
      <w:r w:rsidRPr="002165B3">
        <w:noBreakHyphen/>
        <w:t xml:space="preserve">17). These </w:t>
      </w:r>
      <w:r>
        <w:t>changes</w:t>
      </w:r>
      <w:r w:rsidRPr="002165B3">
        <w:t xml:space="preserve"> to the operation of the ZTO would see its annual budget cost reduced by half to </w:t>
      </w:r>
      <w:r>
        <w:t>about</w:t>
      </w:r>
      <w:r w:rsidRPr="002165B3">
        <w:t xml:space="preserve"> $7</w:t>
      </w:r>
      <w:r>
        <w:t>0</w:t>
      </w:r>
      <w:r w:rsidRPr="002165B3">
        <w:t> million.</w:t>
      </w:r>
      <w:r>
        <w:t xml:space="preserve"> </w:t>
      </w:r>
    </w:p>
    <w:p w:rsidR="006E0D4A" w:rsidRDefault="006E0D4A">
      <w:pPr>
        <w:rPr>
          <w:rFonts w:ascii="Arial" w:hAnsi="Arial"/>
          <w:b/>
          <w:sz w:val="26"/>
          <w:szCs w:val="20"/>
        </w:rPr>
      </w:pPr>
      <w:r>
        <w:br w:type="page"/>
      </w:r>
    </w:p>
    <w:p w:rsidR="002A5D84" w:rsidRDefault="002A5D84" w:rsidP="00FB19CB">
      <w:pPr>
        <w:pStyle w:val="Heading3"/>
      </w:pPr>
      <w:r>
        <w:lastRenderedPageBreak/>
        <w:t>Remote area income tax concessions for businesses?</w:t>
      </w:r>
    </w:p>
    <w:p w:rsidR="002A5D84" w:rsidRPr="00C7728B" w:rsidRDefault="002A5D84" w:rsidP="00FB19CB">
      <w:pPr>
        <w:pStyle w:val="BodyText"/>
      </w:pPr>
      <w:r>
        <w:rPr>
          <w:szCs w:val="26"/>
        </w:rPr>
        <w:t xml:space="preserve">The study’s terms of reference also ask the Commission to consider whether businesses in remote areas should be provided with support similar to the ZTO. </w:t>
      </w:r>
    </w:p>
    <w:p w:rsidR="002A5D84" w:rsidRDefault="002A5D84" w:rsidP="00FB19CB">
      <w:pPr>
        <w:pStyle w:val="BodyText"/>
        <w:rPr>
          <w:szCs w:val="26"/>
        </w:rPr>
      </w:pPr>
      <w:r>
        <w:rPr>
          <w:szCs w:val="26"/>
        </w:rPr>
        <w:t>Place</w:t>
      </w:r>
      <w:r>
        <w:rPr>
          <w:szCs w:val="26"/>
        </w:rPr>
        <w:noBreakHyphen/>
        <w:t xml:space="preserve">based business tax concessions (for example, lower payroll tax for businesses in regional areas) are often predicated on encouraging businesses to relocate to support regional development, or to reduce congestion in cities. </w:t>
      </w:r>
    </w:p>
    <w:p w:rsidR="002A5D84" w:rsidRDefault="002A5D84" w:rsidP="00FB19CB">
      <w:pPr>
        <w:pStyle w:val="BodyText"/>
        <w:rPr>
          <w:szCs w:val="26"/>
        </w:rPr>
      </w:pPr>
      <w:r w:rsidRPr="00C7728B">
        <w:t xml:space="preserve">There </w:t>
      </w:r>
      <w:r>
        <w:t>is no credible case for the Australian Government to provide company tax offsets to businesses in remote areas. In general, attempts by g</w:t>
      </w:r>
      <w:r w:rsidRPr="00536611">
        <w:t xml:space="preserve">overnments </w:t>
      </w:r>
      <w:r>
        <w:t>to</w:t>
      </w:r>
      <w:r w:rsidRPr="00536611">
        <w:t xml:space="preserve"> create a</w:t>
      </w:r>
      <w:r>
        <w:t xml:space="preserve"> sustainable </w:t>
      </w:r>
      <w:r w:rsidRPr="00536611">
        <w:t>advantage for a community</w:t>
      </w:r>
      <w:r>
        <w:t xml:space="preserve"> that it does not already possess</w:t>
      </w:r>
      <w:r w:rsidRPr="00FD67FD">
        <w:t xml:space="preserve">, </w:t>
      </w:r>
      <w:r>
        <w:t>or to divert economic activity from one place to another, impose economy</w:t>
      </w:r>
      <w:r>
        <w:noBreakHyphen/>
        <w:t>wide costs that outweigh any local benefits</w:t>
      </w:r>
      <w:r>
        <w:rPr>
          <w:szCs w:val="26"/>
        </w:rPr>
        <w:t>.</w:t>
      </w:r>
    </w:p>
    <w:p w:rsidR="002A5D84" w:rsidRDefault="002A5D84" w:rsidP="00FB19CB">
      <w:pPr>
        <w:pStyle w:val="BodyText"/>
      </w:pPr>
      <w:r>
        <w:rPr>
          <w:szCs w:val="26"/>
        </w:rPr>
        <w:t xml:space="preserve">The Australian </w:t>
      </w:r>
      <w:r>
        <w:t xml:space="preserve">Government’s </w:t>
      </w:r>
      <w:r w:rsidRPr="002371C1">
        <w:t>White Paper on Developing Northern Australia</w:t>
      </w:r>
      <w:r>
        <w:t xml:space="preserve"> acknowledged the net economic costs of concessional tax arrangements</w:t>
      </w:r>
      <w:r w:rsidRPr="002371C1">
        <w:t>.</w:t>
      </w:r>
      <w:r>
        <w:rPr>
          <w:i/>
        </w:rPr>
        <w:t xml:space="preserve"> </w:t>
      </w:r>
      <w:r>
        <w:t>The paper</w:t>
      </w:r>
      <w:r>
        <w:rPr>
          <w:i/>
        </w:rPr>
        <w:t xml:space="preserve"> </w:t>
      </w:r>
      <w:r>
        <w:t xml:space="preserve">steered away from proposing these across northern Australia, primarily because of the risk of ‘misallocation or distorted investment decisions’ stemming from preferential taxation or regulatory arrangements. </w:t>
      </w:r>
    </w:p>
    <w:p w:rsidR="002A5D84" w:rsidRDefault="002A5D84" w:rsidP="00FB19CB">
      <w:pPr>
        <w:pStyle w:val="BodyText"/>
        <w:rPr>
          <w:szCs w:val="26"/>
        </w:rPr>
      </w:pPr>
      <w:r>
        <w:t>Centralised decision</w:t>
      </w:r>
      <w:r>
        <w:noBreakHyphen/>
        <w:t>making has a poor track record of spurring successful regional economic development, both in Australia and overseas. The diversity of regional areas, the issues they face, and their different strengths and weaknesses, all mean that top</w:t>
      </w:r>
      <w:r>
        <w:noBreakHyphen/>
        <w:t>down policy initiatives, such as tax concessions, are rarely effective.</w:t>
      </w:r>
    </w:p>
    <w:p w:rsidR="002A5D84" w:rsidRDefault="002A5D84" w:rsidP="00FB19CB">
      <w:pPr>
        <w:pStyle w:val="BodyText"/>
        <w:rPr>
          <w:szCs w:val="26"/>
        </w:rPr>
      </w:pPr>
      <w:r>
        <w:rPr>
          <w:szCs w:val="26"/>
        </w:rPr>
        <w:t>Such concessions lack transparency and add complexity to the tax system. Moreover, their legality at the Commonwealth level could be tested, and if so, they risk falling foul of the Australian Constitution.</w:t>
      </w:r>
    </w:p>
    <w:p w:rsidR="002A5D84" w:rsidRDefault="002A5D84" w:rsidP="00FB19CB">
      <w:pPr>
        <w:pStyle w:val="BodyText"/>
      </w:pPr>
      <w:r>
        <w:rPr>
          <w:szCs w:val="26"/>
        </w:rPr>
        <w:t>T</w:t>
      </w:r>
      <w:r w:rsidRPr="00C7728B">
        <w:t xml:space="preserve">here are more effective </w:t>
      </w:r>
      <w:r>
        <w:t xml:space="preserve">and less distortionary </w:t>
      </w:r>
      <w:r w:rsidRPr="00C7728B">
        <w:t xml:space="preserve">ways for </w:t>
      </w:r>
      <w:r>
        <w:t>g</w:t>
      </w:r>
      <w:r w:rsidRPr="00C7728B">
        <w:t>overnments to support businesses in remote areas</w:t>
      </w:r>
      <w:r>
        <w:t>. These include, for example,</w:t>
      </w:r>
      <w:r w:rsidRPr="00C7728B">
        <w:t xml:space="preserve"> </w:t>
      </w:r>
      <w:r>
        <w:t>removing</w:t>
      </w:r>
      <w:r w:rsidRPr="00C7728B">
        <w:t xml:space="preserve"> unnecessary </w:t>
      </w:r>
      <w:r>
        <w:t xml:space="preserve">regulatory </w:t>
      </w:r>
      <w:r w:rsidRPr="00C7728B">
        <w:t xml:space="preserve">impediments </w:t>
      </w:r>
      <w:r>
        <w:t>to</w:t>
      </w:r>
      <w:r w:rsidRPr="00C7728B">
        <w:t xml:space="preserve"> business development </w:t>
      </w:r>
      <w:r w:rsidRPr="00C7728B">
        <w:rPr>
          <w:i/>
        </w:rPr>
        <w:t>regardless</w:t>
      </w:r>
      <w:r>
        <w:t xml:space="preserve"> of location.</w:t>
      </w:r>
    </w:p>
    <w:p w:rsidR="00C65794" w:rsidRPr="00081FB4" w:rsidRDefault="00C65794" w:rsidP="00081FB4">
      <w:pPr>
        <w:pStyle w:val="BodyText"/>
      </w:pPr>
      <w:r w:rsidRPr="00081FB4">
        <w:br w:type="page"/>
      </w:r>
    </w:p>
    <w:p w:rsidR="002A5D84" w:rsidRPr="00B13B54" w:rsidRDefault="002A5D84" w:rsidP="00FB19CB">
      <w:pPr>
        <w:pStyle w:val="Heading2"/>
      </w:pPr>
      <w:r w:rsidRPr="00B13B54">
        <w:lastRenderedPageBreak/>
        <w:t xml:space="preserve">The </w:t>
      </w:r>
      <w:r>
        <w:t>r</w:t>
      </w:r>
      <w:r w:rsidRPr="00B13B54">
        <w:t xml:space="preserve">emote </w:t>
      </w:r>
      <w:r>
        <w:t>a</w:t>
      </w:r>
      <w:r w:rsidRPr="00B13B54">
        <w:t xml:space="preserve">rea </w:t>
      </w:r>
      <w:r>
        <w:t>a</w:t>
      </w:r>
      <w:r w:rsidRPr="00B13B54">
        <w:t>llowance</w:t>
      </w:r>
    </w:p>
    <w:p w:rsidR="002A5D84" w:rsidRDefault="002A5D84" w:rsidP="00FB19CB">
      <w:pPr>
        <w:pStyle w:val="BodyText"/>
      </w:pPr>
      <w:r>
        <w:t>T</w:t>
      </w:r>
      <w:r w:rsidRPr="00033AC8">
        <w:t xml:space="preserve">he RAA is a supplementary payment for income support recipients (such as age and disability support pensioners and recipients of Newstart </w:t>
      </w:r>
      <w:r>
        <w:t>a</w:t>
      </w:r>
      <w:r w:rsidRPr="00033AC8">
        <w:t xml:space="preserve">llowance and </w:t>
      </w:r>
      <w:r>
        <w:t>parenting</w:t>
      </w:r>
      <w:r w:rsidRPr="00033AC8">
        <w:t xml:space="preserve"> </w:t>
      </w:r>
      <w:r>
        <w:t>p</w:t>
      </w:r>
      <w:r w:rsidRPr="00033AC8">
        <w:t xml:space="preserve">ayment) living in eligible remote zones. </w:t>
      </w:r>
      <w:r>
        <w:t>It was introduced in 1984 in response to the Cox Review, which found that:</w:t>
      </w:r>
    </w:p>
    <w:p w:rsidR="002A5D84" w:rsidRDefault="002A5D84" w:rsidP="00FB19CB">
      <w:pPr>
        <w:pStyle w:val="Quote"/>
      </w:pPr>
      <w:r>
        <w:t xml:space="preserve">… the zone allowance [ZTO] is not a good form of assistance for all people living in isolated areas. Individuals whose income is insufficient for whatever reasons are unable to take advantage of the tax rebate. Persons whose main source of income is a social security benefit are excluded from any benefit. </w:t>
      </w:r>
      <w:r w:rsidRPr="00E14BF6">
        <w:rPr>
          <w:szCs w:val="24"/>
        </w:rPr>
        <w:t>(Cox et al. 1981, p. 29)</w:t>
      </w:r>
    </w:p>
    <w:p w:rsidR="003D445C" w:rsidRDefault="002A5D84" w:rsidP="003D445C">
      <w:pPr>
        <w:pStyle w:val="BodyText"/>
      </w:pPr>
      <w:r>
        <w:t>T</w:t>
      </w:r>
      <w:r w:rsidRPr="00834AA2">
        <w:t xml:space="preserve">he objective of </w:t>
      </w:r>
      <w:r>
        <w:t xml:space="preserve">the </w:t>
      </w:r>
      <w:r w:rsidRPr="00834AA2">
        <w:t>RAA is to compensate for the</w:t>
      </w:r>
      <w:r>
        <w:t xml:space="preserve"> higher cost of living in remote regions. It</w:t>
      </w:r>
      <w:r w:rsidDel="00A04448">
        <w:t xml:space="preserve"> is paid each fortnight </w:t>
      </w:r>
      <w:r>
        <w:t xml:space="preserve">as a flat payment across all eligible remote areas and income groups. For a single individual, the fortnightly rate translates to a payment of about $470 a year; for a couple with two children, it translates to $1190 a year. Recipients of the RAA may also be </w:t>
      </w:r>
      <w:r w:rsidR="003D445C">
        <w:t xml:space="preserve">eligible for the ZTO, but receipt of the RAA reduces the ZTO claimable on a </w:t>
      </w:r>
      <w:r w:rsidR="003D445C" w:rsidRPr="00E477EB">
        <w:t>dollar</w:t>
      </w:r>
      <w:r w:rsidR="003D445C">
        <w:noBreakHyphen/>
      </w:r>
      <w:r w:rsidR="003D445C" w:rsidRPr="00E477EB">
        <w:t>for</w:t>
      </w:r>
      <w:r w:rsidR="003D445C">
        <w:noBreakHyphen/>
      </w:r>
      <w:r w:rsidR="003D445C" w:rsidRPr="00E477EB">
        <w:t>dollar basis</w:t>
      </w:r>
      <w:r w:rsidR="003D445C">
        <w:t>.</w:t>
      </w:r>
    </w:p>
    <w:p w:rsidR="006E0D4A" w:rsidRDefault="006E0D4A" w:rsidP="006E0D4A">
      <w:pPr>
        <w:pStyle w:val="BodyText"/>
      </w:pPr>
      <w:r>
        <w:t>T</w:t>
      </w:r>
      <w:r w:rsidRPr="00C60A14">
        <w:t>he</w:t>
      </w:r>
      <w:r>
        <w:t xml:space="preserve"> Australian Government spends </w:t>
      </w:r>
      <w:r w:rsidRPr="00C60A14">
        <w:t>around $</w:t>
      </w:r>
      <w:r w:rsidRPr="00064F10">
        <w:t>44</w:t>
      </w:r>
      <w:r>
        <w:t> </w:t>
      </w:r>
      <w:r w:rsidRPr="00C60A14">
        <w:t xml:space="preserve">million </w:t>
      </w:r>
      <w:r>
        <w:t xml:space="preserve">on the RAA each year, reaching over </w:t>
      </w:r>
      <w:r w:rsidDel="00BB34FF">
        <w:t>1</w:t>
      </w:r>
      <w:r>
        <w:t>13 000 income support recipients in eligible areas. Zones eligible</w:t>
      </w:r>
      <w:r w:rsidRPr="00785838">
        <w:t xml:space="preserve"> for the RAA </w:t>
      </w:r>
      <w:r w:rsidRPr="005300D2">
        <w:t xml:space="preserve">are </w:t>
      </w:r>
      <w:r>
        <w:t>a subset of</w:t>
      </w:r>
      <w:r w:rsidRPr="005300D2">
        <w:t xml:space="preserve"> those </w:t>
      </w:r>
      <w:r>
        <w:t xml:space="preserve">eligible </w:t>
      </w:r>
      <w:r w:rsidRPr="005300D2">
        <w:t>for the ZTO</w:t>
      </w:r>
      <w:r>
        <w:t xml:space="preserve"> and exclude </w:t>
      </w:r>
      <w:r w:rsidRPr="00785838" w:rsidDel="00785838">
        <w:t xml:space="preserve">ordinary </w:t>
      </w:r>
      <w:r w:rsidRPr="00785838">
        <w:t>Zone B (figure </w:t>
      </w:r>
      <w:r>
        <w:t>6, panel A</w:t>
      </w:r>
      <w:r w:rsidRPr="00785838">
        <w:t xml:space="preserve">). </w:t>
      </w:r>
    </w:p>
    <w:p w:rsidR="006E0D4A" w:rsidRDefault="006E0D4A" w:rsidP="006E0D4A">
      <w:pPr>
        <w:pStyle w:val="BodyText"/>
      </w:pPr>
      <w:r>
        <w:t>The RAA is unusual in that its beneficiaries are concentrated: geographically; by socioeconomic status; and by ethnicity. The majority of recipients are located in the Northern Territory,</w:t>
      </w:r>
      <w:r w:rsidR="009C502D">
        <w:t xml:space="preserve"> with one in </w:t>
      </w:r>
      <w:r>
        <w:t>five Territorians over the age of 15 years in receipt of the payment (</w:t>
      </w:r>
      <w:r w:rsidDel="00BB34FF">
        <w:t>figure</w:t>
      </w:r>
      <w:r>
        <w:t xml:space="preserve"> 6, panel B). Half of all RAA recipients fall within areas of the highest </w:t>
      </w:r>
      <w:r w:rsidR="007C7D3C">
        <w:t>socioeconomic</w:t>
      </w:r>
      <w:r>
        <w:t xml:space="preserve"> disadvantage (figure 6, panel C) and two thirds of recipients are Indigenous Australians. This means that even small changes to the RAA could have a significant cumulative impact on some communities.</w:t>
      </w:r>
    </w:p>
    <w:p w:rsidR="006E0D4A" w:rsidRDefault="006E0D4A" w:rsidP="006E0D4A">
      <w:pPr>
        <w:pStyle w:val="BodyText"/>
      </w:pPr>
      <w:r>
        <w:t>Other notable characteristics of RAA recipients include:</w:t>
      </w:r>
    </w:p>
    <w:p w:rsidR="006E0D4A" w:rsidRDefault="006E0D4A" w:rsidP="006E0D4A">
      <w:pPr>
        <w:pStyle w:val="ListBullet"/>
      </w:pPr>
      <w:r>
        <w:t>the</w:t>
      </w:r>
      <w:r w:rsidDel="00BD786D">
        <w:t xml:space="preserve"> </w:t>
      </w:r>
      <w:r>
        <w:t>majority are in receipt of either the Newstart allowance, age pension, disability support pension or parenting payment</w:t>
      </w:r>
    </w:p>
    <w:p w:rsidR="006E0D4A" w:rsidRDefault="006E0D4A" w:rsidP="006E0D4A">
      <w:pPr>
        <w:pStyle w:val="ListBullet"/>
      </w:pPr>
      <w:r>
        <w:t>just over half have been in receipt of an income support payment for over five years</w:t>
      </w:r>
    </w:p>
    <w:p w:rsidR="006E0D4A" w:rsidRDefault="009C502D" w:rsidP="006E0D4A">
      <w:pPr>
        <w:pStyle w:val="ListBullet"/>
      </w:pPr>
      <w:r>
        <w:t>fewer than one in </w:t>
      </w:r>
      <w:r w:rsidR="006E0D4A">
        <w:t>ten had employment earnings in the fortnight prior to being surveyed</w:t>
      </w:r>
    </w:p>
    <w:p w:rsidR="006E0D4A" w:rsidRPr="006B308B" w:rsidRDefault="006E0D4A" w:rsidP="006E0D4A">
      <w:pPr>
        <w:pStyle w:val="ListBullet"/>
        <w:rPr>
          <w:spacing w:val="-2"/>
        </w:rPr>
      </w:pPr>
      <w:r w:rsidRPr="006B308B">
        <w:rPr>
          <w:spacing w:val="-2"/>
        </w:rPr>
        <w:t>beneficiaries are predominantly in the 25 to 34 years and the 65 years and over age groups.</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Pr="00176D3F" w:rsidRDefault="002A5D84" w:rsidP="00FB19CB">
            <w:pPr>
              <w:pStyle w:val="FigureTitle"/>
            </w:pPr>
            <w:r w:rsidRPr="00784A05">
              <w:rPr>
                <w:b w:val="0"/>
              </w:rPr>
              <w:t>Figure</w:t>
            </w:r>
            <w:r>
              <w:rPr>
                <w:b w:val="0"/>
              </w:rPr>
              <w:t xml:space="preserve"> 6</w:t>
            </w:r>
            <w:r>
              <w:tab/>
              <w:t>A snapshot of the RAA</w:t>
            </w:r>
          </w:p>
        </w:tc>
      </w:tr>
      <w:tr w:rsidR="002A5D84" w:rsidTr="00FB19CB">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12"/>
              <w:gridCol w:w="4293"/>
            </w:tblGrid>
            <w:tr w:rsidR="002A5D84" w:rsidRPr="00B1465D" w:rsidTr="00FB19CB">
              <w:trPr>
                <w:trHeight w:val="273"/>
                <w:tblHeader/>
                <w:jc w:val="center"/>
              </w:trPr>
              <w:tc>
                <w:tcPr>
                  <w:tcW w:w="2500" w:type="pct"/>
                  <w:tcBorders>
                    <w:top w:val="nil"/>
                    <w:bottom w:val="nil"/>
                  </w:tcBorders>
                </w:tcPr>
                <w:p w:rsidR="002A5D84" w:rsidRPr="007577F5" w:rsidRDefault="002A5D84" w:rsidP="002A5D84">
                  <w:pPr>
                    <w:pStyle w:val="Figure"/>
                    <w:numPr>
                      <w:ilvl w:val="0"/>
                      <w:numId w:val="22"/>
                    </w:numPr>
                    <w:spacing w:before="60" w:after="60"/>
                    <w:rPr>
                      <w:rFonts w:ascii="Arial" w:hAnsi="Arial" w:cs="Arial"/>
                      <w:i/>
                      <w:sz w:val="18"/>
                      <w:szCs w:val="18"/>
                    </w:rPr>
                  </w:pPr>
                  <w:r w:rsidRPr="007577F5">
                    <w:rPr>
                      <w:rFonts w:ascii="Arial" w:hAnsi="Arial" w:cs="Arial"/>
                      <w:i/>
                      <w:sz w:val="18"/>
                      <w:szCs w:val="18"/>
                    </w:rPr>
                    <w:t>Current RAA areas</w:t>
                  </w:r>
                </w:p>
              </w:tc>
              <w:tc>
                <w:tcPr>
                  <w:tcW w:w="2500" w:type="pct"/>
                  <w:tcBorders>
                    <w:top w:val="nil"/>
                    <w:bottom w:val="nil"/>
                  </w:tcBorders>
                </w:tcPr>
                <w:p w:rsidR="002A5D84" w:rsidRPr="00236B97" w:rsidRDefault="002A5D84" w:rsidP="002A5D84">
                  <w:pPr>
                    <w:pStyle w:val="Figure"/>
                    <w:numPr>
                      <w:ilvl w:val="0"/>
                      <w:numId w:val="22"/>
                    </w:numPr>
                    <w:spacing w:before="60" w:after="60"/>
                    <w:rPr>
                      <w:rFonts w:cs="Arial"/>
                      <w:szCs w:val="18"/>
                    </w:rPr>
                  </w:pPr>
                  <w:r w:rsidRPr="00236B97">
                    <w:rPr>
                      <w:rFonts w:ascii="Arial" w:hAnsi="Arial" w:cs="Arial"/>
                      <w:sz w:val="18"/>
                      <w:szCs w:val="18"/>
                    </w:rPr>
                    <w:t xml:space="preserve"> Most RAA recipients live in the NT</w:t>
                  </w:r>
                </w:p>
              </w:tc>
            </w:tr>
            <w:tr w:rsidR="002A5D84" w:rsidRPr="00B1465D" w:rsidTr="00FB19CB">
              <w:trPr>
                <w:trHeight w:val="273"/>
                <w:tblHeader/>
                <w:jc w:val="center"/>
              </w:trPr>
              <w:tc>
                <w:tcPr>
                  <w:tcW w:w="2500" w:type="pct"/>
                  <w:tcBorders>
                    <w:top w:val="nil"/>
                    <w:bottom w:val="nil"/>
                  </w:tcBorders>
                </w:tcPr>
                <w:p w:rsidR="002A5D84" w:rsidRDefault="002A5D84" w:rsidP="00FB19CB">
                  <w:pPr>
                    <w:pStyle w:val="Figure"/>
                    <w:spacing w:before="60" w:after="60"/>
                    <w:rPr>
                      <w:rFonts w:ascii="Arial" w:hAnsi="Arial" w:cs="Arial"/>
                      <w:sz w:val="18"/>
                      <w:szCs w:val="18"/>
                    </w:rPr>
                  </w:pPr>
                  <w:r w:rsidRPr="00E1150D">
                    <w:rPr>
                      <w:rFonts w:ascii="Arial" w:hAnsi="Arial" w:cs="Arial"/>
                      <w:noProof/>
                      <w:sz w:val="18"/>
                      <w:szCs w:val="18"/>
                    </w:rPr>
                    <w:drawing>
                      <wp:inline distT="0" distB="0" distL="0" distR="0" wp14:anchorId="6BDCF30C" wp14:editId="16650999">
                        <wp:extent cx="2281188" cy="2044363"/>
                        <wp:effectExtent l="0" t="0" r="5080" b="0"/>
                        <wp:docPr id="6" name="Picture 6" descr="This map of Australia shows that RAA areas cover much of the northern half of mainland Australia, south-east Western Australia and the northern and north-west parts of South Australia. Islands such as Christmas Island, the Cocos (Keeling) Islands, King Island Lord Howe Island, Flinders Island, Norfolk Island, and the Torres Strait Islands are also included as RAA areas." title="Current RAA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Zone Tax Offset\Work\Brent\Calculations - RAA\Outputs\RAA_ZONES.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2288086" cy="20505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Borders>
                    <w:top w:val="nil"/>
                    <w:bottom w:val="nil"/>
                  </w:tcBorders>
                </w:tcPr>
                <w:p w:rsidR="002A5D84" w:rsidRDefault="002A5D84" w:rsidP="00FB19CB">
                  <w:pPr>
                    <w:pStyle w:val="Figure"/>
                    <w:spacing w:before="60" w:after="60"/>
                    <w:rPr>
                      <w:rFonts w:ascii="Arial" w:hAnsi="Arial" w:cs="Arial"/>
                      <w:sz w:val="18"/>
                      <w:szCs w:val="18"/>
                    </w:rPr>
                  </w:pPr>
                  <w:r>
                    <w:rPr>
                      <w:rFonts w:ascii="Arial" w:hAnsi="Arial" w:cs="Arial"/>
                      <w:noProof/>
                      <w:sz w:val="18"/>
                      <w:szCs w:val="18"/>
                    </w:rPr>
                    <w:drawing>
                      <wp:inline distT="0" distB="0" distL="0" distR="0" wp14:anchorId="3D2DFE56" wp14:editId="4E0E2DB5">
                        <wp:extent cx="2743200" cy="1981200"/>
                        <wp:effectExtent l="0" t="0" r="0" b="0"/>
                        <wp:docPr id="27" name="Picture 27" descr="This figure shows that 55 per cent of RAA recipients live in the Northern Territory, 23 per cent of RAA recipients live in Western Australia and 18 per cent of RAA recipients live in Queensland." title="Most RAA recipients live in the 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1981200"/>
                                </a:xfrm>
                                <a:prstGeom prst="rect">
                                  <a:avLst/>
                                </a:prstGeom>
                                <a:noFill/>
                                <a:ln>
                                  <a:noFill/>
                                </a:ln>
                              </pic:spPr>
                            </pic:pic>
                          </a:graphicData>
                        </a:graphic>
                      </wp:inline>
                    </w:drawing>
                  </w:r>
                </w:p>
              </w:tc>
            </w:tr>
            <w:tr w:rsidR="002A5D84" w:rsidRPr="00B1465D" w:rsidTr="00FB19CB">
              <w:trPr>
                <w:trHeight w:val="272"/>
                <w:tblHeader/>
                <w:jc w:val="center"/>
              </w:trPr>
              <w:tc>
                <w:tcPr>
                  <w:tcW w:w="2500" w:type="pct"/>
                  <w:tcBorders>
                    <w:top w:val="nil"/>
                    <w:bottom w:val="nil"/>
                  </w:tcBorders>
                </w:tcPr>
                <w:p w:rsidR="002A5D84" w:rsidRPr="007577F5" w:rsidRDefault="002A5D84" w:rsidP="002A5D84">
                  <w:pPr>
                    <w:pStyle w:val="Figure"/>
                    <w:numPr>
                      <w:ilvl w:val="0"/>
                      <w:numId w:val="22"/>
                    </w:numPr>
                    <w:spacing w:before="60" w:after="60"/>
                    <w:rPr>
                      <w:rFonts w:ascii="Arial" w:hAnsi="Arial" w:cs="Arial"/>
                      <w:i/>
                      <w:sz w:val="18"/>
                      <w:szCs w:val="18"/>
                    </w:rPr>
                  </w:pPr>
                  <w:r w:rsidRPr="007577F5">
                    <w:rPr>
                      <w:rFonts w:ascii="Arial" w:hAnsi="Arial" w:cs="Arial"/>
                      <w:i/>
                      <w:sz w:val="18"/>
                      <w:szCs w:val="18"/>
                    </w:rPr>
                    <w:t xml:space="preserve">Most RAA recipients live in areas </w:t>
                  </w:r>
                  <w:r w:rsidRPr="007577F5">
                    <w:rPr>
                      <w:rFonts w:ascii="Arial" w:hAnsi="Arial" w:cs="Arial"/>
                      <w:i/>
                      <w:sz w:val="18"/>
                      <w:szCs w:val="18"/>
                    </w:rPr>
                    <w:br/>
                    <w:t>of high disadvantage</w:t>
                  </w:r>
                </w:p>
              </w:tc>
              <w:tc>
                <w:tcPr>
                  <w:tcW w:w="2500" w:type="pct"/>
                  <w:tcBorders>
                    <w:top w:val="nil"/>
                    <w:bottom w:val="nil"/>
                  </w:tcBorders>
                </w:tcPr>
                <w:p w:rsidR="002A5D84" w:rsidRPr="007577F5" w:rsidRDefault="002A5D84" w:rsidP="002A5D84">
                  <w:pPr>
                    <w:pStyle w:val="Figure"/>
                    <w:numPr>
                      <w:ilvl w:val="0"/>
                      <w:numId w:val="22"/>
                    </w:numPr>
                    <w:spacing w:before="60" w:after="60"/>
                    <w:rPr>
                      <w:i/>
                    </w:rPr>
                  </w:pPr>
                  <w:r w:rsidRPr="007577F5">
                    <w:rPr>
                      <w:rFonts w:ascii="Arial" w:hAnsi="Arial" w:cs="Arial"/>
                      <w:i/>
                      <w:sz w:val="18"/>
                      <w:szCs w:val="18"/>
                    </w:rPr>
                    <w:t>The RAA has been falling in real value</w:t>
                  </w:r>
                </w:p>
              </w:tc>
            </w:tr>
            <w:tr w:rsidR="002A5D84" w:rsidRPr="00B1465D" w:rsidTr="00FB19CB">
              <w:trPr>
                <w:trHeight w:val="272"/>
                <w:tblHeader/>
                <w:jc w:val="center"/>
              </w:trPr>
              <w:tc>
                <w:tcPr>
                  <w:tcW w:w="2500" w:type="pct"/>
                  <w:tcBorders>
                    <w:top w:val="nil"/>
                    <w:bottom w:val="nil"/>
                  </w:tcBorders>
                </w:tcPr>
                <w:p w:rsidR="002A5D84" w:rsidRDefault="002A5D84" w:rsidP="00FB19CB">
                  <w:pPr>
                    <w:pStyle w:val="Figure"/>
                    <w:spacing w:before="60" w:after="60"/>
                    <w:rPr>
                      <w:rFonts w:ascii="Arial" w:hAnsi="Arial" w:cs="Arial"/>
                      <w:sz w:val="18"/>
                      <w:szCs w:val="18"/>
                    </w:rPr>
                  </w:pPr>
                  <w:r>
                    <w:rPr>
                      <w:rFonts w:ascii="Arial" w:hAnsi="Arial" w:cs="Arial"/>
                      <w:noProof/>
                      <w:sz w:val="18"/>
                      <w:szCs w:val="18"/>
                    </w:rPr>
                    <w:drawing>
                      <wp:inline distT="0" distB="0" distL="0" distR="0" wp14:anchorId="4306463A" wp14:editId="502C9F66">
                        <wp:extent cx="2691130" cy="2186305"/>
                        <wp:effectExtent l="0" t="0" r="0" b="4445"/>
                        <wp:docPr id="25" name="Picture 25" descr="This figure shows that 49 per cent of RAA recipients are in decile 1 areas of socio-economic disadvantage as based on the ABS Index of Relative Socio economic Disadvantage. This is the decile of highest disadvantage." title="Most RAA recipients live in areas of high disadva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91130" cy="2186305"/>
                                </a:xfrm>
                                <a:prstGeom prst="rect">
                                  <a:avLst/>
                                </a:prstGeom>
                                <a:noFill/>
                                <a:ln>
                                  <a:noFill/>
                                </a:ln>
                              </pic:spPr>
                            </pic:pic>
                          </a:graphicData>
                        </a:graphic>
                      </wp:inline>
                    </w:drawing>
                  </w:r>
                </w:p>
              </w:tc>
              <w:tc>
                <w:tcPr>
                  <w:tcW w:w="2500" w:type="pct"/>
                  <w:tcBorders>
                    <w:top w:val="nil"/>
                    <w:bottom w:val="nil"/>
                  </w:tcBorders>
                </w:tcPr>
                <w:p w:rsidR="002A5D84" w:rsidRDefault="002A5D84" w:rsidP="00FB19CB">
                  <w:pPr>
                    <w:pStyle w:val="Figure"/>
                    <w:spacing w:before="60" w:after="60"/>
                    <w:rPr>
                      <w:rFonts w:ascii="Arial" w:hAnsi="Arial" w:cs="Arial"/>
                      <w:sz w:val="18"/>
                      <w:szCs w:val="18"/>
                    </w:rPr>
                  </w:pPr>
                  <w:r>
                    <w:rPr>
                      <w:rFonts w:ascii="Arial" w:hAnsi="Arial" w:cs="Arial"/>
                      <w:noProof/>
                      <w:sz w:val="18"/>
                      <w:szCs w:val="18"/>
                    </w:rPr>
                    <w:drawing>
                      <wp:inline distT="0" distB="0" distL="0" distR="0" wp14:anchorId="1F4DBD80" wp14:editId="046BA295">
                        <wp:extent cx="2514600" cy="2209800"/>
                        <wp:effectExtent l="0" t="0" r="0" b="0"/>
                        <wp:docPr id="12" name="Picture 12" descr="This figure shows that the RAA for singles as a percentage of the maximum rate of the age and disability support pension for singles has decreased from 7.8 per cent in 1984 to 2.2 per cent today. The RAA for singles as a percentage of the maximum rate of the Newstart allowance for singles has decreased from 8.9 per cent in 1984 to 3.3 per cent today." title="The RAA has been falling in real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14600" cy="2209800"/>
                                </a:xfrm>
                                <a:prstGeom prst="rect">
                                  <a:avLst/>
                                </a:prstGeom>
                                <a:noFill/>
                                <a:ln>
                                  <a:noFill/>
                                </a:ln>
                              </pic:spPr>
                            </pic:pic>
                          </a:graphicData>
                        </a:graphic>
                      </wp:inline>
                    </w:drawing>
                  </w:r>
                </w:p>
              </w:tc>
            </w:tr>
            <w:tr w:rsidR="002A5D84" w:rsidRPr="00B1465D" w:rsidTr="00FB19CB">
              <w:trPr>
                <w:trHeight w:val="272"/>
                <w:tblHeader/>
                <w:jc w:val="center"/>
              </w:trPr>
              <w:tc>
                <w:tcPr>
                  <w:tcW w:w="2500" w:type="pct"/>
                  <w:tcBorders>
                    <w:top w:val="nil"/>
                    <w:bottom w:val="nil"/>
                  </w:tcBorders>
                </w:tcPr>
                <w:p w:rsidR="002A5D84" w:rsidRDefault="002A5D84" w:rsidP="002A5D84">
                  <w:pPr>
                    <w:pStyle w:val="Figure"/>
                    <w:numPr>
                      <w:ilvl w:val="0"/>
                      <w:numId w:val="22"/>
                    </w:numPr>
                    <w:spacing w:before="60" w:after="60"/>
                    <w:rPr>
                      <w:rFonts w:ascii="Arial" w:hAnsi="Arial" w:cs="Arial"/>
                      <w:sz w:val="18"/>
                      <w:szCs w:val="18"/>
                    </w:rPr>
                  </w:pPr>
                  <w:r w:rsidRPr="00F830ED">
                    <w:rPr>
                      <w:rFonts w:ascii="Arial" w:hAnsi="Arial" w:cs="Arial"/>
                      <w:i/>
                      <w:iCs/>
                      <w:sz w:val="18"/>
                      <w:szCs w:val="18"/>
                    </w:rPr>
                    <w:t xml:space="preserve">Most RAA recipients live in remote </w:t>
                  </w:r>
                  <w:r>
                    <w:rPr>
                      <w:rFonts w:ascii="Arial" w:hAnsi="Arial" w:cs="Arial"/>
                      <w:i/>
                      <w:iCs/>
                      <w:sz w:val="18"/>
                      <w:szCs w:val="18"/>
                    </w:rPr>
                    <w:br/>
                  </w:r>
                  <w:r w:rsidRPr="00F830ED">
                    <w:rPr>
                      <w:rFonts w:ascii="Arial" w:hAnsi="Arial" w:cs="Arial"/>
                      <w:i/>
                      <w:iCs/>
                      <w:sz w:val="18"/>
                      <w:szCs w:val="18"/>
                    </w:rPr>
                    <w:t>and very remote areas</w:t>
                  </w:r>
                </w:p>
              </w:tc>
              <w:tc>
                <w:tcPr>
                  <w:tcW w:w="2500" w:type="pct"/>
                  <w:tcBorders>
                    <w:top w:val="nil"/>
                    <w:bottom w:val="nil"/>
                  </w:tcBorders>
                </w:tcPr>
                <w:p w:rsidR="002A5D84" w:rsidRPr="00961282" w:rsidRDefault="002A5D84" w:rsidP="002A5D84">
                  <w:pPr>
                    <w:pStyle w:val="Figure"/>
                    <w:numPr>
                      <w:ilvl w:val="0"/>
                      <w:numId w:val="22"/>
                    </w:numPr>
                    <w:spacing w:before="60" w:after="60"/>
                    <w:rPr>
                      <w:rFonts w:ascii="Arial" w:hAnsi="Arial" w:cs="Arial"/>
                      <w:i/>
                      <w:sz w:val="18"/>
                      <w:szCs w:val="18"/>
                    </w:rPr>
                  </w:pPr>
                  <w:r w:rsidRPr="00961282">
                    <w:rPr>
                      <w:rFonts w:ascii="Arial" w:hAnsi="Arial" w:cs="Arial"/>
                      <w:i/>
                      <w:sz w:val="18"/>
                      <w:szCs w:val="18"/>
                    </w:rPr>
                    <w:t xml:space="preserve">Four key income support payments </w:t>
                  </w:r>
                  <w:r w:rsidRPr="00961282">
                    <w:rPr>
                      <w:rFonts w:ascii="Arial" w:hAnsi="Arial" w:cs="Arial"/>
                      <w:i/>
                      <w:sz w:val="18"/>
                      <w:szCs w:val="18"/>
                    </w:rPr>
                    <w:br/>
                    <w:t>are associated with the RAA</w:t>
                  </w:r>
                </w:p>
              </w:tc>
            </w:tr>
            <w:tr w:rsidR="002A5D84" w:rsidRPr="00B1465D" w:rsidTr="00FB19CB">
              <w:trPr>
                <w:trHeight w:val="272"/>
                <w:tblHeader/>
                <w:jc w:val="center"/>
              </w:trPr>
              <w:tc>
                <w:tcPr>
                  <w:tcW w:w="2500" w:type="pct"/>
                  <w:tcBorders>
                    <w:top w:val="nil"/>
                    <w:bottom w:val="nil"/>
                  </w:tcBorders>
                </w:tcPr>
                <w:p w:rsidR="002A5D84" w:rsidRDefault="002A5D84" w:rsidP="00FB19CB">
                  <w:pPr>
                    <w:pStyle w:val="Figure"/>
                    <w:spacing w:before="60" w:after="60"/>
                    <w:rPr>
                      <w:rFonts w:ascii="Arial" w:hAnsi="Arial" w:cs="Arial"/>
                      <w:sz w:val="18"/>
                      <w:szCs w:val="18"/>
                    </w:rPr>
                  </w:pPr>
                  <w:r>
                    <w:rPr>
                      <w:rFonts w:ascii="Arial" w:hAnsi="Arial" w:cs="Arial"/>
                      <w:noProof/>
                      <w:sz w:val="18"/>
                      <w:szCs w:val="18"/>
                    </w:rPr>
                    <w:drawing>
                      <wp:inline distT="0" distB="0" distL="0" distR="0" wp14:anchorId="3048E1C1" wp14:editId="1F1350C3">
                        <wp:extent cx="2567305" cy="1971675"/>
                        <wp:effectExtent l="0" t="0" r="4445" b="9525"/>
                        <wp:docPr id="21" name="Picture 21" descr="This figure shows that 47 per cent of RAA recipients live in very remote areas of Australia, 27 per cent of RAA recipients live in remote areas and 22 per cent live in outer regional areas, as defined by ABS classifications of remoteness." title="Most RAA recipients live in remote and very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7305" cy="1971675"/>
                                </a:xfrm>
                                <a:prstGeom prst="rect">
                                  <a:avLst/>
                                </a:prstGeom>
                                <a:noFill/>
                                <a:ln>
                                  <a:noFill/>
                                </a:ln>
                              </pic:spPr>
                            </pic:pic>
                          </a:graphicData>
                        </a:graphic>
                      </wp:inline>
                    </w:drawing>
                  </w:r>
                </w:p>
              </w:tc>
              <w:tc>
                <w:tcPr>
                  <w:tcW w:w="2500" w:type="pct"/>
                  <w:tcBorders>
                    <w:top w:val="nil"/>
                    <w:bottom w:val="nil"/>
                  </w:tcBorders>
                </w:tcPr>
                <w:p w:rsidR="002A5D84" w:rsidRDefault="002A5D84" w:rsidP="00FB19CB">
                  <w:pPr>
                    <w:pStyle w:val="Figure"/>
                    <w:spacing w:before="60" w:after="60"/>
                    <w:rPr>
                      <w:rFonts w:ascii="Arial" w:hAnsi="Arial" w:cs="Arial"/>
                      <w:sz w:val="18"/>
                      <w:szCs w:val="18"/>
                    </w:rPr>
                  </w:pPr>
                  <w:r>
                    <w:rPr>
                      <w:rFonts w:ascii="Arial" w:hAnsi="Arial" w:cs="Arial"/>
                      <w:noProof/>
                      <w:sz w:val="18"/>
                      <w:szCs w:val="18"/>
                    </w:rPr>
                    <w:drawing>
                      <wp:inline distT="0" distB="0" distL="0" distR="0" wp14:anchorId="43CEF25B" wp14:editId="678079F1">
                        <wp:extent cx="2705100" cy="2066925"/>
                        <wp:effectExtent l="0" t="0" r="0" b="9525"/>
                        <wp:docPr id="24" name="Picture 24" descr="This figure shows that 32 per cent of RAA recipients are in receipt of Newstart allowance, 21 per cent of RAA recipients are age pensioners, 17 per cent of RAA recipients receive a disability support pension and 16 per cent of RAA recipients receive parenting payment." title="Four key income support payments are associated with the 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5100" cy="2066925"/>
                                </a:xfrm>
                                <a:prstGeom prst="rect">
                                  <a:avLst/>
                                </a:prstGeom>
                                <a:noFill/>
                                <a:ln>
                                  <a:noFill/>
                                </a:ln>
                              </pic:spPr>
                            </pic:pic>
                          </a:graphicData>
                        </a:graphic>
                      </wp:inline>
                    </w:drawing>
                  </w:r>
                </w:p>
              </w:tc>
            </w:tr>
          </w:tbl>
          <w:p w:rsidR="002A5D84" w:rsidRDefault="002A5D84" w:rsidP="00FB19CB">
            <w:pPr>
              <w:pStyle w:val="Figure"/>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pPr>
      <w:r>
        <w:br w:type="page"/>
      </w:r>
    </w:p>
    <w:p w:rsidR="002A5D84" w:rsidRDefault="002A5D84" w:rsidP="00FB19CB">
      <w:pPr>
        <w:pStyle w:val="Heading3"/>
      </w:pPr>
      <w:r>
        <w:lastRenderedPageBreak/>
        <w:t>Is there a contemporary rationale for the RAA?</w:t>
      </w:r>
    </w:p>
    <w:p w:rsidR="002A5D84" w:rsidRDefault="002A5D84" w:rsidP="00FB19CB">
      <w:pPr>
        <w:pStyle w:val="BodyText"/>
      </w:pPr>
      <w:r>
        <w:t xml:space="preserve">The RAA is premised on income support recipients in remote areas being disadvantaged by relatively high living costs. While the evidence is not definitive, the Commission has found that </w:t>
      </w:r>
      <w:r w:rsidRPr="00752C2F">
        <w:t xml:space="preserve">living costs </w:t>
      </w:r>
      <w:r>
        <w:t xml:space="preserve">tend to </w:t>
      </w:r>
      <w:r w:rsidRPr="00752C2F">
        <w:t>increase with remoteness</w:t>
      </w:r>
      <w:r>
        <w:t xml:space="preserve">, with the special areas and ordinary Zone A having higher living costs, on average, than adjacent regional areas and state capital cities. </w:t>
      </w:r>
    </w:p>
    <w:p w:rsidR="002A5D84" w:rsidRDefault="002A5D84" w:rsidP="00FB19CB">
      <w:pPr>
        <w:pStyle w:val="BodyText"/>
      </w:pPr>
      <w:r>
        <w:t>There are features other than higher costs of living that also demarcate the difficulties of living in remote Australia from those of living in non</w:t>
      </w:r>
      <w:r>
        <w:noBreakHyphen/>
        <w:t xml:space="preserve">remote Australia. Access to key services is particularly challenging, for reasons of both availability and cost (in money and time), for communities in </w:t>
      </w:r>
      <w:r w:rsidRPr="00BF13E9">
        <w:rPr>
          <w:i/>
        </w:rPr>
        <w:t>very remote</w:t>
      </w:r>
      <w:r>
        <w:t xml:space="preserve"> areas that are far from major population centres. </w:t>
      </w:r>
    </w:p>
    <w:p w:rsidR="002A5D84" w:rsidRDefault="002A5D84" w:rsidP="00FB19CB">
      <w:pPr>
        <w:pStyle w:val="BodyText"/>
      </w:pPr>
      <w:r>
        <w:t xml:space="preserve">As with the ZTO, higher living costs (and less ready access to services) per se do not justify government compensation. However, there are two important differences between the ZTO and the RAA, and between their recipients, that sway the balance towards retaining a RAA in some form while abolishing the ZTO. </w:t>
      </w:r>
    </w:p>
    <w:p w:rsidR="002A5D84" w:rsidRDefault="002A5D84" w:rsidP="00FB19CB">
      <w:pPr>
        <w:pStyle w:val="BodyText"/>
      </w:pPr>
      <w:r>
        <w:t xml:space="preserve">First, whereas employers can provide higher remuneration to attract and retain workers in remote locations, there is no equivalent market mechanism to compensate </w:t>
      </w:r>
      <w:r w:rsidRPr="003D6ECF">
        <w:t>i</w:t>
      </w:r>
      <w:r>
        <w:t xml:space="preserve">ncome support recipients, who are predominantly not in the workforce. Second, RAA recipients in remote areas are generally more likely to face impediments to moving locations than those in jobs. The latter reflects that: </w:t>
      </w:r>
    </w:p>
    <w:p w:rsidR="002A5D84" w:rsidRDefault="002A5D84" w:rsidP="00FB19CB">
      <w:pPr>
        <w:pStyle w:val="ListBullet"/>
        <w:rPr>
          <w:szCs w:val="26"/>
        </w:rPr>
      </w:pPr>
      <w:r>
        <w:t xml:space="preserve">social and cultural connections and personal circumstances can ‘anchor’ people to places. This is particularly relevant for Indigenous Australians in remote areas, who constitute nearly two thirds of all RAA recipients. </w:t>
      </w:r>
      <w:r>
        <w:rPr>
          <w:szCs w:val="26"/>
        </w:rPr>
        <w:t xml:space="preserve">Indigenous Australians in </w:t>
      </w:r>
      <w:r w:rsidRPr="00BD786D">
        <w:rPr>
          <w:i/>
          <w:szCs w:val="26"/>
        </w:rPr>
        <w:t>very remote</w:t>
      </w:r>
      <w:r>
        <w:rPr>
          <w:szCs w:val="26"/>
        </w:rPr>
        <w:t xml:space="preserve"> areas are much less mobile than non</w:t>
      </w:r>
      <w:r>
        <w:rPr>
          <w:szCs w:val="26"/>
        </w:rPr>
        <w:noBreakHyphen/>
        <w:t>Indigenous Australians, largely as a result of familial and cultural ties (figure 1)</w:t>
      </w:r>
    </w:p>
    <w:p w:rsidR="002A5D84" w:rsidRDefault="002A5D84" w:rsidP="00FB19CB">
      <w:pPr>
        <w:pStyle w:val="ListBullet"/>
      </w:pPr>
      <w:r>
        <w:rPr>
          <w:szCs w:val="26"/>
        </w:rPr>
        <w:t>p</w:t>
      </w:r>
      <w:r w:rsidRPr="00317EDC">
        <w:rPr>
          <w:szCs w:val="26"/>
        </w:rPr>
        <w:t xml:space="preserve">eople on a very low income in remote areas, which would include some RAA recipients, tend to be less mobile than those on a higher income. The older age distribution of RAA recipients (one third are 55 years old or over) </w:t>
      </w:r>
      <w:r>
        <w:t>may also make them less mobile than ZTO beneficiaries who are typically of working age</w:t>
      </w:r>
    </w:p>
    <w:p w:rsidR="002A5D84" w:rsidRDefault="002A5D84" w:rsidP="00FB19CB">
      <w:pPr>
        <w:pStyle w:val="ListBullet"/>
      </w:pPr>
      <w:r>
        <w:t xml:space="preserve">in some particularly remote places, land and housing markets can be highly </w:t>
      </w:r>
      <w:r w:rsidRPr="008D63DC">
        <w:t>illiquid</w:t>
      </w:r>
      <w:r>
        <w:t>, geographically tying home</w:t>
      </w:r>
      <w:r>
        <w:noBreakHyphen/>
        <w:t>owning residents to the area. And RAA recipients with a continuing need for social housing and who wish to relocate to a new area may face the challenge of losing their accommodation and entering the queue in another area. This means that disadvantaged people in remote areas are likely, on average, to have fewer options than otherwise similarly disadvantaged people in non</w:t>
      </w:r>
      <w:r>
        <w:noBreakHyphen/>
        <w:t>remote areas.</w:t>
      </w:r>
    </w:p>
    <w:p w:rsidR="002A5D84" w:rsidRDefault="002A5D84" w:rsidP="00FB19CB">
      <w:pPr>
        <w:pStyle w:val="BodyText"/>
      </w:pPr>
      <w:r>
        <w:t xml:space="preserve">These limits on the mobility of many RAA recipients restrict their effective choice of where to live relative to most ZTO beneficiaries. This, together with the absence of a market mechanism of recompense for higher living costs and lower access to services, provides a policy basis </w:t>
      </w:r>
      <w:r w:rsidRPr="00BA14E6">
        <w:t>for a geographically</w:t>
      </w:r>
      <w:r w:rsidRPr="00BA14E6">
        <w:noBreakHyphen/>
        <w:t xml:space="preserve">based supplementary income support payment like the RAA. </w:t>
      </w:r>
    </w:p>
    <w:p w:rsidR="002A5D84" w:rsidRPr="00081FB4" w:rsidRDefault="002A5D84" w:rsidP="00FB19CB">
      <w:pPr>
        <w:pStyle w:val="BodyText"/>
        <w:rPr>
          <w:spacing w:val="-2"/>
        </w:rPr>
      </w:pPr>
      <w:r w:rsidRPr="00081FB4">
        <w:rPr>
          <w:spacing w:val="-2"/>
        </w:rPr>
        <w:lastRenderedPageBreak/>
        <w:t xml:space="preserve">However, it is far from a perfect payment — some people </w:t>
      </w:r>
      <w:r w:rsidRPr="00081FB4">
        <w:rPr>
          <w:i/>
          <w:spacing w:val="-2"/>
        </w:rPr>
        <w:t>would</w:t>
      </w:r>
      <w:r w:rsidRPr="00081FB4">
        <w:rPr>
          <w:spacing w:val="-2"/>
        </w:rPr>
        <w:t xml:space="preserve"> have the capacity to move, others might face relatively low costs of living due to their preferences, and others might have higher costs. But no social security payment can be finely calibrated to each person. In </w:t>
      </w:r>
      <w:r w:rsidR="00C65794" w:rsidRPr="00081FB4">
        <w:rPr>
          <w:spacing w:val="-2"/>
        </w:rPr>
        <w:t>the</w:t>
      </w:r>
      <w:r w:rsidRPr="00081FB4">
        <w:rPr>
          <w:spacing w:val="-2"/>
        </w:rPr>
        <w:t xml:space="preserve"> case of the RAA, there are enough people in roughly similar circumstances to justify a premium. </w:t>
      </w:r>
    </w:p>
    <w:p w:rsidR="002A5D84" w:rsidRDefault="00C65794" w:rsidP="00FB19CB">
      <w:pPr>
        <w:pStyle w:val="BodyText"/>
        <w:rPr>
          <w:b/>
        </w:rPr>
      </w:pPr>
      <w:r>
        <w:t>Th</w:t>
      </w:r>
      <w:r w:rsidR="002A5D84">
        <w:t>e</w:t>
      </w:r>
      <w:r w:rsidR="002A5D84" w:rsidRPr="00BA14E6">
        <w:t xml:space="preserve"> unique conjunction of circumstances </w:t>
      </w:r>
      <w:r w:rsidR="002A5D84">
        <w:t xml:space="preserve">relating to the RAA </w:t>
      </w:r>
      <w:r w:rsidR="002A5D84" w:rsidRPr="00BA14E6">
        <w:t xml:space="preserve">does not apply elsewhere, and </w:t>
      </w:r>
      <w:r w:rsidR="00596229">
        <w:t>the</w:t>
      </w:r>
      <w:r w:rsidR="002A5D84" w:rsidRPr="00BA14E6">
        <w:t xml:space="preserve"> Commission does not see a broader case for geographically</w:t>
      </w:r>
      <w:r w:rsidR="002A5D84" w:rsidRPr="00BA14E6">
        <w:noBreakHyphen/>
        <w:t>based income support payments.</w:t>
      </w:r>
    </w:p>
    <w:p w:rsidR="002A5D84" w:rsidRDefault="002A5D84" w:rsidP="00FB19CB">
      <w:pPr>
        <w:pStyle w:val="Heading3"/>
      </w:pPr>
      <w:r>
        <w:t xml:space="preserve">A refresh is required </w:t>
      </w:r>
    </w:p>
    <w:p w:rsidR="002A5D84" w:rsidRDefault="002A5D84" w:rsidP="00FB19CB">
      <w:pPr>
        <w:pStyle w:val="Heading4"/>
        <w:spacing w:before="240"/>
      </w:pPr>
      <w:r>
        <w:t>The boundaries should be updated</w:t>
      </w:r>
    </w:p>
    <w:p w:rsidR="002A5D84" w:rsidRDefault="002A5D84" w:rsidP="00FB19CB">
      <w:pPr>
        <w:pStyle w:val="BodyText"/>
      </w:pPr>
      <w:r>
        <w:t xml:space="preserve">As with the ZTO, the RAA zones do not reflect contemporary definitions of remoteness. Inevitably, this gives rise to anomalies in the boundaries. </w:t>
      </w:r>
    </w:p>
    <w:p w:rsidR="002A5D84" w:rsidRDefault="002A5D84" w:rsidP="00FB19CB">
      <w:pPr>
        <w:pStyle w:val="BodyText"/>
      </w:pPr>
      <w:r>
        <w:t>T</w:t>
      </w:r>
      <w:r w:rsidRPr="00D830EF">
        <w:t xml:space="preserve">here are significant areas of Australia that are </w:t>
      </w:r>
      <w:r>
        <w:t xml:space="preserve">classified as either </w:t>
      </w:r>
      <w:r w:rsidRPr="00696B3A">
        <w:rPr>
          <w:i/>
        </w:rPr>
        <w:t>very remote</w:t>
      </w:r>
      <w:r>
        <w:t xml:space="preserve"> or </w:t>
      </w:r>
      <w:r w:rsidRPr="00696B3A">
        <w:rPr>
          <w:i/>
        </w:rPr>
        <w:t>remote</w:t>
      </w:r>
      <w:r w:rsidRPr="00D830EF">
        <w:t xml:space="preserve"> </w:t>
      </w:r>
      <w:r>
        <w:t xml:space="preserve">by the ABS, </w:t>
      </w:r>
      <w:r w:rsidRPr="00D830EF">
        <w:t xml:space="preserve">but </w:t>
      </w:r>
      <w:r>
        <w:t xml:space="preserve">are </w:t>
      </w:r>
      <w:r w:rsidRPr="00D830EF">
        <w:t xml:space="preserve">not eligible for </w:t>
      </w:r>
      <w:r>
        <w:t xml:space="preserve">the </w:t>
      </w:r>
      <w:r w:rsidRPr="00D830EF">
        <w:t>RAA</w:t>
      </w:r>
      <w:r>
        <w:t>. These include expansive areas in Queensland and New South Wales, and areas in the south west of Western Australia, the south</w:t>
      </w:r>
      <w:r w:rsidDel="00C4303F">
        <w:t xml:space="preserve"> </w:t>
      </w:r>
      <w:r>
        <w:t xml:space="preserve">east of South </w:t>
      </w:r>
      <w:r w:rsidRPr="00C65794">
        <w:rPr>
          <w:spacing w:val="-2"/>
        </w:rPr>
        <w:t>Australia and the west coast of Tasmania (</w:t>
      </w:r>
      <w:r w:rsidRPr="00C65794" w:rsidDel="00BB34FF">
        <w:rPr>
          <w:spacing w:val="-2"/>
        </w:rPr>
        <w:t>figure</w:t>
      </w:r>
      <w:r w:rsidRPr="00C65794">
        <w:rPr>
          <w:spacing w:val="-2"/>
        </w:rPr>
        <w:t xml:space="preserve"> 7). On the other hand, Darwin is classified </w:t>
      </w:r>
      <w:r w:rsidR="00C65794" w:rsidRPr="00C65794">
        <w:rPr>
          <w:spacing w:val="-2"/>
        </w:rPr>
        <w:t>as</w:t>
      </w:r>
      <w:r>
        <w:t xml:space="preserve"> </w:t>
      </w:r>
      <w:r w:rsidRPr="00696B3A">
        <w:rPr>
          <w:i/>
        </w:rPr>
        <w:t>outer regional</w:t>
      </w:r>
      <w:r>
        <w:t xml:space="preserve"> rather than </w:t>
      </w:r>
      <w:r w:rsidRPr="00696B3A">
        <w:rPr>
          <w:i/>
        </w:rPr>
        <w:t>remote</w:t>
      </w:r>
      <w:r>
        <w:t xml:space="preserve"> by the ABS, but Darwin residents are</w:t>
      </w:r>
      <w:r w:rsidRPr="00D16470">
        <w:t xml:space="preserve"> eligible for the RAA.</w:t>
      </w:r>
    </w:p>
    <w:p w:rsidR="002A5D84" w:rsidRDefault="002A5D84" w:rsidP="00FB19CB">
      <w:pPr>
        <w:pStyle w:val="BoxSpaceAbove"/>
      </w:pPr>
    </w:p>
    <w:tbl>
      <w:tblPr>
        <w:tblW w:w="4953"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rHeight w:val="672"/>
          <w:tblHeader/>
        </w:trPr>
        <w:tc>
          <w:tcPr>
            <w:tcW w:w="5000" w:type="pct"/>
            <w:tcBorders>
              <w:top w:val="single" w:sz="6" w:space="0" w:color="78A22F"/>
              <w:left w:val="nil"/>
              <w:bottom w:val="nil"/>
              <w:right w:val="nil"/>
            </w:tcBorders>
            <w:shd w:val="clear" w:color="auto" w:fill="auto"/>
          </w:tcPr>
          <w:p w:rsidR="002A5D84" w:rsidRPr="00176D3F" w:rsidRDefault="002A5D84" w:rsidP="00FB19CB">
            <w:pPr>
              <w:pStyle w:val="FigureTitle"/>
            </w:pPr>
            <w:r w:rsidRPr="00784A05">
              <w:rPr>
                <w:b w:val="0"/>
              </w:rPr>
              <w:t xml:space="preserve">Figure </w:t>
            </w:r>
            <w:r>
              <w:rPr>
                <w:b w:val="0"/>
              </w:rPr>
              <w:t>7</w:t>
            </w:r>
            <w:r>
              <w:tab/>
              <w:t>RAA areas do not reflect contemporary definitions of remoteness</w:t>
            </w:r>
          </w:p>
        </w:tc>
      </w:tr>
      <w:tr w:rsidR="002A5D84" w:rsidTr="00FB19CB">
        <w:trPr>
          <w:trHeight w:val="5151"/>
        </w:trPr>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A5D84" w:rsidRPr="00B1465D" w:rsidTr="00FB19CB">
              <w:trPr>
                <w:trHeight w:val="5130"/>
                <w:tblHeader/>
                <w:jc w:val="center"/>
              </w:trPr>
              <w:tc>
                <w:tcPr>
                  <w:tcW w:w="5000" w:type="pct"/>
                  <w:tcBorders>
                    <w:top w:val="nil"/>
                    <w:bottom w:val="nil"/>
                  </w:tcBorders>
                </w:tcPr>
                <w:p w:rsidR="002A5D84" w:rsidRPr="00B1465D" w:rsidRDefault="002A5D84" w:rsidP="00FB19CB">
                  <w:pPr>
                    <w:pStyle w:val="Figure"/>
                    <w:spacing w:before="0" w:after="0"/>
                    <w:rPr>
                      <w:rFonts w:ascii="Arial" w:hAnsi="Arial" w:cs="Arial"/>
                      <w:sz w:val="18"/>
                      <w:szCs w:val="18"/>
                    </w:rPr>
                  </w:pPr>
                  <w:r w:rsidRPr="00C7418C">
                    <w:rPr>
                      <w:rFonts w:ascii="Arial" w:hAnsi="Arial" w:cs="Arial"/>
                      <w:noProof/>
                      <w:sz w:val="18"/>
                      <w:szCs w:val="18"/>
                    </w:rPr>
                    <w:drawing>
                      <wp:inline distT="0" distB="0" distL="0" distR="0" wp14:anchorId="74BE69D9" wp14:editId="5CC9D680">
                        <wp:extent cx="5342255" cy="3215005"/>
                        <wp:effectExtent l="0" t="0" r="0" b="4445"/>
                        <wp:docPr id="14" name="Picture 14" descr="This map shows that significant areas of Australia are classified as either very remote or remote by the ABS but are not eligible for the RAA including large areas in Queensland and New South Wales, along with parts of the south-east of South Australia and south-west of Western Australia and the west coast of Tasmania. It also shows that the only ABS non remote area currently eligible for the RAA is Darwin, which is classified as outer regional." title="RAA areas do not reflect contemporary definitions of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42255" cy="3215005"/>
                                </a:xfrm>
                                <a:prstGeom prst="rect">
                                  <a:avLst/>
                                </a:prstGeom>
                                <a:noFill/>
                                <a:ln>
                                  <a:noFill/>
                                </a:ln>
                              </pic:spPr>
                            </pic:pic>
                          </a:graphicData>
                        </a:graphic>
                      </wp:inline>
                    </w:drawing>
                  </w:r>
                  <w:r w:rsidRPr="00C7418C" w:rsidDel="00C7418C">
                    <w:rPr>
                      <w:rFonts w:ascii="Arial" w:hAnsi="Arial" w:cs="Arial"/>
                      <w:sz w:val="18"/>
                      <w:szCs w:val="18"/>
                    </w:rPr>
                    <w:t xml:space="preserve"> </w:t>
                  </w:r>
                </w:p>
              </w:tc>
            </w:tr>
          </w:tbl>
          <w:p w:rsidR="002A5D84" w:rsidRDefault="002A5D84" w:rsidP="00FB19CB">
            <w:pPr>
              <w:pStyle w:val="Figure"/>
            </w:pPr>
          </w:p>
        </w:tc>
      </w:tr>
      <w:tr w:rsidR="002A5D84" w:rsidTr="00FB19CB">
        <w:trPr>
          <w:trHeight w:val="104"/>
        </w:trPr>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rPr>
          <w:trHeight w:val="178"/>
        </w:trPr>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pPr>
      <w:r>
        <w:lastRenderedPageBreak/>
        <w:t xml:space="preserve">The draft report expressed a slight preference for updating RAA boundaries to ABS </w:t>
      </w:r>
      <w:r w:rsidRPr="006763CD">
        <w:rPr>
          <w:i/>
        </w:rPr>
        <w:t>remote</w:t>
      </w:r>
      <w:r>
        <w:t xml:space="preserve"> and </w:t>
      </w:r>
      <w:r w:rsidRPr="006763CD">
        <w:rPr>
          <w:i/>
        </w:rPr>
        <w:t>very remote</w:t>
      </w:r>
      <w:r>
        <w:t xml:space="preserve"> areas. However, further analysis has prompted the Commission to recommend that RAA boundaries be aligned to ABS </w:t>
      </w:r>
      <w:r w:rsidRPr="005831FA">
        <w:rPr>
          <w:i/>
        </w:rPr>
        <w:t>very remote</w:t>
      </w:r>
      <w:r>
        <w:t xml:space="preserve"> areas only. </w:t>
      </w:r>
    </w:p>
    <w:p w:rsidR="002A5D84" w:rsidRDefault="002A5D84" w:rsidP="00FB19CB">
      <w:pPr>
        <w:pStyle w:val="ListBullet"/>
      </w:pPr>
      <w:r>
        <w:t xml:space="preserve">Living costs </w:t>
      </w:r>
      <w:r w:rsidRPr="004C3010">
        <w:t xml:space="preserve">in </w:t>
      </w:r>
      <w:r w:rsidRPr="006F0B4E">
        <w:rPr>
          <w:i/>
        </w:rPr>
        <w:t xml:space="preserve">very </w:t>
      </w:r>
      <w:r w:rsidRPr="00B57ABE">
        <w:rPr>
          <w:i/>
        </w:rPr>
        <w:t>remote</w:t>
      </w:r>
      <w:r w:rsidRPr="00BB7B6B">
        <w:t xml:space="preserve"> </w:t>
      </w:r>
      <w:r w:rsidRPr="004C3010">
        <w:t xml:space="preserve">areas </w:t>
      </w:r>
      <w:r>
        <w:t xml:space="preserve">are significantly higher than those in </w:t>
      </w:r>
      <w:r w:rsidRPr="006F0B4E">
        <w:rPr>
          <w:i/>
        </w:rPr>
        <w:t>remote</w:t>
      </w:r>
      <w:r>
        <w:t xml:space="preserve"> areas (which in some cases are n</w:t>
      </w:r>
      <w:r w:rsidRPr="004C3010">
        <w:t xml:space="preserve">ot </w:t>
      </w:r>
      <w:r>
        <w:t>much</w:t>
      </w:r>
      <w:r w:rsidRPr="004C3010">
        <w:t xml:space="preserve"> different to those in capital cities</w:t>
      </w:r>
      <w:r>
        <w:t>).</w:t>
      </w:r>
    </w:p>
    <w:p w:rsidR="002A5D84" w:rsidRDefault="002A5D84" w:rsidP="00FB19CB">
      <w:pPr>
        <w:pStyle w:val="ListBullet"/>
      </w:pPr>
      <w:r>
        <w:t>P</w:t>
      </w:r>
      <w:r w:rsidRPr="006F0B4E">
        <w:t>eople in</w:t>
      </w:r>
      <w:r>
        <w:rPr>
          <w:i/>
        </w:rPr>
        <w:t xml:space="preserve"> v</w:t>
      </w:r>
      <w:r w:rsidRPr="006F0B4E">
        <w:rPr>
          <w:i/>
        </w:rPr>
        <w:t>ery remote</w:t>
      </w:r>
      <w:r>
        <w:t xml:space="preserve"> areas have less ready access to </w:t>
      </w:r>
      <w:r w:rsidRPr="001B4811">
        <w:t>hospitals</w:t>
      </w:r>
      <w:r>
        <w:t>, schools, retail</w:t>
      </w:r>
      <w:r w:rsidRPr="001B4811">
        <w:t xml:space="preserve"> </w:t>
      </w:r>
      <w:r>
        <w:t xml:space="preserve">facilities </w:t>
      </w:r>
      <w:r w:rsidRPr="001B4811">
        <w:t xml:space="preserve">and other services. </w:t>
      </w:r>
    </w:p>
    <w:p w:rsidR="002A5D84" w:rsidRDefault="002A5D84" w:rsidP="00FB19CB">
      <w:pPr>
        <w:pStyle w:val="ListBullet"/>
      </w:pPr>
      <w:r>
        <w:t xml:space="preserve">Recipients in </w:t>
      </w:r>
      <w:r w:rsidRPr="00F72998">
        <w:rPr>
          <w:i/>
        </w:rPr>
        <w:t>very remote</w:t>
      </w:r>
      <w:r>
        <w:t xml:space="preserve"> areas, particularly Indigenous Australians, tend to be less geographically mobile.</w:t>
      </w:r>
    </w:p>
    <w:p w:rsidR="002A5D84" w:rsidRPr="004A7767" w:rsidRDefault="002A5D84" w:rsidP="00FB19CB">
      <w:pPr>
        <w:pStyle w:val="ListBullet"/>
      </w:pPr>
      <w:r w:rsidRPr="006F0B4E">
        <w:rPr>
          <w:i/>
        </w:rPr>
        <w:t>Very remote</w:t>
      </w:r>
      <w:r>
        <w:t xml:space="preserve"> areas tend to have greater levels of </w:t>
      </w:r>
      <w:r w:rsidR="007C7D3C">
        <w:t>socioeconomic</w:t>
      </w:r>
      <w:r>
        <w:t xml:space="preserve"> disadvantage and be less resilient to adverse economic changes than </w:t>
      </w:r>
      <w:r w:rsidRPr="006F0B4E">
        <w:rPr>
          <w:i/>
        </w:rPr>
        <w:t>remote</w:t>
      </w:r>
      <w:r>
        <w:t xml:space="preserve"> areas. </w:t>
      </w:r>
    </w:p>
    <w:p w:rsidR="002A5D84" w:rsidRDefault="002A5D84" w:rsidP="00FB19CB">
      <w:pPr>
        <w:pStyle w:val="BodyText"/>
      </w:pPr>
      <w:r>
        <w:t xml:space="preserve">Targeting the RAA boundaries to </w:t>
      </w:r>
      <w:r w:rsidRPr="006F0B4E">
        <w:rPr>
          <w:i/>
        </w:rPr>
        <w:t>very remote</w:t>
      </w:r>
      <w:r>
        <w:t xml:space="preserve"> areas </w:t>
      </w:r>
      <w:r w:rsidRPr="00A64C4A">
        <w:t>would exclude an estimated 25</w:t>
      </w:r>
      <w:r>
        <w:t> </w:t>
      </w:r>
      <w:r w:rsidRPr="00A64C4A">
        <w:t>000 (annual) recipients in Darwin and a further 33</w:t>
      </w:r>
      <w:r>
        <w:t> </w:t>
      </w:r>
      <w:r w:rsidRPr="00A64C4A">
        <w:t>000 people living in places like Alice Springs (Northern Territory), Karratha (Western Australia), Katherine (Northern Territory), Mt Isa (Queensland), Port Hedland (Western Australia) and Roxby Downs (South Australia). Overall, it would decrease the number of people eligible for the RAA by a net 46</w:t>
      </w:r>
      <w:r>
        <w:t> </w:t>
      </w:r>
      <w:r w:rsidRPr="00A64C4A">
        <w:t xml:space="preserve">000. </w:t>
      </w:r>
    </w:p>
    <w:p w:rsidR="002A5D84" w:rsidRDefault="002A5D84" w:rsidP="00FB19CB">
      <w:pPr>
        <w:pStyle w:val="BodyText"/>
      </w:pPr>
      <w:r w:rsidRPr="00E10C91">
        <w:t>Boundaries should be adjusted when the ABS remoteness definitions are updated (currently on a five</w:t>
      </w:r>
      <w:r w:rsidRPr="00E10C91">
        <w:noBreakHyphen/>
        <w:t>yearly basis).</w:t>
      </w:r>
      <w:r>
        <w:t xml:space="preserve"> </w:t>
      </w:r>
    </w:p>
    <w:p w:rsidR="002A5D84" w:rsidRDefault="002A5D84" w:rsidP="00FB19CB">
      <w:pPr>
        <w:pStyle w:val="Heading4"/>
      </w:pPr>
      <w:r w:rsidRPr="00A83047">
        <w:t xml:space="preserve">RAA payment rates </w:t>
      </w:r>
      <w:r>
        <w:t xml:space="preserve">need a </w:t>
      </w:r>
      <w:r w:rsidDel="00A26EEC">
        <w:t>reset</w:t>
      </w:r>
    </w:p>
    <w:p w:rsidR="002A5D84" w:rsidRDefault="002A5D84" w:rsidP="00FB19CB">
      <w:pPr>
        <w:pStyle w:val="BodyText"/>
      </w:pPr>
      <w:r>
        <w:t>P</w:t>
      </w:r>
      <w:r w:rsidRPr="00E60B06">
        <w:t xml:space="preserve">ayment rates have </w:t>
      </w:r>
      <w:r>
        <w:t xml:space="preserve">been </w:t>
      </w:r>
      <w:r w:rsidRPr="00E60B06">
        <w:t xml:space="preserve">increased </w:t>
      </w:r>
      <w:r>
        <w:t xml:space="preserve">only </w:t>
      </w:r>
      <w:r w:rsidRPr="00E60B06">
        <w:t>twice since</w:t>
      </w:r>
      <w:r w:rsidRPr="00E60B06" w:rsidDel="00951252">
        <w:t xml:space="preserve"> </w:t>
      </w:r>
      <w:r>
        <w:t>the RAA’s</w:t>
      </w:r>
      <w:r w:rsidRPr="00E60B06">
        <w:t xml:space="preserve"> inception</w:t>
      </w:r>
      <w:r>
        <w:t xml:space="preserve">, and </w:t>
      </w:r>
      <w:r w:rsidRPr="00E60B06">
        <w:t>no adjustment</w:t>
      </w:r>
      <w:r>
        <w:t>s</w:t>
      </w:r>
      <w:r w:rsidRPr="00E60B06">
        <w:t xml:space="preserve"> have been made in almost 20 years.</w:t>
      </w:r>
      <w:r>
        <w:t xml:space="preserve"> Because the RAA (unlike its associated income support payments) is not indexed, the payment rates of the RAA in real terms and as </w:t>
      </w:r>
      <w:r w:rsidRPr="000920A6">
        <w:t xml:space="preserve">a </w:t>
      </w:r>
      <w:r>
        <w:t>share</w:t>
      </w:r>
      <w:r w:rsidRPr="000920A6">
        <w:t xml:space="preserve"> of </w:t>
      </w:r>
      <w:r>
        <w:t xml:space="preserve">the primary </w:t>
      </w:r>
      <w:r w:rsidRPr="000920A6">
        <w:t>income support payment ha</w:t>
      </w:r>
      <w:r>
        <w:t>ve</w:t>
      </w:r>
      <w:r w:rsidRPr="000920A6">
        <w:t xml:space="preserve"> fallen</w:t>
      </w:r>
      <w:r>
        <w:t xml:space="preserve">. </w:t>
      </w:r>
      <w:r w:rsidRPr="000920A6">
        <w:t xml:space="preserve">For example, </w:t>
      </w:r>
      <w:r>
        <w:t xml:space="preserve">the RAA payment </w:t>
      </w:r>
      <w:r w:rsidRPr="00B60A0E">
        <w:t xml:space="preserve">as a percentage of the maximum age and disability support pension for a single </w:t>
      </w:r>
      <w:r>
        <w:t xml:space="preserve">person </w:t>
      </w:r>
      <w:r w:rsidRPr="00B60A0E">
        <w:t>has decreased from 7.</w:t>
      </w:r>
      <w:r w:rsidRPr="00B60A0E" w:rsidDel="00BB34FF">
        <w:t>8</w:t>
      </w:r>
      <w:r>
        <w:t> </w:t>
      </w:r>
      <w:r w:rsidRPr="00B60A0E">
        <w:t>per</w:t>
      </w:r>
      <w:r>
        <w:t> </w:t>
      </w:r>
      <w:r w:rsidRPr="00B60A0E">
        <w:t>cent in 1984 to 2.</w:t>
      </w:r>
      <w:r w:rsidRPr="00B60A0E" w:rsidDel="00BB34FF">
        <w:t>2</w:t>
      </w:r>
      <w:r>
        <w:t> </w:t>
      </w:r>
      <w:r w:rsidRPr="00B60A0E" w:rsidDel="00BB34FF">
        <w:t>per</w:t>
      </w:r>
      <w:r>
        <w:t> </w:t>
      </w:r>
      <w:r w:rsidRPr="00B60A0E">
        <w:t>cent today (figure</w:t>
      </w:r>
      <w:r>
        <w:t> 6,</w:t>
      </w:r>
      <w:r w:rsidRPr="001D394F">
        <w:t xml:space="preserve"> </w:t>
      </w:r>
      <w:r>
        <w:t>panel D</w:t>
      </w:r>
      <w:r w:rsidRPr="00B60A0E">
        <w:t>).</w:t>
      </w:r>
    </w:p>
    <w:p w:rsidR="002A5D84" w:rsidRPr="00401F5C" w:rsidRDefault="002A5D84" w:rsidP="00FB19CB">
      <w:pPr>
        <w:pStyle w:val="BodyText"/>
      </w:pPr>
      <w:r w:rsidRPr="00401F5C">
        <w:t xml:space="preserve">The Australian Government (through the Department of Social Services) should initiate a process for setting new payment rates for the RAA. </w:t>
      </w:r>
    </w:p>
    <w:p w:rsidR="002A5D84" w:rsidRPr="00401F5C" w:rsidRDefault="002A5D84" w:rsidP="00FB19CB">
      <w:pPr>
        <w:pStyle w:val="BodyText"/>
      </w:pPr>
      <w:r w:rsidRPr="00401F5C">
        <w:t xml:space="preserve">In revising the payment rates, the Government should aim for coherence between the RAA and the broader income support system. Among other things, it should take into account the availability of measures such as Commonwealth rent assistance, allowances for isolated children and the relocation scholarship that help to address the difficulties of living in remote areas. It should also consider the disincentives to work that the RAA could engender — particularly in the context where the ZTO is abolished (as recommended by the Commission). </w:t>
      </w:r>
    </w:p>
    <w:p w:rsidR="002A5D84" w:rsidRDefault="002A5D84" w:rsidP="00FB19CB">
      <w:pPr>
        <w:pStyle w:val="BodyText"/>
      </w:pPr>
      <w:r w:rsidRPr="00855702">
        <w:t>As with other income support payments, the Government also needs to consider the appropriate trade</w:t>
      </w:r>
      <w:r w:rsidRPr="00855702">
        <w:noBreakHyphen/>
        <w:t xml:space="preserve">off between the adequacy of RAA payment rates and the forgone benefits </w:t>
      </w:r>
      <w:r w:rsidRPr="00855702">
        <w:lastRenderedPageBreak/>
        <w:t xml:space="preserve">from spending on other priorities. And it should take into account the impact of technological and economic advances </w:t>
      </w:r>
      <w:r>
        <w:t>that</w:t>
      </w:r>
      <w:r w:rsidRPr="00855702">
        <w:t xml:space="preserve"> alter the nature of remote living</w:t>
      </w:r>
      <w:r>
        <w:t>.</w:t>
      </w:r>
      <w:r w:rsidRPr="00855702">
        <w:t xml:space="preserve"> </w:t>
      </w:r>
      <w:r>
        <w:t>Australia’s regions are always changing. This makes it important to periodically review not only RAA payment rates but also the administration of the RAA itself.</w:t>
      </w:r>
    </w:p>
    <w:p w:rsidR="002A5D84" w:rsidRDefault="002A5D84" w:rsidP="00FB19CB">
      <w:pPr>
        <w:pStyle w:val="Heading2"/>
      </w:pPr>
      <w:r>
        <w:t>Fringe benefits tax remote area concessions</w:t>
      </w:r>
    </w:p>
    <w:p w:rsidR="002A5D84" w:rsidRDefault="002A5D84" w:rsidP="00FB19CB">
      <w:pPr>
        <w:pStyle w:val="BodyText"/>
      </w:pPr>
      <w:r w:rsidRPr="00D10129">
        <w:t xml:space="preserve">FBT was introduced in 1986 to tax </w:t>
      </w:r>
      <w:r>
        <w:t>remuneration provided</w:t>
      </w:r>
      <w:r w:rsidRPr="00D10129">
        <w:t xml:space="preserve"> to employees in a form other than </w:t>
      </w:r>
      <w:r>
        <w:t>wages</w:t>
      </w:r>
      <w:r w:rsidRPr="00D10129">
        <w:t xml:space="preserve">, </w:t>
      </w:r>
      <w:r>
        <w:t xml:space="preserve">and </w:t>
      </w:r>
      <w:r w:rsidRPr="00D10129">
        <w:t xml:space="preserve">as an integrity measure to prevent </w:t>
      </w:r>
      <w:r>
        <w:t>this ‘remuneration</w:t>
      </w:r>
      <w:r w:rsidRPr="00D10129">
        <w:t xml:space="preserve"> in kind</w:t>
      </w:r>
      <w:r>
        <w:t>’</w:t>
      </w:r>
      <w:r w:rsidRPr="00D10129">
        <w:t xml:space="preserve"> </w:t>
      </w:r>
      <w:r>
        <w:t xml:space="preserve">from </w:t>
      </w:r>
      <w:r w:rsidRPr="00D10129">
        <w:t xml:space="preserve">being used to </w:t>
      </w:r>
      <w:r>
        <w:t>lower</w:t>
      </w:r>
      <w:r w:rsidRPr="00D10129">
        <w:t xml:space="preserve"> </w:t>
      </w:r>
      <w:r>
        <w:t xml:space="preserve">personal </w:t>
      </w:r>
      <w:r w:rsidRPr="00D10129">
        <w:t>income tax obligations</w:t>
      </w:r>
      <w:r>
        <w:t xml:space="preserve">. </w:t>
      </w:r>
    </w:p>
    <w:p w:rsidR="002A5D84" w:rsidRDefault="002A5D84" w:rsidP="00FB19CB">
      <w:pPr>
        <w:pStyle w:val="BodyText"/>
      </w:pPr>
      <w:r>
        <w:t>FBT is levied at a flat rate of 47 per cent, equivalent to the top marginal individual income tax rate (plus the Medicare levy). It applies to any goods and services provided to employees, including through reimbursement of employee expenses, except those excluded in legislation. A key feature of the regime is that the high rate of tax discourages the provision of goods and services in favour of wage income, except where there is concessional treatment.</w:t>
      </w:r>
    </w:p>
    <w:p w:rsidR="002A5D84" w:rsidRDefault="002A5D84" w:rsidP="00FB19CB">
      <w:pPr>
        <w:pStyle w:val="BodyText"/>
      </w:pPr>
      <w:r w:rsidRPr="00973B1E">
        <w:t xml:space="preserve">Under Australia’s </w:t>
      </w:r>
      <w:r>
        <w:t>FBT</w:t>
      </w:r>
      <w:r w:rsidRPr="00973B1E">
        <w:t xml:space="preserve"> regime, </w:t>
      </w:r>
      <w:r>
        <w:t>specific</w:t>
      </w:r>
      <w:r w:rsidRPr="00973B1E">
        <w:t xml:space="preserve"> </w:t>
      </w:r>
      <w:r w:rsidRPr="00303F10">
        <w:t>concessions</w:t>
      </w:r>
      <w:r w:rsidRPr="00973B1E">
        <w:t xml:space="preserve"> </w:t>
      </w:r>
      <w:r>
        <w:t>apply to the provision of certain goods and services</w:t>
      </w:r>
      <w:r w:rsidRPr="00973B1E">
        <w:t xml:space="preserve"> to employees working in designated remote areas</w:t>
      </w:r>
      <w:r w:rsidRPr="006E0AC5">
        <w:t>.</w:t>
      </w:r>
      <w:r>
        <w:t xml:space="preserve"> Although these concessions have elements in common with the ZTO and the RAA — in that they all provide assistance to people or businesses through the tax and transfer system based on their location in Australia — they also differ significantly in their objectives, operation, and impacts. </w:t>
      </w:r>
    </w:p>
    <w:p w:rsidR="002A5D84" w:rsidRDefault="002A5D84" w:rsidP="00FB19CB">
      <w:pPr>
        <w:pStyle w:val="BodyText"/>
      </w:pPr>
      <w:r>
        <w:t xml:space="preserve">The remote area FBT concessions take two main forms: </w:t>
      </w:r>
    </w:p>
    <w:p w:rsidR="002A5D84" w:rsidRDefault="002A5D84" w:rsidP="00FB19CB">
      <w:pPr>
        <w:pStyle w:val="ListBullet"/>
        <w:rPr>
          <w:i/>
        </w:rPr>
      </w:pPr>
      <w:r w:rsidRPr="00047036">
        <w:t>exempt</w:t>
      </w:r>
      <w:r>
        <w:t>ions</w:t>
      </w:r>
      <w:r>
        <w:rPr>
          <w:i/>
        </w:rPr>
        <w:t>,</w:t>
      </w:r>
      <w:r>
        <w:t xml:space="preserve"> whereby the good or service is not subject to any FBT </w:t>
      </w:r>
    </w:p>
    <w:p w:rsidR="002A5D84" w:rsidRPr="000D20B8" w:rsidRDefault="002A5D84" w:rsidP="00FB19CB">
      <w:pPr>
        <w:pStyle w:val="ListBullet"/>
        <w:rPr>
          <w:i/>
        </w:rPr>
      </w:pPr>
      <w:r>
        <w:t>partial concessions, where the taxable value of the good or service is reduced for FBT purposes.</w:t>
      </w:r>
    </w:p>
    <w:p w:rsidR="002A5D84" w:rsidRPr="005835FB" w:rsidRDefault="002A5D84" w:rsidP="00FB19CB">
      <w:pPr>
        <w:pStyle w:val="BodyText"/>
        <w:rPr>
          <w:szCs w:val="24"/>
        </w:rPr>
      </w:pPr>
      <w:r>
        <w:t xml:space="preserve">Subject to eligibility criteria </w:t>
      </w:r>
      <w:r>
        <w:rPr>
          <w:szCs w:val="24"/>
        </w:rPr>
        <w:t>(box 1), which are partly linked to the ZTO boundaries, the following FBT r</w:t>
      </w:r>
      <w:r w:rsidRPr="005835FB">
        <w:rPr>
          <w:szCs w:val="24"/>
        </w:rPr>
        <w:t xml:space="preserve">emote </w:t>
      </w:r>
      <w:r>
        <w:rPr>
          <w:szCs w:val="24"/>
        </w:rPr>
        <w:t xml:space="preserve">area </w:t>
      </w:r>
      <w:r w:rsidRPr="005835FB">
        <w:rPr>
          <w:szCs w:val="24"/>
        </w:rPr>
        <w:t>concessions</w:t>
      </w:r>
      <w:r>
        <w:rPr>
          <w:szCs w:val="24"/>
        </w:rPr>
        <w:t xml:space="preserve"> apply.</w:t>
      </w:r>
    </w:p>
    <w:p w:rsidR="002A5D84" w:rsidRPr="0086774B" w:rsidRDefault="002A5D84" w:rsidP="00FB19CB">
      <w:pPr>
        <w:pStyle w:val="ListBullet"/>
      </w:pPr>
      <w:r>
        <w:t>H</w:t>
      </w:r>
      <w:r w:rsidRPr="0086774B">
        <w:t xml:space="preserve">ousing owned or leased by the employer and provided to an employee as </w:t>
      </w:r>
      <w:r>
        <w:t>their usual place of residence</w:t>
      </w:r>
      <w:r w:rsidRPr="0086774B">
        <w:t xml:space="preserve"> </w:t>
      </w:r>
      <w:r>
        <w:t>(hereafter, employer</w:t>
      </w:r>
      <w:r>
        <w:noBreakHyphen/>
        <w:t>provided housing)</w:t>
      </w:r>
      <w:r w:rsidRPr="0086774B">
        <w:t xml:space="preserve"> is exempt from FBT</w:t>
      </w:r>
      <w:r>
        <w:t>.</w:t>
      </w:r>
    </w:p>
    <w:p w:rsidR="002A5D84" w:rsidRDefault="002A5D84" w:rsidP="00FB19CB">
      <w:pPr>
        <w:pStyle w:val="ListBullet"/>
      </w:pPr>
      <w:r w:rsidRPr="00F40528">
        <w:t>Various</w:t>
      </w:r>
      <w:r w:rsidRPr="005835FB">
        <w:rPr>
          <w:szCs w:val="24"/>
        </w:rPr>
        <w:t xml:space="preserve"> </w:t>
      </w:r>
      <w:r w:rsidRPr="00F40528">
        <w:t xml:space="preserve">forms of financial assistance with </w:t>
      </w:r>
      <w:r w:rsidRPr="00F3735D">
        <w:t>employee</w:t>
      </w:r>
      <w:r>
        <w:noBreakHyphen/>
      </w:r>
      <w:r w:rsidRPr="00F3735D">
        <w:t>sourced housing</w:t>
      </w:r>
      <w:r w:rsidRPr="00BF52BD">
        <w:t xml:space="preserve">, such as </w:t>
      </w:r>
      <w:r>
        <w:t xml:space="preserve">assistance </w:t>
      </w:r>
      <w:r w:rsidRPr="00BF52BD">
        <w:t xml:space="preserve">with rent or mortgage interest payments, </w:t>
      </w:r>
      <w:r>
        <w:t>attract partial concessions where the taxable value is reduced, often by</w:t>
      </w:r>
      <w:r w:rsidRPr="00BF52BD">
        <w:t xml:space="preserve"> 50</w:t>
      </w:r>
      <w:r>
        <w:t> </w:t>
      </w:r>
      <w:r w:rsidRPr="00BF52BD">
        <w:t>per</w:t>
      </w:r>
      <w:r>
        <w:t> </w:t>
      </w:r>
      <w:r w:rsidRPr="00BF52BD">
        <w:t>cent.</w:t>
      </w:r>
      <w:r>
        <w:t xml:space="preserve"> </w:t>
      </w:r>
    </w:p>
    <w:p w:rsidR="002A5D84" w:rsidRDefault="002A5D84" w:rsidP="00FB19CB">
      <w:pPr>
        <w:pStyle w:val="ListBullet"/>
      </w:pPr>
      <w:r>
        <w:t>Temporary accommodation, meals, and transport for FIFO and drive</w:t>
      </w:r>
      <w:r>
        <w:noBreakHyphen/>
        <w:t>in drive</w:t>
      </w:r>
      <w:r>
        <w:noBreakHyphen/>
        <w:t>out employees (hereafter referred to as FIFO arrangements) are exempt.</w:t>
      </w:r>
    </w:p>
    <w:p w:rsidR="002A5D84" w:rsidRDefault="002A5D84" w:rsidP="00FB19CB">
      <w:pPr>
        <w:pStyle w:val="ListBullet"/>
      </w:pPr>
      <w:r w:rsidRPr="00F40528">
        <w:t xml:space="preserve">The provision of residential fuel (including electricity and gas) and holiday </w:t>
      </w:r>
      <w:r w:rsidRPr="00725713">
        <w:t xml:space="preserve">transport </w:t>
      </w:r>
      <w:r w:rsidRPr="00F40528">
        <w:t xml:space="preserve">attract </w:t>
      </w:r>
      <w:r>
        <w:t xml:space="preserve">50 per cent </w:t>
      </w:r>
      <w:r w:rsidRPr="00F40528">
        <w:t xml:space="preserve">concessions, while meals provided to </w:t>
      </w:r>
      <w:r>
        <w:t xml:space="preserve">primary production </w:t>
      </w:r>
      <w:r w:rsidRPr="00F40528">
        <w:t>employees are exempt</w:t>
      </w:r>
      <w:r>
        <w:t>.</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F2F2F2"/>
          </w:tcPr>
          <w:p w:rsidR="002A5D84" w:rsidRDefault="002A5D84" w:rsidP="00FB19CB">
            <w:pPr>
              <w:pStyle w:val="BoxTitle"/>
            </w:pPr>
            <w:r>
              <w:rPr>
                <w:b w:val="0"/>
              </w:rPr>
              <w:lastRenderedPageBreak/>
              <w:t>Box 1</w:t>
            </w:r>
            <w:r>
              <w:tab/>
              <w:t>Eligibility criteria for the FBT remote area concessions</w:t>
            </w:r>
          </w:p>
        </w:tc>
      </w:tr>
      <w:tr w:rsidR="002A5D84" w:rsidTr="00FB19CB">
        <w:tc>
          <w:tcPr>
            <w:tcW w:w="5000" w:type="pct"/>
            <w:tcBorders>
              <w:top w:val="nil"/>
              <w:left w:val="nil"/>
              <w:bottom w:val="nil"/>
              <w:right w:val="nil"/>
            </w:tcBorders>
            <w:shd w:val="clear" w:color="auto" w:fill="F2F2F2"/>
          </w:tcPr>
          <w:p w:rsidR="002A5D84" w:rsidRDefault="002A5D84" w:rsidP="00FB19CB">
            <w:pPr>
              <w:pStyle w:val="Box"/>
            </w:pPr>
            <w:r>
              <w:t>Eligibility criteria for FBT concessions differ across the various concessions. For instance, for</w:t>
            </w:r>
            <w:r>
              <w:rPr>
                <w:szCs w:val="24"/>
              </w:rPr>
              <w:t xml:space="preserve"> employer</w:t>
            </w:r>
            <w:r>
              <w:rPr>
                <w:szCs w:val="24"/>
              </w:rPr>
              <w:noBreakHyphen/>
              <w:t>provided housing</w:t>
            </w:r>
            <w:r>
              <w:t xml:space="preserve">, employers must demonstrate that they meet </w:t>
            </w:r>
            <w:r w:rsidRPr="002D20F3">
              <w:t>one of three tests</w:t>
            </w:r>
            <w:r>
              <w:t xml:space="preserve"> to show that the provision of housing is </w:t>
            </w:r>
            <w:r w:rsidRPr="000A6770">
              <w:rPr>
                <w:i/>
              </w:rPr>
              <w:t>necessary</w:t>
            </w:r>
            <w:r>
              <w:t xml:space="preserve">: i) employees may be </w:t>
            </w:r>
            <w:r w:rsidRPr="00812958">
              <w:rPr>
                <w:i/>
              </w:rPr>
              <w:t>required to move</w:t>
            </w:r>
            <w:r>
              <w:t xml:space="preserve">; or ii) there are </w:t>
            </w:r>
            <w:r w:rsidRPr="000A6770">
              <w:rPr>
                <w:i/>
              </w:rPr>
              <w:t>insufficient alternatives</w:t>
            </w:r>
            <w:r>
              <w:t xml:space="preserve">; or iii) it is </w:t>
            </w:r>
            <w:r w:rsidRPr="000A6770">
              <w:rPr>
                <w:i/>
              </w:rPr>
              <w:t>‘customary’</w:t>
            </w:r>
            <w:r>
              <w:t xml:space="preserve"> in the industry. However, in the case of </w:t>
            </w:r>
            <w:r w:rsidRPr="003B47E9">
              <w:t>assistance for employee</w:t>
            </w:r>
            <w:r>
              <w:noBreakHyphen/>
            </w:r>
            <w:r w:rsidRPr="003B47E9">
              <w:t>sourced housing</w:t>
            </w:r>
            <w:r>
              <w:t xml:space="preserve">, the requirement for it to be </w:t>
            </w:r>
            <w:r w:rsidRPr="00F40A2D">
              <w:t>‘customary’</w:t>
            </w:r>
            <w:r>
              <w:t xml:space="preserve"> must be met.</w:t>
            </w:r>
          </w:p>
          <w:p w:rsidR="002A5D84" w:rsidRPr="005835FB" w:rsidRDefault="002A5D84" w:rsidP="00FB19CB">
            <w:pPr>
              <w:pStyle w:val="Box"/>
              <w:rPr>
                <w:szCs w:val="24"/>
              </w:rPr>
            </w:pPr>
            <w:r w:rsidRPr="005835FB">
              <w:rPr>
                <w:szCs w:val="24"/>
              </w:rPr>
              <w:t xml:space="preserve">The geographic boundaries that define ‘remote areas’ for FBT purposes are based on the distance </w:t>
            </w:r>
            <w:r>
              <w:t xml:space="preserve">— by road, as they existed in 1986 — </w:t>
            </w:r>
            <w:r>
              <w:rPr>
                <w:szCs w:val="24"/>
              </w:rPr>
              <w:t>between</w:t>
            </w:r>
            <w:r w:rsidRPr="005835FB">
              <w:rPr>
                <w:szCs w:val="24"/>
              </w:rPr>
              <w:t xml:space="preserve"> the employee’s location </w:t>
            </w:r>
            <w:r>
              <w:rPr>
                <w:szCs w:val="24"/>
              </w:rPr>
              <w:t>and</w:t>
            </w:r>
            <w:r w:rsidRPr="005835FB">
              <w:rPr>
                <w:szCs w:val="24"/>
              </w:rPr>
              <w:t xml:space="preserve"> various</w:t>
            </w:r>
            <w:r>
              <w:rPr>
                <w:szCs w:val="24"/>
              </w:rPr>
              <w:noBreakHyphen/>
            </w:r>
            <w:r w:rsidRPr="005835FB">
              <w:rPr>
                <w:szCs w:val="24"/>
              </w:rPr>
              <w:t xml:space="preserve">sized ‘eligible urban areas’, </w:t>
            </w:r>
            <w:r>
              <w:rPr>
                <w:szCs w:val="24"/>
              </w:rPr>
              <w:t>defined by</w:t>
            </w:r>
            <w:r w:rsidRPr="005835FB">
              <w:rPr>
                <w:szCs w:val="24"/>
              </w:rPr>
              <w:t xml:space="preserve"> population </w:t>
            </w:r>
            <w:r>
              <w:rPr>
                <w:szCs w:val="24"/>
              </w:rPr>
              <w:t xml:space="preserve">figures from </w:t>
            </w:r>
            <w:r w:rsidRPr="005835FB">
              <w:rPr>
                <w:szCs w:val="24"/>
              </w:rPr>
              <w:t xml:space="preserve">the 1981 </w:t>
            </w:r>
            <w:r w:rsidR="00901AB4">
              <w:rPr>
                <w:szCs w:val="24"/>
              </w:rPr>
              <w:t>census</w:t>
            </w:r>
            <w:r w:rsidRPr="005835FB">
              <w:rPr>
                <w:szCs w:val="24"/>
              </w:rPr>
              <w:t>.</w:t>
            </w:r>
          </w:p>
          <w:p w:rsidR="002A5D84" w:rsidRPr="001250DF" w:rsidRDefault="002A5D84" w:rsidP="00C65794">
            <w:pPr>
              <w:pStyle w:val="ListBullet"/>
              <w:spacing w:line="220" w:lineRule="atLeast"/>
              <w:rPr>
                <w:rFonts w:asciiTheme="majorHAnsi" w:hAnsiTheme="majorHAnsi" w:cstheme="majorHAnsi"/>
                <w:sz w:val="20"/>
              </w:rPr>
            </w:pPr>
            <w:r w:rsidRPr="001250DF">
              <w:rPr>
                <w:rFonts w:asciiTheme="majorHAnsi" w:hAnsiTheme="majorHAnsi" w:cstheme="majorHAnsi"/>
                <w:sz w:val="20"/>
              </w:rPr>
              <w:t>In (ZTO) Zone A or B, for a location to be remote for FBT purposes it must be at least 40 km from an ‘eligible urban area’ of 28 000 or more people and at least 100 km from an eligible urban area with a population of 130 000 or more.</w:t>
            </w:r>
          </w:p>
          <w:p w:rsidR="002A5D84" w:rsidRPr="001250DF" w:rsidRDefault="002A5D84" w:rsidP="00C65794">
            <w:pPr>
              <w:pStyle w:val="ListBullet"/>
              <w:spacing w:line="220" w:lineRule="atLeast"/>
              <w:rPr>
                <w:rFonts w:asciiTheme="majorHAnsi" w:hAnsiTheme="majorHAnsi" w:cstheme="majorHAnsi"/>
                <w:sz w:val="20"/>
              </w:rPr>
            </w:pPr>
            <w:r w:rsidRPr="001250DF">
              <w:rPr>
                <w:rFonts w:asciiTheme="majorHAnsi" w:hAnsiTheme="majorHAnsi" w:cstheme="majorHAnsi"/>
                <w:sz w:val="20"/>
              </w:rPr>
              <w:t>Outside (ZTO) Zone A or B, for a location to be remote it must be at least 40 km from an eligible urban area with a population of 14 000 or more and at least 100 km from an eligible urban area with a population of 130 000 o</w:t>
            </w:r>
            <w:r>
              <w:rPr>
                <w:rFonts w:asciiTheme="majorHAnsi" w:hAnsiTheme="majorHAnsi" w:cstheme="majorHAnsi"/>
                <w:sz w:val="20"/>
              </w:rPr>
              <w:t>r</w:t>
            </w:r>
            <w:r w:rsidRPr="001250DF">
              <w:rPr>
                <w:rFonts w:asciiTheme="majorHAnsi" w:hAnsiTheme="majorHAnsi" w:cstheme="majorHAnsi"/>
                <w:sz w:val="20"/>
              </w:rPr>
              <w:t xml:space="preserve"> more.</w:t>
            </w:r>
          </w:p>
          <w:p w:rsidR="002A5D84" w:rsidRPr="001250DF" w:rsidRDefault="002A5D84" w:rsidP="00C65794">
            <w:pPr>
              <w:pStyle w:val="ListBullet"/>
              <w:spacing w:line="220" w:lineRule="atLeast"/>
              <w:rPr>
                <w:rFonts w:asciiTheme="majorHAnsi" w:hAnsiTheme="majorHAnsi" w:cstheme="majorHAnsi"/>
                <w:sz w:val="20"/>
              </w:rPr>
            </w:pPr>
            <w:r w:rsidRPr="001250DF">
              <w:rPr>
                <w:rFonts w:asciiTheme="majorHAnsi" w:hAnsiTheme="majorHAnsi" w:cstheme="majorHAnsi"/>
                <w:sz w:val="20"/>
              </w:rPr>
              <w:t>For exempt remote area housing provided to employees of certain regional employers (essentially public hospitals, charities and police), any location at least 100 km from an eligible urban area with a population of 130 000 or more counts as remote.</w:t>
            </w:r>
          </w:p>
          <w:p w:rsidR="002A5D84" w:rsidRDefault="002A5D84" w:rsidP="00FB19CB">
            <w:pPr>
              <w:pStyle w:val="Box"/>
              <w:spacing w:after="240"/>
            </w:pPr>
            <w:r>
              <w:t xml:space="preserve">These criteria lead to a definition of ‘remote’ for FBT purposes that covers some 97 per cent of the Australian landmass (the blue area on the map below). As this definition is based on 1981 populations, it encompasses some population centres that would now exceed the thresholds. For example, using population data from the 2016 </w:t>
            </w:r>
            <w:r w:rsidR="00901AB4">
              <w:t>census</w:t>
            </w:r>
            <w:r>
              <w:t>, Kalgoorlie (and locations within a 40 km radius) would no longer be considered remote. Around Cairns and Townsville, areas within a 100 km radius would no longer be deemed remote, and the exemption for housing would no longer be available to ‘certain eligible employers’ in these locations.</w:t>
            </w:r>
          </w:p>
          <w:p w:rsidR="002A5D84" w:rsidRDefault="002A5D84" w:rsidP="00FB19CB">
            <w:pPr>
              <w:pStyle w:val="Box"/>
              <w:jc w:val="center"/>
            </w:pPr>
            <w:r w:rsidRPr="005F1DA1">
              <w:rPr>
                <w:noProof/>
              </w:rPr>
              <w:drawing>
                <wp:inline distT="0" distB="0" distL="0" distR="0" wp14:anchorId="4D4190B6" wp14:editId="4BA5970A">
                  <wp:extent cx="4909185" cy="2954655"/>
                  <wp:effectExtent l="0" t="0" r="0" b="0"/>
                  <wp:docPr id="3" name="Picture 3" descr="This map of Australia shows that FBT remote area concessions are available across most of the Australian landmass. The concessions are not available within about 100 kilometres of Perth, Adelaide, Melbourne, Canberra, Wollongong, Sydney, Newcastle, Brisbane, or the Gold Coast. Most of them are not available within about 40 kilometres of several other towns or cities, which are mainly in Victoria, New South Wales, or Queensland. In these areas, only the housing exemption for ‘certain regional employers’ i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09185" cy="2954655"/>
                          </a:xfrm>
                          <a:prstGeom prst="rect">
                            <a:avLst/>
                          </a:prstGeom>
                          <a:noFill/>
                          <a:ln>
                            <a:noFill/>
                          </a:ln>
                        </pic:spPr>
                      </pic:pic>
                    </a:graphicData>
                  </a:graphic>
                </wp:inline>
              </w:drawing>
            </w:r>
            <w:r w:rsidRPr="00C7418C">
              <w:t xml:space="preserve"> </w:t>
            </w:r>
          </w:p>
        </w:tc>
      </w:tr>
      <w:tr w:rsidR="002A5D84" w:rsidRPr="000863A5" w:rsidTr="00FB19CB">
        <w:trPr>
          <w:trHeight w:val="53"/>
        </w:trPr>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C65794" w:rsidRDefault="00C65794">
      <w:pPr>
        <w:rPr>
          <w:szCs w:val="20"/>
        </w:rPr>
      </w:pPr>
      <w:r>
        <w:br w:type="page"/>
      </w:r>
    </w:p>
    <w:p w:rsidR="00C65794" w:rsidRDefault="00C65794" w:rsidP="00C65794">
      <w:pPr>
        <w:pStyle w:val="BodyText"/>
      </w:pPr>
      <w:r>
        <w:lastRenderedPageBreak/>
        <w:t xml:space="preserve">Although the </w:t>
      </w:r>
      <w:r w:rsidRPr="00303F10">
        <w:rPr>
          <w:i/>
        </w:rPr>
        <w:t>Fringe Benefits Tax Assessment Act 1986</w:t>
      </w:r>
      <w:r w:rsidRPr="00811845">
        <w:t xml:space="preserve"> </w:t>
      </w:r>
      <w:r>
        <w:t xml:space="preserve">(Cth) (FBTAA) includes concessions for goods and services provided to people employed on a FIFO basis, only one of these concessions — for remote area transport — explicitly links eligibility to remoteness. Most FBT exemptions used for FIFO workers can be claimed by employers irrespective of geographic location. </w:t>
      </w:r>
    </w:p>
    <w:p w:rsidR="00C65794" w:rsidRDefault="00C65794" w:rsidP="00C65794">
      <w:pPr>
        <w:pStyle w:val="Heading3"/>
        <w:spacing w:before="600"/>
      </w:pPr>
      <w:r>
        <w:t xml:space="preserve">The use and economic effects of FBT concessions </w:t>
      </w:r>
    </w:p>
    <w:p w:rsidR="00C65794" w:rsidRDefault="00C65794" w:rsidP="00C65794">
      <w:pPr>
        <w:pStyle w:val="BodyText"/>
      </w:pPr>
      <w:r>
        <w:t>There is no central data source on the use and fiscal cost of FBT remote area concessions. Employers are not required to report exempt goods and services to the Australian Taxation Office (ATO), and the expense is not discernible from their other expenses. Where partial concessions are used, the reporting is insufficiently detailed to separate out the remote area concessions from other concessions that apply Australia</w:t>
      </w:r>
      <w:r>
        <w:noBreakHyphen/>
        <w:t xml:space="preserve">wide. </w:t>
      </w:r>
    </w:p>
    <w:p w:rsidR="002A5D84" w:rsidRDefault="002A5D84" w:rsidP="00FB19CB">
      <w:pPr>
        <w:pStyle w:val="BodyText"/>
      </w:pPr>
      <w:r>
        <w:t xml:space="preserve">The Commission has therefore had to draw on a range of sources — </w:t>
      </w:r>
      <w:r w:rsidRPr="00B62305">
        <w:t xml:space="preserve">submissions, surveys of the mining, agriculture and government administration sectors, and </w:t>
      </w:r>
      <w:r w:rsidRPr="001C2863">
        <w:t xml:space="preserve">cameos — </w:t>
      </w:r>
      <w:r>
        <w:t xml:space="preserve">to fill the data gaps and shed some light on the use of these concessions, their economic impacts and potential costs to government. </w:t>
      </w:r>
    </w:p>
    <w:p w:rsidR="002A5D84" w:rsidRDefault="002A5D84" w:rsidP="00FB19CB">
      <w:pPr>
        <w:pStyle w:val="Heading4"/>
      </w:pPr>
      <w:r>
        <w:t>The exemption for employer</w:t>
      </w:r>
      <w:r>
        <w:noBreakHyphen/>
        <w:t>provided housing is the big</w:t>
      </w:r>
      <w:r>
        <w:noBreakHyphen/>
        <w:t>ticket item</w:t>
      </w:r>
    </w:p>
    <w:p w:rsidR="002A5D84" w:rsidRDefault="002A5D84" w:rsidP="00FB19CB">
      <w:pPr>
        <w:pStyle w:val="BodyText"/>
      </w:pPr>
      <w:r>
        <w:t>The evidence gathered by the Commission suggests that the exemption for employer</w:t>
      </w:r>
      <w:r>
        <w:noBreakHyphen/>
        <w:t>provided housing (as an employee’s usual place of residence) is the big</w:t>
      </w:r>
      <w:r>
        <w:noBreakHyphen/>
        <w:t>ticket item. This exemption is uncapped and can be worth many thousands of dollars at the employee level (figure 8). Tax savings from the exemption are</w:t>
      </w:r>
      <w:r w:rsidRPr="00883C0A">
        <w:t xml:space="preserve"> greater for </w:t>
      </w:r>
      <w:r>
        <w:t>people</w:t>
      </w:r>
      <w:r w:rsidRPr="00883C0A">
        <w:t xml:space="preserve"> on higher </w:t>
      </w:r>
      <w:r>
        <w:t xml:space="preserve">than average </w:t>
      </w:r>
      <w:r w:rsidRPr="00883C0A">
        <w:t>incomes</w:t>
      </w:r>
      <w:r>
        <w:t xml:space="preserve">, reflecting the difference between their personal marginal tax rate and the effective tax rate (of zero per cent) on exempt housing. The tax savings from the exemption are also higher than those associated with a partial concession. </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Default="002A5D84" w:rsidP="00FB19CB">
            <w:pPr>
              <w:pStyle w:val="FigureTitle"/>
            </w:pPr>
            <w:r w:rsidRPr="00784A05">
              <w:rPr>
                <w:b w:val="0"/>
              </w:rPr>
              <w:t>Figure</w:t>
            </w:r>
            <w:r>
              <w:rPr>
                <w:b w:val="0"/>
              </w:rPr>
              <w:t xml:space="preserve"> 8</w:t>
            </w:r>
            <w:r>
              <w:tab/>
              <w:t>Tax savings from the housing exemption are much greater than from the partial concessions</w:t>
            </w:r>
            <w:r w:rsidRPr="003363BC">
              <w:rPr>
                <w:rStyle w:val="NoteLabel"/>
                <w:b/>
              </w:rPr>
              <w:t>a</w:t>
            </w:r>
            <w:r>
              <w:rPr>
                <w:rStyle w:val="NoteLabel"/>
                <w:b/>
              </w:rPr>
              <w:t>,b,c,d</w:t>
            </w:r>
          </w:p>
          <w:p w:rsidR="002A5D84" w:rsidRPr="00176D3F" w:rsidRDefault="002A5D84" w:rsidP="00FB19CB">
            <w:pPr>
              <w:pStyle w:val="Subtitle"/>
            </w:pPr>
            <w:r>
              <w:t>Compared with the employee paying for housing from their after</w:t>
            </w:r>
            <w:r>
              <w:noBreakHyphen/>
              <w:t>tax income</w:t>
            </w:r>
          </w:p>
        </w:tc>
      </w:tr>
      <w:tr w:rsidR="002A5D84" w:rsidTr="00FB19C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A5D84" w:rsidRPr="00B1465D" w:rsidTr="00FB19CB">
              <w:trPr>
                <w:tblHeader/>
                <w:jc w:val="center"/>
              </w:trPr>
              <w:tc>
                <w:tcPr>
                  <w:tcW w:w="5000" w:type="pct"/>
                  <w:tcBorders>
                    <w:top w:val="nil"/>
                    <w:bottom w:val="nil"/>
                  </w:tcBorders>
                </w:tcPr>
                <w:p w:rsidR="002A5D84" w:rsidRPr="00B1465D" w:rsidRDefault="002A5D84" w:rsidP="00FB19CB">
                  <w:pPr>
                    <w:pStyle w:val="Figure"/>
                    <w:spacing w:before="60" w:after="60"/>
                    <w:rPr>
                      <w:rFonts w:ascii="Arial" w:hAnsi="Arial" w:cs="Arial"/>
                      <w:sz w:val="18"/>
                      <w:szCs w:val="18"/>
                    </w:rPr>
                  </w:pPr>
                  <w:r w:rsidRPr="0086684F">
                    <w:rPr>
                      <w:noProof/>
                    </w:rPr>
                    <w:drawing>
                      <wp:inline distT="0" distB="0" distL="0" distR="0" wp14:anchorId="6C1D87B3" wp14:editId="3A0FBA82">
                        <wp:extent cx="5372100" cy="1744980"/>
                        <wp:effectExtent l="0" t="0" r="0" b="7620"/>
                        <wp:docPr id="15" name="Picture 15" descr="This figure presents two hypothetical examples of employees whose employers use the concessions. &#10;The first is Mya, whose employer offers her a total salary package of $80000 per year. If her housing costs are $300 per week, and she salary packages these housing costs, she would save $5382 in FBT with a full exemption or $851 with a partial 50 per cent concession.&#10;The second employee is Jack, whose employer offers him a total salary package of $250000 per year. If his housing costs are $300 per week, and he salary packages these housing costs, he would save $7332 in FBT with a full exemption or $3666 with a partial 50 per cent concession.&#10;" title="Tax savings from the housing exemption are much greater than from the partial conc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72100" cy="1744980"/>
                                </a:xfrm>
                                <a:prstGeom prst="rect">
                                  <a:avLst/>
                                </a:prstGeom>
                                <a:noFill/>
                                <a:ln>
                                  <a:noFill/>
                                </a:ln>
                              </pic:spPr>
                            </pic:pic>
                          </a:graphicData>
                        </a:graphic>
                      </wp:inline>
                    </w:drawing>
                  </w:r>
                </w:p>
              </w:tc>
            </w:tr>
          </w:tbl>
          <w:p w:rsidR="002A5D84" w:rsidRDefault="002A5D84" w:rsidP="00FB19CB">
            <w:pPr>
              <w:pStyle w:val="Figure"/>
            </w:pPr>
          </w:p>
        </w:tc>
      </w:tr>
      <w:tr w:rsidR="002A5D84" w:rsidRPr="00176D3F" w:rsidTr="00FB19CB">
        <w:tc>
          <w:tcPr>
            <w:tcW w:w="5000" w:type="pct"/>
            <w:tcBorders>
              <w:top w:val="nil"/>
              <w:left w:val="nil"/>
              <w:bottom w:val="nil"/>
              <w:right w:val="nil"/>
            </w:tcBorders>
            <w:shd w:val="clear" w:color="auto" w:fill="auto"/>
          </w:tcPr>
          <w:p w:rsidR="002A5D84" w:rsidRPr="00176D3F" w:rsidRDefault="002A5D84" w:rsidP="00FB19CB">
            <w:pPr>
              <w:pStyle w:val="Note"/>
              <w:spacing w:after="120"/>
            </w:pPr>
            <w:r>
              <w:rPr>
                <w:rStyle w:val="NoteLabel"/>
              </w:rPr>
              <w:t>a</w:t>
            </w:r>
            <w:r>
              <w:t xml:space="preserve"> For employer</w:t>
            </w:r>
            <w:r>
              <w:noBreakHyphen/>
              <w:t xml:space="preserve">owned property, ‘housing costs’ would be the equivalent market rent (less any employee contributions). </w:t>
            </w:r>
            <w:r>
              <w:rPr>
                <w:rStyle w:val="NoteLabel"/>
              </w:rPr>
              <w:t>b</w:t>
            </w:r>
            <w:r>
              <w:t xml:space="preserve"> In these examples, a partial concession is a 50 per cent reduction in taxable value of the total housing costs. </w:t>
            </w:r>
            <w:r>
              <w:rPr>
                <w:rStyle w:val="NoteLabel"/>
              </w:rPr>
              <w:t>c</w:t>
            </w:r>
            <w:r>
              <w:t xml:space="preserve"> For simplicity, the following have been excluded: the effect on the employer’s superannuation guarantee liability, other costs associated with labour (for example, payroll taxes), and tax offsets and deductions. </w:t>
            </w:r>
            <w:r>
              <w:rPr>
                <w:rStyle w:val="NoteLabel"/>
              </w:rPr>
              <w:t>d</w:t>
            </w:r>
            <w:r>
              <w:t xml:space="preserve"> Estimates are based on 2018</w:t>
            </w:r>
            <w:r>
              <w:noBreakHyphen/>
              <w:t>19 income tax rates.</w:t>
            </w: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BodyText"/>
      </w:pPr>
      <w:r>
        <w:t>Use of the exemption for employer</w:t>
      </w:r>
      <w:r>
        <w:noBreakHyphen/>
        <w:t>provided housing</w:t>
      </w:r>
      <w:r w:rsidRPr="008113CE">
        <w:t xml:space="preserve"> </w:t>
      </w:r>
      <w:r>
        <w:t xml:space="preserve">is </w:t>
      </w:r>
      <w:r w:rsidRPr="008113CE">
        <w:t xml:space="preserve">concentrated in certain areas </w:t>
      </w:r>
      <w:r w:rsidRPr="00494B76">
        <w:t>—</w:t>
      </w:r>
      <w:r>
        <w:t xml:space="preserve"> </w:t>
      </w:r>
      <w:r w:rsidRPr="00A026CD">
        <w:t xml:space="preserve">such as </w:t>
      </w:r>
      <w:r>
        <w:t xml:space="preserve">the </w:t>
      </w:r>
      <w:r w:rsidRPr="00A72C97">
        <w:t>Pilbara</w:t>
      </w:r>
      <w:r>
        <w:t xml:space="preserve"> in Western Australia</w:t>
      </w:r>
      <w:r w:rsidRPr="00A72C97">
        <w:t xml:space="preserve">, </w:t>
      </w:r>
      <w:r>
        <w:t>and the Bowen Basin</w:t>
      </w:r>
      <w:r w:rsidRPr="00A72C97">
        <w:t xml:space="preserve"> </w:t>
      </w:r>
      <w:r>
        <w:t xml:space="preserve">and </w:t>
      </w:r>
      <w:r w:rsidRPr="00A72C97">
        <w:t xml:space="preserve">Central </w:t>
      </w:r>
      <w:r>
        <w:t xml:space="preserve">Highlands in Queensland </w:t>
      </w:r>
      <w:r w:rsidRPr="00494B76">
        <w:t>—</w:t>
      </w:r>
      <w:r w:rsidRPr="00A026CD">
        <w:t xml:space="preserve"> and </w:t>
      </w:r>
      <w:r>
        <w:t xml:space="preserve">in </w:t>
      </w:r>
      <w:r w:rsidRPr="00A026CD">
        <w:t xml:space="preserve">industries </w:t>
      </w:r>
      <w:r>
        <w:t xml:space="preserve">such as mining, agriculture, and public services (including hospitals, police and local government) (figure 9). </w:t>
      </w:r>
    </w:p>
    <w:p w:rsidR="002A5D84" w:rsidRDefault="002A5D84" w:rsidP="00FB19CB">
      <w:pPr>
        <w:pStyle w:val="BodyText"/>
      </w:pPr>
      <w:r>
        <w:t>The Commission estimates that there are about 42 000 employer</w:t>
      </w:r>
      <w:r>
        <w:noBreakHyphen/>
        <w:t xml:space="preserve">provided dwellings used as an employee’s usual place of residence in the FBT remote areas, with the cost of the exemptions (in terms of forgone tax revenue) ranging between $300 million and $390 million per year. </w:t>
      </w:r>
    </w:p>
    <w:p w:rsidR="002A5D84" w:rsidRDefault="002A5D84" w:rsidP="00FB19CB">
      <w:pPr>
        <w:pStyle w:val="BodyText"/>
      </w:pPr>
      <w:r w:rsidDel="00377C1D">
        <w:t>C</w:t>
      </w:r>
      <w:r w:rsidRPr="0052273A">
        <w:t>oncessions tend to increase employment</w:t>
      </w:r>
      <w:r>
        <w:t xml:space="preserve"> by reducing labour costs,</w:t>
      </w:r>
      <w:r w:rsidRPr="0052273A">
        <w:t xml:space="preserve"> </w:t>
      </w:r>
      <w:r>
        <w:t xml:space="preserve">particularly </w:t>
      </w:r>
      <w:r w:rsidRPr="0052273A">
        <w:t xml:space="preserve">in </w:t>
      </w:r>
      <w:r>
        <w:t>regions</w:t>
      </w:r>
      <w:r w:rsidRPr="0052273A">
        <w:t xml:space="preserve"> </w:t>
      </w:r>
      <w:r>
        <w:t xml:space="preserve">where </w:t>
      </w:r>
      <w:r w:rsidDel="00377C1D">
        <w:t xml:space="preserve">these </w:t>
      </w:r>
      <w:r w:rsidRPr="0052273A" w:rsidDel="00377C1D">
        <w:t>concession</w:t>
      </w:r>
      <w:r w:rsidDel="00377C1D">
        <w:t>s</w:t>
      </w:r>
      <w:r>
        <w:t xml:space="preserve"> are heavily used</w:t>
      </w:r>
      <w:r w:rsidRPr="0052273A">
        <w:t xml:space="preserve">. </w:t>
      </w:r>
      <w:r>
        <w:t>They</w:t>
      </w:r>
      <w:r w:rsidRPr="0052273A" w:rsidDel="00377C1D">
        <w:t xml:space="preserve"> </w:t>
      </w:r>
      <w:r w:rsidRPr="0052273A">
        <w:t xml:space="preserve">also tend to draw resources away from other regions or industries in the same region that </w:t>
      </w:r>
      <w:r>
        <w:t>cannot</w:t>
      </w:r>
      <w:r w:rsidRPr="0052273A">
        <w:t xml:space="preserve"> access the</w:t>
      </w:r>
      <w:r>
        <w:t>m</w:t>
      </w:r>
      <w:r w:rsidRPr="0052273A">
        <w:t>.</w:t>
      </w:r>
    </w:p>
    <w:p w:rsidR="002A5D84" w:rsidRDefault="002A5D84" w:rsidP="00FB19CB">
      <w:pPr>
        <w:pStyle w:val="BodyText"/>
      </w:pPr>
      <w:r>
        <w:t>Many larger employers consider the exemption an important tool for attracting staff to remote areas.</w:t>
      </w:r>
      <w:r w:rsidRPr="00A026CD">
        <w:t xml:space="preserve"> </w:t>
      </w:r>
      <w:r>
        <w:t>Smaller businesses are less likely to provide housing. This (in part) reflects the financial risk associated with owning properties if an employee vacates the property.</w:t>
      </w:r>
    </w:p>
    <w:p w:rsidR="002A5D84" w:rsidRDefault="002A5D84" w:rsidP="00FB19CB">
      <w:pPr>
        <w:pStyle w:val="BodyText"/>
      </w:pPr>
      <w:r>
        <w:t>While the use of employee</w:t>
      </w:r>
      <w:r>
        <w:noBreakHyphen/>
        <w:t>sourced housing concessions is more difficult to estimate, these are likely to be concentrated in the same industries and areas as employer</w:t>
      </w:r>
      <w:r>
        <w:noBreakHyphen/>
        <w:t>provided housing. The total fiscal cost of these concessions is expected to be much lower than the cost of the exemption for employer</w:t>
      </w:r>
      <w:r>
        <w:noBreakHyphen/>
        <w:t xml:space="preserve">provided housing, given their lower usage and smaller tax savings to employees. </w:t>
      </w:r>
    </w:p>
    <w:p w:rsidR="002A5D8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A5D84" w:rsidTr="00FB19CB">
        <w:trPr>
          <w:tblHeader/>
        </w:trPr>
        <w:tc>
          <w:tcPr>
            <w:tcW w:w="5000" w:type="pct"/>
            <w:tcBorders>
              <w:top w:val="single" w:sz="6" w:space="0" w:color="78A22F"/>
              <w:left w:val="nil"/>
              <w:bottom w:val="nil"/>
              <w:right w:val="nil"/>
            </w:tcBorders>
            <w:shd w:val="clear" w:color="auto" w:fill="auto"/>
          </w:tcPr>
          <w:p w:rsidR="002A5D84" w:rsidRPr="00176D3F" w:rsidRDefault="002A5D84" w:rsidP="00FB19CB">
            <w:pPr>
              <w:pStyle w:val="FigureTitle"/>
            </w:pPr>
            <w:r w:rsidRPr="00784A05">
              <w:rPr>
                <w:b w:val="0"/>
              </w:rPr>
              <w:t>Figure</w:t>
            </w:r>
            <w:r>
              <w:rPr>
                <w:b w:val="0"/>
              </w:rPr>
              <w:t xml:space="preserve"> 9</w:t>
            </w:r>
            <w:r>
              <w:tab/>
              <w:t>Employer</w:t>
            </w:r>
            <w:r>
              <w:noBreakHyphen/>
              <w:t>provided housing is concentrated in certain more remote areas</w:t>
            </w:r>
            <w:r>
              <w:rPr>
                <w:rStyle w:val="NoteLabel"/>
              </w:rPr>
              <w:t xml:space="preserve"> </w:t>
            </w:r>
          </w:p>
        </w:tc>
      </w:tr>
      <w:tr w:rsidR="002A5D84" w:rsidTr="00FB19CB">
        <w:tc>
          <w:tcPr>
            <w:tcW w:w="5000" w:type="pct"/>
            <w:tcBorders>
              <w:top w:val="nil"/>
              <w:left w:val="nil"/>
              <w:bottom w:val="nil"/>
              <w:right w:val="nil"/>
            </w:tcBorders>
            <w:shd w:val="clear" w:color="auto" w:fill="auto"/>
            <w:tcMar>
              <w:top w:w="28" w:type="dxa"/>
              <w:bottom w:w="28" w:type="dxa"/>
            </w:tcMar>
          </w:tcPr>
          <w:tbl>
            <w:tblPr>
              <w:tblW w:w="851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15"/>
            </w:tblGrid>
            <w:tr w:rsidR="002A5D84" w:rsidRPr="00B1465D" w:rsidTr="00FB19CB">
              <w:trPr>
                <w:trHeight w:val="4346"/>
                <w:tblHeader/>
                <w:jc w:val="center"/>
              </w:trPr>
              <w:tc>
                <w:tcPr>
                  <w:tcW w:w="5000" w:type="pct"/>
                  <w:tcBorders>
                    <w:top w:val="nil"/>
                    <w:bottom w:val="nil"/>
                  </w:tcBorders>
                </w:tcPr>
                <w:p w:rsidR="002A5D84" w:rsidRPr="00B1465D" w:rsidRDefault="002A5D84" w:rsidP="00FB19CB">
                  <w:pPr>
                    <w:pStyle w:val="Figure"/>
                    <w:spacing w:before="60" w:after="60"/>
                    <w:rPr>
                      <w:rFonts w:ascii="Arial" w:hAnsi="Arial" w:cs="Arial"/>
                      <w:sz w:val="18"/>
                      <w:szCs w:val="18"/>
                    </w:rPr>
                  </w:pPr>
                  <w:r w:rsidRPr="00DF5071">
                    <w:rPr>
                      <w:rFonts w:ascii="Arial" w:hAnsi="Arial" w:cs="Arial"/>
                      <w:noProof/>
                      <w:sz w:val="18"/>
                      <w:szCs w:val="18"/>
                    </w:rPr>
                    <w:drawing>
                      <wp:inline distT="0" distB="0" distL="0" distR="0" wp14:anchorId="4A99B087" wp14:editId="0FD2D964">
                        <wp:extent cx="5043805" cy="3580765"/>
                        <wp:effectExtent l="0" t="0" r="0" b="635"/>
                        <wp:docPr id="9" name="Picture 9" descr="This figure is a map of Australia that shows the density of employer-provided dwellings by SA3. Some areas have substantially more employer-provided dwellings than others. In the Bowen Basin, East Pilbara and West Pilbara there are more than 3000 employer-provided dwellings. The Kimberley in Western Australia, the area around Alice Springs in the Northern Territory, and four regions of Queensland each contain 1000 to 3000 employer-provided dwellings. All other SA3s have fewer than 1000 employer-provided dwellings." title="Employer-provided housing is concentrated in certain more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3805" cy="3580765"/>
                                </a:xfrm>
                                <a:prstGeom prst="rect">
                                  <a:avLst/>
                                </a:prstGeom>
                                <a:noFill/>
                                <a:ln>
                                  <a:noFill/>
                                </a:ln>
                              </pic:spPr>
                            </pic:pic>
                          </a:graphicData>
                        </a:graphic>
                      </wp:inline>
                    </w:drawing>
                  </w:r>
                </w:p>
              </w:tc>
            </w:tr>
          </w:tbl>
          <w:p w:rsidR="002A5D84" w:rsidRDefault="002A5D84" w:rsidP="00FB19CB">
            <w:pPr>
              <w:pStyle w:val="Figure"/>
            </w:pPr>
          </w:p>
        </w:tc>
      </w:tr>
      <w:tr w:rsidR="002A5D84" w:rsidTr="00FB19CB">
        <w:trPr>
          <w:trHeight w:val="68"/>
        </w:trPr>
        <w:tc>
          <w:tcPr>
            <w:tcW w:w="5000" w:type="pct"/>
            <w:tcBorders>
              <w:top w:val="nil"/>
              <w:left w:val="nil"/>
              <w:bottom w:val="single" w:sz="6" w:space="0" w:color="78A22F"/>
              <w:right w:val="nil"/>
            </w:tcBorders>
            <w:shd w:val="clear" w:color="auto" w:fill="auto"/>
          </w:tcPr>
          <w:p w:rsidR="002A5D84" w:rsidRDefault="002A5D84" w:rsidP="00FB19CB">
            <w:pPr>
              <w:pStyle w:val="Figurespace"/>
            </w:pPr>
          </w:p>
        </w:tc>
      </w:tr>
      <w:tr w:rsidR="002A5D84" w:rsidRPr="000863A5" w:rsidTr="00FB19CB">
        <w:tc>
          <w:tcPr>
            <w:tcW w:w="5000" w:type="pct"/>
            <w:tcBorders>
              <w:top w:val="single" w:sz="6" w:space="0" w:color="78A22F"/>
              <w:left w:val="nil"/>
              <w:bottom w:val="nil"/>
              <w:right w:val="nil"/>
            </w:tcBorders>
          </w:tcPr>
          <w:p w:rsidR="002A5D84" w:rsidRPr="00626D32" w:rsidRDefault="002A5D84" w:rsidP="00FB19CB">
            <w:pPr>
              <w:pStyle w:val="BoxSpaceBelow"/>
            </w:pPr>
          </w:p>
        </w:tc>
      </w:tr>
    </w:tbl>
    <w:p w:rsidR="002A5D84" w:rsidRDefault="002A5D84" w:rsidP="00FB19CB">
      <w:pPr>
        <w:pStyle w:val="Heading4"/>
      </w:pPr>
      <w:r>
        <w:t>The FIFO conundrum</w:t>
      </w:r>
    </w:p>
    <w:p w:rsidR="002A5D84" w:rsidRDefault="002A5D84" w:rsidP="00FB19CB">
      <w:pPr>
        <w:pStyle w:val="BodyText"/>
      </w:pPr>
      <w:r>
        <w:t>The use of FIFO work practices elicits strong, but mixed, views.</w:t>
      </w:r>
      <w:r w:rsidRPr="00C7681C">
        <w:t xml:space="preserve"> </w:t>
      </w:r>
    </w:p>
    <w:p w:rsidR="002A5D84" w:rsidRDefault="002A5D84" w:rsidP="00FB19CB">
      <w:pPr>
        <w:pStyle w:val="BodyText"/>
      </w:pPr>
      <w:r>
        <w:t>Many study participants argued that the sustainability of townships is threatened by large</w:t>
      </w:r>
      <w:r>
        <w:noBreakHyphen/>
        <w:t xml:space="preserve">scale FIFO practices, </w:t>
      </w:r>
      <w:r w:rsidRPr="00C7681C">
        <w:t>and that FBT concessions for FIFO workers contribute to this effect</w:t>
      </w:r>
      <w:r>
        <w:t>. R</w:t>
      </w:r>
      <w:r w:rsidRPr="00C25BE0">
        <w:t xml:space="preserve">egional authorities </w:t>
      </w:r>
      <w:r>
        <w:t xml:space="preserve">said they often </w:t>
      </w:r>
      <w:r w:rsidRPr="00C25BE0">
        <w:t xml:space="preserve">struggle to maintain </w:t>
      </w:r>
      <w:r>
        <w:t>infrastructure</w:t>
      </w:r>
      <w:r w:rsidRPr="00C25BE0">
        <w:t xml:space="preserve"> </w:t>
      </w:r>
      <w:r>
        <w:t xml:space="preserve">and </w:t>
      </w:r>
      <w:r w:rsidRPr="00C25BE0">
        <w:t>a sense of communi</w:t>
      </w:r>
      <w:r>
        <w:t>ty with a transient and non</w:t>
      </w:r>
      <w:r>
        <w:noBreakHyphen/>
        <w:t>rate</w:t>
      </w:r>
      <w:r>
        <w:noBreakHyphen/>
        <w:t xml:space="preserve">paying population. </w:t>
      </w:r>
    </w:p>
    <w:p w:rsidR="002A5D84" w:rsidRDefault="002A5D84" w:rsidP="00FB19CB">
      <w:pPr>
        <w:pStyle w:val="BodyText"/>
      </w:pPr>
      <w:r>
        <w:t>People from source communities and industry take a more positive view of FIFO operations. They contend that businesses use FIFO workers simply because it is difficult to source and retain the necessary</w:t>
      </w:r>
      <w:r w:rsidRPr="00285AFE">
        <w:t xml:space="preserve"> skilled labour</w:t>
      </w:r>
      <w:r>
        <w:t xml:space="preserve"> in remote areas. </w:t>
      </w:r>
    </w:p>
    <w:p w:rsidR="002A5D84" w:rsidRDefault="002A5D84" w:rsidP="00FB19CB">
      <w:pPr>
        <w:pStyle w:val="BodyText"/>
      </w:pPr>
      <w:r>
        <w:t>I</w:t>
      </w:r>
      <w:r w:rsidRPr="00767182">
        <w:t xml:space="preserve">t is difficult to </w:t>
      </w:r>
      <w:r>
        <w:t>determine</w:t>
      </w:r>
      <w:r w:rsidRPr="00767182">
        <w:t xml:space="preserve"> the extent </w:t>
      </w:r>
      <w:r>
        <w:t>to which FBT</w:t>
      </w:r>
      <w:r w:rsidRPr="00767182">
        <w:t xml:space="preserve"> </w:t>
      </w:r>
      <w:r>
        <w:t xml:space="preserve">concessions for </w:t>
      </w:r>
      <w:r w:rsidRPr="00767182">
        <w:t xml:space="preserve">FIFO </w:t>
      </w:r>
      <w:r>
        <w:t>workers</w:t>
      </w:r>
      <w:r w:rsidRPr="00767182">
        <w:t xml:space="preserve"> affect </w:t>
      </w:r>
      <w:r>
        <w:t xml:space="preserve">any one employer’s decision between employing a local or FIFO workforce or the mix between the two — although, in general, it is unlikely that the concessions would be the main motivator. </w:t>
      </w:r>
    </w:p>
    <w:p w:rsidR="00B92875" w:rsidRDefault="00B92875">
      <w:pPr>
        <w:rPr>
          <w:szCs w:val="20"/>
        </w:rPr>
      </w:pPr>
      <w:r>
        <w:br w:type="page"/>
      </w:r>
    </w:p>
    <w:p w:rsidR="002A5D84" w:rsidRDefault="002A5D84" w:rsidP="00FB19CB">
      <w:pPr>
        <w:pStyle w:val="BodyText"/>
      </w:pPr>
      <w:r>
        <w:lastRenderedPageBreak/>
        <w:t>FIFO is generally the preferred approach to managing the construction phase of projects in remote areas because of the temporary spike in employment</w:t>
      </w:r>
      <w:r w:rsidDel="00A64CCA">
        <w:t xml:space="preserve"> </w:t>
      </w:r>
      <w:r>
        <w:t xml:space="preserve">and the difficulty of sourcing skilled construction workers locally. It is generally too expensive (and unreasonable) to require employees to change their residence for a short period. </w:t>
      </w:r>
    </w:p>
    <w:p w:rsidR="002A5D84" w:rsidRDefault="002A5D84" w:rsidP="00FB19CB">
      <w:pPr>
        <w:pStyle w:val="BodyText"/>
      </w:pPr>
      <w:r>
        <w:t>During the operational phase, other economic and social factors are at play. Typically, businesses (particularly in mining) will only establish a residentially</w:t>
      </w:r>
      <w:r>
        <w:noBreakHyphen/>
        <w:t>based operation where there is already a community nearby with at least basic services and a degree of liveability. To the extent that FIFO options are a part of businesses’ broader strategies for staff attraction and retention, FBT concessions are unlikely to be a determining factor.</w:t>
      </w:r>
    </w:p>
    <w:p w:rsidR="002A5D84" w:rsidRDefault="002A5D84" w:rsidP="00FB19CB">
      <w:pPr>
        <w:pStyle w:val="Heading4"/>
        <w:rPr>
          <w:i/>
        </w:rPr>
      </w:pPr>
      <w:r w:rsidRPr="001B1B80">
        <w:t>Other concessions are much less significant</w:t>
      </w:r>
      <w:r>
        <w:rPr>
          <w:i/>
        </w:rPr>
        <w:t xml:space="preserve"> </w:t>
      </w:r>
    </w:p>
    <w:p w:rsidR="002A5D84" w:rsidRPr="00557DF6" w:rsidRDefault="002A5D84" w:rsidP="00FB19CB">
      <w:pPr>
        <w:pStyle w:val="BodyText"/>
        <w:rPr>
          <w:i/>
        </w:rPr>
      </w:pPr>
      <w:r>
        <w:t>The use of other FBT remote area concessions (such as those on residential fuel, meals for primary production employees, and holiday transport) is relatively limited. Their collective fiscal cost is estimated to range between $30</w:t>
      </w:r>
      <w:r>
        <w:noBreakHyphen/>
        <w:t xml:space="preserve">$130 million per year. </w:t>
      </w:r>
    </w:p>
    <w:p w:rsidR="002A5D84" w:rsidRDefault="002A5D84" w:rsidP="00FB19CB">
      <w:pPr>
        <w:pStyle w:val="Heading3"/>
      </w:pPr>
      <w:r>
        <w:t xml:space="preserve">Assessment of the FBT tax concessions </w:t>
      </w:r>
    </w:p>
    <w:p w:rsidR="002A5D84" w:rsidRDefault="002A5D84" w:rsidP="00FB19CB">
      <w:pPr>
        <w:pStyle w:val="BodyText"/>
      </w:pPr>
      <w:r>
        <w:t>Views differ on</w:t>
      </w:r>
      <w:r w:rsidRPr="001E4E25">
        <w:t xml:space="preserve"> whether the policy intent of the FBT remote area concessions</w:t>
      </w:r>
      <w:r w:rsidRPr="008F361F">
        <w:t xml:space="preserve"> is to provide </w:t>
      </w:r>
      <w:r>
        <w:t>equitable</w:t>
      </w:r>
      <w:r w:rsidRPr="008F361F">
        <w:t xml:space="preserve"> tax treatment where employers </w:t>
      </w:r>
      <w:r>
        <w:t>have</w:t>
      </w:r>
      <w:r w:rsidRPr="008F361F">
        <w:t xml:space="preserve"> operational </w:t>
      </w:r>
      <w:r>
        <w:t xml:space="preserve">requirements to provide particular goods and services </w:t>
      </w:r>
      <w:r w:rsidDel="00B120CF">
        <w:t xml:space="preserve">to </w:t>
      </w:r>
      <w:r>
        <w:t>employees,</w:t>
      </w:r>
      <w:r w:rsidRPr="008F361F">
        <w:t xml:space="preserve"> or to pro</w:t>
      </w:r>
      <w:r>
        <w:t>vide</w:t>
      </w:r>
      <w:r w:rsidRPr="008F361F">
        <w:t xml:space="preserve"> regional </w:t>
      </w:r>
      <w:r>
        <w:t>assistance</w:t>
      </w:r>
      <w:r w:rsidRPr="008F361F">
        <w:t xml:space="preserve"> by giving employers greater financial capacity to attract and retain employees</w:t>
      </w:r>
      <w:r>
        <w:t>,</w:t>
      </w:r>
      <w:r w:rsidRPr="008F361F">
        <w:t xml:space="preserve"> or both.</w:t>
      </w:r>
    </w:p>
    <w:p w:rsidR="002A5D84" w:rsidRDefault="002A5D84" w:rsidP="00FB19CB">
      <w:pPr>
        <w:pStyle w:val="BodyText"/>
      </w:pPr>
      <w:r>
        <w:t xml:space="preserve">The different views on the intent of remote area tax concessions among study participants give rise to different perceptions of their effectiveness. </w:t>
      </w:r>
    </w:p>
    <w:p w:rsidR="002A5D84" w:rsidRDefault="002A5D84" w:rsidP="00FB19CB">
      <w:pPr>
        <w:pStyle w:val="BodyText"/>
      </w:pPr>
      <w:r w:rsidRPr="00494B76">
        <w:t xml:space="preserve">For those who see the role of </w:t>
      </w:r>
      <w:r>
        <w:t>the</w:t>
      </w:r>
      <w:r w:rsidRPr="00494B76">
        <w:t xml:space="preserve"> concessions </w:t>
      </w:r>
      <w:r>
        <w:t xml:space="preserve">as a regional assistance measure (by </w:t>
      </w:r>
      <w:r w:rsidRPr="00494B76">
        <w:t xml:space="preserve">promoting regional </w:t>
      </w:r>
      <w:r>
        <w:t xml:space="preserve">economic </w:t>
      </w:r>
      <w:r w:rsidRPr="00494B76">
        <w:t>development</w:t>
      </w:r>
      <w:r>
        <w:t xml:space="preserve"> or supporting service delivery), </w:t>
      </w:r>
      <w:r w:rsidRPr="00494B76">
        <w:t xml:space="preserve">the concessions are too </w:t>
      </w:r>
      <w:r>
        <w:t>difficult</w:t>
      </w:r>
      <w:r w:rsidRPr="00494B76">
        <w:t xml:space="preserve"> to access (particularly for small business) and fail </w:t>
      </w:r>
      <w:r>
        <w:t>to attract people and investment</w:t>
      </w:r>
      <w:r w:rsidRPr="00494B76">
        <w:t xml:space="preserve"> </w:t>
      </w:r>
      <w:r>
        <w:t>to</w:t>
      </w:r>
      <w:r w:rsidRPr="00494B76">
        <w:t xml:space="preserve"> </w:t>
      </w:r>
      <w:r>
        <w:t>remote</w:t>
      </w:r>
      <w:r w:rsidRPr="00494B76">
        <w:t xml:space="preserve"> area</w:t>
      </w:r>
      <w:r>
        <w:t>s</w:t>
      </w:r>
      <w:r w:rsidRPr="00494B76">
        <w:t xml:space="preserve">. For </w:t>
      </w:r>
      <w:r>
        <w:t>others</w:t>
      </w:r>
      <w:r w:rsidRPr="00494B76">
        <w:t xml:space="preserve"> who see</w:t>
      </w:r>
      <w:r>
        <w:t xml:space="preserve"> the </w:t>
      </w:r>
      <w:r w:rsidRPr="00494B76">
        <w:t xml:space="preserve">concessions as a way of correcting for inequities </w:t>
      </w:r>
      <w:r>
        <w:t>in</w:t>
      </w:r>
      <w:r w:rsidRPr="00494B76">
        <w:t xml:space="preserve"> the FBT regime, there is staunch opposition to any tightening of </w:t>
      </w:r>
      <w:r>
        <w:t xml:space="preserve">the </w:t>
      </w:r>
      <w:r w:rsidRPr="00494B76">
        <w:t>current concessions</w:t>
      </w:r>
      <w:r>
        <w:t xml:space="preserve">, especially </w:t>
      </w:r>
      <w:r w:rsidRPr="00494B76">
        <w:t xml:space="preserve">for FIFO. </w:t>
      </w:r>
    </w:p>
    <w:p w:rsidR="002A5D84" w:rsidRPr="00F51C41" w:rsidRDefault="002A5D84" w:rsidP="00FB19CB">
      <w:pPr>
        <w:pStyle w:val="BodyText"/>
      </w:pPr>
      <w:r>
        <w:t>Tax concessions in general have inherent drawbacks, regardless of the objective they are intended to advance. They</w:t>
      </w:r>
      <w:r w:rsidRPr="00F161F8">
        <w:t xml:space="preserve"> </w:t>
      </w:r>
      <w:r>
        <w:t xml:space="preserve">are less transparent than direct government outlays, subject to little public scrutiny and review, and introduce complexity into the tax system. </w:t>
      </w:r>
      <w:r w:rsidRPr="00F161F8">
        <w:t xml:space="preserve">These </w:t>
      </w:r>
      <w:r>
        <w:t xml:space="preserve">significant </w:t>
      </w:r>
      <w:r w:rsidRPr="00F161F8">
        <w:t>drawbacks</w:t>
      </w:r>
      <w:r>
        <w:t xml:space="preserve"> led the Henry Tax Review to recommend</w:t>
      </w:r>
      <w:r w:rsidRPr="00F161F8">
        <w:t xml:space="preserve"> that programs should not be delivered as tax </w:t>
      </w:r>
      <w:r>
        <w:t>concessions</w:t>
      </w:r>
      <w:r w:rsidRPr="00061ACC">
        <w:t xml:space="preserve"> ‘unless there is a clear countervailing benefit in terms of efficiency, equity, complexity, sustainability and policy consistency’</w:t>
      </w:r>
      <w:r w:rsidRPr="00F161F8">
        <w:t xml:space="preserve">. </w:t>
      </w:r>
      <w:r>
        <w:t>The Commission concurs with this view.</w:t>
      </w:r>
    </w:p>
    <w:p w:rsidR="002A5D84" w:rsidRDefault="002A5D84" w:rsidP="00FB19CB">
      <w:pPr>
        <w:pStyle w:val="Heading4"/>
      </w:pPr>
      <w:r>
        <w:lastRenderedPageBreak/>
        <w:t>Some concessions are justified</w:t>
      </w:r>
    </w:p>
    <w:p w:rsidR="002A5D84" w:rsidRDefault="002A5D84" w:rsidP="00FB19CB">
      <w:pPr>
        <w:pStyle w:val="BodyText"/>
      </w:pPr>
      <w:r w:rsidRPr="00C65794">
        <w:rPr>
          <w:spacing w:val="-2"/>
        </w:rPr>
        <w:t xml:space="preserve">The most compelling argument for FBT remote area concessions is that they address </w:t>
      </w:r>
      <w:r w:rsidR="00C65794" w:rsidRPr="00C65794">
        <w:rPr>
          <w:spacing w:val="-2"/>
        </w:rPr>
        <w:t>in</w:t>
      </w:r>
      <w:r w:rsidRPr="00C65794">
        <w:rPr>
          <w:spacing w:val="-2"/>
        </w:rPr>
        <w:t>equities</w:t>
      </w:r>
      <w:r>
        <w:t xml:space="preserve"> inherent in the FBT regime</w:t>
      </w:r>
      <w:r w:rsidRPr="00C85A38">
        <w:t>.</w:t>
      </w:r>
      <w:r>
        <w:t xml:space="preserve"> In</w:t>
      </w:r>
      <w:r w:rsidRPr="00C85A38">
        <w:t xml:space="preserve"> </w:t>
      </w:r>
      <w:r>
        <w:t>some cases, employers have operational requirements to provide goods and services (such as housing)</w:t>
      </w:r>
      <w:r w:rsidDel="002D491E">
        <w:t xml:space="preserve"> </w:t>
      </w:r>
      <w:r>
        <w:t>to employees, and it would be inequitable to apply the full rate of the FBT. The full rate discourages the provision of remuneration in kind, but where this is unavoidable it creates a larger tax obligation (in most cases) than if the employee was paid the equivalent in wages. Differences in costs for businesses created by discriminatory tax treatment also encourage inefficient investment decisions.</w:t>
      </w:r>
    </w:p>
    <w:p w:rsidR="002A5D84" w:rsidRPr="00E4475C" w:rsidRDefault="002A5D84" w:rsidP="00FB19CB">
      <w:pPr>
        <w:pStyle w:val="BodyText"/>
      </w:pPr>
      <w:r>
        <w:t xml:space="preserve">In the absence of broader changes to the FBT regime (such as taxing fringe benefits in the hands of employees rather than employers), remote area concessions are the most direct and practical way to address equity concerns with the FBT. These concerns hinge </w:t>
      </w:r>
      <w:r w:rsidRPr="00886B9E">
        <w:t>on the likelihood that there is an operational reason for an employer to</w:t>
      </w:r>
      <w:r w:rsidRPr="001A3852">
        <w:t xml:space="preserve"> provide the good or service and on whether it privately benefits the employee. </w:t>
      </w:r>
    </w:p>
    <w:p w:rsidR="002A5D84" w:rsidRDefault="002A5D84" w:rsidP="00FB19CB">
      <w:pPr>
        <w:pStyle w:val="ListBullet"/>
      </w:pPr>
      <w:r>
        <w:t>Where there is an operational reason to provide a good or service to an employee, but that good or service does not privately benefit the employee, there is a strong basis for it to be exempt from FBT. Exemptions could also extend to cases where the private benefit (and forgone tax revenue) is sufficiently small relative to other factors, such as the compliance burden that would be imposed by subjecting it to FBT.</w:t>
      </w:r>
    </w:p>
    <w:p w:rsidR="002A5D84" w:rsidRDefault="002A5D84" w:rsidP="00FB19CB">
      <w:pPr>
        <w:pStyle w:val="ListBullet"/>
      </w:pPr>
      <w:r w:rsidRPr="000E3F65">
        <w:rPr>
          <w:spacing w:val="-3"/>
        </w:rPr>
        <w:t xml:space="preserve">Where there is an operational reason to provide a good or service that also privately </w:t>
      </w:r>
      <w:r w:rsidR="000E3F65" w:rsidRPr="000E3F65">
        <w:rPr>
          <w:spacing w:val="-3"/>
        </w:rPr>
        <w:t>b</w:t>
      </w:r>
      <w:r w:rsidR="00C65794" w:rsidRPr="000E3F65">
        <w:rPr>
          <w:spacing w:val="-3"/>
        </w:rPr>
        <w:t>e</w:t>
      </w:r>
      <w:r w:rsidRPr="000E3F65">
        <w:rPr>
          <w:spacing w:val="-3"/>
        </w:rPr>
        <w:t>nefits</w:t>
      </w:r>
      <w:r>
        <w:t xml:space="preserve"> the employee, a partial concession may be warranted. While the FBT regime </w:t>
      </w:r>
      <w:r w:rsidR="000E3F65">
        <w:t>gen</w:t>
      </w:r>
      <w:r w:rsidR="00C65794">
        <w:t>e</w:t>
      </w:r>
      <w:r>
        <w:t>rally penalises the provision of goods and services to discourage non</w:t>
      </w:r>
      <w:r>
        <w:noBreakHyphen/>
        <w:t xml:space="preserve">wage remuneration, a full exemption achieves the opposite. A partial concession can achieve a better balance, reducing incentives to provide goods or services instead of wage income </w:t>
      </w:r>
      <w:r w:rsidR="000E3F65">
        <w:t>wi</w:t>
      </w:r>
      <w:r>
        <w:t xml:space="preserve">thout overly penalising employers in instances where these goods or services must be provided. </w:t>
      </w:r>
    </w:p>
    <w:p w:rsidR="002A5D84" w:rsidRDefault="002A5D84" w:rsidP="00FB19CB">
      <w:pPr>
        <w:pStyle w:val="ListBullet"/>
      </w:pPr>
      <w:r>
        <w:t>Where there is no operational reason to provide a particular good or service — where it is not required to perform employment duties, and can be readily purchased by the employee themselves — there is no case for an FBT concession. Equitable tax treatment would require employees to purchase these goods and services themselves from their after</w:t>
      </w:r>
      <w:r>
        <w:noBreakHyphen/>
        <w:t>tax income.</w:t>
      </w:r>
    </w:p>
    <w:p w:rsidR="002A5D84" w:rsidRDefault="002A5D84" w:rsidP="00FB19CB">
      <w:pPr>
        <w:pStyle w:val="BodyText"/>
      </w:pPr>
      <w:r>
        <w:t xml:space="preserve">In the case of FIFO arrangements, there is an operational requirement to provide temporary accommodation, meals and transport, but there is no clear benefit to employees that would warrant the imposition of FBT. </w:t>
      </w:r>
    </w:p>
    <w:p w:rsidR="002A5D84" w:rsidRDefault="002A5D84" w:rsidP="00FB19CB">
      <w:pPr>
        <w:pStyle w:val="Heading4"/>
      </w:pPr>
      <w:r>
        <w:t>But current concessions err on the side of being overly generous …</w:t>
      </w:r>
    </w:p>
    <w:p w:rsidR="002A5D84" w:rsidRDefault="002A5D84" w:rsidP="00FB19CB">
      <w:pPr>
        <w:pStyle w:val="BodyText"/>
      </w:pPr>
      <w:r>
        <w:t>Full exemptions for employer</w:t>
      </w:r>
      <w:r>
        <w:noBreakHyphen/>
        <w:t xml:space="preserve">provided housing (as usual place of residence) are available across much of Australia. Notwithstanding cases (such as remote farms) where the provision of housing is an operational requirement that warrants concessional treatment to avoid </w:t>
      </w:r>
      <w:r w:rsidRPr="00C65794">
        <w:rPr>
          <w:spacing w:val="-1"/>
        </w:rPr>
        <w:t>punitive taxation, the size and scope of current exemptions are too expansive for this purpose.</w:t>
      </w:r>
      <w:r>
        <w:t xml:space="preserve"> </w:t>
      </w:r>
    </w:p>
    <w:p w:rsidR="002A5D84" w:rsidRDefault="002A5D84" w:rsidP="00FB19CB">
      <w:pPr>
        <w:pStyle w:val="BodyText"/>
      </w:pPr>
      <w:r>
        <w:lastRenderedPageBreak/>
        <w:t>The general principle in individual income tax law is that taxpayers are entitled to claim deductions for expenses (that are not reimbursed by their employers) incurred wholly for the purpose of earning an income, as well as for the work</w:t>
      </w:r>
      <w:r>
        <w:noBreakHyphen/>
        <w:t>related portion of those expenses that are both work</w:t>
      </w:r>
      <w:r>
        <w:noBreakHyphen/>
        <w:t>related and private in nature.</w:t>
      </w:r>
    </w:p>
    <w:p w:rsidR="002A5D84" w:rsidRDefault="002A5D84" w:rsidP="00FB19CB">
      <w:pPr>
        <w:pStyle w:val="BodyText"/>
      </w:pPr>
      <w:r>
        <w:t>The distinction between a work</w:t>
      </w:r>
      <w:r>
        <w:noBreakHyphen/>
        <w:t>related expense and an expense that is private in nature has evolved over time through case law. For accommodation expenses, a key consideration is whether an expense is dictated by work or by a personal choice about where to reside. The provision of accommodation as a ‘usual place of residence’, in contrast with short</w:t>
      </w:r>
      <w:r>
        <w:noBreakHyphen/>
        <w:t xml:space="preserve">term temporary accommodation, would typically be considered private in nature. </w:t>
      </w:r>
    </w:p>
    <w:p w:rsidR="002A5D84" w:rsidRDefault="002A5D84" w:rsidP="00FB19CB">
      <w:pPr>
        <w:pStyle w:val="BodyText"/>
      </w:pPr>
      <w:r>
        <w:t>A</w:t>
      </w:r>
      <w:r w:rsidRPr="003C3485">
        <w:t xml:space="preserve"> </w:t>
      </w:r>
      <w:r w:rsidRPr="00E64D6D">
        <w:rPr>
          <w:i/>
        </w:rPr>
        <w:t>full exemption</w:t>
      </w:r>
      <w:r w:rsidRPr="003C3485">
        <w:t xml:space="preserve"> </w:t>
      </w:r>
      <w:r>
        <w:t>for employer</w:t>
      </w:r>
      <w:r>
        <w:noBreakHyphen/>
        <w:t>provided housing is</w:t>
      </w:r>
      <w:r w:rsidRPr="003C3485">
        <w:t xml:space="preserve"> overly generous </w:t>
      </w:r>
      <w:r>
        <w:t>given that t</w:t>
      </w:r>
      <w:r w:rsidRPr="003C3485">
        <w:t xml:space="preserve">he provision of housing for use as an employee’s usual place of residence </w:t>
      </w:r>
      <w:r>
        <w:t>also benefits the employee.</w:t>
      </w:r>
      <w:r w:rsidRPr="003C3485">
        <w:t xml:space="preserve"> </w:t>
      </w:r>
      <w:r>
        <w:t>M</w:t>
      </w:r>
      <w:r w:rsidRPr="003C3485">
        <w:t xml:space="preserve">ost people have to pay </w:t>
      </w:r>
      <w:r>
        <w:t xml:space="preserve">the costs associated with their usual place of residence </w:t>
      </w:r>
      <w:r w:rsidRPr="003C3485">
        <w:t>from after</w:t>
      </w:r>
      <w:r>
        <w:noBreakHyphen/>
      </w:r>
      <w:r w:rsidRPr="003C3485">
        <w:t>tax income</w:t>
      </w:r>
      <w:r>
        <w:t>, but using the exemption provides eligible employees with significant tax savings:</w:t>
      </w:r>
      <w:r w:rsidRPr="003C3485">
        <w:t xml:space="preserve"> </w:t>
      </w:r>
      <w:r>
        <w:t>the portion of their remuneration provided as housing is taxed at zero per cent rather than at their marginal individual income tax rate</w:t>
      </w:r>
      <w:r w:rsidRPr="003C3485">
        <w:t xml:space="preserve">. This </w:t>
      </w:r>
      <w:r>
        <w:t>advantage holds</w:t>
      </w:r>
      <w:r w:rsidRPr="003C3485">
        <w:t xml:space="preserve"> even where there is no alternative to employer</w:t>
      </w:r>
      <w:r>
        <w:noBreakHyphen/>
      </w:r>
      <w:r w:rsidRPr="003C3485">
        <w:t>owned housing</w:t>
      </w:r>
      <w:r>
        <w:t>, or where an employee chooses to retain their previous residence</w:t>
      </w:r>
      <w:r w:rsidRPr="003C3485">
        <w:t>.</w:t>
      </w:r>
    </w:p>
    <w:p w:rsidR="002A5D84" w:rsidRDefault="002A5D84" w:rsidP="00FB19CB">
      <w:pPr>
        <w:pStyle w:val="BodyText"/>
      </w:pPr>
      <w:r>
        <w:t>Additionally</w:t>
      </w:r>
      <w:r w:rsidRPr="003C3485" w:rsidDel="00BD07CE">
        <w:t>,</w:t>
      </w:r>
      <w:r>
        <w:t xml:space="preserve"> current eligibility rules mean that </w:t>
      </w:r>
      <w:r w:rsidRPr="003C3485" w:rsidDel="00BD07CE">
        <w:t xml:space="preserve">the exemption </w:t>
      </w:r>
      <w:r>
        <w:t>applies</w:t>
      </w:r>
      <w:r w:rsidRPr="003C3485" w:rsidDel="00BD07CE">
        <w:t xml:space="preserve"> in areas where </w:t>
      </w:r>
      <w:r>
        <w:t>housing is available on the private market — and, because the exemption is not tax</w:t>
      </w:r>
      <w:r>
        <w:noBreakHyphen/>
        <w:t>neutral, it can incentivise</w:t>
      </w:r>
      <w:r w:rsidDel="00645A7D">
        <w:t xml:space="preserve"> </w:t>
      </w:r>
      <w:r>
        <w:t>provision of housing in lieu of wages</w:t>
      </w:r>
      <w:r w:rsidRPr="003C3485" w:rsidDel="00BD07CE">
        <w:t>.</w:t>
      </w:r>
      <w:r>
        <w:t xml:space="preserve"> Consequently,</w:t>
      </w:r>
      <w:r w:rsidRPr="003C3485">
        <w:t xml:space="preserve"> </w:t>
      </w:r>
      <w:r>
        <w:t>it is conceivable that</w:t>
      </w:r>
      <w:r w:rsidRPr="003C3485">
        <w:t xml:space="preserve"> individuals </w:t>
      </w:r>
      <w:r>
        <w:t xml:space="preserve">could be benefitting from the exemption </w:t>
      </w:r>
      <w:r w:rsidRPr="003C3485">
        <w:t xml:space="preserve">in places </w:t>
      </w:r>
      <w:r>
        <w:t>like</w:t>
      </w:r>
      <w:r w:rsidRPr="003C3485">
        <w:t xml:space="preserve"> </w:t>
      </w:r>
      <w:r>
        <w:t xml:space="preserve">Townsville, </w:t>
      </w:r>
      <w:r w:rsidRPr="003C3485">
        <w:t>Cairns</w:t>
      </w:r>
      <w:r>
        <w:t xml:space="preserve">, Darwin, </w:t>
      </w:r>
      <w:r w:rsidRPr="003C3485">
        <w:t>or Byron Bay</w:t>
      </w:r>
      <w:r>
        <w:t>, and in some cases for high</w:t>
      </w:r>
      <w:r>
        <w:noBreakHyphen/>
        <w:t>end properties.</w:t>
      </w:r>
    </w:p>
    <w:p w:rsidR="002A5D84" w:rsidRPr="00A0714A" w:rsidRDefault="002A5D84" w:rsidP="00FB19CB">
      <w:pPr>
        <w:pStyle w:val="BodyText"/>
      </w:pPr>
      <w:r>
        <w:t>The cost advantage created by these arrangements also has economic efficiency implications. E</w:t>
      </w:r>
      <w:r w:rsidRPr="00A0714A">
        <w:t xml:space="preserve">conomic output </w:t>
      </w:r>
      <w:r>
        <w:t xml:space="preserve">is likely to </w:t>
      </w:r>
      <w:r w:rsidRPr="00A0714A">
        <w:t>be lower</w:t>
      </w:r>
      <w:r>
        <w:t>,</w:t>
      </w:r>
      <w:r w:rsidRPr="00A0714A">
        <w:t xml:space="preserve"> as </w:t>
      </w:r>
      <w:r>
        <w:t xml:space="preserve">investment decisions are distorted by artificial cost advantages. Further, there is little transparency attached to these measures, with minimal reporting of the concession and no reporting of the exemption to the ATO. </w:t>
      </w:r>
    </w:p>
    <w:p w:rsidR="002A5D84" w:rsidRDefault="002A5D84" w:rsidP="00FB19CB">
      <w:pPr>
        <w:pStyle w:val="Heading4"/>
      </w:pPr>
      <w:r>
        <w:t>… and</w:t>
      </w:r>
      <w:r w:rsidRPr="00FD3DD0">
        <w:t xml:space="preserve"> are poorly targeted to regional </w:t>
      </w:r>
      <w:r>
        <w:t>assistance</w:t>
      </w:r>
      <w:r w:rsidRPr="00FD3DD0">
        <w:t xml:space="preserve"> goals</w:t>
      </w:r>
    </w:p>
    <w:p w:rsidR="002A5D84" w:rsidRDefault="002A5D84" w:rsidP="00FB19CB">
      <w:pPr>
        <w:pStyle w:val="BodyText"/>
      </w:pPr>
      <w:r>
        <w:t>Using one policy instrument to address inequities in the FBT regime and to pursue regional economic development objectives inevitably leads to conflicts between these two objectives. As an illustration, FBT exemptions for FIFO workers, while warranted to address inequities in the FBT regime, can run counter to regional economic development objectives by discouraging people from settling in regional communities.</w:t>
      </w:r>
    </w:p>
    <w:p w:rsidR="002A5D84" w:rsidRDefault="002A5D84" w:rsidP="00FB19CB">
      <w:pPr>
        <w:pStyle w:val="BodyText"/>
      </w:pPr>
      <w:r>
        <w:t xml:space="preserve">The concessions’ current boundaries encompass about 97 per cent of Australia’s landmass. Broad boundaries may be appropriate from a tax equity perspective, as a way of covering areas where employers may have an operational requirement to provide certain benefits to their employees. However, this also means that they are ineffective at targeting particular regions for economic development. Economic development policies are more likely to be </w:t>
      </w:r>
      <w:r>
        <w:lastRenderedPageBreak/>
        <w:t>cost</w:t>
      </w:r>
      <w:r>
        <w:noBreakHyphen/>
        <w:t>effective when they focus on harnessing the capability and locational advantages of particular communities or regions.</w:t>
      </w:r>
    </w:p>
    <w:p w:rsidR="002A5D84" w:rsidRDefault="002A5D84" w:rsidP="00FB19CB">
      <w:pPr>
        <w:pStyle w:val="BodyText"/>
      </w:pPr>
      <w:r>
        <w:t xml:space="preserve">The Commission also does not consider that there is a clear benefit to using tax concessions rather than direct government spending to support the delivery of public services in regional and remote Australia. These concessions, by virtue of being applicable across most of Australia’s landmass, make it difficult to take into account the specific service needs of regional and remote communities. They also carry the significant drawback of obscuring the cost of delivering public services in regional and remote areas. </w:t>
      </w:r>
    </w:p>
    <w:p w:rsidR="002A5D84" w:rsidRPr="00FD1FA6" w:rsidRDefault="002A5D84" w:rsidP="00FB19CB">
      <w:pPr>
        <w:pStyle w:val="Heading3"/>
      </w:pPr>
      <w:r>
        <w:t>A more targeted approach is warranted</w:t>
      </w:r>
    </w:p>
    <w:p w:rsidR="002A5D84" w:rsidRDefault="002A5D84" w:rsidP="00FB19CB">
      <w:pPr>
        <w:pStyle w:val="BodyText"/>
      </w:pPr>
      <w:r>
        <w:t>The FBT remote area concessions, as they are currently designed and administered, do not address either of their purported objectives effectively.</w:t>
      </w:r>
    </w:p>
    <w:p w:rsidR="002A5D84" w:rsidRPr="001E1739" w:rsidRDefault="002A5D84" w:rsidP="00FB19CB">
      <w:pPr>
        <w:pStyle w:val="BodyText"/>
      </w:pPr>
      <w:r w:rsidRPr="001E1739">
        <w:t xml:space="preserve">Any redesign of the FBT remote area concessions needs to balance two considerations: improving tax neutrality between different kinds of remuneration, and minimising compliance and administration costs. </w:t>
      </w:r>
    </w:p>
    <w:p w:rsidR="002A5D84" w:rsidRPr="001E1739" w:rsidRDefault="002A5D84" w:rsidP="00FB19CB">
      <w:pPr>
        <w:pStyle w:val="BodyText"/>
      </w:pPr>
      <w:r>
        <w:t>Improving</w:t>
      </w:r>
      <w:r w:rsidRPr="001E1739">
        <w:t xml:space="preserve"> tax neutrality for</w:t>
      </w:r>
      <w:r>
        <w:t xml:space="preserve"> remuneration provided as</w:t>
      </w:r>
      <w:r w:rsidRPr="001E1739">
        <w:t xml:space="preserve"> goods and services in remote areas would </w:t>
      </w:r>
      <w:r>
        <w:t>not only strengthen</w:t>
      </w:r>
      <w:r w:rsidRPr="001E1739">
        <w:t xml:space="preserve"> the integrity of the tax system</w:t>
      </w:r>
      <w:r>
        <w:t>, but also</w:t>
      </w:r>
      <w:r w:rsidRPr="001E1739">
        <w:t xml:space="preserve"> </w:t>
      </w:r>
      <w:r>
        <w:t xml:space="preserve">foster more </w:t>
      </w:r>
      <w:r w:rsidRPr="001E1739">
        <w:t>efficien</w:t>
      </w:r>
      <w:r>
        <w:t xml:space="preserve">t </w:t>
      </w:r>
      <w:r w:rsidRPr="001E1739">
        <w:t xml:space="preserve">investment decisions by reducing artificial cost advantages </w:t>
      </w:r>
      <w:r>
        <w:t>afforded to some businesses through FBT exemptions and concessions</w:t>
      </w:r>
      <w:r w:rsidRPr="001E1739">
        <w:t>.</w:t>
      </w:r>
    </w:p>
    <w:p w:rsidR="002A5D84" w:rsidRDefault="002A5D84" w:rsidP="00FB19CB">
      <w:pPr>
        <w:pStyle w:val="BodyText"/>
      </w:pPr>
      <w:r w:rsidRPr="000A3369">
        <w:t xml:space="preserve">Broader reforms to the operation of FBT and other components of the income tax system — for instance, taxing fringe benefits in the hands of employees as suggested by the Henry Review — would address neutrality concerns and fundamentally alter the case for specific concessions. </w:t>
      </w:r>
    </w:p>
    <w:p w:rsidR="002A5D84" w:rsidRPr="001E1739" w:rsidRDefault="002A5D84" w:rsidP="00FB19CB">
      <w:pPr>
        <w:pStyle w:val="BodyText"/>
      </w:pPr>
      <w:r>
        <w:t>In</w:t>
      </w:r>
      <w:r w:rsidRPr="001E1739">
        <w:t xml:space="preserve"> the absence of </w:t>
      </w:r>
      <w:r>
        <w:t>such fundamental reform</w:t>
      </w:r>
      <w:r w:rsidRPr="001E1739">
        <w:t xml:space="preserve">, there is a need to better target access to the </w:t>
      </w:r>
      <w:r w:rsidRPr="001E1739" w:rsidDel="00EA22B1">
        <w:t>concessions</w:t>
      </w:r>
      <w:r w:rsidRPr="001E1739">
        <w:t xml:space="preserve">. This involves examining the nature of each type of good or service provided by employers, determining whether a concession is warranted, and </w:t>
      </w:r>
      <w:r>
        <w:t xml:space="preserve">identifying </w:t>
      </w:r>
      <w:r w:rsidRPr="001E1739">
        <w:t xml:space="preserve">what form </w:t>
      </w:r>
      <w:r>
        <w:t>it</w:t>
      </w:r>
      <w:r w:rsidRPr="001E1739">
        <w:t xml:space="preserve"> should take. </w:t>
      </w:r>
    </w:p>
    <w:p w:rsidR="002A5D84" w:rsidRDefault="002A5D84" w:rsidP="00FB19CB">
      <w:pPr>
        <w:pStyle w:val="BodyText"/>
      </w:pPr>
      <w:r>
        <w:t xml:space="preserve">In doing so, </w:t>
      </w:r>
      <w:r w:rsidRPr="001E1739">
        <w:t>compliance and administrative costs must be balanced against tax neutrality</w:t>
      </w:r>
      <w:r>
        <w:t xml:space="preserve"> goals</w:t>
      </w:r>
      <w:r w:rsidRPr="001E1739">
        <w:t>.</w:t>
      </w:r>
      <w:r>
        <w:t xml:space="preserve"> </w:t>
      </w:r>
      <w:r w:rsidRPr="001E1739">
        <w:t>For low</w:t>
      </w:r>
      <w:r>
        <w:noBreakHyphen/>
      </w:r>
      <w:r w:rsidRPr="001E1739">
        <w:t xml:space="preserve">value items, </w:t>
      </w:r>
      <w:r>
        <w:t xml:space="preserve">the </w:t>
      </w:r>
      <w:r w:rsidRPr="001E1739">
        <w:t>compliance costs associated with a partial concession may outweigh the tax neutrality benefits. As such, exemptions may be warranted. However, where the concessions are more material (</w:t>
      </w:r>
      <w:r>
        <w:t>as they are for</w:t>
      </w:r>
      <w:r w:rsidRPr="001E1739">
        <w:t xml:space="preserve"> housing), higher compliance burdens </w:t>
      </w:r>
      <w:r>
        <w:t xml:space="preserve">are </w:t>
      </w:r>
      <w:r w:rsidRPr="001E1739">
        <w:t xml:space="preserve">justified on tax neutrality and integrity grounds and </w:t>
      </w:r>
      <w:r>
        <w:t xml:space="preserve">by </w:t>
      </w:r>
      <w:r w:rsidRPr="001E1739">
        <w:t xml:space="preserve">efficiency considerations. </w:t>
      </w:r>
    </w:p>
    <w:p w:rsidR="002A5D84" w:rsidRDefault="002A5D84" w:rsidP="00FB19CB">
      <w:pPr>
        <w:pStyle w:val="Heading4"/>
      </w:pPr>
      <w:r>
        <w:t>Exemptions for employer</w:t>
      </w:r>
      <w:r>
        <w:noBreakHyphen/>
        <w:t xml:space="preserve">provided housing should be partly wound back </w:t>
      </w:r>
    </w:p>
    <w:p w:rsidR="002A5D84" w:rsidRDefault="002A5D84" w:rsidP="00FB19CB">
      <w:pPr>
        <w:pStyle w:val="BodyText"/>
      </w:pPr>
      <w:r>
        <w:t>Given the considerations above, t</w:t>
      </w:r>
      <w:r w:rsidRPr="001E1739">
        <w:t xml:space="preserve">he </w:t>
      </w:r>
      <w:r w:rsidR="00254E71">
        <w:t xml:space="preserve">Australian </w:t>
      </w:r>
      <w:r w:rsidRPr="001E1739">
        <w:t>Government should change the exemption for employer</w:t>
      </w:r>
      <w:r w:rsidRPr="001E1739">
        <w:noBreakHyphen/>
        <w:t xml:space="preserve">provided housing (as usual place of residence) to a </w:t>
      </w:r>
      <w:r>
        <w:t xml:space="preserve">50 per cent </w:t>
      </w:r>
      <w:r w:rsidRPr="001E1739">
        <w:t xml:space="preserve">concession (as it was prior to 2000), and tighten eligibility rules. </w:t>
      </w:r>
      <w:r>
        <w:t>Moving to a 50 per cent concession</w:t>
      </w:r>
      <w:r w:rsidRPr="001E1739">
        <w:t xml:space="preserve"> would </w:t>
      </w:r>
      <w:r>
        <w:lastRenderedPageBreak/>
        <w:t>improve the tax neutrality between employer</w:t>
      </w:r>
      <w:r>
        <w:noBreakHyphen/>
        <w:t xml:space="preserve">provided housing and wage income — it </w:t>
      </w:r>
      <w:r w:rsidRPr="0013110A">
        <w:t>make</w:t>
      </w:r>
      <w:r>
        <w:t>s</w:t>
      </w:r>
      <w:r w:rsidRPr="0013110A">
        <w:t xml:space="preserve"> the effective tax rate on employer</w:t>
      </w:r>
      <w:r>
        <w:noBreakHyphen/>
      </w:r>
      <w:r w:rsidRPr="0013110A">
        <w:t>provided housing 30.7</w:t>
      </w:r>
      <w:r>
        <w:t> </w:t>
      </w:r>
      <w:r w:rsidRPr="0013110A">
        <w:t>per</w:t>
      </w:r>
      <w:r>
        <w:t> </w:t>
      </w:r>
      <w:r w:rsidRPr="0013110A">
        <w:t>cent</w:t>
      </w:r>
      <w:r>
        <w:t>, which is</w:t>
      </w:r>
      <w:r w:rsidRPr="0013110A">
        <w:t xml:space="preserve"> close to the marginal income tax rate that most employees in employer</w:t>
      </w:r>
      <w:r>
        <w:noBreakHyphen/>
      </w:r>
      <w:r w:rsidRPr="0013110A">
        <w:t>provided housing face</w:t>
      </w:r>
      <w:r>
        <w:t xml:space="preserve">. Such a change would </w:t>
      </w:r>
      <w:r w:rsidRPr="001E1739">
        <w:t>reduce the incentive to use employer</w:t>
      </w:r>
      <w:r w:rsidRPr="001E1739">
        <w:noBreakHyphen/>
        <w:t>provided housing in cases where it is not an operational requirement — reducing both the cost of the concession, in terms of forgone tax revenue, and the inequity between those who use the concession and those who cannot, without penalising employers in cases where it is a requirement (with rare exceptions).</w:t>
      </w:r>
      <w:r w:rsidRPr="00E87780">
        <w:t xml:space="preserve"> </w:t>
      </w:r>
    </w:p>
    <w:p w:rsidR="002A5D84" w:rsidRDefault="002A5D84" w:rsidP="00FB19CB">
      <w:pPr>
        <w:pStyle w:val="BodyText"/>
      </w:pPr>
      <w:r w:rsidRPr="000B49C0">
        <w:t>In changing the remote area employer</w:t>
      </w:r>
      <w:r>
        <w:noBreakHyphen/>
      </w:r>
      <w:r w:rsidRPr="000B49C0">
        <w:t xml:space="preserve">provided housing concession, there is also a case for increasing the reporting obligations of employers that use the concessions. </w:t>
      </w:r>
      <w:r>
        <w:t>T</w:t>
      </w:r>
      <w:r w:rsidRPr="0005279A">
        <w:t xml:space="preserve">he </w:t>
      </w:r>
      <w:r>
        <w:t xml:space="preserve">relatively high value of these </w:t>
      </w:r>
      <w:r w:rsidRPr="002C7048">
        <w:t xml:space="preserve">concessions warrants at least </w:t>
      </w:r>
      <w:r>
        <w:t>some</w:t>
      </w:r>
      <w:r w:rsidRPr="002C7048">
        <w:t xml:space="preserve"> additiona</w:t>
      </w:r>
      <w:r w:rsidRPr="0005279A">
        <w:t xml:space="preserve">l reporting to the ATO to enhance its capability to administer </w:t>
      </w:r>
      <w:r>
        <w:t xml:space="preserve">the concessions </w:t>
      </w:r>
      <w:r w:rsidRPr="002C7048">
        <w:t>and enforce compliance</w:t>
      </w:r>
      <w:r>
        <w:t>. At a minimum,</w:t>
      </w:r>
      <w:r w:rsidRPr="001E1739">
        <w:t xml:space="preserve"> </w:t>
      </w:r>
      <w:r>
        <w:t>s</w:t>
      </w:r>
      <w:r w:rsidRPr="001E1739">
        <w:t xml:space="preserve">uch reporting </w:t>
      </w:r>
      <w:r>
        <w:t xml:space="preserve">should </w:t>
      </w:r>
      <w:r w:rsidRPr="001E1739">
        <w:t xml:space="preserve">include brief details about the number and location of houses provided. </w:t>
      </w:r>
    </w:p>
    <w:p w:rsidR="002A5D84" w:rsidRDefault="002A5D84" w:rsidP="00FB19CB">
      <w:pPr>
        <w:pStyle w:val="Heading5"/>
      </w:pPr>
      <w:r>
        <w:t>E</w:t>
      </w:r>
      <w:r w:rsidRPr="00E81B0B">
        <w:t>ligibility rules</w:t>
      </w:r>
      <w:r>
        <w:t xml:space="preserve"> should be tightened </w:t>
      </w:r>
    </w:p>
    <w:p w:rsidR="002A5D84" w:rsidRDefault="002A5D84" w:rsidP="00FB19CB">
      <w:pPr>
        <w:pStyle w:val="BodyText"/>
      </w:pPr>
      <w:r w:rsidRPr="00935F42">
        <w:t xml:space="preserve">Amending the eligibility rules to focus use of the concession on cases where there is an operational requirement would further limit scope for the proposed partial concession to be used in tax reduction strategies and improve the integrity of the income tax system. To this end, the </w:t>
      </w:r>
      <w:r w:rsidR="00254E71">
        <w:t xml:space="preserve">Australian </w:t>
      </w:r>
      <w:r w:rsidRPr="00935F42">
        <w:t>Government should also remove provisions that allow employers to claim the existing exemption for employer</w:t>
      </w:r>
      <w:r w:rsidRPr="00935F42">
        <w:noBreakHyphen/>
        <w:t>provided housing merely because it is ‘customary’, or in less remote areas where they are ‘certain regional employers’.</w:t>
      </w:r>
    </w:p>
    <w:p w:rsidR="002A5D84" w:rsidRDefault="002A5D84" w:rsidP="00FB19CB">
      <w:pPr>
        <w:pStyle w:val="ListBullet"/>
      </w:pPr>
      <w:r w:rsidRPr="001E1739">
        <w:t>The ‘customary’ rule explicitly allows the existing exemption to be used (by some employers) in locations where there is sufficient alternative accommodation available — that is, where there is no operational reason for the employer to provide the housing.</w:t>
      </w:r>
      <w:r w:rsidRPr="00B93070">
        <w:t xml:space="preserve"> </w:t>
      </w:r>
    </w:p>
    <w:p w:rsidR="002A5D84" w:rsidRDefault="002A5D84" w:rsidP="00FB19CB">
      <w:pPr>
        <w:pStyle w:val="ListBullet"/>
      </w:pPr>
      <w:r>
        <w:t>Equally, g</w:t>
      </w:r>
      <w:r w:rsidRPr="001E1739">
        <w:t>iven that the additional areas for ‘certain regional employers’ are more populous towns, the need to provide accommodation for operational reasons is less credible.</w:t>
      </w:r>
      <w:r w:rsidRPr="004674E0">
        <w:t xml:space="preserve"> </w:t>
      </w:r>
    </w:p>
    <w:p w:rsidR="002A5D84" w:rsidRDefault="002A5D84" w:rsidP="00FB19CB">
      <w:pPr>
        <w:pStyle w:val="BodyText"/>
      </w:pPr>
      <w:r>
        <w:t xml:space="preserve">If, after implementation of these reforms, the ATO had lingering concerns about misuse of the concessions, there would be merit in the Government considering a cap on the FBT remote area housing concessions. </w:t>
      </w:r>
    </w:p>
    <w:p w:rsidR="002A5D84" w:rsidRDefault="002A5D84" w:rsidP="00FB19CB">
      <w:pPr>
        <w:pStyle w:val="Heading4"/>
      </w:pPr>
      <w:r>
        <w:t>Effects of changing the FBT remote housing concession rules</w:t>
      </w:r>
    </w:p>
    <w:p w:rsidR="002A5D84" w:rsidRDefault="002A5D84" w:rsidP="00FB19CB">
      <w:pPr>
        <w:pStyle w:val="BodyText"/>
      </w:pPr>
      <w:r w:rsidRPr="001E1739">
        <w:t>Changes to the FBT</w:t>
      </w:r>
      <w:r w:rsidRPr="000B49C0">
        <w:t xml:space="preserve"> </w:t>
      </w:r>
      <w:r>
        <w:t>remote housing</w:t>
      </w:r>
      <w:r w:rsidRPr="001E1739">
        <w:t xml:space="preserve"> concession rules can be expected to have </w:t>
      </w:r>
      <w:r>
        <w:t xml:space="preserve">some </w:t>
      </w:r>
      <w:r w:rsidRPr="001E1739">
        <w:t xml:space="preserve">local and broader effects. </w:t>
      </w:r>
    </w:p>
    <w:p w:rsidR="002A5D84" w:rsidRPr="001E1739" w:rsidRDefault="002A5D84" w:rsidP="00FB19CB">
      <w:pPr>
        <w:pStyle w:val="BodyText"/>
      </w:pPr>
      <w:r w:rsidRPr="001E1739">
        <w:t>Changing the exemption for employer</w:t>
      </w:r>
      <w:r w:rsidRPr="001E1739">
        <w:noBreakHyphen/>
        <w:t>provided housing to a 50 per cent concession would substantially reduce the tax savings for individuals, although the reduction in tax savings would vary with income. For the vast majority of individuals (with income above $37 000), the partial concession would still provide tax savings relative to a no</w:t>
      </w:r>
      <w:r w:rsidRPr="001E1739">
        <w:noBreakHyphen/>
        <w:t>concession scenario.</w:t>
      </w:r>
    </w:p>
    <w:p w:rsidR="002A5D84" w:rsidRPr="001E1739" w:rsidRDefault="002A5D84" w:rsidP="00FB19CB">
      <w:pPr>
        <w:pStyle w:val="BodyText"/>
        <w:rPr>
          <w:color w:val="000000" w:themeColor="text1"/>
        </w:rPr>
      </w:pPr>
      <w:r w:rsidRPr="001E1739">
        <w:lastRenderedPageBreak/>
        <w:t>Assuming no change in the provision of employer</w:t>
      </w:r>
      <w:r w:rsidRPr="001E1739">
        <w:noBreakHyphen/>
        <w:t>provided housing, the shift to a 50 per cent concession could raise about $150–195 million</w:t>
      </w:r>
      <w:r w:rsidRPr="001E1739">
        <w:rPr>
          <w:color w:val="A52828" w:themeColor="accent5"/>
        </w:rPr>
        <w:t xml:space="preserve"> </w:t>
      </w:r>
      <w:r w:rsidRPr="001E1739">
        <w:rPr>
          <w:color w:val="000000" w:themeColor="text1"/>
        </w:rPr>
        <w:t>in FBT (</w:t>
      </w:r>
      <w:r w:rsidRPr="001E1739" w:rsidDel="005E2F25">
        <w:rPr>
          <w:color w:val="000000" w:themeColor="text1"/>
        </w:rPr>
        <w:t>appendix</w:t>
      </w:r>
      <w:r w:rsidRPr="001E1739">
        <w:rPr>
          <w:color w:val="000000" w:themeColor="text1"/>
        </w:rPr>
        <w:t xml:space="preserve"> C). </w:t>
      </w:r>
    </w:p>
    <w:p w:rsidR="002A5D84" w:rsidRDefault="002A5D84" w:rsidP="00FB19CB">
      <w:pPr>
        <w:pStyle w:val="BodyText"/>
        <w:rPr>
          <w:color w:val="000000" w:themeColor="text1"/>
        </w:rPr>
      </w:pPr>
      <w:r w:rsidRPr="001E1739">
        <w:rPr>
          <w:color w:val="000000" w:themeColor="text1"/>
        </w:rPr>
        <w:t xml:space="preserve">In practice, employer behaviour </w:t>
      </w:r>
      <w:r>
        <w:rPr>
          <w:color w:val="000000" w:themeColor="text1"/>
        </w:rPr>
        <w:t>could be expected to</w:t>
      </w:r>
      <w:r w:rsidRPr="001E1739">
        <w:rPr>
          <w:color w:val="000000" w:themeColor="text1"/>
        </w:rPr>
        <w:t xml:space="preserve"> change. Some employers would continue to provide housing, and pay FBT on that housing, but might reduce employee wages in order to recoup some of the extra tax payments; this would lower income tax receipts. Other employers might cease to provide housing and instead increase employee wages. This could be an attractive option </w:t>
      </w:r>
      <w:r w:rsidRPr="001E1739">
        <w:t>where a private housing market exists, or where the FBT concession results in a tax disadvantage for employees on incomes below $37 000.</w:t>
      </w:r>
    </w:p>
    <w:p w:rsidR="002A5D84" w:rsidRPr="00030ACE" w:rsidRDefault="002A5D84" w:rsidP="00FB19CB">
      <w:pPr>
        <w:pStyle w:val="Heading5"/>
      </w:pPr>
      <w:r w:rsidRPr="00030ACE">
        <w:t xml:space="preserve">Compliance costs </w:t>
      </w:r>
    </w:p>
    <w:p w:rsidR="002A5D84" w:rsidRDefault="002A5D84" w:rsidP="00FB19CB">
      <w:pPr>
        <w:pStyle w:val="BodyText"/>
      </w:pPr>
      <w:r w:rsidRPr="001E1739">
        <w:t xml:space="preserve">Changing from an exemption to a partial concession would increase compliance burdens. It </w:t>
      </w:r>
      <w:r>
        <w:t>would</w:t>
      </w:r>
      <w:r w:rsidRPr="001E1739">
        <w:t xml:space="preserve"> require </w:t>
      </w:r>
      <w:r w:rsidRPr="0012660F">
        <w:t>employers who were previously using the housing exemption provisions</w:t>
      </w:r>
      <w:r>
        <w:t xml:space="preserve"> </w:t>
      </w:r>
      <w:r w:rsidRPr="001E1739">
        <w:t xml:space="preserve">to submit FBT returns. These additional compliance burdens would likely have a disproportionate effect on smaller employers — some of whom might only provide housing to a single employee. </w:t>
      </w:r>
      <w:r w:rsidRPr="00CF74D4">
        <w:t>That said</w:t>
      </w:r>
      <w:r w:rsidRPr="001E1739" w:rsidDel="00B2183B">
        <w:t>, it is worth noting that employers</w:t>
      </w:r>
      <w:r>
        <w:t xml:space="preserve"> </w:t>
      </w:r>
      <w:r w:rsidRPr="001E1739" w:rsidDel="00B2183B">
        <w:t>providing housing</w:t>
      </w:r>
      <w:r w:rsidRPr="001E1739">
        <w:t xml:space="preserve"> to employees</w:t>
      </w:r>
      <w:r w:rsidRPr="001E1739" w:rsidDel="00B2183B">
        <w:t xml:space="preserve"> are </w:t>
      </w:r>
      <w:r>
        <w:t>more</w:t>
      </w:r>
      <w:r w:rsidRPr="001E1739" w:rsidDel="00B2183B">
        <w:t xml:space="preserve"> </w:t>
      </w:r>
      <w:r w:rsidRPr="001E1739">
        <w:t>likely to be larger businesses</w:t>
      </w:r>
      <w:r>
        <w:t xml:space="preserve"> </w:t>
      </w:r>
      <w:r w:rsidRPr="004F0918">
        <w:t>that can be expected to already have FBT reporting systems in place. As such</w:t>
      </w:r>
      <w:r>
        <w:t>,</w:t>
      </w:r>
      <w:r w:rsidRPr="004F0918">
        <w:t xml:space="preserve"> the incremental compliance costs </w:t>
      </w:r>
      <w:r>
        <w:t xml:space="preserve">to them </w:t>
      </w:r>
      <w:r w:rsidRPr="004F0918">
        <w:t>are unlikely to be substantial.</w:t>
      </w:r>
      <w:r>
        <w:t xml:space="preserve"> </w:t>
      </w:r>
    </w:p>
    <w:p w:rsidR="002A5D84" w:rsidRPr="001E1739" w:rsidRDefault="002A5D84" w:rsidP="00FB19CB">
      <w:pPr>
        <w:pStyle w:val="BodyText"/>
      </w:pPr>
      <w:r>
        <w:t>Further, while it is difficult to determine</w:t>
      </w:r>
      <w:r w:rsidRPr="001E1739">
        <w:t xml:space="preserve"> the value of housing provided to employees where housing markets are absent</w:t>
      </w:r>
      <w:r>
        <w:t xml:space="preserve"> or </w:t>
      </w:r>
      <w:r w:rsidRPr="001E1739">
        <w:t>thin and volatile (such as on a remote station or mine site)</w:t>
      </w:r>
      <w:r>
        <w:t xml:space="preserve">, the Australian Government could mitigate this problem by developing </w:t>
      </w:r>
      <w:r w:rsidRPr="001E1739">
        <w:t xml:space="preserve">simplified valuation methodologies </w:t>
      </w:r>
      <w:r>
        <w:t>in consultation with stakeholders.</w:t>
      </w:r>
    </w:p>
    <w:p w:rsidR="002A5D84" w:rsidRDefault="002A5D84" w:rsidP="00FB19CB">
      <w:pPr>
        <w:pStyle w:val="BodyText"/>
      </w:pPr>
      <w:r w:rsidRPr="001E1739">
        <w:t xml:space="preserve">On balance, the Commission considers that the additional compliance costs </w:t>
      </w:r>
      <w:r>
        <w:t xml:space="preserve">associated with its recommendation </w:t>
      </w:r>
      <w:r w:rsidRPr="001E1739">
        <w:t>are more than offset by the benefits of more equitable tax treatment and a broader improvement in the integrity of the income tax system.</w:t>
      </w:r>
      <w:r>
        <w:t xml:space="preserve"> </w:t>
      </w:r>
      <w:r w:rsidRPr="001E1739">
        <w:t xml:space="preserve">While compliance costs should be the minimum necessary to achieve </w:t>
      </w:r>
      <w:r>
        <w:t>a particular</w:t>
      </w:r>
      <w:r w:rsidRPr="001E1739">
        <w:t xml:space="preserve"> objective, minimising compliance costs should not be the primary objective of an FBT regime</w:t>
      </w:r>
      <w:r>
        <w:t>; this principle applies to the tax system generally</w:t>
      </w:r>
      <w:r w:rsidRPr="001E1739">
        <w:t>.</w:t>
      </w:r>
      <w:r w:rsidRPr="00072365">
        <w:t xml:space="preserve"> </w:t>
      </w:r>
    </w:p>
    <w:p w:rsidR="002A5D84" w:rsidRDefault="002A5D84" w:rsidP="00FB19CB">
      <w:pPr>
        <w:pStyle w:val="Heading5"/>
      </w:pPr>
      <w:r>
        <w:t>Regional employment</w:t>
      </w:r>
    </w:p>
    <w:p w:rsidR="002A5D84" w:rsidRPr="001E1739" w:rsidRDefault="002A5D84" w:rsidP="00FB19CB">
      <w:pPr>
        <w:pStyle w:val="BodyText"/>
      </w:pPr>
      <w:r w:rsidRPr="001E1739">
        <w:t>To the extent that removing the exemption or reducing the value of FBT concessions has a material impact on costs and the viability of projects, any resulting decline in economic activity may have a knock</w:t>
      </w:r>
      <w:r w:rsidRPr="001E1739">
        <w:noBreakHyphen/>
        <w:t xml:space="preserve">on effect on </w:t>
      </w:r>
      <w:r>
        <w:t xml:space="preserve">employment in </w:t>
      </w:r>
      <w:r w:rsidRPr="001E1739">
        <w:t>some remote areas</w:t>
      </w:r>
      <w:r>
        <w:t>, shifting employment to other places</w:t>
      </w:r>
      <w:r w:rsidRPr="001E1739">
        <w:t xml:space="preserve">. </w:t>
      </w:r>
    </w:p>
    <w:p w:rsidR="002A5D84" w:rsidRDefault="002A5D84" w:rsidP="00FB19CB">
      <w:pPr>
        <w:pStyle w:val="BodyText"/>
      </w:pPr>
      <w:r>
        <w:t>These effects are generally likely to be small. In areas where employer</w:t>
      </w:r>
      <w:r>
        <w:noBreakHyphen/>
        <w:t xml:space="preserve">provided housing is most prevalent — such as the Pilbara — there may be discernible effects on local employment levels and housing markets. However, even in </w:t>
      </w:r>
      <w:r w:rsidRPr="001E1739">
        <w:t xml:space="preserve">the Pilbara, the </w:t>
      </w:r>
      <w:r>
        <w:t>total tax savings</w:t>
      </w:r>
      <w:r w:rsidRPr="001E1739">
        <w:t xml:space="preserve"> </w:t>
      </w:r>
      <w:r>
        <w:lastRenderedPageBreak/>
        <w:t xml:space="preserve">associated with </w:t>
      </w:r>
      <w:r w:rsidRPr="001E1739">
        <w:t>the current exemption for employer</w:t>
      </w:r>
      <w:r w:rsidRPr="001E1739">
        <w:noBreakHyphen/>
        <w:t xml:space="preserve">provided housing (which </w:t>
      </w:r>
      <w:r>
        <w:t>are</w:t>
      </w:r>
      <w:r w:rsidRPr="001E1739">
        <w:t xml:space="preserve"> estimated to be in the range of $30</w:t>
      </w:r>
      <w:r w:rsidRPr="001E1739">
        <w:noBreakHyphen/>
        <w:t xml:space="preserve">50 million) </w:t>
      </w:r>
      <w:r>
        <w:t xml:space="preserve">are </w:t>
      </w:r>
      <w:r w:rsidRPr="001E1739">
        <w:t xml:space="preserve">small relative to the economic output of the region. </w:t>
      </w:r>
    </w:p>
    <w:p w:rsidR="002A5D84" w:rsidRDefault="002A5D84" w:rsidP="00FB19CB">
      <w:pPr>
        <w:pStyle w:val="BodyText"/>
      </w:pPr>
      <w:r>
        <w:t>Overall</w:t>
      </w:r>
      <w:r w:rsidRPr="001E1739">
        <w:t>, it is unlikely that changes to the existing exemption will have significant impacts on the viability of resource projects in the region. Indeed, changes in the economic and employment levels of these regions are much more significantly affected by commodity price volatility.</w:t>
      </w:r>
      <w:r>
        <w:t xml:space="preserve"> While they may be modest, shifts in the location of employment and activity prompted by changes to FBT should not be seen through a negative lens, as these shifts will typically </w:t>
      </w:r>
      <w:r w:rsidRPr="00310031">
        <w:rPr>
          <w:i/>
        </w:rPr>
        <w:t>promote</w:t>
      </w:r>
      <w:r>
        <w:t xml:space="preserve"> efficiency and overall community wellbeing.</w:t>
      </w:r>
    </w:p>
    <w:p w:rsidR="002A5D84" w:rsidRDefault="002A5D84" w:rsidP="00FB19CB">
      <w:pPr>
        <w:pStyle w:val="Heading4"/>
      </w:pPr>
      <w:r>
        <w:t>Other types of remote area concessions could also be better targeted</w:t>
      </w:r>
    </w:p>
    <w:p w:rsidR="002A5D84" w:rsidRPr="001E1739" w:rsidRDefault="002A5D84" w:rsidP="00FB19CB">
      <w:pPr>
        <w:pStyle w:val="BodyText"/>
      </w:pPr>
      <w:r w:rsidRPr="001E1739">
        <w:t>In addition to changes to the exemption for employer</w:t>
      </w:r>
      <w:r w:rsidRPr="001E1739">
        <w:noBreakHyphen/>
        <w:t>provided housing, th</w:t>
      </w:r>
      <w:r>
        <w:t>e Commission</w:t>
      </w:r>
      <w:r w:rsidRPr="001E1739">
        <w:t xml:space="preserve"> also proposes changes to the other remote area concessions (table 2). In</w:t>
      </w:r>
      <w:r w:rsidRPr="001E1739" w:rsidDel="00DF5602">
        <w:t xml:space="preserve"> </w:t>
      </w:r>
      <w:r w:rsidRPr="001E1739">
        <w:t>particular, the Australian Government</w:t>
      </w:r>
      <w:r>
        <w:t xml:space="preserve"> should</w:t>
      </w:r>
      <w:r w:rsidRPr="001E1739">
        <w:t>:</w:t>
      </w:r>
    </w:p>
    <w:p w:rsidR="002A5D84" w:rsidRPr="001E1739" w:rsidRDefault="002A5D84" w:rsidP="00FB19CB">
      <w:pPr>
        <w:pStyle w:val="ListBullet"/>
      </w:pPr>
      <w:r w:rsidRPr="001E1739">
        <w:t xml:space="preserve">remove the current </w:t>
      </w:r>
      <w:r>
        <w:t>partial</w:t>
      </w:r>
      <w:r w:rsidRPr="001E1739">
        <w:t xml:space="preserve"> concessions on employee</w:t>
      </w:r>
      <w:r w:rsidRPr="001E1739">
        <w:noBreakHyphen/>
        <w:t>sourced housing (such as rent or mortgage assistance). These partial concessions do not satisfy the condition that there is an operational requirement for employers to provide the assistance. They are premised on employees having secured their own housing</w:t>
      </w:r>
      <w:r>
        <w:t>. I</w:t>
      </w:r>
      <w:r w:rsidRPr="001E1739">
        <w:t xml:space="preserve">f employees are able to secure their own housing, such assistance is substitutable with wage income </w:t>
      </w:r>
    </w:p>
    <w:p w:rsidR="002A5D84" w:rsidRPr="001E1739" w:rsidRDefault="002A5D84" w:rsidP="00FB19CB">
      <w:pPr>
        <w:pStyle w:val="ListBullet"/>
      </w:pPr>
      <w:r w:rsidRPr="001E1739">
        <w:t>retain the partial concessions on residential fuel for use in conjunction with employer</w:t>
      </w:r>
      <w:r w:rsidRPr="001E1739">
        <w:noBreakHyphen/>
        <w:t>provided housing, as well as the exemption for meals for primary production employees. However,</w:t>
      </w:r>
      <w:r w:rsidRPr="001E1739" w:rsidDel="00416D8F">
        <w:t xml:space="preserve"> </w:t>
      </w:r>
      <w:r w:rsidRPr="001E1739">
        <w:t>eligibility for both should be tightened to include only those cases where there is an operational requirement to</w:t>
      </w:r>
      <w:r w:rsidRPr="001E1739" w:rsidDel="00416D8F">
        <w:t xml:space="preserve"> </w:t>
      </w:r>
      <w:r w:rsidRPr="001E1739">
        <w:t xml:space="preserve">provide the meals or fuel. </w:t>
      </w:r>
      <w:r>
        <w:t>There is scope</w:t>
      </w:r>
      <w:r w:rsidRPr="001E1739">
        <w:t xml:space="preserve"> to reduce the complexity of the exemption for meals </w:t>
      </w:r>
    </w:p>
    <w:p w:rsidR="002A5D84" w:rsidRPr="001E1739" w:rsidRDefault="002A5D84" w:rsidP="00FB19CB">
      <w:pPr>
        <w:pStyle w:val="ListBullet"/>
      </w:pPr>
      <w:r w:rsidRPr="001E1739">
        <w:t xml:space="preserve">remove the partial concessions on holiday transport. Holiday </w:t>
      </w:r>
      <w:r w:rsidRPr="001E1739" w:rsidDel="00131EF5">
        <w:t xml:space="preserve">transport </w:t>
      </w:r>
      <w:r w:rsidRPr="001E1739">
        <w:t>directly benefits employees, but there is no operational requirement to provide it, so it is inequitable for it to be partly funded by taxpayers.</w:t>
      </w:r>
    </w:p>
    <w:p w:rsidR="002A5D84" w:rsidRDefault="002A5D84" w:rsidP="00FB19CB">
      <w:pPr>
        <w:pStyle w:val="BodyText"/>
      </w:pPr>
      <w:r>
        <w:t>The impacts of these proposed c</w:t>
      </w:r>
      <w:r w:rsidRPr="001E1739">
        <w:t xml:space="preserve">hanges are expected to </w:t>
      </w:r>
      <w:r>
        <w:t>be contained</w:t>
      </w:r>
      <w:r w:rsidRPr="001E1739">
        <w:t>, as the</w:t>
      </w:r>
      <w:r>
        <w:t>se</w:t>
      </w:r>
      <w:r w:rsidRPr="001E1739">
        <w:t xml:space="preserve"> concessions are narrowly used and </w:t>
      </w:r>
      <w:r>
        <w:t>provide small tax savings</w:t>
      </w:r>
      <w:r w:rsidRPr="001E1739">
        <w:t>.</w:t>
      </w:r>
    </w:p>
    <w:p w:rsidR="002A5D84" w:rsidRPr="0037546C" w:rsidRDefault="002A5D84">
      <w:pPr>
        <w:pStyle w:val="Heading4"/>
      </w:pPr>
      <w:r w:rsidRPr="00F409FA">
        <w:t xml:space="preserve">The </w:t>
      </w:r>
      <w:r>
        <w:t xml:space="preserve">FBT remote area </w:t>
      </w:r>
      <w:r w:rsidRPr="00F409FA">
        <w:t xml:space="preserve">boundaries should be </w:t>
      </w:r>
      <w:r w:rsidRPr="0037546C">
        <w:t xml:space="preserve">updated </w:t>
      </w:r>
      <w:r>
        <w:t>and simplified</w:t>
      </w:r>
    </w:p>
    <w:p w:rsidR="002A5D84" w:rsidRDefault="002A5D84" w:rsidP="00FB19CB">
      <w:pPr>
        <w:pStyle w:val="BodyText"/>
      </w:pPr>
      <w:r w:rsidRPr="00106D57">
        <w:t xml:space="preserve">Geographical restrictions </w:t>
      </w:r>
      <w:r>
        <w:t xml:space="preserve">that apply to FBT remote area concessions </w:t>
      </w:r>
      <w:r w:rsidRPr="00106D57">
        <w:t>are a comparatively simple, objective and intuitive way of approximating those circumstances where an employer needs to provide a good or service for operational reasons (such as remote area housing).</w:t>
      </w:r>
      <w:r>
        <w:t xml:space="preserve"> However, they are</w:t>
      </w:r>
      <w:r w:rsidRPr="00BA6588">
        <w:t xml:space="preserve"> not </w:t>
      </w:r>
      <w:r>
        <w:t>without</w:t>
      </w:r>
      <w:r w:rsidRPr="00BA6588">
        <w:t xml:space="preserve"> </w:t>
      </w:r>
      <w:r>
        <w:t>their</w:t>
      </w:r>
      <w:r w:rsidRPr="00BA6588">
        <w:t xml:space="preserve"> </w:t>
      </w:r>
      <w:r>
        <w:t>drawback</w:t>
      </w:r>
      <w:r w:rsidRPr="00BA6588">
        <w:t>s.</w:t>
      </w:r>
      <w:r w:rsidRPr="00EC3AFB">
        <w:t xml:space="preserve"> </w:t>
      </w:r>
      <w:r>
        <w:t>I</w:t>
      </w:r>
      <w:r w:rsidRPr="00BA6588">
        <w:t>nevitably, lines drawn on a map are somewhat arbitrary and create inequities between those who can and cannot access the concessions when they face otherwise similar circumstances.</w:t>
      </w:r>
      <w:r w:rsidRPr="00EC3AFB">
        <w:t xml:space="preserve"> </w:t>
      </w:r>
      <w:r>
        <w:t xml:space="preserve">Drawing boundaries too narrowly risks excluding cases where it is necessary to provide goods and services, such as housing, to employees </w:t>
      </w:r>
      <w:r w:rsidRPr="00A52FB7">
        <w:t>(for example, on farms in less remote areas)</w:t>
      </w:r>
      <w:r w:rsidRPr="00BA6588">
        <w:t xml:space="preserve">. </w:t>
      </w:r>
      <w:r>
        <w:t xml:space="preserve">Conversely, defining </w:t>
      </w:r>
      <w:r>
        <w:lastRenderedPageBreak/>
        <w:t>the areas too broadly makes</w:t>
      </w:r>
      <w:r w:rsidRPr="00BA6588">
        <w:t xml:space="preserve"> the concessions more likely to be used in cases where they are not necessary.</w:t>
      </w:r>
    </w:p>
    <w:p w:rsidR="002A5D84" w:rsidRDefault="002A5D84" w:rsidP="00FB19CB">
      <w:pPr>
        <w:pStyle w:val="BodyText"/>
      </w:pPr>
      <w:r>
        <w:t>Discarding</w:t>
      </w:r>
      <w:r w:rsidRPr="003C7975">
        <w:t xml:space="preserve"> </w:t>
      </w:r>
      <w:r>
        <w:t>boundaries</w:t>
      </w:r>
      <w:r w:rsidRPr="003C7975">
        <w:t xml:space="preserve"> </w:t>
      </w:r>
      <w:r>
        <w:t>altogether</w:t>
      </w:r>
      <w:r w:rsidRPr="003C7975">
        <w:t xml:space="preserve"> would have the dual advantage</w:t>
      </w:r>
      <w:r>
        <w:t>s</w:t>
      </w:r>
      <w:r w:rsidRPr="003C7975">
        <w:t xml:space="preserve"> of mitigating</w:t>
      </w:r>
      <w:r>
        <w:t xml:space="preserve"> </w:t>
      </w:r>
      <w:r w:rsidRPr="003C7975">
        <w:t xml:space="preserve">constitutional </w:t>
      </w:r>
      <w:r>
        <w:t xml:space="preserve">validity risks </w:t>
      </w:r>
      <w:r w:rsidRPr="003C7975">
        <w:t xml:space="preserve">and </w:t>
      </w:r>
      <w:r>
        <w:t>enabling</w:t>
      </w:r>
      <w:r w:rsidRPr="003C7975">
        <w:t xml:space="preserve"> access to the concession</w:t>
      </w:r>
      <w:r>
        <w:t>s</w:t>
      </w:r>
      <w:r w:rsidRPr="003C7975">
        <w:t xml:space="preserve"> wher</w:t>
      </w:r>
      <w:r>
        <w:t>ever</w:t>
      </w:r>
      <w:r w:rsidRPr="003C7975">
        <w:t xml:space="preserve"> there is an operational requirement to provide the </w:t>
      </w:r>
      <w:r>
        <w:t>relevant goods or services</w:t>
      </w:r>
      <w:r w:rsidRPr="003C7975">
        <w:t>.</w:t>
      </w:r>
      <w:r w:rsidRPr="00EC3AFB">
        <w:t xml:space="preserve"> </w:t>
      </w:r>
      <w:r w:rsidRPr="003C7975">
        <w:t>However,</w:t>
      </w:r>
      <w:r w:rsidRPr="00EC3AFB">
        <w:t xml:space="preserve"> </w:t>
      </w:r>
      <w:r>
        <w:t>t</w:t>
      </w:r>
      <w:r w:rsidRPr="003C7975">
        <w:t xml:space="preserve">here is a risk that usage could expand markedly in the absence of boundaries. </w:t>
      </w:r>
      <w:r>
        <w:t>It is unlikely that compliance could be adequately enforced without boundaries, particularly given the limited information currently reported to the ATO on taxable fringe benefits.</w:t>
      </w:r>
    </w:p>
    <w:p w:rsidR="002A5D84" w:rsidRDefault="002A5D84" w:rsidP="00FB19CB">
      <w:pPr>
        <w:pStyle w:val="BodyText"/>
      </w:pPr>
      <w:r>
        <w:t>On balance, in view of the risks associated with removing the boundaries, the Commission considers that boundaries should be retained. That said, the current boundaries are outdated and overly complex.</w:t>
      </w:r>
      <w:r w:rsidRPr="00106D57">
        <w:t xml:space="preserve"> They are based on measures of population from the 1981 </w:t>
      </w:r>
      <w:r w:rsidR="00901AB4">
        <w:t>census</w:t>
      </w:r>
      <w:r w:rsidRPr="00106D57">
        <w:t xml:space="preserve"> and road distances in 1986. Since then, population growth has meant that some areas once classified as remote for FBT purposes are no longer remote</w:t>
      </w:r>
      <w:r>
        <w:t>,</w:t>
      </w:r>
      <w:r w:rsidRPr="00106D57">
        <w:t xml:space="preserve"> while other</w:t>
      </w:r>
      <w:r>
        <w:t>s</w:t>
      </w:r>
      <w:r w:rsidRPr="00106D57">
        <w:t xml:space="preserve"> with population decline have become remote. The reliance on a 1986 road map </w:t>
      </w:r>
      <w:r>
        <w:t xml:space="preserve">also </w:t>
      </w:r>
      <w:r w:rsidRPr="00106D57">
        <w:t xml:space="preserve">adds to the complexity of administering and complying with the concessions. </w:t>
      </w:r>
    </w:p>
    <w:p w:rsidR="002A5D84" w:rsidRPr="002D7A8A" w:rsidRDefault="002A5D84" w:rsidP="00FB19CB">
      <w:pPr>
        <w:pStyle w:val="BodyText"/>
      </w:pPr>
      <w:r>
        <w:t xml:space="preserve">At a minimum, the boundaries should be updated to reflect populations as of the 2016 </w:t>
      </w:r>
      <w:r w:rsidR="00901AB4">
        <w:t>census</w:t>
      </w:r>
      <w:r>
        <w:t xml:space="preserve"> and contemporary road infrastructure. Subsequent updates should be preceded by sufficient notice, and could involve</w:t>
      </w:r>
      <w:r w:rsidRPr="00F13920">
        <w:t xml:space="preserve"> a ‘two strikes’ system</w:t>
      </w:r>
      <w:r>
        <w:t xml:space="preserve"> by which eligibility is only adjusted </w:t>
      </w:r>
      <w:r w:rsidRPr="00F13920">
        <w:t xml:space="preserve">after </w:t>
      </w:r>
      <w:r>
        <w:t xml:space="preserve">confirmation in two consecutive </w:t>
      </w:r>
      <w:r w:rsidR="00901AB4">
        <w:t>census</w:t>
      </w:r>
      <w:r>
        <w:t>es. This approach would provide some stability for business planning purposes and minimise undue disruptions for employers and their employees.</w:t>
      </w:r>
    </w:p>
    <w:p w:rsidR="002A5D84" w:rsidRDefault="002A5D84" w:rsidP="00FB19CB">
      <w:pPr>
        <w:pStyle w:val="Heading4"/>
      </w:pPr>
      <w:r>
        <w:t>Implementation issues</w:t>
      </w:r>
    </w:p>
    <w:p w:rsidR="002A5D84" w:rsidRDefault="002A5D84" w:rsidP="00FB19CB">
      <w:pPr>
        <w:pStyle w:val="BodyText"/>
      </w:pPr>
      <w:r w:rsidRPr="00B3522F">
        <w:t>The Commission has proposed substantial changes to the design of FBT remote area concession</w:t>
      </w:r>
      <w:r>
        <w:t>s (</w:t>
      </w:r>
      <w:r w:rsidRPr="00B3522F">
        <w:t>table 2</w:t>
      </w:r>
      <w:r>
        <w:t>),</w:t>
      </w:r>
      <w:r w:rsidRPr="00B3522F">
        <w:t xml:space="preserve"> which raise implementation </w:t>
      </w:r>
      <w:r w:rsidRPr="00F5178C">
        <w:t>and transition</w:t>
      </w:r>
      <w:r>
        <w:t xml:space="preserve"> issues.</w:t>
      </w:r>
    </w:p>
    <w:p w:rsidR="00000F2F" w:rsidRDefault="00000F2F" w:rsidP="00000F2F">
      <w:pPr>
        <w:pStyle w:val="BodyText"/>
      </w:pPr>
      <w:r w:rsidRPr="00845D35">
        <w:t xml:space="preserve">To enable a smooth transition, the Australian Government should </w:t>
      </w:r>
      <w:r>
        <w:t>introduce the Commission’s suite of recommendations with a delayed start date (for example, after two years), to provide time for current users to adjust and restructure their business affairs.</w:t>
      </w:r>
      <w:r w:rsidRPr="00845D35" w:rsidDel="002B6398">
        <w:t xml:space="preserve"> </w:t>
      </w:r>
      <w:r w:rsidRPr="00845D35">
        <w:t>Announcing the changes in advance would also give governments time to implement any measures required to ensure continuity of services, in cases where those services are adversely affected by the changes.</w:t>
      </w:r>
      <w:r w:rsidRPr="00BC004D">
        <w:t xml:space="preserve"> </w:t>
      </w:r>
    </w:p>
    <w:p w:rsidR="002A5D84" w:rsidRDefault="002A5D84" w:rsidP="00FB19CB">
      <w:pPr>
        <w:pStyle w:val="BoxSpaceAbove"/>
        <w:rPr>
          <w:szCs w:val="24"/>
        </w:rPr>
      </w:pPr>
    </w:p>
    <w:tbl>
      <w:tblPr>
        <w:tblW w:w="5000" w:type="pct"/>
        <w:tblCellMar>
          <w:left w:w="0" w:type="dxa"/>
          <w:right w:w="0" w:type="dxa"/>
        </w:tblCellMar>
        <w:tblLook w:val="04A0" w:firstRow="1" w:lastRow="0" w:firstColumn="1" w:lastColumn="0" w:noHBand="0" w:noVBand="1"/>
        <w:tblDescription w:val="Table used for design: contains a nested table with data/information."/>
      </w:tblPr>
      <w:tblGrid>
        <w:gridCol w:w="8789"/>
      </w:tblGrid>
      <w:tr w:rsidR="002A5D84" w:rsidTr="00FB19CB">
        <w:trPr>
          <w:tblHeader/>
        </w:trPr>
        <w:tc>
          <w:tcPr>
            <w:tcW w:w="5000" w:type="pct"/>
            <w:tcBorders>
              <w:top w:val="single" w:sz="8" w:space="0" w:color="78A22F"/>
              <w:left w:val="nil"/>
              <w:bottom w:val="nil"/>
              <w:right w:val="nil"/>
            </w:tcBorders>
            <w:tcMar>
              <w:top w:w="0" w:type="dxa"/>
              <w:left w:w="142" w:type="dxa"/>
              <w:bottom w:w="0" w:type="dxa"/>
              <w:right w:w="142" w:type="dxa"/>
            </w:tcMar>
            <w:hideMark/>
          </w:tcPr>
          <w:p w:rsidR="002A5D84" w:rsidRPr="003F27A0" w:rsidRDefault="002A5D84" w:rsidP="00FB19CB">
            <w:pPr>
              <w:pStyle w:val="TableTitle"/>
            </w:pPr>
            <w:r w:rsidRPr="003F27A0">
              <w:rPr>
                <w:b w:val="0"/>
              </w:rPr>
              <w:t>Table 2</w:t>
            </w:r>
            <w:r w:rsidRPr="003F27A0">
              <w:tab/>
              <w:t>Proposed changes to FBT remote area concessions</w:t>
            </w:r>
          </w:p>
        </w:tc>
      </w:tr>
      <w:tr w:rsidR="002A5D84" w:rsidTr="00FB19CB">
        <w:tc>
          <w:tcPr>
            <w:tcW w:w="5000" w:type="pct"/>
            <w:tcMar>
              <w:top w:w="0" w:type="dxa"/>
              <w:left w:w="142" w:type="dxa"/>
              <w:bottom w:w="0" w:type="dxa"/>
              <w:right w:w="142" w:type="dxa"/>
            </w:tcMar>
            <w:hideMark/>
          </w:tcPr>
          <w:tbl>
            <w:tblPr>
              <w:tblW w:w="5000" w:type="pct"/>
              <w:tblCellMar>
                <w:top w:w="28" w:type="dxa"/>
                <w:left w:w="0" w:type="dxa"/>
                <w:right w:w="0" w:type="dxa"/>
              </w:tblCellMar>
              <w:tblLook w:val="0000" w:firstRow="0" w:lastRow="0" w:firstColumn="0" w:lastColumn="0" w:noHBand="0" w:noVBand="0"/>
            </w:tblPr>
            <w:tblGrid>
              <w:gridCol w:w="1631"/>
              <w:gridCol w:w="3331"/>
              <w:gridCol w:w="3543"/>
            </w:tblGrid>
            <w:tr w:rsidR="002A5D84" w:rsidRPr="00AF34FA" w:rsidTr="00FB19CB">
              <w:trPr>
                <w:tblHeader/>
              </w:trPr>
              <w:tc>
                <w:tcPr>
                  <w:tcW w:w="958" w:type="pct"/>
                  <w:tcBorders>
                    <w:top w:val="single" w:sz="6" w:space="0" w:color="BFBFBF"/>
                    <w:bottom w:val="single" w:sz="6" w:space="0" w:color="BFBFBF"/>
                  </w:tcBorders>
                  <w:shd w:val="clear" w:color="auto" w:fill="auto"/>
                  <w:tcMar>
                    <w:top w:w="28" w:type="dxa"/>
                  </w:tcMar>
                </w:tcPr>
                <w:p w:rsidR="002A5D84" w:rsidRPr="003F27A0" w:rsidRDefault="002A5D84" w:rsidP="00FB19CB">
                  <w:pPr>
                    <w:pStyle w:val="TableColumnHeading"/>
                    <w:jc w:val="left"/>
                  </w:pPr>
                </w:p>
              </w:tc>
              <w:tc>
                <w:tcPr>
                  <w:tcW w:w="1958" w:type="pct"/>
                  <w:tcBorders>
                    <w:top w:val="single" w:sz="6" w:space="0" w:color="BFBFBF"/>
                    <w:bottom w:val="single" w:sz="6" w:space="0" w:color="BFBFBF"/>
                  </w:tcBorders>
                  <w:shd w:val="clear" w:color="auto" w:fill="auto"/>
                </w:tcPr>
                <w:p w:rsidR="002A5D84" w:rsidRPr="003F27A0" w:rsidRDefault="002A5D84" w:rsidP="00FB19CB">
                  <w:pPr>
                    <w:pStyle w:val="TableColumnHeading"/>
                    <w:jc w:val="left"/>
                  </w:pPr>
                  <w:r w:rsidRPr="003F27A0">
                    <w:t>Existing concessions</w:t>
                  </w:r>
                </w:p>
              </w:tc>
              <w:tc>
                <w:tcPr>
                  <w:tcW w:w="2083" w:type="pct"/>
                  <w:tcBorders>
                    <w:top w:val="single" w:sz="6" w:space="0" w:color="BFBFBF"/>
                    <w:bottom w:val="single" w:sz="6" w:space="0" w:color="BFBFBF"/>
                  </w:tcBorders>
                  <w:shd w:val="clear" w:color="auto" w:fill="auto"/>
                  <w:tcMar>
                    <w:top w:w="28" w:type="dxa"/>
                  </w:tcMar>
                </w:tcPr>
                <w:p w:rsidR="002A5D84" w:rsidRPr="003F27A0" w:rsidRDefault="002A5D84" w:rsidP="00FB19CB">
                  <w:pPr>
                    <w:pStyle w:val="TableColumnHeading"/>
                    <w:ind w:right="28"/>
                    <w:jc w:val="left"/>
                  </w:pPr>
                  <w:r w:rsidRPr="003F27A0">
                    <w:t>Proposed changes</w:t>
                  </w:r>
                </w:p>
              </w:tc>
            </w:tr>
            <w:tr w:rsidR="002A5D84" w:rsidRPr="00AF34FA" w:rsidTr="00FB19CB">
              <w:tc>
                <w:tcPr>
                  <w:tcW w:w="958" w:type="pct"/>
                  <w:tcBorders>
                    <w:top w:val="single" w:sz="6" w:space="0" w:color="BFBFBF"/>
                  </w:tcBorders>
                  <w:shd w:val="clear" w:color="auto" w:fill="E0F1F7" w:themeFill="text2" w:themeFillTint="33"/>
                </w:tcPr>
                <w:p w:rsidR="002A5D84" w:rsidRPr="003F27A0" w:rsidRDefault="002A5D84" w:rsidP="00FB19CB">
                  <w:pPr>
                    <w:pStyle w:val="TableUnitsRow"/>
                    <w:jc w:val="left"/>
                  </w:pPr>
                  <w:r w:rsidRPr="003F27A0">
                    <w:t>Employer</w:t>
                  </w:r>
                  <w:r w:rsidRPr="003F27A0">
                    <w:noBreakHyphen/>
                    <w:t>provided housing</w:t>
                  </w:r>
                </w:p>
              </w:tc>
              <w:tc>
                <w:tcPr>
                  <w:tcW w:w="1958" w:type="pct"/>
                  <w:tcBorders>
                    <w:top w:val="single" w:sz="6" w:space="0" w:color="BFBFBF"/>
                  </w:tcBorders>
                  <w:shd w:val="clear" w:color="auto" w:fill="E0F1F7" w:themeFill="text2" w:themeFillTint="33"/>
                </w:tcPr>
                <w:p w:rsidR="002A5D84" w:rsidRPr="003F27A0" w:rsidRDefault="002A5D84" w:rsidP="00FB19CB">
                  <w:pPr>
                    <w:pStyle w:val="TableUnitsRow"/>
                    <w:jc w:val="left"/>
                  </w:pPr>
                  <w:r w:rsidRPr="003F27A0">
                    <w:t>Exemption from FBT for employer</w:t>
                  </w:r>
                  <w:r w:rsidRPr="003F27A0">
                    <w:noBreakHyphen/>
                    <w:t>provided housing in designated remote areas</w:t>
                  </w:r>
                  <w:r w:rsidR="009C502D">
                    <w:t>.</w:t>
                  </w:r>
                </w:p>
                <w:p w:rsidR="002A5D84" w:rsidRPr="003F27A0" w:rsidRDefault="002A5D84" w:rsidP="00FB19CB">
                  <w:pPr>
                    <w:pStyle w:val="TableUnitsRow"/>
                    <w:jc w:val="left"/>
                  </w:pPr>
                  <w:r w:rsidRPr="003F27A0">
                    <w:t>(FBTAA, s. 58ZC)</w:t>
                  </w:r>
                </w:p>
              </w:tc>
              <w:tc>
                <w:tcPr>
                  <w:tcW w:w="2083" w:type="pct"/>
                  <w:tcBorders>
                    <w:top w:val="single" w:sz="6" w:space="0" w:color="BFBFBF"/>
                  </w:tcBorders>
                  <w:shd w:val="clear" w:color="auto" w:fill="E0F1F7" w:themeFill="text2" w:themeFillTint="33"/>
                </w:tcPr>
                <w:p w:rsidR="002A5D84" w:rsidRPr="003F27A0" w:rsidRDefault="002A5D84" w:rsidP="00FB19CB">
                  <w:pPr>
                    <w:pStyle w:val="TableBullet"/>
                    <w:spacing w:before="40"/>
                  </w:pPr>
                  <w:r w:rsidRPr="003F27A0">
                    <w:t>Change the exemption to a 50 per cent concession</w:t>
                  </w:r>
                  <w:r>
                    <w:t>.</w:t>
                  </w:r>
                </w:p>
                <w:p w:rsidR="002A5D84" w:rsidRPr="003F27A0" w:rsidRDefault="002A5D84" w:rsidP="00FB19CB">
                  <w:pPr>
                    <w:pStyle w:val="TableBullet"/>
                  </w:pPr>
                  <w:r w:rsidRPr="003F27A0">
                    <w:t>Remove the provision that enables employers to claim the concession because it is ‘customary’ to provide housing (s. 58ZC(2)(d)(iii))</w:t>
                  </w:r>
                  <w:r>
                    <w:t>.</w:t>
                  </w:r>
                </w:p>
                <w:p w:rsidR="002A5D84" w:rsidRPr="003F27A0" w:rsidRDefault="002A5D84" w:rsidP="00FB19CB">
                  <w:pPr>
                    <w:pStyle w:val="TableBullet"/>
                  </w:pPr>
                  <w:r w:rsidRPr="003F27A0">
                    <w:t>Remove the extension of the concession to additional areas for ‘certain regional employers’ (s. 140(1A))</w:t>
                  </w:r>
                  <w:r>
                    <w:t>.</w:t>
                  </w:r>
                </w:p>
                <w:p w:rsidR="002A5D84" w:rsidRPr="001645FE" w:rsidRDefault="002A5D84" w:rsidP="00FB19CB">
                  <w:pPr>
                    <w:pStyle w:val="TableBullet"/>
                    <w:rPr>
                      <w:rFonts w:ascii="Times New Roman" w:hAnsi="Times New Roman"/>
                      <w:sz w:val="24"/>
                      <w:szCs w:val="24"/>
                    </w:rPr>
                  </w:pPr>
                  <w:r w:rsidRPr="003F27A0">
                    <w:t>Develop valuation methodologies for remote area housing</w:t>
                  </w:r>
                  <w:r>
                    <w:t>.</w:t>
                  </w:r>
                </w:p>
                <w:p w:rsidR="001645FE" w:rsidRPr="003F27A0" w:rsidRDefault="001645FE" w:rsidP="001645FE">
                  <w:pPr>
                    <w:pStyle w:val="TableBullet"/>
                    <w:rPr>
                      <w:rFonts w:ascii="Times New Roman" w:hAnsi="Times New Roman"/>
                      <w:sz w:val="24"/>
                      <w:szCs w:val="24"/>
                    </w:rPr>
                  </w:pPr>
                  <w:r w:rsidRPr="001645FE">
                    <w:t>Collect data on use of the concession.</w:t>
                  </w:r>
                </w:p>
              </w:tc>
            </w:tr>
            <w:tr w:rsidR="002A5D84" w:rsidRPr="00AF34FA" w:rsidTr="00FB19CB">
              <w:tc>
                <w:tcPr>
                  <w:tcW w:w="958" w:type="pct"/>
                  <w:shd w:val="clear" w:color="auto" w:fill="auto"/>
                </w:tcPr>
                <w:p w:rsidR="002A5D84" w:rsidRPr="003F27A0" w:rsidRDefault="002A5D84" w:rsidP="00FB19CB">
                  <w:pPr>
                    <w:pStyle w:val="TableBodyText"/>
                    <w:jc w:val="left"/>
                  </w:pPr>
                  <w:r w:rsidRPr="003F27A0">
                    <w:t>Employee</w:t>
                  </w:r>
                  <w:r w:rsidRPr="003F27A0">
                    <w:noBreakHyphen/>
                    <w:t>sourced housing</w:t>
                  </w:r>
                </w:p>
              </w:tc>
              <w:tc>
                <w:tcPr>
                  <w:tcW w:w="1958" w:type="pct"/>
                  <w:shd w:val="clear" w:color="auto" w:fill="auto"/>
                </w:tcPr>
                <w:p w:rsidR="002A5D84" w:rsidRPr="003F27A0" w:rsidRDefault="002A5D84" w:rsidP="00FB19CB">
                  <w:pPr>
                    <w:pStyle w:val="TableBodyText"/>
                    <w:jc w:val="left"/>
                  </w:pPr>
                  <w:r w:rsidRPr="003F27A0">
                    <w:t>Partial concessions on other forms of housing assistance in designated remote areas</w:t>
                  </w:r>
                </w:p>
                <w:p w:rsidR="002A5D84" w:rsidRPr="003F27A0" w:rsidRDefault="002A5D84" w:rsidP="00FB19CB">
                  <w:pPr>
                    <w:pStyle w:val="TableBodyText"/>
                    <w:jc w:val="left"/>
                  </w:pPr>
                  <w:r w:rsidRPr="003F27A0">
                    <w:t xml:space="preserve">(FBTAA, s. 60 and Divisions 14A, 14B) </w:t>
                  </w:r>
                </w:p>
              </w:tc>
              <w:tc>
                <w:tcPr>
                  <w:tcW w:w="2083" w:type="pct"/>
                  <w:shd w:val="clear" w:color="auto" w:fill="auto"/>
                </w:tcPr>
                <w:p w:rsidR="002A5D84" w:rsidRPr="003F27A0" w:rsidRDefault="002A5D84" w:rsidP="00FB19CB">
                  <w:pPr>
                    <w:pStyle w:val="TableBullet"/>
                  </w:pPr>
                  <w:r w:rsidRPr="003F27A0">
                    <w:t>Remove the partial concessions on employee</w:t>
                  </w:r>
                  <w:r w:rsidRPr="003F27A0">
                    <w:noBreakHyphen/>
                    <w:t>sourced housing</w:t>
                  </w:r>
                  <w:r>
                    <w:t>.</w:t>
                  </w:r>
                </w:p>
              </w:tc>
            </w:tr>
            <w:tr w:rsidR="002A5D84" w:rsidRPr="00AF34FA" w:rsidTr="00FB19CB">
              <w:tc>
                <w:tcPr>
                  <w:tcW w:w="958" w:type="pct"/>
                  <w:shd w:val="clear" w:color="auto" w:fill="E0F1F7" w:themeFill="text2" w:themeFillTint="33"/>
                </w:tcPr>
                <w:p w:rsidR="002A5D84" w:rsidRPr="003F27A0" w:rsidRDefault="002A5D84" w:rsidP="00FB19CB">
                  <w:pPr>
                    <w:pStyle w:val="TableBodyText"/>
                    <w:jc w:val="left"/>
                  </w:pPr>
                  <w:r w:rsidRPr="003F27A0">
                    <w:t>Temporary accommodation, meals and transport for FIFO workers</w:t>
                  </w:r>
                </w:p>
              </w:tc>
              <w:tc>
                <w:tcPr>
                  <w:tcW w:w="1958" w:type="pct"/>
                  <w:shd w:val="clear" w:color="auto" w:fill="E0F1F7" w:themeFill="text2" w:themeFillTint="33"/>
                </w:tcPr>
                <w:p w:rsidR="002A5D84" w:rsidRPr="003F27A0" w:rsidRDefault="002A5D84" w:rsidP="00FB19CB">
                  <w:pPr>
                    <w:pStyle w:val="TableBodyText"/>
                    <w:jc w:val="left"/>
                  </w:pPr>
                  <w:r w:rsidRPr="003F27A0">
                    <w:t>Exemption from FBT for temporary accommodation, meals and transport for FIFO workers</w:t>
                  </w:r>
                  <w:r w:rsidR="009C502D">
                    <w:t>.</w:t>
                  </w:r>
                </w:p>
                <w:p w:rsidR="002A5D84" w:rsidRPr="003F27A0" w:rsidRDefault="002A5D84" w:rsidP="00FB19CB">
                  <w:pPr>
                    <w:pStyle w:val="TableBodyText"/>
                    <w:jc w:val="left"/>
                  </w:pPr>
                  <w:r w:rsidRPr="003F27A0">
                    <w:t>(Note: remote area transport (s. 47(7)) is the only concession linked to remote area boundaries)</w:t>
                  </w:r>
                  <w:r w:rsidR="009C502D">
                    <w:t>.</w:t>
                  </w:r>
                </w:p>
              </w:tc>
              <w:tc>
                <w:tcPr>
                  <w:tcW w:w="2083" w:type="pct"/>
                  <w:shd w:val="clear" w:color="auto" w:fill="E0F1F7" w:themeFill="text2" w:themeFillTint="33"/>
                </w:tcPr>
                <w:p w:rsidR="002A5D84" w:rsidRPr="003F27A0" w:rsidRDefault="002A5D84" w:rsidP="00FB19CB">
                  <w:pPr>
                    <w:pStyle w:val="TableBullet"/>
                  </w:pPr>
                  <w:r w:rsidRPr="003F27A0">
                    <w:t>No change to existing concessions for FIFO arrangements</w:t>
                  </w:r>
                  <w:r>
                    <w:t>.</w:t>
                  </w:r>
                </w:p>
              </w:tc>
            </w:tr>
            <w:tr w:rsidR="002A5D84" w:rsidRPr="00AF34FA" w:rsidTr="00FB19CB">
              <w:tc>
                <w:tcPr>
                  <w:tcW w:w="958" w:type="pct"/>
                  <w:shd w:val="clear" w:color="auto" w:fill="auto"/>
                </w:tcPr>
                <w:p w:rsidR="002A5D84" w:rsidRPr="003F27A0" w:rsidRDefault="002A5D84" w:rsidP="00FB19CB">
                  <w:pPr>
                    <w:pStyle w:val="TableBodyText"/>
                    <w:jc w:val="left"/>
                  </w:pPr>
                  <w:r w:rsidRPr="003F27A0">
                    <w:t>Residential fuel</w:t>
                  </w:r>
                </w:p>
              </w:tc>
              <w:tc>
                <w:tcPr>
                  <w:tcW w:w="1958" w:type="pct"/>
                  <w:shd w:val="clear" w:color="auto" w:fill="auto"/>
                </w:tcPr>
                <w:p w:rsidR="002A5D84" w:rsidRPr="003F27A0" w:rsidRDefault="002A5D84" w:rsidP="00FB19CB">
                  <w:pPr>
                    <w:pStyle w:val="TableBodyText"/>
                    <w:jc w:val="left"/>
                  </w:pPr>
                  <w:r w:rsidRPr="003F27A0">
                    <w:t xml:space="preserve">Partial (50 per cent) concession for residential fuel used in housing that </w:t>
                  </w:r>
                  <w:r w:rsidRPr="009C502D">
                    <w:rPr>
                      <w:spacing w:val="-2"/>
                    </w:rPr>
                    <w:t>attracts an FBT remote area concession</w:t>
                  </w:r>
                  <w:r w:rsidR="009C502D" w:rsidRPr="009C502D">
                    <w:rPr>
                      <w:spacing w:val="-2"/>
                    </w:rPr>
                    <w:t>.</w:t>
                  </w:r>
                </w:p>
                <w:p w:rsidR="002A5D84" w:rsidRPr="003F27A0" w:rsidRDefault="002A5D84" w:rsidP="00FB19CB">
                  <w:pPr>
                    <w:pStyle w:val="TableBodyText"/>
                    <w:jc w:val="left"/>
                  </w:pPr>
                  <w:r w:rsidRPr="003F27A0">
                    <w:t>(FBTAA, s. 59)</w:t>
                  </w:r>
                </w:p>
              </w:tc>
              <w:tc>
                <w:tcPr>
                  <w:tcW w:w="2083" w:type="pct"/>
                  <w:shd w:val="clear" w:color="auto" w:fill="auto"/>
                </w:tcPr>
                <w:p w:rsidR="002A5D84" w:rsidRPr="003F27A0" w:rsidRDefault="002A5D84" w:rsidP="00FB19CB">
                  <w:pPr>
                    <w:pStyle w:val="TableBullet"/>
                  </w:pPr>
                  <w:r w:rsidRPr="003F27A0">
                    <w:t>Limit access to the concession for use in conjunction with employer</w:t>
                  </w:r>
                  <w:r w:rsidRPr="003F27A0">
                    <w:noBreakHyphen/>
                    <w:t>provided housing to instances where there is an operational requirement for the employer to provide residential fuel (s. 59(1))</w:t>
                  </w:r>
                  <w:r>
                    <w:t>.</w:t>
                  </w:r>
                </w:p>
                <w:p w:rsidR="002A5D84" w:rsidRPr="003F27A0" w:rsidRDefault="002A5D84" w:rsidP="00FB19CB">
                  <w:pPr>
                    <w:pStyle w:val="TableBullet"/>
                  </w:pPr>
                  <w:r w:rsidRPr="003F27A0">
                    <w:t>Remove the concession for use in conjunction with employee</w:t>
                  </w:r>
                  <w:r w:rsidRPr="003F27A0">
                    <w:noBreakHyphen/>
                    <w:t>sourced housing (s. 59(2) and (3))</w:t>
                  </w:r>
                  <w:r>
                    <w:t>.</w:t>
                  </w:r>
                </w:p>
              </w:tc>
            </w:tr>
            <w:tr w:rsidR="002A5D84" w:rsidRPr="00AF34FA" w:rsidTr="00FB19CB">
              <w:tc>
                <w:tcPr>
                  <w:tcW w:w="958" w:type="pct"/>
                  <w:shd w:val="clear" w:color="auto" w:fill="E0F1F7" w:themeFill="text2" w:themeFillTint="33"/>
                </w:tcPr>
                <w:p w:rsidR="002A5D84" w:rsidRPr="003F27A0" w:rsidRDefault="002A5D84" w:rsidP="00FB19CB">
                  <w:pPr>
                    <w:pStyle w:val="TableBodyText"/>
                    <w:jc w:val="left"/>
                  </w:pPr>
                  <w:r w:rsidRPr="003F27A0">
                    <w:t>Meals for primary production employees</w:t>
                  </w:r>
                </w:p>
              </w:tc>
              <w:tc>
                <w:tcPr>
                  <w:tcW w:w="1958" w:type="pct"/>
                  <w:shd w:val="clear" w:color="auto" w:fill="E0F1F7" w:themeFill="text2" w:themeFillTint="33"/>
                </w:tcPr>
                <w:p w:rsidR="002A5D84" w:rsidRPr="003F27A0" w:rsidRDefault="002A5D84" w:rsidP="00FB19CB">
                  <w:pPr>
                    <w:pStyle w:val="TableBodyText"/>
                    <w:jc w:val="left"/>
                  </w:pPr>
                  <w:r w:rsidRPr="003F27A0">
                    <w:t>Exemption from FBT for meals provided to primary production employees on work days</w:t>
                  </w:r>
                  <w:r w:rsidR="009C502D">
                    <w:t>.</w:t>
                  </w:r>
                </w:p>
                <w:p w:rsidR="002A5D84" w:rsidRPr="003F27A0" w:rsidRDefault="002A5D84" w:rsidP="00FB19CB">
                  <w:pPr>
                    <w:pStyle w:val="TableBodyText"/>
                    <w:jc w:val="left"/>
                  </w:pPr>
                  <w:r w:rsidRPr="003F27A0">
                    <w:t>(FBTAA, s. 58ZD)</w:t>
                  </w:r>
                </w:p>
              </w:tc>
              <w:tc>
                <w:tcPr>
                  <w:tcW w:w="2083" w:type="pct"/>
                  <w:shd w:val="clear" w:color="auto" w:fill="E0F1F7" w:themeFill="text2" w:themeFillTint="33"/>
                </w:tcPr>
                <w:p w:rsidR="002A5D84" w:rsidRPr="003F27A0" w:rsidRDefault="002A5D84" w:rsidP="00FB19CB">
                  <w:pPr>
                    <w:pStyle w:val="TableBullet"/>
                  </w:pPr>
                  <w:r w:rsidRPr="003F27A0">
                    <w:t>Limit access to instances where there is an operational requirement to provide meals</w:t>
                  </w:r>
                  <w:r>
                    <w:t>.</w:t>
                  </w:r>
                </w:p>
                <w:p w:rsidR="002A5D84" w:rsidRPr="003F27A0" w:rsidRDefault="002A5D84" w:rsidP="00FB19CB">
                  <w:pPr>
                    <w:pStyle w:val="TableBullet"/>
                  </w:pPr>
                  <w:r w:rsidRPr="003F27A0">
                    <w:t>Remove the definition limiting the exemption to meals ‘ready for consumption’</w:t>
                  </w:r>
                  <w:r>
                    <w:t>.</w:t>
                  </w:r>
                </w:p>
              </w:tc>
            </w:tr>
            <w:tr w:rsidR="002A5D84" w:rsidRPr="00AF34FA" w:rsidTr="00FB19CB">
              <w:tc>
                <w:tcPr>
                  <w:tcW w:w="958" w:type="pct"/>
                  <w:shd w:val="clear" w:color="auto" w:fill="auto"/>
                </w:tcPr>
                <w:p w:rsidR="002A5D84" w:rsidRPr="003F27A0" w:rsidRDefault="002A5D84" w:rsidP="00FB19CB">
                  <w:pPr>
                    <w:pStyle w:val="TableBodyText"/>
                    <w:jc w:val="left"/>
                  </w:pPr>
                  <w:r w:rsidRPr="003F27A0">
                    <w:t>Holiday transport</w:t>
                  </w:r>
                </w:p>
              </w:tc>
              <w:tc>
                <w:tcPr>
                  <w:tcW w:w="1958" w:type="pct"/>
                  <w:shd w:val="clear" w:color="auto" w:fill="auto"/>
                </w:tcPr>
                <w:p w:rsidR="002A5D84" w:rsidRPr="003F27A0" w:rsidRDefault="002A5D84" w:rsidP="00FB19CB">
                  <w:pPr>
                    <w:pStyle w:val="TableBodyText"/>
                    <w:jc w:val="left"/>
                  </w:pPr>
                  <w:r w:rsidRPr="003F27A0">
                    <w:t>Partial (50 per cent) concession on return holiday transport to specified destinations.</w:t>
                  </w:r>
                </w:p>
                <w:p w:rsidR="002A5D84" w:rsidRPr="003F27A0" w:rsidRDefault="002A5D84" w:rsidP="00FB19CB">
                  <w:pPr>
                    <w:pStyle w:val="TableBodyText"/>
                    <w:jc w:val="left"/>
                  </w:pPr>
                  <w:r w:rsidRPr="003F27A0">
                    <w:t>(FBTAA, s. 60A and s. 61)</w:t>
                  </w:r>
                </w:p>
              </w:tc>
              <w:tc>
                <w:tcPr>
                  <w:tcW w:w="2083" w:type="pct"/>
                  <w:shd w:val="clear" w:color="auto" w:fill="auto"/>
                </w:tcPr>
                <w:p w:rsidR="002A5D84" w:rsidRPr="003F27A0" w:rsidRDefault="002A5D84" w:rsidP="00FB19CB">
                  <w:pPr>
                    <w:pStyle w:val="TableBullet"/>
                  </w:pPr>
                  <w:r w:rsidRPr="003F27A0">
                    <w:t>Remove the holiday transport concession</w:t>
                  </w:r>
                  <w:r>
                    <w:t>.</w:t>
                  </w:r>
                </w:p>
              </w:tc>
            </w:tr>
            <w:tr w:rsidR="002A5D84" w:rsidRPr="00AF34FA" w:rsidTr="00FB19CB">
              <w:tc>
                <w:tcPr>
                  <w:tcW w:w="958" w:type="pct"/>
                  <w:tcBorders>
                    <w:bottom w:val="single" w:sz="6" w:space="0" w:color="BFBFBF"/>
                  </w:tcBorders>
                  <w:shd w:val="clear" w:color="auto" w:fill="E0F1F7" w:themeFill="text2" w:themeFillTint="33"/>
                </w:tcPr>
                <w:p w:rsidR="002A5D84" w:rsidRPr="003F27A0" w:rsidRDefault="002A5D84" w:rsidP="00FB19CB">
                  <w:pPr>
                    <w:pStyle w:val="TableBodyText"/>
                    <w:jc w:val="left"/>
                  </w:pPr>
                  <w:r w:rsidRPr="003F27A0">
                    <w:t>Boundaries for the concessions</w:t>
                  </w:r>
                </w:p>
              </w:tc>
              <w:tc>
                <w:tcPr>
                  <w:tcW w:w="1958" w:type="pct"/>
                  <w:tcBorders>
                    <w:bottom w:val="single" w:sz="6" w:space="0" w:color="BFBFBF"/>
                  </w:tcBorders>
                  <w:shd w:val="clear" w:color="auto" w:fill="E0F1F7" w:themeFill="text2" w:themeFillTint="33"/>
                </w:tcPr>
                <w:p w:rsidR="002A5D84" w:rsidRPr="003F27A0" w:rsidRDefault="002A5D84" w:rsidP="00FB19CB">
                  <w:pPr>
                    <w:pStyle w:val="TableBodyText"/>
                    <w:jc w:val="left"/>
                  </w:pPr>
                  <w:r w:rsidRPr="003F27A0">
                    <w:t>Based on 1981 populations and 1986 road distances. Different population thresholds apply in ZTO zone and non</w:t>
                  </w:r>
                  <w:r>
                    <w:noBreakHyphen/>
                  </w:r>
                  <w:r w:rsidRPr="003F27A0">
                    <w:t>zone areas.</w:t>
                  </w:r>
                </w:p>
              </w:tc>
              <w:tc>
                <w:tcPr>
                  <w:tcW w:w="2083" w:type="pct"/>
                  <w:tcBorders>
                    <w:bottom w:val="single" w:sz="6" w:space="0" w:color="BFBFBF"/>
                  </w:tcBorders>
                  <w:shd w:val="clear" w:color="auto" w:fill="E0F1F7" w:themeFill="text2" w:themeFillTint="33"/>
                </w:tcPr>
                <w:p w:rsidR="002A5D84" w:rsidRPr="003F27A0" w:rsidRDefault="002A5D84" w:rsidP="00FB19CB">
                  <w:pPr>
                    <w:pStyle w:val="TableBullet"/>
                  </w:pPr>
                  <w:r w:rsidRPr="003F27A0">
                    <w:t xml:space="preserve">Update the boundaries to reflect 2016 </w:t>
                  </w:r>
                  <w:r w:rsidR="00901AB4">
                    <w:t>census</w:t>
                  </w:r>
                  <w:r w:rsidRPr="003F27A0">
                    <w:t xml:space="preserve"> populations and contemporary road infrastructure.</w:t>
                  </w:r>
                </w:p>
                <w:p w:rsidR="002A5D84" w:rsidRPr="003F27A0" w:rsidRDefault="002A5D84" w:rsidP="00FB19CB">
                  <w:pPr>
                    <w:pStyle w:val="TableBullet"/>
                  </w:pPr>
                  <w:r w:rsidRPr="003F27A0">
                    <w:t xml:space="preserve">Align population thresholds at 40 km from communities with populations of 28 000 or more and 100 km from communities with populations of 130 000 or more (as </w:t>
                  </w:r>
                  <w:r>
                    <w:t xml:space="preserve">they </w:t>
                  </w:r>
                  <w:r w:rsidRPr="003F27A0">
                    <w:t>currently</w:t>
                  </w:r>
                  <w:r>
                    <w:t xml:space="preserve"> are</w:t>
                  </w:r>
                  <w:r w:rsidRPr="003F27A0">
                    <w:t xml:space="preserve"> in the ZTO zones).</w:t>
                  </w:r>
                </w:p>
                <w:p w:rsidR="002A5D84" w:rsidRPr="003F27A0" w:rsidRDefault="002A5D84" w:rsidP="00FB19CB">
                  <w:pPr>
                    <w:pStyle w:val="TableBullet"/>
                  </w:pPr>
                  <w:r w:rsidRPr="003F27A0">
                    <w:t>Periodically update the boundaries using a ‘two</w:t>
                  </w:r>
                  <w:r>
                    <w:noBreakHyphen/>
                  </w:r>
                  <w:r w:rsidRPr="003F27A0">
                    <w:t>strikes’ rule to determine whether communities fall in or out</w:t>
                  </w:r>
                  <w:r>
                    <w:t xml:space="preserve"> of eligible areas</w:t>
                  </w:r>
                  <w:r w:rsidRPr="003F27A0">
                    <w:t>.</w:t>
                  </w:r>
                </w:p>
              </w:tc>
            </w:tr>
          </w:tbl>
          <w:p w:rsidR="002A5D84" w:rsidRPr="003F27A0" w:rsidRDefault="002A5D84" w:rsidP="00FB19CB">
            <w:pPr>
              <w:rPr>
                <w:sz w:val="20"/>
                <w:szCs w:val="20"/>
              </w:rPr>
            </w:pPr>
          </w:p>
        </w:tc>
      </w:tr>
      <w:tr w:rsidR="002A5D84" w:rsidTr="00FB19CB">
        <w:tc>
          <w:tcPr>
            <w:tcW w:w="5000" w:type="pct"/>
            <w:tcBorders>
              <w:top w:val="nil"/>
              <w:left w:val="nil"/>
              <w:bottom w:val="single" w:sz="8" w:space="0" w:color="78A22F"/>
              <w:right w:val="nil"/>
            </w:tcBorders>
            <w:tcMar>
              <w:top w:w="0" w:type="dxa"/>
              <w:left w:w="142" w:type="dxa"/>
              <w:bottom w:w="0" w:type="dxa"/>
              <w:right w:w="142" w:type="dxa"/>
            </w:tcMar>
          </w:tcPr>
          <w:p w:rsidR="002A5D84" w:rsidRDefault="002A5D84" w:rsidP="00FB19CB">
            <w:pPr>
              <w:pStyle w:val="Box"/>
              <w:spacing w:before="0" w:line="120" w:lineRule="exact"/>
              <w:rPr>
                <w:rFonts w:eastAsiaTheme="minorHAnsi" w:cs="Arial"/>
              </w:rPr>
            </w:pPr>
          </w:p>
        </w:tc>
      </w:tr>
      <w:tr w:rsidR="002A5D84" w:rsidTr="00FB19CB">
        <w:tc>
          <w:tcPr>
            <w:tcW w:w="5000" w:type="pct"/>
            <w:tcMar>
              <w:top w:w="0" w:type="dxa"/>
              <w:left w:w="142" w:type="dxa"/>
              <w:bottom w:w="0" w:type="dxa"/>
              <w:right w:w="142" w:type="dxa"/>
            </w:tcMar>
          </w:tcPr>
          <w:p w:rsidR="002A5D84" w:rsidRDefault="002A5D84" w:rsidP="00FB19CB">
            <w:pPr>
              <w:pStyle w:val="BoxSpaceBelow"/>
            </w:pPr>
          </w:p>
        </w:tc>
      </w:tr>
    </w:tbl>
    <w:p w:rsidR="002A5D84" w:rsidRDefault="002A5D84" w:rsidP="00FB19CB">
      <w:pPr>
        <w:pStyle w:val="Heading4"/>
      </w:pPr>
      <w:r>
        <w:lastRenderedPageBreak/>
        <w:t xml:space="preserve">Measures to mitigate adverse impacts </w:t>
      </w:r>
    </w:p>
    <w:p w:rsidR="002A5D84" w:rsidRDefault="002A5D84" w:rsidP="00FB19CB">
      <w:pPr>
        <w:pStyle w:val="BodyText"/>
      </w:pPr>
      <w:r>
        <w:t>The</w:t>
      </w:r>
      <w:r w:rsidRPr="00845D35">
        <w:t xml:space="preserve"> case for financial compensation to mitigate adverse effects of the proposed reforms </w:t>
      </w:r>
      <w:r>
        <w:t>is</w:t>
      </w:r>
      <w:r w:rsidRPr="00845D35">
        <w:t xml:space="preserve"> weak. The reforms do not levy a disproportionate tax liability on </w:t>
      </w:r>
      <w:r>
        <w:t>businesses</w:t>
      </w:r>
      <w:r w:rsidRPr="00845D35">
        <w:t xml:space="preserve"> in remote areas — they remove an overly generous concession and, in turn, better align the tax obligations of remote area employers with those in the rest of Australia. Overall, this makes the tax system fairer.</w:t>
      </w:r>
    </w:p>
    <w:p w:rsidR="002A5D84" w:rsidRDefault="002A5D84" w:rsidP="00FB19CB">
      <w:pPr>
        <w:pStyle w:val="BodyText"/>
      </w:pPr>
      <w:r w:rsidRPr="00845D35">
        <w:t>There is</w:t>
      </w:r>
      <w:r>
        <w:t xml:space="preserve"> </w:t>
      </w:r>
      <w:r w:rsidRPr="00845D35">
        <w:t>a</w:t>
      </w:r>
      <w:r>
        <w:t xml:space="preserve"> possible</w:t>
      </w:r>
      <w:r w:rsidRPr="00845D35">
        <w:t xml:space="preserve"> exception for service delivery organisations. These organisations have an obligation to deliver public services — such as health services, </w:t>
      </w:r>
      <w:r w:rsidRPr="00C72F7A">
        <w:t xml:space="preserve">education, </w:t>
      </w:r>
      <w:r w:rsidR="00D41CA8" w:rsidRPr="00C72F7A">
        <w:t>policing</w:t>
      </w:r>
      <w:r w:rsidR="00C72F7A">
        <w:t>,</w:t>
      </w:r>
      <w:r w:rsidR="00D41CA8">
        <w:t xml:space="preserve"> </w:t>
      </w:r>
      <w:r w:rsidRPr="00845D35">
        <w:t xml:space="preserve">and general municipal services like waste collection — to people living in the FBT remote areas. Reducing tax savings from the concession and removing the additional areas for ‘certain regional employers’ increases the cost of providing these services, with State, Territory and </w:t>
      </w:r>
      <w:r>
        <w:t>l</w:t>
      </w:r>
      <w:r w:rsidRPr="00845D35">
        <w:t xml:space="preserve">ocal </w:t>
      </w:r>
      <w:r>
        <w:t>g</w:t>
      </w:r>
      <w:r w:rsidRPr="00845D35">
        <w:t xml:space="preserve">overnments left to make up the difference. </w:t>
      </w:r>
      <w:r>
        <w:t>If they fail to do so, this</w:t>
      </w:r>
      <w:r w:rsidRPr="00845D35">
        <w:t xml:space="preserve"> could affect the level and quality of public services that are delivered.</w:t>
      </w:r>
    </w:p>
    <w:p w:rsidR="002A5D84" w:rsidRDefault="002A5D84" w:rsidP="00FB19CB">
      <w:pPr>
        <w:pStyle w:val="BodyText"/>
      </w:pPr>
      <w:r w:rsidRPr="00845D35">
        <w:t>The Commission estimates that the ‘morning after’ increase in FBT on employer</w:t>
      </w:r>
      <w:r>
        <w:noBreakHyphen/>
      </w:r>
      <w:r w:rsidRPr="00845D35">
        <w:t xml:space="preserve">provided housing </w:t>
      </w:r>
      <w:r>
        <w:t>(</w:t>
      </w:r>
      <w:r w:rsidRPr="00845D35">
        <w:t>as a usual place of residence</w:t>
      </w:r>
      <w:r>
        <w:t>)</w:t>
      </w:r>
      <w:r w:rsidRPr="00845D35">
        <w:t xml:space="preserve"> for </w:t>
      </w:r>
      <w:r>
        <w:t>key affected</w:t>
      </w:r>
      <w:r w:rsidRPr="00845D35">
        <w:t xml:space="preserve"> </w:t>
      </w:r>
      <w:r>
        <w:t>sectors</w:t>
      </w:r>
      <w:r w:rsidRPr="00845D35">
        <w:t xml:space="preserve"> </w:t>
      </w:r>
      <w:r>
        <w:t xml:space="preserve">— </w:t>
      </w:r>
      <w:r w:rsidRPr="001E0109">
        <w:t>public administration and safety, education and training, and health care and social assistance</w:t>
      </w:r>
      <w:r>
        <w:t xml:space="preserve"> —</w:t>
      </w:r>
      <w:r w:rsidRPr="00845D35">
        <w:t xml:space="preserve"> could be between about $45</w:t>
      </w:r>
      <w:r>
        <w:t> </w:t>
      </w:r>
      <w:r w:rsidRPr="00845D35">
        <w:t>million and $60</w:t>
      </w:r>
      <w:r>
        <w:t> </w:t>
      </w:r>
      <w:r w:rsidRPr="00845D35">
        <w:t>million.</w:t>
      </w:r>
      <w:r>
        <w:t xml:space="preserve"> </w:t>
      </w:r>
      <w:r w:rsidRPr="00246692">
        <w:t>In practice, employer behaviour would change</w:t>
      </w:r>
      <w:r>
        <w:t xml:space="preserve"> in response to the new policy in ways that may lessen the financial impact on these sectors.</w:t>
      </w:r>
    </w:p>
    <w:p w:rsidR="002A5D84" w:rsidRDefault="002A5D84" w:rsidP="00FB19CB">
      <w:pPr>
        <w:pStyle w:val="BodyText"/>
      </w:pPr>
      <w:r>
        <w:t xml:space="preserve">Larger </w:t>
      </w:r>
      <w:r w:rsidRPr="00981E20">
        <w:t>Australia</w:t>
      </w:r>
      <w:r>
        <w:t xml:space="preserve">n and State and Territory government agencies will have some capacity </w:t>
      </w:r>
      <w:r w:rsidRPr="00981E20">
        <w:t>to</w:t>
      </w:r>
      <w:r>
        <w:t xml:space="preserve"> raise revenue to replace</w:t>
      </w:r>
      <w:r w:rsidRPr="00923F2F">
        <w:t xml:space="preserve"> </w:t>
      </w:r>
      <w:r>
        <w:t>the (implicit) funding provided by the concessions. Local governments’ ability to mitigate the impacts on public service delivery could be more constrained, given their budgets and limited revenue</w:t>
      </w:r>
      <w:r>
        <w:noBreakHyphen/>
        <w:t>raising capacity.</w:t>
      </w:r>
    </w:p>
    <w:p w:rsidR="002A5D84" w:rsidRDefault="002A5D84" w:rsidP="00FB19CB">
      <w:pPr>
        <w:pStyle w:val="BodyText"/>
      </w:pPr>
      <w:r>
        <w:t>There is a case for the Australian Government to consider providing some of the assistance it currently provides (non</w:t>
      </w:r>
      <w:r>
        <w:noBreakHyphen/>
        <w:t>transparently) through the FBT concessions in other ways. If the Australian Government adjusts</w:t>
      </w:r>
      <w:r w:rsidRPr="008123B2">
        <w:t xml:space="preserve"> the funding of service</w:t>
      </w:r>
      <w:r>
        <w:t xml:space="preserve"> delivery agencie</w:t>
      </w:r>
      <w:r w:rsidRPr="008123B2">
        <w:t xml:space="preserve">s, </w:t>
      </w:r>
      <w:r>
        <w:t>g</w:t>
      </w:r>
      <w:r w:rsidRPr="00C31389">
        <w:t xml:space="preserve">eneral revenue assistance paid to State and Territory </w:t>
      </w:r>
      <w:r>
        <w:t>g</w:t>
      </w:r>
      <w:r w:rsidRPr="00C31389">
        <w:t>overnments would be a</w:t>
      </w:r>
      <w:r>
        <w:t>n</w:t>
      </w:r>
      <w:r w:rsidRPr="00C31389">
        <w:t xml:space="preserve"> effective way</w:t>
      </w:r>
      <w:r>
        <w:t xml:space="preserve"> of doing so.</w:t>
      </w:r>
    </w:p>
    <w:p w:rsidR="002A5D84" w:rsidRDefault="002A5D84" w:rsidP="00FB19CB">
      <w:pPr>
        <w:pStyle w:val="BodyText"/>
      </w:pPr>
      <w:r>
        <w:t xml:space="preserve">This form of assistance is untied, and therefore </w:t>
      </w:r>
      <w:r w:rsidRPr="00203D1C">
        <w:t>flexible</w:t>
      </w:r>
      <w:r>
        <w:t xml:space="preserve"> enough for State and Territory governments to direct it to those services or local government areas that are most affected. From an administrative viewpoint, it is simpler to negotiate (relative to options such as specific purpose grants) and transparent (in contrast to carve</w:t>
      </w:r>
      <w:r>
        <w:noBreakHyphen/>
        <w:t>outs for particular agencies).</w:t>
      </w:r>
    </w:p>
    <w:p w:rsidR="002A5D84" w:rsidRDefault="002A5D84" w:rsidP="00FB19CB">
      <w:pPr>
        <w:pStyle w:val="Heading2nosectionno"/>
      </w:pPr>
      <w:r>
        <w:t>Alternative mechanisms to support</w:t>
      </w:r>
      <w:r w:rsidDel="00BA5BA5">
        <w:t xml:space="preserve"> </w:t>
      </w:r>
      <w:r>
        <w:t>remote Australians</w:t>
      </w:r>
    </w:p>
    <w:p w:rsidR="002A5D84" w:rsidRDefault="002A5D84" w:rsidP="00FB19CB">
      <w:pPr>
        <w:pStyle w:val="BodyText"/>
      </w:pPr>
      <w:r>
        <w:t xml:space="preserve">The terms of reference for this study direct the Commission to consider if there are alternative mechanisms to better support Australians residing in specified geographic areas. </w:t>
      </w:r>
    </w:p>
    <w:p w:rsidR="002A5D84" w:rsidRDefault="002A5D84" w:rsidP="00FB19CB">
      <w:pPr>
        <w:pStyle w:val="BodyText"/>
      </w:pPr>
      <w:r>
        <w:t>Many government programs already look to address disparities in the cost of, or access to, services or infrastructure between different parts of Australia.</w:t>
      </w:r>
      <w:r w:rsidDel="006E72B0">
        <w:t xml:space="preserve"> </w:t>
      </w:r>
      <w:r>
        <w:t>For example, as mentioned earlier, the Australian Government provides</w:t>
      </w:r>
      <w:r w:rsidRPr="008F4C15">
        <w:t xml:space="preserve"> additional payments to doctors to work in </w:t>
      </w:r>
      <w:r w:rsidRPr="008F4C15">
        <w:lastRenderedPageBreak/>
        <w:t>remote areas,</w:t>
      </w:r>
      <w:r w:rsidRPr="004E1274">
        <w:t xml:space="preserve"> </w:t>
      </w:r>
      <w:r>
        <w:t>and subsidies for the supply of some utility services like telecommunications.</w:t>
      </w:r>
      <w:r w:rsidRPr="008F4C15">
        <w:t xml:space="preserve"> </w:t>
      </w:r>
      <w:r>
        <w:t>These types of programs exist in addition to</w:t>
      </w:r>
      <w:r w:rsidRPr="008F4C15">
        <w:t xml:space="preserve"> Australia’s system of horizontal fiscal equalisat</w:t>
      </w:r>
      <w:r>
        <w:t xml:space="preserve">ion, which seeks </w:t>
      </w:r>
      <w:r w:rsidRPr="008F4C15">
        <w:t>to give each jurisdiction</w:t>
      </w:r>
      <w:r w:rsidRPr="008F4C15">
        <w:rPr>
          <w:rFonts w:eastAsiaTheme="minorHAnsi" w:cstheme="minorBidi"/>
          <w:lang w:eastAsia="en-US"/>
        </w:rPr>
        <w:t xml:space="preserve"> the </w:t>
      </w:r>
      <w:r>
        <w:rPr>
          <w:rFonts w:eastAsiaTheme="minorHAnsi" w:cstheme="minorBidi"/>
          <w:lang w:eastAsia="en-US"/>
        </w:rPr>
        <w:t xml:space="preserve">fiscal </w:t>
      </w:r>
      <w:r w:rsidRPr="008F4C15">
        <w:rPr>
          <w:rFonts w:eastAsiaTheme="minorHAnsi" w:cstheme="minorBidi"/>
          <w:lang w:eastAsia="en-US"/>
        </w:rPr>
        <w:t>capacity</w:t>
      </w:r>
      <w:r w:rsidRPr="008F4C15">
        <w:t xml:space="preserve"> to</w:t>
      </w:r>
      <w:r w:rsidRPr="008F4C15">
        <w:rPr>
          <w:rFonts w:eastAsiaTheme="minorHAnsi" w:cstheme="minorBidi"/>
          <w:lang w:eastAsia="en-US"/>
        </w:rPr>
        <w:t xml:space="preserve"> provide </w:t>
      </w:r>
      <w:r>
        <w:rPr>
          <w:rFonts w:eastAsiaTheme="minorHAnsi" w:cstheme="minorBidi"/>
          <w:lang w:eastAsia="en-US"/>
        </w:rPr>
        <w:t>a similar level of public</w:t>
      </w:r>
      <w:r w:rsidRPr="008F4C15">
        <w:rPr>
          <w:rFonts w:eastAsiaTheme="minorHAnsi" w:cstheme="minorBidi"/>
          <w:lang w:eastAsia="en-US"/>
        </w:rPr>
        <w:t xml:space="preserve"> </w:t>
      </w:r>
      <w:r>
        <w:rPr>
          <w:rFonts w:eastAsiaTheme="minorHAnsi" w:cstheme="minorBidi"/>
          <w:lang w:eastAsia="en-US"/>
        </w:rPr>
        <w:t xml:space="preserve">services, and notably </w:t>
      </w:r>
      <w:r>
        <w:t>takes</w:t>
      </w:r>
      <w:r w:rsidRPr="008F4C15">
        <w:t xml:space="preserve"> into account the higher per capita </w:t>
      </w:r>
      <w:r>
        <w:t>expenditure on</w:t>
      </w:r>
      <w:r w:rsidRPr="008F4C15">
        <w:t xml:space="preserve"> s</w:t>
      </w:r>
      <w:r>
        <w:t>ervice delivery in remote areas. Governments, particularly at the State and Territory and local levels, also have programs to support regional economic development.</w:t>
      </w:r>
    </w:p>
    <w:p w:rsidR="002A5D84" w:rsidRDefault="002A5D84" w:rsidP="00FB19CB">
      <w:pPr>
        <w:pStyle w:val="BodyText"/>
      </w:pPr>
      <w:r>
        <w:t xml:space="preserve">The Commission has not sought to endorse any specific alternative use for the tax revenue that would be gained by abolishing or reconditioning the ZTO and tightening the FBT remote area concessions. Whether, and in what form, to provide support for residents of regional and remote areas will depend on governments’ priorities, as well as an assessment of the relative effectiveness of different measures. </w:t>
      </w:r>
    </w:p>
    <w:p w:rsidR="002A5D84" w:rsidRDefault="002A5D84" w:rsidP="00FB19CB">
      <w:pPr>
        <w:pStyle w:val="BodyText"/>
      </w:pPr>
      <w:r>
        <w:t>The issue of regional development involves complexities beyond the scope of this study. The diversity of regional communities, the issues they face, and their different strengths and weaknesses all mean that there are few common solutions; a program that works in one area may be counter</w:t>
      </w:r>
      <w:r>
        <w:noBreakHyphen/>
        <w:t>productive in another.</w:t>
      </w:r>
    </w:p>
    <w:p w:rsidR="002A5D84" w:rsidRDefault="002A5D84" w:rsidP="00FB19CB">
      <w:pPr>
        <w:pStyle w:val="BodyText"/>
      </w:pPr>
      <w:r>
        <w:t xml:space="preserve">There have been many examples of parlous and ineffective programs. While these examples are not reasons to reject regional development policy per se, they provide reason for caution and furnish some ‘do not do’ imperatives, such as politically motivated handouts that do not draw on any natural advantages of an area. </w:t>
      </w:r>
    </w:p>
    <w:p w:rsidR="002A5D84" w:rsidRDefault="002A5D84" w:rsidP="00FB19CB">
      <w:pPr>
        <w:pStyle w:val="BodyText"/>
      </w:pPr>
      <w:r>
        <w:t>On the positive side, policy development needs to acknowledge that local communities frequently have a superior capacity to identify their goals, issues and solutions than higher levels of government, though not necessarily the funds or collective information to make the best investments. That implies a role for State and Territory governments to lead regional development initiatives, as those governments are likely to be the stakeholders with the greatest access to local information, the ability to trade off alternative investments, and the best incentives to make good decisions. The Australian Government can play a role in the limited circumstances where a national approach is required and where cross</w:t>
      </w:r>
      <w:r>
        <w:noBreakHyphen/>
        <w:t>jurisdictional coordination is helpful.</w:t>
      </w:r>
      <w:r w:rsidRPr="00AF565E">
        <w:t xml:space="preserve"> </w:t>
      </w:r>
    </w:p>
    <w:p w:rsidR="002A5D84" w:rsidRDefault="002A5D84" w:rsidP="00FB19CB">
      <w:pPr>
        <w:pStyle w:val="BodyText"/>
      </w:pPr>
      <w:r>
        <w:t>Accordingly, w</w:t>
      </w:r>
      <w:r w:rsidRPr="00470F6B">
        <w:t xml:space="preserve">hile success is not guaranteed, </w:t>
      </w:r>
      <w:r>
        <w:t xml:space="preserve">higher level </w:t>
      </w:r>
      <w:r w:rsidRPr="00470F6B">
        <w:t xml:space="preserve">governments </w:t>
      </w:r>
      <w:r w:rsidRPr="00B63BAD">
        <w:t xml:space="preserve">should look </w:t>
      </w:r>
      <w:r>
        <w:t xml:space="preserve">mainly </w:t>
      </w:r>
      <w:r w:rsidRPr="00B63BAD">
        <w:t xml:space="preserve">to help regions harness their existing capability and locational advantages — rather than trying to </w:t>
      </w:r>
      <w:r>
        <w:t>relocate</w:t>
      </w:r>
      <w:r w:rsidRPr="00B63BAD">
        <w:t xml:space="preserve"> economic activity around the country. </w:t>
      </w:r>
      <w:r w:rsidRPr="00470F6B">
        <w:t xml:space="preserve">This requires an assessment of the regional context and </w:t>
      </w:r>
      <w:r>
        <w:t>the region’s</w:t>
      </w:r>
      <w:r w:rsidRPr="00470F6B">
        <w:t xml:space="preserve"> potential for innovation, clear governance across government and private sector institutions, the development of an overall vision, and a coherent and consistent policy mix and delivery plan. </w:t>
      </w:r>
      <w:r>
        <w:t xml:space="preserve">Decisions about regional assistance should also be independent of political interference, and should be made as close to the ground as possible in line with local priorities. </w:t>
      </w:r>
    </w:p>
    <w:bookmarkEnd w:id="1"/>
    <w:p w:rsidR="002A5D84" w:rsidRDefault="002A5D84" w:rsidP="00FB19CB">
      <w:pPr>
        <w:pStyle w:val="BodyText"/>
        <w:rPr>
          <w:highlight w:val="yellow"/>
        </w:rPr>
      </w:pPr>
    </w:p>
    <w:p w:rsidR="002A5D84" w:rsidRDefault="002A5D84" w:rsidP="002A5D84">
      <w:pPr>
        <w:sectPr w:rsidR="002A5D84" w:rsidSect="004C2A8B">
          <w:type w:val="oddPage"/>
          <w:pgSz w:w="11907" w:h="16840" w:code="9"/>
          <w:pgMar w:top="1985" w:right="1304" w:bottom="1247" w:left="1814" w:header="1701" w:footer="397" w:gutter="0"/>
          <w:pgNumType w:start="1" w:chapSep="period"/>
          <w:cols w:space="720"/>
          <w:titlePg/>
          <w:docGrid w:linePitch="326"/>
        </w:sectPr>
      </w:pPr>
    </w:p>
    <w:p w:rsidR="002A5D84" w:rsidRDefault="002A5D84" w:rsidP="00FB19CB">
      <w:pPr>
        <w:pStyle w:val="Heading1nochapterno"/>
      </w:pPr>
      <w:r>
        <w:lastRenderedPageBreak/>
        <w:t>Recommendations and findings</w:t>
      </w:r>
    </w:p>
    <w:p w:rsidR="002A5D84" w:rsidRDefault="002A5D84" w:rsidP="00FB19CB">
      <w:pPr>
        <w:pStyle w:val="Heading2"/>
      </w:pPr>
      <w:r>
        <w:t>The broader context</w:t>
      </w:r>
    </w:p>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t>Finding 2.1</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Default="002A5D84" w:rsidP="00FB19CB">
            <w:pPr>
              <w:pStyle w:val="Finding"/>
              <w:keepNext/>
            </w:pPr>
            <w:r>
              <w:t>The broader context for remote area tax concessions and payments has changed considerably since the first concession was introduced in 1945. Technological advances have helped lessen the difficulties of life in remote parts of Australia. Some communities once considered isolated — such as Cairns and Darwin, which had populations of 16 600 and 2500 (in 1947) respectively — are now well</w:t>
            </w:r>
            <w:r>
              <w:noBreakHyphen/>
              <w:t>developed, internationally</w:t>
            </w:r>
            <w:r>
              <w:noBreakHyphen/>
              <w:t>connected cities with populations near 150 000. Their residents can no longer be considered isolated.</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t>Finding 2.2</w:t>
            </w:r>
            <w:r w:rsidRPr="00CE4C64">
              <w:rPr>
                <w:noProof/>
              </w:rPr>
              <w:t xml:space="preserve"> </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Default="002A5D84" w:rsidP="00FB19CB">
            <w:pPr>
              <w:pStyle w:val="Finding"/>
              <w:keepNext/>
            </w:pPr>
            <w:r>
              <w:t>Remote Australia is home to 2 per cent of the national population. In general, remote Australians experience lower unemployment, higher labour force participation, and (in many cases) higher incomes than non</w:t>
            </w:r>
            <w:r>
              <w:noBreakHyphen/>
              <w:t xml:space="preserve">remote Australians. But this hides major disparities within and between </w:t>
            </w:r>
            <w:r>
              <w:rPr>
                <w:i/>
                <w:iCs/>
              </w:rPr>
              <w:t>remote</w:t>
            </w:r>
            <w:r>
              <w:t xml:space="preserve"> and </w:t>
            </w:r>
            <w:r>
              <w:rPr>
                <w:i/>
                <w:iCs/>
              </w:rPr>
              <w:t xml:space="preserve">very remote </w:t>
            </w:r>
            <w:r>
              <w:t xml:space="preserve">areas. </w:t>
            </w:r>
          </w:p>
          <w:p w:rsidR="002A5D84" w:rsidRDefault="002A5D84" w:rsidP="00FB19CB">
            <w:pPr>
              <w:pStyle w:val="Finding"/>
              <w:keepNext/>
            </w:pPr>
            <w:r>
              <w:t>Indigenous Australians in remote Australia (who make up 28 per cent of its population)</w:t>
            </w:r>
            <w:r w:rsidDel="00393803">
              <w:t xml:space="preserve"> </w:t>
            </w:r>
            <w:r>
              <w:t>are less likely to be employed or participate in the labour market, and tend to earn lower incomes than both non</w:t>
            </w:r>
            <w:r>
              <w:noBreakHyphen/>
              <w:t>Indigenous Australians and non</w:t>
            </w:r>
            <w:r>
              <w:noBreakHyphen/>
              <w:t>remote Indigenous Australians. They also tend to be less mobile than non</w:t>
            </w:r>
            <w:r>
              <w:noBreakHyphen/>
              <w:t xml:space="preserve">Indigenous Australians in </w:t>
            </w:r>
            <w:r>
              <w:rPr>
                <w:i/>
                <w:iCs/>
              </w:rPr>
              <w:t xml:space="preserve">remote </w:t>
            </w:r>
            <w:r>
              <w:t xml:space="preserve">areas, and even more so in </w:t>
            </w:r>
            <w:r>
              <w:rPr>
                <w:i/>
                <w:iCs/>
              </w:rPr>
              <w:t xml:space="preserve">very remote </w:t>
            </w:r>
            <w:r>
              <w:t>areas.</w:t>
            </w:r>
          </w:p>
          <w:p w:rsidR="002A5D84" w:rsidRDefault="002A5D84" w:rsidP="00FB19CB">
            <w:pPr>
              <w:pStyle w:val="Finding"/>
              <w:keepNext/>
            </w:pPr>
            <w:r>
              <w:t xml:space="preserve">Further, socioeconomic disadvantage is more prevalent in remote Australia than elsewhere — especially among the Indigenous population and in </w:t>
            </w:r>
            <w:r>
              <w:rPr>
                <w:i/>
                <w:iCs/>
              </w:rPr>
              <w:t xml:space="preserve">very remote </w:t>
            </w:r>
            <w:r>
              <w:t>areas.</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rsidRPr="00704CC4">
              <w:t>Finding 2.3</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Default="002A5D84" w:rsidP="00FB19CB">
            <w:pPr>
              <w:pStyle w:val="Finding"/>
              <w:keepNext/>
            </w:pPr>
            <w:r>
              <w:t>Some inherent features of remote Australia make it difficult for residents to attain a comparable standard of living to city dwellers and people in regional areas.</w:t>
            </w:r>
          </w:p>
          <w:p w:rsidR="002A5D84" w:rsidRDefault="002A5D84" w:rsidP="00FB19CB">
            <w:pPr>
              <w:pStyle w:val="FindingBullet"/>
            </w:pPr>
            <w:r>
              <w:t xml:space="preserve">The cost of living generally increases with remoteness. </w:t>
            </w:r>
          </w:p>
          <w:p w:rsidR="002A5D84" w:rsidRDefault="002A5D84" w:rsidP="00FB19CB">
            <w:pPr>
              <w:pStyle w:val="FindingBullet"/>
            </w:pPr>
            <w:r>
              <w:t xml:space="preserve">People in remote Australia typically have less ready access to services. </w:t>
            </w:r>
          </w:p>
          <w:p w:rsidR="002A5D84" w:rsidRDefault="002A5D84" w:rsidP="00FB19CB">
            <w:pPr>
              <w:pStyle w:val="FindingBullet"/>
            </w:pPr>
            <w:r>
              <w:t>Many aspects of running a business, including attracting and retaining suitably</w:t>
            </w:r>
            <w:r>
              <w:noBreakHyphen/>
              <w:t xml:space="preserve">qualified staff, are more difficult in remote Australia. </w:t>
            </w:r>
          </w:p>
          <w:p w:rsidR="002A5D84" w:rsidRDefault="002A5D84" w:rsidP="00FB19CB">
            <w:pPr>
              <w:pStyle w:val="Finding"/>
              <w:keepNext/>
              <w:rPr>
                <w:rFonts w:ascii="Times New Roman" w:hAnsi="Times New Roman"/>
                <w:sz w:val="24"/>
                <w:szCs w:val="24"/>
              </w:rPr>
            </w:pPr>
            <w:r>
              <w:t xml:space="preserve">These difficulties are most pronounced in </w:t>
            </w:r>
            <w:r w:rsidRPr="002C2BE3">
              <w:rPr>
                <w:i/>
              </w:rPr>
              <w:t>very remote</w:t>
            </w:r>
            <w:r>
              <w:t xml:space="preserve"> areas.</w:t>
            </w:r>
          </w:p>
          <w:p w:rsidR="002A5D84" w:rsidRPr="00B36828" w:rsidRDefault="002A5D84" w:rsidP="00FB19CB">
            <w:pPr>
              <w:pStyle w:val="Finding"/>
              <w:keepNext/>
            </w:pPr>
            <w:r>
              <w:t>Many remote areas also face a harsh climate and the risk of natural disasters, although these phenomena are not unique to remote Australia.</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t>Finding 2.4</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Default="002A5D84" w:rsidP="00FB19CB">
            <w:pPr>
              <w:pStyle w:val="Finding"/>
              <w:keepNext/>
            </w:pPr>
            <w:r>
              <w:t xml:space="preserve">Although life in remote Australia has a unique set of challenges, many Australians choose to live there because of the pace and quality of remote life, or because of close personal or cultural attachments to places or to communities. Others move to remote areas in pursuit of economic </w:t>
            </w:r>
            <w:r w:rsidRPr="00081E00">
              <w:t>opportunity</w:t>
            </w:r>
            <w:r w:rsidRPr="00F8685F">
              <w:t>.</w:t>
            </w:r>
            <w:r>
              <w:t xml:space="preserve"> For some residents of remote areas, however, mobility may be constrained by socioeconomic and other factors.</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t>Finding 3.1</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Default="002A5D84" w:rsidP="00FB19CB">
            <w:pPr>
              <w:pStyle w:val="Finding"/>
              <w:keepNext/>
            </w:pPr>
            <w:r>
              <w:t>R</w:t>
            </w:r>
            <w:r w:rsidRPr="00A72715">
              <w:t>emote area tax concessions and payments</w:t>
            </w:r>
            <w:r>
              <w:t xml:space="preserve"> </w:t>
            </w:r>
            <w:r w:rsidRPr="00A72715">
              <w:t>form just one</w:t>
            </w:r>
            <w:r>
              <w:t xml:space="preserve"> small </w:t>
            </w:r>
            <w:r w:rsidRPr="00A72715">
              <w:t xml:space="preserve">part of </w:t>
            </w:r>
            <w:r>
              <w:t>the broad suite of measures put in place by all levels of government to assist individuals, businesses and communities and to facilitate development in regional and remote Australia.</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F646FF" w:rsidRPr="00081FB4" w:rsidRDefault="00F646FF" w:rsidP="00081FB4">
      <w:pPr>
        <w:pStyle w:val="BodyText"/>
      </w:pPr>
      <w:r w:rsidRPr="00081FB4">
        <w:br w:type="page"/>
      </w:r>
    </w:p>
    <w:p w:rsidR="002A5D84" w:rsidRDefault="002A5D84" w:rsidP="00FB19CB">
      <w:pPr>
        <w:pStyle w:val="Heading2"/>
      </w:pPr>
      <w:r>
        <w:lastRenderedPageBreak/>
        <w:t>The zone tax offset</w:t>
      </w:r>
    </w:p>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t>Finding 4.1</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Pr="008F02DA" w:rsidRDefault="002A5D84" w:rsidP="00FB19CB">
            <w:pPr>
              <w:pStyle w:val="Finding"/>
            </w:pPr>
            <w:r>
              <w:t>The design of t</w:t>
            </w:r>
            <w:r w:rsidRPr="008F02DA">
              <w:t xml:space="preserve">he zone tax offset (ZTO) </w:t>
            </w:r>
            <w:r>
              <w:t>is</w:t>
            </w:r>
            <w:r w:rsidRPr="008F02DA">
              <w:t xml:space="preserve"> outdated.</w:t>
            </w:r>
          </w:p>
          <w:p w:rsidR="002A5D84" w:rsidRPr="008F02DA" w:rsidRDefault="002A5D84" w:rsidP="00FB19CB">
            <w:pPr>
              <w:pStyle w:val="FindingBullet"/>
            </w:pPr>
            <w:r>
              <w:t>The boundaries have</w:t>
            </w:r>
            <w:r w:rsidRPr="008F02DA">
              <w:t xml:space="preserve"> not kept up with change</w:t>
            </w:r>
            <w:r>
              <w:t>s</w:t>
            </w:r>
            <w:r w:rsidRPr="008F02DA">
              <w:t xml:space="preserve"> in remote Australia, and </w:t>
            </w:r>
            <w:r>
              <w:t xml:space="preserve">nearly half </w:t>
            </w:r>
            <w:r w:rsidRPr="008F02DA">
              <w:t xml:space="preserve">of ZTO claimants live in large coastal regional </w:t>
            </w:r>
            <w:r>
              <w:t>cities</w:t>
            </w:r>
            <w:r w:rsidRPr="008F02DA">
              <w:t>.</w:t>
            </w:r>
          </w:p>
          <w:p w:rsidR="002A5D84" w:rsidRDefault="002A5D84" w:rsidP="00FB19CB">
            <w:pPr>
              <w:pStyle w:val="FindingBullet"/>
            </w:pPr>
            <w:r w:rsidRPr="008F02DA" w:rsidDel="00DC4DDE">
              <w:t>Inflation and growth in wages have substantially eroded the value of the</w:t>
            </w:r>
            <w:r w:rsidRPr="008F02DA" w:rsidDel="00915B33">
              <w:t xml:space="preserve"> ZTO</w:t>
            </w:r>
            <w:r>
              <w:t>.</w:t>
            </w:r>
          </w:p>
          <w:p w:rsidR="002A5D84" w:rsidRDefault="002A5D84" w:rsidP="00FB19CB">
            <w:pPr>
              <w:pStyle w:val="Finding"/>
            </w:pPr>
            <w:r>
              <w:t>Further, t</w:t>
            </w:r>
            <w:r w:rsidRPr="008F02DA">
              <w:t xml:space="preserve">here is no evidence to suggest that the ZTO </w:t>
            </w:r>
            <w:r>
              <w:t>encourages</w:t>
            </w:r>
            <w:r w:rsidRPr="008F02DA">
              <w:t xml:space="preserve"> people to live and work</w:t>
            </w:r>
            <w:r>
              <w:t xml:space="preserve"> in the zones</w:t>
            </w:r>
            <w:r w:rsidRPr="008F02DA">
              <w:t>.</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rsidRPr="00B16538">
              <w:t>Finding 5.1</w:t>
            </w:r>
          </w:p>
        </w:tc>
      </w:tr>
      <w:tr w:rsidR="002A5D84" w:rsidRPr="00750BE2" w:rsidTr="00FB19CB">
        <w:trPr>
          <w:cantSplit/>
          <w:trHeight w:val="1269"/>
        </w:trPr>
        <w:tc>
          <w:tcPr>
            <w:tcW w:w="5000" w:type="pct"/>
            <w:tcBorders>
              <w:top w:val="nil"/>
              <w:left w:val="nil"/>
              <w:bottom w:val="nil"/>
              <w:right w:val="nil"/>
            </w:tcBorders>
            <w:shd w:val="clear" w:color="auto" w:fill="F2F2F2"/>
            <w:tcMar>
              <w:left w:w="170" w:type="dxa"/>
              <w:right w:w="170" w:type="dxa"/>
            </w:tcMar>
          </w:tcPr>
          <w:p w:rsidR="002A5D84" w:rsidRDefault="002A5D84" w:rsidP="00FB19CB">
            <w:pPr>
              <w:pStyle w:val="Finding"/>
            </w:pPr>
            <w:r w:rsidRPr="00E2432E">
              <w:t>There is no compellin</w:t>
            </w:r>
            <w:r>
              <w:t>g justification for a zone tax offset in contemporary Australia.</w:t>
            </w:r>
            <w:r w:rsidRPr="00E2432E">
              <w:t xml:space="preserve"> </w:t>
            </w:r>
          </w:p>
          <w:p w:rsidR="002A5D84" w:rsidRDefault="002A5D84" w:rsidP="00FB19CB">
            <w:pPr>
              <w:pStyle w:val="Finding"/>
            </w:pPr>
            <w:r>
              <w:t>H</w:t>
            </w:r>
            <w:r w:rsidRPr="00E22D33">
              <w:t xml:space="preserve">igher living costs </w:t>
            </w:r>
            <w:r>
              <w:t>or</w:t>
            </w:r>
            <w:r w:rsidRPr="00E22D33">
              <w:t xml:space="preserve"> other aspects of life in remote areas </w:t>
            </w:r>
            <w:r>
              <w:t xml:space="preserve">do not </w:t>
            </w:r>
            <w:r w:rsidRPr="00E22D33">
              <w:t xml:space="preserve">warrant compensation </w:t>
            </w:r>
            <w:r>
              <w:t>through the tax system</w:t>
            </w:r>
            <w:r w:rsidRPr="00E22D33">
              <w:t xml:space="preserve">. </w:t>
            </w:r>
            <w:r>
              <w:t>Australians face</w:t>
            </w:r>
            <w:r w:rsidRPr="00E22D33">
              <w:t xml:space="preserve"> a range of </w:t>
            </w:r>
            <w:r>
              <w:t>advantages and disadvantages</w:t>
            </w:r>
            <w:r w:rsidRPr="00E22D33">
              <w:t xml:space="preserve"> </w:t>
            </w:r>
            <w:r>
              <w:t xml:space="preserve">in where they </w:t>
            </w:r>
            <w:r w:rsidRPr="00E22D33">
              <w:t>liv</w:t>
            </w:r>
            <w:r>
              <w:t>e,</w:t>
            </w:r>
            <w:r w:rsidRPr="00E22D33">
              <w:t xml:space="preserve"> and </w:t>
            </w:r>
            <w:r>
              <w:t>can</w:t>
            </w:r>
            <w:r w:rsidRPr="00E22D33">
              <w:t xml:space="preserve"> </w:t>
            </w:r>
            <w:r>
              <w:t>typically</w:t>
            </w:r>
            <w:r w:rsidRPr="00E22D33">
              <w:t xml:space="preserve"> </w:t>
            </w:r>
            <w:r>
              <w:t>decide to live in</w:t>
            </w:r>
            <w:r w:rsidRPr="00E22D33">
              <w:t xml:space="preserve"> the </w:t>
            </w:r>
            <w:r>
              <w:t xml:space="preserve">area </w:t>
            </w:r>
            <w:r w:rsidRPr="00E22D33">
              <w:t>they value most highly</w:t>
            </w:r>
            <w:r>
              <w:t xml:space="preserve">. </w:t>
            </w:r>
          </w:p>
          <w:p w:rsidR="002A5D84" w:rsidRDefault="002A5D84" w:rsidP="00FB19CB">
            <w:pPr>
              <w:pStyle w:val="Finding"/>
            </w:pPr>
            <w:r>
              <w:t>The economic development of a particular region succeeds or otherwise based on that region’s advantages and disadvantages, as well as its vulnerability to economic shocks. Attempts by g</w:t>
            </w:r>
            <w:r w:rsidRPr="00536611">
              <w:t xml:space="preserve">overnments </w:t>
            </w:r>
            <w:r>
              <w:t>to</w:t>
            </w:r>
            <w:r w:rsidRPr="00536611">
              <w:t xml:space="preserve"> create an </w:t>
            </w:r>
            <w:r>
              <w:t xml:space="preserve">artificial </w:t>
            </w:r>
            <w:r w:rsidRPr="00536611">
              <w:t>advantage for a re</w:t>
            </w:r>
            <w:r>
              <w:t>mote</w:t>
            </w:r>
            <w:r w:rsidRPr="00536611">
              <w:t xml:space="preserve"> community</w:t>
            </w:r>
            <w:r w:rsidRPr="00FD67FD">
              <w:t xml:space="preserve">, or </w:t>
            </w:r>
            <w:r>
              <w:t xml:space="preserve">to </w:t>
            </w:r>
            <w:r w:rsidRPr="00FD67FD">
              <w:t xml:space="preserve">attract people to live in </w:t>
            </w:r>
            <w:r w:rsidRPr="008B2EDB">
              <w:t xml:space="preserve">high cost areas </w:t>
            </w:r>
            <w:r w:rsidRPr="00307A80">
              <w:t>through tax concessions</w:t>
            </w:r>
            <w:r>
              <w:t>, are unlikely to be effective and</w:t>
            </w:r>
            <w:r w:rsidRPr="00307A80">
              <w:t xml:space="preserve"> </w:t>
            </w:r>
            <w:r>
              <w:t xml:space="preserve">typically </w:t>
            </w:r>
            <w:r w:rsidRPr="00536611">
              <w:t xml:space="preserve">result in </w:t>
            </w:r>
            <w:r>
              <w:t>net</w:t>
            </w:r>
            <w:r w:rsidRPr="00536611">
              <w:t xml:space="preserve"> </w:t>
            </w:r>
            <w:r>
              <w:t>losses</w:t>
            </w:r>
            <w:r w:rsidRPr="00536611">
              <w:t xml:space="preserve"> </w:t>
            </w:r>
            <w:r>
              <w:t>to</w:t>
            </w:r>
            <w:r w:rsidRPr="00536611">
              <w:t xml:space="preserve"> the </w:t>
            </w:r>
            <w:r>
              <w:t xml:space="preserve">broader </w:t>
            </w:r>
            <w:r w:rsidRPr="00536611">
              <w:t>Australian community</w:t>
            </w:r>
            <w:r>
              <w:t>.</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A5D84" w:rsidTr="00FB19CB">
        <w:trPr>
          <w:tblHeader/>
        </w:trPr>
        <w:tc>
          <w:tcPr>
            <w:tcW w:w="5000" w:type="pct"/>
            <w:tcBorders>
              <w:top w:val="single" w:sz="6" w:space="0" w:color="78A22F"/>
              <w:left w:val="nil"/>
              <w:bottom w:val="nil"/>
              <w:right w:val="nil"/>
            </w:tcBorders>
            <w:shd w:val="clear" w:color="auto" w:fill="E5F1D0"/>
            <w:tcMar>
              <w:left w:w="170" w:type="dxa"/>
              <w:right w:w="170" w:type="dxa"/>
            </w:tcMar>
          </w:tcPr>
          <w:p w:rsidR="002A5D84" w:rsidRPr="00CE4C64" w:rsidRDefault="002A5D84" w:rsidP="00FB19CB">
            <w:pPr>
              <w:pStyle w:val="RecTitle"/>
              <w:spacing w:before="120"/>
              <w:rPr>
                <w:noProof/>
              </w:rPr>
            </w:pPr>
            <w:r>
              <w:t xml:space="preserve">Recommendation 5.1 </w:t>
            </w:r>
            <w:r>
              <w:rPr>
                <w:b/>
              </w:rPr>
              <w:t>ABOLIsh</w:t>
            </w:r>
            <w:r w:rsidRPr="008604D8">
              <w:rPr>
                <w:b/>
              </w:rPr>
              <w:t xml:space="preserve"> </w:t>
            </w:r>
            <w:r w:rsidR="005024F8">
              <w:rPr>
                <w:b/>
              </w:rPr>
              <w:t xml:space="preserve">the </w:t>
            </w:r>
            <w:r>
              <w:rPr>
                <w:b/>
              </w:rPr>
              <w:t>ZONE and overseas forces tax offsets</w:t>
            </w:r>
          </w:p>
        </w:tc>
      </w:tr>
      <w:tr w:rsidR="002A5D84" w:rsidRPr="00750BE2" w:rsidTr="00FB19CB">
        <w:tc>
          <w:tcPr>
            <w:tcW w:w="5000" w:type="pct"/>
            <w:tcBorders>
              <w:top w:val="nil"/>
              <w:left w:val="nil"/>
              <w:bottom w:val="nil"/>
              <w:right w:val="nil"/>
            </w:tcBorders>
            <w:shd w:val="clear" w:color="auto" w:fill="E5F1D0"/>
            <w:tcMar>
              <w:left w:w="170" w:type="dxa"/>
              <w:right w:w="170" w:type="dxa"/>
            </w:tcMar>
          </w:tcPr>
          <w:p w:rsidR="002A5D84" w:rsidRDefault="002A5D84" w:rsidP="00FB19CB">
            <w:pPr>
              <w:pStyle w:val="Rec"/>
              <w:keepNext/>
            </w:pPr>
            <w:r w:rsidRPr="006E0E01">
              <w:t xml:space="preserve">The </w:t>
            </w:r>
            <w:r>
              <w:t xml:space="preserve">Australian Government should abolish the </w:t>
            </w:r>
            <w:r w:rsidRPr="006E0E01">
              <w:t>zone tax offset</w:t>
            </w:r>
            <w:r>
              <w:t xml:space="preserve"> (ZTO) and the overseas forces tax </w:t>
            </w:r>
            <w:r w:rsidDel="000F7539">
              <w:t>offset</w:t>
            </w:r>
            <w:r w:rsidRPr="006E0E01">
              <w:t>.</w:t>
            </w:r>
          </w:p>
          <w:p w:rsidR="002A5D84" w:rsidRDefault="002A5D84" w:rsidP="00FB19CB">
            <w:pPr>
              <w:pStyle w:val="Rec"/>
              <w:keepNext/>
            </w:pPr>
            <w:r>
              <w:t>If the ZTO is retained, the Australian Government should recondition the offset by making it:</w:t>
            </w:r>
          </w:p>
          <w:p w:rsidR="002A5D84" w:rsidRDefault="002A5D84" w:rsidP="00FB19CB">
            <w:pPr>
              <w:pStyle w:val="RecBullet"/>
            </w:pPr>
            <w:r>
              <w:t xml:space="preserve">available to residents of </w:t>
            </w:r>
            <w:r w:rsidRPr="001A6DD9">
              <w:rPr>
                <w:i/>
              </w:rPr>
              <w:t>very remote</w:t>
            </w:r>
            <w:r>
              <w:t xml:space="preserve"> </w:t>
            </w:r>
            <w:r w:rsidRPr="00C02523">
              <w:t>areas</w:t>
            </w:r>
            <w:r>
              <w:t xml:space="preserve"> only, as defined by the</w:t>
            </w:r>
            <w:r w:rsidR="006314EB">
              <w:t xml:space="preserve"> </w:t>
            </w:r>
            <w:r>
              <w:t xml:space="preserve">Australian Bureau of Statistics, with the eligible area updated after each </w:t>
            </w:r>
            <w:r w:rsidR="00901AB4">
              <w:t>census</w:t>
            </w:r>
          </w:p>
          <w:p w:rsidR="002A5D84" w:rsidRDefault="002A5D84" w:rsidP="00FB19CB">
            <w:pPr>
              <w:pStyle w:val="RecBullet"/>
            </w:pPr>
            <w:r>
              <w:t>a flat rate at the existing special area rate of $1173 a year.</w:t>
            </w:r>
          </w:p>
        </w:tc>
      </w:tr>
      <w:tr w:rsidR="002A5D84" w:rsidTr="00FB19CB">
        <w:tc>
          <w:tcPr>
            <w:tcW w:w="5000" w:type="pct"/>
            <w:tcBorders>
              <w:top w:val="nil"/>
              <w:left w:val="nil"/>
              <w:bottom w:val="single" w:sz="6" w:space="0" w:color="78A22F"/>
              <w:right w:val="nil"/>
            </w:tcBorders>
            <w:shd w:val="clear" w:color="auto" w:fill="E5F1D0"/>
            <w:tcMar>
              <w:left w:w="170" w:type="dxa"/>
              <w:right w:w="170" w:type="dxa"/>
            </w:tcMar>
          </w:tcPr>
          <w:p w:rsidR="002A5D84" w:rsidRDefault="002A5D84" w:rsidP="00FB19CB">
            <w:pPr>
              <w:pStyle w:val="Space"/>
              <w:keepLines/>
            </w:pPr>
          </w:p>
        </w:tc>
      </w:tr>
      <w:tr w:rsidR="002A5D84" w:rsidRPr="000863A5" w:rsidTr="00FB19CB">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t>Finding 5.2</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Default="002A5D84" w:rsidP="00FB19CB">
            <w:pPr>
              <w:pStyle w:val="Finding"/>
              <w:keepNext/>
            </w:pPr>
            <w:r>
              <w:t>There is no case for the Australian Government to provide company tax offsets specifically to businesses in remote areas. Governments should focus on creating an environment for businesses to succeed without regard to location.</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Default="002A5D84" w:rsidP="00FB19CB">
      <w:pPr>
        <w:pStyle w:val="Heading2"/>
      </w:pPr>
      <w:r>
        <w:lastRenderedPageBreak/>
        <w:t>The remote area allowance</w:t>
      </w:r>
    </w:p>
    <w:p w:rsidR="002A5D84" w:rsidRPr="00A36660" w:rsidRDefault="002A5D84" w:rsidP="00FB19CB">
      <w:pPr>
        <w:keepNext/>
        <w:spacing w:before="240" w:line="300" w:lineRule="atLeast"/>
        <w:jc w:val="both"/>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RPr="00A36660"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A36660" w:rsidRDefault="002A5D84" w:rsidP="00FB19CB">
            <w:pPr>
              <w:pStyle w:val="FindingTitle"/>
              <w:spacing w:before="120"/>
              <w:rPr>
                <w:noProof/>
              </w:rPr>
            </w:pPr>
            <w:r w:rsidRPr="00A36660">
              <w:t>Finding 6.</w:t>
            </w:r>
            <w:r>
              <w:t>1</w:t>
            </w:r>
          </w:p>
        </w:tc>
      </w:tr>
      <w:tr w:rsidR="002A5D84" w:rsidRPr="00A36660" w:rsidTr="00FB19CB">
        <w:trPr>
          <w:cantSplit/>
        </w:trPr>
        <w:tc>
          <w:tcPr>
            <w:tcW w:w="5000" w:type="pct"/>
            <w:tcBorders>
              <w:top w:val="nil"/>
              <w:left w:val="nil"/>
              <w:bottom w:val="nil"/>
              <w:right w:val="nil"/>
            </w:tcBorders>
            <w:shd w:val="clear" w:color="auto" w:fill="F2F2F2"/>
            <w:tcMar>
              <w:left w:w="170" w:type="dxa"/>
              <w:right w:w="170" w:type="dxa"/>
            </w:tcMar>
          </w:tcPr>
          <w:p w:rsidR="002A5D84" w:rsidRPr="00A36660" w:rsidRDefault="002A5D84" w:rsidP="00FB19CB">
            <w:pPr>
              <w:keepNext/>
              <w:keepLines/>
              <w:spacing w:before="120" w:line="280" w:lineRule="atLeast"/>
              <w:jc w:val="both"/>
              <w:rPr>
                <w:rFonts w:ascii="Arial" w:hAnsi="Arial"/>
                <w:sz w:val="22"/>
                <w:szCs w:val="20"/>
              </w:rPr>
            </w:pPr>
            <w:r>
              <w:rPr>
                <w:rFonts w:ascii="Arial" w:hAnsi="Arial"/>
                <w:sz w:val="22"/>
                <w:szCs w:val="20"/>
              </w:rPr>
              <w:t>Notable c</w:t>
            </w:r>
            <w:r w:rsidRPr="00A36660">
              <w:rPr>
                <w:rFonts w:ascii="Arial" w:hAnsi="Arial"/>
                <w:sz w:val="22"/>
                <w:szCs w:val="20"/>
              </w:rPr>
              <w:t xml:space="preserve">haracteristics </w:t>
            </w:r>
            <w:r>
              <w:rPr>
                <w:rFonts w:ascii="Arial" w:hAnsi="Arial"/>
                <w:sz w:val="22"/>
                <w:szCs w:val="20"/>
              </w:rPr>
              <w:t xml:space="preserve">of the profile </w:t>
            </w:r>
            <w:r w:rsidRPr="00A36660">
              <w:rPr>
                <w:rFonts w:ascii="Arial" w:hAnsi="Arial"/>
                <w:sz w:val="22"/>
                <w:szCs w:val="20"/>
              </w:rPr>
              <w:t>of remote area allowance recipients include that:</w:t>
            </w:r>
          </w:p>
          <w:p w:rsidR="002A5D84" w:rsidRPr="00A36660" w:rsidRDefault="002A5D84" w:rsidP="00FB19CB">
            <w:pPr>
              <w:keepLines/>
              <w:numPr>
                <w:ilvl w:val="0"/>
                <w:numId w:val="15"/>
              </w:numPr>
              <w:spacing w:before="80" w:line="280" w:lineRule="atLeast"/>
              <w:jc w:val="both"/>
              <w:rPr>
                <w:rFonts w:ascii="Arial" w:hAnsi="Arial"/>
                <w:sz w:val="22"/>
                <w:szCs w:val="20"/>
              </w:rPr>
            </w:pPr>
            <w:r w:rsidRPr="00A36660">
              <w:rPr>
                <w:rFonts w:ascii="Arial" w:hAnsi="Arial"/>
                <w:sz w:val="22"/>
                <w:szCs w:val="20"/>
              </w:rPr>
              <w:t xml:space="preserve">most reside in </w:t>
            </w:r>
            <w:r w:rsidRPr="00C07D61">
              <w:rPr>
                <w:rFonts w:ascii="Arial" w:hAnsi="Arial"/>
                <w:i/>
                <w:sz w:val="22"/>
                <w:szCs w:val="20"/>
              </w:rPr>
              <w:t>very remote</w:t>
            </w:r>
            <w:r w:rsidRPr="00A36660">
              <w:rPr>
                <w:rFonts w:ascii="Arial" w:hAnsi="Arial"/>
                <w:sz w:val="22"/>
                <w:szCs w:val="20"/>
              </w:rPr>
              <w:t xml:space="preserve"> and </w:t>
            </w:r>
            <w:r w:rsidRPr="00C07D61">
              <w:rPr>
                <w:rFonts w:ascii="Arial" w:hAnsi="Arial"/>
                <w:i/>
                <w:sz w:val="22"/>
                <w:szCs w:val="20"/>
              </w:rPr>
              <w:t>remote</w:t>
            </w:r>
            <w:r w:rsidRPr="00A36660">
              <w:rPr>
                <w:rFonts w:ascii="Arial" w:hAnsi="Arial"/>
                <w:sz w:val="22"/>
                <w:szCs w:val="20"/>
              </w:rPr>
              <w:t xml:space="preserve"> areas of Australia</w:t>
            </w:r>
            <w:r>
              <w:rPr>
                <w:rFonts w:ascii="Arial" w:hAnsi="Arial"/>
                <w:sz w:val="22"/>
                <w:szCs w:val="20"/>
              </w:rPr>
              <w:t xml:space="preserve"> </w:t>
            </w:r>
            <w:r w:rsidRPr="00A36660">
              <w:rPr>
                <w:rFonts w:ascii="Arial" w:hAnsi="Arial"/>
                <w:sz w:val="22"/>
                <w:szCs w:val="20"/>
              </w:rPr>
              <w:t>(</w:t>
            </w:r>
            <w:r>
              <w:rPr>
                <w:rFonts w:ascii="Arial" w:hAnsi="Arial"/>
                <w:sz w:val="22"/>
                <w:szCs w:val="20"/>
              </w:rPr>
              <w:t xml:space="preserve">as defined by the </w:t>
            </w:r>
            <w:r w:rsidRPr="00A36660">
              <w:rPr>
                <w:rFonts w:ascii="Arial" w:hAnsi="Arial"/>
                <w:sz w:val="22"/>
                <w:szCs w:val="20"/>
              </w:rPr>
              <w:t>Australian Bureau of Statistics)</w:t>
            </w:r>
          </w:p>
          <w:p w:rsidR="002A5D84" w:rsidRPr="00A36660" w:rsidRDefault="002A5D84" w:rsidP="00FB19CB">
            <w:pPr>
              <w:keepLines/>
              <w:numPr>
                <w:ilvl w:val="0"/>
                <w:numId w:val="15"/>
              </w:numPr>
              <w:spacing w:before="80" w:line="280" w:lineRule="atLeast"/>
              <w:jc w:val="both"/>
              <w:rPr>
                <w:rFonts w:ascii="Arial" w:hAnsi="Arial"/>
                <w:sz w:val="22"/>
                <w:szCs w:val="20"/>
              </w:rPr>
            </w:pPr>
            <w:r w:rsidRPr="00A36660">
              <w:rPr>
                <w:rFonts w:ascii="Arial" w:hAnsi="Arial"/>
                <w:sz w:val="22"/>
                <w:szCs w:val="20"/>
              </w:rPr>
              <w:t>the majority are located in the Northern Territory, with one</w:t>
            </w:r>
            <w:r w:rsidR="005024F8">
              <w:rPr>
                <w:rFonts w:ascii="Arial" w:hAnsi="Arial"/>
                <w:sz w:val="22"/>
                <w:szCs w:val="20"/>
              </w:rPr>
              <w:t> </w:t>
            </w:r>
            <w:r w:rsidRPr="00A36660">
              <w:rPr>
                <w:rFonts w:ascii="Arial" w:hAnsi="Arial"/>
                <w:sz w:val="22"/>
                <w:szCs w:val="20"/>
              </w:rPr>
              <w:t>in</w:t>
            </w:r>
            <w:r w:rsidR="005024F8">
              <w:rPr>
                <w:rFonts w:ascii="Arial" w:hAnsi="Arial"/>
                <w:sz w:val="22"/>
                <w:szCs w:val="20"/>
              </w:rPr>
              <w:t> </w:t>
            </w:r>
            <w:r w:rsidRPr="00A36660">
              <w:rPr>
                <w:rFonts w:ascii="Arial" w:hAnsi="Arial"/>
                <w:sz w:val="22"/>
                <w:szCs w:val="20"/>
              </w:rPr>
              <w:t>five Northern Territorians over the age of 15 years in receipt of the payment</w:t>
            </w:r>
          </w:p>
          <w:p w:rsidR="002A5D84" w:rsidRPr="00A36660" w:rsidRDefault="002A5D84" w:rsidP="00FB19CB">
            <w:pPr>
              <w:keepLines/>
              <w:numPr>
                <w:ilvl w:val="0"/>
                <w:numId w:val="15"/>
              </w:numPr>
              <w:spacing w:before="80" w:line="280" w:lineRule="atLeast"/>
              <w:jc w:val="both"/>
              <w:rPr>
                <w:rFonts w:ascii="Arial" w:hAnsi="Arial"/>
                <w:sz w:val="22"/>
                <w:szCs w:val="20"/>
              </w:rPr>
            </w:pPr>
            <w:r w:rsidRPr="00A36660">
              <w:rPr>
                <w:rFonts w:ascii="Arial" w:hAnsi="Arial"/>
                <w:sz w:val="22"/>
                <w:szCs w:val="20"/>
              </w:rPr>
              <w:t>half are located within areas of the highest socioeconomic disadvantage</w:t>
            </w:r>
          </w:p>
          <w:p w:rsidR="002A5D84" w:rsidRPr="00A36660" w:rsidRDefault="002A5D84" w:rsidP="00FB19CB">
            <w:pPr>
              <w:keepLines/>
              <w:numPr>
                <w:ilvl w:val="0"/>
                <w:numId w:val="15"/>
              </w:numPr>
              <w:spacing w:before="80" w:line="280" w:lineRule="atLeast"/>
              <w:jc w:val="both"/>
              <w:rPr>
                <w:rFonts w:ascii="Arial" w:hAnsi="Arial"/>
                <w:sz w:val="22"/>
                <w:szCs w:val="20"/>
              </w:rPr>
            </w:pPr>
            <w:r>
              <w:rPr>
                <w:rFonts w:ascii="Arial" w:hAnsi="Arial"/>
                <w:sz w:val="22"/>
                <w:szCs w:val="20"/>
              </w:rPr>
              <w:t>two thirds</w:t>
            </w:r>
            <w:r w:rsidRPr="00A36660">
              <w:rPr>
                <w:rFonts w:ascii="Arial" w:hAnsi="Arial"/>
                <w:sz w:val="22"/>
                <w:szCs w:val="20"/>
              </w:rPr>
              <w:t xml:space="preserve"> of recipients are Indigenous Australians</w:t>
            </w:r>
          </w:p>
          <w:p w:rsidR="002A5D84" w:rsidRPr="00A36660" w:rsidRDefault="002A5D84" w:rsidP="00FB19CB">
            <w:pPr>
              <w:keepNext/>
              <w:keepLines/>
              <w:numPr>
                <w:ilvl w:val="0"/>
                <w:numId w:val="15"/>
              </w:numPr>
              <w:spacing w:before="80" w:line="280" w:lineRule="atLeast"/>
              <w:jc w:val="both"/>
              <w:rPr>
                <w:rFonts w:ascii="Arial" w:hAnsi="Arial"/>
                <w:sz w:val="22"/>
                <w:szCs w:val="20"/>
              </w:rPr>
            </w:pPr>
            <w:r w:rsidRPr="00A36660">
              <w:rPr>
                <w:rFonts w:ascii="Arial" w:hAnsi="Arial"/>
                <w:sz w:val="22"/>
                <w:szCs w:val="20"/>
              </w:rPr>
              <w:t>just over half have been in receipt of an income support payment for over five years.</w:t>
            </w:r>
          </w:p>
        </w:tc>
      </w:tr>
      <w:tr w:rsidR="002A5D84" w:rsidRPr="00A36660"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Pr="00A36660" w:rsidRDefault="002A5D84" w:rsidP="00FB19CB">
            <w:pPr>
              <w:keepNext/>
              <w:keepLines/>
              <w:spacing w:line="120" w:lineRule="exact"/>
              <w:jc w:val="both"/>
              <w:rPr>
                <w:rFonts w:ascii="Arial" w:hAnsi="Arial"/>
                <w:sz w:val="20"/>
                <w:szCs w:val="20"/>
              </w:rPr>
            </w:pPr>
          </w:p>
        </w:tc>
      </w:tr>
      <w:tr w:rsidR="002A5D84" w:rsidRPr="00A36660" w:rsidTr="00FB19CB">
        <w:trPr>
          <w:cantSplit/>
        </w:trPr>
        <w:tc>
          <w:tcPr>
            <w:tcW w:w="5000" w:type="pct"/>
            <w:tcBorders>
              <w:top w:val="single" w:sz="6" w:space="0" w:color="78A22F"/>
              <w:left w:val="nil"/>
              <w:bottom w:val="nil"/>
              <w:right w:val="nil"/>
            </w:tcBorders>
            <w:tcMar>
              <w:left w:w="170" w:type="dxa"/>
              <w:right w:w="170" w:type="dxa"/>
            </w:tcMar>
          </w:tcPr>
          <w:p w:rsidR="002A5D84" w:rsidRPr="00A36660" w:rsidRDefault="002A5D84" w:rsidP="00FB19CB">
            <w:pPr>
              <w:keepLines/>
              <w:spacing w:before="60" w:after="60" w:line="80" w:lineRule="exact"/>
              <w:jc w:val="both"/>
              <w:rPr>
                <w:rFonts w:ascii="Arial" w:hAnsi="Arial"/>
                <w:sz w:val="14"/>
                <w:szCs w:val="20"/>
              </w:rPr>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t>Finding 6.2</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Default="002A5D84" w:rsidP="00FB19CB">
            <w:pPr>
              <w:pStyle w:val="Finding"/>
              <w:keepNext/>
            </w:pPr>
            <w:r>
              <w:t>The unique conjunction of higher costs of living and less ready access to services, together with the restricted geographic mobility found in parts of remote Australia, provide a justification for the remote area allowance. The Commission does not see a broader case for geographically</w:t>
            </w:r>
            <w:r>
              <w:noBreakHyphen/>
              <w:t>based income support payments.</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t>Finding 6.3</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Default="002A5D84" w:rsidP="00FB19CB">
            <w:pPr>
              <w:pStyle w:val="Finding"/>
              <w:keepNext/>
            </w:pPr>
            <w:r>
              <w:t xml:space="preserve">The remote area allowance (RAA) zones do not reflect contemporary definitions of remoteness. </w:t>
            </w:r>
            <w:r w:rsidRPr="00376E49">
              <w:t xml:space="preserve">Zone A is largely based on boundaries drawn in 1945, and special areas are based on town sizes as measured in the 1981 </w:t>
            </w:r>
            <w:r w:rsidR="00901AB4">
              <w:t>census</w:t>
            </w:r>
            <w:r w:rsidRPr="00376E49">
              <w:t>.</w:t>
            </w:r>
          </w:p>
          <w:p w:rsidR="002A5D84" w:rsidRDefault="002A5D84" w:rsidP="00FB19CB">
            <w:pPr>
              <w:pStyle w:val="Finding"/>
              <w:keepNext/>
            </w:pPr>
            <w:r>
              <w:t>RAA payment rates have not been adjusted in almost 20 years. As the RAA (unlike its associated income support payments) is not indexed, the payment rates of the RAA as a share of the primary income support payment have fallen.</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A5D84" w:rsidTr="00FB19CB">
        <w:trPr>
          <w:tblHeader/>
        </w:trPr>
        <w:tc>
          <w:tcPr>
            <w:tcW w:w="5000" w:type="pct"/>
            <w:tcBorders>
              <w:top w:val="single" w:sz="6" w:space="0" w:color="78A22F"/>
              <w:left w:val="nil"/>
              <w:bottom w:val="nil"/>
              <w:right w:val="nil"/>
            </w:tcBorders>
            <w:shd w:val="clear" w:color="auto" w:fill="E5F1D0"/>
            <w:tcMar>
              <w:left w:w="170" w:type="dxa"/>
              <w:right w:w="170" w:type="dxa"/>
            </w:tcMar>
          </w:tcPr>
          <w:p w:rsidR="002A5D84" w:rsidRPr="00CE4C64" w:rsidRDefault="002A5D84" w:rsidP="00FB19CB">
            <w:pPr>
              <w:pStyle w:val="RecTitle"/>
              <w:spacing w:before="120"/>
              <w:rPr>
                <w:noProof/>
              </w:rPr>
            </w:pPr>
            <w:r>
              <w:t xml:space="preserve">Recommendation 6.1 </w:t>
            </w:r>
            <w:r w:rsidRPr="003411E4">
              <w:rPr>
                <w:b/>
              </w:rPr>
              <w:t>ADJUST RAA BOUNDARIES</w:t>
            </w:r>
            <w:r>
              <w:rPr>
                <w:b/>
              </w:rPr>
              <w:t xml:space="preserve"> </w:t>
            </w:r>
          </w:p>
        </w:tc>
      </w:tr>
      <w:tr w:rsidR="002A5D84" w:rsidRPr="00750BE2" w:rsidTr="00FB19CB">
        <w:tc>
          <w:tcPr>
            <w:tcW w:w="5000" w:type="pct"/>
            <w:tcBorders>
              <w:top w:val="nil"/>
              <w:left w:val="nil"/>
              <w:bottom w:val="nil"/>
              <w:right w:val="nil"/>
            </w:tcBorders>
            <w:shd w:val="clear" w:color="auto" w:fill="E5F1D0"/>
            <w:tcMar>
              <w:left w:w="170" w:type="dxa"/>
              <w:right w:w="170" w:type="dxa"/>
            </w:tcMar>
          </w:tcPr>
          <w:p w:rsidR="002A5D84" w:rsidRDefault="002A5D84" w:rsidP="00FB19CB">
            <w:pPr>
              <w:pStyle w:val="Rec"/>
              <w:keepNext/>
            </w:pPr>
            <w:r>
              <w:t xml:space="preserve">The Australian Government should revise section 14 of the </w:t>
            </w:r>
            <w:r w:rsidRPr="00C325DB">
              <w:rPr>
                <w:i/>
              </w:rPr>
              <w:t>Social Security Act 1991</w:t>
            </w:r>
            <w:r w:rsidRPr="00C325DB">
              <w:t xml:space="preserve"> (Cth)</w:t>
            </w:r>
            <w:r>
              <w:t xml:space="preserve"> to align the remote area allowance geographical boundaries with </w:t>
            </w:r>
            <w:r w:rsidRPr="00C07D61">
              <w:rPr>
                <w:i/>
              </w:rPr>
              <w:t>very remote</w:t>
            </w:r>
            <w:r>
              <w:t xml:space="preserve"> areas, as defined by the Australian Bureau of Statistics.</w:t>
            </w:r>
          </w:p>
        </w:tc>
      </w:tr>
      <w:tr w:rsidR="002A5D84" w:rsidTr="00FB19CB">
        <w:tc>
          <w:tcPr>
            <w:tcW w:w="5000" w:type="pct"/>
            <w:tcBorders>
              <w:top w:val="nil"/>
              <w:left w:val="nil"/>
              <w:bottom w:val="single" w:sz="6" w:space="0" w:color="78A22F"/>
              <w:right w:val="nil"/>
            </w:tcBorders>
            <w:shd w:val="clear" w:color="auto" w:fill="E5F1D0"/>
            <w:tcMar>
              <w:left w:w="170" w:type="dxa"/>
              <w:right w:w="170" w:type="dxa"/>
            </w:tcMar>
          </w:tcPr>
          <w:p w:rsidR="002A5D84" w:rsidRDefault="002A5D84" w:rsidP="00FB19CB">
            <w:pPr>
              <w:pStyle w:val="Space"/>
              <w:keepLines/>
            </w:pPr>
          </w:p>
        </w:tc>
      </w:tr>
      <w:tr w:rsidR="002A5D84" w:rsidRPr="000863A5" w:rsidTr="00FB19CB">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A5D84" w:rsidTr="00FB19CB">
        <w:trPr>
          <w:tblHeader/>
        </w:trPr>
        <w:tc>
          <w:tcPr>
            <w:tcW w:w="5000" w:type="pct"/>
            <w:tcBorders>
              <w:top w:val="single" w:sz="6" w:space="0" w:color="78A22F"/>
              <w:left w:val="nil"/>
              <w:bottom w:val="nil"/>
              <w:right w:val="nil"/>
            </w:tcBorders>
            <w:shd w:val="clear" w:color="auto" w:fill="E5F1D0"/>
            <w:tcMar>
              <w:left w:w="170" w:type="dxa"/>
              <w:right w:w="170" w:type="dxa"/>
            </w:tcMar>
          </w:tcPr>
          <w:p w:rsidR="002A5D84" w:rsidRPr="00CE4C64" w:rsidRDefault="002A5D84" w:rsidP="00FB19CB">
            <w:pPr>
              <w:pStyle w:val="RecTitle"/>
              <w:spacing w:before="120"/>
              <w:rPr>
                <w:noProof/>
              </w:rPr>
            </w:pPr>
            <w:r>
              <w:t xml:space="preserve">Recommendation 6.2 </w:t>
            </w:r>
            <w:r w:rsidRPr="008604D8">
              <w:rPr>
                <w:b/>
              </w:rPr>
              <w:t>REVI</w:t>
            </w:r>
            <w:r>
              <w:rPr>
                <w:b/>
              </w:rPr>
              <w:t xml:space="preserve">se </w:t>
            </w:r>
            <w:r w:rsidRPr="003411E4">
              <w:rPr>
                <w:b/>
              </w:rPr>
              <w:t>RAA</w:t>
            </w:r>
            <w:r>
              <w:rPr>
                <w:b/>
              </w:rPr>
              <w:t xml:space="preserve"> payment rates</w:t>
            </w:r>
          </w:p>
        </w:tc>
      </w:tr>
      <w:tr w:rsidR="002A5D84" w:rsidRPr="00750BE2" w:rsidTr="00FB19CB">
        <w:tc>
          <w:tcPr>
            <w:tcW w:w="5000" w:type="pct"/>
            <w:tcBorders>
              <w:top w:val="nil"/>
              <w:left w:val="nil"/>
              <w:bottom w:val="nil"/>
              <w:right w:val="nil"/>
            </w:tcBorders>
            <w:shd w:val="clear" w:color="auto" w:fill="E5F1D0"/>
            <w:tcMar>
              <w:left w:w="170" w:type="dxa"/>
              <w:right w:w="170" w:type="dxa"/>
            </w:tcMar>
          </w:tcPr>
          <w:p w:rsidR="002A5D84" w:rsidRPr="00C80AEC" w:rsidRDefault="002A5D84" w:rsidP="00FB19CB">
            <w:pPr>
              <w:pStyle w:val="Rec"/>
              <w:keepNext/>
            </w:pPr>
            <w:r>
              <w:t xml:space="preserve">The Australian Government should </w:t>
            </w:r>
            <w:r w:rsidRPr="00C80AEC">
              <w:t>initiate a process to set new</w:t>
            </w:r>
            <w:r>
              <w:t xml:space="preserve"> payment rates for the remote area allowance (RAA). R</w:t>
            </w:r>
            <w:r w:rsidRPr="00C80AEC">
              <w:t>evision to payment rates</w:t>
            </w:r>
            <w:r>
              <w:t xml:space="preserve"> should be guided by the following considerations:</w:t>
            </w:r>
          </w:p>
          <w:p w:rsidR="002A5D84" w:rsidRDefault="002A5D84" w:rsidP="00FB19CB">
            <w:pPr>
              <w:pStyle w:val="RecBullet"/>
            </w:pPr>
            <w:r>
              <w:t xml:space="preserve">coherence between </w:t>
            </w:r>
            <w:r w:rsidRPr="00C80AEC">
              <w:t>the RAA</w:t>
            </w:r>
            <w:r w:rsidRPr="00D65879">
              <w:t xml:space="preserve"> </w:t>
            </w:r>
            <w:r>
              <w:t>and</w:t>
            </w:r>
            <w:r w:rsidRPr="00D65879">
              <w:t xml:space="preserve"> th</w:t>
            </w:r>
            <w:r w:rsidR="000E3F65">
              <w:t>e broader income support system</w:t>
            </w:r>
          </w:p>
          <w:p w:rsidR="002A5D84" w:rsidRDefault="002A5D84" w:rsidP="00FB19CB">
            <w:pPr>
              <w:pStyle w:val="RecBullet"/>
            </w:pPr>
            <w:r>
              <w:t>disincentives to work that the RAA could engender</w:t>
            </w:r>
          </w:p>
          <w:p w:rsidR="002A5D84" w:rsidRDefault="002A5D84" w:rsidP="00FB19CB">
            <w:pPr>
              <w:pStyle w:val="RecBullet"/>
            </w:pPr>
            <w:r>
              <w:t>an appropriate trade</w:t>
            </w:r>
            <w:r>
              <w:noBreakHyphen/>
              <w:t>off between the adequacy of payment rates and the forgone benefits from spending on other priorities</w:t>
            </w:r>
          </w:p>
          <w:p w:rsidR="002A5D84" w:rsidRDefault="002A5D84" w:rsidP="00FB19CB">
            <w:pPr>
              <w:pStyle w:val="RecBullet"/>
            </w:pPr>
            <w:r>
              <w:t xml:space="preserve">the impact of </w:t>
            </w:r>
            <w:r w:rsidRPr="00420FAF">
              <w:t xml:space="preserve">technological and economic advances </w:t>
            </w:r>
            <w:r>
              <w:t>on life</w:t>
            </w:r>
            <w:r w:rsidRPr="00420FAF">
              <w:t xml:space="preserve"> in remote Australia</w:t>
            </w:r>
            <w:r>
              <w:t>.</w:t>
            </w:r>
          </w:p>
        </w:tc>
      </w:tr>
      <w:tr w:rsidR="002A5D84" w:rsidTr="00FB19CB">
        <w:tc>
          <w:tcPr>
            <w:tcW w:w="5000" w:type="pct"/>
            <w:tcBorders>
              <w:top w:val="nil"/>
              <w:left w:val="nil"/>
              <w:bottom w:val="single" w:sz="6" w:space="0" w:color="78A22F"/>
              <w:right w:val="nil"/>
            </w:tcBorders>
            <w:shd w:val="clear" w:color="auto" w:fill="E5F1D0"/>
            <w:tcMar>
              <w:left w:w="170" w:type="dxa"/>
              <w:right w:w="170" w:type="dxa"/>
            </w:tcMar>
          </w:tcPr>
          <w:p w:rsidR="002A5D84" w:rsidRDefault="002A5D84" w:rsidP="00FB19CB">
            <w:pPr>
              <w:pStyle w:val="Space"/>
              <w:keepLines/>
            </w:pPr>
          </w:p>
        </w:tc>
      </w:tr>
      <w:tr w:rsidR="002A5D84" w:rsidRPr="000863A5" w:rsidTr="00FB19CB">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Default="002A5D84" w:rsidP="00FB19CB">
      <w:pPr>
        <w:pStyle w:val="Heading2"/>
      </w:pPr>
      <w:r>
        <w:t>Fringe benefits tax remote area concessions</w:t>
      </w:r>
    </w:p>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t>Finding 7.1</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Default="002A5D84" w:rsidP="00FB19CB">
            <w:pPr>
              <w:pStyle w:val="Finding"/>
            </w:pPr>
            <w:r>
              <w:t>The use of fringe benefits tax (FBT) remote area concessions varies.</w:t>
            </w:r>
          </w:p>
          <w:p w:rsidR="002A5D84" w:rsidRPr="00D35A9E" w:rsidRDefault="002A5D84" w:rsidP="00FB19CB">
            <w:pPr>
              <w:pStyle w:val="RecBullet"/>
            </w:pPr>
            <w:r>
              <w:t>The exemption</w:t>
            </w:r>
            <w:r w:rsidRPr="00D35A9E">
              <w:t xml:space="preserve"> </w:t>
            </w:r>
            <w:r>
              <w:t>for employer</w:t>
            </w:r>
            <w:r>
              <w:noBreakHyphen/>
              <w:t>provided housing</w:t>
            </w:r>
            <w:r w:rsidRPr="00D35A9E">
              <w:t xml:space="preserve"> </w:t>
            </w:r>
            <w:r>
              <w:t xml:space="preserve">(used as a </w:t>
            </w:r>
            <w:r w:rsidRPr="00D35A9E">
              <w:t>usual place of residence</w:t>
            </w:r>
            <w:r>
              <w:t>)</w:t>
            </w:r>
            <w:r w:rsidRPr="00D35A9E">
              <w:t xml:space="preserve"> can </w:t>
            </w:r>
            <w:r w:rsidRPr="00D35A9E" w:rsidDel="00E3172C">
              <w:t xml:space="preserve">provide </w:t>
            </w:r>
            <w:r w:rsidRPr="00D35A9E">
              <w:t xml:space="preserve">significant </w:t>
            </w:r>
            <w:r>
              <w:t>tax savings</w:t>
            </w:r>
            <w:r w:rsidRPr="00D35A9E">
              <w:t xml:space="preserve"> </w:t>
            </w:r>
            <w:r w:rsidRPr="00D35A9E" w:rsidDel="00E3172C">
              <w:t>at the employee level</w:t>
            </w:r>
            <w:r>
              <w:t xml:space="preserve">, particularly for </w:t>
            </w:r>
            <w:r w:rsidRPr="00D35A9E">
              <w:t>higher</w:t>
            </w:r>
            <w:r w:rsidRPr="00D35A9E">
              <w:noBreakHyphen/>
              <w:t>income employees</w:t>
            </w:r>
            <w:r>
              <w:t>, and</w:t>
            </w:r>
            <w:r w:rsidRPr="00D35A9E">
              <w:t xml:space="preserve"> could </w:t>
            </w:r>
            <w:r>
              <w:t>cost</w:t>
            </w:r>
            <w:r w:rsidRPr="00D35A9E">
              <w:t xml:space="preserve"> as much as $</w:t>
            </w:r>
            <w:r>
              <w:t>390 </w:t>
            </w:r>
            <w:r w:rsidRPr="00D35A9E">
              <w:t xml:space="preserve">million per year in forgone </w:t>
            </w:r>
            <w:r>
              <w:t>FBT</w:t>
            </w:r>
            <w:r w:rsidRPr="00D35A9E">
              <w:t xml:space="preserve"> revenue </w:t>
            </w:r>
            <w:r>
              <w:t>nationally</w:t>
            </w:r>
            <w:r w:rsidRPr="00D35A9E">
              <w:t xml:space="preserve">. Usage is concentrated in certain areas </w:t>
            </w:r>
            <w:r>
              <w:t xml:space="preserve">— </w:t>
            </w:r>
            <w:r w:rsidRPr="00D35A9E">
              <w:t xml:space="preserve">such as </w:t>
            </w:r>
            <w:r>
              <w:t xml:space="preserve">the </w:t>
            </w:r>
            <w:r w:rsidRPr="00D35A9E">
              <w:t>Pilbara</w:t>
            </w:r>
            <w:r>
              <w:t xml:space="preserve"> in Western Australia, and the</w:t>
            </w:r>
            <w:r w:rsidRPr="00D35A9E">
              <w:t xml:space="preserve"> </w:t>
            </w:r>
            <w:r>
              <w:t xml:space="preserve">Bowen Basin and </w:t>
            </w:r>
            <w:r w:rsidRPr="00D35A9E">
              <w:t xml:space="preserve">Central </w:t>
            </w:r>
            <w:r>
              <w:t>Highlands in Queensland —</w:t>
            </w:r>
            <w:r w:rsidRPr="00D35A9E">
              <w:t xml:space="preserve"> and </w:t>
            </w:r>
            <w:r>
              <w:t xml:space="preserve">in </w:t>
            </w:r>
            <w:r w:rsidRPr="00D35A9E">
              <w:t>industries such as mining, agriculture, and public services (including hospitals, police, and local government).</w:t>
            </w:r>
          </w:p>
          <w:p w:rsidR="002A5D84" w:rsidRDefault="002A5D84" w:rsidP="00FB19CB">
            <w:pPr>
              <w:pStyle w:val="FindingBullet"/>
            </w:pPr>
            <w:r>
              <w:t>The partial concessions on employee</w:t>
            </w:r>
            <w:r>
              <w:noBreakHyphen/>
              <w:t>sourced housing are narrowly used. The partial concessions are less generous than the full exemption on employer</w:t>
            </w:r>
            <w:r>
              <w:noBreakHyphen/>
              <w:t>provided housing, and the compliance burdens are higher.</w:t>
            </w:r>
          </w:p>
          <w:p w:rsidR="002A5D84" w:rsidRDefault="002A5D84" w:rsidP="00FB19CB">
            <w:pPr>
              <w:pStyle w:val="FindingBullet"/>
            </w:pPr>
            <w:r>
              <w:t xml:space="preserve">Use of other FBT remote area concessions (on residential fuel, meals for primary production employees and holiday transport) is minimal, in part because they provide </w:t>
            </w:r>
            <w:r w:rsidRPr="009E07C3">
              <w:t>limited</w:t>
            </w:r>
            <w:r>
              <w:t xml:space="preserve"> tax savings and are overly complex with high compliance costs.</w:t>
            </w:r>
          </w:p>
          <w:p w:rsidR="002A5D84" w:rsidRDefault="002A5D84" w:rsidP="00FB19CB">
            <w:pPr>
              <w:pStyle w:val="FindingBullet"/>
            </w:pPr>
            <w:r w:rsidRPr="000D71FE">
              <w:t xml:space="preserve">FBT concessions for </w:t>
            </w:r>
            <w:r>
              <w:t>fly</w:t>
            </w:r>
            <w:r>
              <w:noBreakHyphen/>
              <w:t>in fly</w:t>
            </w:r>
            <w:r>
              <w:noBreakHyphen/>
              <w:t xml:space="preserve">out </w:t>
            </w:r>
            <w:r w:rsidRPr="000D71FE">
              <w:t>workers</w:t>
            </w:r>
            <w:r>
              <w:t>, while widely used,</w:t>
            </w:r>
            <w:r w:rsidRPr="000D71FE">
              <w:t xml:space="preserve"> are likely to have only a minor influence on decisions to </w:t>
            </w:r>
            <w:r>
              <w:t>maintain</w:t>
            </w:r>
            <w:r w:rsidRPr="000D71FE">
              <w:t xml:space="preserve"> a </w:t>
            </w:r>
            <w:r>
              <w:t>fly</w:t>
            </w:r>
            <w:r>
              <w:noBreakHyphen/>
              <w:t>in fly</w:t>
            </w:r>
            <w:r>
              <w:noBreakHyphen/>
              <w:t>out</w:t>
            </w:r>
            <w:r w:rsidRPr="000D71FE">
              <w:t xml:space="preserve"> workforce.</w:t>
            </w: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rsidP="00FB19CB">
            <w:pPr>
              <w:pStyle w:val="FindingTitle"/>
              <w:spacing w:before="120"/>
              <w:rPr>
                <w:noProof/>
              </w:rPr>
            </w:pPr>
            <w:r>
              <w:t>Finding 7.2</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Default="002A5D84">
            <w:pPr>
              <w:pStyle w:val="Finding"/>
              <w:keepNext/>
            </w:pPr>
            <w:r>
              <w:t>Fringe benefits tax (FBT) remote area concessions help to address inequities inherent in the FBT regime, but the current concessions are not fit for purpose — they are overly generous and complex. This creates other inequities, including</w:t>
            </w:r>
            <w:r w:rsidRPr="00240100">
              <w:t xml:space="preserve"> artificial cost advantages for some businesses </w:t>
            </w:r>
            <w:r>
              <w:t>which</w:t>
            </w:r>
            <w:r w:rsidRPr="00240100">
              <w:t>, in turn, encourage inefficient investment</w:t>
            </w:r>
            <w:r>
              <w:t xml:space="preserve">. </w:t>
            </w:r>
          </w:p>
          <w:p w:rsidR="002A5D84" w:rsidRDefault="002A5D84">
            <w:pPr>
              <w:pStyle w:val="Finding"/>
              <w:keepNext/>
            </w:pPr>
            <w:r>
              <w:t>Simultaneously trying to address inequities in the FBT regime and pursuing regional assistance goals has meant that the concessions have been poorly targeted to both objectives, which are better addressed separately.</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A5D84" w:rsidTr="00FB19CB">
        <w:trPr>
          <w:tblHeader/>
        </w:trPr>
        <w:tc>
          <w:tcPr>
            <w:tcW w:w="5000" w:type="pct"/>
            <w:tcBorders>
              <w:top w:val="single" w:sz="6" w:space="0" w:color="78A22F"/>
              <w:left w:val="nil"/>
              <w:bottom w:val="nil"/>
              <w:right w:val="nil"/>
            </w:tcBorders>
            <w:shd w:val="clear" w:color="auto" w:fill="E5F1D0"/>
            <w:tcMar>
              <w:left w:w="170" w:type="dxa"/>
              <w:right w:w="170" w:type="dxa"/>
            </w:tcMar>
          </w:tcPr>
          <w:p w:rsidR="002A5D84" w:rsidRPr="00CE4C64" w:rsidRDefault="002A5D84" w:rsidP="00FB19CB">
            <w:pPr>
              <w:pStyle w:val="RecTitle"/>
              <w:spacing w:before="120"/>
              <w:rPr>
                <w:noProof/>
              </w:rPr>
            </w:pPr>
            <w:r>
              <w:t xml:space="preserve">Recommendation 8.1 </w:t>
            </w:r>
            <w:r w:rsidRPr="003411E4">
              <w:rPr>
                <w:b/>
              </w:rPr>
              <w:t>TIGHTEN tAX TREATMENT of employer</w:t>
            </w:r>
            <w:r>
              <w:rPr>
                <w:b/>
              </w:rPr>
              <w:noBreakHyphen/>
            </w:r>
            <w:r w:rsidRPr="003411E4">
              <w:rPr>
                <w:b/>
              </w:rPr>
              <w:t>provided housing</w:t>
            </w:r>
          </w:p>
        </w:tc>
      </w:tr>
      <w:tr w:rsidR="002A5D84" w:rsidRPr="00750BE2" w:rsidTr="00FB19CB">
        <w:tc>
          <w:tcPr>
            <w:tcW w:w="5000" w:type="pct"/>
            <w:tcBorders>
              <w:top w:val="nil"/>
              <w:left w:val="nil"/>
              <w:bottom w:val="nil"/>
              <w:right w:val="nil"/>
            </w:tcBorders>
            <w:shd w:val="clear" w:color="auto" w:fill="E5F1D0"/>
            <w:tcMar>
              <w:left w:w="170" w:type="dxa"/>
              <w:right w:w="170" w:type="dxa"/>
            </w:tcMar>
          </w:tcPr>
          <w:p w:rsidR="002A5D84" w:rsidRDefault="002A5D84" w:rsidP="00FB19CB">
            <w:pPr>
              <w:pStyle w:val="Rec"/>
              <w:keepNext/>
            </w:pPr>
            <w:r>
              <w:t xml:space="preserve">The Australian Government should amend the </w:t>
            </w:r>
            <w:r w:rsidRPr="00F2131C">
              <w:rPr>
                <w:i/>
              </w:rPr>
              <w:t>Fringe Benefits Tax Assessment Act 1986</w:t>
            </w:r>
            <w:r>
              <w:rPr>
                <w:i/>
              </w:rPr>
              <w:t xml:space="preserve"> </w:t>
            </w:r>
            <w:r w:rsidRPr="00F2131C">
              <w:t>(Cth)</w:t>
            </w:r>
            <w:r>
              <w:t xml:space="preserve"> to change the tax treatment of employer</w:t>
            </w:r>
            <w:r>
              <w:noBreakHyphen/>
              <w:t>provided housing. Specifically, it should:</w:t>
            </w:r>
          </w:p>
          <w:p w:rsidR="002A5D84" w:rsidRDefault="002A5D84" w:rsidP="00FB19CB">
            <w:pPr>
              <w:pStyle w:val="RecBullet"/>
            </w:pPr>
            <w:r>
              <w:t>replace the exemption for employer</w:t>
            </w:r>
            <w:r>
              <w:noBreakHyphen/>
              <w:t>provided housing (section 58ZC) with a 50 per cent concession (as it was prior to 2000)</w:t>
            </w:r>
          </w:p>
          <w:p w:rsidR="002A5D84" w:rsidRDefault="002A5D84" w:rsidP="00FB19CB">
            <w:pPr>
              <w:pStyle w:val="RecBullet"/>
            </w:pPr>
            <w:r>
              <w:t xml:space="preserve">remove the provision that enables employers to claim the concession because it is ‘customary’ to provide housing (section 58ZC(2)(d)(iii)) </w:t>
            </w:r>
          </w:p>
          <w:p w:rsidR="002A5D84" w:rsidRDefault="002A5D84" w:rsidP="00FB19CB">
            <w:pPr>
              <w:pStyle w:val="RecBullet"/>
            </w:pPr>
            <w:r>
              <w:t>remove the provision that extends the concession to additional areas for ‘certain regional employers’ (section 140(1A)).</w:t>
            </w:r>
          </w:p>
          <w:p w:rsidR="002A5D84" w:rsidRDefault="002A5D84" w:rsidP="00FB19CB">
            <w:pPr>
              <w:pStyle w:val="Rec"/>
            </w:pPr>
            <w:r>
              <w:t>The Australian Government should direct the Australian Taxation Office to collect data on use of the concession. To limit compliance burdens, the Australian Government should develop simplified valuation methodologies for employer</w:t>
            </w:r>
            <w:r>
              <w:noBreakHyphen/>
              <w:t>provided housing.</w:t>
            </w:r>
          </w:p>
        </w:tc>
      </w:tr>
      <w:tr w:rsidR="002A5D84" w:rsidTr="00FB19CB">
        <w:tc>
          <w:tcPr>
            <w:tcW w:w="5000" w:type="pct"/>
            <w:tcBorders>
              <w:top w:val="nil"/>
              <w:left w:val="nil"/>
              <w:bottom w:val="single" w:sz="6" w:space="0" w:color="78A22F"/>
              <w:right w:val="nil"/>
            </w:tcBorders>
            <w:shd w:val="clear" w:color="auto" w:fill="E5F1D0"/>
            <w:tcMar>
              <w:left w:w="170" w:type="dxa"/>
              <w:right w:w="170" w:type="dxa"/>
            </w:tcMar>
          </w:tcPr>
          <w:p w:rsidR="002A5D84" w:rsidRDefault="002A5D84" w:rsidP="00FB19CB">
            <w:pPr>
              <w:pStyle w:val="Space"/>
              <w:keepLines/>
            </w:pPr>
          </w:p>
        </w:tc>
      </w:tr>
      <w:tr w:rsidR="002A5D84" w:rsidRPr="000863A5" w:rsidTr="00FB19CB">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A5D84" w:rsidTr="00FB19CB">
        <w:trPr>
          <w:tblHeader/>
        </w:trPr>
        <w:tc>
          <w:tcPr>
            <w:tcW w:w="5000" w:type="pct"/>
            <w:tcBorders>
              <w:top w:val="single" w:sz="6" w:space="0" w:color="78A22F"/>
              <w:left w:val="nil"/>
              <w:bottom w:val="nil"/>
              <w:right w:val="nil"/>
            </w:tcBorders>
            <w:shd w:val="clear" w:color="auto" w:fill="E5F1D0"/>
            <w:tcMar>
              <w:left w:w="170" w:type="dxa"/>
              <w:right w:w="170" w:type="dxa"/>
            </w:tcMar>
          </w:tcPr>
          <w:p w:rsidR="002A5D84" w:rsidRPr="00CE4C64" w:rsidRDefault="002A5D84" w:rsidP="00FB19CB">
            <w:pPr>
              <w:pStyle w:val="RecTitle"/>
              <w:spacing w:before="120"/>
              <w:rPr>
                <w:noProof/>
              </w:rPr>
            </w:pPr>
            <w:r>
              <w:t xml:space="preserve">Recommendation 8.2 </w:t>
            </w:r>
            <w:r w:rsidRPr="003411E4">
              <w:rPr>
                <w:b/>
              </w:rPr>
              <w:t xml:space="preserve">remove </w:t>
            </w:r>
            <w:r>
              <w:rPr>
                <w:b/>
              </w:rPr>
              <w:t xml:space="preserve">THE </w:t>
            </w:r>
            <w:r w:rsidRPr="003411E4">
              <w:rPr>
                <w:b/>
              </w:rPr>
              <w:t>concession</w:t>
            </w:r>
            <w:r>
              <w:rPr>
                <w:b/>
              </w:rPr>
              <w:t>s</w:t>
            </w:r>
            <w:r w:rsidRPr="003411E4">
              <w:rPr>
                <w:b/>
              </w:rPr>
              <w:t xml:space="preserve"> for employee</w:t>
            </w:r>
            <w:r>
              <w:rPr>
                <w:b/>
              </w:rPr>
              <w:noBreakHyphen/>
            </w:r>
            <w:r w:rsidRPr="003411E4">
              <w:rPr>
                <w:b/>
              </w:rPr>
              <w:t>sourced housing</w:t>
            </w:r>
          </w:p>
        </w:tc>
      </w:tr>
      <w:tr w:rsidR="002A5D84" w:rsidRPr="00750BE2" w:rsidTr="00FB19CB">
        <w:tc>
          <w:tcPr>
            <w:tcW w:w="5000" w:type="pct"/>
            <w:tcBorders>
              <w:top w:val="nil"/>
              <w:left w:val="nil"/>
              <w:bottom w:val="nil"/>
              <w:right w:val="nil"/>
            </w:tcBorders>
            <w:shd w:val="clear" w:color="auto" w:fill="E5F1D0"/>
            <w:tcMar>
              <w:left w:w="170" w:type="dxa"/>
              <w:right w:w="170" w:type="dxa"/>
            </w:tcMar>
          </w:tcPr>
          <w:p w:rsidR="002A5D84" w:rsidRDefault="002A5D84" w:rsidP="00FB19CB">
            <w:pPr>
              <w:pStyle w:val="Rec"/>
              <w:keepNext/>
            </w:pPr>
            <w:r>
              <w:t xml:space="preserve">The Australian Government should amend the </w:t>
            </w:r>
            <w:r w:rsidRPr="00F2131C">
              <w:rPr>
                <w:i/>
              </w:rPr>
              <w:t xml:space="preserve">Fringe Benefits Tax Assessment Act </w:t>
            </w:r>
            <w:r>
              <w:rPr>
                <w:i/>
              </w:rPr>
              <w:t xml:space="preserve">1986 </w:t>
            </w:r>
            <w:r w:rsidRPr="00F65C46">
              <w:t>(Cth)</w:t>
            </w:r>
            <w:r>
              <w:t xml:space="preserve"> to remove the concessions on employee</w:t>
            </w:r>
            <w:r>
              <w:noBreakHyphen/>
              <w:t>sourced housing (section 60 and Divisions 14A and 14B).</w:t>
            </w:r>
          </w:p>
        </w:tc>
      </w:tr>
      <w:tr w:rsidR="002A5D84" w:rsidTr="00FB19CB">
        <w:tc>
          <w:tcPr>
            <w:tcW w:w="5000" w:type="pct"/>
            <w:tcBorders>
              <w:top w:val="nil"/>
              <w:left w:val="nil"/>
              <w:bottom w:val="single" w:sz="6" w:space="0" w:color="78A22F"/>
              <w:right w:val="nil"/>
            </w:tcBorders>
            <w:shd w:val="clear" w:color="auto" w:fill="E5F1D0"/>
            <w:tcMar>
              <w:left w:w="170" w:type="dxa"/>
              <w:right w:w="170" w:type="dxa"/>
            </w:tcMar>
          </w:tcPr>
          <w:p w:rsidR="002A5D84" w:rsidRDefault="002A5D84" w:rsidP="00FB19CB">
            <w:pPr>
              <w:pStyle w:val="Space"/>
              <w:keepLines/>
            </w:pPr>
          </w:p>
        </w:tc>
      </w:tr>
      <w:tr w:rsidR="002A5D84" w:rsidRPr="000863A5" w:rsidTr="00FB19CB">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A5D84" w:rsidTr="00FB19CB">
        <w:trPr>
          <w:tblHeader/>
        </w:trPr>
        <w:tc>
          <w:tcPr>
            <w:tcW w:w="5000" w:type="pct"/>
            <w:tcBorders>
              <w:top w:val="single" w:sz="6" w:space="0" w:color="78A22F"/>
              <w:left w:val="nil"/>
              <w:bottom w:val="nil"/>
              <w:right w:val="nil"/>
            </w:tcBorders>
            <w:shd w:val="clear" w:color="auto" w:fill="E5F1D0"/>
            <w:tcMar>
              <w:left w:w="170" w:type="dxa"/>
              <w:right w:w="170" w:type="dxa"/>
            </w:tcMar>
          </w:tcPr>
          <w:p w:rsidR="002A5D84" w:rsidRPr="00CE4C64" w:rsidRDefault="002A5D84" w:rsidP="00FB19CB">
            <w:pPr>
              <w:pStyle w:val="RecTitle"/>
              <w:spacing w:before="120"/>
              <w:rPr>
                <w:noProof/>
              </w:rPr>
            </w:pPr>
            <w:r>
              <w:t xml:space="preserve">Recommendation 8.3 </w:t>
            </w:r>
            <w:r w:rsidRPr="003411E4">
              <w:rPr>
                <w:b/>
              </w:rPr>
              <w:t>TIGHTEN tax treatment of other goods and services</w:t>
            </w:r>
          </w:p>
        </w:tc>
      </w:tr>
      <w:tr w:rsidR="002A5D84" w:rsidRPr="00750BE2" w:rsidTr="00FB19CB">
        <w:tc>
          <w:tcPr>
            <w:tcW w:w="5000" w:type="pct"/>
            <w:tcBorders>
              <w:top w:val="nil"/>
              <w:left w:val="nil"/>
              <w:bottom w:val="nil"/>
              <w:right w:val="nil"/>
            </w:tcBorders>
            <w:shd w:val="clear" w:color="auto" w:fill="E5F1D0"/>
            <w:tcMar>
              <w:left w:w="170" w:type="dxa"/>
              <w:right w:w="170" w:type="dxa"/>
            </w:tcMar>
          </w:tcPr>
          <w:p w:rsidR="002A5D84" w:rsidRDefault="002A5D84" w:rsidP="00FB19CB">
            <w:pPr>
              <w:pStyle w:val="Rec"/>
              <w:keepNext/>
            </w:pPr>
            <w:r>
              <w:t>The Australian Government should amend the</w:t>
            </w:r>
            <w:r w:rsidRPr="00F2131C">
              <w:rPr>
                <w:i/>
              </w:rPr>
              <w:t xml:space="preserve"> Fringe Benefits Tax Assessment Act 1986</w:t>
            </w:r>
            <w:r>
              <w:rPr>
                <w:i/>
              </w:rPr>
              <w:t xml:space="preserve"> </w:t>
            </w:r>
            <w:r w:rsidRPr="00F2131C">
              <w:t>(Cth)</w:t>
            </w:r>
            <w:r>
              <w:t xml:space="preserve"> to change the tax treatment of residential fuel, meals for primary production employees, and holiday transport provided by employers in remote areas. </w:t>
            </w:r>
            <w:r w:rsidDel="00D43ABC">
              <w:t>Specifically</w:t>
            </w:r>
            <w:r>
              <w:t>, it should:</w:t>
            </w:r>
          </w:p>
          <w:p w:rsidR="002A5D84" w:rsidRDefault="002A5D84" w:rsidP="00FB19CB">
            <w:pPr>
              <w:pStyle w:val="RecBullet"/>
            </w:pPr>
            <w:r>
              <w:t>limit access to the residential fuel concession for use in conjunction with employer</w:t>
            </w:r>
            <w:r>
              <w:noBreakHyphen/>
              <w:t>provided housing (section 59(1)) to instances where there is an operational requirement for the employer to provide residential fuel</w:t>
            </w:r>
          </w:p>
          <w:p w:rsidR="002A5D84" w:rsidRDefault="002A5D84" w:rsidP="00FB19CB">
            <w:pPr>
              <w:pStyle w:val="RecBullet"/>
            </w:pPr>
            <w:r>
              <w:t>remove the residential fuel concession for use in conjunction with employee</w:t>
            </w:r>
            <w:r>
              <w:noBreakHyphen/>
              <w:t>sourced housing (section 59(2) and (3))</w:t>
            </w:r>
          </w:p>
          <w:p w:rsidR="002A5D84" w:rsidRDefault="002A5D84" w:rsidP="00FB19CB">
            <w:pPr>
              <w:pStyle w:val="RecBullet"/>
            </w:pPr>
            <w:r>
              <w:t>limit access to the exemption that currently applies to meals for primary production employees (section 58ZD) to instances where there is an operational requirement for the employer to provide these meals</w:t>
            </w:r>
          </w:p>
          <w:p w:rsidR="002A5D84" w:rsidRDefault="002A5D84" w:rsidP="00FB19CB">
            <w:pPr>
              <w:pStyle w:val="RecBullet"/>
            </w:pPr>
            <w:r>
              <w:t>remove the definition limiting the exemption to meals ‘ready for consumption’,</w:t>
            </w:r>
            <w:r w:rsidRPr="00E72350">
              <w:t xml:space="preserve"> </w:t>
            </w:r>
            <w:r>
              <w:t xml:space="preserve">as it leads to ambiguity and difficulty in implementation </w:t>
            </w:r>
          </w:p>
          <w:p w:rsidR="002A5D84" w:rsidRDefault="002A5D84" w:rsidP="00FB19CB">
            <w:pPr>
              <w:pStyle w:val="RecBullet"/>
            </w:pPr>
            <w:r>
              <w:t>remove the holiday transport concession (section 60A and section 61).</w:t>
            </w:r>
          </w:p>
        </w:tc>
      </w:tr>
      <w:tr w:rsidR="002A5D84" w:rsidTr="00FB19CB">
        <w:tc>
          <w:tcPr>
            <w:tcW w:w="5000" w:type="pct"/>
            <w:tcBorders>
              <w:top w:val="nil"/>
              <w:left w:val="nil"/>
              <w:bottom w:val="single" w:sz="6" w:space="0" w:color="78A22F"/>
              <w:right w:val="nil"/>
            </w:tcBorders>
            <w:shd w:val="clear" w:color="auto" w:fill="E5F1D0"/>
            <w:tcMar>
              <w:left w:w="170" w:type="dxa"/>
              <w:right w:w="170" w:type="dxa"/>
            </w:tcMar>
          </w:tcPr>
          <w:p w:rsidR="002A5D84" w:rsidRDefault="002A5D84" w:rsidP="00FB19CB">
            <w:pPr>
              <w:pStyle w:val="Space"/>
              <w:keepLines/>
            </w:pPr>
          </w:p>
        </w:tc>
      </w:tr>
      <w:tr w:rsidR="002A5D84" w:rsidRPr="000863A5" w:rsidTr="00FB19CB">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A5D84" w:rsidTr="00FB19CB">
        <w:trPr>
          <w:tblHeader/>
        </w:trPr>
        <w:tc>
          <w:tcPr>
            <w:tcW w:w="5000" w:type="pct"/>
            <w:tcBorders>
              <w:top w:val="single" w:sz="6" w:space="0" w:color="78A22F"/>
              <w:left w:val="nil"/>
              <w:bottom w:val="nil"/>
              <w:right w:val="nil"/>
            </w:tcBorders>
            <w:shd w:val="clear" w:color="auto" w:fill="E5F1D0"/>
            <w:tcMar>
              <w:left w:w="170" w:type="dxa"/>
              <w:right w:w="170" w:type="dxa"/>
            </w:tcMar>
          </w:tcPr>
          <w:p w:rsidR="002A5D84" w:rsidRPr="00CE4C64" w:rsidRDefault="002A5D84" w:rsidP="00FB19CB">
            <w:pPr>
              <w:pStyle w:val="RecTitle"/>
              <w:spacing w:before="120"/>
              <w:rPr>
                <w:noProof/>
              </w:rPr>
            </w:pPr>
            <w:r>
              <w:t>Recommendation 8.</w:t>
            </w:r>
            <w:r>
              <w:rPr>
                <w:noProof/>
              </w:rPr>
              <w:t xml:space="preserve">4 </w:t>
            </w:r>
            <w:r w:rsidRPr="003411E4">
              <w:rPr>
                <w:b/>
              </w:rPr>
              <w:t>re</w:t>
            </w:r>
            <w:r>
              <w:rPr>
                <w:b/>
              </w:rPr>
              <w:t>VISE BOUNDARIES FOR FBT Remote area concessions</w:t>
            </w:r>
          </w:p>
        </w:tc>
      </w:tr>
      <w:tr w:rsidR="002A5D84" w:rsidRPr="00750BE2" w:rsidTr="00FB19CB">
        <w:tc>
          <w:tcPr>
            <w:tcW w:w="5000" w:type="pct"/>
            <w:tcBorders>
              <w:top w:val="nil"/>
              <w:left w:val="nil"/>
              <w:bottom w:val="nil"/>
              <w:right w:val="nil"/>
            </w:tcBorders>
            <w:shd w:val="clear" w:color="auto" w:fill="E5F1D0"/>
            <w:tcMar>
              <w:left w:w="170" w:type="dxa"/>
              <w:right w:w="170" w:type="dxa"/>
            </w:tcMar>
          </w:tcPr>
          <w:p w:rsidR="002A5D84" w:rsidRDefault="002A5D84" w:rsidP="00FB19CB">
            <w:pPr>
              <w:pStyle w:val="Rec"/>
              <w:keepNext/>
            </w:pPr>
            <w:r>
              <w:t>The Australian Government should revise the geographic boundaries for the fringe benefits tax remote area concessions by:</w:t>
            </w:r>
          </w:p>
          <w:p w:rsidR="002A5D84" w:rsidRDefault="002A5D84" w:rsidP="00FB19CB">
            <w:pPr>
              <w:pStyle w:val="RecBullet"/>
            </w:pPr>
            <w:r>
              <w:t xml:space="preserve">updating the boundaries to reflect populations as at the 2016 </w:t>
            </w:r>
            <w:r w:rsidR="00901AB4">
              <w:t>census</w:t>
            </w:r>
            <w:r>
              <w:t xml:space="preserve"> and contemporary road infrastructure</w:t>
            </w:r>
          </w:p>
          <w:p w:rsidR="002A5D84" w:rsidRDefault="002A5D84" w:rsidP="00FB19CB">
            <w:pPr>
              <w:pStyle w:val="RecBullet"/>
            </w:pPr>
            <w:r>
              <w:t xml:space="preserve">aligning population thresholds at 40 km from communities with populations of 28 000 or more and 100 km from communities with populations of 130 000 or more. </w:t>
            </w:r>
          </w:p>
          <w:p w:rsidR="002A5D84" w:rsidRDefault="002A5D84" w:rsidP="00FB19CB">
            <w:pPr>
              <w:pStyle w:val="Rec"/>
              <w:keepNext/>
            </w:pPr>
            <w:r>
              <w:t>It should periodically update boundaries to reflect changing populations, giving sufficient notice</w:t>
            </w:r>
            <w:r w:rsidDel="00FF3F6A">
              <w:t xml:space="preserve"> </w:t>
            </w:r>
            <w:r>
              <w:t>to minimise disruption for affected employers.</w:t>
            </w:r>
          </w:p>
        </w:tc>
      </w:tr>
      <w:tr w:rsidR="002A5D84" w:rsidTr="00FB19CB">
        <w:tc>
          <w:tcPr>
            <w:tcW w:w="5000" w:type="pct"/>
            <w:tcBorders>
              <w:top w:val="nil"/>
              <w:left w:val="nil"/>
              <w:bottom w:val="single" w:sz="6" w:space="0" w:color="78A22F"/>
              <w:right w:val="nil"/>
            </w:tcBorders>
            <w:shd w:val="clear" w:color="auto" w:fill="E5F1D0"/>
            <w:tcMar>
              <w:left w:w="170" w:type="dxa"/>
              <w:right w:w="170" w:type="dxa"/>
            </w:tcMar>
          </w:tcPr>
          <w:p w:rsidR="002A5D84" w:rsidRDefault="002A5D84" w:rsidP="00FB19CB">
            <w:pPr>
              <w:pStyle w:val="Space"/>
              <w:keepLines/>
            </w:pPr>
          </w:p>
        </w:tc>
      </w:tr>
      <w:tr w:rsidR="002A5D84" w:rsidRPr="000863A5" w:rsidTr="00FB19CB">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A5D84" w:rsidTr="00FB19CB">
        <w:trPr>
          <w:tblHeader/>
        </w:trPr>
        <w:tc>
          <w:tcPr>
            <w:tcW w:w="5000" w:type="pct"/>
            <w:tcBorders>
              <w:top w:val="single" w:sz="6" w:space="0" w:color="78A22F"/>
              <w:left w:val="nil"/>
              <w:bottom w:val="nil"/>
              <w:right w:val="nil"/>
            </w:tcBorders>
            <w:shd w:val="clear" w:color="auto" w:fill="E5F1D0"/>
            <w:tcMar>
              <w:left w:w="170" w:type="dxa"/>
              <w:right w:w="170" w:type="dxa"/>
            </w:tcMar>
          </w:tcPr>
          <w:p w:rsidR="002A5D84" w:rsidRPr="00CE4C64" w:rsidRDefault="002A5D84" w:rsidP="00FB19CB">
            <w:pPr>
              <w:pStyle w:val="RecTitle"/>
              <w:spacing w:before="120"/>
              <w:rPr>
                <w:noProof/>
              </w:rPr>
            </w:pPr>
            <w:r>
              <w:t>Recommendation 8.</w:t>
            </w:r>
            <w:r>
              <w:rPr>
                <w:noProof/>
              </w:rPr>
              <w:t xml:space="preserve">5 </w:t>
            </w:r>
            <w:r>
              <w:rPr>
                <w:b/>
                <w:noProof/>
              </w:rPr>
              <w:t>ANnounce changes in advance</w:t>
            </w:r>
          </w:p>
        </w:tc>
      </w:tr>
      <w:tr w:rsidR="002A5D84" w:rsidRPr="00750BE2" w:rsidTr="00FB19CB">
        <w:tc>
          <w:tcPr>
            <w:tcW w:w="5000" w:type="pct"/>
            <w:tcBorders>
              <w:top w:val="nil"/>
              <w:left w:val="nil"/>
              <w:bottom w:val="nil"/>
              <w:right w:val="nil"/>
            </w:tcBorders>
            <w:shd w:val="clear" w:color="auto" w:fill="E5F1D0"/>
            <w:tcMar>
              <w:left w:w="170" w:type="dxa"/>
              <w:right w:w="170" w:type="dxa"/>
            </w:tcMar>
          </w:tcPr>
          <w:p w:rsidR="002A5D84" w:rsidRDefault="002A5D84" w:rsidP="00FB19CB">
            <w:pPr>
              <w:pStyle w:val="Rec"/>
              <w:keepNext/>
            </w:pPr>
            <w:r>
              <w:t>The Australian Government should introduce legislative changes to the fringe benefits tax remote area concessions with a delayed start date (for example, two years from when they are legislated).</w:t>
            </w:r>
          </w:p>
        </w:tc>
      </w:tr>
      <w:tr w:rsidR="002A5D84" w:rsidTr="00FB19CB">
        <w:tc>
          <w:tcPr>
            <w:tcW w:w="5000" w:type="pct"/>
            <w:tcBorders>
              <w:top w:val="nil"/>
              <w:left w:val="nil"/>
              <w:bottom w:val="single" w:sz="6" w:space="0" w:color="78A22F"/>
              <w:right w:val="nil"/>
            </w:tcBorders>
            <w:shd w:val="clear" w:color="auto" w:fill="E5F1D0"/>
            <w:tcMar>
              <w:left w:w="170" w:type="dxa"/>
              <w:right w:w="170" w:type="dxa"/>
            </w:tcMar>
          </w:tcPr>
          <w:p w:rsidR="002A5D84" w:rsidRDefault="002A5D84" w:rsidP="00FB19CB">
            <w:pPr>
              <w:pStyle w:val="Space"/>
              <w:keepLines/>
            </w:pPr>
          </w:p>
        </w:tc>
      </w:tr>
      <w:tr w:rsidR="002A5D84" w:rsidRPr="000863A5" w:rsidTr="00FB19CB">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Pr="004E3B94" w:rsidRDefault="002A5D84" w:rsidP="00FB19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A5D84" w:rsidTr="00FB19C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2A5D84" w:rsidRPr="00CE4C64" w:rsidRDefault="002A5D84">
            <w:pPr>
              <w:pStyle w:val="FindingTitle"/>
              <w:spacing w:before="120"/>
              <w:rPr>
                <w:noProof/>
              </w:rPr>
            </w:pPr>
            <w:r>
              <w:t>Finding 8.1</w:t>
            </w:r>
          </w:p>
        </w:tc>
      </w:tr>
      <w:tr w:rsidR="002A5D84" w:rsidRPr="00750BE2" w:rsidTr="00FB19CB">
        <w:trPr>
          <w:cantSplit/>
        </w:trPr>
        <w:tc>
          <w:tcPr>
            <w:tcW w:w="5000" w:type="pct"/>
            <w:tcBorders>
              <w:top w:val="nil"/>
              <w:left w:val="nil"/>
              <w:bottom w:val="nil"/>
              <w:right w:val="nil"/>
            </w:tcBorders>
            <w:shd w:val="clear" w:color="auto" w:fill="F2F2F2"/>
            <w:tcMar>
              <w:left w:w="170" w:type="dxa"/>
              <w:right w:w="170" w:type="dxa"/>
            </w:tcMar>
          </w:tcPr>
          <w:p w:rsidR="002A5D84" w:rsidRPr="00AB3D86" w:rsidRDefault="002A5D84" w:rsidP="00FB19CB">
            <w:pPr>
              <w:pStyle w:val="Finding"/>
              <w:keepNext/>
            </w:pPr>
            <w:r>
              <w:t xml:space="preserve">The </w:t>
            </w:r>
            <w:r w:rsidRPr="00AB3D86">
              <w:t xml:space="preserve">Commission’s proposed reforms to the fringe benefits tax remote area concessions would shift some of the cost of funding public services in remote areas from the Australian Government to State, Territory and local governments. This could affect the level and quality of public services that are delivered. </w:t>
            </w:r>
          </w:p>
          <w:p w:rsidR="002A5D84" w:rsidRDefault="002A5D84" w:rsidP="00FB19CB">
            <w:pPr>
              <w:pStyle w:val="Finding"/>
              <w:keepNext/>
            </w:pPr>
            <w:bookmarkStart w:id="14" w:name="_Hlk31188979"/>
            <w:r w:rsidRPr="00AB3D86">
              <w:t>General revenue assistance paid to State and Territory governments would be an effective way for the Australian Government to adjust the funding of service delivery agencies.</w:t>
            </w:r>
            <w:bookmarkEnd w:id="14"/>
            <w:r w:rsidRPr="003C67B6">
              <w:t xml:space="preserve"> Such assistance can be made simple and transparent while granting State and Territory governments the flexibility to direct funds to </w:t>
            </w:r>
            <w:r w:rsidRPr="00AB3D86">
              <w:t>those services or local government areas that are most affected</w:t>
            </w:r>
            <w:r>
              <w:t>.</w:t>
            </w:r>
          </w:p>
        </w:tc>
      </w:tr>
      <w:tr w:rsidR="002A5D84" w:rsidTr="00FB19CB">
        <w:trPr>
          <w:cantSplit/>
        </w:trPr>
        <w:tc>
          <w:tcPr>
            <w:tcW w:w="5000" w:type="pct"/>
            <w:tcBorders>
              <w:top w:val="nil"/>
              <w:left w:val="nil"/>
              <w:bottom w:val="single" w:sz="6" w:space="0" w:color="78A22F"/>
              <w:right w:val="nil"/>
            </w:tcBorders>
            <w:shd w:val="clear" w:color="auto" w:fill="F2F2F2"/>
            <w:tcMar>
              <w:left w:w="170" w:type="dxa"/>
              <w:right w:w="170" w:type="dxa"/>
            </w:tcMar>
          </w:tcPr>
          <w:p w:rsidR="002A5D84" w:rsidRDefault="002A5D84" w:rsidP="00FB19CB">
            <w:pPr>
              <w:pStyle w:val="Space"/>
              <w:keepLines/>
            </w:pPr>
          </w:p>
        </w:tc>
      </w:tr>
      <w:tr w:rsidR="002A5D84" w:rsidRPr="000863A5" w:rsidTr="00FB19CB">
        <w:trPr>
          <w:cantSplit/>
        </w:trPr>
        <w:tc>
          <w:tcPr>
            <w:tcW w:w="5000" w:type="pct"/>
            <w:tcBorders>
              <w:top w:val="single" w:sz="6" w:space="0" w:color="78A22F"/>
              <w:left w:val="nil"/>
              <w:bottom w:val="nil"/>
              <w:right w:val="nil"/>
            </w:tcBorders>
            <w:tcMar>
              <w:left w:w="170" w:type="dxa"/>
              <w:right w:w="170" w:type="dxa"/>
            </w:tcMar>
          </w:tcPr>
          <w:p w:rsidR="002A5D84" w:rsidRPr="00626D32" w:rsidRDefault="002A5D84" w:rsidP="00FB19CB">
            <w:pPr>
              <w:pStyle w:val="BoxSpaceBelow"/>
              <w:keepLines/>
            </w:pPr>
          </w:p>
        </w:tc>
      </w:tr>
    </w:tbl>
    <w:p w:rsidR="002A5D84" w:rsidRDefault="002A5D84"/>
    <w:sectPr w:rsidR="002A5D84" w:rsidSect="002A5D84">
      <w:headerReference w:type="even" r:id="rId47"/>
      <w:headerReference w:type="default" r:id="rId48"/>
      <w:footerReference w:type="even" r:id="rId49"/>
      <w:footerReference w:type="default" r:id="rId50"/>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A8B" w:rsidRDefault="004C2A8B">
      <w:r>
        <w:separator/>
      </w:r>
    </w:p>
  </w:endnote>
  <w:endnote w:type="continuationSeparator" w:id="0">
    <w:p w:rsidR="004C2A8B" w:rsidRDefault="004C2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Pro-Light">
    <w:altName w:val="Myriad Pro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C2A8B" w:rsidTr="00081FB4">
      <w:trPr>
        <w:trHeight w:hRule="exact" w:val="567"/>
      </w:trPr>
      <w:tc>
        <w:tcPr>
          <w:tcW w:w="510" w:type="dxa"/>
        </w:tcPr>
        <w:p w:rsidR="004C2A8B" w:rsidRPr="00A24443" w:rsidRDefault="004C2A8B" w:rsidP="00081FB4">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iv</w:t>
          </w:r>
          <w:r w:rsidRPr="00A24443">
            <w:rPr>
              <w:rStyle w:val="PageNumber"/>
              <w:caps w:val="0"/>
            </w:rPr>
            <w:fldChar w:fldCharType="end"/>
          </w:r>
        </w:p>
      </w:tc>
      <w:tc>
        <w:tcPr>
          <w:tcW w:w="7767" w:type="dxa"/>
        </w:tcPr>
        <w:p w:rsidR="004C2A8B" w:rsidRPr="0013739A" w:rsidRDefault="004C2A8B" w:rsidP="00081FB4">
          <w:pPr>
            <w:pStyle w:val="Footer"/>
            <w:rPr>
              <w:rFonts w:cs="Arial"/>
            </w:rPr>
          </w:pPr>
          <w:r w:rsidRPr="00BA5B14">
            <w:rPr>
              <w:rFonts w:cs="Arial"/>
            </w:rPr>
            <w:fldChar w:fldCharType="begin"/>
          </w:r>
          <w:r w:rsidRPr="00BA5B14">
            <w:rPr>
              <w:rFonts w:cs="Arial"/>
            </w:rPr>
            <w:instrText xml:space="preserve"> </w:instrText>
          </w:r>
          <w:r>
            <w:rPr>
              <w:rFonts w:cs="Arial"/>
            </w:rPr>
            <w:instrText>title</w:instrText>
          </w:r>
          <w:r w:rsidRPr="00BA5B14">
            <w:rPr>
              <w:rFonts w:cs="Arial"/>
            </w:rPr>
            <w:instrText xml:space="preserve"> </w:instrText>
          </w:r>
          <w:r w:rsidRPr="00BA5B14">
            <w:rPr>
              <w:rFonts w:cs="Arial"/>
            </w:rPr>
            <w:fldChar w:fldCharType="separate"/>
          </w:r>
          <w:r w:rsidR="00540DA8">
            <w:rPr>
              <w:rFonts w:cs="Arial"/>
            </w:rPr>
            <w:t>Overview - Remote Area Tax Concessions and Payments - Study Report</w:t>
          </w:r>
          <w:r w:rsidRPr="00BA5B14">
            <w:rPr>
              <w:rFonts w:cs="Arial"/>
            </w:rPr>
            <w:fldChar w:fldCharType="end"/>
          </w:r>
        </w:p>
      </w:tc>
      <w:tc>
        <w:tcPr>
          <w:tcW w:w="510" w:type="dxa"/>
        </w:tcPr>
        <w:p w:rsidR="004C2A8B" w:rsidRDefault="004C2A8B" w:rsidP="00081FB4">
          <w:pPr>
            <w:pStyle w:val="Footer"/>
          </w:pPr>
        </w:p>
      </w:tc>
    </w:tr>
  </w:tbl>
  <w:p w:rsidR="004C2A8B" w:rsidRDefault="004C2A8B" w:rsidP="00081FB4">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C2A8B" w:rsidTr="00081FB4">
      <w:trPr>
        <w:trHeight w:hRule="exact" w:val="567"/>
      </w:trPr>
      <w:tc>
        <w:tcPr>
          <w:tcW w:w="510" w:type="dxa"/>
        </w:tcPr>
        <w:p w:rsidR="004C2A8B" w:rsidRDefault="004C2A8B">
          <w:pPr>
            <w:pStyle w:val="Footer"/>
            <w:ind w:right="360" w:firstLine="360"/>
          </w:pPr>
        </w:p>
      </w:tc>
      <w:tc>
        <w:tcPr>
          <w:tcW w:w="7767" w:type="dxa"/>
        </w:tcPr>
        <w:p w:rsidR="004C2A8B" w:rsidRPr="00160417" w:rsidRDefault="004C2A8B" w:rsidP="00081FB4">
          <w:pPr>
            <w:pStyle w:val="Footer"/>
            <w:jc w:val="right"/>
            <w:rPr>
              <w:rFonts w:cs="Arial"/>
            </w:rPr>
          </w:pPr>
          <w:r w:rsidRPr="00142C98">
            <w:rPr>
              <w:bCs/>
              <w:noProof/>
              <w:lang w:val="en-US"/>
            </w:rPr>
            <w:t>Foreword</w:t>
          </w:r>
        </w:p>
      </w:tc>
      <w:tc>
        <w:tcPr>
          <w:tcW w:w="510" w:type="dxa"/>
        </w:tcPr>
        <w:p w:rsidR="004C2A8B" w:rsidRPr="00634771" w:rsidRDefault="004C2A8B">
          <w:pPr>
            <w:pStyle w:val="Footer"/>
            <w:jc w:val="right"/>
            <w:rPr>
              <w:caps w:val="0"/>
            </w:rPr>
          </w:pPr>
          <w:r w:rsidRPr="00634771">
            <w:rPr>
              <w:rStyle w:val="PageNumber"/>
              <w:caps w:val="0"/>
            </w:rPr>
            <w:fldChar w:fldCharType="begin"/>
          </w:r>
          <w:r w:rsidRPr="00634771">
            <w:rPr>
              <w:rStyle w:val="PageNumber"/>
              <w:caps w:val="0"/>
            </w:rPr>
            <w:instrText xml:space="preserve">PAGE  </w:instrText>
          </w:r>
          <w:r w:rsidRPr="00634771">
            <w:rPr>
              <w:rStyle w:val="PageNumber"/>
              <w:caps w:val="0"/>
            </w:rPr>
            <w:fldChar w:fldCharType="separate"/>
          </w:r>
          <w:r w:rsidR="00540DA8">
            <w:rPr>
              <w:rStyle w:val="PageNumber"/>
              <w:caps w:val="0"/>
              <w:noProof/>
            </w:rPr>
            <w:t>iii</w:t>
          </w:r>
          <w:r w:rsidRPr="00634771">
            <w:rPr>
              <w:rStyle w:val="PageNumber"/>
              <w:caps w:val="0"/>
            </w:rPr>
            <w:fldChar w:fldCharType="end"/>
          </w:r>
        </w:p>
      </w:tc>
    </w:tr>
  </w:tbl>
  <w:p w:rsidR="004C2A8B" w:rsidRDefault="004C2A8B">
    <w:pPr>
      <w:pStyle w:val="FooterEnd"/>
    </w:pPr>
  </w:p>
  <w:p w:rsidR="004C2A8B" w:rsidRDefault="004C2A8B">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2A8B" w:rsidTr="002A5D84">
      <w:trPr>
        <w:trHeight w:val="567"/>
      </w:trPr>
      <w:tc>
        <w:tcPr>
          <w:tcW w:w="510" w:type="dxa"/>
          <w:tcBorders>
            <w:top w:val="single" w:sz="4" w:space="0" w:color="auto"/>
          </w:tcBorders>
          <w:shd w:val="clear" w:color="auto" w:fill="auto"/>
        </w:tcPr>
        <w:p w:rsidR="004C2A8B" w:rsidRPr="002A5D84" w:rsidRDefault="004C2A8B" w:rsidP="002A5D84">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40DA8">
            <w:rPr>
              <w:rStyle w:val="PageNumber"/>
              <w:noProof/>
            </w:rPr>
            <w:t>14</w:t>
          </w:r>
          <w:r>
            <w:rPr>
              <w:rStyle w:val="PageNumber"/>
            </w:rPr>
            <w:fldChar w:fldCharType="end"/>
          </w:r>
        </w:p>
      </w:tc>
      <w:tc>
        <w:tcPr>
          <w:tcW w:w="7767" w:type="dxa"/>
          <w:tcBorders>
            <w:top w:val="single" w:sz="4" w:space="0" w:color="auto"/>
          </w:tcBorders>
          <w:shd w:val="clear" w:color="auto" w:fill="auto"/>
        </w:tcPr>
        <w:p w:rsidR="004C2A8B" w:rsidRDefault="004C2A8B" w:rsidP="002A5D84">
          <w:pPr>
            <w:pStyle w:val="Footer"/>
          </w:pPr>
          <w:r>
            <w:t>REMOTE AREA TAX CONCESSIONS AND PAYMENTS</w:t>
          </w:r>
        </w:p>
      </w:tc>
      <w:tc>
        <w:tcPr>
          <w:tcW w:w="510" w:type="dxa"/>
          <w:tcBorders>
            <w:top w:val="single" w:sz="4" w:space="0" w:color="auto"/>
          </w:tcBorders>
          <w:shd w:val="clear" w:color="auto" w:fill="auto"/>
        </w:tcPr>
        <w:p w:rsidR="004C2A8B" w:rsidRDefault="004C2A8B" w:rsidP="002A5D84">
          <w:pPr>
            <w:pStyle w:val="Footer"/>
          </w:pPr>
        </w:p>
      </w:tc>
    </w:tr>
  </w:tbl>
  <w:p w:rsidR="004C2A8B" w:rsidRPr="002A5D84" w:rsidRDefault="004C2A8B" w:rsidP="002A5D84">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2A8B" w:rsidTr="002A5D84">
      <w:trPr>
        <w:trHeight w:val="567"/>
      </w:trPr>
      <w:tc>
        <w:tcPr>
          <w:tcW w:w="510" w:type="dxa"/>
          <w:tcBorders>
            <w:top w:val="single" w:sz="4" w:space="0" w:color="auto"/>
          </w:tcBorders>
          <w:shd w:val="clear" w:color="auto" w:fill="auto"/>
        </w:tcPr>
        <w:p w:rsidR="004C2A8B" w:rsidRDefault="004C2A8B" w:rsidP="002A5D84">
          <w:pPr>
            <w:pStyle w:val="Footer"/>
          </w:pPr>
        </w:p>
      </w:tc>
      <w:tc>
        <w:tcPr>
          <w:tcW w:w="7767" w:type="dxa"/>
          <w:tcBorders>
            <w:top w:val="single" w:sz="4" w:space="0" w:color="auto"/>
          </w:tcBorders>
          <w:shd w:val="clear" w:color="auto" w:fill="auto"/>
        </w:tcPr>
        <w:p w:rsidR="004C2A8B" w:rsidRDefault="004C2A8B" w:rsidP="002A5D84">
          <w:pPr>
            <w:pStyle w:val="Footer"/>
            <w:jc w:val="right"/>
          </w:pPr>
          <w:r>
            <w:t>Overview</w:t>
          </w:r>
        </w:p>
      </w:tc>
      <w:tc>
        <w:tcPr>
          <w:tcW w:w="510" w:type="dxa"/>
          <w:tcBorders>
            <w:top w:val="single" w:sz="4" w:space="0" w:color="auto"/>
          </w:tcBorders>
          <w:shd w:val="clear" w:color="auto" w:fill="auto"/>
        </w:tcPr>
        <w:p w:rsidR="004C2A8B" w:rsidRPr="002A5D84" w:rsidRDefault="004C2A8B" w:rsidP="002A5D84">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40DA8">
            <w:rPr>
              <w:rStyle w:val="PageNumber"/>
              <w:noProof/>
            </w:rPr>
            <w:t>15</w:t>
          </w:r>
          <w:r>
            <w:rPr>
              <w:rStyle w:val="PageNumber"/>
            </w:rPr>
            <w:fldChar w:fldCharType="end"/>
          </w:r>
        </w:p>
      </w:tc>
    </w:tr>
  </w:tbl>
  <w:p w:rsidR="004C2A8B" w:rsidRPr="002A5D84" w:rsidRDefault="004C2A8B" w:rsidP="002A5D84">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2A8B" w:rsidTr="002A5D84">
      <w:trPr>
        <w:trHeight w:val="567"/>
      </w:trPr>
      <w:tc>
        <w:tcPr>
          <w:tcW w:w="510" w:type="dxa"/>
          <w:tcBorders>
            <w:top w:val="single" w:sz="4" w:space="0" w:color="auto"/>
          </w:tcBorders>
          <w:shd w:val="clear" w:color="auto" w:fill="auto"/>
        </w:tcPr>
        <w:p w:rsidR="004C2A8B" w:rsidRPr="002A5D84" w:rsidRDefault="004C2A8B" w:rsidP="002A5D84">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40DA8">
            <w:rPr>
              <w:rStyle w:val="PageNumber"/>
              <w:noProof/>
            </w:rPr>
            <w:t>48</w:t>
          </w:r>
          <w:r>
            <w:rPr>
              <w:rStyle w:val="PageNumber"/>
            </w:rPr>
            <w:fldChar w:fldCharType="end"/>
          </w:r>
        </w:p>
      </w:tc>
      <w:tc>
        <w:tcPr>
          <w:tcW w:w="7767" w:type="dxa"/>
          <w:tcBorders>
            <w:top w:val="single" w:sz="4" w:space="0" w:color="auto"/>
          </w:tcBorders>
          <w:shd w:val="clear" w:color="auto" w:fill="auto"/>
        </w:tcPr>
        <w:p w:rsidR="004C2A8B" w:rsidRDefault="004C2A8B" w:rsidP="002A5D84">
          <w:pPr>
            <w:pStyle w:val="Footer"/>
          </w:pPr>
          <w:r>
            <w:t>REMOTE AREA TAX CONCESSIONS AND PAYMENTS</w:t>
          </w:r>
        </w:p>
      </w:tc>
      <w:tc>
        <w:tcPr>
          <w:tcW w:w="510" w:type="dxa"/>
          <w:tcBorders>
            <w:top w:val="single" w:sz="4" w:space="0" w:color="auto"/>
          </w:tcBorders>
          <w:shd w:val="clear" w:color="auto" w:fill="auto"/>
        </w:tcPr>
        <w:p w:rsidR="004C2A8B" w:rsidRDefault="004C2A8B" w:rsidP="002A5D84">
          <w:pPr>
            <w:pStyle w:val="Footer"/>
          </w:pPr>
        </w:p>
      </w:tc>
    </w:tr>
  </w:tbl>
  <w:p w:rsidR="004C2A8B" w:rsidRPr="002A5D84" w:rsidRDefault="004C2A8B" w:rsidP="002A5D84">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C2A8B" w:rsidTr="002A5D84">
      <w:trPr>
        <w:trHeight w:val="567"/>
      </w:trPr>
      <w:tc>
        <w:tcPr>
          <w:tcW w:w="510" w:type="dxa"/>
          <w:tcBorders>
            <w:top w:val="single" w:sz="4" w:space="0" w:color="auto"/>
          </w:tcBorders>
          <w:shd w:val="clear" w:color="auto" w:fill="auto"/>
        </w:tcPr>
        <w:p w:rsidR="004C2A8B" w:rsidRDefault="004C2A8B" w:rsidP="002A5D84">
          <w:pPr>
            <w:pStyle w:val="Footer"/>
          </w:pPr>
        </w:p>
      </w:tc>
      <w:tc>
        <w:tcPr>
          <w:tcW w:w="7767" w:type="dxa"/>
          <w:tcBorders>
            <w:top w:val="single" w:sz="4" w:space="0" w:color="auto"/>
          </w:tcBorders>
          <w:shd w:val="clear" w:color="auto" w:fill="auto"/>
        </w:tcPr>
        <w:p w:rsidR="004C2A8B" w:rsidRDefault="004C2A8B" w:rsidP="002A5D84">
          <w:pPr>
            <w:pStyle w:val="Footer"/>
            <w:jc w:val="right"/>
          </w:pPr>
          <w:r>
            <w:t>References</w:t>
          </w:r>
        </w:p>
      </w:tc>
      <w:tc>
        <w:tcPr>
          <w:tcW w:w="510" w:type="dxa"/>
          <w:tcBorders>
            <w:top w:val="single" w:sz="4" w:space="0" w:color="auto"/>
          </w:tcBorders>
          <w:shd w:val="clear" w:color="auto" w:fill="auto"/>
        </w:tcPr>
        <w:p w:rsidR="004C2A8B" w:rsidRPr="002A5D84" w:rsidRDefault="004C2A8B" w:rsidP="002A5D84">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40DA8">
            <w:rPr>
              <w:rStyle w:val="PageNumber"/>
              <w:noProof/>
            </w:rPr>
            <w:t>47</w:t>
          </w:r>
          <w:r>
            <w:rPr>
              <w:rStyle w:val="PageNumber"/>
            </w:rPr>
            <w:fldChar w:fldCharType="end"/>
          </w:r>
        </w:p>
      </w:tc>
    </w:tr>
  </w:tbl>
  <w:p w:rsidR="004C2A8B" w:rsidRPr="002A5D84" w:rsidRDefault="004C2A8B" w:rsidP="002A5D84">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A8B" w:rsidRDefault="004C2A8B">
      <w:r>
        <w:separator/>
      </w:r>
    </w:p>
  </w:footnote>
  <w:footnote w:type="continuationSeparator" w:id="0">
    <w:p w:rsidR="004C2A8B" w:rsidRDefault="004C2A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4C2A8B">
      <w:tc>
        <w:tcPr>
          <w:tcW w:w="2155" w:type="dxa"/>
          <w:tcBorders>
            <w:top w:val="single" w:sz="24" w:space="0" w:color="auto"/>
          </w:tcBorders>
        </w:tcPr>
        <w:p w:rsidR="004C2A8B" w:rsidRDefault="004C2A8B">
          <w:pPr>
            <w:pStyle w:val="HeaderEven"/>
          </w:pPr>
        </w:p>
      </w:tc>
      <w:tc>
        <w:tcPr>
          <w:tcW w:w="6634" w:type="dxa"/>
          <w:tcBorders>
            <w:top w:val="single" w:sz="6" w:space="0" w:color="auto"/>
          </w:tcBorders>
        </w:tcPr>
        <w:p w:rsidR="004C2A8B" w:rsidRDefault="004C2A8B">
          <w:pPr>
            <w:pStyle w:val="HeaderEven"/>
          </w:pPr>
        </w:p>
      </w:tc>
    </w:tr>
  </w:tbl>
  <w:p w:rsidR="004C2A8B" w:rsidRDefault="004C2A8B">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C2A8B">
      <w:tc>
        <w:tcPr>
          <w:tcW w:w="6634" w:type="dxa"/>
          <w:tcBorders>
            <w:top w:val="single" w:sz="6" w:space="0" w:color="auto"/>
          </w:tcBorders>
        </w:tcPr>
        <w:p w:rsidR="004C2A8B" w:rsidRDefault="004C2A8B">
          <w:pPr>
            <w:pStyle w:val="HeaderOdd"/>
          </w:pPr>
        </w:p>
      </w:tc>
      <w:tc>
        <w:tcPr>
          <w:tcW w:w="2155" w:type="dxa"/>
          <w:tcBorders>
            <w:top w:val="single" w:sz="24" w:space="0" w:color="auto"/>
          </w:tcBorders>
        </w:tcPr>
        <w:p w:rsidR="004C2A8B" w:rsidRDefault="004C2A8B">
          <w:pPr>
            <w:pStyle w:val="HeaderOdd"/>
          </w:pPr>
        </w:p>
      </w:tc>
    </w:tr>
  </w:tbl>
  <w:p w:rsidR="004C2A8B" w:rsidRDefault="004C2A8B">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4C2A8B" w:rsidTr="002A5D84">
      <w:trPr>
        <w:trHeight w:val="300"/>
      </w:trPr>
      <w:tc>
        <w:tcPr>
          <w:tcW w:w="2154" w:type="dxa"/>
          <w:tcBorders>
            <w:top w:val="single" w:sz="24" w:space="0" w:color="auto"/>
          </w:tcBorders>
          <w:shd w:val="clear" w:color="auto" w:fill="auto"/>
        </w:tcPr>
        <w:p w:rsidR="004C2A8B" w:rsidRDefault="004C2A8B" w:rsidP="002A5D84">
          <w:pPr>
            <w:pStyle w:val="HeaderEven"/>
          </w:pPr>
        </w:p>
      </w:tc>
      <w:tc>
        <w:tcPr>
          <w:tcW w:w="6633" w:type="dxa"/>
          <w:tcBorders>
            <w:top w:val="single" w:sz="6" w:space="0" w:color="auto"/>
          </w:tcBorders>
          <w:shd w:val="clear" w:color="auto" w:fill="auto"/>
        </w:tcPr>
        <w:p w:rsidR="004C2A8B" w:rsidRDefault="004C2A8B" w:rsidP="002A5D84">
          <w:pPr>
            <w:pStyle w:val="HeaderEven"/>
          </w:pPr>
        </w:p>
      </w:tc>
    </w:tr>
  </w:tbl>
  <w:p w:rsidR="004C2A8B" w:rsidRPr="002A5D84" w:rsidRDefault="004C2A8B" w:rsidP="002A5D84">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4C2A8B" w:rsidTr="002A5D84">
      <w:trPr>
        <w:trHeight w:val="300"/>
      </w:trPr>
      <w:tc>
        <w:tcPr>
          <w:tcW w:w="6633" w:type="dxa"/>
          <w:tcBorders>
            <w:top w:val="single" w:sz="6" w:space="0" w:color="auto"/>
          </w:tcBorders>
          <w:shd w:val="clear" w:color="auto" w:fill="auto"/>
        </w:tcPr>
        <w:p w:rsidR="004C2A8B" w:rsidRDefault="004C2A8B" w:rsidP="002A5D84">
          <w:pPr>
            <w:pStyle w:val="HeaderOdd"/>
          </w:pPr>
        </w:p>
      </w:tc>
      <w:tc>
        <w:tcPr>
          <w:tcW w:w="2154" w:type="dxa"/>
          <w:tcBorders>
            <w:top w:val="single" w:sz="24" w:space="0" w:color="auto"/>
          </w:tcBorders>
          <w:shd w:val="clear" w:color="auto" w:fill="auto"/>
        </w:tcPr>
        <w:p w:rsidR="004C2A8B" w:rsidRDefault="004C2A8B" w:rsidP="002A5D84">
          <w:pPr>
            <w:pStyle w:val="HeaderOdd"/>
          </w:pPr>
        </w:p>
      </w:tc>
    </w:tr>
  </w:tbl>
  <w:p w:rsidR="004C2A8B" w:rsidRPr="002A5D84" w:rsidRDefault="004C2A8B" w:rsidP="002A5D84">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4C2A8B" w:rsidTr="002A5D84">
      <w:trPr>
        <w:trHeight w:val="300"/>
      </w:trPr>
      <w:tc>
        <w:tcPr>
          <w:tcW w:w="2154" w:type="dxa"/>
          <w:tcBorders>
            <w:top w:val="single" w:sz="24" w:space="0" w:color="auto"/>
          </w:tcBorders>
          <w:shd w:val="clear" w:color="auto" w:fill="auto"/>
        </w:tcPr>
        <w:p w:rsidR="004C2A8B" w:rsidRDefault="004C2A8B" w:rsidP="002A5D84">
          <w:pPr>
            <w:pStyle w:val="HeaderEven"/>
          </w:pPr>
        </w:p>
      </w:tc>
      <w:tc>
        <w:tcPr>
          <w:tcW w:w="6633" w:type="dxa"/>
          <w:tcBorders>
            <w:top w:val="single" w:sz="6" w:space="0" w:color="auto"/>
          </w:tcBorders>
          <w:shd w:val="clear" w:color="auto" w:fill="auto"/>
        </w:tcPr>
        <w:p w:rsidR="004C2A8B" w:rsidRDefault="004C2A8B" w:rsidP="002A5D84">
          <w:pPr>
            <w:pStyle w:val="HeaderEven"/>
          </w:pPr>
        </w:p>
      </w:tc>
    </w:tr>
  </w:tbl>
  <w:p w:rsidR="004C2A8B" w:rsidRPr="002A5D84" w:rsidRDefault="004C2A8B" w:rsidP="002A5D84">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4C2A8B" w:rsidTr="002A5D84">
      <w:trPr>
        <w:trHeight w:val="300"/>
      </w:trPr>
      <w:tc>
        <w:tcPr>
          <w:tcW w:w="6633" w:type="dxa"/>
          <w:tcBorders>
            <w:top w:val="single" w:sz="6" w:space="0" w:color="auto"/>
          </w:tcBorders>
          <w:shd w:val="clear" w:color="auto" w:fill="auto"/>
        </w:tcPr>
        <w:p w:rsidR="004C2A8B" w:rsidRDefault="004C2A8B" w:rsidP="002A5D84">
          <w:pPr>
            <w:pStyle w:val="HeaderOdd"/>
          </w:pPr>
        </w:p>
      </w:tc>
      <w:tc>
        <w:tcPr>
          <w:tcW w:w="2154" w:type="dxa"/>
          <w:tcBorders>
            <w:top w:val="single" w:sz="24" w:space="0" w:color="auto"/>
          </w:tcBorders>
          <w:shd w:val="clear" w:color="auto" w:fill="auto"/>
        </w:tcPr>
        <w:p w:rsidR="004C2A8B" w:rsidRDefault="004C2A8B" w:rsidP="002A5D84">
          <w:pPr>
            <w:pStyle w:val="HeaderOdd"/>
          </w:pPr>
        </w:p>
      </w:tc>
    </w:tr>
  </w:tbl>
  <w:p w:rsidR="004C2A8B" w:rsidRPr="002A5D84" w:rsidRDefault="004C2A8B" w:rsidP="002A5D84">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3"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4"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7"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9" w15:restartNumberingAfterBreak="0">
    <w:nsid w:val="24A20B6A"/>
    <w:multiLevelType w:val="hybridMultilevel"/>
    <w:tmpl w:val="B74A31E4"/>
    <w:lvl w:ilvl="0" w:tplc="724C4190">
      <w:start w:val="1"/>
      <w:numFmt w:val="upp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0"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2F377DCD"/>
    <w:multiLevelType w:val="hybridMultilevel"/>
    <w:tmpl w:val="518840B6"/>
    <w:lvl w:ilvl="0" w:tplc="2CC29AB4">
      <w:start w:val="1"/>
      <w:numFmt w:val="upp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2"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3" w15:restartNumberingAfterBreak="0">
    <w:nsid w:val="317B6C86"/>
    <w:multiLevelType w:val="hybridMultilevel"/>
    <w:tmpl w:val="B74A31E4"/>
    <w:lvl w:ilvl="0" w:tplc="724C4190">
      <w:start w:val="1"/>
      <w:numFmt w:val="upp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4" w15:restartNumberingAfterBreak="0">
    <w:nsid w:val="35B21E39"/>
    <w:multiLevelType w:val="singleLevel"/>
    <w:tmpl w:val="8B76A498"/>
    <w:name w:val="StandardNumberedParagraphList"/>
    <w:lvl w:ilvl="0">
      <w:start w:val="2"/>
      <w:numFmt w:val="decimal"/>
      <w:pStyle w:val="NumberedParagraph"/>
      <w:lvlText w:val="%1."/>
      <w:lvlJc w:val="left"/>
      <w:pPr>
        <w:tabs>
          <w:tab w:val="num" w:pos="567"/>
        </w:tabs>
        <w:ind w:left="0" w:firstLine="0"/>
      </w:pPr>
    </w:lvl>
  </w:abstractNum>
  <w:abstractNum w:abstractNumId="15" w15:restartNumberingAfterBreak="0">
    <w:nsid w:val="412C6452"/>
    <w:multiLevelType w:val="hybridMultilevel"/>
    <w:tmpl w:val="1FC41006"/>
    <w:lvl w:ilvl="0" w:tplc="2552FCDC">
      <w:start w:val="1"/>
      <w:numFmt w:val="upperLetter"/>
      <w:lvlText w:val="%1."/>
      <w:lvlJc w:val="left"/>
      <w:pPr>
        <w:ind w:left="366" w:hanging="360"/>
      </w:pPr>
      <w:rPr>
        <w:rFonts w:asciiTheme="minorHAnsi" w:hAnsiTheme="minorHAnsi" w:cstheme="minorHAnsi" w:hint="default"/>
        <w:i/>
        <w:sz w:val="18"/>
        <w:szCs w:val="18"/>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6"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8"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9"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0"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3" w15:restartNumberingAfterBreak="0">
    <w:nsid w:val="6C6F2324"/>
    <w:multiLevelType w:val="hybridMultilevel"/>
    <w:tmpl w:val="8A601306"/>
    <w:lvl w:ilvl="0" w:tplc="2CC29AB4">
      <w:start w:val="1"/>
      <w:numFmt w:val="upperLetter"/>
      <w:lvlText w:val="%1."/>
      <w:lvlJc w:val="left"/>
      <w:pPr>
        <w:ind w:left="360"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24" w15:restartNumberingAfterBreak="0">
    <w:nsid w:val="72A56E2F"/>
    <w:multiLevelType w:val="hybridMultilevel"/>
    <w:tmpl w:val="84A2D640"/>
    <w:lvl w:ilvl="0" w:tplc="6A3ACFE0">
      <w:start w:val="1"/>
      <w:numFmt w:val="upp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25"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6"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2"/>
  </w:num>
  <w:num w:numId="2">
    <w:abstractNumId w:val="1"/>
  </w:num>
  <w:num w:numId="3">
    <w:abstractNumId w:val="17"/>
  </w:num>
  <w:num w:numId="4">
    <w:abstractNumId w:val="2"/>
  </w:num>
  <w:num w:numId="5">
    <w:abstractNumId w:val="22"/>
  </w:num>
  <w:num w:numId="6">
    <w:abstractNumId w:val="19"/>
  </w:num>
  <w:num w:numId="7">
    <w:abstractNumId w:val="6"/>
  </w:num>
  <w:num w:numId="8">
    <w:abstractNumId w:val="18"/>
  </w:num>
  <w:num w:numId="9">
    <w:abstractNumId w:val="5"/>
  </w:num>
  <w:num w:numId="10">
    <w:abstractNumId w:val="4"/>
  </w:num>
  <w:num w:numId="11">
    <w:abstractNumId w:val="8"/>
  </w:num>
  <w:num w:numId="12">
    <w:abstractNumId w:val="10"/>
  </w:num>
  <w:num w:numId="13">
    <w:abstractNumId w:val="3"/>
  </w:num>
  <w:num w:numId="14">
    <w:abstractNumId w:val="20"/>
  </w:num>
  <w:num w:numId="15">
    <w:abstractNumId w:val="25"/>
  </w:num>
  <w:num w:numId="16">
    <w:abstractNumId w:val="16"/>
  </w:num>
  <w:num w:numId="17">
    <w:abstractNumId w:val="26"/>
  </w:num>
  <w:num w:numId="18">
    <w:abstractNumId w:val="21"/>
  </w:num>
  <w:num w:numId="19">
    <w:abstractNumId w:val="7"/>
  </w:num>
  <w:num w:numId="20">
    <w:abstractNumId w:val="9"/>
  </w:num>
  <w:num w:numId="21">
    <w:abstractNumId w:val="13"/>
  </w:num>
  <w:num w:numId="22">
    <w:abstractNumId w:val="15"/>
  </w:num>
  <w:num w:numId="23">
    <w:abstractNumId w:val="14"/>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24"/>
  </w:num>
  <w:num w:numId="27">
    <w:abstractNumId w:val="23"/>
  </w:num>
  <w:num w:numId="28">
    <w:abstractNumId w:val="12"/>
  </w:num>
  <w:num w:numId="29">
    <w:abstractNumId w:val="12"/>
  </w:num>
  <w:num w:numId="30">
    <w:abstractNumId w:val="12"/>
  </w:num>
  <w:num w:numId="31">
    <w:abstractNumId w:val="12"/>
  </w:num>
  <w:num w:numId="32">
    <w:abstractNumId w:val="12"/>
  </w:num>
  <w:num w:numId="33">
    <w:abstractNumId w:val="12"/>
  </w:num>
  <w:num w:numId="34">
    <w:abstractNumId w:val="17"/>
  </w:num>
  <w:num w:numId="35">
    <w:abstractNumId w:val="17"/>
  </w:num>
  <w:num w:numId="36">
    <w:abstractNumId w:val="0"/>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37">
    <w:abstractNumId w:val="18"/>
  </w:num>
  <w:num w:numId="38">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2A5D84"/>
    <w:rsid w:val="00000F2F"/>
    <w:rsid w:val="0001513D"/>
    <w:rsid w:val="000227D5"/>
    <w:rsid w:val="000245AA"/>
    <w:rsid w:val="00027D4B"/>
    <w:rsid w:val="0003664B"/>
    <w:rsid w:val="0004111F"/>
    <w:rsid w:val="0004544A"/>
    <w:rsid w:val="00055077"/>
    <w:rsid w:val="000565B3"/>
    <w:rsid w:val="0006167D"/>
    <w:rsid w:val="000651B1"/>
    <w:rsid w:val="0006583B"/>
    <w:rsid w:val="0007150B"/>
    <w:rsid w:val="00077A6F"/>
    <w:rsid w:val="00081FB4"/>
    <w:rsid w:val="000938F5"/>
    <w:rsid w:val="00095663"/>
    <w:rsid w:val="00096E55"/>
    <w:rsid w:val="000972F0"/>
    <w:rsid w:val="0009783E"/>
    <w:rsid w:val="000A2E88"/>
    <w:rsid w:val="000B1022"/>
    <w:rsid w:val="000B601B"/>
    <w:rsid w:val="000C207E"/>
    <w:rsid w:val="000D41E9"/>
    <w:rsid w:val="000E3F65"/>
    <w:rsid w:val="000F0035"/>
    <w:rsid w:val="000F04E7"/>
    <w:rsid w:val="000F060A"/>
    <w:rsid w:val="000F3B4B"/>
    <w:rsid w:val="000F420B"/>
    <w:rsid w:val="0010327D"/>
    <w:rsid w:val="00110116"/>
    <w:rsid w:val="001114CB"/>
    <w:rsid w:val="00120072"/>
    <w:rsid w:val="00126EB8"/>
    <w:rsid w:val="001274D4"/>
    <w:rsid w:val="001363AA"/>
    <w:rsid w:val="0013739A"/>
    <w:rsid w:val="00142165"/>
    <w:rsid w:val="0014351C"/>
    <w:rsid w:val="001514D8"/>
    <w:rsid w:val="00157A6C"/>
    <w:rsid w:val="00162434"/>
    <w:rsid w:val="0016428B"/>
    <w:rsid w:val="001645FE"/>
    <w:rsid w:val="001676C1"/>
    <w:rsid w:val="001720B6"/>
    <w:rsid w:val="00175F54"/>
    <w:rsid w:val="00177898"/>
    <w:rsid w:val="00183E82"/>
    <w:rsid w:val="001875DD"/>
    <w:rsid w:val="001878BB"/>
    <w:rsid w:val="00191AE0"/>
    <w:rsid w:val="0019293B"/>
    <w:rsid w:val="0019426B"/>
    <w:rsid w:val="001A6A4B"/>
    <w:rsid w:val="001B3687"/>
    <w:rsid w:val="001B4F79"/>
    <w:rsid w:val="001C0865"/>
    <w:rsid w:val="001C0AED"/>
    <w:rsid w:val="001C3ABA"/>
    <w:rsid w:val="001C5111"/>
    <w:rsid w:val="001D3609"/>
    <w:rsid w:val="001E7BE8"/>
    <w:rsid w:val="001F0248"/>
    <w:rsid w:val="001F32AE"/>
    <w:rsid w:val="001F3EB3"/>
    <w:rsid w:val="001F4F86"/>
    <w:rsid w:val="00202C2C"/>
    <w:rsid w:val="00203050"/>
    <w:rsid w:val="002120BA"/>
    <w:rsid w:val="002135AB"/>
    <w:rsid w:val="002144BE"/>
    <w:rsid w:val="00242279"/>
    <w:rsid w:val="00243997"/>
    <w:rsid w:val="0024516C"/>
    <w:rsid w:val="00245C82"/>
    <w:rsid w:val="00254E71"/>
    <w:rsid w:val="002724BA"/>
    <w:rsid w:val="00274CCD"/>
    <w:rsid w:val="00276110"/>
    <w:rsid w:val="00281874"/>
    <w:rsid w:val="00291B40"/>
    <w:rsid w:val="002A5D84"/>
    <w:rsid w:val="002B4008"/>
    <w:rsid w:val="002B41A3"/>
    <w:rsid w:val="002C439F"/>
    <w:rsid w:val="002D0C42"/>
    <w:rsid w:val="002D0E8E"/>
    <w:rsid w:val="002F6F8F"/>
    <w:rsid w:val="00301189"/>
    <w:rsid w:val="00301D9E"/>
    <w:rsid w:val="00301E4A"/>
    <w:rsid w:val="0031415C"/>
    <w:rsid w:val="003168B8"/>
    <w:rsid w:val="0032230C"/>
    <w:rsid w:val="00322D64"/>
    <w:rsid w:val="00323E09"/>
    <w:rsid w:val="00333932"/>
    <w:rsid w:val="00340B9B"/>
    <w:rsid w:val="003442BF"/>
    <w:rsid w:val="003518AA"/>
    <w:rsid w:val="00352165"/>
    <w:rsid w:val="00353182"/>
    <w:rsid w:val="003565D9"/>
    <w:rsid w:val="003602E1"/>
    <w:rsid w:val="00361DFC"/>
    <w:rsid w:val="0037026F"/>
    <w:rsid w:val="00371240"/>
    <w:rsid w:val="00373EE6"/>
    <w:rsid w:val="00374731"/>
    <w:rsid w:val="00376E59"/>
    <w:rsid w:val="00377EC1"/>
    <w:rsid w:val="00380340"/>
    <w:rsid w:val="003842CA"/>
    <w:rsid w:val="003919F9"/>
    <w:rsid w:val="003920CF"/>
    <w:rsid w:val="003938C0"/>
    <w:rsid w:val="003B23C2"/>
    <w:rsid w:val="003C38B5"/>
    <w:rsid w:val="003C3D86"/>
    <w:rsid w:val="003C5D99"/>
    <w:rsid w:val="003D1087"/>
    <w:rsid w:val="003D445C"/>
    <w:rsid w:val="003E0C93"/>
    <w:rsid w:val="003E2F59"/>
    <w:rsid w:val="003E6FE8"/>
    <w:rsid w:val="003E746B"/>
    <w:rsid w:val="003F0789"/>
    <w:rsid w:val="00401882"/>
    <w:rsid w:val="00405BC6"/>
    <w:rsid w:val="004100C8"/>
    <w:rsid w:val="00411208"/>
    <w:rsid w:val="00411DBD"/>
    <w:rsid w:val="00412ACE"/>
    <w:rsid w:val="004145D2"/>
    <w:rsid w:val="00424485"/>
    <w:rsid w:val="00426CB4"/>
    <w:rsid w:val="00431249"/>
    <w:rsid w:val="00434C19"/>
    <w:rsid w:val="00440FCF"/>
    <w:rsid w:val="00441641"/>
    <w:rsid w:val="00447782"/>
    <w:rsid w:val="00450810"/>
    <w:rsid w:val="00462802"/>
    <w:rsid w:val="00462C59"/>
    <w:rsid w:val="00462EDA"/>
    <w:rsid w:val="00470737"/>
    <w:rsid w:val="00477144"/>
    <w:rsid w:val="00490A74"/>
    <w:rsid w:val="00491380"/>
    <w:rsid w:val="0049459F"/>
    <w:rsid w:val="004960F5"/>
    <w:rsid w:val="004A2D5C"/>
    <w:rsid w:val="004A37A0"/>
    <w:rsid w:val="004A38DD"/>
    <w:rsid w:val="004A772A"/>
    <w:rsid w:val="004B43AE"/>
    <w:rsid w:val="004C2A8B"/>
    <w:rsid w:val="004C30ED"/>
    <w:rsid w:val="004C49D3"/>
    <w:rsid w:val="004D5675"/>
    <w:rsid w:val="004D7619"/>
    <w:rsid w:val="005024F8"/>
    <w:rsid w:val="005045D5"/>
    <w:rsid w:val="00510FBC"/>
    <w:rsid w:val="00517795"/>
    <w:rsid w:val="00523639"/>
    <w:rsid w:val="00531FE5"/>
    <w:rsid w:val="005402FA"/>
    <w:rsid w:val="00540DA8"/>
    <w:rsid w:val="00542F50"/>
    <w:rsid w:val="005456B8"/>
    <w:rsid w:val="00560D4C"/>
    <w:rsid w:val="005729BD"/>
    <w:rsid w:val="00580154"/>
    <w:rsid w:val="00580AC3"/>
    <w:rsid w:val="0058245F"/>
    <w:rsid w:val="00583C39"/>
    <w:rsid w:val="00585347"/>
    <w:rsid w:val="00586A90"/>
    <w:rsid w:val="00587F28"/>
    <w:rsid w:val="005909CF"/>
    <w:rsid w:val="00591E71"/>
    <w:rsid w:val="00594363"/>
    <w:rsid w:val="00596229"/>
    <w:rsid w:val="005A0D41"/>
    <w:rsid w:val="005A6541"/>
    <w:rsid w:val="005B4F01"/>
    <w:rsid w:val="005B62FD"/>
    <w:rsid w:val="005B6F16"/>
    <w:rsid w:val="005C289E"/>
    <w:rsid w:val="005D2E5C"/>
    <w:rsid w:val="005D329F"/>
    <w:rsid w:val="005D646C"/>
    <w:rsid w:val="005E6541"/>
    <w:rsid w:val="005F48ED"/>
    <w:rsid w:val="00606E78"/>
    <w:rsid w:val="00607BF1"/>
    <w:rsid w:val="00614869"/>
    <w:rsid w:val="00614B71"/>
    <w:rsid w:val="00617A10"/>
    <w:rsid w:val="0062370A"/>
    <w:rsid w:val="00630D4D"/>
    <w:rsid w:val="006314EB"/>
    <w:rsid w:val="00632A74"/>
    <w:rsid w:val="00642D3F"/>
    <w:rsid w:val="00654D42"/>
    <w:rsid w:val="00662CE0"/>
    <w:rsid w:val="00666E02"/>
    <w:rsid w:val="00670FB6"/>
    <w:rsid w:val="0067136F"/>
    <w:rsid w:val="00677CE5"/>
    <w:rsid w:val="00685B52"/>
    <w:rsid w:val="006916F1"/>
    <w:rsid w:val="006A4655"/>
    <w:rsid w:val="006A67ED"/>
    <w:rsid w:val="006B2B3C"/>
    <w:rsid w:val="006C0306"/>
    <w:rsid w:val="006C1D81"/>
    <w:rsid w:val="006C66C5"/>
    <w:rsid w:val="006C7038"/>
    <w:rsid w:val="006E0D4A"/>
    <w:rsid w:val="006E4E50"/>
    <w:rsid w:val="006E52EF"/>
    <w:rsid w:val="006E541A"/>
    <w:rsid w:val="006E73EF"/>
    <w:rsid w:val="007040F4"/>
    <w:rsid w:val="007079C9"/>
    <w:rsid w:val="00714120"/>
    <w:rsid w:val="00714D4D"/>
    <w:rsid w:val="0072059B"/>
    <w:rsid w:val="007209E2"/>
    <w:rsid w:val="007266D3"/>
    <w:rsid w:val="00732029"/>
    <w:rsid w:val="007454A4"/>
    <w:rsid w:val="00751920"/>
    <w:rsid w:val="007530CC"/>
    <w:rsid w:val="007567F0"/>
    <w:rsid w:val="007604BB"/>
    <w:rsid w:val="00772909"/>
    <w:rsid w:val="00773069"/>
    <w:rsid w:val="00785232"/>
    <w:rsid w:val="00791BE4"/>
    <w:rsid w:val="0079701E"/>
    <w:rsid w:val="007A21EB"/>
    <w:rsid w:val="007B1A93"/>
    <w:rsid w:val="007B3AD0"/>
    <w:rsid w:val="007B69E1"/>
    <w:rsid w:val="007C17B6"/>
    <w:rsid w:val="007C36C9"/>
    <w:rsid w:val="007C7D3C"/>
    <w:rsid w:val="007D62C9"/>
    <w:rsid w:val="007D6401"/>
    <w:rsid w:val="007E01E4"/>
    <w:rsid w:val="007E7A12"/>
    <w:rsid w:val="007F7107"/>
    <w:rsid w:val="00800D4C"/>
    <w:rsid w:val="008033C2"/>
    <w:rsid w:val="0080539E"/>
    <w:rsid w:val="0081030F"/>
    <w:rsid w:val="00812F4A"/>
    <w:rsid w:val="0082087D"/>
    <w:rsid w:val="00835771"/>
    <w:rsid w:val="00842933"/>
    <w:rsid w:val="008548AE"/>
    <w:rsid w:val="008552CE"/>
    <w:rsid w:val="0086082C"/>
    <w:rsid w:val="00864ADC"/>
    <w:rsid w:val="00874BB8"/>
    <w:rsid w:val="00880153"/>
    <w:rsid w:val="00880F97"/>
    <w:rsid w:val="0088133A"/>
    <w:rsid w:val="0089285E"/>
    <w:rsid w:val="0089436C"/>
    <w:rsid w:val="008968E1"/>
    <w:rsid w:val="008B3678"/>
    <w:rsid w:val="008B4FA2"/>
    <w:rsid w:val="008B5241"/>
    <w:rsid w:val="008D365C"/>
    <w:rsid w:val="008D7622"/>
    <w:rsid w:val="008E2E95"/>
    <w:rsid w:val="00901AB4"/>
    <w:rsid w:val="009021A6"/>
    <w:rsid w:val="009030BF"/>
    <w:rsid w:val="00903B52"/>
    <w:rsid w:val="0091032F"/>
    <w:rsid w:val="009131D3"/>
    <w:rsid w:val="00914368"/>
    <w:rsid w:val="00925C94"/>
    <w:rsid w:val="00931076"/>
    <w:rsid w:val="009345D9"/>
    <w:rsid w:val="00934B15"/>
    <w:rsid w:val="0093770F"/>
    <w:rsid w:val="00940C87"/>
    <w:rsid w:val="00942B62"/>
    <w:rsid w:val="0095323B"/>
    <w:rsid w:val="00956A0C"/>
    <w:rsid w:val="00956BD9"/>
    <w:rsid w:val="00962489"/>
    <w:rsid w:val="00967CD3"/>
    <w:rsid w:val="00987E83"/>
    <w:rsid w:val="00990C2C"/>
    <w:rsid w:val="00993EE8"/>
    <w:rsid w:val="009A2F3A"/>
    <w:rsid w:val="009A5171"/>
    <w:rsid w:val="009B66D6"/>
    <w:rsid w:val="009C502D"/>
    <w:rsid w:val="009C601F"/>
    <w:rsid w:val="009D6C90"/>
    <w:rsid w:val="009E1844"/>
    <w:rsid w:val="009F0D1B"/>
    <w:rsid w:val="009F5BBD"/>
    <w:rsid w:val="009F696D"/>
    <w:rsid w:val="009F6BC6"/>
    <w:rsid w:val="009F74EF"/>
    <w:rsid w:val="00A02826"/>
    <w:rsid w:val="00A058EC"/>
    <w:rsid w:val="00A05FBA"/>
    <w:rsid w:val="00A15D5A"/>
    <w:rsid w:val="00A167AF"/>
    <w:rsid w:val="00A17328"/>
    <w:rsid w:val="00A23A20"/>
    <w:rsid w:val="00A24443"/>
    <w:rsid w:val="00A268B9"/>
    <w:rsid w:val="00A2703A"/>
    <w:rsid w:val="00A33DFF"/>
    <w:rsid w:val="00A35115"/>
    <w:rsid w:val="00A35845"/>
    <w:rsid w:val="00A36D9A"/>
    <w:rsid w:val="00A36E5C"/>
    <w:rsid w:val="00A451DC"/>
    <w:rsid w:val="00A554AB"/>
    <w:rsid w:val="00A57062"/>
    <w:rsid w:val="00A61514"/>
    <w:rsid w:val="00A6442B"/>
    <w:rsid w:val="00A663F4"/>
    <w:rsid w:val="00A67781"/>
    <w:rsid w:val="00A725DA"/>
    <w:rsid w:val="00A73240"/>
    <w:rsid w:val="00A761F9"/>
    <w:rsid w:val="00A764E9"/>
    <w:rsid w:val="00A8760C"/>
    <w:rsid w:val="00A92B53"/>
    <w:rsid w:val="00A94FA6"/>
    <w:rsid w:val="00AA49A0"/>
    <w:rsid w:val="00AA6710"/>
    <w:rsid w:val="00AB0681"/>
    <w:rsid w:val="00AB5E49"/>
    <w:rsid w:val="00AC3A15"/>
    <w:rsid w:val="00AD520B"/>
    <w:rsid w:val="00AE3BCC"/>
    <w:rsid w:val="00AE44F7"/>
    <w:rsid w:val="00AE65FE"/>
    <w:rsid w:val="00B03CB9"/>
    <w:rsid w:val="00B14D27"/>
    <w:rsid w:val="00B20697"/>
    <w:rsid w:val="00B33B0E"/>
    <w:rsid w:val="00B353C9"/>
    <w:rsid w:val="00B425C3"/>
    <w:rsid w:val="00B440AD"/>
    <w:rsid w:val="00B479BB"/>
    <w:rsid w:val="00B533DB"/>
    <w:rsid w:val="00B53E7E"/>
    <w:rsid w:val="00B5444C"/>
    <w:rsid w:val="00B6342E"/>
    <w:rsid w:val="00B63750"/>
    <w:rsid w:val="00B66EAB"/>
    <w:rsid w:val="00B7113F"/>
    <w:rsid w:val="00B724BE"/>
    <w:rsid w:val="00B92875"/>
    <w:rsid w:val="00BA1AEC"/>
    <w:rsid w:val="00BA2BCF"/>
    <w:rsid w:val="00BA5B14"/>
    <w:rsid w:val="00BA73B6"/>
    <w:rsid w:val="00BA7E27"/>
    <w:rsid w:val="00BB2603"/>
    <w:rsid w:val="00BB4FCD"/>
    <w:rsid w:val="00BC04E9"/>
    <w:rsid w:val="00BD13EA"/>
    <w:rsid w:val="00BD1FE8"/>
    <w:rsid w:val="00BD3CA8"/>
    <w:rsid w:val="00BE01B9"/>
    <w:rsid w:val="00BE10FC"/>
    <w:rsid w:val="00BE3808"/>
    <w:rsid w:val="00BF7E2D"/>
    <w:rsid w:val="00C00901"/>
    <w:rsid w:val="00C03B88"/>
    <w:rsid w:val="00C062E9"/>
    <w:rsid w:val="00C07B64"/>
    <w:rsid w:val="00C13721"/>
    <w:rsid w:val="00C13B88"/>
    <w:rsid w:val="00C14FE4"/>
    <w:rsid w:val="00C16DE2"/>
    <w:rsid w:val="00C3066D"/>
    <w:rsid w:val="00C52416"/>
    <w:rsid w:val="00C543F4"/>
    <w:rsid w:val="00C6291C"/>
    <w:rsid w:val="00C633CB"/>
    <w:rsid w:val="00C65794"/>
    <w:rsid w:val="00C664CD"/>
    <w:rsid w:val="00C71A2E"/>
    <w:rsid w:val="00C72F7A"/>
    <w:rsid w:val="00C736B7"/>
    <w:rsid w:val="00C81D4A"/>
    <w:rsid w:val="00C8762C"/>
    <w:rsid w:val="00CA00F9"/>
    <w:rsid w:val="00CA2961"/>
    <w:rsid w:val="00CB50D7"/>
    <w:rsid w:val="00CB7177"/>
    <w:rsid w:val="00CB7CED"/>
    <w:rsid w:val="00CC070F"/>
    <w:rsid w:val="00CC07BF"/>
    <w:rsid w:val="00CC1998"/>
    <w:rsid w:val="00CC1D35"/>
    <w:rsid w:val="00CC4946"/>
    <w:rsid w:val="00CC64A1"/>
    <w:rsid w:val="00CD0EF2"/>
    <w:rsid w:val="00CD33C4"/>
    <w:rsid w:val="00CF3B11"/>
    <w:rsid w:val="00CF595F"/>
    <w:rsid w:val="00D0463B"/>
    <w:rsid w:val="00D24DC6"/>
    <w:rsid w:val="00D24FF1"/>
    <w:rsid w:val="00D270A4"/>
    <w:rsid w:val="00D31FE9"/>
    <w:rsid w:val="00D3432C"/>
    <w:rsid w:val="00D34E1B"/>
    <w:rsid w:val="00D376BA"/>
    <w:rsid w:val="00D40E4C"/>
    <w:rsid w:val="00D41CA8"/>
    <w:rsid w:val="00D42326"/>
    <w:rsid w:val="00D434A0"/>
    <w:rsid w:val="00D441CB"/>
    <w:rsid w:val="00D44C7B"/>
    <w:rsid w:val="00D45634"/>
    <w:rsid w:val="00D51691"/>
    <w:rsid w:val="00D5568A"/>
    <w:rsid w:val="00D63D73"/>
    <w:rsid w:val="00D64452"/>
    <w:rsid w:val="00D66E1E"/>
    <w:rsid w:val="00D70696"/>
    <w:rsid w:val="00D75722"/>
    <w:rsid w:val="00D76BB6"/>
    <w:rsid w:val="00D80CF5"/>
    <w:rsid w:val="00D8384C"/>
    <w:rsid w:val="00DA5BBA"/>
    <w:rsid w:val="00DB1FD1"/>
    <w:rsid w:val="00DB26D2"/>
    <w:rsid w:val="00DB67C9"/>
    <w:rsid w:val="00DC0C95"/>
    <w:rsid w:val="00DC4F0B"/>
    <w:rsid w:val="00DD6580"/>
    <w:rsid w:val="00DD6FDC"/>
    <w:rsid w:val="00DE21B7"/>
    <w:rsid w:val="00DE61AC"/>
    <w:rsid w:val="00E01D7F"/>
    <w:rsid w:val="00E0470B"/>
    <w:rsid w:val="00E05C03"/>
    <w:rsid w:val="00E115F6"/>
    <w:rsid w:val="00E14D64"/>
    <w:rsid w:val="00E15C9F"/>
    <w:rsid w:val="00E17C72"/>
    <w:rsid w:val="00E21FC6"/>
    <w:rsid w:val="00E2321D"/>
    <w:rsid w:val="00E41C16"/>
    <w:rsid w:val="00E431A9"/>
    <w:rsid w:val="00E65A28"/>
    <w:rsid w:val="00E669E2"/>
    <w:rsid w:val="00E76135"/>
    <w:rsid w:val="00E82F4F"/>
    <w:rsid w:val="00E8395E"/>
    <w:rsid w:val="00E84061"/>
    <w:rsid w:val="00E864DF"/>
    <w:rsid w:val="00E86E22"/>
    <w:rsid w:val="00E93618"/>
    <w:rsid w:val="00E96DCA"/>
    <w:rsid w:val="00EB2CC3"/>
    <w:rsid w:val="00EB7A08"/>
    <w:rsid w:val="00EC2844"/>
    <w:rsid w:val="00EC5500"/>
    <w:rsid w:val="00EC7C6D"/>
    <w:rsid w:val="00ED18F8"/>
    <w:rsid w:val="00EE6EDA"/>
    <w:rsid w:val="00EE778E"/>
    <w:rsid w:val="00EF6719"/>
    <w:rsid w:val="00EF6C6C"/>
    <w:rsid w:val="00F03B0D"/>
    <w:rsid w:val="00F04B30"/>
    <w:rsid w:val="00F056FC"/>
    <w:rsid w:val="00F0632F"/>
    <w:rsid w:val="00F069AE"/>
    <w:rsid w:val="00F10476"/>
    <w:rsid w:val="00F135D8"/>
    <w:rsid w:val="00F31299"/>
    <w:rsid w:val="00F34A5E"/>
    <w:rsid w:val="00F3534A"/>
    <w:rsid w:val="00F35BFB"/>
    <w:rsid w:val="00F36ACC"/>
    <w:rsid w:val="00F51609"/>
    <w:rsid w:val="00F55C25"/>
    <w:rsid w:val="00F646FF"/>
    <w:rsid w:val="00F73727"/>
    <w:rsid w:val="00F73C22"/>
    <w:rsid w:val="00F766A7"/>
    <w:rsid w:val="00F81006"/>
    <w:rsid w:val="00F81F3D"/>
    <w:rsid w:val="00F85325"/>
    <w:rsid w:val="00FA6EBC"/>
    <w:rsid w:val="00FB19CB"/>
    <w:rsid w:val="00FB5358"/>
    <w:rsid w:val="00FC7342"/>
    <w:rsid w:val="00FD22B1"/>
    <w:rsid w:val="00FD2766"/>
    <w:rsid w:val="00FD3172"/>
    <w:rsid w:val="00FD33F1"/>
    <w:rsid w:val="00FD3566"/>
    <w:rsid w:val="00FE5397"/>
    <w:rsid w:val="00FE54AA"/>
    <w:rsid w:val="00FF66E8"/>
    <w:rsid w:val="00FF7F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D09933B9-171D-48F2-AB00-ABCEC94F0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link w:val="SourceChar"/>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rsid w:val="00A17328"/>
    <w:rPr>
      <w:b/>
      <w:vanish/>
      <w:color w:val="FF00FF"/>
      <w:sz w:val="20"/>
    </w:rPr>
  </w:style>
  <w:style w:type="paragraph" w:styleId="CommentText">
    <w:name w:val="annotation text"/>
    <w:basedOn w:val="Normal"/>
    <w:link w:val="CommentTextChar1"/>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link w:val="FigureChar"/>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rsid w:val="00F85325"/>
    <w:pPr>
      <w:numPr>
        <w:numId w:val="11"/>
      </w:numPr>
      <w:spacing w:before="80"/>
    </w:pPr>
  </w:style>
  <w:style w:type="paragraph" w:customStyle="1" w:styleId="RecBNoTitle">
    <w:name w:val="RecB NoTitle"/>
    <w:basedOn w:val="RecB"/>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rsid w:val="00A17328"/>
    <w:rPr>
      <w:vanish/>
      <w:sz w:val="16"/>
    </w:rPr>
  </w:style>
  <w:style w:type="paragraph" w:customStyle="1" w:styleId="SideNote">
    <w:name w:val="Side Note"/>
    <w:basedOn w:val="BodyText"/>
    <w:next w:val="BodyText"/>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rsid w:val="00A17328"/>
    <w:pPr>
      <w:framePr w:wrap="around"/>
      <w:numPr>
        <w:numId w:val="7"/>
      </w:numPr>
      <w:tabs>
        <w:tab w:val="left" w:pos="227"/>
      </w:tabs>
    </w:pPr>
  </w:style>
  <w:style w:type="paragraph" w:customStyle="1" w:styleId="SideNoteGraphic">
    <w:name w:val="Side Note Graphic"/>
    <w:basedOn w:val="SideNote"/>
    <w:next w:val="BodyText"/>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2A5D84"/>
    <w:rPr>
      <w:rFonts w:ascii="Arial" w:hAnsi="Arial"/>
      <w:b/>
      <w:sz w:val="18"/>
    </w:rPr>
  </w:style>
  <w:style w:type="character" w:customStyle="1" w:styleId="BoxChar">
    <w:name w:val="Box Char"/>
    <w:basedOn w:val="DefaultParagraphFont"/>
    <w:link w:val="Box"/>
    <w:locked/>
    <w:rsid w:val="002A5D84"/>
    <w:rPr>
      <w:rFonts w:ascii="Arial" w:hAnsi="Arial"/>
    </w:rPr>
  </w:style>
  <w:style w:type="character" w:customStyle="1" w:styleId="CommentTextChar">
    <w:name w:val="Comment Text Char"/>
    <w:basedOn w:val="DefaultParagraphFont"/>
    <w:semiHidden/>
    <w:rsid w:val="002A5D84"/>
    <w:rPr>
      <w:szCs w:val="24"/>
    </w:rPr>
  </w:style>
  <w:style w:type="character" w:customStyle="1" w:styleId="FootnoteTextChar">
    <w:name w:val="Footnote Text Char"/>
    <w:basedOn w:val="DefaultParagraphFont"/>
    <w:link w:val="FootnoteText"/>
    <w:rsid w:val="002A5D84"/>
  </w:style>
  <w:style w:type="character" w:customStyle="1" w:styleId="QuoteChar">
    <w:name w:val="Quote Char"/>
    <w:basedOn w:val="DefaultParagraphFont"/>
    <w:link w:val="Quote"/>
    <w:rsid w:val="002A5D84"/>
    <w:rPr>
      <w:sz w:val="22"/>
    </w:rPr>
  </w:style>
  <w:style w:type="paragraph" w:styleId="CommentSubject">
    <w:name w:val="annotation subject"/>
    <w:basedOn w:val="CommentText"/>
    <w:next w:val="CommentText"/>
    <w:link w:val="CommentSubjectChar"/>
    <w:unhideWhenUsed/>
    <w:rsid w:val="002A5D84"/>
    <w:pPr>
      <w:spacing w:before="0" w:line="240" w:lineRule="auto"/>
      <w:ind w:left="0" w:firstLine="0"/>
    </w:pPr>
    <w:rPr>
      <w:b/>
      <w:bCs/>
      <w:szCs w:val="20"/>
    </w:rPr>
  </w:style>
  <w:style w:type="character" w:customStyle="1" w:styleId="CommentTextChar1">
    <w:name w:val="Comment Text Char1"/>
    <w:basedOn w:val="DefaultParagraphFont"/>
    <w:link w:val="CommentText"/>
    <w:semiHidden/>
    <w:rsid w:val="002A5D84"/>
    <w:rPr>
      <w:szCs w:val="24"/>
    </w:rPr>
  </w:style>
  <w:style w:type="character" w:customStyle="1" w:styleId="CommentSubjectChar">
    <w:name w:val="Comment Subject Char"/>
    <w:basedOn w:val="CommentTextChar1"/>
    <w:link w:val="CommentSubject"/>
    <w:rsid w:val="002A5D84"/>
    <w:rPr>
      <w:b/>
      <w:bCs/>
      <w:szCs w:val="24"/>
    </w:rPr>
  </w:style>
  <w:style w:type="character" w:customStyle="1" w:styleId="Heading3Char">
    <w:name w:val="Heading 3 Char"/>
    <w:basedOn w:val="DefaultParagraphFont"/>
    <w:link w:val="Heading3"/>
    <w:rsid w:val="002A5D84"/>
    <w:rPr>
      <w:rFonts w:ascii="Arial" w:hAnsi="Arial"/>
      <w:b/>
      <w:sz w:val="26"/>
    </w:rPr>
  </w:style>
  <w:style w:type="paragraph" w:customStyle="1" w:styleId="BoxSpaceAboveElement">
    <w:name w:val="Box Space Above Element"/>
    <w:basedOn w:val="BoxSpaceAbove"/>
    <w:link w:val="BoxSpaceAboveElementChar"/>
    <w:qFormat/>
    <w:rsid w:val="002A5D84"/>
    <w:pPr>
      <w:spacing w:before="240"/>
    </w:pPr>
    <w:rPr>
      <w:b/>
      <w:vanish/>
      <w:color w:val="FF00FF"/>
      <w:sz w:val="14"/>
    </w:rPr>
  </w:style>
  <w:style w:type="character" w:customStyle="1" w:styleId="BoxSpaceAboveElementChar">
    <w:name w:val="Box Space Above Element Char"/>
    <w:basedOn w:val="DefaultParagraphFont"/>
    <w:link w:val="BoxSpaceAboveElement"/>
    <w:rsid w:val="002A5D84"/>
    <w:rPr>
      <w:b/>
      <w:vanish/>
      <w:color w:val="FF00FF"/>
      <w:sz w:val="14"/>
    </w:rPr>
  </w:style>
  <w:style w:type="paragraph" w:customStyle="1" w:styleId="Bullet">
    <w:name w:val="Bullet"/>
    <w:aliases w:val="b,b1,b + line,level 1,Body"/>
    <w:basedOn w:val="Normal"/>
    <w:link w:val="BulletChar"/>
    <w:uiPriority w:val="99"/>
    <w:qFormat/>
    <w:rsid w:val="002A5D84"/>
    <w:pPr>
      <w:tabs>
        <w:tab w:val="num" w:pos="567"/>
      </w:tabs>
      <w:spacing w:after="200" w:line="276" w:lineRule="auto"/>
      <w:ind w:left="567" w:hanging="567"/>
    </w:pPr>
    <w:rPr>
      <w:rFonts w:asciiTheme="minorHAnsi" w:eastAsiaTheme="minorHAnsi" w:hAnsiTheme="minorHAnsi" w:cstheme="minorBidi"/>
      <w:szCs w:val="22"/>
      <w:lang w:eastAsia="en-US"/>
    </w:rPr>
  </w:style>
  <w:style w:type="character" w:customStyle="1" w:styleId="BulletChar">
    <w:name w:val="Bullet Char"/>
    <w:aliases w:val="b Char,b Char Char,b + line Char Char"/>
    <w:basedOn w:val="DefaultParagraphFont"/>
    <w:link w:val="Bullet"/>
    <w:uiPriority w:val="99"/>
    <w:rsid w:val="002A5D84"/>
    <w:rPr>
      <w:rFonts w:asciiTheme="minorHAnsi" w:eastAsiaTheme="minorHAnsi" w:hAnsiTheme="minorHAnsi" w:cstheme="minorBidi"/>
      <w:sz w:val="24"/>
      <w:szCs w:val="22"/>
      <w:lang w:eastAsia="en-US"/>
    </w:rPr>
  </w:style>
  <w:style w:type="character" w:customStyle="1" w:styleId="BoxListBulletChar">
    <w:name w:val="Box List Bullet Char"/>
    <w:basedOn w:val="DefaultParagraphFont"/>
    <w:link w:val="BoxListBullet"/>
    <w:locked/>
    <w:rsid w:val="002A5D84"/>
    <w:rPr>
      <w:rFonts w:ascii="Arial" w:hAnsi="Arial"/>
    </w:rPr>
  </w:style>
  <w:style w:type="paragraph" w:styleId="NormalWeb">
    <w:name w:val="Normal (Web)"/>
    <w:basedOn w:val="Normal"/>
    <w:uiPriority w:val="99"/>
    <w:unhideWhenUsed/>
    <w:rsid w:val="002A5D84"/>
    <w:pPr>
      <w:spacing w:before="100" w:beforeAutospacing="1" w:after="100" w:afterAutospacing="1"/>
    </w:pPr>
    <w:rPr>
      <w:rFonts w:eastAsiaTheme="minorEastAsia"/>
    </w:rPr>
  </w:style>
  <w:style w:type="paragraph" w:styleId="ListParagraph">
    <w:name w:val="List Paragraph"/>
    <w:basedOn w:val="Normal"/>
    <w:uiPriority w:val="34"/>
    <w:qFormat/>
    <w:rsid w:val="002A5D84"/>
    <w:pPr>
      <w:ind w:left="720"/>
      <w:contextualSpacing/>
    </w:pPr>
  </w:style>
  <w:style w:type="paragraph" w:styleId="Revision">
    <w:name w:val="Revision"/>
    <w:hidden/>
    <w:uiPriority w:val="99"/>
    <w:semiHidden/>
    <w:rsid w:val="002A5D84"/>
    <w:rPr>
      <w:sz w:val="24"/>
      <w:szCs w:val="24"/>
    </w:rPr>
  </w:style>
  <w:style w:type="character" w:styleId="Hyperlink">
    <w:name w:val="Hyperlink"/>
    <w:basedOn w:val="DefaultParagraphFont"/>
    <w:unhideWhenUsed/>
    <w:rsid w:val="002A5D84"/>
    <w:rPr>
      <w:color w:val="0000FF"/>
      <w:u w:val="single"/>
    </w:rPr>
  </w:style>
  <w:style w:type="character" w:styleId="FollowedHyperlink">
    <w:name w:val="FollowedHyperlink"/>
    <w:basedOn w:val="DefaultParagraphFont"/>
    <w:semiHidden/>
    <w:unhideWhenUsed/>
    <w:rsid w:val="002A5D84"/>
    <w:rPr>
      <w:color w:val="BFBFBF" w:themeColor="followedHyperlink"/>
      <w:u w:val="single"/>
    </w:rPr>
  </w:style>
  <w:style w:type="character" w:customStyle="1" w:styleId="Heading2Char">
    <w:name w:val="Heading 2 Char"/>
    <w:basedOn w:val="DefaultParagraphFont"/>
    <w:link w:val="Heading2"/>
    <w:rsid w:val="002A5D84"/>
    <w:rPr>
      <w:rFonts w:ascii="Arial" w:hAnsi="Arial"/>
      <w:b/>
      <w:sz w:val="32"/>
    </w:rPr>
  </w:style>
  <w:style w:type="character" w:customStyle="1" w:styleId="Heading4Char">
    <w:name w:val="Heading 4 Char"/>
    <w:basedOn w:val="DefaultParagraphFont"/>
    <w:link w:val="Heading4"/>
    <w:rsid w:val="002A5D84"/>
    <w:rPr>
      <w:rFonts w:ascii="Arial" w:hAnsi="Arial"/>
      <w:sz w:val="24"/>
    </w:rPr>
  </w:style>
  <w:style w:type="character" w:customStyle="1" w:styleId="UnresolvedMention1">
    <w:name w:val="Unresolved Mention1"/>
    <w:basedOn w:val="DefaultParagraphFont"/>
    <w:uiPriority w:val="99"/>
    <w:semiHidden/>
    <w:unhideWhenUsed/>
    <w:rsid w:val="002A5D84"/>
    <w:rPr>
      <w:color w:val="605E5C"/>
      <w:shd w:val="clear" w:color="auto" w:fill="E1DFDD"/>
    </w:rPr>
  </w:style>
  <w:style w:type="character" w:customStyle="1" w:styleId="Heading1Char">
    <w:name w:val="Heading 1 Char"/>
    <w:basedOn w:val="DefaultParagraphFont"/>
    <w:link w:val="Heading1"/>
    <w:rsid w:val="002A5D84"/>
    <w:rPr>
      <w:sz w:val="52"/>
    </w:rPr>
  </w:style>
  <w:style w:type="character" w:customStyle="1" w:styleId="Heading6Char">
    <w:name w:val="Heading 6 Char"/>
    <w:basedOn w:val="DefaultParagraphFont"/>
    <w:link w:val="Heading6"/>
    <w:semiHidden/>
    <w:rsid w:val="002A5D84"/>
    <w:rPr>
      <w:i/>
      <w:sz w:val="22"/>
    </w:rPr>
  </w:style>
  <w:style w:type="character" w:customStyle="1" w:styleId="Heading7Char">
    <w:name w:val="Heading 7 Char"/>
    <w:basedOn w:val="DefaultParagraphFont"/>
    <w:link w:val="Heading7"/>
    <w:semiHidden/>
    <w:rsid w:val="002A5D84"/>
    <w:rPr>
      <w:rFonts w:ascii="Arial" w:hAnsi="Arial"/>
    </w:rPr>
  </w:style>
  <w:style w:type="character" w:customStyle="1" w:styleId="Heading8Char">
    <w:name w:val="Heading 8 Char"/>
    <w:basedOn w:val="DefaultParagraphFont"/>
    <w:link w:val="Heading8"/>
    <w:semiHidden/>
    <w:rsid w:val="002A5D84"/>
    <w:rPr>
      <w:rFonts w:ascii="Arial" w:hAnsi="Arial"/>
      <w:i/>
    </w:rPr>
  </w:style>
  <w:style w:type="character" w:customStyle="1" w:styleId="Heading9Char">
    <w:name w:val="Heading 9 Char"/>
    <w:basedOn w:val="DefaultParagraphFont"/>
    <w:link w:val="Heading9"/>
    <w:semiHidden/>
    <w:rsid w:val="002A5D84"/>
    <w:rPr>
      <w:rFonts w:ascii="Arial" w:hAnsi="Arial"/>
      <w:b/>
      <w:i/>
      <w:sz w:val="18"/>
    </w:rPr>
  </w:style>
  <w:style w:type="character" w:customStyle="1" w:styleId="HeaderChar">
    <w:name w:val="Header Char"/>
    <w:basedOn w:val="DefaultParagraphFont"/>
    <w:link w:val="Header"/>
    <w:rsid w:val="002A5D84"/>
    <w:rPr>
      <w:rFonts w:ascii="Arial" w:hAnsi="Arial"/>
      <w:caps/>
      <w:sz w:val="24"/>
    </w:rPr>
  </w:style>
  <w:style w:type="paragraph" w:customStyle="1" w:styleId="BoxSpace">
    <w:name w:val="Box Space"/>
    <w:basedOn w:val="Normal"/>
    <w:rsid w:val="002A5D84"/>
    <w:pPr>
      <w:keepNext/>
      <w:spacing w:before="360" w:line="80" w:lineRule="exact"/>
    </w:pPr>
  </w:style>
  <w:style w:type="paragraph" w:customStyle="1" w:styleId="DocInfo">
    <w:name w:val="Doc Info"/>
    <w:basedOn w:val="Normal"/>
    <w:next w:val="Normal"/>
    <w:rsid w:val="002A5D84"/>
    <w:pPr>
      <w:jc w:val="center"/>
    </w:pPr>
    <w:rPr>
      <w:rFonts w:ascii="Arial" w:hAnsi="Arial"/>
      <w:sz w:val="14"/>
    </w:rPr>
  </w:style>
  <w:style w:type="paragraph" w:customStyle="1" w:styleId="Dash">
    <w:name w:val="Dash"/>
    <w:basedOn w:val="Normal"/>
    <w:uiPriority w:val="99"/>
    <w:qFormat/>
    <w:rsid w:val="002A5D84"/>
    <w:pPr>
      <w:tabs>
        <w:tab w:val="num" w:pos="1134"/>
      </w:tabs>
      <w:spacing w:after="200" w:line="276" w:lineRule="auto"/>
      <w:ind w:left="1134" w:hanging="567"/>
    </w:pPr>
    <w:rPr>
      <w:rFonts w:asciiTheme="minorHAnsi" w:eastAsiaTheme="minorHAnsi" w:hAnsiTheme="minorHAnsi" w:cstheme="minorBidi"/>
      <w:szCs w:val="22"/>
      <w:lang w:eastAsia="en-US"/>
    </w:rPr>
  </w:style>
  <w:style w:type="paragraph" w:customStyle="1" w:styleId="DoubleDot">
    <w:name w:val="Double Dot"/>
    <w:basedOn w:val="Normal"/>
    <w:uiPriority w:val="99"/>
    <w:qFormat/>
    <w:rsid w:val="002A5D84"/>
    <w:pPr>
      <w:tabs>
        <w:tab w:val="num" w:pos="1701"/>
      </w:tabs>
      <w:spacing w:after="200" w:line="276" w:lineRule="auto"/>
      <w:ind w:left="1701" w:hanging="567"/>
    </w:pPr>
    <w:rPr>
      <w:rFonts w:asciiTheme="minorHAnsi" w:eastAsiaTheme="minorHAnsi" w:hAnsiTheme="minorHAnsi" w:cstheme="minorBidi"/>
      <w:szCs w:val="22"/>
      <w:lang w:eastAsia="en-US"/>
    </w:rPr>
  </w:style>
  <w:style w:type="paragraph" w:customStyle="1" w:styleId="NumberedParagraph">
    <w:name w:val="Numbered Paragraph"/>
    <w:basedOn w:val="Normal"/>
    <w:link w:val="NumberedParagraphChar"/>
    <w:rsid w:val="002A5D84"/>
    <w:pPr>
      <w:numPr>
        <w:numId w:val="23"/>
      </w:numPr>
      <w:spacing w:after="200" w:line="276" w:lineRule="auto"/>
    </w:pPr>
    <w:rPr>
      <w:rFonts w:eastAsiaTheme="minorHAnsi" w:cstheme="minorBidi"/>
      <w:szCs w:val="22"/>
      <w:lang w:eastAsia="en-US"/>
    </w:rPr>
  </w:style>
  <w:style w:type="character" w:customStyle="1" w:styleId="NumberedParagraphChar">
    <w:name w:val="Numbered Paragraph Char"/>
    <w:basedOn w:val="DefaultParagraphFont"/>
    <w:link w:val="NumberedParagraph"/>
    <w:rsid w:val="002A5D84"/>
    <w:rPr>
      <w:rFonts w:eastAsiaTheme="minorHAnsi" w:cstheme="minorBidi"/>
      <w:sz w:val="24"/>
      <w:szCs w:val="22"/>
      <w:lang w:eastAsia="en-US"/>
    </w:rPr>
  </w:style>
  <w:style w:type="character" w:styleId="SubtleEmphasis">
    <w:name w:val="Subtle Emphasis"/>
    <w:basedOn w:val="DefaultParagraphFont"/>
    <w:uiPriority w:val="19"/>
    <w:qFormat/>
    <w:rsid w:val="002A5D84"/>
    <w:rPr>
      <w:i/>
      <w:iCs/>
      <w:color w:val="404040" w:themeColor="text1" w:themeTint="BF"/>
    </w:rPr>
  </w:style>
  <w:style w:type="character" w:styleId="IntenseEmphasis">
    <w:name w:val="Intense Emphasis"/>
    <w:basedOn w:val="DefaultParagraphFont"/>
    <w:uiPriority w:val="21"/>
    <w:qFormat/>
    <w:rsid w:val="002A5D84"/>
    <w:rPr>
      <w:i/>
      <w:iCs/>
      <w:color w:val="78A22F" w:themeColor="accent1"/>
    </w:rPr>
  </w:style>
  <w:style w:type="paragraph" w:customStyle="1" w:styleId="Default">
    <w:name w:val="Default"/>
    <w:rsid w:val="002A5D84"/>
    <w:pPr>
      <w:autoSpaceDE w:val="0"/>
      <w:autoSpaceDN w:val="0"/>
      <w:adjustRightInd w:val="0"/>
    </w:pPr>
    <w:rPr>
      <w:color w:val="000000"/>
      <w:sz w:val="24"/>
      <w:szCs w:val="24"/>
    </w:rPr>
  </w:style>
  <w:style w:type="paragraph" w:styleId="Bibliography">
    <w:name w:val="Bibliography"/>
    <w:basedOn w:val="Normal"/>
    <w:next w:val="Normal"/>
    <w:uiPriority w:val="37"/>
    <w:unhideWhenUsed/>
    <w:rsid w:val="002A5D84"/>
    <w:pPr>
      <w:spacing w:after="240"/>
      <w:ind w:left="720" w:hanging="720"/>
    </w:pPr>
  </w:style>
  <w:style w:type="character" w:styleId="EndnoteReference">
    <w:name w:val="endnote reference"/>
    <w:basedOn w:val="DefaultParagraphFont"/>
    <w:semiHidden/>
    <w:unhideWhenUsed/>
    <w:rsid w:val="002A5D84"/>
    <w:rPr>
      <w:vertAlign w:val="superscript"/>
    </w:rPr>
  </w:style>
  <w:style w:type="character" w:customStyle="1" w:styleId="SourceChar">
    <w:name w:val="Source Char"/>
    <w:basedOn w:val="DefaultParagraphFont"/>
    <w:link w:val="Source"/>
    <w:locked/>
    <w:rsid w:val="002A5D84"/>
    <w:rPr>
      <w:rFonts w:ascii="Arial" w:hAnsi="Arial"/>
      <w:sz w:val="18"/>
    </w:rPr>
  </w:style>
  <w:style w:type="paragraph" w:styleId="EndnoteText">
    <w:name w:val="endnote text"/>
    <w:basedOn w:val="Normal"/>
    <w:link w:val="EndnoteTextChar"/>
    <w:semiHidden/>
    <w:unhideWhenUsed/>
    <w:rsid w:val="002A5D84"/>
    <w:rPr>
      <w:sz w:val="20"/>
      <w:szCs w:val="20"/>
    </w:rPr>
  </w:style>
  <w:style w:type="character" w:customStyle="1" w:styleId="EndnoteTextChar">
    <w:name w:val="Endnote Text Char"/>
    <w:basedOn w:val="DefaultParagraphFont"/>
    <w:link w:val="EndnoteText"/>
    <w:semiHidden/>
    <w:rsid w:val="002A5D84"/>
  </w:style>
  <w:style w:type="character" w:customStyle="1" w:styleId="FigureChar">
    <w:name w:val="Figure Char"/>
    <w:basedOn w:val="DefaultParagraphFont"/>
    <w:link w:val="Figure"/>
    <w:locked/>
    <w:rsid w:val="002A5D84"/>
    <w:rPr>
      <w:sz w:val="24"/>
    </w:rPr>
  </w:style>
  <w:style w:type="character" w:customStyle="1" w:styleId="BodyTextstylesChar">
    <w:name w:val="Body (Text styles) Char"/>
    <w:basedOn w:val="DefaultParagraphFont"/>
    <w:link w:val="BodyTextstyles"/>
    <w:uiPriority w:val="99"/>
    <w:locked/>
    <w:rsid w:val="002A5D84"/>
    <w:rPr>
      <w:rFonts w:asciiTheme="majorHAnsi" w:hAnsiTheme="majorHAnsi" w:cs="MyriadPro-Light"/>
      <w:color w:val="000000"/>
      <w:sz w:val="22"/>
      <w:szCs w:val="22"/>
    </w:rPr>
  </w:style>
  <w:style w:type="paragraph" w:customStyle="1" w:styleId="BodyTextstyles">
    <w:name w:val="Body (Text styles)"/>
    <w:basedOn w:val="Normal"/>
    <w:link w:val="BodyTextstylesChar"/>
    <w:uiPriority w:val="99"/>
    <w:rsid w:val="002A5D84"/>
    <w:pPr>
      <w:widowControl w:val="0"/>
      <w:suppressAutoHyphens/>
      <w:autoSpaceDE w:val="0"/>
      <w:autoSpaceDN w:val="0"/>
      <w:adjustRightInd w:val="0"/>
      <w:spacing w:after="120" w:line="300" w:lineRule="atLeast"/>
    </w:pPr>
    <w:rPr>
      <w:rFonts w:asciiTheme="majorHAnsi" w:hAnsiTheme="majorHAnsi" w:cs="MyriadPro-Light"/>
      <w:color w:val="000000"/>
      <w:sz w:val="22"/>
      <w:szCs w:val="22"/>
    </w:rPr>
  </w:style>
  <w:style w:type="paragraph" w:customStyle="1" w:styleId="mutual">
    <w:name w:val="mutual"/>
    <w:basedOn w:val="BodyText"/>
    <w:rsid w:val="002A5D84"/>
  </w:style>
  <w:style w:type="paragraph" w:customStyle="1" w:styleId="Heading2NotTOC">
    <w:name w:val="Heading 2 Not TOC"/>
    <w:basedOn w:val="Heading2"/>
    <w:next w:val="BodyText"/>
    <w:rsid w:val="002A5D84"/>
  </w:style>
  <w:style w:type="paragraph" w:customStyle="1" w:styleId="Heading1NotTOC">
    <w:name w:val="Heading 1 Not TOC"/>
    <w:basedOn w:val="Heading1"/>
    <w:next w:val="BodyText"/>
    <w:rsid w:val="002A5D84"/>
    <w:rPr>
      <w:kern w:val="28"/>
      <w:szCs w:val="26"/>
      <w:lang w:eastAsia="en-US"/>
    </w:rPr>
  </w:style>
  <w:style w:type="paragraph" w:customStyle="1" w:styleId="Copyrightheading">
    <w:name w:val="Copyright heading"/>
    <w:basedOn w:val="TOC1"/>
    <w:link w:val="CopyrightheadingChar"/>
    <w:qFormat/>
    <w:rsid w:val="002A5D84"/>
    <w:pPr>
      <w:spacing w:line="300" w:lineRule="exact"/>
    </w:pPr>
    <w:rPr>
      <w:sz w:val="22"/>
    </w:rPr>
  </w:style>
  <w:style w:type="character" w:customStyle="1" w:styleId="CopyrightheadingChar">
    <w:name w:val="Copyright heading Char"/>
    <w:basedOn w:val="TOC1Char"/>
    <w:link w:val="Copyrightheading"/>
    <w:rsid w:val="002A5D84"/>
    <w:rPr>
      <w:rFonts w:ascii="Arial" w:hAnsi="Arial"/>
      <w:b/>
      <w:sz w:val="22"/>
      <w:szCs w:val="26"/>
      <w:lang w:eastAsia="en-US"/>
    </w:rPr>
  </w:style>
  <w:style w:type="paragraph" w:customStyle="1" w:styleId="Copyrightsubtitle">
    <w:name w:val="Copyright subtitle"/>
    <w:basedOn w:val="BodyText"/>
    <w:rsid w:val="002A5D84"/>
    <w:rPr>
      <w:rFonts w:ascii="Arial" w:hAnsi="Arial"/>
      <w:b/>
      <w:sz w:val="22"/>
      <w:szCs w:val="25"/>
    </w:rPr>
  </w:style>
  <w:style w:type="paragraph" w:customStyle="1" w:styleId="Copyrightbodytext">
    <w:name w:val="Copyright bodytext"/>
    <w:basedOn w:val="BodyText"/>
    <w:link w:val="CopyrightbodytextChar"/>
    <w:qFormat/>
    <w:rsid w:val="002A5D84"/>
    <w:pPr>
      <w:spacing w:before="60"/>
    </w:pPr>
  </w:style>
  <w:style w:type="character" w:customStyle="1" w:styleId="CopyrightbodytextChar">
    <w:name w:val="Copyright bodytext Char"/>
    <w:basedOn w:val="BodyTextChar"/>
    <w:link w:val="Copyrightbodytext"/>
    <w:rsid w:val="002A5D84"/>
    <w:rPr>
      <w:sz w:val="24"/>
    </w:rPr>
  </w:style>
  <w:style w:type="paragraph" w:styleId="PlainText">
    <w:name w:val="Plain Text"/>
    <w:basedOn w:val="Normal"/>
    <w:link w:val="PlainTextChar"/>
    <w:uiPriority w:val="99"/>
    <w:semiHidden/>
    <w:unhideWhenUsed/>
    <w:rsid w:val="002A5D84"/>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2A5D84"/>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540663">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c.gov.au/" TargetMode="External"/><Relationship Id="rId18" Type="http://schemas.openxmlformats.org/officeDocument/2006/relationships/header" Target="header3.xml"/><Relationship Id="rId26" Type="http://schemas.openxmlformats.org/officeDocument/2006/relationships/image" Target="media/image7.emf"/><Relationship Id="rId39"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5.emf"/><Relationship Id="rId42" Type="http://schemas.openxmlformats.org/officeDocument/2006/relationships/image" Target="media/image23.emf"/><Relationship Id="rId47" Type="http://schemas.openxmlformats.org/officeDocument/2006/relationships/header" Target="header5.xml"/><Relationship Id="rId50"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s://www.pmc.gov.au/government/commonwealth-coat-arms" TargetMode="External"/><Relationship Id="rId17" Type="http://schemas.openxmlformats.org/officeDocument/2006/relationships/footer" Target="footer2.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10.emf"/><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au" TargetMode="Externa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8.png"/><Relationship Id="rId40" Type="http://schemas.openxmlformats.org/officeDocument/2006/relationships/image" Target="media/image21.emf"/><Relationship Id="rId45" Type="http://schemas.openxmlformats.org/officeDocument/2006/relationships/image" Target="media/image26.em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footer" Target="footer5.xml"/><Relationship Id="rId10" Type="http://schemas.openxmlformats.org/officeDocument/2006/relationships/hyperlink" Target="http://creativecommons.org/licenses/by/3.0/au" TargetMode="External"/><Relationship Id="rId19" Type="http://schemas.openxmlformats.org/officeDocument/2006/relationships/header" Target="header4.xm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E8F72-0A82-4F5A-A79C-93D84ECF3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E870E2BE.dotm</Template>
  <TotalTime>23</TotalTime>
  <Pages>54</Pages>
  <Words>16615</Words>
  <Characters>91330</Characters>
  <Application>Microsoft Office Word</Application>
  <DocSecurity>0</DocSecurity>
  <Lines>761</Lines>
  <Paragraphs>215</Paragraphs>
  <ScaleCrop>false</ScaleCrop>
  <HeadingPairs>
    <vt:vector size="2" baseType="variant">
      <vt:variant>
        <vt:lpstr>Title</vt:lpstr>
      </vt:variant>
      <vt:variant>
        <vt:i4>1</vt:i4>
      </vt:variant>
    </vt:vector>
  </HeadingPairs>
  <TitlesOfParts>
    <vt:vector size="1" baseType="lpstr">
      <vt:lpstr>Overview - Remote Area Tax Concessions and Payments - Study Report</vt:lpstr>
    </vt:vector>
  </TitlesOfParts>
  <Company>Productivity Commission</Company>
  <LinksUpToDate>false</LinksUpToDate>
  <CharactersWithSpaces>107730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 Remote Area Tax Concessions and Payments - Study Report</dc:title>
  <dc:subject/>
  <dc:creator>Productivity Commission</dc:creator>
  <cp:keywords/>
  <dc:description/>
  <cp:lastModifiedBy>Productivity Commission</cp:lastModifiedBy>
  <cp:revision>6</cp:revision>
  <cp:lastPrinted>2020-02-23T23:27:00Z</cp:lastPrinted>
  <dcterms:created xsi:type="dcterms:W3CDTF">2020-02-23T23:17:00Z</dcterms:created>
  <dcterms:modified xsi:type="dcterms:W3CDTF">2020-02-23T23:40:00Z</dcterms:modified>
</cp:coreProperties>
</file>