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84B" w:rsidRDefault="00E5184B" w:rsidP="003265F2">
      <w:pPr>
        <w:spacing w:after="120" w:line="264" w:lineRule="auto"/>
        <w:jc w:val="center"/>
        <w:rPr>
          <w:rFonts w:ascii="Tahoma" w:hAnsi="Tahoma" w:cs="Tahoma"/>
          <w:b/>
          <w:sz w:val="28"/>
          <w:szCs w:val="28"/>
        </w:rPr>
      </w:pPr>
      <w:bookmarkStart w:id="0" w:name="_GoBack"/>
      <w:bookmarkEnd w:id="0"/>
    </w:p>
    <w:p w:rsidR="005F76AB" w:rsidRDefault="003265F2" w:rsidP="003265F2">
      <w:pPr>
        <w:spacing w:after="120" w:line="264" w:lineRule="auto"/>
        <w:jc w:val="center"/>
        <w:rPr>
          <w:rFonts w:ascii="Tahoma" w:hAnsi="Tahoma" w:cs="Tahoma"/>
          <w:b/>
          <w:sz w:val="28"/>
          <w:szCs w:val="28"/>
        </w:rPr>
      </w:pPr>
      <w:r w:rsidRPr="00B507A6">
        <w:rPr>
          <w:rFonts w:ascii="Tahoma" w:hAnsi="Tahoma" w:cs="Tahoma"/>
          <w:b/>
          <w:sz w:val="28"/>
          <w:szCs w:val="28"/>
        </w:rPr>
        <w:t xml:space="preserve">Failure of </w:t>
      </w:r>
      <w:r w:rsidR="00A4173A">
        <w:rPr>
          <w:rFonts w:ascii="Tahoma" w:hAnsi="Tahoma" w:cs="Tahoma"/>
          <w:b/>
          <w:sz w:val="28"/>
          <w:szCs w:val="28"/>
        </w:rPr>
        <w:t>Geos</w:t>
      </w:r>
      <w:r w:rsidR="00E5184B">
        <w:rPr>
          <w:rFonts w:ascii="Tahoma" w:hAnsi="Tahoma" w:cs="Tahoma"/>
          <w:b/>
          <w:sz w:val="28"/>
          <w:szCs w:val="28"/>
        </w:rPr>
        <w:t>cience Austra</w:t>
      </w:r>
      <w:r w:rsidR="00407CEF">
        <w:rPr>
          <w:rFonts w:ascii="Tahoma" w:hAnsi="Tahoma" w:cs="Tahoma"/>
          <w:b/>
          <w:sz w:val="28"/>
          <w:szCs w:val="28"/>
        </w:rPr>
        <w:t xml:space="preserve">lia’s </w:t>
      </w:r>
      <w:r w:rsidRPr="00B507A6">
        <w:rPr>
          <w:rFonts w:ascii="Tahoma" w:hAnsi="Tahoma" w:cs="Tahoma"/>
          <w:b/>
          <w:sz w:val="28"/>
          <w:szCs w:val="28"/>
        </w:rPr>
        <w:t xml:space="preserve">‘Economically Demonstrated Resources’ to </w:t>
      </w:r>
      <w:r w:rsidR="00064B6F">
        <w:rPr>
          <w:rFonts w:ascii="Tahoma" w:hAnsi="Tahoma" w:cs="Tahoma"/>
          <w:b/>
          <w:sz w:val="28"/>
          <w:szCs w:val="28"/>
        </w:rPr>
        <w:t>P</w:t>
      </w:r>
      <w:r w:rsidR="00E73EA0">
        <w:rPr>
          <w:rFonts w:ascii="Tahoma" w:hAnsi="Tahoma" w:cs="Tahoma"/>
          <w:b/>
          <w:sz w:val="28"/>
          <w:szCs w:val="28"/>
        </w:rPr>
        <w:t>roperly</w:t>
      </w:r>
      <w:r w:rsidRPr="00B507A6">
        <w:rPr>
          <w:rFonts w:ascii="Tahoma" w:hAnsi="Tahoma" w:cs="Tahoma"/>
          <w:b/>
          <w:sz w:val="28"/>
          <w:szCs w:val="28"/>
        </w:rPr>
        <w:t xml:space="preserve"> </w:t>
      </w:r>
      <w:r w:rsidR="00064B6F">
        <w:rPr>
          <w:rFonts w:ascii="Tahoma" w:hAnsi="Tahoma" w:cs="Tahoma"/>
          <w:b/>
          <w:sz w:val="28"/>
          <w:szCs w:val="28"/>
        </w:rPr>
        <w:t>I</w:t>
      </w:r>
      <w:r w:rsidR="00E73EA0">
        <w:rPr>
          <w:rFonts w:ascii="Tahoma" w:hAnsi="Tahoma" w:cs="Tahoma"/>
          <w:b/>
          <w:sz w:val="28"/>
          <w:szCs w:val="28"/>
        </w:rPr>
        <w:t>nform</w:t>
      </w:r>
      <w:r w:rsidRPr="00B507A6">
        <w:rPr>
          <w:rFonts w:ascii="Tahoma" w:hAnsi="Tahoma" w:cs="Tahoma"/>
          <w:b/>
          <w:sz w:val="28"/>
          <w:szCs w:val="28"/>
        </w:rPr>
        <w:t xml:space="preserve"> Government Policy on M</w:t>
      </w:r>
      <w:r w:rsidR="00E73EA0">
        <w:rPr>
          <w:rFonts w:ascii="Tahoma" w:hAnsi="Tahoma" w:cs="Tahoma"/>
          <w:b/>
          <w:sz w:val="28"/>
          <w:szCs w:val="28"/>
        </w:rPr>
        <w:t>ineral</w:t>
      </w:r>
      <w:r w:rsidRPr="00B507A6">
        <w:rPr>
          <w:rFonts w:ascii="Tahoma" w:hAnsi="Tahoma" w:cs="Tahoma"/>
          <w:b/>
          <w:sz w:val="28"/>
          <w:szCs w:val="28"/>
        </w:rPr>
        <w:t xml:space="preserve"> Exploration Incentives</w:t>
      </w:r>
    </w:p>
    <w:p w:rsidR="009066B2" w:rsidRPr="001F612E" w:rsidRDefault="009066B2" w:rsidP="003265F2">
      <w:pPr>
        <w:spacing w:after="120" w:line="264" w:lineRule="auto"/>
        <w:jc w:val="center"/>
        <w:rPr>
          <w:rFonts w:ascii="Tahoma" w:hAnsi="Tahoma" w:cs="Tahoma"/>
          <w:sz w:val="20"/>
          <w:szCs w:val="20"/>
        </w:rPr>
      </w:pPr>
      <w:r w:rsidRPr="001F612E">
        <w:rPr>
          <w:rFonts w:ascii="Tahoma" w:hAnsi="Tahoma" w:cs="Tahoma"/>
          <w:sz w:val="20"/>
          <w:szCs w:val="20"/>
        </w:rPr>
        <w:t>By Chris Cairns</w:t>
      </w:r>
      <w:r w:rsidR="00BB73A9" w:rsidRPr="001F612E">
        <w:rPr>
          <w:rStyle w:val="FootnoteReference"/>
          <w:rFonts w:ascii="Tahoma" w:hAnsi="Tahoma" w:cs="Tahoma"/>
          <w:sz w:val="20"/>
          <w:szCs w:val="20"/>
        </w:rPr>
        <w:footnoteReference w:id="1"/>
      </w:r>
      <w:r w:rsidR="001F612E">
        <w:rPr>
          <w:rFonts w:ascii="Tahoma" w:hAnsi="Tahoma" w:cs="Tahoma"/>
          <w:sz w:val="20"/>
          <w:szCs w:val="20"/>
        </w:rPr>
        <w:t>,</w:t>
      </w:r>
      <w:r w:rsidR="001F612E" w:rsidRPr="001F612E">
        <w:rPr>
          <w:rFonts w:ascii="Tahoma" w:hAnsi="Tahoma" w:cs="Tahoma"/>
          <w:sz w:val="20"/>
          <w:szCs w:val="20"/>
        </w:rPr>
        <w:t xml:space="preserve"> BSc (Hons1) Economic Geology</w:t>
      </w:r>
      <w:r w:rsidR="001F612E">
        <w:rPr>
          <w:rFonts w:ascii="Tahoma" w:hAnsi="Tahoma" w:cs="Tahoma"/>
          <w:sz w:val="20"/>
          <w:szCs w:val="20"/>
        </w:rPr>
        <w:t>, MAIG</w:t>
      </w:r>
    </w:p>
    <w:p w:rsidR="003265F2" w:rsidRPr="00B507A6" w:rsidRDefault="003265F2" w:rsidP="003265F2">
      <w:pPr>
        <w:spacing w:after="120" w:line="264" w:lineRule="auto"/>
        <w:rPr>
          <w:rFonts w:ascii="Tahoma" w:hAnsi="Tahoma" w:cs="Tahoma"/>
        </w:rPr>
      </w:pPr>
    </w:p>
    <w:p w:rsidR="003265F2" w:rsidRDefault="003265F2" w:rsidP="0057341D">
      <w:pPr>
        <w:spacing w:after="120" w:line="264" w:lineRule="auto"/>
        <w:jc w:val="both"/>
        <w:rPr>
          <w:rFonts w:ascii="Tahoma" w:hAnsi="Tahoma" w:cs="Tahoma"/>
          <w:b/>
        </w:rPr>
      </w:pPr>
      <w:r w:rsidRPr="00B507A6">
        <w:rPr>
          <w:rFonts w:ascii="Tahoma" w:hAnsi="Tahoma" w:cs="Tahoma"/>
          <w:b/>
        </w:rPr>
        <w:t>Executive Summary</w:t>
      </w:r>
    </w:p>
    <w:p w:rsidR="00A60B26" w:rsidRDefault="00A4173A" w:rsidP="0057341D">
      <w:pPr>
        <w:spacing w:after="120" w:line="264" w:lineRule="auto"/>
        <w:jc w:val="both"/>
        <w:rPr>
          <w:rFonts w:ascii="Tahoma" w:hAnsi="Tahoma" w:cs="Tahoma"/>
        </w:rPr>
      </w:pPr>
      <w:r>
        <w:rPr>
          <w:rFonts w:ascii="Tahoma" w:hAnsi="Tahoma" w:cs="Tahoma"/>
        </w:rPr>
        <w:t>Geos</w:t>
      </w:r>
      <w:r w:rsidR="00407CEF" w:rsidRPr="00407CEF">
        <w:rPr>
          <w:rFonts w:ascii="Tahoma" w:hAnsi="Tahoma" w:cs="Tahoma"/>
        </w:rPr>
        <w:t xml:space="preserve">cience Australia </w:t>
      </w:r>
      <w:r w:rsidR="00407CEF">
        <w:rPr>
          <w:rFonts w:ascii="Tahoma" w:hAnsi="Tahoma" w:cs="Tahoma"/>
        </w:rPr>
        <w:t>(GA) compiles data on Australia’</w:t>
      </w:r>
      <w:r w:rsidR="00B06AE9">
        <w:rPr>
          <w:rFonts w:ascii="Tahoma" w:hAnsi="Tahoma" w:cs="Tahoma"/>
        </w:rPr>
        <w:t>s</w:t>
      </w:r>
      <w:r w:rsidR="00407CEF">
        <w:rPr>
          <w:rFonts w:ascii="Tahoma" w:hAnsi="Tahoma" w:cs="Tahoma"/>
        </w:rPr>
        <w:t xml:space="preserve"> ‘Economically Demonstrated Resources’ (EDRs)</w:t>
      </w:r>
      <w:r w:rsidR="00A73029">
        <w:rPr>
          <w:rFonts w:ascii="Tahoma" w:hAnsi="Tahoma" w:cs="Tahoma"/>
        </w:rPr>
        <w:t xml:space="preserve"> (Geoscience Australia, 2010)</w:t>
      </w:r>
      <w:r w:rsidR="00407CEF">
        <w:rPr>
          <w:rFonts w:ascii="Tahoma" w:hAnsi="Tahoma" w:cs="Tahoma"/>
        </w:rPr>
        <w:t xml:space="preserve"> to inform Government policy on taxation, mineral resources management and mineral exploration.  The data are collated from public company announcements to the </w:t>
      </w:r>
      <w:r w:rsidR="00A73029">
        <w:rPr>
          <w:rFonts w:ascii="Tahoma" w:hAnsi="Tahoma" w:cs="Tahoma"/>
        </w:rPr>
        <w:t>Australian Securities Exchange (</w:t>
      </w:r>
      <w:r w:rsidR="00407CEF">
        <w:rPr>
          <w:rFonts w:ascii="Tahoma" w:hAnsi="Tahoma" w:cs="Tahoma"/>
        </w:rPr>
        <w:t>ASX</w:t>
      </w:r>
      <w:r w:rsidR="00A73029">
        <w:rPr>
          <w:rFonts w:ascii="Tahoma" w:hAnsi="Tahoma" w:cs="Tahoma"/>
        </w:rPr>
        <w:t>)</w:t>
      </w:r>
      <w:r w:rsidR="00407CEF">
        <w:rPr>
          <w:rFonts w:ascii="Tahoma" w:hAnsi="Tahoma" w:cs="Tahoma"/>
        </w:rPr>
        <w:t xml:space="preserve"> on Ore Reserves and Mineral Resources reported in compliance with the JORC Code.  </w:t>
      </w:r>
      <w:r w:rsidR="00A73029">
        <w:rPr>
          <w:rFonts w:ascii="Tahoma" w:hAnsi="Tahoma" w:cs="Tahoma"/>
        </w:rPr>
        <w:t xml:space="preserve">This </w:t>
      </w:r>
      <w:r w:rsidR="002B4DA4">
        <w:rPr>
          <w:rFonts w:ascii="Tahoma" w:hAnsi="Tahoma" w:cs="Tahoma"/>
        </w:rPr>
        <w:t>paper</w:t>
      </w:r>
      <w:r w:rsidR="00A73029">
        <w:rPr>
          <w:rFonts w:ascii="Tahoma" w:hAnsi="Tahoma" w:cs="Tahoma"/>
        </w:rPr>
        <w:t xml:space="preserve"> concludes that</w:t>
      </w:r>
      <w:r w:rsidR="00407CEF">
        <w:rPr>
          <w:rFonts w:ascii="Tahoma" w:hAnsi="Tahoma" w:cs="Tahoma"/>
        </w:rPr>
        <w:t xml:space="preserve"> the ASX reported </w:t>
      </w:r>
      <w:r w:rsidR="005F76AB">
        <w:rPr>
          <w:rFonts w:ascii="Tahoma" w:hAnsi="Tahoma" w:cs="Tahoma"/>
        </w:rPr>
        <w:t>Mineral</w:t>
      </w:r>
      <w:r w:rsidR="00407CEF">
        <w:rPr>
          <w:rFonts w:ascii="Tahoma" w:hAnsi="Tahoma" w:cs="Tahoma"/>
        </w:rPr>
        <w:t xml:space="preserve"> </w:t>
      </w:r>
      <w:r w:rsidR="005F76AB">
        <w:rPr>
          <w:rFonts w:ascii="Tahoma" w:hAnsi="Tahoma" w:cs="Tahoma"/>
        </w:rPr>
        <w:t>R</w:t>
      </w:r>
      <w:r w:rsidR="00407CEF">
        <w:rPr>
          <w:rFonts w:ascii="Tahoma" w:hAnsi="Tahoma" w:cs="Tahoma"/>
        </w:rPr>
        <w:t xml:space="preserve">esources are not directly compatible with GA’s guidelines for compiling EDRs </w:t>
      </w:r>
      <w:r w:rsidR="00CF4247" w:rsidRPr="0000679F">
        <w:rPr>
          <w:rFonts w:ascii="Tahoma" w:hAnsi="Tahoma" w:cs="Tahoma"/>
        </w:rPr>
        <w:t xml:space="preserve">and this </w:t>
      </w:r>
      <w:r w:rsidR="0000679F" w:rsidRPr="0000679F">
        <w:rPr>
          <w:rFonts w:ascii="Tahoma" w:hAnsi="Tahoma" w:cs="Tahoma"/>
        </w:rPr>
        <w:t xml:space="preserve">incompatibility </w:t>
      </w:r>
      <w:r w:rsidR="00CF4247" w:rsidRPr="0000679F">
        <w:rPr>
          <w:rFonts w:ascii="Tahoma" w:hAnsi="Tahoma" w:cs="Tahoma"/>
        </w:rPr>
        <w:t>has resulted in an overestimation of resources that would be considered ‘economic’ by exploration and mining companies</w:t>
      </w:r>
      <w:r w:rsidR="0000679F" w:rsidRPr="00433EC4">
        <w:rPr>
          <w:rFonts w:ascii="Tahoma" w:hAnsi="Tahoma" w:cs="Tahoma"/>
        </w:rPr>
        <w:t>.</w:t>
      </w:r>
      <w:r w:rsidR="00407CEF" w:rsidRPr="00433EC4">
        <w:rPr>
          <w:rFonts w:ascii="Tahoma" w:hAnsi="Tahoma" w:cs="Tahoma"/>
        </w:rPr>
        <w:t xml:space="preserve">  </w:t>
      </w:r>
      <w:r w:rsidR="00433EC4" w:rsidRPr="00433EC4">
        <w:rPr>
          <w:rFonts w:ascii="Tahoma" w:hAnsi="Tahoma" w:cs="Tahoma"/>
        </w:rPr>
        <w:t xml:space="preserve">Further, </w:t>
      </w:r>
      <w:r w:rsidR="00433EC4">
        <w:rPr>
          <w:rFonts w:ascii="Tahoma" w:hAnsi="Tahoma" w:cs="Tahoma"/>
        </w:rPr>
        <w:t>the term ‘Economically Demonstrated Resources’ has been critically misinterpreted as meaning reserves in the recent Policy Transition Group Report on Mineral Exploration.</w:t>
      </w:r>
    </w:p>
    <w:p w:rsidR="001733B1" w:rsidRDefault="00407CEF" w:rsidP="0057341D">
      <w:pPr>
        <w:spacing w:after="120" w:line="264" w:lineRule="auto"/>
        <w:jc w:val="both"/>
        <w:rPr>
          <w:rFonts w:ascii="Tahoma" w:hAnsi="Tahoma" w:cs="Tahoma"/>
        </w:rPr>
      </w:pPr>
      <w:r>
        <w:rPr>
          <w:rFonts w:ascii="Tahoma" w:hAnsi="Tahoma" w:cs="Tahoma"/>
        </w:rPr>
        <w:t xml:space="preserve">GA </w:t>
      </w:r>
      <w:r w:rsidR="005F76AB">
        <w:rPr>
          <w:rFonts w:ascii="Tahoma" w:hAnsi="Tahoma" w:cs="Tahoma"/>
        </w:rPr>
        <w:t>is encouraged to</w:t>
      </w:r>
      <w:r w:rsidR="00A73029">
        <w:rPr>
          <w:rFonts w:ascii="Tahoma" w:hAnsi="Tahoma" w:cs="Tahoma"/>
        </w:rPr>
        <w:t xml:space="preserve"> </w:t>
      </w:r>
      <w:r>
        <w:rPr>
          <w:rFonts w:ascii="Tahoma" w:hAnsi="Tahoma" w:cs="Tahoma"/>
        </w:rPr>
        <w:t>join with industry and the geoscience</w:t>
      </w:r>
      <w:r w:rsidR="00A73029">
        <w:rPr>
          <w:rFonts w:ascii="Tahoma" w:hAnsi="Tahoma" w:cs="Tahoma"/>
        </w:rPr>
        <w:t xml:space="preserve"> and mining</w:t>
      </w:r>
      <w:r>
        <w:rPr>
          <w:rFonts w:ascii="Tahoma" w:hAnsi="Tahoma" w:cs="Tahoma"/>
        </w:rPr>
        <w:t xml:space="preserve"> professional organisations to </w:t>
      </w:r>
      <w:r w:rsidR="00E67D5B">
        <w:rPr>
          <w:rFonts w:ascii="Tahoma" w:hAnsi="Tahoma" w:cs="Tahoma"/>
        </w:rPr>
        <w:t xml:space="preserve">review </w:t>
      </w:r>
      <w:r w:rsidR="004971CD">
        <w:rPr>
          <w:rFonts w:ascii="Tahoma" w:hAnsi="Tahoma" w:cs="Tahoma"/>
        </w:rPr>
        <w:t xml:space="preserve">how information </w:t>
      </w:r>
      <w:r w:rsidR="0000679F">
        <w:rPr>
          <w:rFonts w:ascii="Tahoma" w:hAnsi="Tahoma" w:cs="Tahoma"/>
        </w:rPr>
        <w:t>relating to</w:t>
      </w:r>
      <w:r w:rsidR="004971CD">
        <w:rPr>
          <w:rFonts w:ascii="Tahoma" w:hAnsi="Tahoma" w:cs="Tahoma"/>
        </w:rPr>
        <w:t xml:space="preserve"> Australia’s mineral resources </w:t>
      </w:r>
      <w:r w:rsidR="0000679F">
        <w:rPr>
          <w:rFonts w:ascii="Tahoma" w:hAnsi="Tahoma" w:cs="Tahoma"/>
        </w:rPr>
        <w:t xml:space="preserve">endowment </w:t>
      </w:r>
      <w:r w:rsidR="000D0624">
        <w:rPr>
          <w:rFonts w:ascii="Tahoma" w:hAnsi="Tahoma" w:cs="Tahoma"/>
        </w:rPr>
        <w:t>is</w:t>
      </w:r>
      <w:r w:rsidR="004971CD">
        <w:rPr>
          <w:rFonts w:ascii="Tahoma" w:hAnsi="Tahoma" w:cs="Tahoma"/>
        </w:rPr>
        <w:t xml:space="preserve"> compiled. </w:t>
      </w:r>
      <w:r w:rsidR="00E67D5B">
        <w:rPr>
          <w:rFonts w:ascii="Tahoma" w:hAnsi="Tahoma" w:cs="Tahoma"/>
        </w:rPr>
        <w:t xml:space="preserve"> </w:t>
      </w:r>
      <w:r w:rsidR="004971CD">
        <w:rPr>
          <w:rFonts w:ascii="Tahoma" w:hAnsi="Tahoma" w:cs="Tahoma"/>
        </w:rPr>
        <w:t>Robust</w:t>
      </w:r>
      <w:r w:rsidR="00CF2773">
        <w:rPr>
          <w:rFonts w:ascii="Tahoma" w:hAnsi="Tahoma" w:cs="Tahoma"/>
        </w:rPr>
        <w:t xml:space="preserve">, </w:t>
      </w:r>
      <w:r w:rsidR="00CF2773" w:rsidRPr="00CF2773">
        <w:rPr>
          <w:rFonts w:ascii="Tahoma" w:hAnsi="Tahoma" w:cs="Tahoma"/>
        </w:rPr>
        <w:t>strongly evidence-based</w:t>
      </w:r>
      <w:r w:rsidR="004971CD">
        <w:rPr>
          <w:rFonts w:ascii="Tahoma" w:hAnsi="Tahoma" w:cs="Tahoma"/>
        </w:rPr>
        <w:t xml:space="preserve"> data are essential </w:t>
      </w:r>
      <w:r w:rsidR="00CF2773">
        <w:rPr>
          <w:rFonts w:ascii="Tahoma" w:hAnsi="Tahoma" w:cs="Tahoma"/>
        </w:rPr>
        <w:t xml:space="preserve">to </w:t>
      </w:r>
      <w:r w:rsidR="00A73029">
        <w:rPr>
          <w:rFonts w:ascii="Tahoma" w:hAnsi="Tahoma" w:cs="Tahoma"/>
        </w:rPr>
        <w:t>ensur</w:t>
      </w:r>
      <w:r w:rsidR="00CF2773">
        <w:rPr>
          <w:rFonts w:ascii="Tahoma" w:hAnsi="Tahoma" w:cs="Tahoma"/>
        </w:rPr>
        <w:t>e</w:t>
      </w:r>
      <w:r w:rsidR="00A73029">
        <w:rPr>
          <w:rFonts w:ascii="Tahoma" w:hAnsi="Tahoma" w:cs="Tahoma"/>
        </w:rPr>
        <w:t xml:space="preserve"> </w:t>
      </w:r>
      <w:r>
        <w:rPr>
          <w:rFonts w:ascii="Tahoma" w:hAnsi="Tahoma" w:cs="Tahoma"/>
        </w:rPr>
        <w:t xml:space="preserve">reporting </w:t>
      </w:r>
      <w:r w:rsidR="004971CD">
        <w:rPr>
          <w:rFonts w:ascii="Tahoma" w:hAnsi="Tahoma" w:cs="Tahoma"/>
        </w:rPr>
        <w:t xml:space="preserve">on </w:t>
      </w:r>
      <w:r>
        <w:rPr>
          <w:rFonts w:ascii="Tahoma" w:hAnsi="Tahoma" w:cs="Tahoma"/>
        </w:rPr>
        <w:t xml:space="preserve">the health of Australia’s mining and exploration industry </w:t>
      </w:r>
      <w:r w:rsidR="00CF2773">
        <w:rPr>
          <w:rFonts w:ascii="Tahoma" w:hAnsi="Tahoma" w:cs="Tahoma"/>
        </w:rPr>
        <w:t>is</w:t>
      </w:r>
      <w:r w:rsidR="004971CD">
        <w:rPr>
          <w:rFonts w:ascii="Tahoma" w:hAnsi="Tahoma" w:cs="Tahoma"/>
        </w:rPr>
        <w:t xml:space="preserve"> sound, given the </w:t>
      </w:r>
      <w:r w:rsidR="00CF2773">
        <w:rPr>
          <w:rFonts w:ascii="Tahoma" w:hAnsi="Tahoma" w:cs="Tahoma"/>
        </w:rPr>
        <w:t xml:space="preserve">role this data plays in informing </w:t>
      </w:r>
      <w:r w:rsidR="00A73029">
        <w:rPr>
          <w:rFonts w:ascii="Tahoma" w:hAnsi="Tahoma" w:cs="Tahoma"/>
        </w:rPr>
        <w:t xml:space="preserve">Government </w:t>
      </w:r>
      <w:r w:rsidR="0000679F">
        <w:rPr>
          <w:rFonts w:ascii="Tahoma" w:hAnsi="Tahoma" w:cs="Tahoma"/>
        </w:rPr>
        <w:t>policymaking</w:t>
      </w:r>
      <w:r>
        <w:rPr>
          <w:rFonts w:ascii="Tahoma" w:hAnsi="Tahoma" w:cs="Tahoma"/>
        </w:rPr>
        <w:t>.</w:t>
      </w:r>
      <w:r w:rsidR="001C06B5">
        <w:rPr>
          <w:rFonts w:ascii="Tahoma" w:hAnsi="Tahoma" w:cs="Tahoma"/>
        </w:rPr>
        <w:t xml:space="preserve"> </w:t>
      </w:r>
      <w:r w:rsidR="00433EC4">
        <w:rPr>
          <w:rFonts w:ascii="Tahoma" w:hAnsi="Tahoma" w:cs="Tahoma"/>
        </w:rPr>
        <w:t xml:space="preserve">Of particular importance is that the terminology of ‘Economically Demonstrated Resources’ be modified to reflect that the compiled Mineral Resources are not ‘economically demonstrated’ and are more accurately described as Australia’s ‘Identified Mineral Resources’.  This would ensure </w:t>
      </w:r>
      <w:r w:rsidR="0028414C">
        <w:rPr>
          <w:rFonts w:ascii="Tahoma" w:hAnsi="Tahoma" w:cs="Tahoma"/>
        </w:rPr>
        <w:t>that ‘economic’ status is not implied</w:t>
      </w:r>
      <w:r w:rsidR="00433EC4">
        <w:rPr>
          <w:rFonts w:ascii="Tahoma" w:hAnsi="Tahoma" w:cs="Tahoma"/>
        </w:rPr>
        <w:t xml:space="preserve"> and that policymakers are not confused into thinking that reported Mineral Resources are Ore Reserves by the use of inappropriate terminology.</w:t>
      </w:r>
    </w:p>
    <w:p w:rsidR="001F612E" w:rsidRDefault="001F612E" w:rsidP="0057341D">
      <w:pPr>
        <w:spacing w:after="120" w:line="264" w:lineRule="auto"/>
        <w:jc w:val="both"/>
        <w:rPr>
          <w:rFonts w:ascii="Tahoma" w:hAnsi="Tahoma" w:cs="Tahoma"/>
          <w:b/>
        </w:rPr>
      </w:pPr>
    </w:p>
    <w:p w:rsidR="001F612E" w:rsidRDefault="001F612E" w:rsidP="0057341D">
      <w:pPr>
        <w:spacing w:after="120" w:line="264" w:lineRule="auto"/>
        <w:jc w:val="both"/>
        <w:rPr>
          <w:rFonts w:ascii="Tahoma" w:hAnsi="Tahoma" w:cs="Tahoma"/>
          <w:b/>
        </w:rPr>
      </w:pPr>
    </w:p>
    <w:p w:rsidR="003265F2" w:rsidRPr="00B507A6" w:rsidRDefault="00DA3619" w:rsidP="0057341D">
      <w:pPr>
        <w:spacing w:after="120" w:line="264" w:lineRule="auto"/>
        <w:jc w:val="both"/>
        <w:rPr>
          <w:rFonts w:ascii="Tahoma" w:hAnsi="Tahoma" w:cs="Tahoma"/>
          <w:b/>
        </w:rPr>
      </w:pPr>
      <w:r w:rsidRPr="00B507A6">
        <w:rPr>
          <w:rFonts w:ascii="Tahoma" w:hAnsi="Tahoma" w:cs="Tahoma"/>
          <w:b/>
        </w:rPr>
        <w:t>Introduction</w:t>
      </w:r>
    </w:p>
    <w:p w:rsidR="003265F2" w:rsidRPr="00B507A6" w:rsidRDefault="00CE3FDF" w:rsidP="0057341D">
      <w:pPr>
        <w:spacing w:after="120" w:line="264" w:lineRule="auto"/>
        <w:jc w:val="both"/>
        <w:rPr>
          <w:rFonts w:ascii="Tahoma" w:hAnsi="Tahoma" w:cs="Tahoma"/>
        </w:rPr>
      </w:pPr>
      <w:r w:rsidRPr="00B507A6">
        <w:rPr>
          <w:rFonts w:ascii="Tahoma" w:hAnsi="Tahoma" w:cs="Tahoma"/>
        </w:rPr>
        <w:t>The origins of b</w:t>
      </w:r>
      <w:r w:rsidR="003265F2" w:rsidRPr="00B507A6">
        <w:rPr>
          <w:rFonts w:ascii="Tahoma" w:hAnsi="Tahoma" w:cs="Tahoma"/>
        </w:rPr>
        <w:t xml:space="preserve">oth Geoscience Australia’s (GA) </w:t>
      </w:r>
      <w:r w:rsidR="003265F2" w:rsidRPr="00EE1FBC">
        <w:rPr>
          <w:rFonts w:ascii="Tahoma" w:hAnsi="Tahoma" w:cs="Tahoma"/>
          <w:i/>
          <w:u w:val="single"/>
        </w:rPr>
        <w:t>National Classification System for Identified Mineral Resources</w:t>
      </w:r>
      <w:r w:rsidR="003265F2" w:rsidRPr="00B507A6">
        <w:rPr>
          <w:rFonts w:ascii="Tahoma" w:hAnsi="Tahoma" w:cs="Tahoma"/>
        </w:rPr>
        <w:t xml:space="preserve"> </w:t>
      </w:r>
      <w:r w:rsidR="00A73029">
        <w:rPr>
          <w:rFonts w:ascii="Tahoma" w:hAnsi="Tahoma" w:cs="Tahoma"/>
        </w:rPr>
        <w:t xml:space="preserve">(Appendix 2 in Geoscience Australia, 2010) </w:t>
      </w:r>
      <w:r w:rsidR="003265F2" w:rsidRPr="00B507A6">
        <w:rPr>
          <w:rFonts w:ascii="Tahoma" w:hAnsi="Tahoma" w:cs="Tahoma"/>
        </w:rPr>
        <w:t xml:space="preserve">and the Joint Ore Reserves Committee (JORC) </w:t>
      </w:r>
      <w:r w:rsidR="003265F2" w:rsidRPr="00EE1FBC">
        <w:rPr>
          <w:rFonts w:ascii="Tahoma" w:hAnsi="Tahoma" w:cs="Tahoma"/>
          <w:i/>
          <w:u w:val="single"/>
        </w:rPr>
        <w:t>Australasian Code for Reporting of Exploration Results, Mineral Resources and Ore Reserves</w:t>
      </w:r>
      <w:r w:rsidR="003265F2" w:rsidRPr="00B507A6">
        <w:rPr>
          <w:rFonts w:ascii="Tahoma" w:hAnsi="Tahoma" w:cs="Tahoma"/>
        </w:rPr>
        <w:t xml:space="preserve"> (JORC Code)</w:t>
      </w:r>
      <w:r w:rsidRPr="00B507A6">
        <w:rPr>
          <w:rFonts w:ascii="Tahoma" w:hAnsi="Tahoma" w:cs="Tahoma"/>
        </w:rPr>
        <w:t xml:space="preserve"> can be traced back to a paper in American Scientist in 1972 by Vincent E McKelvey entitled “Mineral Resource Estimates and Public Policy”.  </w:t>
      </w:r>
      <w:proofErr w:type="spellStart"/>
      <w:r w:rsidR="000C3CE3" w:rsidRPr="00B507A6">
        <w:rPr>
          <w:rFonts w:ascii="Tahoma" w:hAnsi="Tahoma" w:cs="Tahoma"/>
        </w:rPr>
        <w:t>McK</w:t>
      </w:r>
      <w:r w:rsidRPr="00B507A6">
        <w:rPr>
          <w:rFonts w:ascii="Tahoma" w:hAnsi="Tahoma" w:cs="Tahoma"/>
        </w:rPr>
        <w:t>elvey</w:t>
      </w:r>
      <w:proofErr w:type="spellEnd"/>
      <w:r w:rsidRPr="00B507A6">
        <w:rPr>
          <w:rFonts w:ascii="Tahoma" w:hAnsi="Tahoma" w:cs="Tahoma"/>
        </w:rPr>
        <w:t xml:space="preserve"> was then a Director of the </w:t>
      </w:r>
      <w:r w:rsidR="00A73029">
        <w:rPr>
          <w:rFonts w:ascii="Tahoma" w:hAnsi="Tahoma" w:cs="Tahoma"/>
        </w:rPr>
        <w:t>United States</w:t>
      </w:r>
      <w:r w:rsidR="00A73029" w:rsidRPr="00B507A6">
        <w:rPr>
          <w:rFonts w:ascii="Tahoma" w:hAnsi="Tahoma" w:cs="Tahoma"/>
        </w:rPr>
        <w:t xml:space="preserve"> </w:t>
      </w:r>
      <w:r w:rsidRPr="00B507A6">
        <w:rPr>
          <w:rFonts w:ascii="Tahoma" w:hAnsi="Tahoma" w:cs="Tahoma"/>
        </w:rPr>
        <w:t>Geological Survey</w:t>
      </w:r>
      <w:r w:rsidR="00B4335C" w:rsidRPr="00B507A6">
        <w:rPr>
          <w:rFonts w:ascii="Tahoma" w:hAnsi="Tahoma" w:cs="Tahoma"/>
        </w:rPr>
        <w:t xml:space="preserve"> (USGS)</w:t>
      </w:r>
      <w:r w:rsidRPr="00B507A6">
        <w:rPr>
          <w:rFonts w:ascii="Tahoma" w:hAnsi="Tahoma" w:cs="Tahoma"/>
        </w:rPr>
        <w:t xml:space="preserve">.  This paper was an extension of work McKelvey was involved with in conjunction with </w:t>
      </w:r>
      <w:r w:rsidR="00A73029">
        <w:rPr>
          <w:rFonts w:ascii="Tahoma" w:hAnsi="Tahoma" w:cs="Tahoma"/>
        </w:rPr>
        <w:t xml:space="preserve">the </w:t>
      </w:r>
      <w:r w:rsidRPr="00B507A6">
        <w:rPr>
          <w:rFonts w:ascii="Tahoma" w:hAnsi="Tahoma" w:cs="Tahoma"/>
        </w:rPr>
        <w:t xml:space="preserve">Federal Power Commission looking at whether </w:t>
      </w:r>
      <w:r w:rsidRPr="002E052C">
        <w:rPr>
          <w:rFonts w:ascii="Tahoma" w:hAnsi="Tahoma" w:cs="Tahoma"/>
          <w:i/>
        </w:rPr>
        <w:t>‘industry reported natural gas reserves were an accurate indication of the amount of natural gas actually on hand...’</w:t>
      </w:r>
      <w:r w:rsidRPr="00B507A6">
        <w:rPr>
          <w:rFonts w:ascii="Tahoma" w:hAnsi="Tahoma" w:cs="Tahoma"/>
        </w:rPr>
        <w:t>.</w:t>
      </w:r>
    </w:p>
    <w:p w:rsidR="00CE3FDF" w:rsidRDefault="00B4335C" w:rsidP="0057341D">
      <w:pPr>
        <w:spacing w:after="120" w:line="264" w:lineRule="auto"/>
        <w:jc w:val="both"/>
        <w:rPr>
          <w:rFonts w:ascii="Tahoma" w:hAnsi="Tahoma" w:cs="Tahoma"/>
        </w:rPr>
      </w:pPr>
      <w:r w:rsidRPr="00B507A6">
        <w:rPr>
          <w:rFonts w:ascii="Tahoma" w:hAnsi="Tahoma" w:cs="Tahoma"/>
        </w:rPr>
        <w:t xml:space="preserve">The original </w:t>
      </w:r>
      <w:r w:rsidR="005F76AB">
        <w:rPr>
          <w:rFonts w:ascii="Tahoma" w:hAnsi="Tahoma" w:cs="Tahoma"/>
        </w:rPr>
        <w:t xml:space="preserve">resources classification proposed in McKelvey’s work was summarised in what has become known as the </w:t>
      </w:r>
      <w:r w:rsidRPr="00B507A6">
        <w:rPr>
          <w:rFonts w:ascii="Tahoma" w:hAnsi="Tahoma" w:cs="Tahoma"/>
        </w:rPr>
        <w:t>McKelvey Diagra</w:t>
      </w:r>
      <w:r w:rsidR="005F76AB">
        <w:rPr>
          <w:rFonts w:ascii="Tahoma" w:hAnsi="Tahoma" w:cs="Tahoma"/>
        </w:rPr>
        <w:t>m,</w:t>
      </w:r>
      <w:r w:rsidRPr="00B507A6">
        <w:rPr>
          <w:rFonts w:ascii="Tahoma" w:hAnsi="Tahoma" w:cs="Tahoma"/>
        </w:rPr>
        <w:t xml:space="preserve"> later modified in USGS circular 831 (1980) </w:t>
      </w:r>
      <w:r w:rsidR="00A73029">
        <w:rPr>
          <w:rFonts w:ascii="Tahoma" w:hAnsi="Tahoma" w:cs="Tahoma"/>
        </w:rPr>
        <w:t xml:space="preserve">entitled </w:t>
      </w:r>
      <w:r w:rsidRPr="00EE1FBC">
        <w:rPr>
          <w:rFonts w:ascii="Tahoma" w:hAnsi="Tahoma" w:cs="Tahoma"/>
          <w:i/>
          <w:u w:val="single"/>
        </w:rPr>
        <w:t>Principles of a Resource / Reserve Classification for Minerals</w:t>
      </w:r>
      <w:r w:rsidR="005F76AB">
        <w:rPr>
          <w:rFonts w:ascii="Tahoma" w:hAnsi="Tahoma" w:cs="Tahoma"/>
          <w:i/>
        </w:rPr>
        <w:t xml:space="preserve"> </w:t>
      </w:r>
      <w:r w:rsidR="005F76AB" w:rsidRPr="00B507A6">
        <w:rPr>
          <w:rFonts w:ascii="Tahoma" w:hAnsi="Tahoma" w:cs="Tahoma"/>
        </w:rPr>
        <w:t xml:space="preserve"> (</w:t>
      </w:r>
      <w:r w:rsidR="005F76AB">
        <w:rPr>
          <w:rFonts w:ascii="Tahoma" w:hAnsi="Tahoma" w:cs="Tahoma"/>
        </w:rPr>
        <w:t>Figure 1</w:t>
      </w:r>
      <w:r w:rsidR="005F76AB" w:rsidRPr="00B507A6">
        <w:rPr>
          <w:rFonts w:ascii="Tahoma" w:hAnsi="Tahoma" w:cs="Tahoma"/>
        </w:rPr>
        <w:t>)</w:t>
      </w:r>
      <w:r w:rsidRPr="00B507A6">
        <w:rPr>
          <w:rFonts w:ascii="Tahoma" w:hAnsi="Tahoma" w:cs="Tahoma"/>
        </w:rPr>
        <w:t xml:space="preserve">. </w:t>
      </w:r>
    </w:p>
    <w:p w:rsidR="00A4173A" w:rsidRPr="00B507A6" w:rsidRDefault="00A4173A" w:rsidP="0057341D">
      <w:pPr>
        <w:spacing w:after="120" w:line="264" w:lineRule="auto"/>
        <w:jc w:val="both"/>
        <w:rPr>
          <w:rFonts w:ascii="Tahoma" w:hAnsi="Tahoma" w:cs="Tahoma"/>
        </w:rPr>
      </w:pPr>
      <w:r w:rsidRPr="00B507A6">
        <w:rPr>
          <w:rFonts w:ascii="Tahoma" w:hAnsi="Tahoma" w:cs="Tahoma"/>
        </w:rPr>
        <w:t xml:space="preserve">McKelvey </w:t>
      </w:r>
      <w:r w:rsidR="00851088">
        <w:rPr>
          <w:rFonts w:ascii="Tahoma" w:hAnsi="Tahoma" w:cs="Tahoma"/>
        </w:rPr>
        <w:t xml:space="preserve">is better </w:t>
      </w:r>
      <w:r w:rsidR="005F76AB">
        <w:rPr>
          <w:rFonts w:ascii="Tahoma" w:hAnsi="Tahoma" w:cs="Tahoma"/>
        </w:rPr>
        <w:t>known for his</w:t>
      </w:r>
      <w:r w:rsidRPr="00B507A6">
        <w:rPr>
          <w:rFonts w:ascii="Tahoma" w:hAnsi="Tahoma" w:cs="Tahoma"/>
        </w:rPr>
        <w:t xml:space="preserve"> involve</w:t>
      </w:r>
      <w:r w:rsidR="005F76AB">
        <w:rPr>
          <w:rFonts w:ascii="Tahoma" w:hAnsi="Tahoma" w:cs="Tahoma"/>
        </w:rPr>
        <w:t>ment</w:t>
      </w:r>
      <w:r w:rsidRPr="00B507A6">
        <w:rPr>
          <w:rFonts w:ascii="Tahoma" w:hAnsi="Tahoma" w:cs="Tahoma"/>
        </w:rPr>
        <w:t xml:space="preserve"> in deriving estimates of the ultimate crude oil production for the Lower 48 </w:t>
      </w:r>
      <w:r w:rsidR="00A73029" w:rsidRPr="00B507A6">
        <w:rPr>
          <w:rFonts w:ascii="Tahoma" w:hAnsi="Tahoma" w:cs="Tahoma"/>
        </w:rPr>
        <w:t>States</w:t>
      </w:r>
      <w:r w:rsidRPr="00B507A6">
        <w:rPr>
          <w:rFonts w:ascii="Tahoma" w:hAnsi="Tahoma" w:cs="Tahoma"/>
        </w:rPr>
        <w:t xml:space="preserve">.  In 1963, Duncan &amp; McKelvey </w:t>
      </w:r>
      <w:r w:rsidR="00A73029">
        <w:rPr>
          <w:rFonts w:ascii="Tahoma" w:hAnsi="Tahoma" w:cs="Tahoma"/>
        </w:rPr>
        <w:t xml:space="preserve">of the </w:t>
      </w:r>
      <w:r w:rsidRPr="00B507A6">
        <w:rPr>
          <w:rFonts w:ascii="Tahoma" w:hAnsi="Tahoma" w:cs="Tahoma"/>
        </w:rPr>
        <w:t xml:space="preserve">USGS released an estimate of 650 billion barrels.  This estimate </w:t>
      </w:r>
      <w:r w:rsidR="00A73029">
        <w:rPr>
          <w:rFonts w:ascii="Tahoma" w:hAnsi="Tahoma" w:cs="Tahoma"/>
        </w:rPr>
        <w:t xml:space="preserve">was interpreted by </w:t>
      </w:r>
      <w:r w:rsidRPr="00B507A6">
        <w:rPr>
          <w:rFonts w:ascii="Tahoma" w:hAnsi="Tahoma" w:cs="Tahoma"/>
        </w:rPr>
        <w:t xml:space="preserve">Government policy makers </w:t>
      </w:r>
      <w:r w:rsidR="00A73029">
        <w:rPr>
          <w:rFonts w:ascii="Tahoma" w:hAnsi="Tahoma" w:cs="Tahoma"/>
        </w:rPr>
        <w:t xml:space="preserve">to indicate </w:t>
      </w:r>
      <w:r w:rsidRPr="00B507A6">
        <w:rPr>
          <w:rFonts w:ascii="Tahoma" w:hAnsi="Tahoma" w:cs="Tahoma"/>
        </w:rPr>
        <w:t>that the US</w:t>
      </w:r>
      <w:r w:rsidR="00A73029">
        <w:rPr>
          <w:rFonts w:ascii="Tahoma" w:hAnsi="Tahoma" w:cs="Tahoma"/>
        </w:rPr>
        <w:t>A</w:t>
      </w:r>
      <w:r w:rsidRPr="00B507A6">
        <w:rPr>
          <w:rFonts w:ascii="Tahoma" w:hAnsi="Tahoma" w:cs="Tahoma"/>
        </w:rPr>
        <w:t xml:space="preserve"> had abundant </w:t>
      </w:r>
      <w:r w:rsidR="00A73029">
        <w:rPr>
          <w:rFonts w:ascii="Tahoma" w:hAnsi="Tahoma" w:cs="Tahoma"/>
        </w:rPr>
        <w:t xml:space="preserve">resources of </w:t>
      </w:r>
      <w:r w:rsidR="00851088">
        <w:rPr>
          <w:rFonts w:ascii="Tahoma" w:hAnsi="Tahoma" w:cs="Tahoma"/>
        </w:rPr>
        <w:t>recoverable</w:t>
      </w:r>
      <w:r w:rsidRPr="00B507A6">
        <w:rPr>
          <w:rFonts w:ascii="Tahoma" w:hAnsi="Tahoma" w:cs="Tahoma"/>
        </w:rPr>
        <w:t xml:space="preserve"> crude oil.</w:t>
      </w:r>
      <w:r w:rsidRPr="00A4173A">
        <w:rPr>
          <w:rFonts w:ascii="Tahoma" w:hAnsi="Tahoma" w:cs="Tahoma"/>
        </w:rPr>
        <w:t xml:space="preserve"> </w:t>
      </w:r>
    </w:p>
    <w:p w:rsidR="00CE3FDF" w:rsidRPr="00B507A6" w:rsidRDefault="00CE3FDF" w:rsidP="0057341D">
      <w:pPr>
        <w:spacing w:after="120" w:line="264" w:lineRule="auto"/>
        <w:jc w:val="both"/>
        <w:rPr>
          <w:rFonts w:ascii="Tahoma" w:hAnsi="Tahoma" w:cs="Tahoma"/>
        </w:rPr>
      </w:pPr>
      <w:r w:rsidRPr="00B507A6">
        <w:rPr>
          <w:rFonts w:ascii="Tahoma" w:hAnsi="Tahoma" w:cs="Tahoma"/>
          <w:noProof/>
          <w:sz w:val="20"/>
          <w:szCs w:val="20"/>
          <w:lang w:eastAsia="en-AU"/>
        </w:rPr>
        <w:drawing>
          <wp:inline distT="0" distB="0" distL="0" distR="0">
            <wp:extent cx="5731510" cy="3326548"/>
            <wp:effectExtent l="19050" t="0" r="2540" b="0"/>
            <wp:docPr id="1" name="il_fi" descr="http://upload.wikimedia.org/wikipedia/en/2/2f/McKelve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2/2f/McKelveyDiagram.jpg"/>
                    <pic:cNvPicPr>
                      <a:picLocks noChangeAspect="1" noChangeArrowheads="1"/>
                    </pic:cNvPicPr>
                  </pic:nvPicPr>
                  <pic:blipFill>
                    <a:blip r:embed="rId8" cstate="print"/>
                    <a:srcRect/>
                    <a:stretch>
                      <a:fillRect/>
                    </a:stretch>
                  </pic:blipFill>
                  <pic:spPr bwMode="auto">
                    <a:xfrm>
                      <a:off x="0" y="0"/>
                      <a:ext cx="5731510" cy="3326548"/>
                    </a:xfrm>
                    <a:prstGeom prst="rect">
                      <a:avLst/>
                    </a:prstGeom>
                    <a:noFill/>
                    <a:ln w="9525">
                      <a:noFill/>
                      <a:miter lim="800000"/>
                      <a:headEnd/>
                      <a:tailEnd/>
                    </a:ln>
                  </pic:spPr>
                </pic:pic>
              </a:graphicData>
            </a:graphic>
          </wp:inline>
        </w:drawing>
      </w:r>
    </w:p>
    <w:p w:rsidR="00A4173A" w:rsidRPr="00706BB9" w:rsidRDefault="00A4173A" w:rsidP="00A4173A">
      <w:pPr>
        <w:spacing w:after="120" w:line="264" w:lineRule="auto"/>
        <w:jc w:val="center"/>
        <w:rPr>
          <w:rFonts w:ascii="Tahoma" w:hAnsi="Tahoma" w:cs="Tahoma"/>
          <w:b/>
          <w:i/>
          <w:sz w:val="20"/>
          <w:szCs w:val="20"/>
        </w:rPr>
      </w:pPr>
      <w:r w:rsidRPr="00706BB9">
        <w:rPr>
          <w:rFonts w:ascii="Tahoma" w:hAnsi="Tahoma" w:cs="Tahoma"/>
          <w:b/>
          <w:i/>
          <w:sz w:val="20"/>
          <w:szCs w:val="20"/>
        </w:rPr>
        <w:t>Figure 1: Modified McKelvey diagram.</w:t>
      </w:r>
    </w:p>
    <w:p w:rsidR="00A4173A" w:rsidRDefault="00E5184B" w:rsidP="0057341D">
      <w:pPr>
        <w:spacing w:after="120" w:line="264" w:lineRule="auto"/>
        <w:jc w:val="both"/>
        <w:rPr>
          <w:rFonts w:ascii="Tahoma" w:hAnsi="Tahoma" w:cs="Tahoma"/>
        </w:rPr>
      </w:pPr>
      <w:r w:rsidRPr="00B507A6">
        <w:rPr>
          <w:rFonts w:ascii="Tahoma" w:hAnsi="Tahoma" w:cs="Tahoma"/>
        </w:rPr>
        <w:t>In contrast, M. King Hubbert (employed by Shell Oil Company from 1943 to 1964) published in 1959 an estimate of 150-200 billion barrels of crude oil for the Lower 48 States, later revised in 1972 to 168 billion barrels.</w:t>
      </w:r>
    </w:p>
    <w:p w:rsidR="002E052C" w:rsidRDefault="00033A41" w:rsidP="002E052C">
      <w:pPr>
        <w:spacing w:after="120" w:line="264" w:lineRule="auto"/>
        <w:jc w:val="both"/>
        <w:rPr>
          <w:rFonts w:ascii="Tahoma" w:hAnsi="Tahoma" w:cs="Tahoma"/>
        </w:rPr>
      </w:pPr>
      <w:r w:rsidRPr="00B507A6">
        <w:rPr>
          <w:rFonts w:ascii="Tahoma" w:hAnsi="Tahoma" w:cs="Tahoma"/>
        </w:rPr>
        <w:t xml:space="preserve">The implications for </w:t>
      </w:r>
      <w:r w:rsidR="00851088">
        <w:rPr>
          <w:rFonts w:ascii="Tahoma" w:hAnsi="Tahoma" w:cs="Tahoma"/>
        </w:rPr>
        <w:t>energy policy</w:t>
      </w:r>
      <w:r w:rsidRPr="00B507A6">
        <w:rPr>
          <w:rFonts w:ascii="Tahoma" w:hAnsi="Tahoma" w:cs="Tahoma"/>
        </w:rPr>
        <w:t xml:space="preserve"> in the US was that McKelvey’s much larger resources numbers implied that continental US crude oil production would be sustainable to near the end of the </w:t>
      </w:r>
      <w:r w:rsidR="00FF7EA2">
        <w:rPr>
          <w:rFonts w:ascii="Tahoma" w:hAnsi="Tahoma" w:cs="Tahoma"/>
        </w:rPr>
        <w:t>20</w:t>
      </w:r>
      <w:r w:rsidR="00FF7EA2" w:rsidRPr="00B57C63">
        <w:rPr>
          <w:rFonts w:ascii="Tahoma" w:hAnsi="Tahoma" w:cs="Tahoma"/>
          <w:vertAlign w:val="superscript"/>
        </w:rPr>
        <w:t>th</w:t>
      </w:r>
      <w:r w:rsidR="00FF7EA2">
        <w:rPr>
          <w:rFonts w:ascii="Tahoma" w:hAnsi="Tahoma" w:cs="Tahoma"/>
        </w:rPr>
        <w:t xml:space="preserve"> </w:t>
      </w:r>
      <w:r w:rsidRPr="00B507A6">
        <w:rPr>
          <w:rFonts w:ascii="Tahoma" w:hAnsi="Tahoma" w:cs="Tahoma"/>
        </w:rPr>
        <w:t>century</w:t>
      </w:r>
      <w:r w:rsidR="001B0BB4">
        <w:rPr>
          <w:rFonts w:ascii="Tahoma" w:hAnsi="Tahoma" w:cs="Tahoma"/>
        </w:rPr>
        <w:t>,</w:t>
      </w:r>
      <w:r w:rsidRPr="00B507A6">
        <w:rPr>
          <w:rFonts w:ascii="Tahoma" w:hAnsi="Tahoma" w:cs="Tahoma"/>
        </w:rPr>
        <w:t xml:space="preserve"> while Hubbert’s lower resources figures implied peak oil production </w:t>
      </w:r>
      <w:r w:rsidRPr="00B507A6">
        <w:rPr>
          <w:rFonts w:ascii="Tahoma" w:hAnsi="Tahoma" w:cs="Tahoma"/>
        </w:rPr>
        <w:lastRenderedPageBreak/>
        <w:t xml:space="preserve">for the Lower 48 </w:t>
      </w:r>
      <w:r w:rsidR="001B0BB4" w:rsidRPr="00B507A6">
        <w:rPr>
          <w:rFonts w:ascii="Tahoma" w:hAnsi="Tahoma" w:cs="Tahoma"/>
        </w:rPr>
        <w:t xml:space="preserve">States </w:t>
      </w:r>
      <w:r w:rsidRPr="00B507A6">
        <w:rPr>
          <w:rFonts w:ascii="Tahoma" w:hAnsi="Tahoma" w:cs="Tahoma"/>
        </w:rPr>
        <w:t xml:space="preserve">to occur in the late 1960s and decrease progressively thereafter.  The actual crude oil production data </w:t>
      </w:r>
      <w:r w:rsidR="001B0BB4">
        <w:rPr>
          <w:rFonts w:ascii="Tahoma" w:hAnsi="Tahoma" w:cs="Tahoma"/>
        </w:rPr>
        <w:t xml:space="preserve">have </w:t>
      </w:r>
      <w:r w:rsidRPr="00B507A6">
        <w:rPr>
          <w:rFonts w:ascii="Tahoma" w:hAnsi="Tahoma" w:cs="Tahoma"/>
        </w:rPr>
        <w:t>clearly vindicated Hubbert’s estimates (</w:t>
      </w:r>
      <w:r w:rsidR="00FF7EA2">
        <w:rPr>
          <w:rFonts w:ascii="Tahoma" w:hAnsi="Tahoma" w:cs="Tahoma"/>
        </w:rPr>
        <w:t>Figure 2</w:t>
      </w:r>
      <w:r w:rsidRPr="00B507A6">
        <w:rPr>
          <w:rFonts w:ascii="Tahoma" w:hAnsi="Tahoma" w:cs="Tahoma"/>
        </w:rPr>
        <w:t xml:space="preserve">). </w:t>
      </w:r>
    </w:p>
    <w:p w:rsidR="002E052C" w:rsidRPr="00B507A6" w:rsidRDefault="002E052C" w:rsidP="002E052C">
      <w:pPr>
        <w:spacing w:after="120" w:line="264" w:lineRule="auto"/>
        <w:jc w:val="both"/>
        <w:rPr>
          <w:rFonts w:ascii="Tahoma" w:hAnsi="Tahoma" w:cs="Tahoma"/>
        </w:rPr>
      </w:pPr>
      <w:r w:rsidRPr="00B507A6">
        <w:rPr>
          <w:rFonts w:ascii="Tahoma" w:hAnsi="Tahoma" w:cs="Tahoma"/>
        </w:rPr>
        <w:t xml:space="preserve">An appreciation of this history of the </w:t>
      </w:r>
      <w:proofErr w:type="spellStart"/>
      <w:r w:rsidRPr="00B507A6">
        <w:rPr>
          <w:rFonts w:ascii="Tahoma" w:hAnsi="Tahoma" w:cs="Tahoma"/>
        </w:rPr>
        <w:t>McKelvey</w:t>
      </w:r>
      <w:proofErr w:type="spellEnd"/>
      <w:r w:rsidRPr="00B507A6">
        <w:rPr>
          <w:rFonts w:ascii="Tahoma" w:hAnsi="Tahoma" w:cs="Tahoma"/>
        </w:rPr>
        <w:t xml:space="preserve"> Diagram, </w:t>
      </w:r>
      <w:proofErr w:type="spellStart"/>
      <w:r w:rsidRPr="00B507A6">
        <w:rPr>
          <w:rFonts w:ascii="Tahoma" w:hAnsi="Tahoma" w:cs="Tahoma"/>
        </w:rPr>
        <w:t>McKelvey’s</w:t>
      </w:r>
      <w:proofErr w:type="spellEnd"/>
      <w:r w:rsidRPr="00B507A6">
        <w:rPr>
          <w:rFonts w:ascii="Tahoma" w:hAnsi="Tahoma" w:cs="Tahoma"/>
        </w:rPr>
        <w:t xml:space="preserve"> role in informing US Government energy policy based on </w:t>
      </w:r>
      <w:r>
        <w:rPr>
          <w:rFonts w:ascii="Tahoma" w:hAnsi="Tahoma" w:cs="Tahoma"/>
        </w:rPr>
        <w:t>overly</w:t>
      </w:r>
      <w:r w:rsidRPr="00B507A6">
        <w:rPr>
          <w:rFonts w:ascii="Tahoma" w:hAnsi="Tahoma" w:cs="Tahoma"/>
        </w:rPr>
        <w:t xml:space="preserve"> optimistic production potential estimates, the disconnect between these estimates and industry reality and the prolonged denial </w:t>
      </w:r>
      <w:r>
        <w:rPr>
          <w:rFonts w:ascii="Tahoma" w:hAnsi="Tahoma" w:cs="Tahoma"/>
        </w:rPr>
        <w:t xml:space="preserve">by US policy makers </w:t>
      </w:r>
      <w:r w:rsidRPr="00B507A6">
        <w:rPr>
          <w:rFonts w:ascii="Tahoma" w:hAnsi="Tahoma" w:cs="Tahoma"/>
        </w:rPr>
        <w:t>in the face of overwhelming evidence to the contrary</w:t>
      </w:r>
      <w:r>
        <w:rPr>
          <w:rFonts w:ascii="Tahoma" w:hAnsi="Tahoma" w:cs="Tahoma"/>
        </w:rPr>
        <w:t>,</w:t>
      </w:r>
      <w:r w:rsidRPr="00B507A6">
        <w:rPr>
          <w:rFonts w:ascii="Tahoma" w:hAnsi="Tahoma" w:cs="Tahoma"/>
        </w:rPr>
        <w:t xml:space="preserve"> </w:t>
      </w:r>
      <w:r>
        <w:rPr>
          <w:rFonts w:ascii="Tahoma" w:hAnsi="Tahoma" w:cs="Tahoma"/>
        </w:rPr>
        <w:t>highlight the n</w:t>
      </w:r>
      <w:r w:rsidR="00C809B5">
        <w:rPr>
          <w:rFonts w:ascii="Tahoma" w:hAnsi="Tahoma" w:cs="Tahoma"/>
        </w:rPr>
        <w:t>eed for</w:t>
      </w:r>
      <w:r>
        <w:rPr>
          <w:rFonts w:ascii="Tahoma" w:hAnsi="Tahoma" w:cs="Tahoma"/>
        </w:rPr>
        <w:t xml:space="preserve"> concern regarding the use of the currently reported Australian EDRs in mineral resources policy making. </w:t>
      </w:r>
    </w:p>
    <w:p w:rsidR="00033A41" w:rsidRPr="00B507A6" w:rsidRDefault="00033A41" w:rsidP="0057341D">
      <w:pPr>
        <w:spacing w:after="120" w:line="264" w:lineRule="auto"/>
        <w:jc w:val="both"/>
        <w:rPr>
          <w:rFonts w:ascii="Tahoma" w:hAnsi="Tahoma" w:cs="Tahoma"/>
        </w:rPr>
      </w:pPr>
    </w:p>
    <w:p w:rsidR="00202D2D" w:rsidRPr="00B507A6" w:rsidRDefault="00033A41" w:rsidP="0057341D">
      <w:pPr>
        <w:spacing w:after="120" w:line="264" w:lineRule="auto"/>
        <w:jc w:val="both"/>
        <w:rPr>
          <w:rFonts w:ascii="Tahoma" w:hAnsi="Tahoma" w:cs="Tahoma"/>
        </w:rPr>
      </w:pPr>
      <w:r w:rsidRPr="00B507A6">
        <w:rPr>
          <w:rFonts w:ascii="Tahoma" w:hAnsi="Tahoma" w:cs="Tahoma"/>
          <w:noProof/>
          <w:lang w:eastAsia="en-AU"/>
        </w:rPr>
        <w:drawing>
          <wp:inline distT="0" distB="0" distL="0" distR="0">
            <wp:extent cx="5731510" cy="2336066"/>
            <wp:effectExtent l="19050" t="0" r="2540" b="0"/>
            <wp:docPr id="2" name="Picture 4" descr="U.S. Field Production of Crude Oil (Thousand Barr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Field Production of Crude Oil (Thousand Barrels)"/>
                    <pic:cNvPicPr>
                      <a:picLocks noChangeAspect="1" noChangeArrowheads="1"/>
                    </pic:cNvPicPr>
                  </pic:nvPicPr>
                  <pic:blipFill>
                    <a:blip r:embed="rId9" cstate="print"/>
                    <a:srcRect/>
                    <a:stretch>
                      <a:fillRect/>
                    </a:stretch>
                  </pic:blipFill>
                  <pic:spPr bwMode="auto">
                    <a:xfrm>
                      <a:off x="0" y="0"/>
                      <a:ext cx="5731510" cy="2336066"/>
                    </a:xfrm>
                    <a:prstGeom prst="rect">
                      <a:avLst/>
                    </a:prstGeom>
                    <a:noFill/>
                    <a:ln w="9525">
                      <a:noFill/>
                      <a:miter lim="800000"/>
                      <a:headEnd/>
                      <a:tailEnd/>
                    </a:ln>
                  </pic:spPr>
                </pic:pic>
              </a:graphicData>
            </a:graphic>
          </wp:inline>
        </w:drawing>
      </w:r>
    </w:p>
    <w:p w:rsidR="00A4173A" w:rsidRPr="00706BB9" w:rsidRDefault="00A4173A" w:rsidP="00A4173A">
      <w:pPr>
        <w:spacing w:after="120" w:line="264" w:lineRule="auto"/>
        <w:jc w:val="center"/>
        <w:rPr>
          <w:rFonts w:ascii="Tahoma" w:hAnsi="Tahoma" w:cs="Tahoma"/>
          <w:b/>
          <w:i/>
          <w:sz w:val="20"/>
          <w:szCs w:val="20"/>
        </w:rPr>
      </w:pPr>
      <w:r w:rsidRPr="00706BB9">
        <w:rPr>
          <w:rFonts w:ascii="Tahoma" w:hAnsi="Tahoma" w:cs="Tahoma"/>
          <w:b/>
          <w:i/>
          <w:sz w:val="20"/>
          <w:szCs w:val="20"/>
        </w:rPr>
        <w:t>Figure 2: Actual United States crude oil production.</w:t>
      </w:r>
    </w:p>
    <w:p w:rsidR="002E052C" w:rsidRDefault="002E052C" w:rsidP="0057341D">
      <w:pPr>
        <w:spacing w:after="120" w:line="264" w:lineRule="auto"/>
        <w:jc w:val="both"/>
        <w:rPr>
          <w:rFonts w:ascii="Tahoma" w:hAnsi="Tahoma" w:cs="Tahoma"/>
        </w:rPr>
      </w:pPr>
    </w:p>
    <w:p w:rsidR="00DA3619" w:rsidRPr="00B507A6" w:rsidRDefault="00DA3619" w:rsidP="0057341D">
      <w:pPr>
        <w:spacing w:after="120" w:line="264" w:lineRule="auto"/>
        <w:jc w:val="both"/>
        <w:rPr>
          <w:rFonts w:ascii="Tahoma" w:hAnsi="Tahoma" w:cs="Tahoma"/>
        </w:rPr>
      </w:pPr>
      <w:r w:rsidRPr="00B507A6">
        <w:rPr>
          <w:rFonts w:ascii="Tahoma" w:hAnsi="Tahoma" w:cs="Tahoma"/>
        </w:rPr>
        <w:t>The primary contention of this brief</w:t>
      </w:r>
      <w:r w:rsidR="00B06AE9">
        <w:rPr>
          <w:rFonts w:ascii="Tahoma" w:hAnsi="Tahoma" w:cs="Tahoma"/>
        </w:rPr>
        <w:t xml:space="preserve"> discussion paper is that GA’s </w:t>
      </w:r>
      <w:r w:rsidRPr="00B507A6">
        <w:rPr>
          <w:rFonts w:ascii="Tahoma" w:hAnsi="Tahoma" w:cs="Tahoma"/>
        </w:rPr>
        <w:t xml:space="preserve">EDRs provide an overly optimistic representation of the national inventory of mineable precious and base metals resources and further, that </w:t>
      </w:r>
      <w:r w:rsidR="001B0BB4">
        <w:rPr>
          <w:rFonts w:ascii="Tahoma" w:hAnsi="Tahoma" w:cs="Tahoma"/>
        </w:rPr>
        <w:t>these</w:t>
      </w:r>
      <w:r w:rsidR="001B0BB4" w:rsidRPr="00B507A6">
        <w:rPr>
          <w:rFonts w:ascii="Tahoma" w:hAnsi="Tahoma" w:cs="Tahoma"/>
        </w:rPr>
        <w:t xml:space="preserve"> </w:t>
      </w:r>
      <w:r w:rsidRPr="00B507A6">
        <w:rPr>
          <w:rFonts w:ascii="Tahoma" w:hAnsi="Tahoma" w:cs="Tahoma"/>
        </w:rPr>
        <w:t xml:space="preserve">data provide </w:t>
      </w:r>
      <w:r w:rsidR="00C809B5">
        <w:rPr>
          <w:rFonts w:ascii="Tahoma" w:hAnsi="Tahoma" w:cs="Tahoma"/>
        </w:rPr>
        <w:t>an overly optimistic</w:t>
      </w:r>
      <w:r w:rsidRPr="00B507A6">
        <w:rPr>
          <w:rFonts w:ascii="Tahoma" w:hAnsi="Tahoma" w:cs="Tahoma"/>
        </w:rPr>
        <w:t xml:space="preserve"> input to Government policy considerations</w:t>
      </w:r>
      <w:r w:rsidR="001C06B5">
        <w:rPr>
          <w:rFonts w:ascii="Tahoma" w:hAnsi="Tahoma" w:cs="Tahoma"/>
        </w:rPr>
        <w:t>. For example</w:t>
      </w:r>
      <w:r w:rsidRPr="00B507A6">
        <w:rPr>
          <w:rFonts w:ascii="Tahoma" w:hAnsi="Tahoma" w:cs="Tahoma"/>
        </w:rPr>
        <w:t xml:space="preserve">, </w:t>
      </w:r>
      <w:r w:rsidR="001C06B5">
        <w:rPr>
          <w:rFonts w:ascii="Tahoma" w:hAnsi="Tahoma" w:cs="Tahoma"/>
        </w:rPr>
        <w:t>consideration of appropriate policy responses to the demonstrable market failure to undertake adequate exploration for mineral resources in Australia (</w:t>
      </w:r>
      <w:r w:rsidR="00F40EA7">
        <w:rPr>
          <w:rFonts w:ascii="Tahoma" w:hAnsi="Tahoma" w:cs="Tahoma"/>
        </w:rPr>
        <w:t xml:space="preserve">Cairns et al. 2010) </w:t>
      </w:r>
      <w:r w:rsidR="004A1402">
        <w:rPr>
          <w:rFonts w:ascii="Tahoma" w:hAnsi="Tahoma" w:cs="Tahoma"/>
        </w:rPr>
        <w:t>clearly needs to take into account the health of the mining sector and the quantity of material available for economic extraction</w:t>
      </w:r>
      <w:r w:rsidRPr="00B507A6">
        <w:rPr>
          <w:rFonts w:ascii="Tahoma" w:hAnsi="Tahoma" w:cs="Tahoma"/>
        </w:rPr>
        <w:t>.</w:t>
      </w:r>
    </w:p>
    <w:p w:rsidR="00B4335C" w:rsidRPr="00B507A6" w:rsidRDefault="00B52734" w:rsidP="00A4173A">
      <w:pPr>
        <w:jc w:val="both"/>
        <w:rPr>
          <w:rFonts w:ascii="Tahoma" w:hAnsi="Tahoma" w:cs="Tahoma"/>
          <w:b/>
        </w:rPr>
      </w:pPr>
      <w:r w:rsidRPr="00B507A6">
        <w:rPr>
          <w:rFonts w:ascii="Tahoma" w:hAnsi="Tahoma" w:cs="Tahoma"/>
          <w:b/>
        </w:rPr>
        <w:t>The Purpose of the JORC Code</w:t>
      </w:r>
    </w:p>
    <w:p w:rsidR="00B52734" w:rsidRPr="00B507A6" w:rsidRDefault="00B52734" w:rsidP="0057341D">
      <w:pPr>
        <w:spacing w:after="120" w:line="264" w:lineRule="auto"/>
        <w:jc w:val="both"/>
        <w:rPr>
          <w:rFonts w:ascii="Tahoma" w:hAnsi="Tahoma" w:cs="Tahoma"/>
        </w:rPr>
      </w:pPr>
      <w:r w:rsidRPr="00B507A6">
        <w:rPr>
          <w:rFonts w:ascii="Tahoma" w:hAnsi="Tahoma" w:cs="Tahoma"/>
        </w:rPr>
        <w:t>The Joint Ore Reserves Committee (JORC) was established in 1971 and published several reports containing recommendations on the classification and Public Reporting of Ore Reserves prior to the release of the first edition of the JORC Code in 1989.  In that same year</w:t>
      </w:r>
      <w:r w:rsidR="001B0BB4">
        <w:rPr>
          <w:rFonts w:ascii="Tahoma" w:hAnsi="Tahoma" w:cs="Tahoma"/>
        </w:rPr>
        <w:t>,</w:t>
      </w:r>
      <w:r w:rsidRPr="00B507A6">
        <w:rPr>
          <w:rFonts w:ascii="Tahoma" w:hAnsi="Tahoma" w:cs="Tahoma"/>
        </w:rPr>
        <w:t xml:space="preserve"> the ASX incorporated the Code into the ASX Listing Rules such that a Public Report must be made in compliance with the JORC Code.</w:t>
      </w:r>
    </w:p>
    <w:p w:rsidR="00C92B37" w:rsidRDefault="00B52734" w:rsidP="0057341D">
      <w:pPr>
        <w:spacing w:after="120" w:line="264" w:lineRule="auto"/>
        <w:jc w:val="both"/>
        <w:rPr>
          <w:rFonts w:ascii="Tahoma" w:hAnsi="Tahoma" w:cs="Tahoma"/>
        </w:rPr>
      </w:pPr>
      <w:r w:rsidRPr="00B507A6">
        <w:rPr>
          <w:rFonts w:ascii="Tahoma" w:hAnsi="Tahoma" w:cs="Tahoma"/>
        </w:rPr>
        <w:t>The intent of the Code is</w:t>
      </w:r>
      <w:r w:rsidR="00C92B37">
        <w:rPr>
          <w:rFonts w:ascii="Tahoma" w:hAnsi="Tahoma" w:cs="Tahoma"/>
        </w:rPr>
        <w:t>:</w:t>
      </w:r>
    </w:p>
    <w:p w:rsidR="00C92B37" w:rsidRDefault="00B52734" w:rsidP="00C92B37">
      <w:pPr>
        <w:spacing w:after="120" w:line="264" w:lineRule="auto"/>
        <w:ind w:left="567" w:right="521"/>
        <w:jc w:val="both"/>
        <w:rPr>
          <w:rFonts w:ascii="Tahoma" w:hAnsi="Tahoma" w:cs="Tahoma"/>
        </w:rPr>
      </w:pPr>
      <w:r w:rsidRPr="00B507A6">
        <w:rPr>
          <w:rFonts w:ascii="Tahoma" w:hAnsi="Tahoma" w:cs="Tahoma"/>
          <w:i/>
        </w:rPr>
        <w:t xml:space="preserve">“to provide a minimum standard for Public Reporting, and to </w:t>
      </w:r>
      <w:r w:rsidR="00314E29" w:rsidRPr="00B507A6">
        <w:rPr>
          <w:rFonts w:ascii="Tahoma" w:hAnsi="Tahoma" w:cs="Tahoma"/>
          <w:i/>
        </w:rPr>
        <w:t>ensure that such reporting contains all information which investors and their professional advisors would reasonably require, and reasonably expect to find in the report, for the purpose of making a reasoned and balanced judgement regarding the Exploration Results, Mineral Resources and Ore Reserves being reported.”</w:t>
      </w:r>
      <w:r w:rsidR="00314E29" w:rsidRPr="00B507A6">
        <w:rPr>
          <w:rFonts w:ascii="Tahoma" w:hAnsi="Tahoma" w:cs="Tahoma"/>
        </w:rPr>
        <w:t xml:space="preserve">  </w:t>
      </w:r>
    </w:p>
    <w:p w:rsidR="00B52734" w:rsidRPr="00B507A6" w:rsidRDefault="00314E29" w:rsidP="0057341D">
      <w:pPr>
        <w:spacing w:after="120" w:line="264" w:lineRule="auto"/>
        <w:jc w:val="both"/>
        <w:rPr>
          <w:rFonts w:ascii="Tahoma" w:hAnsi="Tahoma" w:cs="Tahoma"/>
        </w:rPr>
      </w:pPr>
      <w:r w:rsidRPr="00B507A6">
        <w:rPr>
          <w:rFonts w:ascii="Tahoma" w:hAnsi="Tahoma" w:cs="Tahoma"/>
        </w:rPr>
        <w:lastRenderedPageBreak/>
        <w:t xml:space="preserve">Clearly, the purpose of the Code is to </w:t>
      </w:r>
      <w:r w:rsidR="001B0BB4">
        <w:rPr>
          <w:rFonts w:ascii="Tahoma" w:hAnsi="Tahoma" w:cs="Tahoma"/>
        </w:rPr>
        <w:t xml:space="preserve">improve the quality of reporting of reserves and resources in order to </w:t>
      </w:r>
      <w:r w:rsidRPr="00B507A6">
        <w:rPr>
          <w:rFonts w:ascii="Tahoma" w:hAnsi="Tahoma" w:cs="Tahoma"/>
        </w:rPr>
        <w:t>provide investors with all relevant information on which they may base their investment decisions.</w:t>
      </w:r>
    </w:p>
    <w:p w:rsidR="00314E29" w:rsidRPr="00B507A6" w:rsidRDefault="00314E29" w:rsidP="0057341D">
      <w:pPr>
        <w:spacing w:after="120" w:line="264" w:lineRule="auto"/>
        <w:jc w:val="both"/>
        <w:rPr>
          <w:rFonts w:ascii="Tahoma" w:hAnsi="Tahoma" w:cs="Tahoma"/>
          <w:b/>
        </w:rPr>
      </w:pPr>
      <w:r w:rsidRPr="00B507A6">
        <w:rPr>
          <w:rFonts w:ascii="Tahoma" w:hAnsi="Tahoma" w:cs="Tahoma"/>
          <w:b/>
        </w:rPr>
        <w:t xml:space="preserve">Reporting of Mineral Resources </w:t>
      </w:r>
      <w:r w:rsidR="009B2B01">
        <w:rPr>
          <w:rFonts w:ascii="Tahoma" w:hAnsi="Tahoma" w:cs="Tahoma"/>
          <w:b/>
        </w:rPr>
        <w:t>versus</w:t>
      </w:r>
      <w:r w:rsidRPr="00B507A6">
        <w:rPr>
          <w:rFonts w:ascii="Tahoma" w:hAnsi="Tahoma" w:cs="Tahoma"/>
          <w:b/>
        </w:rPr>
        <w:t xml:space="preserve"> Ore Reserves</w:t>
      </w:r>
      <w:r w:rsidR="00B507A6">
        <w:rPr>
          <w:rFonts w:ascii="Tahoma" w:hAnsi="Tahoma" w:cs="Tahoma"/>
          <w:b/>
        </w:rPr>
        <w:t xml:space="preserve"> in Compliance with t</w:t>
      </w:r>
      <w:r w:rsidR="000D64A4" w:rsidRPr="00B507A6">
        <w:rPr>
          <w:rFonts w:ascii="Tahoma" w:hAnsi="Tahoma" w:cs="Tahoma"/>
          <w:b/>
        </w:rPr>
        <w:t>he JORC Code</w:t>
      </w:r>
    </w:p>
    <w:p w:rsidR="00314E29" w:rsidRPr="00B507A6" w:rsidRDefault="00314E29" w:rsidP="0057341D">
      <w:pPr>
        <w:spacing w:after="120" w:line="264" w:lineRule="auto"/>
        <w:jc w:val="both"/>
        <w:rPr>
          <w:rFonts w:ascii="Tahoma" w:hAnsi="Tahoma" w:cs="Tahoma"/>
        </w:rPr>
      </w:pPr>
      <w:r w:rsidRPr="00B507A6">
        <w:rPr>
          <w:rFonts w:ascii="Tahoma" w:hAnsi="Tahoma" w:cs="Tahoma"/>
        </w:rPr>
        <w:t>Of particular importance in d</w:t>
      </w:r>
      <w:r w:rsidR="00E87322">
        <w:rPr>
          <w:rFonts w:ascii="Tahoma" w:hAnsi="Tahoma" w:cs="Tahoma"/>
        </w:rPr>
        <w:t xml:space="preserve">iscussing the validity of GA’s </w:t>
      </w:r>
      <w:r w:rsidRPr="00B507A6">
        <w:rPr>
          <w:rFonts w:ascii="Tahoma" w:hAnsi="Tahoma" w:cs="Tahoma"/>
        </w:rPr>
        <w:t>EDR numbers is the distinction of both the Code requirements and the practical application of listed companies reporting of Mineral Resources and Ore Reserves.</w:t>
      </w:r>
    </w:p>
    <w:p w:rsidR="00B507A6" w:rsidRDefault="00372E91" w:rsidP="0057341D">
      <w:pPr>
        <w:spacing w:after="120" w:line="264" w:lineRule="auto"/>
        <w:jc w:val="both"/>
        <w:rPr>
          <w:rFonts w:ascii="Tahoma" w:hAnsi="Tahoma" w:cs="Tahoma"/>
        </w:rPr>
      </w:pPr>
      <w:r w:rsidRPr="00B507A6">
        <w:rPr>
          <w:rFonts w:ascii="Tahoma" w:hAnsi="Tahoma" w:cs="Tahoma"/>
        </w:rPr>
        <w:t xml:space="preserve">As previously </w:t>
      </w:r>
      <w:r w:rsidR="002B4DA4">
        <w:rPr>
          <w:rFonts w:ascii="Tahoma" w:hAnsi="Tahoma" w:cs="Tahoma"/>
        </w:rPr>
        <w:t>discussed</w:t>
      </w:r>
      <w:r w:rsidR="00E87322">
        <w:rPr>
          <w:rFonts w:ascii="Tahoma" w:hAnsi="Tahoma" w:cs="Tahoma"/>
        </w:rPr>
        <w:t xml:space="preserve">, the JORC Code and GA’s </w:t>
      </w:r>
      <w:r w:rsidRPr="00B507A6">
        <w:rPr>
          <w:rFonts w:ascii="Tahoma" w:hAnsi="Tahoma" w:cs="Tahoma"/>
        </w:rPr>
        <w:t xml:space="preserve">EDRs both evolved </w:t>
      </w:r>
      <w:r w:rsidR="00BB59CE" w:rsidRPr="00B507A6">
        <w:rPr>
          <w:rFonts w:ascii="Tahoma" w:hAnsi="Tahoma" w:cs="Tahoma"/>
        </w:rPr>
        <w:t xml:space="preserve">largely </w:t>
      </w:r>
      <w:r w:rsidRPr="00B507A6">
        <w:rPr>
          <w:rFonts w:ascii="Tahoma" w:hAnsi="Tahoma" w:cs="Tahoma"/>
        </w:rPr>
        <w:t xml:space="preserve">from the work of Vincent </w:t>
      </w:r>
      <w:r w:rsidR="00BB59CE" w:rsidRPr="00B507A6">
        <w:rPr>
          <w:rFonts w:ascii="Tahoma" w:hAnsi="Tahoma" w:cs="Tahoma"/>
        </w:rPr>
        <w:t xml:space="preserve">E. </w:t>
      </w:r>
      <w:r w:rsidRPr="00B507A6">
        <w:rPr>
          <w:rFonts w:ascii="Tahoma" w:hAnsi="Tahoma" w:cs="Tahoma"/>
        </w:rPr>
        <w:t>McKelvey and specifically United States Geological Survey Circular 831</w:t>
      </w:r>
      <w:r w:rsidR="00BB59CE" w:rsidRPr="00B507A6">
        <w:rPr>
          <w:rFonts w:ascii="Tahoma" w:hAnsi="Tahoma" w:cs="Tahoma"/>
        </w:rPr>
        <w:t xml:space="preserve"> </w:t>
      </w:r>
      <w:r w:rsidRPr="00B507A6">
        <w:rPr>
          <w:rFonts w:ascii="Tahoma" w:hAnsi="Tahoma" w:cs="Tahoma"/>
        </w:rPr>
        <w:t>which</w:t>
      </w:r>
      <w:r w:rsidR="00BB59CE" w:rsidRPr="00B507A6">
        <w:rPr>
          <w:rFonts w:ascii="Tahoma" w:hAnsi="Tahoma" w:cs="Tahoma"/>
        </w:rPr>
        <w:t xml:space="preserve"> states the underlying principle of a Mineral Resource </w:t>
      </w:r>
      <w:r w:rsidR="001B0BB4">
        <w:rPr>
          <w:rFonts w:ascii="Tahoma" w:hAnsi="Tahoma" w:cs="Tahoma"/>
        </w:rPr>
        <w:t xml:space="preserve">or </w:t>
      </w:r>
      <w:r w:rsidR="00BB59CE" w:rsidRPr="00B507A6">
        <w:rPr>
          <w:rFonts w:ascii="Tahoma" w:hAnsi="Tahoma" w:cs="Tahoma"/>
        </w:rPr>
        <w:t>Ore Reserve classification</w:t>
      </w:r>
      <w:r w:rsidR="00B507A6">
        <w:rPr>
          <w:rFonts w:ascii="Tahoma" w:hAnsi="Tahoma" w:cs="Tahoma"/>
        </w:rPr>
        <w:t>:</w:t>
      </w:r>
    </w:p>
    <w:p w:rsidR="00B507A6" w:rsidRDefault="00372E91" w:rsidP="00B507A6">
      <w:pPr>
        <w:spacing w:after="120" w:line="264" w:lineRule="auto"/>
        <w:ind w:left="567" w:right="521"/>
        <w:jc w:val="both"/>
        <w:rPr>
          <w:rFonts w:ascii="Tahoma" w:hAnsi="Tahoma" w:cs="Tahoma"/>
          <w:i/>
        </w:rPr>
      </w:pPr>
      <w:r w:rsidRPr="00B507A6">
        <w:rPr>
          <w:rFonts w:ascii="Tahoma" w:hAnsi="Tahoma" w:cs="Tahoma"/>
        </w:rPr>
        <w:t xml:space="preserve"> </w:t>
      </w:r>
      <w:r w:rsidRPr="00B507A6">
        <w:rPr>
          <w:rFonts w:ascii="Tahoma" w:hAnsi="Tahoma" w:cs="Tahoma"/>
          <w:i/>
        </w:rPr>
        <w:t xml:space="preserve">“known resources should be classified from two standpoints: </w:t>
      </w:r>
    </w:p>
    <w:p w:rsidR="00B507A6" w:rsidRDefault="00372E91" w:rsidP="00B507A6">
      <w:pPr>
        <w:spacing w:after="120" w:line="264" w:lineRule="auto"/>
        <w:ind w:left="567" w:right="521"/>
        <w:jc w:val="both"/>
        <w:rPr>
          <w:rFonts w:ascii="Tahoma" w:hAnsi="Tahoma" w:cs="Tahoma"/>
          <w:i/>
        </w:rPr>
      </w:pPr>
      <w:r w:rsidRPr="00B507A6">
        <w:rPr>
          <w:rFonts w:ascii="Tahoma" w:hAnsi="Tahoma" w:cs="Tahoma"/>
          <w:i/>
        </w:rPr>
        <w:t xml:space="preserve">(1) purely geologic or physical / chemical characteristics – such as grade, quality, tonnage, thickness, and depth – of the material in place; and </w:t>
      </w:r>
    </w:p>
    <w:p w:rsidR="0000679F" w:rsidRDefault="00372E91" w:rsidP="00B507A6">
      <w:pPr>
        <w:spacing w:after="120" w:line="264" w:lineRule="auto"/>
        <w:ind w:left="567" w:right="521"/>
        <w:jc w:val="both"/>
        <w:rPr>
          <w:rFonts w:ascii="Tahoma" w:hAnsi="Tahoma" w:cs="Tahoma"/>
          <w:i/>
        </w:rPr>
      </w:pPr>
      <w:r w:rsidRPr="00B507A6">
        <w:rPr>
          <w:rFonts w:ascii="Tahoma" w:hAnsi="Tahoma" w:cs="Tahoma"/>
          <w:i/>
        </w:rPr>
        <w:t>(2) profitability analyses based on costs of extracting and marketing the material in a given economy at a given time</w:t>
      </w:r>
      <w:r w:rsidR="00BB59CE" w:rsidRPr="00B507A6">
        <w:rPr>
          <w:rFonts w:ascii="Tahoma" w:hAnsi="Tahoma" w:cs="Tahoma"/>
          <w:i/>
        </w:rPr>
        <w:t xml:space="preserve">. </w:t>
      </w:r>
    </w:p>
    <w:p w:rsidR="00372E91" w:rsidRPr="00B507A6" w:rsidRDefault="00BB59CE" w:rsidP="00B507A6">
      <w:pPr>
        <w:spacing w:after="120" w:line="264" w:lineRule="auto"/>
        <w:ind w:left="567" w:right="521"/>
        <w:jc w:val="both"/>
        <w:rPr>
          <w:rFonts w:ascii="Tahoma" w:hAnsi="Tahoma" w:cs="Tahoma"/>
        </w:rPr>
      </w:pPr>
      <w:r w:rsidRPr="00B507A6">
        <w:rPr>
          <w:rFonts w:ascii="Tahoma" w:hAnsi="Tahoma" w:cs="Tahoma"/>
          <w:i/>
        </w:rPr>
        <w:t>The former constitutes important objective scientific information of the resource and a relatively unchanging foundation upon which the latter more variable economic delineation can be based.”</w:t>
      </w:r>
    </w:p>
    <w:p w:rsidR="00B507A6" w:rsidRDefault="00314E29" w:rsidP="0057341D">
      <w:pPr>
        <w:spacing w:after="120" w:line="264" w:lineRule="auto"/>
        <w:jc w:val="both"/>
        <w:rPr>
          <w:rFonts w:ascii="Tahoma" w:hAnsi="Tahoma" w:cs="Tahoma"/>
        </w:rPr>
      </w:pPr>
      <w:r w:rsidRPr="00B507A6">
        <w:rPr>
          <w:rFonts w:ascii="Tahoma" w:hAnsi="Tahoma" w:cs="Tahoma"/>
        </w:rPr>
        <w:t xml:space="preserve">As an evolution of the McKelvey classification system, a Mineral Resource as defined in the </w:t>
      </w:r>
      <w:r w:rsidR="00E87322">
        <w:rPr>
          <w:rFonts w:ascii="Tahoma" w:hAnsi="Tahoma" w:cs="Tahoma"/>
        </w:rPr>
        <w:t xml:space="preserve">JORC </w:t>
      </w:r>
      <w:r w:rsidRPr="00B507A6">
        <w:rPr>
          <w:rFonts w:ascii="Tahoma" w:hAnsi="Tahoma" w:cs="Tahoma"/>
        </w:rPr>
        <w:t>Code is</w:t>
      </w:r>
      <w:r w:rsidR="00B507A6">
        <w:rPr>
          <w:rFonts w:ascii="Tahoma" w:hAnsi="Tahoma" w:cs="Tahoma"/>
        </w:rPr>
        <w:t>:</w:t>
      </w:r>
    </w:p>
    <w:p w:rsidR="00314E29" w:rsidRPr="00B507A6" w:rsidRDefault="00BB59CE" w:rsidP="00B507A6">
      <w:pPr>
        <w:spacing w:after="120" w:line="264" w:lineRule="auto"/>
        <w:ind w:left="567" w:right="521"/>
        <w:jc w:val="both"/>
        <w:rPr>
          <w:rFonts w:ascii="Tahoma" w:hAnsi="Tahoma" w:cs="Tahoma"/>
          <w:i/>
        </w:rPr>
      </w:pPr>
      <w:r w:rsidRPr="00B507A6">
        <w:rPr>
          <w:rFonts w:ascii="Tahoma" w:hAnsi="Tahoma" w:cs="Tahoma"/>
          <w:i/>
        </w:rPr>
        <w:t>“</w:t>
      </w:r>
      <w:r w:rsidR="00314E29" w:rsidRPr="00B507A6">
        <w:rPr>
          <w:rFonts w:ascii="Tahoma" w:hAnsi="Tahoma" w:cs="Tahoma"/>
          <w:i/>
        </w:rPr>
        <w:t xml:space="preserve">a concentration or occurrence of material of intrinsic economic interest in or on the earth’s crust in such form, quality and quantity that there are reasonable prospects for eventual economic extraction. The location, quantity, grade, geological </w:t>
      </w:r>
      <w:r w:rsidR="00AB1784">
        <w:rPr>
          <w:rFonts w:ascii="Tahoma" w:hAnsi="Tahoma" w:cs="Tahoma"/>
          <w:i/>
        </w:rPr>
        <w:t>charac</w:t>
      </w:r>
      <w:r w:rsidRPr="00B507A6">
        <w:rPr>
          <w:rFonts w:ascii="Tahoma" w:hAnsi="Tahoma" w:cs="Tahoma"/>
          <w:i/>
        </w:rPr>
        <w:t>teristics and continuity of a Mineral Resource are known, estimated or interpreted from specific geological evidence and knowledge.”</w:t>
      </w:r>
    </w:p>
    <w:p w:rsidR="00BB59CE" w:rsidRPr="00B507A6" w:rsidRDefault="00BB59CE" w:rsidP="0057341D">
      <w:pPr>
        <w:spacing w:after="120" w:line="264" w:lineRule="auto"/>
        <w:jc w:val="both"/>
        <w:rPr>
          <w:rFonts w:ascii="Tahoma" w:hAnsi="Tahoma" w:cs="Tahoma"/>
        </w:rPr>
      </w:pPr>
      <w:r w:rsidRPr="00B507A6">
        <w:rPr>
          <w:rFonts w:ascii="Tahoma" w:hAnsi="Tahoma" w:cs="Tahoma"/>
        </w:rPr>
        <w:t xml:space="preserve">Consequently, Mineral Resources defined by the JORC Code are the ‘technically’ defined in-situ extents, volume, tonnage, grade and characteristics of a particular mineral </w:t>
      </w:r>
      <w:r w:rsidR="00B507A6">
        <w:rPr>
          <w:rFonts w:ascii="Tahoma" w:hAnsi="Tahoma" w:cs="Tahoma"/>
        </w:rPr>
        <w:t xml:space="preserve">occurrence </w:t>
      </w:r>
      <w:r w:rsidR="00AB1784">
        <w:rPr>
          <w:rFonts w:ascii="Tahoma" w:hAnsi="Tahoma" w:cs="Tahoma"/>
        </w:rPr>
        <w:t xml:space="preserve">broadly consistent with </w:t>
      </w:r>
      <w:r w:rsidR="00D8738B">
        <w:rPr>
          <w:rFonts w:ascii="Tahoma" w:hAnsi="Tahoma" w:cs="Tahoma"/>
        </w:rPr>
        <w:t>USGS Circular 831’s first ‘technical’ classification</w:t>
      </w:r>
      <w:r w:rsidR="00AB1784">
        <w:rPr>
          <w:rFonts w:ascii="Tahoma" w:hAnsi="Tahoma" w:cs="Tahoma"/>
        </w:rPr>
        <w:t xml:space="preserve"> </w:t>
      </w:r>
      <w:r w:rsidR="00D8738B">
        <w:rPr>
          <w:rFonts w:ascii="Tahoma" w:hAnsi="Tahoma" w:cs="Tahoma"/>
        </w:rPr>
        <w:t xml:space="preserve">((1) </w:t>
      </w:r>
      <w:r w:rsidR="00AB1784">
        <w:rPr>
          <w:rFonts w:ascii="Tahoma" w:hAnsi="Tahoma" w:cs="Tahoma"/>
        </w:rPr>
        <w:t>above</w:t>
      </w:r>
      <w:r w:rsidR="00D8738B">
        <w:rPr>
          <w:rFonts w:ascii="Tahoma" w:hAnsi="Tahoma" w:cs="Tahoma"/>
        </w:rPr>
        <w:t>)</w:t>
      </w:r>
      <w:r w:rsidR="00AB1784">
        <w:rPr>
          <w:rFonts w:ascii="Tahoma" w:hAnsi="Tahoma" w:cs="Tahoma"/>
        </w:rPr>
        <w:t xml:space="preserve"> </w:t>
      </w:r>
      <w:r w:rsidRPr="00B507A6">
        <w:rPr>
          <w:rFonts w:ascii="Tahoma" w:hAnsi="Tahoma" w:cs="Tahoma"/>
        </w:rPr>
        <w:t xml:space="preserve">with the added requirement that such mineralisation be of intrinsic economic interest with </w:t>
      </w:r>
      <w:r w:rsidR="00B507A6">
        <w:rPr>
          <w:rFonts w:ascii="Tahoma" w:hAnsi="Tahoma" w:cs="Tahoma"/>
        </w:rPr>
        <w:t>“</w:t>
      </w:r>
      <w:r w:rsidRPr="00B507A6">
        <w:rPr>
          <w:rFonts w:ascii="Tahoma" w:hAnsi="Tahoma" w:cs="Tahoma"/>
        </w:rPr>
        <w:t>reasonable prospects for eventual economic extraction</w:t>
      </w:r>
      <w:r w:rsidR="00B507A6">
        <w:rPr>
          <w:rFonts w:ascii="Tahoma" w:hAnsi="Tahoma" w:cs="Tahoma"/>
        </w:rPr>
        <w:t>”</w:t>
      </w:r>
      <w:r w:rsidRPr="00B507A6">
        <w:rPr>
          <w:rFonts w:ascii="Tahoma" w:hAnsi="Tahoma" w:cs="Tahoma"/>
        </w:rPr>
        <w:t>.</w:t>
      </w:r>
    </w:p>
    <w:p w:rsidR="000D64A4" w:rsidRPr="00B507A6" w:rsidRDefault="00AB1784" w:rsidP="0057341D">
      <w:pPr>
        <w:spacing w:after="120" w:line="264" w:lineRule="auto"/>
        <w:jc w:val="both"/>
        <w:rPr>
          <w:rFonts w:ascii="Tahoma" w:hAnsi="Tahoma" w:cs="Tahoma"/>
        </w:rPr>
      </w:pPr>
      <w:r>
        <w:rPr>
          <w:rFonts w:ascii="Tahoma" w:hAnsi="Tahoma" w:cs="Tahoma"/>
        </w:rPr>
        <w:t xml:space="preserve">Ore Reserves under the JORC Code, on the other hand, are the logical extension of McKelvey’s second standpoint – that being the subset of technically defined resources which are </w:t>
      </w:r>
      <w:r w:rsidR="00AA356D">
        <w:rPr>
          <w:rFonts w:ascii="Tahoma" w:hAnsi="Tahoma" w:cs="Tahoma"/>
        </w:rPr>
        <w:t xml:space="preserve">amenable to </w:t>
      </w:r>
      <w:r>
        <w:rPr>
          <w:rFonts w:ascii="Tahoma" w:hAnsi="Tahoma" w:cs="Tahoma"/>
        </w:rPr>
        <w:t>economic</w:t>
      </w:r>
      <w:r w:rsidR="00AA356D">
        <w:rPr>
          <w:rFonts w:ascii="Tahoma" w:hAnsi="Tahoma" w:cs="Tahoma"/>
        </w:rPr>
        <w:t xml:space="preserve"> extraction</w:t>
      </w:r>
      <w:r w:rsidR="001B0BB4">
        <w:rPr>
          <w:rFonts w:ascii="Tahoma" w:hAnsi="Tahoma" w:cs="Tahoma"/>
        </w:rPr>
        <w:t xml:space="preserve"> in the short to medium term wh</w:t>
      </w:r>
      <w:r w:rsidR="0000679F">
        <w:rPr>
          <w:rFonts w:ascii="Tahoma" w:hAnsi="Tahoma" w:cs="Tahoma"/>
        </w:rPr>
        <w:t>en</w:t>
      </w:r>
      <w:r w:rsidR="001B0BB4">
        <w:rPr>
          <w:rFonts w:ascii="Tahoma" w:hAnsi="Tahoma" w:cs="Tahoma"/>
        </w:rPr>
        <w:t xml:space="preserve"> economic and metal market assumptions </w:t>
      </w:r>
      <w:r w:rsidR="0000679F">
        <w:rPr>
          <w:rFonts w:ascii="Tahoma" w:hAnsi="Tahoma" w:cs="Tahoma"/>
        </w:rPr>
        <w:t xml:space="preserve">are </w:t>
      </w:r>
      <w:r w:rsidR="001B0BB4">
        <w:rPr>
          <w:rFonts w:ascii="Tahoma" w:hAnsi="Tahoma" w:cs="Tahoma"/>
        </w:rPr>
        <w:t>appl</w:t>
      </w:r>
      <w:r w:rsidR="0000679F">
        <w:rPr>
          <w:rFonts w:ascii="Tahoma" w:hAnsi="Tahoma" w:cs="Tahoma"/>
        </w:rPr>
        <w:t>ied</w:t>
      </w:r>
      <w:r>
        <w:rPr>
          <w:rFonts w:ascii="Tahoma" w:hAnsi="Tahoma" w:cs="Tahoma"/>
        </w:rPr>
        <w:t>.</w:t>
      </w:r>
    </w:p>
    <w:p w:rsidR="00BB59CE" w:rsidRPr="00B507A6" w:rsidRDefault="004F7B75" w:rsidP="0057341D">
      <w:pPr>
        <w:spacing w:after="120" w:line="264" w:lineRule="auto"/>
        <w:jc w:val="both"/>
        <w:rPr>
          <w:rFonts w:ascii="Tahoma" w:hAnsi="Tahoma" w:cs="Tahoma"/>
        </w:rPr>
      </w:pPr>
      <w:r w:rsidRPr="00B507A6">
        <w:rPr>
          <w:rFonts w:ascii="Tahoma" w:hAnsi="Tahoma" w:cs="Tahoma"/>
        </w:rPr>
        <w:t xml:space="preserve">This practical application is supported </w:t>
      </w:r>
      <w:r w:rsidR="00AA356D">
        <w:rPr>
          <w:rFonts w:ascii="Tahoma" w:hAnsi="Tahoma" w:cs="Tahoma"/>
        </w:rPr>
        <w:t xml:space="preserve">in the JORC Code </w:t>
      </w:r>
      <w:r w:rsidRPr="00B507A6">
        <w:rPr>
          <w:rFonts w:ascii="Tahoma" w:hAnsi="Tahoma" w:cs="Tahoma"/>
        </w:rPr>
        <w:t xml:space="preserve">by the requirement that both Mineral Resources and Ore Reserves should be reported with reference to </w:t>
      </w:r>
      <w:r w:rsidR="00D8738B">
        <w:rPr>
          <w:rFonts w:ascii="Tahoma" w:hAnsi="Tahoma" w:cs="Tahoma"/>
        </w:rPr>
        <w:t xml:space="preserve">the Code’s </w:t>
      </w:r>
      <w:r w:rsidRPr="00B507A6">
        <w:rPr>
          <w:rFonts w:ascii="Tahoma" w:hAnsi="Tahoma" w:cs="Tahoma"/>
        </w:rPr>
        <w:t xml:space="preserve">Table 1 </w:t>
      </w:r>
      <w:r w:rsidRPr="002E052C">
        <w:rPr>
          <w:rFonts w:ascii="Tahoma" w:hAnsi="Tahoma" w:cs="Tahoma"/>
          <w:i/>
        </w:rPr>
        <w:t>“Checklist of Assessment and Reporting Criteria”</w:t>
      </w:r>
      <w:r w:rsidRPr="002E052C">
        <w:rPr>
          <w:rFonts w:ascii="Tahoma" w:hAnsi="Tahoma" w:cs="Tahoma"/>
        </w:rPr>
        <w:t>.</w:t>
      </w:r>
      <w:r w:rsidRPr="00B507A6">
        <w:rPr>
          <w:rFonts w:ascii="Tahoma" w:hAnsi="Tahoma" w:cs="Tahoma"/>
        </w:rPr>
        <w:t xml:space="preserve">  For the reporting of Mineral Resources</w:t>
      </w:r>
      <w:r w:rsidR="001B0BB4">
        <w:rPr>
          <w:rFonts w:ascii="Tahoma" w:hAnsi="Tahoma" w:cs="Tahoma"/>
        </w:rPr>
        <w:t>,</w:t>
      </w:r>
      <w:r w:rsidRPr="00B507A6">
        <w:rPr>
          <w:rFonts w:ascii="Tahoma" w:hAnsi="Tahoma" w:cs="Tahoma"/>
        </w:rPr>
        <w:t xml:space="preserve"> the focus is on </w:t>
      </w:r>
      <w:r w:rsidR="000D64A4" w:rsidRPr="00B507A6">
        <w:rPr>
          <w:rFonts w:ascii="Tahoma" w:hAnsi="Tahoma" w:cs="Tahoma"/>
        </w:rPr>
        <w:t xml:space="preserve">geologic </w:t>
      </w:r>
      <w:r w:rsidR="001B0BB4">
        <w:rPr>
          <w:rFonts w:ascii="Tahoma" w:hAnsi="Tahoma" w:cs="Tahoma"/>
        </w:rPr>
        <w:t xml:space="preserve">and </w:t>
      </w:r>
      <w:r w:rsidRPr="00B507A6">
        <w:rPr>
          <w:rFonts w:ascii="Tahoma" w:hAnsi="Tahoma" w:cs="Tahoma"/>
        </w:rPr>
        <w:t xml:space="preserve">technical parameters </w:t>
      </w:r>
      <w:r w:rsidR="001B0BB4">
        <w:rPr>
          <w:rFonts w:ascii="Tahoma" w:hAnsi="Tahoma" w:cs="Tahoma"/>
        </w:rPr>
        <w:t xml:space="preserve">including </w:t>
      </w:r>
      <w:r w:rsidR="0000679F">
        <w:rPr>
          <w:rFonts w:ascii="Tahoma" w:hAnsi="Tahoma" w:cs="Tahoma"/>
        </w:rPr>
        <w:t>‘</w:t>
      </w:r>
      <w:r w:rsidR="00B507A6">
        <w:rPr>
          <w:rFonts w:ascii="Tahoma" w:hAnsi="Tahoma" w:cs="Tahoma"/>
        </w:rPr>
        <w:t>mining factors</w:t>
      </w:r>
      <w:r w:rsidR="001B0BB4">
        <w:rPr>
          <w:rFonts w:ascii="Tahoma" w:hAnsi="Tahoma" w:cs="Tahoma"/>
        </w:rPr>
        <w:t xml:space="preserve"> and </w:t>
      </w:r>
      <w:r w:rsidRPr="00B507A6">
        <w:rPr>
          <w:rFonts w:ascii="Tahoma" w:hAnsi="Tahoma" w:cs="Tahoma"/>
        </w:rPr>
        <w:t>assumptio</w:t>
      </w:r>
      <w:r w:rsidR="00B507A6">
        <w:rPr>
          <w:rFonts w:ascii="Tahoma" w:hAnsi="Tahoma" w:cs="Tahoma"/>
        </w:rPr>
        <w:t>ns</w:t>
      </w:r>
      <w:r w:rsidR="0000679F">
        <w:rPr>
          <w:rFonts w:ascii="Tahoma" w:hAnsi="Tahoma" w:cs="Tahoma"/>
        </w:rPr>
        <w:t>’</w:t>
      </w:r>
      <w:r w:rsidR="00B507A6">
        <w:rPr>
          <w:rFonts w:ascii="Tahoma" w:hAnsi="Tahoma" w:cs="Tahoma"/>
        </w:rPr>
        <w:t xml:space="preserve"> and </w:t>
      </w:r>
      <w:r w:rsidR="0000679F">
        <w:rPr>
          <w:rFonts w:ascii="Tahoma" w:hAnsi="Tahoma" w:cs="Tahoma"/>
        </w:rPr>
        <w:t>‘</w:t>
      </w:r>
      <w:r w:rsidR="00B507A6">
        <w:rPr>
          <w:rFonts w:ascii="Tahoma" w:hAnsi="Tahoma" w:cs="Tahoma"/>
        </w:rPr>
        <w:t>metallurgical factors</w:t>
      </w:r>
      <w:r w:rsidR="00A86032">
        <w:rPr>
          <w:rFonts w:ascii="Tahoma" w:hAnsi="Tahoma" w:cs="Tahoma"/>
        </w:rPr>
        <w:t xml:space="preserve"> and </w:t>
      </w:r>
      <w:r w:rsidRPr="00B507A6">
        <w:rPr>
          <w:rFonts w:ascii="Tahoma" w:hAnsi="Tahoma" w:cs="Tahoma"/>
        </w:rPr>
        <w:t>assumptions</w:t>
      </w:r>
      <w:r w:rsidR="0000679F">
        <w:rPr>
          <w:rFonts w:ascii="Tahoma" w:hAnsi="Tahoma" w:cs="Tahoma"/>
        </w:rPr>
        <w:t>’</w:t>
      </w:r>
      <w:r w:rsidRPr="00B507A6">
        <w:rPr>
          <w:rFonts w:ascii="Tahoma" w:hAnsi="Tahoma" w:cs="Tahoma"/>
        </w:rPr>
        <w:t xml:space="preserve"> – </w:t>
      </w:r>
      <w:r w:rsidR="000D0624" w:rsidRPr="00B507A6">
        <w:rPr>
          <w:rFonts w:ascii="Tahoma" w:hAnsi="Tahoma" w:cs="Tahoma"/>
        </w:rPr>
        <w:t>i.e.</w:t>
      </w:r>
      <w:r w:rsidRPr="00B507A6">
        <w:rPr>
          <w:rFonts w:ascii="Tahoma" w:hAnsi="Tahoma" w:cs="Tahoma"/>
        </w:rPr>
        <w:t xml:space="preserve"> assumptions pertaining to the operating parameters and, by extension, when considering the ‘prospects for eventual economic extraction’, those costs on an operating basis.</w:t>
      </w:r>
    </w:p>
    <w:p w:rsidR="004F7B75" w:rsidRPr="00B507A6" w:rsidRDefault="004F7B75" w:rsidP="0057341D">
      <w:pPr>
        <w:spacing w:after="120" w:line="264" w:lineRule="auto"/>
        <w:jc w:val="both"/>
        <w:rPr>
          <w:rFonts w:ascii="Tahoma" w:hAnsi="Tahoma" w:cs="Tahoma"/>
        </w:rPr>
      </w:pPr>
      <w:r w:rsidRPr="00B507A6">
        <w:rPr>
          <w:rFonts w:ascii="Tahoma" w:hAnsi="Tahoma" w:cs="Tahoma"/>
        </w:rPr>
        <w:lastRenderedPageBreak/>
        <w:t xml:space="preserve">In contrast, for the reporting of Ore Reserves </w:t>
      </w:r>
      <w:r w:rsidR="00AA356D">
        <w:rPr>
          <w:rFonts w:ascii="Tahoma" w:hAnsi="Tahoma" w:cs="Tahoma"/>
        </w:rPr>
        <w:t xml:space="preserve">the JORC Code </w:t>
      </w:r>
      <w:r w:rsidRPr="00B507A6">
        <w:rPr>
          <w:rFonts w:ascii="Tahoma" w:hAnsi="Tahoma" w:cs="Tahoma"/>
        </w:rPr>
        <w:t xml:space="preserve">Table 1 has the additional requirements of ‘cost and revenue factors’ and ‘market assessment’.  Of particular importance is the </w:t>
      </w:r>
      <w:r w:rsidR="002E15F0" w:rsidRPr="00B507A6">
        <w:rPr>
          <w:rFonts w:ascii="Tahoma" w:hAnsi="Tahoma" w:cs="Tahoma"/>
        </w:rPr>
        <w:t xml:space="preserve">explanation of ‘cost and revenue factors’ to include </w:t>
      </w:r>
      <w:r w:rsidR="002E15F0" w:rsidRPr="00B507A6">
        <w:rPr>
          <w:rFonts w:ascii="Tahoma" w:hAnsi="Tahoma" w:cs="Tahoma"/>
          <w:i/>
        </w:rPr>
        <w:t xml:space="preserve">“The derivation of, or assumptions made, regarding the projected </w:t>
      </w:r>
      <w:r w:rsidR="002E15F0" w:rsidRPr="00C92B37">
        <w:rPr>
          <w:rFonts w:ascii="Tahoma" w:hAnsi="Tahoma" w:cs="Tahoma"/>
          <w:b/>
          <w:i/>
        </w:rPr>
        <w:t>capital and operating costs</w:t>
      </w:r>
      <w:r w:rsidR="002E15F0" w:rsidRPr="00B507A6">
        <w:rPr>
          <w:rFonts w:ascii="Tahoma" w:hAnsi="Tahoma" w:cs="Tahoma"/>
          <w:i/>
        </w:rPr>
        <w:t xml:space="preserve">” </w:t>
      </w:r>
      <w:r w:rsidR="002E15F0" w:rsidRPr="00B507A6">
        <w:rPr>
          <w:rFonts w:ascii="Tahoma" w:hAnsi="Tahoma" w:cs="Tahoma"/>
        </w:rPr>
        <w:t>(emphasis added).</w:t>
      </w:r>
    </w:p>
    <w:p w:rsidR="00B507A6" w:rsidRDefault="00B507A6" w:rsidP="0057341D">
      <w:pPr>
        <w:spacing w:after="120" w:line="264" w:lineRule="auto"/>
        <w:jc w:val="both"/>
        <w:rPr>
          <w:rFonts w:ascii="Tahoma" w:hAnsi="Tahoma" w:cs="Tahoma"/>
        </w:rPr>
      </w:pPr>
      <w:r>
        <w:rPr>
          <w:rFonts w:ascii="Tahoma" w:hAnsi="Tahoma" w:cs="Tahoma"/>
        </w:rPr>
        <w:t>Intuitively, this dis</w:t>
      </w:r>
      <w:r w:rsidR="002E15F0" w:rsidRPr="00B507A6">
        <w:rPr>
          <w:rFonts w:ascii="Tahoma" w:hAnsi="Tahoma" w:cs="Tahoma"/>
        </w:rPr>
        <w:t xml:space="preserve">tinction between the consideration of an operating cost basis only </w:t>
      </w:r>
      <w:r>
        <w:rPr>
          <w:rFonts w:ascii="Tahoma" w:hAnsi="Tahoma" w:cs="Tahoma"/>
        </w:rPr>
        <w:t>when assessing</w:t>
      </w:r>
      <w:r w:rsidR="002E15F0" w:rsidRPr="00B507A6">
        <w:rPr>
          <w:rFonts w:ascii="Tahoma" w:hAnsi="Tahoma" w:cs="Tahoma"/>
        </w:rPr>
        <w:t xml:space="preserve"> the ‘reasonable prospects for eventual economic extraction’ test as it applies to reportable Mineral Resources as opposed to the additional requirement to also consider capital costs for reporting of Ore Reserves makes </w:t>
      </w:r>
      <w:r w:rsidR="00A86032">
        <w:rPr>
          <w:rFonts w:ascii="Tahoma" w:hAnsi="Tahoma" w:cs="Tahoma"/>
        </w:rPr>
        <w:t>practical</w:t>
      </w:r>
      <w:r w:rsidR="00A86032" w:rsidRPr="00B507A6">
        <w:rPr>
          <w:rFonts w:ascii="Tahoma" w:hAnsi="Tahoma" w:cs="Tahoma"/>
        </w:rPr>
        <w:t xml:space="preserve"> </w:t>
      </w:r>
      <w:r w:rsidR="002E15F0" w:rsidRPr="00B507A6">
        <w:rPr>
          <w:rFonts w:ascii="Tahoma" w:hAnsi="Tahoma" w:cs="Tahoma"/>
        </w:rPr>
        <w:t>sense.</w:t>
      </w:r>
      <w:r w:rsidR="003C626B" w:rsidRPr="00B507A6">
        <w:rPr>
          <w:rFonts w:ascii="Tahoma" w:hAnsi="Tahoma" w:cs="Tahoma"/>
        </w:rPr>
        <w:t xml:space="preserve">  </w:t>
      </w:r>
    </w:p>
    <w:p w:rsidR="00A86032" w:rsidRDefault="003C626B" w:rsidP="0000679F">
      <w:pPr>
        <w:spacing w:after="120" w:line="264" w:lineRule="auto"/>
        <w:jc w:val="both"/>
        <w:rPr>
          <w:rFonts w:ascii="Tahoma" w:hAnsi="Tahoma" w:cs="Tahoma"/>
          <w:b/>
        </w:rPr>
      </w:pPr>
      <w:r w:rsidRPr="00B507A6">
        <w:rPr>
          <w:rFonts w:ascii="Tahoma" w:hAnsi="Tahoma" w:cs="Tahoma"/>
        </w:rPr>
        <w:t xml:space="preserve">Given the fundamental purpose of reporting </w:t>
      </w:r>
      <w:r w:rsidR="00D8738B">
        <w:rPr>
          <w:rFonts w:ascii="Tahoma" w:hAnsi="Tahoma" w:cs="Tahoma"/>
        </w:rPr>
        <w:t xml:space="preserve">Mineral Resources </w:t>
      </w:r>
      <w:r w:rsidRPr="00B507A6">
        <w:rPr>
          <w:rFonts w:ascii="Tahoma" w:hAnsi="Tahoma" w:cs="Tahoma"/>
        </w:rPr>
        <w:t>in compliance with the JORC Code is to provide investors with all relevant information on which they can make informed investment decisions, the reporting of Mineral Resou</w:t>
      </w:r>
      <w:r w:rsidR="00AA356D">
        <w:rPr>
          <w:rFonts w:ascii="Tahoma" w:hAnsi="Tahoma" w:cs="Tahoma"/>
        </w:rPr>
        <w:t>r</w:t>
      </w:r>
      <w:r w:rsidRPr="00B507A6">
        <w:rPr>
          <w:rFonts w:ascii="Tahoma" w:hAnsi="Tahoma" w:cs="Tahoma"/>
        </w:rPr>
        <w:t>ces of intrinsic economic interest</w:t>
      </w:r>
      <w:r w:rsidR="00AA356D">
        <w:rPr>
          <w:rFonts w:ascii="Tahoma" w:hAnsi="Tahoma" w:cs="Tahoma"/>
        </w:rPr>
        <w:t>,</w:t>
      </w:r>
      <w:r w:rsidRPr="00B507A6">
        <w:rPr>
          <w:rFonts w:ascii="Tahoma" w:hAnsi="Tahoma" w:cs="Tahoma"/>
        </w:rPr>
        <w:t xml:space="preserve"> yet possibly not of sufficient scale to justify the capital cost of development</w:t>
      </w:r>
      <w:r w:rsidR="00AA356D">
        <w:rPr>
          <w:rFonts w:ascii="Tahoma" w:hAnsi="Tahoma" w:cs="Tahoma"/>
        </w:rPr>
        <w:t>,</w:t>
      </w:r>
      <w:r w:rsidRPr="00B507A6">
        <w:rPr>
          <w:rFonts w:ascii="Tahoma" w:hAnsi="Tahoma" w:cs="Tahoma"/>
        </w:rPr>
        <w:t xml:space="preserve"> is an important interim step towards Ore Reserves.  It may be that future </w:t>
      </w:r>
      <w:r w:rsidR="00AB6479">
        <w:rPr>
          <w:rFonts w:ascii="Tahoma" w:hAnsi="Tahoma" w:cs="Tahoma"/>
        </w:rPr>
        <w:t>mineral</w:t>
      </w:r>
      <w:r w:rsidRPr="00B507A6">
        <w:rPr>
          <w:rFonts w:ascii="Tahoma" w:hAnsi="Tahoma" w:cs="Tahoma"/>
        </w:rPr>
        <w:t xml:space="preserve"> discover</w:t>
      </w:r>
      <w:r w:rsidR="00AB6479">
        <w:rPr>
          <w:rFonts w:ascii="Tahoma" w:hAnsi="Tahoma" w:cs="Tahoma"/>
        </w:rPr>
        <w:t>ies</w:t>
      </w:r>
      <w:r w:rsidRPr="00B507A6">
        <w:rPr>
          <w:rFonts w:ascii="Tahoma" w:hAnsi="Tahoma" w:cs="Tahoma"/>
        </w:rPr>
        <w:t xml:space="preserve"> or the establishment of </w:t>
      </w:r>
      <w:r w:rsidR="00AB6479">
        <w:rPr>
          <w:rFonts w:ascii="Tahoma" w:hAnsi="Tahoma" w:cs="Tahoma"/>
        </w:rPr>
        <w:t>new</w:t>
      </w:r>
      <w:r w:rsidRPr="00B507A6">
        <w:rPr>
          <w:rFonts w:ascii="Tahoma" w:hAnsi="Tahoma" w:cs="Tahoma"/>
        </w:rPr>
        <w:t xml:space="preserve"> infrastructure to achieve the scale </w:t>
      </w:r>
      <w:r w:rsidR="0000679F">
        <w:rPr>
          <w:rFonts w:ascii="Tahoma" w:hAnsi="Tahoma" w:cs="Tahoma"/>
        </w:rPr>
        <w:t>or</w:t>
      </w:r>
      <w:r w:rsidR="00A86032">
        <w:rPr>
          <w:rFonts w:ascii="Tahoma" w:hAnsi="Tahoma" w:cs="Tahoma"/>
        </w:rPr>
        <w:t xml:space="preserve"> </w:t>
      </w:r>
      <w:r w:rsidRPr="00B507A6">
        <w:rPr>
          <w:rFonts w:ascii="Tahoma" w:hAnsi="Tahoma" w:cs="Tahoma"/>
        </w:rPr>
        <w:t xml:space="preserve">accessibility </w:t>
      </w:r>
      <w:r w:rsidR="0000679F">
        <w:rPr>
          <w:rFonts w:ascii="Tahoma" w:hAnsi="Tahoma" w:cs="Tahoma"/>
        </w:rPr>
        <w:t xml:space="preserve">is </w:t>
      </w:r>
      <w:r w:rsidRPr="00B507A6">
        <w:rPr>
          <w:rFonts w:ascii="Tahoma" w:hAnsi="Tahoma" w:cs="Tahoma"/>
        </w:rPr>
        <w:t>required before the reported Mineral Resource becomes feasible for development.  It is this potential for a future event which is accommodated by the inclusion of ‘eventual’ in the ‘reasonable prospect for eventual economic extraction’ criteria for reporting of Mineral Resources.  Two example case studies are provided below.</w:t>
      </w:r>
    </w:p>
    <w:p w:rsidR="000D64A4" w:rsidRPr="00B507A6" w:rsidRDefault="000D64A4" w:rsidP="0057341D">
      <w:pPr>
        <w:spacing w:after="120" w:line="264" w:lineRule="auto"/>
        <w:ind w:left="851"/>
        <w:jc w:val="both"/>
        <w:rPr>
          <w:rFonts w:ascii="Tahoma" w:hAnsi="Tahoma" w:cs="Tahoma"/>
          <w:b/>
        </w:rPr>
      </w:pPr>
      <w:r w:rsidRPr="00B507A6">
        <w:rPr>
          <w:rFonts w:ascii="Tahoma" w:hAnsi="Tahoma" w:cs="Tahoma"/>
          <w:b/>
        </w:rPr>
        <w:t>Case Study – Additional Discovery: Integra Mining</w:t>
      </w:r>
    </w:p>
    <w:p w:rsidR="000D64A4" w:rsidRPr="00B507A6" w:rsidRDefault="00B507A6" w:rsidP="0057341D">
      <w:pPr>
        <w:spacing w:after="120" w:line="264" w:lineRule="auto"/>
        <w:ind w:left="851"/>
        <w:jc w:val="both"/>
        <w:rPr>
          <w:rFonts w:ascii="Tahoma" w:hAnsi="Tahoma" w:cs="Tahoma"/>
        </w:rPr>
      </w:pPr>
      <w:r>
        <w:rPr>
          <w:rFonts w:ascii="Tahoma" w:hAnsi="Tahoma" w:cs="Tahoma"/>
        </w:rPr>
        <w:t>In February 2006 Integra M</w:t>
      </w:r>
      <w:r w:rsidR="000D64A4" w:rsidRPr="00B507A6">
        <w:rPr>
          <w:rFonts w:ascii="Tahoma" w:hAnsi="Tahoma" w:cs="Tahoma"/>
        </w:rPr>
        <w:t xml:space="preserve">ining announced a 1.2 million ounce </w:t>
      </w:r>
      <w:r w:rsidR="00A86032">
        <w:rPr>
          <w:rFonts w:ascii="Tahoma" w:hAnsi="Tahoma" w:cs="Tahoma"/>
        </w:rPr>
        <w:t>total Indicated plus Inferred</w:t>
      </w:r>
      <w:r w:rsidR="00A86032" w:rsidRPr="00B507A6">
        <w:rPr>
          <w:rFonts w:ascii="Tahoma" w:hAnsi="Tahoma" w:cs="Tahoma"/>
        </w:rPr>
        <w:t xml:space="preserve"> </w:t>
      </w:r>
      <w:r w:rsidR="000D64A4" w:rsidRPr="00B507A6">
        <w:rPr>
          <w:rFonts w:ascii="Tahoma" w:hAnsi="Tahoma" w:cs="Tahoma"/>
        </w:rPr>
        <w:t>Mineral Resource for Integra</w:t>
      </w:r>
      <w:r w:rsidR="00AB6479">
        <w:rPr>
          <w:rFonts w:ascii="Tahoma" w:hAnsi="Tahoma" w:cs="Tahoma"/>
        </w:rPr>
        <w:t>’s</w:t>
      </w:r>
      <w:r w:rsidR="000D64A4" w:rsidRPr="00B507A6">
        <w:rPr>
          <w:rFonts w:ascii="Tahoma" w:hAnsi="Tahoma" w:cs="Tahoma"/>
        </w:rPr>
        <w:t xml:space="preserve"> project areas east of Kalgoorlie. Of this </w:t>
      </w:r>
      <w:r w:rsidR="00A86032">
        <w:rPr>
          <w:rFonts w:ascii="Tahoma" w:hAnsi="Tahoma" w:cs="Tahoma"/>
        </w:rPr>
        <w:t>total</w:t>
      </w:r>
      <w:r w:rsidR="00A86032" w:rsidRPr="00B507A6">
        <w:rPr>
          <w:rFonts w:ascii="Tahoma" w:hAnsi="Tahoma" w:cs="Tahoma"/>
        </w:rPr>
        <w:t xml:space="preserve"> </w:t>
      </w:r>
      <w:r w:rsidR="000D64A4" w:rsidRPr="00B507A6">
        <w:rPr>
          <w:rFonts w:ascii="Tahoma" w:hAnsi="Tahoma" w:cs="Tahoma"/>
        </w:rPr>
        <w:t>resource, 660,000 ounces of gold were located in the Randalls Gold Project.</w:t>
      </w:r>
      <w:r w:rsidR="00B4126E" w:rsidRPr="00B507A6">
        <w:rPr>
          <w:rFonts w:ascii="Tahoma" w:hAnsi="Tahoma" w:cs="Tahoma"/>
        </w:rPr>
        <w:t xml:space="preserve">  A pre-feasibility study on open pit production from these assets indicated a positive economic </w:t>
      </w:r>
      <w:r w:rsidR="000D0624" w:rsidRPr="00B507A6">
        <w:rPr>
          <w:rFonts w:ascii="Tahoma" w:hAnsi="Tahoma" w:cs="Tahoma"/>
        </w:rPr>
        <w:t>outcome;</w:t>
      </w:r>
      <w:r w:rsidR="00B4126E" w:rsidRPr="00B507A6">
        <w:rPr>
          <w:rFonts w:ascii="Tahoma" w:hAnsi="Tahoma" w:cs="Tahoma"/>
        </w:rPr>
        <w:t xml:space="preserve"> however, the company informed the market that additional discovery was required given the balanced assessment of </w:t>
      </w:r>
      <w:r>
        <w:rPr>
          <w:rFonts w:ascii="Tahoma" w:hAnsi="Tahoma" w:cs="Tahoma"/>
        </w:rPr>
        <w:t xml:space="preserve">capital </w:t>
      </w:r>
      <w:r w:rsidR="00B4126E" w:rsidRPr="00B507A6">
        <w:rPr>
          <w:rFonts w:ascii="Tahoma" w:hAnsi="Tahoma" w:cs="Tahoma"/>
        </w:rPr>
        <w:t>development risks.</w:t>
      </w:r>
    </w:p>
    <w:p w:rsidR="00B4126E" w:rsidRPr="00B507A6" w:rsidRDefault="00B4126E" w:rsidP="0057341D">
      <w:pPr>
        <w:spacing w:after="120" w:line="264" w:lineRule="auto"/>
        <w:ind w:left="851"/>
        <w:jc w:val="both"/>
        <w:rPr>
          <w:rFonts w:ascii="Tahoma" w:hAnsi="Tahoma" w:cs="Tahoma"/>
        </w:rPr>
      </w:pPr>
      <w:r w:rsidRPr="00B507A6">
        <w:rPr>
          <w:rFonts w:ascii="Tahoma" w:hAnsi="Tahoma" w:cs="Tahoma"/>
        </w:rPr>
        <w:t>On the 3</w:t>
      </w:r>
      <w:r w:rsidRPr="00B507A6">
        <w:rPr>
          <w:rFonts w:ascii="Tahoma" w:hAnsi="Tahoma" w:cs="Tahoma"/>
          <w:vertAlign w:val="superscript"/>
        </w:rPr>
        <w:t>rd</w:t>
      </w:r>
      <w:r w:rsidRPr="00B507A6">
        <w:rPr>
          <w:rFonts w:ascii="Tahoma" w:hAnsi="Tahoma" w:cs="Tahoma"/>
        </w:rPr>
        <w:t xml:space="preserve"> May 2007, Integra announced a new discovery at Salt Creek</w:t>
      </w:r>
      <w:r w:rsidR="00B507A6">
        <w:rPr>
          <w:rFonts w:ascii="Tahoma" w:hAnsi="Tahoma" w:cs="Tahoma"/>
        </w:rPr>
        <w:t xml:space="preserve"> within the Randalls Gold Project</w:t>
      </w:r>
      <w:r w:rsidRPr="00B507A6">
        <w:rPr>
          <w:rFonts w:ascii="Tahoma" w:hAnsi="Tahoma" w:cs="Tahoma"/>
        </w:rPr>
        <w:t xml:space="preserve">.  Over the ensuing 6 months, the Mineral Resource at Salt Creek grew to 410,000 ounces and in July 2009 a Feasibility Study declared the Randalls Gold Project </w:t>
      </w:r>
      <w:r w:rsidR="00B507A6">
        <w:rPr>
          <w:rFonts w:ascii="Tahoma" w:hAnsi="Tahoma" w:cs="Tahoma"/>
        </w:rPr>
        <w:t xml:space="preserve">economically </w:t>
      </w:r>
      <w:r w:rsidRPr="00B507A6">
        <w:rPr>
          <w:rFonts w:ascii="Tahoma" w:hAnsi="Tahoma" w:cs="Tahoma"/>
        </w:rPr>
        <w:t xml:space="preserve">viable with initial Ore Reserves of 320,000 ounces.  The Randalls Gold Project is now in production and is one of Australia’s lowest cost gold producers.  </w:t>
      </w:r>
    </w:p>
    <w:p w:rsidR="00B4126E" w:rsidRPr="00B507A6" w:rsidRDefault="00B4126E" w:rsidP="0057341D">
      <w:pPr>
        <w:spacing w:after="120" w:line="264" w:lineRule="auto"/>
        <w:ind w:left="851"/>
        <w:jc w:val="both"/>
        <w:rPr>
          <w:rFonts w:ascii="Tahoma" w:hAnsi="Tahoma" w:cs="Tahoma"/>
          <w:b/>
        </w:rPr>
      </w:pPr>
      <w:r w:rsidRPr="00B507A6">
        <w:rPr>
          <w:rFonts w:ascii="Tahoma" w:hAnsi="Tahoma" w:cs="Tahoma"/>
          <w:b/>
        </w:rPr>
        <w:t>Case Study – Infrastructure Development: BC Iron</w:t>
      </w:r>
    </w:p>
    <w:p w:rsidR="00B4126E" w:rsidRPr="00B507A6" w:rsidRDefault="00453F29" w:rsidP="0057341D">
      <w:pPr>
        <w:spacing w:after="120" w:line="264" w:lineRule="auto"/>
        <w:ind w:left="851"/>
        <w:jc w:val="both"/>
        <w:rPr>
          <w:rFonts w:ascii="Tahoma" w:hAnsi="Tahoma" w:cs="Tahoma"/>
        </w:rPr>
      </w:pPr>
      <w:r w:rsidRPr="00B507A6">
        <w:rPr>
          <w:rFonts w:ascii="Tahoma" w:hAnsi="Tahoma" w:cs="Tahoma"/>
        </w:rPr>
        <w:t xml:space="preserve">In April 2009, BC Iron </w:t>
      </w:r>
      <w:r w:rsidR="00A86032">
        <w:rPr>
          <w:rFonts w:ascii="Tahoma" w:hAnsi="Tahoma" w:cs="Tahoma"/>
        </w:rPr>
        <w:t xml:space="preserve">Ltd </w:t>
      </w:r>
      <w:r w:rsidRPr="00B507A6">
        <w:rPr>
          <w:rFonts w:ascii="Tahoma" w:hAnsi="Tahoma" w:cs="Tahoma"/>
        </w:rPr>
        <w:t xml:space="preserve">announced to the ASX a 50.7 million tonne DSO iron </w:t>
      </w:r>
      <w:r w:rsidR="00B507A6">
        <w:rPr>
          <w:rFonts w:ascii="Tahoma" w:hAnsi="Tahoma" w:cs="Tahoma"/>
        </w:rPr>
        <w:t>Mineral R</w:t>
      </w:r>
      <w:r w:rsidRPr="00B507A6">
        <w:rPr>
          <w:rFonts w:ascii="Tahoma" w:hAnsi="Tahoma" w:cs="Tahoma"/>
        </w:rPr>
        <w:t>esource at the Nullagine Iron Ore Project</w:t>
      </w:r>
      <w:r w:rsidR="000133D5" w:rsidRPr="00B507A6">
        <w:rPr>
          <w:rFonts w:ascii="Tahoma" w:hAnsi="Tahoma" w:cs="Tahoma"/>
        </w:rPr>
        <w:t xml:space="preserve"> located 140 kilometres north of Newman in the Pilbara</w:t>
      </w:r>
      <w:r w:rsidRPr="00B507A6">
        <w:rPr>
          <w:rFonts w:ascii="Tahoma" w:hAnsi="Tahoma" w:cs="Tahoma"/>
        </w:rPr>
        <w:t xml:space="preserve">. </w:t>
      </w:r>
      <w:r w:rsidR="000133D5" w:rsidRPr="00B507A6">
        <w:rPr>
          <w:rFonts w:ascii="Tahoma" w:hAnsi="Tahoma" w:cs="Tahoma"/>
        </w:rPr>
        <w:t>Clearly, the scale of the Mineral Resource was</w:t>
      </w:r>
      <w:r w:rsidR="00B507A6">
        <w:rPr>
          <w:rFonts w:ascii="Tahoma" w:hAnsi="Tahoma" w:cs="Tahoma"/>
        </w:rPr>
        <w:t xml:space="preserve"> of</w:t>
      </w:r>
      <w:r w:rsidR="000133D5" w:rsidRPr="00B507A6">
        <w:rPr>
          <w:rFonts w:ascii="Tahoma" w:hAnsi="Tahoma" w:cs="Tahoma"/>
        </w:rPr>
        <w:t xml:space="preserve"> insufficient </w:t>
      </w:r>
      <w:r w:rsidR="00B507A6">
        <w:rPr>
          <w:rFonts w:ascii="Tahoma" w:hAnsi="Tahoma" w:cs="Tahoma"/>
        </w:rPr>
        <w:t xml:space="preserve">size </w:t>
      </w:r>
      <w:r w:rsidR="000133D5" w:rsidRPr="00B507A6">
        <w:rPr>
          <w:rFonts w:ascii="Tahoma" w:hAnsi="Tahoma" w:cs="Tahoma"/>
        </w:rPr>
        <w:t xml:space="preserve">to justify the construction of a dedicated railway and port loading facility for delivery of product to international markets.  </w:t>
      </w:r>
      <w:r w:rsidR="00B4126E" w:rsidRPr="00B507A6">
        <w:rPr>
          <w:rFonts w:ascii="Tahoma" w:hAnsi="Tahoma" w:cs="Tahoma"/>
        </w:rPr>
        <w:t>On 24</w:t>
      </w:r>
      <w:r w:rsidRPr="00B507A6">
        <w:rPr>
          <w:rFonts w:ascii="Tahoma" w:hAnsi="Tahoma" w:cs="Tahoma"/>
        </w:rPr>
        <w:t xml:space="preserve"> August 2009 BC Iron and Fortesc</w:t>
      </w:r>
      <w:r w:rsidR="00B4126E" w:rsidRPr="00B507A6">
        <w:rPr>
          <w:rFonts w:ascii="Tahoma" w:hAnsi="Tahoma" w:cs="Tahoma"/>
        </w:rPr>
        <w:t xml:space="preserve">ue </w:t>
      </w:r>
      <w:r w:rsidRPr="00B507A6">
        <w:rPr>
          <w:rFonts w:ascii="Tahoma" w:hAnsi="Tahoma" w:cs="Tahoma"/>
        </w:rPr>
        <w:t>Metals Group entered into the Nullagine Joint Venture which enabled ore mined from BC Iron’s leases to be transported and loaded onto ships using Fo</w:t>
      </w:r>
      <w:r w:rsidR="000133D5" w:rsidRPr="00B507A6">
        <w:rPr>
          <w:rFonts w:ascii="Tahoma" w:hAnsi="Tahoma" w:cs="Tahoma"/>
        </w:rPr>
        <w:t>r</w:t>
      </w:r>
      <w:r w:rsidRPr="00B507A6">
        <w:rPr>
          <w:rFonts w:ascii="Tahoma" w:hAnsi="Tahoma" w:cs="Tahoma"/>
        </w:rPr>
        <w:t xml:space="preserve">tescue’s </w:t>
      </w:r>
      <w:r w:rsidR="000133D5" w:rsidRPr="00B507A6">
        <w:rPr>
          <w:rFonts w:ascii="Tahoma" w:hAnsi="Tahoma" w:cs="Tahoma"/>
        </w:rPr>
        <w:t xml:space="preserve">recently developed </w:t>
      </w:r>
      <w:r w:rsidRPr="00B507A6">
        <w:rPr>
          <w:rFonts w:ascii="Tahoma" w:hAnsi="Tahoma" w:cs="Tahoma"/>
        </w:rPr>
        <w:t>rail and port infrastructure.</w:t>
      </w:r>
      <w:r w:rsidR="000133D5" w:rsidRPr="00B507A6">
        <w:rPr>
          <w:rFonts w:ascii="Tahoma" w:hAnsi="Tahoma" w:cs="Tahoma"/>
        </w:rPr>
        <w:t xml:space="preserve">  The Nullagine Joint Venture is now in production</w:t>
      </w:r>
      <w:r w:rsidR="00F9041C">
        <w:rPr>
          <w:rFonts w:ascii="Tahoma" w:hAnsi="Tahoma" w:cs="Tahoma"/>
        </w:rPr>
        <w:t xml:space="preserve"> with XX million </w:t>
      </w:r>
      <w:r w:rsidR="004A1402">
        <w:rPr>
          <w:rFonts w:ascii="Tahoma" w:hAnsi="Tahoma" w:cs="Tahoma"/>
        </w:rPr>
        <w:t>tonnes</w:t>
      </w:r>
      <w:r w:rsidR="00F9041C">
        <w:rPr>
          <w:rFonts w:ascii="Tahoma" w:hAnsi="Tahoma" w:cs="Tahoma"/>
        </w:rPr>
        <w:t xml:space="preserve"> DSO iron Mineral Reserves.</w:t>
      </w:r>
    </w:p>
    <w:p w:rsidR="000D64A4" w:rsidRPr="00B507A6" w:rsidRDefault="000133D5" w:rsidP="0057341D">
      <w:pPr>
        <w:spacing w:after="120" w:line="264" w:lineRule="auto"/>
        <w:jc w:val="both"/>
        <w:rPr>
          <w:rFonts w:ascii="Tahoma" w:hAnsi="Tahoma" w:cs="Tahoma"/>
        </w:rPr>
      </w:pPr>
      <w:r w:rsidRPr="00B507A6">
        <w:rPr>
          <w:rFonts w:ascii="Tahoma" w:hAnsi="Tahoma" w:cs="Tahoma"/>
        </w:rPr>
        <w:t xml:space="preserve">Both case studies demonstrate the validity of the ‘eventual’ aspect of </w:t>
      </w:r>
      <w:r w:rsidR="00320CDC" w:rsidRPr="00B507A6">
        <w:rPr>
          <w:rFonts w:ascii="Tahoma" w:hAnsi="Tahoma" w:cs="Tahoma"/>
        </w:rPr>
        <w:t xml:space="preserve">the economics of Mineral Resources reporting.  Neither Integra nor BC Iron were in a position to declare Ore </w:t>
      </w:r>
      <w:r w:rsidR="00320CDC" w:rsidRPr="00B507A6">
        <w:rPr>
          <w:rFonts w:ascii="Tahoma" w:hAnsi="Tahoma" w:cs="Tahoma"/>
        </w:rPr>
        <w:lastRenderedPageBreak/>
        <w:t xml:space="preserve">Reserves prior to the additional discovery of </w:t>
      </w:r>
      <w:r w:rsidR="00D8738B">
        <w:rPr>
          <w:rFonts w:ascii="Tahoma" w:hAnsi="Tahoma" w:cs="Tahoma"/>
        </w:rPr>
        <w:t xml:space="preserve">the </w:t>
      </w:r>
      <w:r w:rsidR="00320CDC" w:rsidRPr="00B507A6">
        <w:rPr>
          <w:rFonts w:ascii="Tahoma" w:hAnsi="Tahoma" w:cs="Tahoma"/>
        </w:rPr>
        <w:t xml:space="preserve">Salt </w:t>
      </w:r>
      <w:r w:rsidR="00D8738B">
        <w:rPr>
          <w:rFonts w:ascii="Tahoma" w:hAnsi="Tahoma" w:cs="Tahoma"/>
        </w:rPr>
        <w:t>C</w:t>
      </w:r>
      <w:r w:rsidR="00320CDC" w:rsidRPr="00B507A6">
        <w:rPr>
          <w:rFonts w:ascii="Tahoma" w:hAnsi="Tahoma" w:cs="Tahoma"/>
        </w:rPr>
        <w:t xml:space="preserve">reek </w:t>
      </w:r>
      <w:r w:rsidR="00D8738B">
        <w:rPr>
          <w:rFonts w:ascii="Tahoma" w:hAnsi="Tahoma" w:cs="Tahoma"/>
        </w:rPr>
        <w:t xml:space="preserve">deposit </w:t>
      </w:r>
      <w:r w:rsidR="00320CDC" w:rsidRPr="00B507A6">
        <w:rPr>
          <w:rFonts w:ascii="Tahoma" w:hAnsi="Tahoma" w:cs="Tahoma"/>
        </w:rPr>
        <w:t xml:space="preserve">or access to Fortescue’s infrastructure respectively.  The reporting of these pre-event Mineral Resources was entirely in keeping with informing investors as to the size, quality and grade of the respective company’s assets allowing investors to make an informed investment decision. </w:t>
      </w:r>
    </w:p>
    <w:p w:rsidR="00AA356D" w:rsidRDefault="00320CDC" w:rsidP="0057341D">
      <w:pPr>
        <w:spacing w:after="120" w:line="264" w:lineRule="auto"/>
        <w:jc w:val="both"/>
        <w:rPr>
          <w:rFonts w:ascii="Tahoma" w:hAnsi="Tahoma" w:cs="Tahoma"/>
        </w:rPr>
      </w:pPr>
      <w:r w:rsidRPr="00B507A6">
        <w:rPr>
          <w:rFonts w:ascii="Tahoma" w:hAnsi="Tahoma" w:cs="Tahoma"/>
        </w:rPr>
        <w:t xml:space="preserve">However, it is worth noting that these examples are the exception rather than the rule.  </w:t>
      </w:r>
      <w:r w:rsidR="002E052C">
        <w:rPr>
          <w:rFonts w:ascii="Tahoma" w:hAnsi="Tahoma" w:cs="Tahoma"/>
        </w:rPr>
        <w:t>A significant proportion of</w:t>
      </w:r>
      <w:r w:rsidR="002E052C" w:rsidRPr="00B507A6">
        <w:rPr>
          <w:rFonts w:ascii="Tahoma" w:hAnsi="Tahoma" w:cs="Tahoma"/>
        </w:rPr>
        <w:t xml:space="preserve"> </w:t>
      </w:r>
      <w:r w:rsidRPr="00B507A6">
        <w:rPr>
          <w:rFonts w:ascii="Tahoma" w:hAnsi="Tahoma" w:cs="Tahoma"/>
        </w:rPr>
        <w:t xml:space="preserve">ASX announced Mineral Resources may never be developed as they may never see the </w:t>
      </w:r>
      <w:r w:rsidR="00EA309B">
        <w:rPr>
          <w:rFonts w:ascii="Tahoma" w:hAnsi="Tahoma" w:cs="Tahoma"/>
        </w:rPr>
        <w:t>‘</w:t>
      </w:r>
      <w:r w:rsidRPr="00B507A6">
        <w:rPr>
          <w:rFonts w:ascii="Tahoma" w:hAnsi="Tahoma" w:cs="Tahoma"/>
        </w:rPr>
        <w:t>future event</w:t>
      </w:r>
      <w:r w:rsidR="00EA309B">
        <w:rPr>
          <w:rFonts w:ascii="Tahoma" w:hAnsi="Tahoma" w:cs="Tahoma"/>
        </w:rPr>
        <w:t>’</w:t>
      </w:r>
      <w:r w:rsidRPr="00B507A6">
        <w:rPr>
          <w:rFonts w:ascii="Tahoma" w:hAnsi="Tahoma" w:cs="Tahoma"/>
        </w:rPr>
        <w:t xml:space="preserve"> required to justify development.  </w:t>
      </w:r>
    </w:p>
    <w:p w:rsidR="002E052C" w:rsidRDefault="00320CDC" w:rsidP="0057341D">
      <w:pPr>
        <w:spacing w:after="120" w:line="264" w:lineRule="auto"/>
        <w:jc w:val="both"/>
        <w:rPr>
          <w:rFonts w:ascii="Tahoma" w:hAnsi="Tahoma" w:cs="Tahoma"/>
          <w:b/>
        </w:rPr>
      </w:pPr>
      <w:r w:rsidRPr="00B507A6">
        <w:rPr>
          <w:rFonts w:ascii="Tahoma" w:hAnsi="Tahoma" w:cs="Tahoma"/>
        </w:rPr>
        <w:t>Ironically, due to the capital hurdle</w:t>
      </w:r>
      <w:r w:rsidR="0000679F">
        <w:rPr>
          <w:rFonts w:ascii="Tahoma" w:hAnsi="Tahoma" w:cs="Tahoma"/>
        </w:rPr>
        <w:t xml:space="preserve"> / access</w:t>
      </w:r>
      <w:r w:rsidRPr="00B507A6">
        <w:rPr>
          <w:rFonts w:ascii="Tahoma" w:hAnsi="Tahoma" w:cs="Tahoma"/>
        </w:rPr>
        <w:t xml:space="preserve"> issue</w:t>
      </w:r>
      <w:r w:rsidR="0000679F">
        <w:rPr>
          <w:rFonts w:ascii="Tahoma" w:hAnsi="Tahoma" w:cs="Tahoma"/>
        </w:rPr>
        <w:t>s</w:t>
      </w:r>
      <w:r w:rsidRPr="00B507A6">
        <w:rPr>
          <w:rFonts w:ascii="Tahoma" w:hAnsi="Tahoma" w:cs="Tahoma"/>
        </w:rPr>
        <w:t>, the Inferred Resources (low technical level of confidence) at an existing operation are more likely to be produced than many Measured Resources (high level of technical confidence) in isolated locations devoid of infrastructure.</w:t>
      </w:r>
    </w:p>
    <w:p w:rsidR="000D64A4" w:rsidRPr="00B507A6" w:rsidRDefault="00466B28" w:rsidP="0057341D">
      <w:pPr>
        <w:spacing w:after="120" w:line="264" w:lineRule="auto"/>
        <w:jc w:val="both"/>
        <w:rPr>
          <w:rFonts w:ascii="Tahoma" w:hAnsi="Tahoma" w:cs="Tahoma"/>
          <w:b/>
        </w:rPr>
      </w:pPr>
      <w:r w:rsidRPr="00B507A6">
        <w:rPr>
          <w:rFonts w:ascii="Tahoma" w:hAnsi="Tahoma" w:cs="Tahoma"/>
          <w:b/>
        </w:rPr>
        <w:t xml:space="preserve">Geoscience Australia’s </w:t>
      </w:r>
      <w:r w:rsidR="000D0624" w:rsidRPr="00B507A6">
        <w:rPr>
          <w:rFonts w:ascii="Tahoma" w:hAnsi="Tahoma" w:cs="Tahoma"/>
          <w:b/>
        </w:rPr>
        <w:t>reporting</w:t>
      </w:r>
      <w:r w:rsidR="00320CDC" w:rsidRPr="00B507A6">
        <w:rPr>
          <w:rFonts w:ascii="Tahoma" w:hAnsi="Tahoma" w:cs="Tahoma"/>
          <w:b/>
        </w:rPr>
        <w:t xml:space="preserve"> of Australia’s Economically Defined Resources (AEDRs)</w:t>
      </w:r>
    </w:p>
    <w:p w:rsidR="00AF28B1" w:rsidRPr="00B507A6" w:rsidRDefault="00AF28B1" w:rsidP="0057341D">
      <w:pPr>
        <w:spacing w:after="120" w:line="264" w:lineRule="auto"/>
        <w:jc w:val="both"/>
        <w:rPr>
          <w:rFonts w:ascii="Tahoma" w:hAnsi="Tahoma" w:cs="Tahoma"/>
        </w:rPr>
      </w:pPr>
      <w:r w:rsidRPr="00B507A6">
        <w:rPr>
          <w:rFonts w:ascii="Tahoma" w:hAnsi="Tahoma" w:cs="Tahoma"/>
        </w:rPr>
        <w:t xml:space="preserve">The Introduction to the </w:t>
      </w:r>
      <w:r w:rsidRPr="002E052C">
        <w:rPr>
          <w:rFonts w:ascii="Tahoma" w:hAnsi="Tahoma" w:cs="Tahoma"/>
          <w:i/>
          <w:u w:val="single"/>
        </w:rPr>
        <w:t>National Classification System for Identified Mineral Resources</w:t>
      </w:r>
      <w:r w:rsidRPr="00B507A6">
        <w:rPr>
          <w:rFonts w:ascii="Tahoma" w:hAnsi="Tahoma" w:cs="Tahoma"/>
        </w:rPr>
        <w:t xml:space="preserve"> states</w:t>
      </w:r>
      <w:r w:rsidR="00A86032">
        <w:rPr>
          <w:rFonts w:ascii="Tahoma" w:hAnsi="Tahoma" w:cs="Tahoma"/>
        </w:rPr>
        <w:t xml:space="preserve"> (Appendix 2 in Geoscience Australia, 2010)</w:t>
      </w:r>
      <w:r w:rsidRPr="00B507A6">
        <w:rPr>
          <w:rFonts w:ascii="Tahoma" w:hAnsi="Tahoma" w:cs="Tahoma"/>
        </w:rPr>
        <w:t>:</w:t>
      </w:r>
    </w:p>
    <w:p w:rsidR="00AF28B1" w:rsidRPr="00B507A6" w:rsidRDefault="00AF28B1" w:rsidP="00C92B37">
      <w:pPr>
        <w:pStyle w:val="NormalWeb"/>
        <w:spacing w:before="0" w:beforeAutospacing="0" w:after="120" w:afterAutospacing="0" w:line="264" w:lineRule="auto"/>
        <w:ind w:left="567" w:right="522"/>
        <w:jc w:val="both"/>
        <w:rPr>
          <w:rFonts w:ascii="Tahoma" w:hAnsi="Tahoma" w:cs="Tahoma"/>
          <w:i/>
          <w:color w:val="000000"/>
          <w:sz w:val="22"/>
          <w:szCs w:val="22"/>
        </w:rPr>
      </w:pPr>
      <w:r w:rsidRPr="00B507A6">
        <w:rPr>
          <w:rFonts w:ascii="Tahoma" w:hAnsi="Tahoma" w:cs="Tahoma"/>
          <w:i/>
          <w:sz w:val="22"/>
          <w:szCs w:val="22"/>
        </w:rPr>
        <w:t>“</w:t>
      </w:r>
      <w:r w:rsidRPr="00B507A6">
        <w:rPr>
          <w:rFonts w:ascii="Tahoma" w:hAnsi="Tahoma" w:cs="Tahoma"/>
          <w:i/>
          <w:color w:val="000000"/>
          <w:sz w:val="22"/>
          <w:szCs w:val="22"/>
        </w:rPr>
        <w:t xml:space="preserve">Australia's mineral resources are an important component of its wealth, and knowledge of the location, quantity and quality of such resources – including estimates of resources yet to be discovered – </w:t>
      </w:r>
      <w:r w:rsidRPr="002E052C">
        <w:rPr>
          <w:rFonts w:ascii="Tahoma" w:hAnsi="Tahoma" w:cs="Tahoma"/>
          <w:b/>
          <w:i/>
          <w:color w:val="000000"/>
          <w:sz w:val="22"/>
          <w:szCs w:val="22"/>
        </w:rPr>
        <w:t>is an essential prerequisite of formulating sound policies on resources</w:t>
      </w:r>
      <w:r w:rsidRPr="00B507A6">
        <w:rPr>
          <w:rFonts w:ascii="Tahoma" w:hAnsi="Tahoma" w:cs="Tahoma"/>
          <w:i/>
          <w:color w:val="000000"/>
          <w:sz w:val="22"/>
          <w:szCs w:val="22"/>
        </w:rPr>
        <w:t>, land-access, land-use and conservation. Results of resource assessment can also be used to set priorities for exploration and mineral potential which are important inputs to decisions where alternative land uses are being considered.”</w:t>
      </w:r>
      <w:r w:rsidR="002E052C">
        <w:rPr>
          <w:rFonts w:ascii="Tahoma" w:hAnsi="Tahoma" w:cs="Tahoma"/>
          <w:i/>
          <w:color w:val="000000"/>
          <w:sz w:val="22"/>
          <w:szCs w:val="22"/>
        </w:rPr>
        <w:t xml:space="preserve"> </w:t>
      </w:r>
      <w:r w:rsidR="002E052C" w:rsidRPr="002E052C">
        <w:rPr>
          <w:rFonts w:ascii="Tahoma" w:hAnsi="Tahoma" w:cs="Tahoma"/>
          <w:color w:val="000000"/>
          <w:sz w:val="22"/>
          <w:szCs w:val="22"/>
        </w:rPr>
        <w:t>– emphasis added</w:t>
      </w:r>
    </w:p>
    <w:p w:rsidR="00AF28B1" w:rsidRDefault="00EA309B" w:rsidP="0057341D">
      <w:pPr>
        <w:spacing w:after="120" w:line="264" w:lineRule="auto"/>
        <w:jc w:val="both"/>
        <w:rPr>
          <w:rFonts w:ascii="Tahoma" w:hAnsi="Tahoma" w:cs="Tahoma"/>
        </w:rPr>
      </w:pPr>
      <w:r>
        <w:rPr>
          <w:rFonts w:ascii="Tahoma" w:hAnsi="Tahoma" w:cs="Tahoma"/>
        </w:rPr>
        <w:t xml:space="preserve">At a national level it is important that policy makers are provided with accurate and unambiguous information on Australia’s economic minerals endowment.  </w:t>
      </w:r>
    </w:p>
    <w:p w:rsidR="00EA309B" w:rsidRDefault="00EA309B" w:rsidP="00EA309B">
      <w:pPr>
        <w:spacing w:after="120" w:line="264" w:lineRule="auto"/>
        <w:jc w:val="both"/>
        <w:rPr>
          <w:rFonts w:ascii="Tahoma" w:hAnsi="Tahoma" w:cs="Tahoma"/>
        </w:rPr>
      </w:pPr>
      <w:r>
        <w:rPr>
          <w:rFonts w:ascii="Tahoma" w:hAnsi="Tahoma" w:cs="Tahoma"/>
        </w:rPr>
        <w:t>Further, under the heading Classification Principles:</w:t>
      </w:r>
    </w:p>
    <w:p w:rsidR="00EA309B" w:rsidRPr="003600BA" w:rsidRDefault="00EA309B" w:rsidP="00C92B37">
      <w:pPr>
        <w:pStyle w:val="NormalWeb"/>
        <w:spacing w:before="0" w:beforeAutospacing="0" w:after="120" w:afterAutospacing="0" w:line="264" w:lineRule="auto"/>
        <w:ind w:left="567" w:right="522"/>
        <w:jc w:val="both"/>
        <w:rPr>
          <w:rFonts w:ascii="Tahoma" w:hAnsi="Tahoma" w:cs="Tahoma"/>
          <w:color w:val="000000"/>
          <w:sz w:val="22"/>
          <w:szCs w:val="22"/>
        </w:rPr>
      </w:pPr>
      <w:r>
        <w:rPr>
          <w:rFonts w:ascii="Tahoma" w:hAnsi="Tahoma" w:cs="Tahoma"/>
          <w:i/>
          <w:color w:val="000000"/>
          <w:sz w:val="22"/>
          <w:szCs w:val="22"/>
        </w:rPr>
        <w:t>“</w:t>
      </w:r>
      <w:r w:rsidRPr="00EA309B">
        <w:rPr>
          <w:rFonts w:ascii="Tahoma" w:hAnsi="Tahoma" w:cs="Tahoma"/>
          <w:i/>
          <w:color w:val="000000"/>
          <w:sz w:val="22"/>
          <w:szCs w:val="22"/>
        </w:rPr>
        <w:t xml:space="preserve">Geoscience Australia classifies known (identified) mineral resources according to two parameters: degree of assurance of occurrence (degree of geological assurance) and degree of economic feasibility of exploitation. The former takes account of information on quantity (tonnage) and grade; </w:t>
      </w:r>
      <w:r w:rsidRPr="003600BA">
        <w:rPr>
          <w:rFonts w:ascii="Tahoma" w:hAnsi="Tahoma" w:cs="Tahoma"/>
          <w:b/>
          <w:i/>
          <w:color w:val="000000"/>
          <w:sz w:val="22"/>
          <w:szCs w:val="22"/>
        </w:rPr>
        <w:t xml:space="preserve">the latter takes account of changing economic factors such as commodity prices, operating costs, </w:t>
      </w:r>
      <w:r w:rsidRPr="002E052C">
        <w:rPr>
          <w:rFonts w:ascii="Tahoma" w:hAnsi="Tahoma" w:cs="Tahoma"/>
          <w:b/>
          <w:i/>
          <w:color w:val="000000"/>
          <w:sz w:val="22"/>
          <w:szCs w:val="22"/>
        </w:rPr>
        <w:t>capital costs</w:t>
      </w:r>
      <w:r w:rsidRPr="003600BA">
        <w:rPr>
          <w:rFonts w:ascii="Tahoma" w:hAnsi="Tahoma" w:cs="Tahoma"/>
          <w:b/>
          <w:i/>
          <w:color w:val="000000"/>
          <w:sz w:val="22"/>
          <w:szCs w:val="22"/>
        </w:rPr>
        <w:t>, and discount rates.</w:t>
      </w:r>
      <w:r>
        <w:rPr>
          <w:rFonts w:ascii="Tahoma" w:hAnsi="Tahoma" w:cs="Tahoma"/>
          <w:i/>
          <w:color w:val="000000"/>
          <w:sz w:val="22"/>
          <w:szCs w:val="22"/>
        </w:rPr>
        <w:t>”</w:t>
      </w:r>
      <w:r w:rsidR="002E052C">
        <w:rPr>
          <w:rFonts w:ascii="Tahoma" w:hAnsi="Tahoma" w:cs="Tahoma"/>
          <w:i/>
          <w:color w:val="000000"/>
          <w:sz w:val="22"/>
          <w:szCs w:val="22"/>
        </w:rPr>
        <w:t xml:space="preserve"> – </w:t>
      </w:r>
      <w:r w:rsidR="002E052C" w:rsidRPr="003600BA">
        <w:rPr>
          <w:rFonts w:ascii="Tahoma" w:hAnsi="Tahoma" w:cs="Tahoma"/>
          <w:color w:val="000000"/>
          <w:sz w:val="22"/>
          <w:szCs w:val="22"/>
        </w:rPr>
        <w:t>emphasis added</w:t>
      </w:r>
    </w:p>
    <w:p w:rsidR="00EA309B" w:rsidRPr="00B507A6" w:rsidRDefault="00EA309B" w:rsidP="00EA309B">
      <w:pPr>
        <w:spacing w:after="120" w:line="264" w:lineRule="auto"/>
        <w:jc w:val="both"/>
        <w:rPr>
          <w:rFonts w:ascii="Tahoma" w:hAnsi="Tahoma" w:cs="Tahoma"/>
        </w:rPr>
      </w:pPr>
      <w:r>
        <w:rPr>
          <w:rFonts w:ascii="Tahoma" w:hAnsi="Tahoma" w:cs="Tahoma"/>
        </w:rPr>
        <w:t xml:space="preserve">These classification principles remain broadly consistent with the original McKelvey classification system. </w:t>
      </w:r>
    </w:p>
    <w:p w:rsidR="00AF28B1" w:rsidRPr="00B507A6" w:rsidRDefault="00AF28B1" w:rsidP="0057341D">
      <w:pPr>
        <w:spacing w:after="120" w:line="264" w:lineRule="auto"/>
        <w:jc w:val="both"/>
        <w:rPr>
          <w:rFonts w:ascii="Tahoma" w:hAnsi="Tahoma" w:cs="Tahoma"/>
          <w:b/>
        </w:rPr>
      </w:pPr>
      <w:r w:rsidRPr="00B507A6">
        <w:rPr>
          <w:rFonts w:ascii="Tahoma" w:hAnsi="Tahoma" w:cs="Tahoma"/>
          <w:b/>
        </w:rPr>
        <w:t xml:space="preserve">Why </w:t>
      </w:r>
      <w:r w:rsidR="00166802">
        <w:rPr>
          <w:rFonts w:ascii="Tahoma" w:hAnsi="Tahoma" w:cs="Tahoma"/>
          <w:b/>
        </w:rPr>
        <w:t xml:space="preserve">Australia’s </w:t>
      </w:r>
      <w:r w:rsidRPr="00B507A6">
        <w:rPr>
          <w:rFonts w:ascii="Tahoma" w:hAnsi="Tahoma" w:cs="Tahoma"/>
          <w:b/>
        </w:rPr>
        <w:t>EDRs are Incompatible with JORC defined Mineral Resources</w:t>
      </w:r>
    </w:p>
    <w:p w:rsidR="00466B28" w:rsidRPr="00B507A6" w:rsidRDefault="00B33E74" w:rsidP="0057341D">
      <w:pPr>
        <w:spacing w:after="120" w:line="264" w:lineRule="auto"/>
        <w:jc w:val="both"/>
        <w:rPr>
          <w:rFonts w:ascii="Tahoma" w:hAnsi="Tahoma" w:cs="Tahoma"/>
        </w:rPr>
      </w:pPr>
      <w:r w:rsidRPr="00B507A6">
        <w:rPr>
          <w:rFonts w:ascii="Tahoma" w:hAnsi="Tahoma" w:cs="Tahoma"/>
        </w:rPr>
        <w:t xml:space="preserve">Under the </w:t>
      </w:r>
      <w:r w:rsidRPr="002E052C">
        <w:rPr>
          <w:rFonts w:ascii="Tahoma" w:hAnsi="Tahoma" w:cs="Tahoma"/>
          <w:i/>
          <w:u w:val="single"/>
        </w:rPr>
        <w:t>National Classification System for Identified Mineral Resources</w:t>
      </w:r>
      <w:r w:rsidRPr="00B507A6">
        <w:rPr>
          <w:rFonts w:ascii="Tahoma" w:hAnsi="Tahoma" w:cs="Tahoma"/>
        </w:rPr>
        <w:t>, Economically Demonstrat</w:t>
      </w:r>
      <w:r w:rsidR="002F4E06" w:rsidRPr="00B507A6">
        <w:rPr>
          <w:rFonts w:ascii="Tahoma" w:hAnsi="Tahoma" w:cs="Tahoma"/>
        </w:rPr>
        <w:t xml:space="preserve">ed Resources (EDRs) are described as: </w:t>
      </w:r>
    </w:p>
    <w:p w:rsidR="0000679F" w:rsidRDefault="002F4E06" w:rsidP="00466B28">
      <w:pPr>
        <w:spacing w:after="120" w:line="264" w:lineRule="auto"/>
        <w:ind w:left="567" w:right="521"/>
        <w:jc w:val="both"/>
        <w:rPr>
          <w:rFonts w:ascii="Tahoma" w:hAnsi="Tahoma" w:cs="Tahoma"/>
        </w:rPr>
      </w:pPr>
      <w:r w:rsidRPr="00B507A6">
        <w:rPr>
          <w:rFonts w:ascii="Tahoma" w:hAnsi="Tahoma" w:cs="Tahoma"/>
          <w:i/>
        </w:rPr>
        <w:t>“In essence, EDR combines the JORC Code categories of ‘Proved Reserves’, ‘Probable Reserves’, plus ‘Measured Resources’ and ‘Indicated Resources’.”</w:t>
      </w:r>
      <w:r w:rsidRPr="00B507A6">
        <w:rPr>
          <w:rFonts w:ascii="Tahoma" w:hAnsi="Tahoma" w:cs="Tahoma"/>
        </w:rPr>
        <w:t xml:space="preserve">  </w:t>
      </w:r>
    </w:p>
    <w:p w:rsidR="003600BA" w:rsidRDefault="002F4E06" w:rsidP="00466B28">
      <w:pPr>
        <w:spacing w:after="120" w:line="264" w:lineRule="auto"/>
        <w:ind w:left="567" w:right="521"/>
        <w:jc w:val="both"/>
        <w:rPr>
          <w:rFonts w:ascii="Tahoma" w:hAnsi="Tahoma" w:cs="Tahoma"/>
        </w:rPr>
      </w:pPr>
      <w:r w:rsidRPr="00B507A6">
        <w:rPr>
          <w:rFonts w:ascii="Tahoma" w:hAnsi="Tahoma" w:cs="Tahoma"/>
        </w:rPr>
        <w:t xml:space="preserve">The next sentence </w:t>
      </w:r>
      <w:r w:rsidR="00466B28" w:rsidRPr="00B507A6">
        <w:rPr>
          <w:rFonts w:ascii="Tahoma" w:hAnsi="Tahoma" w:cs="Tahoma"/>
        </w:rPr>
        <w:t xml:space="preserve">in the document </w:t>
      </w:r>
      <w:r w:rsidRPr="00B507A6">
        <w:rPr>
          <w:rFonts w:ascii="Tahoma" w:hAnsi="Tahoma" w:cs="Tahoma"/>
        </w:rPr>
        <w:t xml:space="preserve">encapsulates the problem – </w:t>
      </w:r>
    </w:p>
    <w:p w:rsidR="000D64A4" w:rsidRPr="00B507A6" w:rsidRDefault="002F4E06" w:rsidP="00466B28">
      <w:pPr>
        <w:spacing w:after="120" w:line="264" w:lineRule="auto"/>
        <w:ind w:left="567" w:right="521"/>
        <w:jc w:val="both"/>
        <w:rPr>
          <w:rFonts w:ascii="Tahoma" w:hAnsi="Tahoma" w:cs="Tahoma"/>
          <w:i/>
        </w:rPr>
      </w:pPr>
      <w:r w:rsidRPr="00B507A6">
        <w:rPr>
          <w:rFonts w:ascii="Tahoma" w:hAnsi="Tahoma" w:cs="Tahoma"/>
          <w:i/>
        </w:rPr>
        <w:t>“This is considered to provide a reasonable and objective estimate of what is likely to be available to mining in the long term.”</w:t>
      </w:r>
    </w:p>
    <w:p w:rsidR="002F4E06" w:rsidRDefault="002F4E06" w:rsidP="0057341D">
      <w:pPr>
        <w:spacing w:after="120" w:line="264" w:lineRule="auto"/>
        <w:jc w:val="both"/>
        <w:rPr>
          <w:rFonts w:ascii="Tahoma" w:hAnsi="Tahoma" w:cs="Tahoma"/>
        </w:rPr>
      </w:pPr>
      <w:r w:rsidRPr="00B507A6">
        <w:rPr>
          <w:rFonts w:ascii="Tahoma" w:hAnsi="Tahoma" w:cs="Tahoma"/>
        </w:rPr>
        <w:lastRenderedPageBreak/>
        <w:t xml:space="preserve">Further, </w:t>
      </w:r>
      <w:r w:rsidR="00A86032">
        <w:rPr>
          <w:rFonts w:ascii="Tahoma" w:hAnsi="Tahoma" w:cs="Tahoma"/>
        </w:rPr>
        <w:t xml:space="preserve">an </w:t>
      </w:r>
      <w:r w:rsidRPr="00B507A6">
        <w:rPr>
          <w:rFonts w:ascii="Tahoma" w:hAnsi="Tahoma" w:cs="Tahoma"/>
        </w:rPr>
        <w:t xml:space="preserve">additional claim is made </w:t>
      </w:r>
      <w:r w:rsidR="0000679F">
        <w:rPr>
          <w:rFonts w:ascii="Tahoma" w:hAnsi="Tahoma" w:cs="Tahoma"/>
        </w:rPr>
        <w:t xml:space="preserve">in GA’s publication </w:t>
      </w:r>
      <w:r w:rsidR="0000679F" w:rsidRPr="002E052C">
        <w:rPr>
          <w:rFonts w:ascii="Tahoma" w:hAnsi="Tahoma" w:cs="Tahoma"/>
          <w:i/>
          <w:u w:val="single"/>
        </w:rPr>
        <w:t>Australia’s Identified Mineral Resources</w:t>
      </w:r>
      <w:r w:rsidR="0000679F">
        <w:rPr>
          <w:rFonts w:ascii="Tahoma" w:hAnsi="Tahoma" w:cs="Tahoma"/>
        </w:rPr>
        <w:t xml:space="preserve"> </w:t>
      </w:r>
      <w:r w:rsidRPr="00B507A6">
        <w:rPr>
          <w:rFonts w:ascii="Tahoma" w:hAnsi="Tahoma" w:cs="Tahoma"/>
        </w:rPr>
        <w:t xml:space="preserve">that </w:t>
      </w:r>
      <w:r w:rsidRPr="00B507A6">
        <w:rPr>
          <w:rFonts w:ascii="Tahoma" w:hAnsi="Tahoma" w:cs="Tahoma"/>
          <w:i/>
        </w:rPr>
        <w:t>“Most current JORC Code Measured and Indicated Resources are also likely to be mined”</w:t>
      </w:r>
      <w:r w:rsidRPr="00B507A6">
        <w:rPr>
          <w:rFonts w:ascii="Tahoma" w:hAnsi="Tahoma" w:cs="Tahoma"/>
        </w:rPr>
        <w:t xml:space="preserve">.  </w:t>
      </w:r>
      <w:r w:rsidR="00A86032">
        <w:rPr>
          <w:rFonts w:ascii="Tahoma" w:hAnsi="Tahoma" w:cs="Tahoma"/>
        </w:rPr>
        <w:t xml:space="preserve">It is this </w:t>
      </w:r>
      <w:r w:rsidR="00166802">
        <w:rPr>
          <w:rFonts w:ascii="Tahoma" w:hAnsi="Tahoma" w:cs="Tahoma"/>
        </w:rPr>
        <w:t>disputable contention</w:t>
      </w:r>
      <w:r w:rsidR="00A86032">
        <w:rPr>
          <w:rFonts w:ascii="Tahoma" w:hAnsi="Tahoma" w:cs="Tahoma"/>
        </w:rPr>
        <w:t xml:space="preserve"> that lies at the heart of the difference between </w:t>
      </w:r>
      <w:r w:rsidR="00166802">
        <w:rPr>
          <w:rFonts w:ascii="Tahoma" w:hAnsi="Tahoma" w:cs="Tahoma"/>
        </w:rPr>
        <w:t>ASX announced</w:t>
      </w:r>
      <w:r w:rsidR="000A228A">
        <w:rPr>
          <w:rFonts w:ascii="Tahoma" w:hAnsi="Tahoma" w:cs="Tahoma"/>
        </w:rPr>
        <w:t xml:space="preserve"> </w:t>
      </w:r>
      <w:r w:rsidR="00A86032">
        <w:rPr>
          <w:rFonts w:ascii="Tahoma" w:hAnsi="Tahoma" w:cs="Tahoma"/>
        </w:rPr>
        <w:t xml:space="preserve">JORC Code </w:t>
      </w:r>
      <w:r w:rsidR="00166802">
        <w:rPr>
          <w:rFonts w:ascii="Tahoma" w:hAnsi="Tahoma" w:cs="Tahoma"/>
        </w:rPr>
        <w:t xml:space="preserve">compliant Mineral </w:t>
      </w:r>
      <w:r w:rsidR="00A86032">
        <w:rPr>
          <w:rFonts w:ascii="Tahoma" w:hAnsi="Tahoma" w:cs="Tahoma"/>
        </w:rPr>
        <w:t xml:space="preserve">Resources and </w:t>
      </w:r>
      <w:r w:rsidR="00166802">
        <w:rPr>
          <w:rFonts w:ascii="Tahoma" w:hAnsi="Tahoma" w:cs="Tahoma"/>
        </w:rPr>
        <w:t xml:space="preserve">GA’s </w:t>
      </w:r>
      <w:r w:rsidR="00A86032">
        <w:rPr>
          <w:rFonts w:ascii="Tahoma" w:hAnsi="Tahoma" w:cs="Tahoma"/>
        </w:rPr>
        <w:t>EDR</w:t>
      </w:r>
      <w:r w:rsidR="00166802">
        <w:rPr>
          <w:rFonts w:ascii="Tahoma" w:hAnsi="Tahoma" w:cs="Tahoma"/>
        </w:rPr>
        <w:t>s</w:t>
      </w:r>
      <w:r w:rsidR="00A4173A">
        <w:rPr>
          <w:rFonts w:ascii="Tahoma" w:hAnsi="Tahoma" w:cs="Tahoma"/>
        </w:rPr>
        <w:t>.</w:t>
      </w:r>
    </w:p>
    <w:p w:rsidR="00466B28" w:rsidRPr="00B507A6" w:rsidRDefault="002F4E06" w:rsidP="0057341D">
      <w:pPr>
        <w:spacing w:after="120" w:line="264" w:lineRule="auto"/>
        <w:jc w:val="both"/>
        <w:rPr>
          <w:rFonts w:ascii="Tahoma" w:hAnsi="Tahoma" w:cs="Tahoma"/>
        </w:rPr>
      </w:pPr>
      <w:r w:rsidRPr="00B507A6">
        <w:rPr>
          <w:rFonts w:ascii="Tahoma" w:hAnsi="Tahoma" w:cs="Tahoma"/>
        </w:rPr>
        <w:t xml:space="preserve">According to the definitions of the </w:t>
      </w:r>
      <w:r w:rsidRPr="002E052C">
        <w:rPr>
          <w:rFonts w:ascii="Tahoma" w:hAnsi="Tahoma" w:cs="Tahoma"/>
          <w:i/>
          <w:u w:val="single"/>
        </w:rPr>
        <w:t>National Classification System</w:t>
      </w:r>
      <w:r w:rsidR="003519AA" w:rsidRPr="002E052C">
        <w:rPr>
          <w:rFonts w:ascii="Tahoma" w:hAnsi="Tahoma" w:cs="Tahoma"/>
          <w:i/>
          <w:u w:val="single"/>
        </w:rPr>
        <w:t xml:space="preserve"> for Identified Mineral Resources</w:t>
      </w:r>
      <w:r w:rsidRPr="00B507A6">
        <w:rPr>
          <w:rFonts w:ascii="Tahoma" w:hAnsi="Tahoma" w:cs="Tahoma"/>
        </w:rPr>
        <w:t>, an Identified (Mineral) Resource</w:t>
      </w:r>
      <w:r w:rsidR="00217A67" w:rsidRPr="00B507A6">
        <w:rPr>
          <w:rFonts w:ascii="Tahoma" w:hAnsi="Tahoma" w:cs="Tahoma"/>
        </w:rPr>
        <w:t xml:space="preserve"> includes economic and subeconomic components.  The economic component</w:t>
      </w:r>
      <w:r w:rsidR="00466B28" w:rsidRPr="00B507A6">
        <w:rPr>
          <w:rFonts w:ascii="Tahoma" w:hAnsi="Tahoma" w:cs="Tahoma"/>
        </w:rPr>
        <w:t xml:space="preserve"> (EDR)</w:t>
      </w:r>
      <w:r w:rsidR="00217A67" w:rsidRPr="00B507A6">
        <w:rPr>
          <w:rFonts w:ascii="Tahoma" w:hAnsi="Tahoma" w:cs="Tahoma"/>
        </w:rPr>
        <w:t xml:space="preserve"> is defined as implying</w:t>
      </w:r>
      <w:r w:rsidR="00466B28" w:rsidRPr="00B507A6">
        <w:rPr>
          <w:rFonts w:ascii="Tahoma" w:hAnsi="Tahoma" w:cs="Tahoma"/>
        </w:rPr>
        <w:t>:</w:t>
      </w:r>
    </w:p>
    <w:p w:rsidR="002F4E06" w:rsidRPr="00B507A6" w:rsidRDefault="00217A67" w:rsidP="00466B28">
      <w:pPr>
        <w:spacing w:after="120" w:line="264" w:lineRule="auto"/>
        <w:ind w:left="567" w:right="521"/>
        <w:jc w:val="both"/>
        <w:rPr>
          <w:rFonts w:ascii="Tahoma" w:hAnsi="Tahoma" w:cs="Tahoma"/>
          <w:i/>
        </w:rPr>
      </w:pPr>
      <w:r w:rsidRPr="00B507A6">
        <w:rPr>
          <w:rFonts w:ascii="Tahoma" w:hAnsi="Tahoma" w:cs="Tahoma"/>
        </w:rPr>
        <w:t xml:space="preserve"> </w:t>
      </w:r>
      <w:r w:rsidRPr="00B507A6">
        <w:rPr>
          <w:rFonts w:ascii="Tahoma" w:hAnsi="Tahoma" w:cs="Tahoma"/>
          <w:i/>
        </w:rPr>
        <w:t>“that at the time of determination, profitable extraction or production under defined investment assumptions has been established, analytically demonstrated, or assumed with reasonable certainty.”</w:t>
      </w:r>
    </w:p>
    <w:p w:rsidR="00AF28B1" w:rsidRPr="00B507A6" w:rsidRDefault="00AF28B1" w:rsidP="0057341D">
      <w:pPr>
        <w:spacing w:after="120" w:line="264" w:lineRule="auto"/>
        <w:jc w:val="both"/>
        <w:rPr>
          <w:rFonts w:ascii="Tahoma" w:hAnsi="Tahoma" w:cs="Tahoma"/>
        </w:rPr>
      </w:pPr>
      <w:r w:rsidRPr="00B507A6">
        <w:rPr>
          <w:rFonts w:ascii="Tahoma" w:hAnsi="Tahoma" w:cs="Tahoma"/>
        </w:rPr>
        <w:t xml:space="preserve">Clearly, profitable extraction or production </w:t>
      </w:r>
      <w:r w:rsidR="00902C5D">
        <w:rPr>
          <w:rFonts w:ascii="Tahoma" w:hAnsi="Tahoma" w:cs="Tahoma"/>
        </w:rPr>
        <w:t xml:space="preserve">under defined investment assumptions </w:t>
      </w:r>
      <w:r w:rsidRPr="00B507A6">
        <w:rPr>
          <w:rFonts w:ascii="Tahoma" w:hAnsi="Tahoma" w:cs="Tahoma"/>
        </w:rPr>
        <w:t>has not been demonstrated</w:t>
      </w:r>
      <w:r w:rsidR="00A4173A">
        <w:rPr>
          <w:rFonts w:ascii="Tahoma" w:hAnsi="Tahoma" w:cs="Tahoma"/>
        </w:rPr>
        <w:t>, nor is it required,</w:t>
      </w:r>
      <w:r w:rsidRPr="00B507A6">
        <w:rPr>
          <w:rFonts w:ascii="Tahoma" w:hAnsi="Tahoma" w:cs="Tahoma"/>
        </w:rPr>
        <w:t xml:space="preserve"> for Mineral Resources announced to the ASX in compliance with the JORC Code.</w:t>
      </w:r>
    </w:p>
    <w:p w:rsidR="00466B28" w:rsidRPr="00B507A6" w:rsidRDefault="00217A67" w:rsidP="0057341D">
      <w:pPr>
        <w:spacing w:after="120" w:line="264" w:lineRule="auto"/>
        <w:jc w:val="both"/>
        <w:rPr>
          <w:rFonts w:ascii="Tahoma" w:hAnsi="Tahoma" w:cs="Tahoma"/>
        </w:rPr>
      </w:pPr>
      <w:r w:rsidRPr="00B507A6">
        <w:rPr>
          <w:rFonts w:ascii="Tahoma" w:hAnsi="Tahoma" w:cs="Tahoma"/>
        </w:rPr>
        <w:t xml:space="preserve">Further, the </w:t>
      </w:r>
      <w:r w:rsidRPr="002E052C">
        <w:rPr>
          <w:rFonts w:ascii="Tahoma" w:hAnsi="Tahoma" w:cs="Tahoma"/>
          <w:i/>
          <w:u w:val="single"/>
        </w:rPr>
        <w:t>National Classification System</w:t>
      </w:r>
      <w:r w:rsidR="00070B79" w:rsidRPr="002E052C">
        <w:rPr>
          <w:rFonts w:ascii="Tahoma" w:hAnsi="Tahoma" w:cs="Tahoma"/>
          <w:i/>
          <w:u w:val="single"/>
        </w:rPr>
        <w:t xml:space="preserve"> for Identified Mineral Resources</w:t>
      </w:r>
      <w:r w:rsidRPr="00B507A6">
        <w:rPr>
          <w:rFonts w:ascii="Tahoma" w:hAnsi="Tahoma" w:cs="Tahoma"/>
        </w:rPr>
        <w:t xml:space="preserve"> guidelines for classifying Mineral Resources as EDRs includes those </w:t>
      </w:r>
      <w:r w:rsidR="003519AA" w:rsidRPr="00B507A6">
        <w:rPr>
          <w:rFonts w:ascii="Tahoma" w:hAnsi="Tahoma" w:cs="Tahoma"/>
        </w:rPr>
        <w:t xml:space="preserve">resources </w:t>
      </w:r>
      <w:r w:rsidRPr="00B507A6">
        <w:rPr>
          <w:rFonts w:ascii="Tahoma" w:hAnsi="Tahoma" w:cs="Tahoma"/>
        </w:rPr>
        <w:t xml:space="preserve">at existing operations, those </w:t>
      </w:r>
      <w:r w:rsidR="003519AA" w:rsidRPr="00B507A6">
        <w:rPr>
          <w:rFonts w:ascii="Tahoma" w:hAnsi="Tahoma" w:cs="Tahoma"/>
        </w:rPr>
        <w:t xml:space="preserve">resources </w:t>
      </w:r>
      <w:r w:rsidR="00902C5D">
        <w:rPr>
          <w:rFonts w:ascii="Tahoma" w:hAnsi="Tahoma" w:cs="Tahoma"/>
        </w:rPr>
        <w:t xml:space="preserve">currently </w:t>
      </w:r>
      <w:r w:rsidR="003519AA" w:rsidRPr="00B507A6">
        <w:rPr>
          <w:rFonts w:ascii="Tahoma" w:hAnsi="Tahoma" w:cs="Tahoma"/>
        </w:rPr>
        <w:t>in development,</w:t>
      </w:r>
      <w:r w:rsidRPr="00B507A6">
        <w:rPr>
          <w:rFonts w:ascii="Tahoma" w:hAnsi="Tahoma" w:cs="Tahoma"/>
        </w:rPr>
        <w:t xml:space="preserve"> </w:t>
      </w:r>
      <w:r w:rsidR="003519AA" w:rsidRPr="00B507A6">
        <w:rPr>
          <w:rFonts w:ascii="Tahoma" w:hAnsi="Tahoma" w:cs="Tahoma"/>
        </w:rPr>
        <w:t xml:space="preserve">resources at </w:t>
      </w:r>
      <w:r w:rsidRPr="00B507A6">
        <w:rPr>
          <w:rFonts w:ascii="Tahoma" w:hAnsi="Tahoma" w:cs="Tahoma"/>
        </w:rPr>
        <w:t>those operations on care and maintenance and those</w:t>
      </w:r>
      <w:r w:rsidR="00466B28" w:rsidRPr="00B507A6">
        <w:rPr>
          <w:rFonts w:ascii="Tahoma" w:hAnsi="Tahoma" w:cs="Tahoma"/>
        </w:rPr>
        <w:t>:</w:t>
      </w:r>
    </w:p>
    <w:p w:rsidR="00466B28" w:rsidRPr="00B507A6" w:rsidRDefault="00217A67" w:rsidP="00466B28">
      <w:pPr>
        <w:spacing w:after="120" w:line="264" w:lineRule="auto"/>
        <w:ind w:left="567" w:right="521"/>
        <w:jc w:val="both"/>
        <w:rPr>
          <w:rFonts w:ascii="Tahoma" w:hAnsi="Tahoma" w:cs="Tahoma"/>
          <w:i/>
        </w:rPr>
      </w:pPr>
      <w:r w:rsidRPr="00B507A6">
        <w:rPr>
          <w:rFonts w:ascii="Tahoma" w:hAnsi="Tahoma" w:cs="Tahoma"/>
        </w:rPr>
        <w:t xml:space="preserve"> </w:t>
      </w:r>
      <w:r w:rsidRPr="00B507A6">
        <w:rPr>
          <w:rFonts w:ascii="Tahoma" w:hAnsi="Tahoma" w:cs="Tahoma"/>
          <w:i/>
        </w:rPr>
        <w:t xml:space="preserve">“undeveloped resources which are judged to be economic on the basis of a financial analysis using actual, estimated, or assumed variables – viz., </w:t>
      </w:r>
      <w:r w:rsidRPr="003600BA">
        <w:rPr>
          <w:rFonts w:ascii="Tahoma" w:hAnsi="Tahoma" w:cs="Tahoma"/>
          <w:b/>
          <w:i/>
        </w:rPr>
        <w:t>the tax rate, capital and operating costs, discount rate (which reflects the long-term bond rate), commodity prices, and depreciation schedules; the values for the economic variables used in an assessment must be realistic for the circumstances prevailing at the time of the assessment.”</w:t>
      </w:r>
      <w:r w:rsidR="00902C5D" w:rsidRPr="003600BA">
        <w:rPr>
          <w:rFonts w:ascii="Tahoma" w:hAnsi="Tahoma" w:cs="Tahoma"/>
          <w:b/>
          <w:i/>
        </w:rPr>
        <w:t xml:space="preserve"> </w:t>
      </w:r>
      <w:r w:rsidR="00902C5D">
        <w:rPr>
          <w:rFonts w:ascii="Tahoma" w:hAnsi="Tahoma" w:cs="Tahoma"/>
          <w:i/>
        </w:rPr>
        <w:t xml:space="preserve">– </w:t>
      </w:r>
      <w:r w:rsidR="00902C5D" w:rsidRPr="00902C5D">
        <w:rPr>
          <w:rFonts w:ascii="Tahoma" w:hAnsi="Tahoma" w:cs="Tahoma"/>
        </w:rPr>
        <w:t>emphasis added</w:t>
      </w:r>
      <w:r w:rsidR="003519AA" w:rsidRPr="00B507A6">
        <w:rPr>
          <w:rFonts w:ascii="Tahoma" w:hAnsi="Tahoma" w:cs="Tahoma"/>
          <w:i/>
        </w:rPr>
        <w:t xml:space="preserve"> </w:t>
      </w:r>
    </w:p>
    <w:p w:rsidR="00217A67" w:rsidRDefault="003519AA" w:rsidP="00466B28">
      <w:pPr>
        <w:spacing w:after="120" w:line="264" w:lineRule="auto"/>
        <w:ind w:right="-3"/>
        <w:jc w:val="both"/>
        <w:rPr>
          <w:rFonts w:ascii="Tahoma" w:hAnsi="Tahoma" w:cs="Tahoma"/>
        </w:rPr>
      </w:pPr>
      <w:r w:rsidRPr="00B507A6">
        <w:rPr>
          <w:rFonts w:ascii="Tahoma" w:hAnsi="Tahoma" w:cs="Tahoma"/>
        </w:rPr>
        <w:t xml:space="preserve">Clearly, the </w:t>
      </w:r>
      <w:r w:rsidR="00902C5D">
        <w:rPr>
          <w:rFonts w:ascii="Tahoma" w:hAnsi="Tahoma" w:cs="Tahoma"/>
        </w:rPr>
        <w:t xml:space="preserve">additional parameters </w:t>
      </w:r>
      <w:r w:rsidR="00166802">
        <w:rPr>
          <w:rFonts w:ascii="Tahoma" w:hAnsi="Tahoma" w:cs="Tahoma"/>
        </w:rPr>
        <w:t xml:space="preserve">the </w:t>
      </w:r>
      <w:r w:rsidR="00166802" w:rsidRPr="003600BA">
        <w:rPr>
          <w:rFonts w:ascii="Tahoma" w:hAnsi="Tahoma" w:cs="Tahoma"/>
          <w:i/>
          <w:u w:val="single"/>
        </w:rPr>
        <w:t>National Classification System</w:t>
      </w:r>
      <w:r w:rsidR="00070B79" w:rsidRPr="003600BA">
        <w:rPr>
          <w:rFonts w:ascii="Tahoma" w:hAnsi="Tahoma" w:cs="Tahoma"/>
          <w:i/>
          <w:u w:val="single"/>
        </w:rPr>
        <w:t xml:space="preserve"> for Identified Mineral Resources</w:t>
      </w:r>
      <w:r w:rsidR="00166802" w:rsidRPr="00C809B5">
        <w:rPr>
          <w:rFonts w:ascii="Tahoma" w:hAnsi="Tahoma" w:cs="Tahoma"/>
        </w:rPr>
        <w:t xml:space="preserve"> </w:t>
      </w:r>
      <w:r w:rsidR="00166802">
        <w:rPr>
          <w:rFonts w:ascii="Tahoma" w:hAnsi="Tahoma" w:cs="Tahoma"/>
        </w:rPr>
        <w:t>requires GA to consider</w:t>
      </w:r>
      <w:r w:rsidRPr="00B507A6">
        <w:rPr>
          <w:rFonts w:ascii="Tahoma" w:hAnsi="Tahoma" w:cs="Tahoma"/>
        </w:rPr>
        <w:t xml:space="preserve"> for </w:t>
      </w:r>
      <w:r w:rsidR="00902C5D">
        <w:rPr>
          <w:rFonts w:ascii="Tahoma" w:hAnsi="Tahoma" w:cs="Tahoma"/>
        </w:rPr>
        <w:t xml:space="preserve">the </w:t>
      </w:r>
      <w:r w:rsidRPr="00B507A6">
        <w:rPr>
          <w:rFonts w:ascii="Tahoma" w:hAnsi="Tahoma" w:cs="Tahoma"/>
        </w:rPr>
        <w:t>classification of EDRs go much further than simply</w:t>
      </w:r>
      <w:r w:rsidR="00AF28B1" w:rsidRPr="00B507A6">
        <w:rPr>
          <w:rFonts w:ascii="Tahoma" w:hAnsi="Tahoma" w:cs="Tahoma"/>
        </w:rPr>
        <w:t xml:space="preserve"> </w:t>
      </w:r>
      <w:r w:rsidR="00902C5D">
        <w:rPr>
          <w:rFonts w:ascii="Tahoma" w:hAnsi="Tahoma" w:cs="Tahoma"/>
        </w:rPr>
        <w:t>a summation of</w:t>
      </w:r>
      <w:r w:rsidR="00AF28B1" w:rsidRPr="00B507A6">
        <w:rPr>
          <w:rFonts w:ascii="Tahoma" w:hAnsi="Tahoma" w:cs="Tahoma"/>
        </w:rPr>
        <w:t xml:space="preserve"> all the</w:t>
      </w:r>
      <w:r w:rsidRPr="00B507A6">
        <w:rPr>
          <w:rFonts w:ascii="Tahoma" w:hAnsi="Tahoma" w:cs="Tahoma"/>
        </w:rPr>
        <w:t xml:space="preserve"> Measured and Indicated Mineral Resources </w:t>
      </w:r>
      <w:r w:rsidR="00AF28B1" w:rsidRPr="00B507A6">
        <w:rPr>
          <w:rFonts w:ascii="Tahoma" w:hAnsi="Tahoma" w:cs="Tahoma"/>
        </w:rPr>
        <w:t>announced to the ASX in compliance with</w:t>
      </w:r>
      <w:r w:rsidRPr="00B507A6">
        <w:rPr>
          <w:rFonts w:ascii="Tahoma" w:hAnsi="Tahoma" w:cs="Tahoma"/>
        </w:rPr>
        <w:t xml:space="preserve"> the JORC Code</w:t>
      </w:r>
      <w:r w:rsidR="00AF28B1" w:rsidRPr="00B507A6">
        <w:rPr>
          <w:rFonts w:ascii="Tahoma" w:hAnsi="Tahoma" w:cs="Tahoma"/>
        </w:rPr>
        <w:t>.  S</w:t>
      </w:r>
      <w:r w:rsidRPr="00B507A6">
        <w:rPr>
          <w:rFonts w:ascii="Tahoma" w:hAnsi="Tahoma" w:cs="Tahoma"/>
        </w:rPr>
        <w:t>pecifically</w:t>
      </w:r>
      <w:r w:rsidR="00AF28B1" w:rsidRPr="00B507A6">
        <w:rPr>
          <w:rFonts w:ascii="Tahoma" w:hAnsi="Tahoma" w:cs="Tahoma"/>
        </w:rPr>
        <w:t>,</w:t>
      </w:r>
      <w:r w:rsidRPr="00B507A6">
        <w:rPr>
          <w:rFonts w:ascii="Tahoma" w:hAnsi="Tahoma" w:cs="Tahoma"/>
        </w:rPr>
        <w:t xml:space="preserve"> the requirement to consider capital costs and other more detailed economic parameters such as discount rate, depreciation etc.</w:t>
      </w:r>
      <w:r w:rsidR="00AF28B1" w:rsidRPr="00B507A6">
        <w:rPr>
          <w:rFonts w:ascii="Tahoma" w:hAnsi="Tahoma" w:cs="Tahoma"/>
        </w:rPr>
        <w:t xml:space="preserve"> are not a requirement for </w:t>
      </w:r>
      <w:r w:rsidR="00902C5D">
        <w:rPr>
          <w:rFonts w:ascii="Tahoma" w:hAnsi="Tahoma" w:cs="Tahoma"/>
        </w:rPr>
        <w:t xml:space="preserve">any </w:t>
      </w:r>
      <w:r w:rsidR="00AF28B1" w:rsidRPr="00B507A6">
        <w:rPr>
          <w:rFonts w:ascii="Tahoma" w:hAnsi="Tahoma" w:cs="Tahoma"/>
        </w:rPr>
        <w:t>Mineral Resources announced to the ASX in compliance with the JORC Code.</w:t>
      </w:r>
      <w:r w:rsidRPr="00B507A6">
        <w:rPr>
          <w:rFonts w:ascii="Tahoma" w:hAnsi="Tahoma" w:cs="Tahoma"/>
        </w:rPr>
        <w:t xml:space="preserve">  </w:t>
      </w:r>
      <w:r w:rsidR="00166802">
        <w:rPr>
          <w:rFonts w:ascii="Tahoma" w:hAnsi="Tahoma" w:cs="Tahoma"/>
        </w:rPr>
        <w:t>T</w:t>
      </w:r>
      <w:r w:rsidRPr="00B507A6">
        <w:rPr>
          <w:rFonts w:ascii="Tahoma" w:hAnsi="Tahoma" w:cs="Tahoma"/>
        </w:rPr>
        <w:t xml:space="preserve">he requirement </w:t>
      </w:r>
      <w:r w:rsidR="00AF28B1" w:rsidRPr="00B507A6">
        <w:rPr>
          <w:rFonts w:ascii="Tahoma" w:hAnsi="Tahoma" w:cs="Tahoma"/>
        </w:rPr>
        <w:t xml:space="preserve">for GA </w:t>
      </w:r>
      <w:r w:rsidRPr="00B507A6">
        <w:rPr>
          <w:rFonts w:ascii="Tahoma" w:hAnsi="Tahoma" w:cs="Tahoma"/>
        </w:rPr>
        <w:t>to consider these additional economic criteria</w:t>
      </w:r>
      <w:r w:rsidR="00AF28B1" w:rsidRPr="00B507A6">
        <w:rPr>
          <w:rFonts w:ascii="Tahoma" w:hAnsi="Tahoma" w:cs="Tahoma"/>
        </w:rPr>
        <w:t xml:space="preserve"> in assessing EDRs</w:t>
      </w:r>
      <w:r w:rsidRPr="00B507A6">
        <w:rPr>
          <w:rFonts w:ascii="Tahoma" w:hAnsi="Tahoma" w:cs="Tahoma"/>
        </w:rPr>
        <w:t xml:space="preserve">, above and beyond what is publically reported as Mineral Resources under the JORC Code, is not applied </w:t>
      </w:r>
      <w:r w:rsidR="00466B28" w:rsidRPr="00B507A6">
        <w:rPr>
          <w:rFonts w:ascii="Tahoma" w:hAnsi="Tahoma" w:cs="Tahoma"/>
        </w:rPr>
        <w:t xml:space="preserve">by GA </w:t>
      </w:r>
      <w:r w:rsidRPr="00B507A6">
        <w:rPr>
          <w:rFonts w:ascii="Tahoma" w:hAnsi="Tahoma" w:cs="Tahoma"/>
        </w:rPr>
        <w:t>in practice.</w:t>
      </w:r>
    </w:p>
    <w:p w:rsidR="00A4173A" w:rsidRPr="00B507A6" w:rsidRDefault="00A4173A" w:rsidP="00466B28">
      <w:pPr>
        <w:spacing w:after="120" w:line="264" w:lineRule="auto"/>
        <w:ind w:right="-3"/>
        <w:jc w:val="both"/>
        <w:rPr>
          <w:rFonts w:ascii="Tahoma" w:hAnsi="Tahoma" w:cs="Tahoma"/>
        </w:rPr>
      </w:pPr>
      <w:r>
        <w:rPr>
          <w:rFonts w:ascii="Tahoma" w:hAnsi="Tahoma" w:cs="Tahoma"/>
        </w:rPr>
        <w:t xml:space="preserve">While there are considerable challenges confronting GA in trying to conform to </w:t>
      </w:r>
      <w:r w:rsidR="000A228A">
        <w:rPr>
          <w:rFonts w:ascii="Tahoma" w:hAnsi="Tahoma" w:cs="Tahoma"/>
        </w:rPr>
        <w:t xml:space="preserve">the </w:t>
      </w:r>
      <w:r w:rsidRPr="003600BA">
        <w:rPr>
          <w:rFonts w:ascii="Tahoma" w:hAnsi="Tahoma" w:cs="Tahoma"/>
          <w:i/>
          <w:u w:val="single"/>
        </w:rPr>
        <w:t>National Classification System</w:t>
      </w:r>
      <w:r w:rsidR="00070B79" w:rsidRPr="003600BA">
        <w:rPr>
          <w:rFonts w:ascii="Tahoma" w:hAnsi="Tahoma" w:cs="Tahoma"/>
          <w:i/>
          <w:u w:val="single"/>
        </w:rPr>
        <w:t xml:space="preserve"> for Identified Mineral Resources</w:t>
      </w:r>
      <w:r>
        <w:rPr>
          <w:rFonts w:ascii="Tahoma" w:hAnsi="Tahoma" w:cs="Tahoma"/>
        </w:rPr>
        <w:t xml:space="preserve"> requirements in determining which Mineral Resources are economic and which are not, the </w:t>
      </w:r>
      <w:r w:rsidR="00166802">
        <w:rPr>
          <w:rFonts w:ascii="Tahoma" w:hAnsi="Tahoma" w:cs="Tahoma"/>
        </w:rPr>
        <w:t>practice of simply summing the Mineral Resources announced to the ASX and declaring</w:t>
      </w:r>
      <w:r>
        <w:rPr>
          <w:rFonts w:ascii="Tahoma" w:hAnsi="Tahoma" w:cs="Tahoma"/>
        </w:rPr>
        <w:t xml:space="preserve"> them all </w:t>
      </w:r>
      <w:r w:rsidR="0001308E">
        <w:rPr>
          <w:rFonts w:ascii="Tahoma" w:hAnsi="Tahoma" w:cs="Tahoma"/>
        </w:rPr>
        <w:t>‘</w:t>
      </w:r>
      <w:r>
        <w:rPr>
          <w:rFonts w:ascii="Tahoma" w:hAnsi="Tahoma" w:cs="Tahoma"/>
        </w:rPr>
        <w:t>economic</w:t>
      </w:r>
      <w:r w:rsidR="0001308E">
        <w:rPr>
          <w:rFonts w:ascii="Tahoma" w:hAnsi="Tahoma" w:cs="Tahoma"/>
        </w:rPr>
        <w:t>’</w:t>
      </w:r>
      <w:r w:rsidR="00166802">
        <w:rPr>
          <w:rFonts w:ascii="Tahoma" w:hAnsi="Tahoma" w:cs="Tahoma"/>
        </w:rPr>
        <w:t xml:space="preserve"> is not an appropriate response</w:t>
      </w:r>
      <w:r w:rsidR="0001308E">
        <w:rPr>
          <w:rFonts w:ascii="Tahoma" w:hAnsi="Tahoma" w:cs="Tahoma"/>
        </w:rPr>
        <w:t>.</w:t>
      </w:r>
    </w:p>
    <w:p w:rsidR="002F4E06" w:rsidRDefault="00217A67" w:rsidP="0057341D">
      <w:pPr>
        <w:spacing w:after="120" w:line="264" w:lineRule="auto"/>
        <w:jc w:val="both"/>
        <w:rPr>
          <w:rFonts w:ascii="Tahoma" w:hAnsi="Tahoma" w:cs="Tahoma"/>
        </w:rPr>
      </w:pPr>
      <w:r w:rsidRPr="00B507A6">
        <w:rPr>
          <w:rFonts w:ascii="Tahoma" w:hAnsi="Tahoma" w:cs="Tahoma"/>
        </w:rPr>
        <w:t xml:space="preserve">Importantly, </w:t>
      </w:r>
      <w:r w:rsidR="004D6888" w:rsidRPr="00B507A6">
        <w:rPr>
          <w:rFonts w:ascii="Tahoma" w:hAnsi="Tahoma" w:cs="Tahoma"/>
        </w:rPr>
        <w:t xml:space="preserve">the </w:t>
      </w:r>
      <w:r w:rsidR="00166802">
        <w:rPr>
          <w:rFonts w:ascii="Tahoma" w:hAnsi="Tahoma" w:cs="Tahoma"/>
        </w:rPr>
        <w:t>National Classification System requirements</w:t>
      </w:r>
      <w:r w:rsidR="004D6888" w:rsidRPr="00B507A6">
        <w:rPr>
          <w:rFonts w:ascii="Tahoma" w:hAnsi="Tahoma" w:cs="Tahoma"/>
        </w:rPr>
        <w:t xml:space="preserve"> to </w:t>
      </w:r>
      <w:r w:rsidR="00974D6A">
        <w:rPr>
          <w:rFonts w:ascii="Tahoma" w:hAnsi="Tahoma" w:cs="Tahoma"/>
        </w:rPr>
        <w:t>consider</w:t>
      </w:r>
      <w:r w:rsidR="004D6888" w:rsidRPr="00B507A6">
        <w:rPr>
          <w:rFonts w:ascii="Tahoma" w:hAnsi="Tahoma" w:cs="Tahoma"/>
        </w:rPr>
        <w:t xml:space="preserve"> </w:t>
      </w:r>
      <w:r w:rsidR="004D6888" w:rsidRPr="00B507A6">
        <w:rPr>
          <w:rFonts w:ascii="Tahoma" w:hAnsi="Tahoma" w:cs="Tahoma"/>
          <w:i/>
        </w:rPr>
        <w:t>‘defined investment assumptions’</w:t>
      </w:r>
      <w:r w:rsidR="004D6888" w:rsidRPr="00B507A6">
        <w:rPr>
          <w:rFonts w:ascii="Tahoma" w:hAnsi="Tahoma" w:cs="Tahoma"/>
        </w:rPr>
        <w:t xml:space="preserve"> and the requirement to include capital as well as operating costs in the determination of EDRs is </w:t>
      </w:r>
      <w:r w:rsidR="00070B79">
        <w:rPr>
          <w:rFonts w:ascii="Tahoma" w:hAnsi="Tahoma" w:cs="Tahoma"/>
        </w:rPr>
        <w:t>more compatible with</w:t>
      </w:r>
      <w:r w:rsidR="004D6888" w:rsidRPr="00B507A6">
        <w:rPr>
          <w:rFonts w:ascii="Tahoma" w:hAnsi="Tahoma" w:cs="Tahoma"/>
        </w:rPr>
        <w:t xml:space="preserve"> the JORC </w:t>
      </w:r>
      <w:r w:rsidR="00070B79">
        <w:rPr>
          <w:rFonts w:ascii="Tahoma" w:hAnsi="Tahoma" w:cs="Tahoma"/>
        </w:rPr>
        <w:t xml:space="preserve">Code </w:t>
      </w:r>
      <w:r w:rsidR="004D6888" w:rsidRPr="00B507A6">
        <w:rPr>
          <w:rFonts w:ascii="Tahoma" w:hAnsi="Tahoma" w:cs="Tahoma"/>
        </w:rPr>
        <w:t>definition of Ore Reserves</w:t>
      </w:r>
      <w:r w:rsidR="000A228A">
        <w:rPr>
          <w:rFonts w:ascii="Tahoma" w:hAnsi="Tahoma" w:cs="Tahoma"/>
        </w:rPr>
        <w:t>,</w:t>
      </w:r>
      <w:r w:rsidR="004D6888" w:rsidRPr="00B507A6">
        <w:rPr>
          <w:rFonts w:ascii="Tahoma" w:hAnsi="Tahoma" w:cs="Tahoma"/>
        </w:rPr>
        <w:t xml:space="preserve"> while JORC defined Mineral Resources are not specifically required to consider capital costs nor defined investment assumptions.  Further, the guidance defining EDRs would appear to require GA to consider the capital investment circumstances prevailing </w:t>
      </w:r>
      <w:r w:rsidR="003519AA" w:rsidRPr="00B507A6">
        <w:rPr>
          <w:rFonts w:ascii="Tahoma" w:hAnsi="Tahoma" w:cs="Tahoma"/>
          <w:i/>
        </w:rPr>
        <w:t>“</w:t>
      </w:r>
      <w:r w:rsidR="004D6888" w:rsidRPr="00B507A6">
        <w:rPr>
          <w:rFonts w:ascii="Tahoma" w:hAnsi="Tahoma" w:cs="Tahoma"/>
          <w:i/>
        </w:rPr>
        <w:t xml:space="preserve">at the time of </w:t>
      </w:r>
      <w:r w:rsidR="004D6888" w:rsidRPr="00B507A6">
        <w:rPr>
          <w:rFonts w:ascii="Tahoma" w:hAnsi="Tahoma" w:cs="Tahoma"/>
          <w:i/>
        </w:rPr>
        <w:lastRenderedPageBreak/>
        <w:t>assessment</w:t>
      </w:r>
      <w:r w:rsidR="003519AA" w:rsidRPr="00B507A6">
        <w:rPr>
          <w:rFonts w:ascii="Tahoma" w:hAnsi="Tahoma" w:cs="Tahoma"/>
          <w:i/>
        </w:rPr>
        <w:t>”</w:t>
      </w:r>
      <w:r w:rsidR="004D6888" w:rsidRPr="00B507A6">
        <w:rPr>
          <w:rFonts w:ascii="Tahoma" w:hAnsi="Tahoma" w:cs="Tahoma"/>
        </w:rPr>
        <w:t xml:space="preserve">.  This would preclude the inclusion of </w:t>
      </w:r>
      <w:r w:rsidR="00466B28" w:rsidRPr="00B507A6">
        <w:rPr>
          <w:rFonts w:ascii="Tahoma" w:hAnsi="Tahoma" w:cs="Tahoma"/>
        </w:rPr>
        <w:t>the majority of</w:t>
      </w:r>
      <w:r w:rsidR="004D6888" w:rsidRPr="00B507A6">
        <w:rPr>
          <w:rFonts w:ascii="Tahoma" w:hAnsi="Tahoma" w:cs="Tahoma"/>
        </w:rPr>
        <w:t xml:space="preserve"> ASX announced Measured and Indicated Resources in the EDR data as the majority of these resources would not currently justify the capital investment for development at this time.  While inconsistent with the definition of allowable EDRs, these </w:t>
      </w:r>
      <w:r w:rsidR="00466B28" w:rsidRPr="00B507A6">
        <w:rPr>
          <w:rFonts w:ascii="Tahoma" w:hAnsi="Tahoma" w:cs="Tahoma"/>
        </w:rPr>
        <w:t xml:space="preserve">ASX announced </w:t>
      </w:r>
      <w:r w:rsidR="004D6888" w:rsidRPr="00B507A6">
        <w:rPr>
          <w:rFonts w:ascii="Tahoma" w:hAnsi="Tahoma" w:cs="Tahoma"/>
        </w:rPr>
        <w:t>resources are entirely consistent with the ‘prospects for eventual extraction’ provision within the JORC Code as a future event can render these resources economic to develop.</w:t>
      </w:r>
      <w:r w:rsidR="00A25A75" w:rsidRPr="00B507A6">
        <w:rPr>
          <w:rFonts w:ascii="Tahoma" w:hAnsi="Tahoma" w:cs="Tahoma"/>
        </w:rPr>
        <w:t xml:space="preserve">  Should such an event occur, subject to appropriate </w:t>
      </w:r>
      <w:r w:rsidR="00902C5D">
        <w:rPr>
          <w:rFonts w:ascii="Tahoma" w:hAnsi="Tahoma" w:cs="Tahoma"/>
        </w:rPr>
        <w:t>technical and financial studies</w:t>
      </w:r>
      <w:r w:rsidR="00A25A75" w:rsidRPr="00B507A6">
        <w:rPr>
          <w:rFonts w:ascii="Tahoma" w:hAnsi="Tahoma" w:cs="Tahoma"/>
        </w:rPr>
        <w:t xml:space="preserve"> </w:t>
      </w:r>
      <w:r w:rsidR="00902C5D">
        <w:rPr>
          <w:rFonts w:ascii="Tahoma" w:hAnsi="Tahoma" w:cs="Tahoma"/>
        </w:rPr>
        <w:t xml:space="preserve">and </w:t>
      </w:r>
      <w:r w:rsidR="00A25A75" w:rsidRPr="00B507A6">
        <w:rPr>
          <w:rFonts w:ascii="Tahoma" w:hAnsi="Tahoma" w:cs="Tahoma"/>
        </w:rPr>
        <w:t>in compliance with the JORC Code there would be a conversion of Mineral Resources to Ore Reserves.</w:t>
      </w:r>
      <w:r w:rsidR="004D6888" w:rsidRPr="00B507A6">
        <w:rPr>
          <w:rFonts w:ascii="Tahoma" w:hAnsi="Tahoma" w:cs="Tahoma"/>
        </w:rPr>
        <w:t xml:space="preserve">  GA does not have the latitude of assuming future events in the definition of what resources qualify as EDRs – nor should they.</w:t>
      </w:r>
    </w:p>
    <w:p w:rsidR="00AA356D" w:rsidRPr="00AA356D" w:rsidRDefault="004A1402" w:rsidP="0057341D">
      <w:pPr>
        <w:spacing w:after="120" w:line="264" w:lineRule="auto"/>
        <w:jc w:val="both"/>
        <w:rPr>
          <w:rFonts w:ascii="Tahoma" w:hAnsi="Tahoma" w:cs="Tahoma"/>
          <w:b/>
        </w:rPr>
      </w:pPr>
      <w:r w:rsidRPr="00AA356D">
        <w:rPr>
          <w:rFonts w:ascii="Tahoma" w:hAnsi="Tahoma" w:cs="Tahoma"/>
          <w:b/>
        </w:rPr>
        <w:t xml:space="preserve">Australia’s Economically Demonstrated Resources are </w:t>
      </w:r>
      <w:r>
        <w:rPr>
          <w:rFonts w:ascii="Tahoma" w:hAnsi="Tahoma" w:cs="Tahoma"/>
          <w:b/>
        </w:rPr>
        <w:t>n</w:t>
      </w:r>
      <w:r w:rsidRPr="00AA356D">
        <w:rPr>
          <w:rFonts w:ascii="Tahoma" w:hAnsi="Tahoma" w:cs="Tahoma"/>
          <w:b/>
        </w:rPr>
        <w:t>ot</w:t>
      </w:r>
      <w:r w:rsidR="00245A3B">
        <w:rPr>
          <w:rFonts w:ascii="Tahoma" w:hAnsi="Tahoma" w:cs="Tahoma"/>
          <w:b/>
        </w:rPr>
        <w:t xml:space="preserve"> Economic</w:t>
      </w:r>
    </w:p>
    <w:p w:rsidR="00AA356D" w:rsidRDefault="00AA356D" w:rsidP="0057341D">
      <w:pPr>
        <w:spacing w:after="120" w:line="264" w:lineRule="auto"/>
        <w:jc w:val="both"/>
        <w:rPr>
          <w:rFonts w:ascii="Tahoma" w:hAnsi="Tahoma" w:cs="Tahoma"/>
        </w:rPr>
      </w:pPr>
      <w:r>
        <w:rPr>
          <w:rFonts w:ascii="Tahoma" w:hAnsi="Tahoma" w:cs="Tahoma"/>
        </w:rPr>
        <w:t xml:space="preserve">As argued above, what GA reports as Australia’s Economically Demonstrated Resources – while essentially a compilation of Ore Reserves plus Measured and Indicated Resources in public announcements to the ASX – </w:t>
      </w:r>
      <w:r w:rsidR="000A228A">
        <w:rPr>
          <w:rFonts w:ascii="Tahoma" w:hAnsi="Tahoma" w:cs="Tahoma"/>
        </w:rPr>
        <w:t xml:space="preserve">contain a large percentage of resources that </w:t>
      </w:r>
      <w:r>
        <w:rPr>
          <w:rFonts w:ascii="Tahoma" w:hAnsi="Tahoma" w:cs="Tahoma"/>
        </w:rPr>
        <w:t xml:space="preserve">are not </w:t>
      </w:r>
      <w:r w:rsidR="00F73FD5">
        <w:rPr>
          <w:rFonts w:ascii="Tahoma" w:hAnsi="Tahoma" w:cs="Tahoma"/>
        </w:rPr>
        <w:t>‘</w:t>
      </w:r>
      <w:r>
        <w:rPr>
          <w:rFonts w:ascii="Tahoma" w:hAnsi="Tahoma" w:cs="Tahoma"/>
        </w:rPr>
        <w:t>economically demonstrated</w:t>
      </w:r>
      <w:r w:rsidR="00F73FD5">
        <w:rPr>
          <w:rFonts w:ascii="Tahoma" w:hAnsi="Tahoma" w:cs="Tahoma"/>
        </w:rPr>
        <w:t>’</w:t>
      </w:r>
      <w:r>
        <w:rPr>
          <w:rFonts w:ascii="Tahoma" w:hAnsi="Tahoma" w:cs="Tahoma"/>
        </w:rPr>
        <w:t xml:space="preserve"> at all.</w:t>
      </w:r>
      <w:r w:rsidR="006F7756">
        <w:rPr>
          <w:rFonts w:ascii="Tahoma" w:hAnsi="Tahoma" w:cs="Tahoma"/>
        </w:rPr>
        <w:t xml:space="preserve">  No economic study</w:t>
      </w:r>
      <w:r>
        <w:rPr>
          <w:rFonts w:ascii="Tahoma" w:hAnsi="Tahoma" w:cs="Tahoma"/>
        </w:rPr>
        <w:t xml:space="preserve"> </w:t>
      </w:r>
      <w:r w:rsidR="000A228A">
        <w:rPr>
          <w:rFonts w:ascii="Tahoma" w:hAnsi="Tahoma" w:cs="Tahoma"/>
        </w:rPr>
        <w:t xml:space="preserve">— </w:t>
      </w:r>
      <w:r>
        <w:rPr>
          <w:rFonts w:ascii="Tahoma" w:hAnsi="Tahoma" w:cs="Tahoma"/>
        </w:rPr>
        <w:t>Scoping Study, Pre-feasibility Study, or Feasibility Study - is require</w:t>
      </w:r>
      <w:r w:rsidR="006F7756">
        <w:rPr>
          <w:rFonts w:ascii="Tahoma" w:hAnsi="Tahoma" w:cs="Tahoma"/>
        </w:rPr>
        <w:t>d for the announcement of Minera</w:t>
      </w:r>
      <w:r>
        <w:rPr>
          <w:rFonts w:ascii="Tahoma" w:hAnsi="Tahoma" w:cs="Tahoma"/>
        </w:rPr>
        <w:t>l Resources under the JORC Code.</w:t>
      </w:r>
    </w:p>
    <w:p w:rsidR="006F7756" w:rsidRDefault="00F73FD5" w:rsidP="0057341D">
      <w:pPr>
        <w:spacing w:after="120" w:line="264" w:lineRule="auto"/>
        <w:jc w:val="both"/>
        <w:rPr>
          <w:rFonts w:ascii="Tahoma" w:hAnsi="Tahoma" w:cs="Tahoma"/>
        </w:rPr>
      </w:pPr>
      <w:r>
        <w:rPr>
          <w:rFonts w:ascii="Tahoma" w:hAnsi="Tahoma" w:cs="Tahoma"/>
        </w:rPr>
        <w:t xml:space="preserve">The numbers that GA report as </w:t>
      </w:r>
      <w:r w:rsidR="006F7756">
        <w:rPr>
          <w:rFonts w:ascii="Tahoma" w:hAnsi="Tahoma" w:cs="Tahoma"/>
        </w:rPr>
        <w:t>EDRs are more accurately defined as Australia’s Identified Mineral Resources.  It is of critical impo</w:t>
      </w:r>
      <w:r>
        <w:rPr>
          <w:rFonts w:ascii="Tahoma" w:hAnsi="Tahoma" w:cs="Tahoma"/>
        </w:rPr>
        <w:t xml:space="preserve">rtance that the terminology of </w:t>
      </w:r>
      <w:r w:rsidR="006F7756">
        <w:rPr>
          <w:rFonts w:ascii="Tahoma" w:hAnsi="Tahoma" w:cs="Tahoma"/>
        </w:rPr>
        <w:t xml:space="preserve">EDRs be changed to remove the assertion that resources referred to </w:t>
      </w:r>
      <w:r w:rsidR="00974D6A">
        <w:rPr>
          <w:rFonts w:ascii="Tahoma" w:hAnsi="Tahoma" w:cs="Tahoma"/>
        </w:rPr>
        <w:t>are</w:t>
      </w:r>
      <w:r w:rsidR="006F7756">
        <w:rPr>
          <w:rFonts w:ascii="Tahoma" w:hAnsi="Tahoma" w:cs="Tahoma"/>
        </w:rPr>
        <w:t xml:space="preserve"> </w:t>
      </w:r>
      <w:r w:rsidR="00974D6A">
        <w:rPr>
          <w:rFonts w:ascii="Tahoma" w:hAnsi="Tahoma" w:cs="Tahoma"/>
        </w:rPr>
        <w:t>‘</w:t>
      </w:r>
      <w:r w:rsidR="006F7756">
        <w:rPr>
          <w:rFonts w:ascii="Tahoma" w:hAnsi="Tahoma" w:cs="Tahoma"/>
        </w:rPr>
        <w:t>economic</w:t>
      </w:r>
      <w:r w:rsidR="00974D6A">
        <w:rPr>
          <w:rFonts w:ascii="Tahoma" w:hAnsi="Tahoma" w:cs="Tahoma"/>
        </w:rPr>
        <w:t>’</w:t>
      </w:r>
      <w:r w:rsidR="006F7756">
        <w:rPr>
          <w:rFonts w:ascii="Tahoma" w:hAnsi="Tahoma" w:cs="Tahoma"/>
        </w:rPr>
        <w:t>.</w:t>
      </w:r>
    </w:p>
    <w:p w:rsidR="006F7756" w:rsidRDefault="002143F0" w:rsidP="0057341D">
      <w:pPr>
        <w:spacing w:after="120" w:line="264" w:lineRule="auto"/>
        <w:jc w:val="both"/>
        <w:rPr>
          <w:rFonts w:ascii="Tahoma" w:hAnsi="Tahoma" w:cs="Tahoma"/>
        </w:rPr>
      </w:pPr>
      <w:r>
        <w:rPr>
          <w:rFonts w:ascii="Tahoma" w:hAnsi="Tahoma" w:cs="Tahoma"/>
        </w:rPr>
        <w:t>A recent</w:t>
      </w:r>
      <w:r w:rsidR="003C5748">
        <w:rPr>
          <w:rFonts w:ascii="Tahoma" w:hAnsi="Tahoma" w:cs="Tahoma"/>
        </w:rPr>
        <w:t xml:space="preserve"> exam</w:t>
      </w:r>
      <w:r w:rsidR="00F73FD5">
        <w:rPr>
          <w:rFonts w:ascii="Tahoma" w:hAnsi="Tahoma" w:cs="Tahoma"/>
        </w:rPr>
        <w:t xml:space="preserve">ple of how misleading the term </w:t>
      </w:r>
      <w:r w:rsidR="003C5748">
        <w:rPr>
          <w:rFonts w:ascii="Tahoma" w:hAnsi="Tahoma" w:cs="Tahoma"/>
        </w:rPr>
        <w:t>E</w:t>
      </w:r>
      <w:r w:rsidR="00070B79">
        <w:rPr>
          <w:rFonts w:ascii="Tahoma" w:hAnsi="Tahoma" w:cs="Tahoma"/>
        </w:rPr>
        <w:t xml:space="preserve">conomically </w:t>
      </w:r>
      <w:r w:rsidR="003C5748">
        <w:rPr>
          <w:rFonts w:ascii="Tahoma" w:hAnsi="Tahoma" w:cs="Tahoma"/>
        </w:rPr>
        <w:t>D</w:t>
      </w:r>
      <w:r w:rsidR="00070B79">
        <w:rPr>
          <w:rFonts w:ascii="Tahoma" w:hAnsi="Tahoma" w:cs="Tahoma"/>
        </w:rPr>
        <w:t xml:space="preserve">emonstrated </w:t>
      </w:r>
      <w:r w:rsidR="003C5748">
        <w:rPr>
          <w:rFonts w:ascii="Tahoma" w:hAnsi="Tahoma" w:cs="Tahoma"/>
        </w:rPr>
        <w:t>R</w:t>
      </w:r>
      <w:r w:rsidR="00070B79">
        <w:rPr>
          <w:rFonts w:ascii="Tahoma" w:hAnsi="Tahoma" w:cs="Tahoma"/>
        </w:rPr>
        <w:t>esources</w:t>
      </w:r>
      <w:r w:rsidR="003C5748">
        <w:rPr>
          <w:rFonts w:ascii="Tahoma" w:hAnsi="Tahoma" w:cs="Tahoma"/>
        </w:rPr>
        <w:t xml:space="preserve"> </w:t>
      </w:r>
      <w:r w:rsidR="00C809B5">
        <w:rPr>
          <w:rFonts w:ascii="Tahoma" w:hAnsi="Tahoma" w:cs="Tahoma"/>
        </w:rPr>
        <w:t>has been</w:t>
      </w:r>
      <w:r w:rsidR="00974D6A">
        <w:rPr>
          <w:rFonts w:ascii="Tahoma" w:hAnsi="Tahoma" w:cs="Tahoma"/>
        </w:rPr>
        <w:t xml:space="preserve"> </w:t>
      </w:r>
      <w:r>
        <w:rPr>
          <w:rFonts w:ascii="Tahoma" w:hAnsi="Tahoma" w:cs="Tahoma"/>
        </w:rPr>
        <w:t xml:space="preserve">is </w:t>
      </w:r>
      <w:r w:rsidR="00E5066E">
        <w:rPr>
          <w:rFonts w:ascii="Tahoma" w:hAnsi="Tahoma" w:cs="Tahoma"/>
        </w:rPr>
        <w:t>illustrated</w:t>
      </w:r>
      <w:r>
        <w:rPr>
          <w:rFonts w:ascii="Tahoma" w:hAnsi="Tahoma" w:cs="Tahoma"/>
        </w:rPr>
        <w:t xml:space="preserve"> by</w:t>
      </w:r>
      <w:r w:rsidR="003C5748">
        <w:rPr>
          <w:rFonts w:ascii="Tahoma" w:hAnsi="Tahoma" w:cs="Tahoma"/>
        </w:rPr>
        <w:t xml:space="preserve"> the Policy Transition Group</w:t>
      </w:r>
      <w:r>
        <w:rPr>
          <w:rFonts w:ascii="Tahoma" w:hAnsi="Tahoma" w:cs="Tahoma"/>
        </w:rPr>
        <w:t>’s</w:t>
      </w:r>
      <w:r w:rsidR="003C5748">
        <w:rPr>
          <w:rFonts w:ascii="Tahoma" w:hAnsi="Tahoma" w:cs="Tahoma"/>
        </w:rPr>
        <w:t xml:space="preserve"> </w:t>
      </w:r>
      <w:r w:rsidR="003600BA" w:rsidRPr="003600BA">
        <w:rPr>
          <w:rFonts w:ascii="Tahoma" w:hAnsi="Tahoma" w:cs="Tahoma"/>
          <w:i/>
          <w:u w:val="single"/>
        </w:rPr>
        <w:t>R</w:t>
      </w:r>
      <w:r w:rsidR="003C5748" w:rsidRPr="003600BA">
        <w:rPr>
          <w:rFonts w:ascii="Tahoma" w:hAnsi="Tahoma" w:cs="Tahoma"/>
          <w:i/>
          <w:u w:val="single"/>
        </w:rPr>
        <w:t xml:space="preserve">eport to the Australian Government on Minerals and Petroleum </w:t>
      </w:r>
      <w:r w:rsidR="00C92B37" w:rsidRPr="003600BA">
        <w:rPr>
          <w:rFonts w:ascii="Tahoma" w:hAnsi="Tahoma" w:cs="Tahoma"/>
          <w:i/>
          <w:u w:val="single"/>
        </w:rPr>
        <w:t>Exploration</w:t>
      </w:r>
      <w:r w:rsidR="00C92B37">
        <w:rPr>
          <w:rFonts w:ascii="Tahoma" w:hAnsi="Tahoma" w:cs="Tahoma"/>
        </w:rPr>
        <w:t>, which</w:t>
      </w:r>
      <w:r>
        <w:rPr>
          <w:rFonts w:ascii="Tahoma" w:hAnsi="Tahoma" w:cs="Tahoma"/>
        </w:rPr>
        <w:t xml:space="preserve"> contains </w:t>
      </w:r>
      <w:r w:rsidR="00F73FD5">
        <w:rPr>
          <w:rFonts w:ascii="Tahoma" w:hAnsi="Tahoma" w:cs="Tahoma"/>
        </w:rPr>
        <w:t xml:space="preserve">a tabulation of </w:t>
      </w:r>
      <w:r w:rsidR="003C5748">
        <w:rPr>
          <w:rFonts w:ascii="Tahoma" w:hAnsi="Tahoma" w:cs="Tahoma"/>
        </w:rPr>
        <w:t>EDRs from Geoscience Australia and in the text of the report:</w:t>
      </w:r>
    </w:p>
    <w:p w:rsidR="001447B2" w:rsidRDefault="003C5748" w:rsidP="001447B2">
      <w:pPr>
        <w:spacing w:after="120" w:line="264" w:lineRule="auto"/>
        <w:ind w:left="567" w:right="521"/>
        <w:jc w:val="both"/>
        <w:rPr>
          <w:rFonts w:ascii="Tahoma" w:hAnsi="Tahoma" w:cs="Tahoma"/>
          <w:i/>
        </w:rPr>
      </w:pPr>
      <w:r w:rsidRPr="008A0EFE">
        <w:rPr>
          <w:rFonts w:ascii="Tahoma" w:hAnsi="Tahoma" w:cs="Tahoma"/>
          <w:i/>
        </w:rPr>
        <w:t xml:space="preserve">“Australia has accumulated a significant inventory of unexploited known mineral and petroleum </w:t>
      </w:r>
      <w:r w:rsidRPr="008A0EFE">
        <w:rPr>
          <w:rFonts w:ascii="Tahoma" w:hAnsi="Tahoma" w:cs="Tahoma"/>
          <w:i/>
          <w:u w:val="single"/>
        </w:rPr>
        <w:t>reserves.</w:t>
      </w:r>
      <w:r w:rsidRPr="008A0EFE">
        <w:rPr>
          <w:rFonts w:ascii="Tahoma" w:hAnsi="Tahoma" w:cs="Tahoma"/>
          <w:i/>
        </w:rPr>
        <w:t xml:space="preserve"> Table 1 presents data on Australia’s accessible</w:t>
      </w:r>
      <w:r w:rsidR="008A0EFE" w:rsidRPr="008A0EFE">
        <w:rPr>
          <w:rFonts w:ascii="Tahoma" w:hAnsi="Tahoma" w:cs="Tahoma"/>
          <w:i/>
        </w:rPr>
        <w:t>, economically demonstrated resources for a range of commodities.”</w:t>
      </w:r>
    </w:p>
    <w:p w:rsidR="001447B2" w:rsidRDefault="001447B2" w:rsidP="001447B2">
      <w:pPr>
        <w:spacing w:after="120" w:line="264" w:lineRule="auto"/>
        <w:jc w:val="both"/>
        <w:rPr>
          <w:rFonts w:ascii="Tahoma" w:hAnsi="Tahoma" w:cs="Tahoma"/>
        </w:rPr>
      </w:pPr>
      <w:r>
        <w:rPr>
          <w:rFonts w:ascii="Tahoma" w:hAnsi="Tahoma" w:cs="Tahoma"/>
        </w:rPr>
        <w:t>This misinterpretation of the national minerals inventory and production longevity is further exacerbated by GA’s own assertions (in the referred to Table attached below) that current production rates for various minerals can be sustained for implausible durations based on GA’s EDR data.</w:t>
      </w:r>
    </w:p>
    <w:p w:rsidR="001447B2" w:rsidRDefault="001447B2" w:rsidP="001447B2">
      <w:pPr>
        <w:spacing w:after="120" w:line="264" w:lineRule="auto"/>
        <w:jc w:val="both"/>
        <w:rPr>
          <w:rFonts w:ascii="Tahoma" w:hAnsi="Tahoma" w:cs="Tahoma"/>
        </w:rPr>
      </w:pPr>
      <w:r>
        <w:rPr>
          <w:rFonts w:ascii="Tahoma" w:hAnsi="Tahoma" w:cs="Tahoma"/>
        </w:rPr>
        <w:t xml:space="preserve">It is beyond question that GA’s primary client – the Government of Australia – </w:t>
      </w:r>
      <w:r w:rsidR="00245A3B">
        <w:rPr>
          <w:rFonts w:ascii="Tahoma" w:hAnsi="Tahoma" w:cs="Tahoma"/>
        </w:rPr>
        <w:t>has misunderstood</w:t>
      </w:r>
      <w:r>
        <w:rPr>
          <w:rFonts w:ascii="Tahoma" w:hAnsi="Tahoma" w:cs="Tahoma"/>
        </w:rPr>
        <w:t xml:space="preserve"> the EDRs as being </w:t>
      </w:r>
      <w:r w:rsidRPr="001447B2">
        <w:rPr>
          <w:rFonts w:ascii="Tahoma" w:hAnsi="Tahoma" w:cs="Tahoma"/>
          <w:i/>
        </w:rPr>
        <w:t>‘accessible economically demonstrated resources’</w:t>
      </w:r>
      <w:r>
        <w:rPr>
          <w:rFonts w:ascii="Tahoma" w:hAnsi="Tahoma" w:cs="Tahoma"/>
        </w:rPr>
        <w:t xml:space="preserve"> and as </w:t>
      </w:r>
      <w:r w:rsidRPr="001447B2">
        <w:rPr>
          <w:rFonts w:ascii="Tahoma" w:hAnsi="Tahoma" w:cs="Tahoma"/>
          <w:i/>
        </w:rPr>
        <w:t>‘reserves’</w:t>
      </w:r>
      <w:r>
        <w:rPr>
          <w:rFonts w:ascii="Tahoma" w:hAnsi="Tahoma" w:cs="Tahoma"/>
        </w:rPr>
        <w:t xml:space="preserve">.  Using these data as indicating that </w:t>
      </w:r>
      <w:r w:rsidRPr="001447B2">
        <w:rPr>
          <w:rFonts w:ascii="Tahoma" w:hAnsi="Tahoma" w:cs="Tahoma"/>
          <w:i/>
        </w:rPr>
        <w:t>“Australia’s resources stocks remain plentiful”</w:t>
      </w:r>
      <w:r>
        <w:rPr>
          <w:rFonts w:ascii="Tahoma" w:hAnsi="Tahoma" w:cs="Tahoma"/>
        </w:rPr>
        <w:t xml:space="preserve">, the Policy Transition Group and subsequently, the Federal Government, has determined that there is no need for exploration incentives in Australia.  </w:t>
      </w:r>
    </w:p>
    <w:p w:rsidR="001447B2" w:rsidRDefault="001447B2" w:rsidP="001447B2">
      <w:pPr>
        <w:spacing w:after="120" w:line="264" w:lineRule="auto"/>
        <w:jc w:val="both"/>
        <w:rPr>
          <w:rFonts w:ascii="Tahoma" w:hAnsi="Tahoma" w:cs="Tahoma"/>
        </w:rPr>
      </w:pPr>
      <w:r>
        <w:rPr>
          <w:rFonts w:ascii="Tahoma" w:hAnsi="Tahoma" w:cs="Tahoma"/>
        </w:rPr>
        <w:t xml:space="preserve">GA is aware that the metals production, whether it is gold, silver, copper, lead, zinc, or nickel, is reliant upon a small number of large operations most of which are mature (Dr Chris </w:t>
      </w:r>
      <w:proofErr w:type="spellStart"/>
      <w:r>
        <w:rPr>
          <w:rFonts w:ascii="Tahoma" w:hAnsi="Tahoma" w:cs="Tahoma"/>
        </w:rPr>
        <w:t>Pigram</w:t>
      </w:r>
      <w:proofErr w:type="spellEnd"/>
      <w:r>
        <w:rPr>
          <w:rFonts w:ascii="Tahoma" w:hAnsi="Tahoma" w:cs="Tahoma"/>
        </w:rPr>
        <w:t xml:space="preserve"> </w:t>
      </w:r>
      <w:proofErr w:type="spellStart"/>
      <w:r>
        <w:rPr>
          <w:rFonts w:ascii="Tahoma" w:hAnsi="Tahoma" w:cs="Tahoma"/>
        </w:rPr>
        <w:t>pers</w:t>
      </w:r>
      <w:proofErr w:type="spellEnd"/>
      <w:r>
        <w:rPr>
          <w:rFonts w:ascii="Tahoma" w:hAnsi="Tahoma" w:cs="Tahoma"/>
        </w:rPr>
        <w:t xml:space="preserve"> comm.).  The reality is unless new major deposit discoveries are forthcoming, Australia’s production of all these metals will inevitably decline in the medium term (less than 10 years).</w:t>
      </w:r>
    </w:p>
    <w:p w:rsidR="001447B2" w:rsidRDefault="001447B2" w:rsidP="001447B2">
      <w:pPr>
        <w:spacing w:after="120" w:line="264" w:lineRule="auto"/>
        <w:ind w:right="521"/>
        <w:jc w:val="both"/>
        <w:rPr>
          <w:rFonts w:ascii="Tahoma" w:hAnsi="Tahoma" w:cs="Tahoma"/>
        </w:rPr>
      </w:pPr>
    </w:p>
    <w:p w:rsidR="00070F0B" w:rsidRDefault="00070F0B" w:rsidP="001447B2">
      <w:pPr>
        <w:spacing w:after="120" w:line="264" w:lineRule="auto"/>
        <w:ind w:right="521"/>
        <w:jc w:val="both"/>
        <w:rPr>
          <w:rFonts w:ascii="Tahoma" w:hAnsi="Tahoma" w:cs="Tahoma"/>
        </w:rPr>
      </w:pPr>
    </w:p>
    <w:p w:rsidR="00070F0B" w:rsidRPr="00070F0B" w:rsidRDefault="00070F0B" w:rsidP="001447B2">
      <w:pPr>
        <w:spacing w:after="120" w:line="264" w:lineRule="auto"/>
        <w:ind w:right="521"/>
        <w:jc w:val="both"/>
        <w:rPr>
          <w:rFonts w:ascii="Tahoma" w:hAnsi="Tahoma" w:cs="Tahoma"/>
          <w:i/>
        </w:rPr>
      </w:pPr>
      <w:r w:rsidRPr="00070F0B">
        <w:rPr>
          <w:rFonts w:ascii="Tahoma" w:hAnsi="Tahoma" w:cs="Tahoma"/>
          <w:i/>
        </w:rPr>
        <w:lastRenderedPageBreak/>
        <w:t>The table below taken from the Policy Transition Group Report to the Australian Government: Minerals and Petroleum Exploration</w:t>
      </w:r>
      <w:r>
        <w:rPr>
          <w:rFonts w:ascii="Tahoma" w:hAnsi="Tahoma" w:cs="Tahoma"/>
          <w:i/>
        </w:rPr>
        <w:t xml:space="preserve"> – page 10</w:t>
      </w:r>
    </w:p>
    <w:p w:rsidR="001447B2" w:rsidRDefault="001447B2" w:rsidP="001447B2">
      <w:pPr>
        <w:spacing w:after="120" w:line="264" w:lineRule="auto"/>
        <w:jc w:val="center"/>
        <w:rPr>
          <w:rFonts w:ascii="Tahoma" w:hAnsi="Tahoma" w:cs="Tahoma"/>
        </w:rPr>
      </w:pPr>
      <w:r>
        <w:rPr>
          <w:rFonts w:ascii="Tahoma" w:hAnsi="Tahoma" w:cs="Tahoma"/>
          <w:noProof/>
          <w:lang w:eastAsia="en-AU"/>
        </w:rPr>
        <w:drawing>
          <wp:inline distT="0" distB="0" distL="0" distR="0">
            <wp:extent cx="3622675" cy="3664585"/>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2675" cy="3664585"/>
                    </a:xfrm>
                    <a:prstGeom prst="rect">
                      <a:avLst/>
                    </a:prstGeom>
                    <a:noFill/>
                    <a:ln>
                      <a:solidFill>
                        <a:schemeClr val="tx1"/>
                      </a:solidFill>
                    </a:ln>
                  </pic:spPr>
                </pic:pic>
              </a:graphicData>
            </a:graphic>
          </wp:inline>
        </w:drawing>
      </w:r>
    </w:p>
    <w:p w:rsidR="008B20E1" w:rsidRDefault="00F73FD5" w:rsidP="0057341D">
      <w:pPr>
        <w:spacing w:after="120" w:line="264" w:lineRule="auto"/>
        <w:jc w:val="both"/>
        <w:rPr>
          <w:rFonts w:ascii="Tahoma" w:hAnsi="Tahoma" w:cs="Tahoma"/>
        </w:rPr>
      </w:pPr>
      <w:r>
        <w:rPr>
          <w:rFonts w:ascii="Tahoma" w:hAnsi="Tahoma" w:cs="Tahoma"/>
        </w:rPr>
        <w:t>As an</w:t>
      </w:r>
      <w:r w:rsidR="00FE7D50">
        <w:rPr>
          <w:rFonts w:ascii="Tahoma" w:hAnsi="Tahoma" w:cs="Tahoma"/>
        </w:rPr>
        <w:t>other</w:t>
      </w:r>
      <w:r>
        <w:rPr>
          <w:rFonts w:ascii="Tahoma" w:hAnsi="Tahoma" w:cs="Tahoma"/>
        </w:rPr>
        <w:t xml:space="preserve"> example, in </w:t>
      </w:r>
      <w:r w:rsidR="00FE7D50">
        <w:rPr>
          <w:rFonts w:ascii="Tahoma" w:hAnsi="Tahoma" w:cs="Tahoma"/>
        </w:rPr>
        <w:t xml:space="preserve">its </w:t>
      </w:r>
      <w:r>
        <w:rPr>
          <w:rFonts w:ascii="Tahoma" w:hAnsi="Tahoma" w:cs="Tahoma"/>
        </w:rPr>
        <w:t xml:space="preserve">publication </w:t>
      </w:r>
      <w:r w:rsidRPr="003600BA">
        <w:rPr>
          <w:rFonts w:ascii="Tahoma" w:hAnsi="Tahoma" w:cs="Tahoma"/>
          <w:i/>
          <w:u w:val="single"/>
        </w:rPr>
        <w:t>Australia’</w:t>
      </w:r>
      <w:r w:rsidR="00EF28A8" w:rsidRPr="003600BA">
        <w:rPr>
          <w:rFonts w:ascii="Tahoma" w:hAnsi="Tahoma" w:cs="Tahoma"/>
          <w:i/>
          <w:u w:val="single"/>
        </w:rPr>
        <w:t>s Identified Minera</w:t>
      </w:r>
      <w:r w:rsidRPr="003600BA">
        <w:rPr>
          <w:rFonts w:ascii="Tahoma" w:hAnsi="Tahoma" w:cs="Tahoma"/>
          <w:i/>
          <w:u w:val="single"/>
        </w:rPr>
        <w:t>l Resources 2010</w:t>
      </w:r>
      <w:r>
        <w:rPr>
          <w:rFonts w:ascii="Tahoma" w:hAnsi="Tahoma" w:cs="Tahoma"/>
        </w:rPr>
        <w:t xml:space="preserve">, Geoscience Australia claims that the EDR for gold is some 7,399 tonnes </w:t>
      </w:r>
      <w:r w:rsidR="00EF28A8">
        <w:rPr>
          <w:rFonts w:ascii="Tahoma" w:hAnsi="Tahoma" w:cs="Tahoma"/>
        </w:rPr>
        <w:t xml:space="preserve">(238 million ounces) </w:t>
      </w:r>
      <w:r>
        <w:rPr>
          <w:rFonts w:ascii="Tahoma" w:hAnsi="Tahoma" w:cs="Tahoma"/>
        </w:rPr>
        <w:t xml:space="preserve">which, at the 2009 annual rate of production, would allow continued production </w:t>
      </w:r>
      <w:r w:rsidR="00FE7D50">
        <w:rPr>
          <w:rFonts w:ascii="Tahoma" w:hAnsi="Tahoma" w:cs="Tahoma"/>
        </w:rPr>
        <w:t>(</w:t>
      </w:r>
      <w:r>
        <w:rPr>
          <w:rFonts w:ascii="Tahoma" w:hAnsi="Tahoma" w:cs="Tahoma"/>
        </w:rPr>
        <w:t>at that rate</w:t>
      </w:r>
      <w:r w:rsidR="00FE7D50">
        <w:rPr>
          <w:rFonts w:ascii="Tahoma" w:hAnsi="Tahoma" w:cs="Tahoma"/>
        </w:rPr>
        <w:t>)</w:t>
      </w:r>
      <w:r w:rsidR="005224FC">
        <w:rPr>
          <w:rFonts w:ascii="Tahoma" w:hAnsi="Tahoma" w:cs="Tahoma"/>
        </w:rPr>
        <w:t xml:space="preserve"> for another 29</w:t>
      </w:r>
      <w:r>
        <w:rPr>
          <w:rFonts w:ascii="Tahoma" w:hAnsi="Tahoma" w:cs="Tahoma"/>
        </w:rPr>
        <w:t xml:space="preserve"> years.  </w:t>
      </w:r>
    </w:p>
    <w:p w:rsidR="00BB1E5B" w:rsidRDefault="004A1402" w:rsidP="00BB1E5B">
      <w:pPr>
        <w:spacing w:after="120" w:line="264" w:lineRule="auto"/>
        <w:jc w:val="both"/>
        <w:rPr>
          <w:rFonts w:ascii="Tahoma" w:hAnsi="Tahoma" w:cs="Tahoma"/>
        </w:rPr>
      </w:pPr>
      <w:r>
        <w:rPr>
          <w:rFonts w:ascii="Tahoma" w:hAnsi="Tahoma" w:cs="Tahoma"/>
        </w:rPr>
        <w:t>A</w:t>
      </w:r>
      <w:r w:rsidR="00FE7D50">
        <w:rPr>
          <w:rFonts w:ascii="Tahoma" w:hAnsi="Tahoma" w:cs="Tahoma"/>
        </w:rPr>
        <w:t xml:space="preserve"> major issue is </w:t>
      </w:r>
      <w:r w:rsidR="00BB1E5B">
        <w:rPr>
          <w:rFonts w:ascii="Tahoma" w:hAnsi="Tahoma" w:cs="Tahoma"/>
        </w:rPr>
        <w:t xml:space="preserve">that </w:t>
      </w:r>
      <w:r w:rsidR="00974D6A">
        <w:rPr>
          <w:rFonts w:ascii="Tahoma" w:hAnsi="Tahoma" w:cs="Tahoma"/>
        </w:rPr>
        <w:t xml:space="preserve">approximately </w:t>
      </w:r>
      <w:r w:rsidR="00BB1E5B">
        <w:rPr>
          <w:rFonts w:ascii="Tahoma" w:hAnsi="Tahoma" w:cs="Tahoma"/>
        </w:rPr>
        <w:t xml:space="preserve">25% of this EDR is </w:t>
      </w:r>
      <w:r w:rsidR="00974D6A">
        <w:rPr>
          <w:rFonts w:ascii="Tahoma" w:hAnsi="Tahoma" w:cs="Tahoma"/>
        </w:rPr>
        <w:t xml:space="preserve">attributable to </w:t>
      </w:r>
      <w:r w:rsidR="00BB1E5B">
        <w:rPr>
          <w:rFonts w:ascii="Tahoma" w:hAnsi="Tahoma" w:cs="Tahoma"/>
        </w:rPr>
        <w:t>the Olympic Dam deposit alone and</w:t>
      </w:r>
      <w:r w:rsidR="001447B2">
        <w:rPr>
          <w:rFonts w:ascii="Tahoma" w:hAnsi="Tahoma" w:cs="Tahoma"/>
        </w:rPr>
        <w:t xml:space="preserve"> even</w:t>
      </w:r>
      <w:r w:rsidR="00BB1E5B">
        <w:rPr>
          <w:rFonts w:ascii="Tahoma" w:hAnsi="Tahoma" w:cs="Tahoma"/>
        </w:rPr>
        <w:t xml:space="preserve"> assuming the mine expansion is approved</w:t>
      </w:r>
      <w:r w:rsidR="001447B2">
        <w:rPr>
          <w:rFonts w:ascii="Tahoma" w:hAnsi="Tahoma" w:cs="Tahoma"/>
        </w:rPr>
        <w:t xml:space="preserve"> (which is not currently likely), it would</w:t>
      </w:r>
      <w:r w:rsidR="00BB1E5B">
        <w:rPr>
          <w:rFonts w:ascii="Tahoma" w:hAnsi="Tahoma" w:cs="Tahoma"/>
        </w:rPr>
        <w:t xml:space="preserve"> take some 80 years to produce this portion of the gold EDR.  As with other metals, the long term production of gold is underpinned by </w:t>
      </w:r>
      <w:r w:rsidR="005F115B">
        <w:rPr>
          <w:rFonts w:ascii="Tahoma" w:hAnsi="Tahoma" w:cs="Tahoma"/>
        </w:rPr>
        <w:t xml:space="preserve">a small number of </w:t>
      </w:r>
      <w:r w:rsidR="00BB1E5B">
        <w:rPr>
          <w:rFonts w:ascii="Tahoma" w:hAnsi="Tahoma" w:cs="Tahoma"/>
        </w:rPr>
        <w:t>large, long-life mines while smaller operations are far more ephemeral.  As an exercise, GA’s EDR and production projection for gold was compared with actual production volumes and Ore Reserve duration for the top ten gold producers in Australia</w:t>
      </w:r>
      <w:r w:rsidR="00C128DA">
        <w:rPr>
          <w:rFonts w:ascii="Tahoma" w:hAnsi="Tahoma" w:cs="Tahoma"/>
        </w:rPr>
        <w:t xml:space="preserve"> (Figure 3)</w:t>
      </w:r>
      <w:r w:rsidR="00BB1E5B">
        <w:rPr>
          <w:rFonts w:ascii="Tahoma" w:hAnsi="Tahoma" w:cs="Tahoma"/>
        </w:rPr>
        <w:t xml:space="preserve">.  The graph below demonstrates that while the top 10 gold producers account for 74% of Australia’s annual gold production, there would appear to be a </w:t>
      </w:r>
      <w:r w:rsidR="00974D6A">
        <w:rPr>
          <w:rFonts w:ascii="Tahoma" w:hAnsi="Tahoma" w:cs="Tahoma"/>
        </w:rPr>
        <w:t>significant discrepancy</w:t>
      </w:r>
      <w:r w:rsidR="00BB1E5B">
        <w:rPr>
          <w:rFonts w:ascii="Tahoma" w:hAnsi="Tahoma" w:cs="Tahoma"/>
        </w:rPr>
        <w:t xml:space="preserve"> between the longevity of Ore Reserves of those operations and the quantity of gold the Government has been led to believe the country will be producing over the next 30 years.</w:t>
      </w:r>
    </w:p>
    <w:p w:rsidR="00EE1FBC" w:rsidRDefault="00EE1FBC" w:rsidP="00BB1E5B">
      <w:pPr>
        <w:spacing w:after="120" w:line="264" w:lineRule="auto"/>
        <w:jc w:val="both"/>
        <w:rPr>
          <w:rFonts w:ascii="Tahoma" w:hAnsi="Tahoma" w:cs="Tahoma"/>
        </w:rPr>
      </w:pPr>
    </w:p>
    <w:p w:rsidR="00C91C8E" w:rsidRDefault="007F7279" w:rsidP="00BB1E5B">
      <w:pPr>
        <w:spacing w:after="120" w:line="264" w:lineRule="auto"/>
        <w:jc w:val="both"/>
        <w:rPr>
          <w:rFonts w:ascii="Tahoma" w:hAnsi="Tahoma" w:cs="Tahoma"/>
        </w:rPr>
      </w:pPr>
      <w:r>
        <w:rPr>
          <w:rFonts w:ascii="Tahoma" w:hAnsi="Tahoma" w:cs="Tahoma"/>
          <w:noProof/>
          <w:lang w:eastAsia="en-AU"/>
        </w:rPr>
        <w:lastRenderedPageBreak/>
        <mc:AlternateContent>
          <mc:Choice Requires="wps">
            <w:drawing>
              <wp:anchor distT="0" distB="0" distL="114299" distR="114299" simplePos="0" relativeHeight="251666432" behindDoc="0" locked="0" layoutInCell="1" allowOverlap="1">
                <wp:simplePos x="0" y="0"/>
                <wp:positionH relativeFrom="column">
                  <wp:posOffset>4330699</wp:posOffset>
                </wp:positionH>
                <wp:positionV relativeFrom="paragraph">
                  <wp:posOffset>496570</wp:posOffset>
                </wp:positionV>
                <wp:extent cx="0" cy="2857500"/>
                <wp:effectExtent l="76200" t="38100" r="95250" b="952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25400">
                          <a:solidFill>
                            <a:srgbClr val="FF0000"/>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pt,39.1pt" to="34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" strokecolor="red" strokeweight="2pt">
                <v:stroke dashstyle="dash"/>
                <v:shadow on="t" color="black" opacity="24903f" origin=",.5" offset="0,.55556mm"/>
              </v:line>
            </w:pict>
          </mc:Fallback>
        </mc:AlternateContent>
      </w:r>
      <w:r>
        <w:rPr>
          <w:rFonts w:ascii="Tahoma" w:hAnsi="Tahoma" w:cs="Tahoma"/>
          <w:noProof/>
          <w:lang w:eastAsia="en-AU"/>
        </w:rPr>
        <mc:AlternateContent>
          <mc:Choice Requires="wps">
            <w:drawing>
              <wp:anchor distT="0" distB="0" distL="114300" distR="114300" simplePos="0" relativeHeight="251664384" behindDoc="0" locked="0" layoutInCell="1" allowOverlap="1">
                <wp:simplePos x="0" y="0"/>
                <wp:positionH relativeFrom="column">
                  <wp:posOffset>628650</wp:posOffset>
                </wp:positionH>
                <wp:positionV relativeFrom="paragraph">
                  <wp:posOffset>610870</wp:posOffset>
                </wp:positionV>
                <wp:extent cx="3768090" cy="7277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BA" w:rsidRDefault="003600BA" w:rsidP="00C91C8E">
                            <w:pPr>
                              <w:spacing w:after="120" w:line="264" w:lineRule="auto"/>
                            </w:pPr>
                            <w:r w:rsidRPr="009E7119">
                              <w:rPr>
                                <w:b/>
                              </w:rPr>
                              <w:t>7.2 million ounces per year</w:t>
                            </w:r>
                            <w:r>
                              <w:t xml:space="preserve"> – the production rate GA say Australia can maintain over the next 30 years based on EDRs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48.1pt;width:296.7pt;height:5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" filled="f" stroked="f">
                <v:textbox>
                  <w:txbxContent>
                    <w:p w:rsidR="003600BA" w:rsidRDefault="003600BA" w:rsidP="00C91C8E">
                      <w:pPr>
                        <w:spacing w:after="120" w:line="264" w:lineRule="auto"/>
                      </w:pPr>
                      <w:r w:rsidRPr="009E7119">
                        <w:rPr>
                          <w:b/>
                        </w:rPr>
                        <w:t>7.2 million ounces per year</w:t>
                      </w:r>
                      <w:r>
                        <w:t xml:space="preserve"> – the production rate GA say Australia can maintain over the next 30 years based on EDRs</w:t>
                      </w:r>
                    </w:p>
                  </w:txbxContent>
                </v:textbox>
              </v:shape>
            </w:pict>
          </mc:Fallback>
        </mc:AlternateContent>
      </w:r>
      <w:r>
        <w:rPr>
          <w:rFonts w:ascii="Tahoma" w:hAnsi="Tahoma" w:cs="Tahoma"/>
          <w:noProof/>
          <w:lang w:eastAsia="en-AU"/>
        </w:rPr>
        <mc:AlternateContent>
          <mc:Choice Requires="wps">
            <w:drawing>
              <wp:anchor distT="0" distB="0" distL="114300" distR="114300" simplePos="0" relativeHeight="251665408" behindDoc="0" locked="0" layoutInCell="1" allowOverlap="1">
                <wp:simplePos x="0" y="0"/>
                <wp:positionH relativeFrom="column">
                  <wp:posOffset>628650</wp:posOffset>
                </wp:positionH>
                <wp:positionV relativeFrom="paragraph">
                  <wp:posOffset>496570</wp:posOffset>
                </wp:positionV>
                <wp:extent cx="3698875" cy="156210"/>
                <wp:effectExtent l="0" t="19050" r="34925" b="3429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8875" cy="156210"/>
                        </a:xfrm>
                        <a:prstGeom prst="rightArrow">
                          <a:avLst>
                            <a:gd name="adj1" fmla="val 50000"/>
                            <a:gd name="adj2" fmla="val 5919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49.5pt;margin-top:39.1pt;width:291.2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" fillcolor="red"/>
            </w:pict>
          </mc:Fallback>
        </mc:AlternateContent>
      </w:r>
      <w:r w:rsidR="00171384" w:rsidRPr="0000679F">
        <w:rPr>
          <w:rFonts w:ascii="Tahoma" w:hAnsi="Tahoma" w:cs="Tahoma"/>
          <w:noProof/>
          <w:lang w:eastAsia="en-AU"/>
        </w:rPr>
        <w:drawing>
          <wp:inline distT="0" distB="0" distL="0" distR="0">
            <wp:extent cx="5731510" cy="3780790"/>
            <wp:effectExtent l="0" t="0" r="0" b="0"/>
            <wp:docPr id="15" name="Picture 3" descr="Chart 13 0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3 06 11.jpg"/>
                    <pic:cNvPicPr/>
                  </pic:nvPicPr>
                  <pic:blipFill>
                    <a:blip r:embed="rId11" cstate="print"/>
                    <a:stretch>
                      <a:fillRect/>
                    </a:stretch>
                  </pic:blipFill>
                  <pic:spPr>
                    <a:xfrm>
                      <a:off x="0" y="0"/>
                      <a:ext cx="5731510" cy="3780790"/>
                    </a:xfrm>
                    <a:prstGeom prst="rect">
                      <a:avLst/>
                    </a:prstGeom>
                  </pic:spPr>
                </pic:pic>
              </a:graphicData>
            </a:graphic>
          </wp:inline>
        </w:drawing>
      </w:r>
      <w:r w:rsidR="00C91C8E" w:rsidRPr="00C91C8E">
        <w:rPr>
          <w:rFonts w:ascii="Tahoma" w:hAnsi="Tahoma" w:cs="Tahoma"/>
          <w:b/>
          <w:i/>
        </w:rPr>
        <w:t>Figure 3: Current production rates and Ore Reserve life for Australia’s top 10 gold producers vs. GA’s 30 years of production at current rates.</w:t>
      </w:r>
    </w:p>
    <w:p w:rsidR="00EE1FBC" w:rsidRDefault="00EE1FBC" w:rsidP="0015733C">
      <w:pPr>
        <w:spacing w:after="120" w:line="264" w:lineRule="auto"/>
        <w:jc w:val="both"/>
        <w:rPr>
          <w:rFonts w:ascii="Tahoma" w:hAnsi="Tahoma" w:cs="Tahoma"/>
        </w:rPr>
      </w:pPr>
    </w:p>
    <w:p w:rsidR="0015733C" w:rsidRPr="00B507A6" w:rsidRDefault="0015733C" w:rsidP="0015733C">
      <w:pPr>
        <w:spacing w:after="120" w:line="264" w:lineRule="auto"/>
        <w:jc w:val="both"/>
        <w:rPr>
          <w:rFonts w:ascii="Tahoma" w:hAnsi="Tahoma" w:cs="Tahoma"/>
        </w:rPr>
      </w:pPr>
      <w:r>
        <w:rPr>
          <w:rFonts w:ascii="Tahoma" w:hAnsi="Tahoma" w:cs="Tahoma"/>
        </w:rPr>
        <w:t xml:space="preserve">The </w:t>
      </w:r>
      <w:r w:rsidR="008B20E1">
        <w:rPr>
          <w:rFonts w:ascii="Tahoma" w:hAnsi="Tahoma" w:cs="Tahoma"/>
        </w:rPr>
        <w:t xml:space="preserve">commercial </w:t>
      </w:r>
      <w:r>
        <w:rPr>
          <w:rFonts w:ascii="Tahoma" w:hAnsi="Tahoma" w:cs="Tahoma"/>
        </w:rPr>
        <w:t>reality is</w:t>
      </w:r>
      <w:r w:rsidR="001447B2">
        <w:rPr>
          <w:rFonts w:ascii="Tahoma" w:hAnsi="Tahoma" w:cs="Tahoma"/>
        </w:rPr>
        <w:t xml:space="preserve"> that</w:t>
      </w:r>
      <w:r>
        <w:rPr>
          <w:rFonts w:ascii="Tahoma" w:hAnsi="Tahoma" w:cs="Tahoma"/>
        </w:rPr>
        <w:t>, with ready access to capital, any</w:t>
      </w:r>
      <w:r w:rsidR="008B20E1">
        <w:rPr>
          <w:rFonts w:ascii="Tahoma" w:hAnsi="Tahoma" w:cs="Tahoma"/>
        </w:rPr>
        <w:t xml:space="preserve"> truly</w:t>
      </w:r>
      <w:r>
        <w:rPr>
          <w:rFonts w:ascii="Tahoma" w:hAnsi="Tahoma" w:cs="Tahoma"/>
        </w:rPr>
        <w:t xml:space="preserve"> ‘economic’ resources are either in production, in development or in feasibility.  There is no market impediment to development.  So, by default the remaining resources are not economic to develop.  </w:t>
      </w:r>
    </w:p>
    <w:p w:rsidR="00847859" w:rsidRDefault="0015733C" w:rsidP="0057341D">
      <w:pPr>
        <w:spacing w:after="120" w:line="264" w:lineRule="auto"/>
        <w:jc w:val="both"/>
        <w:rPr>
          <w:rFonts w:ascii="Tahoma" w:hAnsi="Tahoma" w:cs="Tahoma"/>
          <w:b/>
        </w:rPr>
      </w:pPr>
      <w:r w:rsidRPr="00B507A6">
        <w:rPr>
          <w:rFonts w:ascii="Tahoma" w:hAnsi="Tahoma" w:cs="Tahoma"/>
        </w:rPr>
        <w:t>The only ‘economically demonstrated’ resources in Australia are those announced by companies to the ASX as Ore Reserves.</w:t>
      </w:r>
    </w:p>
    <w:p w:rsidR="008A632D" w:rsidRPr="00711712" w:rsidRDefault="008A632D" w:rsidP="0057341D">
      <w:pPr>
        <w:spacing w:after="120" w:line="264" w:lineRule="auto"/>
        <w:jc w:val="both"/>
        <w:rPr>
          <w:rFonts w:ascii="Tahoma" w:hAnsi="Tahoma" w:cs="Tahoma"/>
          <w:b/>
        </w:rPr>
      </w:pPr>
      <w:r w:rsidRPr="00711712">
        <w:rPr>
          <w:rFonts w:ascii="Tahoma" w:hAnsi="Tahoma" w:cs="Tahoma"/>
          <w:b/>
        </w:rPr>
        <w:t>Conclusions</w:t>
      </w:r>
      <w:r w:rsidR="00C91C8E">
        <w:rPr>
          <w:rFonts w:ascii="Tahoma" w:hAnsi="Tahoma" w:cs="Tahoma"/>
          <w:b/>
        </w:rPr>
        <w:t xml:space="preserve"> and Recommendations</w:t>
      </w:r>
    </w:p>
    <w:p w:rsidR="008A632D" w:rsidRDefault="008A632D" w:rsidP="0057341D">
      <w:pPr>
        <w:spacing w:after="120" w:line="264" w:lineRule="auto"/>
        <w:jc w:val="both"/>
        <w:rPr>
          <w:rFonts w:ascii="Tahoma" w:hAnsi="Tahoma" w:cs="Tahoma"/>
        </w:rPr>
      </w:pPr>
      <w:r>
        <w:rPr>
          <w:rFonts w:ascii="Tahoma" w:hAnsi="Tahoma" w:cs="Tahoma"/>
        </w:rPr>
        <w:t xml:space="preserve">The </w:t>
      </w:r>
      <w:r w:rsidR="00070F0B">
        <w:rPr>
          <w:rFonts w:ascii="Tahoma" w:hAnsi="Tahoma" w:cs="Tahoma"/>
        </w:rPr>
        <w:t>terminology</w:t>
      </w:r>
      <w:r w:rsidR="00B31CA4">
        <w:rPr>
          <w:rFonts w:ascii="Tahoma" w:hAnsi="Tahoma" w:cs="Tahoma"/>
        </w:rPr>
        <w:t xml:space="preserve"> ‘</w:t>
      </w:r>
      <w:r>
        <w:rPr>
          <w:rFonts w:ascii="Tahoma" w:hAnsi="Tahoma" w:cs="Tahoma"/>
        </w:rPr>
        <w:t>Economically Demonstrated Resources</w:t>
      </w:r>
      <w:r w:rsidR="00B31CA4">
        <w:rPr>
          <w:rFonts w:ascii="Tahoma" w:hAnsi="Tahoma" w:cs="Tahoma"/>
        </w:rPr>
        <w:t>’</w:t>
      </w:r>
      <w:r>
        <w:rPr>
          <w:rFonts w:ascii="Tahoma" w:hAnsi="Tahoma" w:cs="Tahoma"/>
        </w:rPr>
        <w:t xml:space="preserve"> </w:t>
      </w:r>
      <w:r w:rsidR="00BB73A9">
        <w:rPr>
          <w:rFonts w:ascii="Tahoma" w:hAnsi="Tahoma" w:cs="Tahoma"/>
        </w:rPr>
        <w:t xml:space="preserve">should </w:t>
      </w:r>
      <w:r>
        <w:rPr>
          <w:rFonts w:ascii="Tahoma" w:hAnsi="Tahoma" w:cs="Tahoma"/>
        </w:rPr>
        <w:t>chang</w:t>
      </w:r>
      <w:r w:rsidR="00070F0B">
        <w:rPr>
          <w:rFonts w:ascii="Tahoma" w:hAnsi="Tahoma" w:cs="Tahoma"/>
        </w:rPr>
        <w:t>e to remove any suggestion that all of</w:t>
      </w:r>
      <w:r w:rsidR="00B31CA4">
        <w:rPr>
          <w:rFonts w:ascii="Tahoma" w:hAnsi="Tahoma" w:cs="Tahoma"/>
        </w:rPr>
        <w:t xml:space="preserve"> these resources </w:t>
      </w:r>
      <w:r>
        <w:rPr>
          <w:rFonts w:ascii="Tahoma" w:hAnsi="Tahoma" w:cs="Tahoma"/>
        </w:rPr>
        <w:t>are ‘eco</w:t>
      </w:r>
      <w:r w:rsidR="00070F0B">
        <w:rPr>
          <w:rFonts w:ascii="Tahoma" w:hAnsi="Tahoma" w:cs="Tahoma"/>
        </w:rPr>
        <w:t>nomically demonstrated’. This</w:t>
      </w:r>
      <w:r>
        <w:rPr>
          <w:rFonts w:ascii="Tahoma" w:hAnsi="Tahoma" w:cs="Tahoma"/>
        </w:rPr>
        <w:t xml:space="preserve"> fundamentally </w:t>
      </w:r>
      <w:r w:rsidR="00070F0B">
        <w:rPr>
          <w:rFonts w:ascii="Tahoma" w:hAnsi="Tahoma" w:cs="Tahoma"/>
        </w:rPr>
        <w:t xml:space="preserve">is </w:t>
      </w:r>
      <w:r>
        <w:rPr>
          <w:rFonts w:ascii="Tahoma" w:hAnsi="Tahoma" w:cs="Tahoma"/>
        </w:rPr>
        <w:t>a problem with an archaic terminology originat</w:t>
      </w:r>
      <w:r w:rsidR="00C91C8E">
        <w:rPr>
          <w:rFonts w:ascii="Tahoma" w:hAnsi="Tahoma" w:cs="Tahoma"/>
        </w:rPr>
        <w:t>ing</w:t>
      </w:r>
      <w:r>
        <w:rPr>
          <w:rFonts w:ascii="Tahoma" w:hAnsi="Tahoma" w:cs="Tahoma"/>
        </w:rPr>
        <w:t xml:space="preserve"> some 40 years ago with </w:t>
      </w:r>
      <w:proofErr w:type="spellStart"/>
      <w:r>
        <w:rPr>
          <w:rFonts w:ascii="Tahoma" w:hAnsi="Tahoma" w:cs="Tahoma"/>
        </w:rPr>
        <w:t>McKelvey</w:t>
      </w:r>
      <w:proofErr w:type="spellEnd"/>
      <w:r w:rsidR="00070F0B">
        <w:rPr>
          <w:rFonts w:ascii="Tahoma" w:hAnsi="Tahoma" w:cs="Tahoma"/>
        </w:rPr>
        <w:t xml:space="preserve"> and the </w:t>
      </w:r>
      <w:proofErr w:type="spellStart"/>
      <w:r w:rsidR="00070F0B">
        <w:rPr>
          <w:rFonts w:ascii="Tahoma" w:hAnsi="Tahoma" w:cs="Tahoma"/>
        </w:rPr>
        <w:t>USGS</w:t>
      </w:r>
      <w:proofErr w:type="spellEnd"/>
      <w:r w:rsidR="00070F0B">
        <w:rPr>
          <w:rFonts w:ascii="Tahoma" w:hAnsi="Tahoma" w:cs="Tahoma"/>
        </w:rPr>
        <w:t xml:space="preserve"> and is not appropriate in the modern Australian context</w:t>
      </w:r>
      <w:r w:rsidR="008B20E1">
        <w:rPr>
          <w:rFonts w:ascii="Tahoma" w:hAnsi="Tahoma" w:cs="Tahoma"/>
        </w:rPr>
        <w:t xml:space="preserve">. </w:t>
      </w:r>
      <w:r>
        <w:rPr>
          <w:rFonts w:ascii="Tahoma" w:hAnsi="Tahoma" w:cs="Tahoma"/>
        </w:rPr>
        <w:t xml:space="preserve"> </w:t>
      </w:r>
      <w:r w:rsidR="00EE1FBC">
        <w:rPr>
          <w:rFonts w:ascii="Tahoma" w:hAnsi="Tahoma" w:cs="Tahoma"/>
        </w:rPr>
        <w:t>The EDR terminology is</w:t>
      </w:r>
      <w:r>
        <w:rPr>
          <w:rFonts w:ascii="Tahoma" w:hAnsi="Tahoma" w:cs="Tahoma"/>
        </w:rPr>
        <w:t xml:space="preserve"> </w:t>
      </w:r>
      <w:r w:rsidR="00070F0B">
        <w:rPr>
          <w:rFonts w:ascii="Tahoma" w:hAnsi="Tahoma" w:cs="Tahoma"/>
        </w:rPr>
        <w:t>demonstrably</w:t>
      </w:r>
      <w:r w:rsidR="00EE1FBC">
        <w:rPr>
          <w:rFonts w:ascii="Tahoma" w:hAnsi="Tahoma" w:cs="Tahoma"/>
        </w:rPr>
        <w:t xml:space="preserve"> </w:t>
      </w:r>
      <w:r>
        <w:rPr>
          <w:rFonts w:ascii="Tahoma" w:hAnsi="Tahoma" w:cs="Tahoma"/>
        </w:rPr>
        <w:t>misleading and is not compatible with the JORC Cod</w:t>
      </w:r>
      <w:r w:rsidR="00974D6A">
        <w:rPr>
          <w:rFonts w:ascii="Tahoma" w:hAnsi="Tahoma" w:cs="Tahoma"/>
        </w:rPr>
        <w:t>e or those Mineral Resources reported to the ASX in compliance with the Code</w:t>
      </w:r>
      <w:r>
        <w:rPr>
          <w:rFonts w:ascii="Tahoma" w:hAnsi="Tahoma" w:cs="Tahoma"/>
        </w:rPr>
        <w:t xml:space="preserve">.  It is </w:t>
      </w:r>
      <w:r w:rsidR="00D715E3">
        <w:rPr>
          <w:rFonts w:ascii="Tahoma" w:hAnsi="Tahoma" w:cs="Tahoma"/>
        </w:rPr>
        <w:t xml:space="preserve">strongly </w:t>
      </w:r>
      <w:r>
        <w:rPr>
          <w:rFonts w:ascii="Tahoma" w:hAnsi="Tahoma" w:cs="Tahoma"/>
        </w:rPr>
        <w:t xml:space="preserve">recommended </w:t>
      </w:r>
      <w:r w:rsidR="00D715E3">
        <w:rPr>
          <w:rFonts w:ascii="Tahoma" w:hAnsi="Tahoma" w:cs="Tahoma"/>
        </w:rPr>
        <w:t xml:space="preserve">that </w:t>
      </w:r>
      <w:r w:rsidR="00070F0B">
        <w:rPr>
          <w:rFonts w:ascii="Tahoma" w:hAnsi="Tahoma" w:cs="Tahoma"/>
        </w:rPr>
        <w:t>GA’s compiled minerals inventory</w:t>
      </w:r>
      <w:r w:rsidR="00D715E3">
        <w:rPr>
          <w:rFonts w:ascii="Tahoma" w:hAnsi="Tahoma" w:cs="Tahoma"/>
        </w:rPr>
        <w:t xml:space="preserve"> be renamed as</w:t>
      </w:r>
      <w:r>
        <w:rPr>
          <w:rFonts w:ascii="Tahoma" w:hAnsi="Tahoma" w:cs="Tahoma"/>
        </w:rPr>
        <w:t xml:space="preserve"> Australia</w:t>
      </w:r>
      <w:r w:rsidR="00070F0B">
        <w:rPr>
          <w:rFonts w:ascii="Tahoma" w:hAnsi="Tahoma" w:cs="Tahoma"/>
        </w:rPr>
        <w:t>’s Identified Mineral Resources (IMRs)</w:t>
      </w:r>
      <w:r w:rsidR="00D715E3">
        <w:rPr>
          <w:rFonts w:ascii="Tahoma" w:hAnsi="Tahoma" w:cs="Tahoma"/>
        </w:rPr>
        <w:t>.</w:t>
      </w:r>
    </w:p>
    <w:p w:rsidR="00711712" w:rsidRDefault="00B31CA4" w:rsidP="0057341D">
      <w:pPr>
        <w:spacing w:after="120" w:line="264" w:lineRule="auto"/>
        <w:jc w:val="both"/>
        <w:rPr>
          <w:rFonts w:ascii="Tahoma" w:hAnsi="Tahoma" w:cs="Tahoma"/>
        </w:rPr>
      </w:pPr>
      <w:r>
        <w:rPr>
          <w:rFonts w:ascii="Tahoma" w:hAnsi="Tahoma" w:cs="Tahoma"/>
        </w:rPr>
        <w:t xml:space="preserve">It is </w:t>
      </w:r>
      <w:r w:rsidR="004B49BA">
        <w:rPr>
          <w:rFonts w:ascii="Tahoma" w:hAnsi="Tahoma" w:cs="Tahoma"/>
        </w:rPr>
        <w:t>further</w:t>
      </w:r>
      <w:r>
        <w:rPr>
          <w:rFonts w:ascii="Tahoma" w:hAnsi="Tahoma" w:cs="Tahoma"/>
        </w:rPr>
        <w:t xml:space="preserve"> recommended that </w:t>
      </w:r>
      <w:r w:rsidR="00070F0B">
        <w:rPr>
          <w:rFonts w:ascii="Tahoma" w:hAnsi="Tahoma" w:cs="Tahoma"/>
        </w:rPr>
        <w:t>Geoscience Australia</w:t>
      </w:r>
      <w:r>
        <w:rPr>
          <w:rFonts w:ascii="Tahoma" w:hAnsi="Tahoma" w:cs="Tahoma"/>
        </w:rPr>
        <w:t xml:space="preserve"> review the </w:t>
      </w:r>
      <w:r w:rsidR="00070F0B">
        <w:rPr>
          <w:rFonts w:ascii="Tahoma" w:hAnsi="Tahoma" w:cs="Tahoma"/>
        </w:rPr>
        <w:t>public statements to the effect that</w:t>
      </w:r>
      <w:r>
        <w:rPr>
          <w:rFonts w:ascii="Tahoma" w:hAnsi="Tahoma" w:cs="Tahoma"/>
        </w:rPr>
        <w:t xml:space="preserve"> </w:t>
      </w:r>
      <w:r w:rsidR="000D0624">
        <w:rPr>
          <w:rFonts w:ascii="Tahoma" w:hAnsi="Tahoma" w:cs="Tahoma"/>
        </w:rPr>
        <w:t>“most of Australia’s EDRs will be mined”</w:t>
      </w:r>
      <w:r>
        <w:rPr>
          <w:rFonts w:ascii="Tahoma" w:hAnsi="Tahoma" w:cs="Tahoma"/>
        </w:rPr>
        <w:t xml:space="preserve"> – this statement</w:t>
      </w:r>
      <w:r w:rsidR="000D0624">
        <w:rPr>
          <w:rFonts w:ascii="Tahoma" w:hAnsi="Tahoma" w:cs="Tahoma"/>
        </w:rPr>
        <w:t xml:space="preserve"> is</w:t>
      </w:r>
      <w:r w:rsidR="00711712">
        <w:rPr>
          <w:rFonts w:ascii="Tahoma" w:hAnsi="Tahoma" w:cs="Tahoma"/>
        </w:rPr>
        <w:t xml:space="preserve"> not </w:t>
      </w:r>
      <w:r w:rsidR="00974D6A">
        <w:rPr>
          <w:rFonts w:ascii="Tahoma" w:hAnsi="Tahoma" w:cs="Tahoma"/>
        </w:rPr>
        <w:t>supported by</w:t>
      </w:r>
      <w:r w:rsidR="00711712">
        <w:rPr>
          <w:rFonts w:ascii="Tahoma" w:hAnsi="Tahoma" w:cs="Tahoma"/>
        </w:rPr>
        <w:t xml:space="preserve"> science or economic</w:t>
      </w:r>
      <w:r w:rsidR="00974D6A">
        <w:rPr>
          <w:rFonts w:ascii="Tahoma" w:hAnsi="Tahoma" w:cs="Tahoma"/>
        </w:rPr>
        <w:t xml:space="preserve"> studies</w:t>
      </w:r>
      <w:r w:rsidR="00070F0B">
        <w:rPr>
          <w:rFonts w:ascii="Tahoma" w:hAnsi="Tahoma" w:cs="Tahoma"/>
        </w:rPr>
        <w:t>.</w:t>
      </w:r>
    </w:p>
    <w:p w:rsidR="00706BB9" w:rsidRDefault="00C22749" w:rsidP="0057341D">
      <w:pPr>
        <w:spacing w:after="120" w:line="264" w:lineRule="auto"/>
        <w:jc w:val="both"/>
        <w:rPr>
          <w:rFonts w:ascii="Tahoma" w:hAnsi="Tahoma" w:cs="Tahoma"/>
        </w:rPr>
      </w:pPr>
      <w:r>
        <w:rPr>
          <w:rFonts w:ascii="Tahoma" w:hAnsi="Tahoma" w:cs="Tahoma"/>
        </w:rPr>
        <w:t xml:space="preserve">It is essential that </w:t>
      </w:r>
      <w:r w:rsidR="00706BB9">
        <w:rPr>
          <w:rFonts w:ascii="Tahoma" w:hAnsi="Tahoma" w:cs="Tahoma"/>
        </w:rPr>
        <w:t xml:space="preserve">the Government is properly informed </w:t>
      </w:r>
      <w:r>
        <w:rPr>
          <w:rFonts w:ascii="Tahoma" w:hAnsi="Tahoma" w:cs="Tahoma"/>
        </w:rPr>
        <w:t xml:space="preserve">of </w:t>
      </w:r>
      <w:r w:rsidR="00706BB9">
        <w:rPr>
          <w:rFonts w:ascii="Tahoma" w:hAnsi="Tahoma" w:cs="Tahoma"/>
        </w:rPr>
        <w:t xml:space="preserve">the </w:t>
      </w:r>
      <w:r>
        <w:rPr>
          <w:rFonts w:ascii="Tahoma" w:hAnsi="Tahoma" w:cs="Tahoma"/>
        </w:rPr>
        <w:t xml:space="preserve">actual status </w:t>
      </w:r>
      <w:r w:rsidR="00706BB9">
        <w:rPr>
          <w:rFonts w:ascii="Tahoma" w:hAnsi="Tahoma" w:cs="Tahoma"/>
        </w:rPr>
        <w:t xml:space="preserve">of the metals mining industry </w:t>
      </w:r>
      <w:r w:rsidR="00070F0B">
        <w:rPr>
          <w:rFonts w:ascii="Tahoma" w:hAnsi="Tahoma" w:cs="Tahoma"/>
        </w:rPr>
        <w:t>in order to</w:t>
      </w:r>
      <w:r w:rsidR="00706BB9">
        <w:rPr>
          <w:rFonts w:ascii="Tahoma" w:hAnsi="Tahoma" w:cs="Tahoma"/>
        </w:rPr>
        <w:t xml:space="preserve"> implement appropriate policy responses</w:t>
      </w:r>
      <w:r w:rsidR="00EE1FBC">
        <w:rPr>
          <w:rFonts w:ascii="Tahoma" w:hAnsi="Tahoma" w:cs="Tahoma"/>
        </w:rPr>
        <w:t>, without which,</w:t>
      </w:r>
      <w:r w:rsidR="00711712">
        <w:rPr>
          <w:rFonts w:ascii="Tahoma" w:hAnsi="Tahoma" w:cs="Tahoma"/>
        </w:rPr>
        <w:t xml:space="preserve"> a decline in metals production is</w:t>
      </w:r>
      <w:r>
        <w:rPr>
          <w:rFonts w:ascii="Tahoma" w:hAnsi="Tahoma" w:cs="Tahoma"/>
        </w:rPr>
        <w:t xml:space="preserve"> </w:t>
      </w:r>
      <w:r w:rsidR="00711712">
        <w:rPr>
          <w:rFonts w:ascii="Tahoma" w:hAnsi="Tahoma" w:cs="Tahoma"/>
        </w:rPr>
        <w:t xml:space="preserve">inevitable. </w:t>
      </w:r>
      <w:r w:rsidR="008A0EFE">
        <w:rPr>
          <w:rFonts w:ascii="Tahoma" w:hAnsi="Tahoma" w:cs="Tahoma"/>
        </w:rPr>
        <w:t xml:space="preserve">This decline </w:t>
      </w:r>
      <w:r w:rsidR="00706BB9">
        <w:rPr>
          <w:rFonts w:ascii="Tahoma" w:hAnsi="Tahoma" w:cs="Tahoma"/>
        </w:rPr>
        <w:t xml:space="preserve">in metals production </w:t>
      </w:r>
      <w:r w:rsidR="008A0EFE">
        <w:rPr>
          <w:rFonts w:ascii="Tahoma" w:hAnsi="Tahoma" w:cs="Tahoma"/>
        </w:rPr>
        <w:t>will have national implicati</w:t>
      </w:r>
      <w:r w:rsidR="008A632D">
        <w:rPr>
          <w:rFonts w:ascii="Tahoma" w:hAnsi="Tahoma" w:cs="Tahoma"/>
        </w:rPr>
        <w:t xml:space="preserve">ons </w:t>
      </w:r>
      <w:r w:rsidR="00F37DB4">
        <w:rPr>
          <w:rFonts w:ascii="Tahoma" w:hAnsi="Tahoma" w:cs="Tahoma"/>
        </w:rPr>
        <w:t>for</w:t>
      </w:r>
      <w:r w:rsidR="008A632D">
        <w:rPr>
          <w:rFonts w:ascii="Tahoma" w:hAnsi="Tahoma" w:cs="Tahoma"/>
        </w:rPr>
        <w:t xml:space="preserve"> export earnings,</w:t>
      </w:r>
      <w:r w:rsidR="008A0EFE">
        <w:rPr>
          <w:rFonts w:ascii="Tahoma" w:hAnsi="Tahoma" w:cs="Tahoma"/>
        </w:rPr>
        <w:t xml:space="preserve"> terms of trade</w:t>
      </w:r>
      <w:r w:rsidR="008A632D">
        <w:rPr>
          <w:rFonts w:ascii="Tahoma" w:hAnsi="Tahoma" w:cs="Tahoma"/>
        </w:rPr>
        <w:t xml:space="preserve"> and quality of life </w:t>
      </w:r>
      <w:r>
        <w:rPr>
          <w:rFonts w:ascii="Tahoma" w:hAnsi="Tahoma" w:cs="Tahoma"/>
        </w:rPr>
        <w:t xml:space="preserve">in </w:t>
      </w:r>
      <w:r w:rsidR="008A632D">
        <w:rPr>
          <w:rFonts w:ascii="Tahoma" w:hAnsi="Tahoma" w:cs="Tahoma"/>
        </w:rPr>
        <w:t xml:space="preserve">Australia.  </w:t>
      </w:r>
    </w:p>
    <w:p w:rsidR="001F612E" w:rsidRDefault="001F612E" w:rsidP="00CB019B">
      <w:pPr>
        <w:spacing w:after="120" w:line="264" w:lineRule="auto"/>
        <w:jc w:val="both"/>
        <w:rPr>
          <w:rFonts w:ascii="Tahoma" w:hAnsi="Tahoma" w:cs="Tahoma"/>
          <w:b/>
        </w:rPr>
      </w:pPr>
    </w:p>
    <w:p w:rsidR="00836401" w:rsidRDefault="00836401" w:rsidP="00CB019B">
      <w:pPr>
        <w:spacing w:after="120" w:line="264" w:lineRule="auto"/>
        <w:jc w:val="both"/>
        <w:rPr>
          <w:rFonts w:ascii="Tahoma" w:hAnsi="Tahoma" w:cs="Tahoma"/>
          <w:b/>
        </w:rPr>
      </w:pPr>
    </w:p>
    <w:p w:rsidR="00836401" w:rsidRDefault="00836401" w:rsidP="00CB019B">
      <w:pPr>
        <w:spacing w:after="120" w:line="264" w:lineRule="auto"/>
        <w:jc w:val="both"/>
        <w:rPr>
          <w:rFonts w:ascii="Tahoma" w:hAnsi="Tahoma" w:cs="Tahoma"/>
          <w:b/>
        </w:rPr>
      </w:pPr>
    </w:p>
    <w:p w:rsidR="00CB019B" w:rsidRDefault="00CB019B" w:rsidP="00CB019B">
      <w:pPr>
        <w:spacing w:after="120" w:line="264" w:lineRule="auto"/>
        <w:jc w:val="both"/>
        <w:rPr>
          <w:rFonts w:ascii="Tahoma" w:hAnsi="Tahoma" w:cs="Tahoma"/>
          <w:b/>
        </w:rPr>
      </w:pPr>
      <w:r>
        <w:rPr>
          <w:rFonts w:ascii="Tahoma" w:hAnsi="Tahoma" w:cs="Tahoma"/>
          <w:b/>
        </w:rPr>
        <w:t>Reference</w:t>
      </w:r>
      <w:r w:rsidR="00C91C8E">
        <w:rPr>
          <w:rFonts w:ascii="Tahoma" w:hAnsi="Tahoma" w:cs="Tahoma"/>
          <w:b/>
        </w:rPr>
        <w:t>s</w:t>
      </w:r>
    </w:p>
    <w:p w:rsidR="00F40EA7" w:rsidRDefault="00F40EA7" w:rsidP="0000679F">
      <w:pPr>
        <w:autoSpaceDE w:val="0"/>
        <w:autoSpaceDN w:val="0"/>
        <w:adjustRightInd w:val="0"/>
        <w:spacing w:after="0" w:line="240" w:lineRule="auto"/>
        <w:rPr>
          <w:rFonts w:ascii="Tahoma" w:hAnsi="Tahoma" w:cs="Tahoma"/>
        </w:rPr>
      </w:pPr>
      <w:r>
        <w:rPr>
          <w:rFonts w:ascii="Tahoma" w:hAnsi="Tahoma" w:cs="Tahoma"/>
        </w:rPr>
        <w:t>Chris Cairns</w:t>
      </w:r>
      <w:r w:rsidR="004A1402">
        <w:rPr>
          <w:rFonts w:ascii="Tahoma" w:hAnsi="Tahoma" w:cs="Tahoma"/>
        </w:rPr>
        <w:t>, Jon</w:t>
      </w:r>
      <w:r>
        <w:rPr>
          <w:rFonts w:ascii="Tahoma" w:hAnsi="Tahoma" w:cs="Tahoma"/>
        </w:rPr>
        <w:t xml:space="preserve"> Hronsky, and Richard Schodde, 2010. </w:t>
      </w:r>
      <w:r w:rsidRPr="003600BA">
        <w:rPr>
          <w:rFonts w:ascii="Tahoma" w:hAnsi="Tahoma" w:cs="Tahoma"/>
          <w:u w:val="single"/>
        </w:rPr>
        <w:t>Market Failure in the Australian Mineral Exploration Industry: The Case for Fiscal Incentives.</w:t>
      </w:r>
    </w:p>
    <w:p w:rsidR="00F40EA7" w:rsidRDefault="00F40EA7" w:rsidP="0000679F">
      <w:pPr>
        <w:autoSpaceDE w:val="0"/>
        <w:autoSpaceDN w:val="0"/>
        <w:adjustRightInd w:val="0"/>
        <w:spacing w:after="0" w:line="240" w:lineRule="auto"/>
        <w:rPr>
          <w:rFonts w:ascii="Tahoma" w:hAnsi="Tahoma" w:cs="Tahoma"/>
        </w:rPr>
      </w:pPr>
      <w:r>
        <w:rPr>
          <w:rFonts w:ascii="Tahoma" w:hAnsi="Tahoma" w:cs="Tahoma"/>
        </w:rPr>
        <w:t xml:space="preserve"> </w:t>
      </w:r>
    </w:p>
    <w:p w:rsidR="00CB019B" w:rsidRPr="0000679F" w:rsidRDefault="00CF4247" w:rsidP="00CB019B">
      <w:pPr>
        <w:spacing w:after="120" w:line="264" w:lineRule="auto"/>
        <w:jc w:val="both"/>
        <w:rPr>
          <w:rFonts w:ascii="Tahoma" w:hAnsi="Tahoma" w:cs="Tahoma"/>
        </w:rPr>
      </w:pPr>
      <w:r w:rsidRPr="0000679F">
        <w:rPr>
          <w:rFonts w:ascii="Tahoma" w:hAnsi="Tahoma" w:cs="Tahoma"/>
        </w:rPr>
        <w:t xml:space="preserve">Geoscience Australia, 2010. </w:t>
      </w:r>
      <w:r w:rsidRPr="003600BA">
        <w:rPr>
          <w:rFonts w:ascii="Tahoma" w:hAnsi="Tahoma" w:cs="Tahoma"/>
          <w:u w:val="single"/>
        </w:rPr>
        <w:t>Australia’s Identified Mineral Resources 2010</w:t>
      </w:r>
      <w:r w:rsidRPr="0000679F">
        <w:rPr>
          <w:rFonts w:ascii="Tahoma" w:hAnsi="Tahoma" w:cs="Tahoma"/>
        </w:rPr>
        <w:t>. Geoscience Australia, Canberra.</w:t>
      </w:r>
    </w:p>
    <w:p w:rsidR="00960731" w:rsidRPr="00960731" w:rsidRDefault="00CF4247" w:rsidP="0057341D">
      <w:pPr>
        <w:spacing w:after="120" w:line="264" w:lineRule="auto"/>
        <w:jc w:val="both"/>
        <w:rPr>
          <w:rFonts w:ascii="Tahoma" w:hAnsi="Tahoma" w:cs="Tahoma"/>
        </w:rPr>
      </w:pPr>
      <w:r w:rsidRPr="0000679F">
        <w:rPr>
          <w:rFonts w:ascii="Tahoma" w:hAnsi="Tahoma" w:cs="Tahoma"/>
        </w:rPr>
        <w:t xml:space="preserve">Stewart Udall, Charles Conconi, David Osterhout, </w:t>
      </w:r>
      <w:r w:rsidRPr="003600BA">
        <w:rPr>
          <w:rFonts w:ascii="Tahoma" w:hAnsi="Tahoma" w:cs="Tahoma"/>
          <w:u w:val="single"/>
        </w:rPr>
        <w:t>The Energy Balloon</w:t>
      </w:r>
      <w:r w:rsidRPr="0000679F">
        <w:rPr>
          <w:rFonts w:ascii="Tahoma" w:hAnsi="Tahoma" w:cs="Tahoma"/>
        </w:rPr>
        <w:t>, 1974, McGraw Hill Book Co.</w:t>
      </w:r>
    </w:p>
    <w:sectPr w:rsidR="00960731" w:rsidRPr="00960731" w:rsidSect="00E5184B">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24A" w:rsidRDefault="008C524A" w:rsidP="00582FC1">
      <w:pPr>
        <w:spacing w:after="0" w:line="240" w:lineRule="auto"/>
      </w:pPr>
      <w:r>
        <w:separator/>
      </w:r>
    </w:p>
  </w:endnote>
  <w:endnote w:type="continuationSeparator" w:id="0">
    <w:p w:rsidR="008C524A" w:rsidRDefault="008C524A" w:rsidP="00582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76486"/>
      <w:docPartObj>
        <w:docPartGallery w:val="Page Numbers (Bottom of Page)"/>
        <w:docPartUnique/>
      </w:docPartObj>
    </w:sdtPr>
    <w:sdtEndPr>
      <w:rPr>
        <w:color w:val="7F7F7F" w:themeColor="background1" w:themeShade="7F"/>
        <w:spacing w:val="60"/>
      </w:rPr>
    </w:sdtEndPr>
    <w:sdtContent>
      <w:p w:rsidR="00836401" w:rsidRDefault="005425B2">
        <w:pPr>
          <w:pStyle w:val="Footer"/>
          <w:pBdr>
            <w:top w:val="single" w:sz="4" w:space="1" w:color="D9D9D9" w:themeColor="background1" w:themeShade="D9"/>
          </w:pBdr>
          <w:rPr>
            <w:b/>
          </w:rPr>
        </w:pPr>
        <w:r>
          <w:fldChar w:fldCharType="begin"/>
        </w:r>
        <w:r w:rsidR="00836401">
          <w:instrText xml:space="preserve"> PAGE   \* MERGEFORMAT </w:instrText>
        </w:r>
        <w:r>
          <w:fldChar w:fldCharType="separate"/>
        </w:r>
        <w:r w:rsidR="004155E1" w:rsidRPr="004155E1">
          <w:rPr>
            <w:b/>
            <w:noProof/>
          </w:rPr>
          <w:t>2</w:t>
        </w:r>
        <w:r>
          <w:fldChar w:fldCharType="end"/>
        </w:r>
        <w:r w:rsidR="00836401">
          <w:rPr>
            <w:b/>
          </w:rPr>
          <w:t xml:space="preserve"> | </w:t>
        </w:r>
        <w:r w:rsidR="00836401">
          <w:rPr>
            <w:color w:val="7F7F7F" w:themeColor="background1" w:themeShade="7F"/>
            <w:spacing w:val="60"/>
          </w:rPr>
          <w:t>Page</w:t>
        </w:r>
      </w:p>
    </w:sdtContent>
  </w:sdt>
  <w:p w:rsidR="003600BA" w:rsidRDefault="00360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24A" w:rsidRDefault="008C524A" w:rsidP="00582FC1">
      <w:pPr>
        <w:spacing w:after="0" w:line="240" w:lineRule="auto"/>
      </w:pPr>
      <w:r>
        <w:separator/>
      </w:r>
    </w:p>
  </w:footnote>
  <w:footnote w:type="continuationSeparator" w:id="0">
    <w:p w:rsidR="008C524A" w:rsidRDefault="008C524A" w:rsidP="00582FC1">
      <w:pPr>
        <w:spacing w:after="0" w:line="240" w:lineRule="auto"/>
      </w:pPr>
      <w:r>
        <w:continuationSeparator/>
      </w:r>
    </w:p>
  </w:footnote>
  <w:footnote w:id="1">
    <w:p w:rsidR="00D715E3" w:rsidRDefault="003600BA">
      <w:pPr>
        <w:pStyle w:val="FootnoteText"/>
      </w:pPr>
      <w:r>
        <w:rPr>
          <w:rStyle w:val="FootnoteReference"/>
        </w:rPr>
        <w:footnoteRef/>
      </w:r>
      <w:r w:rsidR="00D715E3">
        <w:t xml:space="preserve"> Director Northern Platinum Pty Ltd</w:t>
      </w:r>
    </w:p>
    <w:p w:rsidR="001F612E" w:rsidRDefault="00D715E3">
      <w:pPr>
        <w:pStyle w:val="FootnoteText"/>
      </w:pPr>
      <w:r>
        <w:t xml:space="preserve"> </w:t>
      </w:r>
      <w:r w:rsidR="001F612E">
        <w:t xml:space="preserve"> Member AIG</w:t>
      </w:r>
    </w:p>
    <w:p w:rsidR="001F612E" w:rsidRDefault="001F612E">
      <w:pPr>
        <w:pStyle w:val="FootnoteText"/>
      </w:pPr>
      <w:r>
        <w:t xml:space="preserve">  Committee Member, WA AIG</w:t>
      </w:r>
    </w:p>
    <w:p w:rsidR="001F612E" w:rsidRDefault="001F612E">
      <w:pPr>
        <w:pStyle w:val="FootnoteText"/>
      </w:pPr>
      <w:r>
        <w:t xml:space="preserve">  JORC Committee Member</w:t>
      </w:r>
    </w:p>
    <w:p w:rsidR="001F612E" w:rsidRDefault="001F612E">
      <w:pPr>
        <w:pStyle w:val="FootnoteText"/>
      </w:pPr>
      <w:r>
        <w:t xml:space="preserve">  Director, Australian Prospectors and Miners Hall of Fame</w:t>
      </w:r>
    </w:p>
    <w:p w:rsidR="001F612E" w:rsidRDefault="001F612E">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0BA" w:rsidRDefault="001F612E" w:rsidP="00D715E3">
    <w:pPr>
      <w:pStyle w:val="Header"/>
      <w:tabs>
        <w:tab w:val="clear" w:pos="4513"/>
        <w:tab w:val="center" w:pos="2552"/>
        <w:tab w:val="left" w:pos="4962"/>
      </w:tabs>
      <w:jc w:val="center"/>
    </w:pPr>
    <w:r>
      <w:rPr>
        <w:b/>
        <w:noProof/>
        <w:sz w:val="36"/>
        <w:szCs w:val="36"/>
        <w:lang w:eastAsia="en-AU"/>
      </w:rPr>
      <w:drawing>
        <wp:inline distT="0" distB="0" distL="0" distR="0" wp14:anchorId="1F7AA1D8" wp14:editId="3E9F8E0C">
          <wp:extent cx="1775460" cy="2514600"/>
          <wp:effectExtent l="19050" t="0" r="0" b="0"/>
          <wp:docPr id="4" name="Picture 4" descr="AIG Logo PMS173 6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G Logo PMS173 600 dpi"/>
                  <pic:cNvPicPr>
                    <a:picLocks noChangeAspect="1" noChangeArrowheads="1"/>
                  </pic:cNvPicPr>
                </pic:nvPicPr>
                <pic:blipFill>
                  <a:blip r:embed="rId1"/>
                  <a:srcRect/>
                  <a:stretch>
                    <a:fillRect/>
                  </a:stretch>
                </pic:blipFill>
                <pic:spPr bwMode="auto">
                  <a:xfrm>
                    <a:off x="0" y="0"/>
                    <a:ext cx="1775460" cy="25146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F2"/>
    <w:rsid w:val="0000679F"/>
    <w:rsid w:val="0001308E"/>
    <w:rsid w:val="000133D5"/>
    <w:rsid w:val="00032B68"/>
    <w:rsid w:val="00033A41"/>
    <w:rsid w:val="00062BAB"/>
    <w:rsid w:val="00064B6F"/>
    <w:rsid w:val="000673DF"/>
    <w:rsid w:val="00070142"/>
    <w:rsid w:val="00070B79"/>
    <w:rsid w:val="00070F0B"/>
    <w:rsid w:val="00090AE9"/>
    <w:rsid w:val="000A228A"/>
    <w:rsid w:val="000C1C81"/>
    <w:rsid w:val="000C3CE3"/>
    <w:rsid w:val="000D0624"/>
    <w:rsid w:val="000D623B"/>
    <w:rsid w:val="000D64A4"/>
    <w:rsid w:val="001032D8"/>
    <w:rsid w:val="00110991"/>
    <w:rsid w:val="001447B2"/>
    <w:rsid w:val="0015733C"/>
    <w:rsid w:val="00161022"/>
    <w:rsid w:val="00166802"/>
    <w:rsid w:val="00171384"/>
    <w:rsid w:val="001733B1"/>
    <w:rsid w:val="00192664"/>
    <w:rsid w:val="001B0BB4"/>
    <w:rsid w:val="001C06B5"/>
    <w:rsid w:val="001C46CF"/>
    <w:rsid w:val="001C4F8B"/>
    <w:rsid w:val="001F399C"/>
    <w:rsid w:val="001F612E"/>
    <w:rsid w:val="00202D2D"/>
    <w:rsid w:val="002143F0"/>
    <w:rsid w:val="00217A67"/>
    <w:rsid w:val="00220367"/>
    <w:rsid w:val="00220DF7"/>
    <w:rsid w:val="00245A3B"/>
    <w:rsid w:val="0028414C"/>
    <w:rsid w:val="002B1629"/>
    <w:rsid w:val="002B4DA4"/>
    <w:rsid w:val="002E052C"/>
    <w:rsid w:val="002E15F0"/>
    <w:rsid w:val="002F4E06"/>
    <w:rsid w:val="00314E29"/>
    <w:rsid w:val="00317C65"/>
    <w:rsid w:val="00320CDC"/>
    <w:rsid w:val="003265F2"/>
    <w:rsid w:val="003519AA"/>
    <w:rsid w:val="003600BA"/>
    <w:rsid w:val="00360515"/>
    <w:rsid w:val="00372E91"/>
    <w:rsid w:val="003C5748"/>
    <w:rsid w:val="003C626B"/>
    <w:rsid w:val="00407CEF"/>
    <w:rsid w:val="0041175C"/>
    <w:rsid w:val="004155E1"/>
    <w:rsid w:val="00415E57"/>
    <w:rsid w:val="004247E7"/>
    <w:rsid w:val="00424802"/>
    <w:rsid w:val="00433EC4"/>
    <w:rsid w:val="00453F29"/>
    <w:rsid w:val="0045446C"/>
    <w:rsid w:val="00465F8E"/>
    <w:rsid w:val="00466B28"/>
    <w:rsid w:val="0048183C"/>
    <w:rsid w:val="004971CD"/>
    <w:rsid w:val="004A1402"/>
    <w:rsid w:val="004B2EBF"/>
    <w:rsid w:val="004B49BA"/>
    <w:rsid w:val="004D6888"/>
    <w:rsid w:val="004F7B75"/>
    <w:rsid w:val="005048DA"/>
    <w:rsid w:val="005221E6"/>
    <w:rsid w:val="005224FC"/>
    <w:rsid w:val="005425B2"/>
    <w:rsid w:val="0057341D"/>
    <w:rsid w:val="00582FC1"/>
    <w:rsid w:val="005B375B"/>
    <w:rsid w:val="005D74FB"/>
    <w:rsid w:val="005F115B"/>
    <w:rsid w:val="005F76AB"/>
    <w:rsid w:val="006335B8"/>
    <w:rsid w:val="00644B3F"/>
    <w:rsid w:val="006918E3"/>
    <w:rsid w:val="00694F6D"/>
    <w:rsid w:val="006F13E3"/>
    <w:rsid w:val="006F7756"/>
    <w:rsid w:val="00706BB9"/>
    <w:rsid w:val="00711712"/>
    <w:rsid w:val="00723E0D"/>
    <w:rsid w:val="007714FE"/>
    <w:rsid w:val="007A122A"/>
    <w:rsid w:val="007F7279"/>
    <w:rsid w:val="00836401"/>
    <w:rsid w:val="00847859"/>
    <w:rsid w:val="00851088"/>
    <w:rsid w:val="00887AC4"/>
    <w:rsid w:val="008A0EFE"/>
    <w:rsid w:val="008A632D"/>
    <w:rsid w:val="008B20E1"/>
    <w:rsid w:val="008C4394"/>
    <w:rsid w:val="008C524A"/>
    <w:rsid w:val="00902C5D"/>
    <w:rsid w:val="009066B2"/>
    <w:rsid w:val="00950FB8"/>
    <w:rsid w:val="00960731"/>
    <w:rsid w:val="00974D6A"/>
    <w:rsid w:val="00990184"/>
    <w:rsid w:val="009B2B01"/>
    <w:rsid w:val="009E7119"/>
    <w:rsid w:val="00A25A75"/>
    <w:rsid w:val="00A4173A"/>
    <w:rsid w:val="00A60B26"/>
    <w:rsid w:val="00A73029"/>
    <w:rsid w:val="00A86032"/>
    <w:rsid w:val="00A8640C"/>
    <w:rsid w:val="00AA14DE"/>
    <w:rsid w:val="00AA356D"/>
    <w:rsid w:val="00AB1784"/>
    <w:rsid w:val="00AB6479"/>
    <w:rsid w:val="00AC7B5F"/>
    <w:rsid w:val="00AF28B1"/>
    <w:rsid w:val="00AF3A32"/>
    <w:rsid w:val="00B04661"/>
    <w:rsid w:val="00B06AE9"/>
    <w:rsid w:val="00B20F74"/>
    <w:rsid w:val="00B31CA4"/>
    <w:rsid w:val="00B33E74"/>
    <w:rsid w:val="00B37C82"/>
    <w:rsid w:val="00B4126E"/>
    <w:rsid w:val="00B4335C"/>
    <w:rsid w:val="00B46F4F"/>
    <w:rsid w:val="00B507A6"/>
    <w:rsid w:val="00B52734"/>
    <w:rsid w:val="00B52946"/>
    <w:rsid w:val="00B57C63"/>
    <w:rsid w:val="00B6244B"/>
    <w:rsid w:val="00BB1E5B"/>
    <w:rsid w:val="00BB59CE"/>
    <w:rsid w:val="00BB73A9"/>
    <w:rsid w:val="00BC15B6"/>
    <w:rsid w:val="00C05481"/>
    <w:rsid w:val="00C128DA"/>
    <w:rsid w:val="00C14657"/>
    <w:rsid w:val="00C22749"/>
    <w:rsid w:val="00C471E5"/>
    <w:rsid w:val="00C809B5"/>
    <w:rsid w:val="00C9149D"/>
    <w:rsid w:val="00C91C8E"/>
    <w:rsid w:val="00C92B37"/>
    <w:rsid w:val="00CB019B"/>
    <w:rsid w:val="00CE3FDF"/>
    <w:rsid w:val="00CF2773"/>
    <w:rsid w:val="00CF4247"/>
    <w:rsid w:val="00D5752B"/>
    <w:rsid w:val="00D715E3"/>
    <w:rsid w:val="00D8738B"/>
    <w:rsid w:val="00DA3619"/>
    <w:rsid w:val="00DE0E62"/>
    <w:rsid w:val="00DF20E8"/>
    <w:rsid w:val="00DF5753"/>
    <w:rsid w:val="00DF6E5B"/>
    <w:rsid w:val="00E05930"/>
    <w:rsid w:val="00E2432E"/>
    <w:rsid w:val="00E5066E"/>
    <w:rsid w:val="00E5184B"/>
    <w:rsid w:val="00E67D5B"/>
    <w:rsid w:val="00E73EA0"/>
    <w:rsid w:val="00E87322"/>
    <w:rsid w:val="00EA309B"/>
    <w:rsid w:val="00EE1FBC"/>
    <w:rsid w:val="00EF28A8"/>
    <w:rsid w:val="00F262F4"/>
    <w:rsid w:val="00F37316"/>
    <w:rsid w:val="00F37DB4"/>
    <w:rsid w:val="00F40EA7"/>
    <w:rsid w:val="00F73FD5"/>
    <w:rsid w:val="00F80A03"/>
    <w:rsid w:val="00F9041C"/>
    <w:rsid w:val="00FB3F0A"/>
    <w:rsid w:val="00FD2DE2"/>
    <w:rsid w:val="00FE7D50"/>
    <w:rsid w:val="00FF7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FDF"/>
    <w:rPr>
      <w:rFonts w:ascii="Tahoma" w:hAnsi="Tahoma" w:cs="Tahoma"/>
      <w:sz w:val="16"/>
      <w:szCs w:val="16"/>
    </w:rPr>
  </w:style>
  <w:style w:type="paragraph" w:styleId="Header">
    <w:name w:val="header"/>
    <w:basedOn w:val="Normal"/>
    <w:link w:val="HeaderChar"/>
    <w:uiPriority w:val="99"/>
    <w:unhideWhenUsed/>
    <w:rsid w:val="00582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FC1"/>
  </w:style>
  <w:style w:type="paragraph" w:styleId="Footer">
    <w:name w:val="footer"/>
    <w:basedOn w:val="Normal"/>
    <w:link w:val="FooterChar"/>
    <w:uiPriority w:val="99"/>
    <w:unhideWhenUsed/>
    <w:rsid w:val="00582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FC1"/>
  </w:style>
  <w:style w:type="paragraph" w:styleId="NormalWeb">
    <w:name w:val="Normal (Web)"/>
    <w:basedOn w:val="Normal"/>
    <w:uiPriority w:val="99"/>
    <w:semiHidden/>
    <w:unhideWhenUsed/>
    <w:rsid w:val="00582FC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5F115B"/>
    <w:rPr>
      <w:sz w:val="16"/>
      <w:szCs w:val="16"/>
    </w:rPr>
  </w:style>
  <w:style w:type="paragraph" w:styleId="CommentText">
    <w:name w:val="annotation text"/>
    <w:basedOn w:val="Normal"/>
    <w:link w:val="CommentTextChar"/>
    <w:uiPriority w:val="99"/>
    <w:semiHidden/>
    <w:unhideWhenUsed/>
    <w:rsid w:val="005F115B"/>
    <w:pPr>
      <w:spacing w:line="240" w:lineRule="auto"/>
    </w:pPr>
    <w:rPr>
      <w:sz w:val="20"/>
      <w:szCs w:val="20"/>
    </w:rPr>
  </w:style>
  <w:style w:type="character" w:customStyle="1" w:styleId="CommentTextChar">
    <w:name w:val="Comment Text Char"/>
    <w:basedOn w:val="DefaultParagraphFont"/>
    <w:link w:val="CommentText"/>
    <w:uiPriority w:val="99"/>
    <w:semiHidden/>
    <w:rsid w:val="005F115B"/>
    <w:rPr>
      <w:sz w:val="20"/>
      <w:szCs w:val="20"/>
    </w:rPr>
  </w:style>
  <w:style w:type="paragraph" w:styleId="CommentSubject">
    <w:name w:val="annotation subject"/>
    <w:basedOn w:val="CommentText"/>
    <w:next w:val="CommentText"/>
    <w:link w:val="CommentSubjectChar"/>
    <w:uiPriority w:val="99"/>
    <w:semiHidden/>
    <w:unhideWhenUsed/>
    <w:rsid w:val="005F115B"/>
    <w:rPr>
      <w:b/>
      <w:bCs/>
    </w:rPr>
  </w:style>
  <w:style w:type="character" w:customStyle="1" w:styleId="CommentSubjectChar">
    <w:name w:val="Comment Subject Char"/>
    <w:basedOn w:val="CommentTextChar"/>
    <w:link w:val="CommentSubject"/>
    <w:uiPriority w:val="99"/>
    <w:semiHidden/>
    <w:rsid w:val="005F115B"/>
    <w:rPr>
      <w:b/>
      <w:bCs/>
      <w:sz w:val="20"/>
      <w:szCs w:val="20"/>
    </w:rPr>
  </w:style>
  <w:style w:type="paragraph" w:styleId="Revision">
    <w:name w:val="Revision"/>
    <w:hidden/>
    <w:uiPriority w:val="99"/>
    <w:semiHidden/>
    <w:rsid w:val="00DF20E8"/>
    <w:pPr>
      <w:spacing w:after="0" w:line="240" w:lineRule="auto"/>
    </w:pPr>
  </w:style>
  <w:style w:type="paragraph" w:styleId="FootnoteText">
    <w:name w:val="footnote text"/>
    <w:basedOn w:val="Normal"/>
    <w:link w:val="FootnoteTextChar"/>
    <w:uiPriority w:val="99"/>
    <w:unhideWhenUsed/>
    <w:rsid w:val="00BB73A9"/>
    <w:pPr>
      <w:spacing w:after="0" w:line="240" w:lineRule="auto"/>
    </w:pPr>
    <w:rPr>
      <w:sz w:val="20"/>
      <w:szCs w:val="20"/>
    </w:rPr>
  </w:style>
  <w:style w:type="character" w:customStyle="1" w:styleId="FootnoteTextChar">
    <w:name w:val="Footnote Text Char"/>
    <w:basedOn w:val="DefaultParagraphFont"/>
    <w:link w:val="FootnoteText"/>
    <w:uiPriority w:val="99"/>
    <w:rsid w:val="00BB73A9"/>
    <w:rPr>
      <w:sz w:val="20"/>
      <w:szCs w:val="20"/>
    </w:rPr>
  </w:style>
  <w:style w:type="character" w:styleId="FootnoteReference">
    <w:name w:val="footnote reference"/>
    <w:basedOn w:val="DefaultParagraphFont"/>
    <w:uiPriority w:val="99"/>
    <w:semiHidden/>
    <w:unhideWhenUsed/>
    <w:rsid w:val="00BB73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FDF"/>
    <w:rPr>
      <w:rFonts w:ascii="Tahoma" w:hAnsi="Tahoma" w:cs="Tahoma"/>
      <w:sz w:val="16"/>
      <w:szCs w:val="16"/>
    </w:rPr>
  </w:style>
  <w:style w:type="paragraph" w:styleId="Header">
    <w:name w:val="header"/>
    <w:basedOn w:val="Normal"/>
    <w:link w:val="HeaderChar"/>
    <w:uiPriority w:val="99"/>
    <w:unhideWhenUsed/>
    <w:rsid w:val="00582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FC1"/>
  </w:style>
  <w:style w:type="paragraph" w:styleId="Footer">
    <w:name w:val="footer"/>
    <w:basedOn w:val="Normal"/>
    <w:link w:val="FooterChar"/>
    <w:uiPriority w:val="99"/>
    <w:unhideWhenUsed/>
    <w:rsid w:val="00582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FC1"/>
  </w:style>
  <w:style w:type="paragraph" w:styleId="NormalWeb">
    <w:name w:val="Normal (Web)"/>
    <w:basedOn w:val="Normal"/>
    <w:uiPriority w:val="99"/>
    <w:semiHidden/>
    <w:unhideWhenUsed/>
    <w:rsid w:val="00582FC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5F115B"/>
    <w:rPr>
      <w:sz w:val="16"/>
      <w:szCs w:val="16"/>
    </w:rPr>
  </w:style>
  <w:style w:type="paragraph" w:styleId="CommentText">
    <w:name w:val="annotation text"/>
    <w:basedOn w:val="Normal"/>
    <w:link w:val="CommentTextChar"/>
    <w:uiPriority w:val="99"/>
    <w:semiHidden/>
    <w:unhideWhenUsed/>
    <w:rsid w:val="005F115B"/>
    <w:pPr>
      <w:spacing w:line="240" w:lineRule="auto"/>
    </w:pPr>
    <w:rPr>
      <w:sz w:val="20"/>
      <w:szCs w:val="20"/>
    </w:rPr>
  </w:style>
  <w:style w:type="character" w:customStyle="1" w:styleId="CommentTextChar">
    <w:name w:val="Comment Text Char"/>
    <w:basedOn w:val="DefaultParagraphFont"/>
    <w:link w:val="CommentText"/>
    <w:uiPriority w:val="99"/>
    <w:semiHidden/>
    <w:rsid w:val="005F115B"/>
    <w:rPr>
      <w:sz w:val="20"/>
      <w:szCs w:val="20"/>
    </w:rPr>
  </w:style>
  <w:style w:type="paragraph" w:styleId="CommentSubject">
    <w:name w:val="annotation subject"/>
    <w:basedOn w:val="CommentText"/>
    <w:next w:val="CommentText"/>
    <w:link w:val="CommentSubjectChar"/>
    <w:uiPriority w:val="99"/>
    <w:semiHidden/>
    <w:unhideWhenUsed/>
    <w:rsid w:val="005F115B"/>
    <w:rPr>
      <w:b/>
      <w:bCs/>
    </w:rPr>
  </w:style>
  <w:style w:type="character" w:customStyle="1" w:styleId="CommentSubjectChar">
    <w:name w:val="Comment Subject Char"/>
    <w:basedOn w:val="CommentTextChar"/>
    <w:link w:val="CommentSubject"/>
    <w:uiPriority w:val="99"/>
    <w:semiHidden/>
    <w:rsid w:val="005F115B"/>
    <w:rPr>
      <w:b/>
      <w:bCs/>
      <w:sz w:val="20"/>
      <w:szCs w:val="20"/>
    </w:rPr>
  </w:style>
  <w:style w:type="paragraph" w:styleId="Revision">
    <w:name w:val="Revision"/>
    <w:hidden/>
    <w:uiPriority w:val="99"/>
    <w:semiHidden/>
    <w:rsid w:val="00DF20E8"/>
    <w:pPr>
      <w:spacing w:after="0" w:line="240" w:lineRule="auto"/>
    </w:pPr>
  </w:style>
  <w:style w:type="paragraph" w:styleId="FootnoteText">
    <w:name w:val="footnote text"/>
    <w:basedOn w:val="Normal"/>
    <w:link w:val="FootnoteTextChar"/>
    <w:uiPriority w:val="99"/>
    <w:unhideWhenUsed/>
    <w:rsid w:val="00BB73A9"/>
    <w:pPr>
      <w:spacing w:after="0" w:line="240" w:lineRule="auto"/>
    </w:pPr>
    <w:rPr>
      <w:sz w:val="20"/>
      <w:szCs w:val="20"/>
    </w:rPr>
  </w:style>
  <w:style w:type="character" w:customStyle="1" w:styleId="FootnoteTextChar">
    <w:name w:val="Footnote Text Char"/>
    <w:basedOn w:val="DefaultParagraphFont"/>
    <w:link w:val="FootnoteText"/>
    <w:uiPriority w:val="99"/>
    <w:rsid w:val="00BB73A9"/>
    <w:rPr>
      <w:sz w:val="20"/>
      <w:szCs w:val="20"/>
    </w:rPr>
  </w:style>
  <w:style w:type="character" w:styleId="FootnoteReference">
    <w:name w:val="footnote reference"/>
    <w:basedOn w:val="DefaultParagraphFont"/>
    <w:uiPriority w:val="99"/>
    <w:semiHidden/>
    <w:unhideWhenUsed/>
    <w:rsid w:val="00BB73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0733">
      <w:bodyDiv w:val="1"/>
      <w:marLeft w:val="0"/>
      <w:marRight w:val="0"/>
      <w:marTop w:val="0"/>
      <w:marBottom w:val="0"/>
      <w:divBdr>
        <w:top w:val="none" w:sz="0" w:space="0" w:color="auto"/>
        <w:left w:val="none" w:sz="0" w:space="0" w:color="auto"/>
        <w:bottom w:val="none" w:sz="0" w:space="0" w:color="auto"/>
        <w:right w:val="none" w:sz="0" w:space="0" w:color="auto"/>
      </w:divBdr>
      <w:divsChild>
        <w:div w:id="1079254446">
          <w:marLeft w:val="0"/>
          <w:marRight w:val="0"/>
          <w:marTop w:val="0"/>
          <w:marBottom w:val="0"/>
          <w:divBdr>
            <w:top w:val="none" w:sz="0" w:space="0" w:color="auto"/>
            <w:left w:val="single" w:sz="48" w:space="0" w:color="2F4009"/>
            <w:bottom w:val="none" w:sz="0" w:space="0" w:color="auto"/>
            <w:right w:val="none" w:sz="0" w:space="0" w:color="auto"/>
          </w:divBdr>
          <w:divsChild>
            <w:div w:id="472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4072">
      <w:bodyDiv w:val="1"/>
      <w:marLeft w:val="0"/>
      <w:marRight w:val="0"/>
      <w:marTop w:val="0"/>
      <w:marBottom w:val="0"/>
      <w:divBdr>
        <w:top w:val="none" w:sz="0" w:space="0" w:color="auto"/>
        <w:left w:val="none" w:sz="0" w:space="0" w:color="auto"/>
        <w:bottom w:val="none" w:sz="0" w:space="0" w:color="auto"/>
        <w:right w:val="none" w:sz="0" w:space="0" w:color="auto"/>
      </w:divBdr>
      <w:divsChild>
        <w:div w:id="289748233">
          <w:marLeft w:val="0"/>
          <w:marRight w:val="0"/>
          <w:marTop w:val="0"/>
          <w:marBottom w:val="0"/>
          <w:divBdr>
            <w:top w:val="none" w:sz="0" w:space="0" w:color="auto"/>
            <w:left w:val="none" w:sz="0" w:space="0" w:color="auto"/>
            <w:bottom w:val="none" w:sz="0" w:space="0" w:color="auto"/>
            <w:right w:val="none" w:sz="0" w:space="0" w:color="auto"/>
          </w:divBdr>
          <w:divsChild>
            <w:div w:id="538131250">
              <w:marLeft w:val="0"/>
              <w:marRight w:val="0"/>
              <w:marTop w:val="0"/>
              <w:marBottom w:val="0"/>
              <w:divBdr>
                <w:top w:val="none" w:sz="0" w:space="0" w:color="auto"/>
                <w:left w:val="none" w:sz="0" w:space="0" w:color="auto"/>
                <w:bottom w:val="none" w:sz="0" w:space="0" w:color="auto"/>
                <w:right w:val="none" w:sz="0" w:space="0" w:color="auto"/>
              </w:divBdr>
              <w:divsChild>
                <w:div w:id="1929118244">
                  <w:marLeft w:val="0"/>
                  <w:marRight w:val="0"/>
                  <w:marTop w:val="120"/>
                  <w:marBottom w:val="360"/>
                  <w:divBdr>
                    <w:top w:val="none" w:sz="0" w:space="0" w:color="auto"/>
                    <w:left w:val="none" w:sz="0" w:space="0" w:color="auto"/>
                    <w:bottom w:val="dotted" w:sz="4" w:space="18" w:color="CCCCCC"/>
                    <w:right w:val="none" w:sz="0" w:space="0" w:color="auto"/>
                  </w:divBdr>
                  <w:divsChild>
                    <w:div w:id="20532656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321324">
      <w:bodyDiv w:val="1"/>
      <w:marLeft w:val="0"/>
      <w:marRight w:val="0"/>
      <w:marTop w:val="0"/>
      <w:marBottom w:val="0"/>
      <w:divBdr>
        <w:top w:val="none" w:sz="0" w:space="0" w:color="auto"/>
        <w:left w:val="none" w:sz="0" w:space="0" w:color="auto"/>
        <w:bottom w:val="none" w:sz="0" w:space="0" w:color="auto"/>
        <w:right w:val="none" w:sz="0" w:space="0" w:color="auto"/>
      </w:divBdr>
      <w:divsChild>
        <w:div w:id="1844273884">
          <w:marLeft w:val="0"/>
          <w:marRight w:val="0"/>
          <w:marTop w:val="0"/>
          <w:marBottom w:val="0"/>
          <w:divBdr>
            <w:top w:val="none" w:sz="0" w:space="0" w:color="auto"/>
            <w:left w:val="single" w:sz="48" w:space="0" w:color="2F4009"/>
            <w:bottom w:val="none" w:sz="0" w:space="0" w:color="auto"/>
            <w:right w:val="none" w:sz="0" w:space="0" w:color="auto"/>
          </w:divBdr>
          <w:divsChild>
            <w:div w:id="9951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0B443-A6FF-46A3-ACBA-2D9D2F07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3770</Words>
  <Characters>21727</Characters>
  <Application>Microsoft Office Word</Application>
  <DocSecurity>0</DocSecurity>
  <Lines>354</Lines>
  <Paragraphs>86</Paragraphs>
  <ScaleCrop>false</ScaleCrop>
  <HeadingPairs>
    <vt:vector size="2" baseType="variant">
      <vt:variant>
        <vt:lpstr>Title</vt:lpstr>
      </vt:variant>
      <vt:variant>
        <vt:i4>1</vt:i4>
      </vt:variant>
    </vt:vector>
  </HeadingPairs>
  <TitlesOfParts>
    <vt:vector size="1" baseType="lpstr">
      <vt:lpstr>Submission DR59 - Australian Institute of Geoscientists - Mineral and Energy Resouce Exploration - Public inquiry</vt:lpstr>
    </vt:vector>
  </TitlesOfParts>
  <Company>Australian Institute of Geoscientists</Company>
  <LinksUpToDate>false</LinksUpToDate>
  <CharactersWithSpaces>25512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DR59 - Australian Institute of Geoscientists - Mineral and Energy Resouce Exploration - Public inquiry</dc:title>
  <dc:creator>Australian Institute of Geoscientists</dc:creator>
  <cp:lastModifiedBy>Productivity Commission</cp:lastModifiedBy>
  <cp:revision>2</cp:revision>
  <cp:lastPrinted>2013-06-18T23:32:00Z</cp:lastPrinted>
  <dcterms:created xsi:type="dcterms:W3CDTF">2013-07-16T03:49:00Z</dcterms:created>
  <dcterms:modified xsi:type="dcterms:W3CDTF">2013-07-16T03:49:00Z</dcterms:modified>
</cp:coreProperties>
</file>