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3258B" w14:textId="77777777" w:rsidR="008C565C" w:rsidRPr="000E71F8" w:rsidRDefault="008C565C" w:rsidP="008C565C">
      <w:pPr>
        <w:pStyle w:val="Heading1"/>
        <w:rPr>
          <w:b/>
          <w:color w:val="FFFFFF" w:themeColor="background1"/>
          <w:sz w:val="16"/>
          <w:szCs w:val="16"/>
        </w:rPr>
      </w:pPr>
      <w:bookmarkStart w:id="0" w:name="_Overview"/>
      <w:bookmarkStart w:id="1" w:name="_Toc72939473"/>
      <w:bookmarkStart w:id="2" w:name="ChapterNumber"/>
      <w:bookmarkEnd w:id="0"/>
      <w:r w:rsidRPr="000E71F8">
        <w:rPr>
          <w:color w:val="FFFFFF" w:themeColor="background1"/>
          <w:sz w:val="16"/>
          <w:szCs w:val="16"/>
        </w:rPr>
        <w:t>National Water Reform 2020</w:t>
      </w:r>
      <w:bookmarkEnd w:id="1"/>
    </w:p>
    <w:p w14:paraId="09842C87" w14:textId="77777777" w:rsidR="008C565C" w:rsidRPr="000E71F8" w:rsidRDefault="008C565C" w:rsidP="008C565C">
      <w:pPr>
        <w:pStyle w:val="Copyrightsubtitle"/>
        <w:rPr>
          <w:rFonts w:ascii="Times New Roman" w:hAnsi="Times New Roman"/>
          <w:b w:val="0"/>
          <w:color w:val="FFFFFF" w:themeColor="background1"/>
          <w:sz w:val="16"/>
          <w:szCs w:val="16"/>
        </w:rPr>
      </w:pPr>
      <w:r w:rsidRPr="000E71F8">
        <w:rPr>
          <w:rFonts w:ascii="Times New Roman" w:hAnsi="Times New Roman"/>
          <w:b w:val="0"/>
          <w:color w:val="FFFFFF" w:themeColor="background1"/>
          <w:sz w:val="16"/>
          <w:szCs w:val="16"/>
        </w:rPr>
        <w:t>Productivity Commission Inquiry Report no. 96, 28 May 2021.</w:t>
      </w:r>
    </w:p>
    <w:p w14:paraId="2EACE13B" w14:textId="77777777" w:rsidR="008C565C" w:rsidRDefault="008C565C" w:rsidP="008C565C">
      <w:pPr>
        <w:pStyle w:val="BodyText"/>
        <w:rPr>
          <w:b/>
          <w:szCs w:val="26"/>
        </w:rPr>
      </w:pPr>
      <w:r>
        <w:br w:type="page"/>
      </w:r>
      <w:r>
        <w:rPr>
          <w:b/>
          <w:noProof/>
          <w:szCs w:val="26"/>
        </w:rPr>
        <w:drawing>
          <wp:anchor distT="0" distB="0" distL="114300" distR="114300" simplePos="0" relativeHeight="251659264" behindDoc="0" locked="0" layoutInCell="1" allowOverlap="1" wp14:anchorId="22AB7D66" wp14:editId="710D92E8">
            <wp:simplePos x="829340" y="829340"/>
            <wp:positionH relativeFrom="page">
              <wp:align>center</wp:align>
            </wp:positionH>
            <wp:positionV relativeFrom="page">
              <wp:align>center</wp:align>
            </wp:positionV>
            <wp:extent cx="7812000" cy="110520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2000" cy="11052000"/>
                    </a:xfrm>
                    <a:prstGeom prst="rect">
                      <a:avLst/>
                    </a:prstGeom>
                  </pic:spPr>
                </pic:pic>
              </a:graphicData>
            </a:graphic>
            <wp14:sizeRelH relativeFrom="margin">
              <wp14:pctWidth>0</wp14:pctWidth>
            </wp14:sizeRelH>
            <wp14:sizeRelV relativeFrom="margin">
              <wp14:pctHeight>0</wp14:pctHeight>
            </wp14:sizeRelV>
          </wp:anchor>
        </w:drawing>
      </w:r>
    </w:p>
    <w:p w14:paraId="39495206" w14:textId="68ABB2AC" w:rsidR="008C565C" w:rsidRDefault="008C565C" w:rsidP="008C565C">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2021</w:t>
      </w:r>
    </w:p>
    <w:p w14:paraId="23B06B81" w14:textId="732688B9" w:rsidR="00360710" w:rsidRPr="00F124B2" w:rsidRDefault="00360710" w:rsidP="00360710">
      <w:pPr>
        <w:pStyle w:val="BodyText"/>
        <w:tabs>
          <w:tab w:val="left" w:pos="851"/>
        </w:tabs>
        <w:spacing w:before="200" w:after="120"/>
        <w:jc w:val="left"/>
        <w:rPr>
          <w:rFonts w:ascii="Arial" w:hAnsi="Arial" w:cs="Arial"/>
          <w:b/>
          <w:sz w:val="20"/>
        </w:rPr>
      </w:pPr>
      <w:r w:rsidRPr="00F124B2">
        <w:rPr>
          <w:rFonts w:ascii="Arial" w:hAnsi="Arial" w:cs="Arial"/>
          <w:b/>
          <w:sz w:val="20"/>
        </w:rPr>
        <w:t>ISSN</w:t>
      </w:r>
      <w:r w:rsidRPr="00F124B2">
        <w:rPr>
          <w:rFonts w:ascii="Arial" w:hAnsi="Arial" w:cs="Arial"/>
          <w:b/>
          <w:sz w:val="20"/>
        </w:rPr>
        <w:tab/>
      </w:r>
      <w:r w:rsidR="00A85C77" w:rsidRPr="00A85C77">
        <w:rPr>
          <w:rFonts w:ascii="Arial" w:hAnsi="Arial" w:cs="Arial"/>
          <w:sz w:val="20"/>
        </w:rPr>
        <w:t xml:space="preserve">1447-1337 </w:t>
      </w:r>
      <w:r w:rsidR="00A85C77">
        <w:rPr>
          <w:rFonts w:ascii="Arial" w:hAnsi="Arial" w:cs="Arial"/>
          <w:sz w:val="20"/>
        </w:rPr>
        <w:t>(online)</w:t>
      </w:r>
      <w:r w:rsidRPr="00F124B2">
        <w:rPr>
          <w:rFonts w:ascii="Arial" w:hAnsi="Arial" w:cs="Arial"/>
          <w:sz w:val="20"/>
        </w:rPr>
        <w:t xml:space="preserve"> | </w:t>
      </w:r>
      <w:r w:rsidR="00A85C77" w:rsidRPr="00F124B2">
        <w:rPr>
          <w:rFonts w:ascii="Arial" w:hAnsi="Arial" w:cs="Arial"/>
          <w:sz w:val="20"/>
        </w:rPr>
        <w:t>1447-1329</w:t>
      </w:r>
      <w:r w:rsidR="00A85C77">
        <w:rPr>
          <w:rFonts w:ascii="Arial" w:hAnsi="Arial" w:cs="Arial"/>
          <w:sz w:val="20"/>
        </w:rPr>
        <w:t xml:space="preserve"> (print)</w:t>
      </w:r>
      <w:r w:rsidRPr="00F124B2">
        <w:rPr>
          <w:rFonts w:ascii="Arial" w:hAnsi="Arial" w:cs="Arial"/>
          <w:b/>
          <w:sz w:val="20"/>
        </w:rPr>
        <w:br/>
        <w:t>ISBN</w:t>
      </w:r>
      <w:r w:rsidRPr="00F124B2">
        <w:rPr>
          <w:rFonts w:ascii="Arial" w:hAnsi="Arial" w:cs="Arial"/>
          <w:b/>
          <w:sz w:val="20"/>
        </w:rPr>
        <w:tab/>
      </w:r>
      <w:r w:rsidR="007E426C" w:rsidRPr="007E426C">
        <w:rPr>
          <w:rFonts w:ascii="Arial" w:hAnsi="Arial" w:cs="Arial"/>
          <w:sz w:val="20"/>
        </w:rPr>
        <w:t>978-1-74037-721-8</w:t>
      </w:r>
      <w:r w:rsidRPr="00F124B2">
        <w:rPr>
          <w:rFonts w:ascii="Arial" w:hAnsi="Arial" w:cs="Arial"/>
          <w:b/>
          <w:sz w:val="20"/>
        </w:rPr>
        <w:t xml:space="preserve"> </w:t>
      </w:r>
      <w:r w:rsidRPr="00F124B2">
        <w:rPr>
          <w:rFonts w:ascii="Arial" w:hAnsi="Arial" w:cs="Arial"/>
          <w:sz w:val="20"/>
        </w:rPr>
        <w:t>(</w:t>
      </w:r>
      <w:r w:rsidR="00586332">
        <w:rPr>
          <w:rFonts w:ascii="Arial" w:hAnsi="Arial" w:cs="Arial"/>
          <w:sz w:val="20"/>
        </w:rPr>
        <w:t>online</w:t>
      </w:r>
      <w:r w:rsidRPr="00F124B2">
        <w:rPr>
          <w:rFonts w:ascii="Arial" w:hAnsi="Arial" w:cs="Arial"/>
          <w:sz w:val="20"/>
        </w:rPr>
        <w:t>)</w:t>
      </w:r>
      <w:r w:rsidRPr="00F124B2">
        <w:rPr>
          <w:rFonts w:ascii="Arial" w:hAnsi="Arial" w:cs="Arial"/>
          <w:b/>
          <w:sz w:val="20"/>
        </w:rPr>
        <w:br/>
        <w:t>ISBN</w:t>
      </w:r>
      <w:r w:rsidRPr="00F124B2">
        <w:rPr>
          <w:rFonts w:ascii="Arial" w:hAnsi="Arial" w:cs="Arial"/>
          <w:b/>
          <w:sz w:val="20"/>
        </w:rPr>
        <w:tab/>
      </w:r>
      <w:r w:rsidR="00586332" w:rsidRPr="00586332">
        <w:rPr>
          <w:rFonts w:ascii="Arial" w:hAnsi="Arial" w:cs="Arial"/>
          <w:sz w:val="20"/>
        </w:rPr>
        <w:t>978-1-74037-720-1</w:t>
      </w:r>
      <w:r w:rsidRPr="00F124B2">
        <w:rPr>
          <w:rFonts w:ascii="Arial" w:hAnsi="Arial" w:cs="Arial"/>
          <w:b/>
          <w:sz w:val="20"/>
        </w:rPr>
        <w:t xml:space="preserve"> </w:t>
      </w:r>
      <w:r w:rsidRPr="00F124B2">
        <w:rPr>
          <w:rFonts w:ascii="Arial" w:hAnsi="Arial" w:cs="Arial"/>
          <w:sz w:val="20"/>
        </w:rPr>
        <w:t>(</w:t>
      </w:r>
      <w:r w:rsidR="00586332">
        <w:rPr>
          <w:rFonts w:ascii="Arial" w:hAnsi="Arial" w:cs="Arial"/>
          <w:sz w:val="20"/>
        </w:rPr>
        <w:t>p</w:t>
      </w:r>
      <w:r w:rsidRPr="00F124B2">
        <w:rPr>
          <w:rFonts w:ascii="Arial" w:hAnsi="Arial" w:cs="Arial"/>
          <w:sz w:val="20"/>
        </w:rPr>
        <w:t>rint)</w:t>
      </w:r>
    </w:p>
    <w:p w14:paraId="4CDC95DB" w14:textId="77777777" w:rsidR="008C565C" w:rsidRDefault="008C565C" w:rsidP="008C565C">
      <w:pPr>
        <w:pStyle w:val="BodyText"/>
        <w:spacing w:after="120"/>
      </w:pPr>
      <w:bookmarkStart w:id="3" w:name="ISSN"/>
      <w:bookmarkEnd w:id="3"/>
      <w:r>
        <w:rPr>
          <w:noProof/>
        </w:rPr>
        <w:drawing>
          <wp:inline distT="0" distB="0" distL="0" distR="0" wp14:anchorId="34B2CC48" wp14:editId="4A53C889">
            <wp:extent cx="843280" cy="295043"/>
            <wp:effectExtent l="0" t="0" r="0" b="0"/>
            <wp:docPr id="32" name="Picture 3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843280" cy="295043"/>
                    </a:xfrm>
                    <a:prstGeom prst="rect">
                      <a:avLst/>
                    </a:prstGeom>
                  </pic:spPr>
                </pic:pic>
              </a:graphicData>
            </a:graphic>
          </wp:inline>
        </w:drawing>
      </w:r>
    </w:p>
    <w:p w14:paraId="456DDF0E" w14:textId="77777777" w:rsidR="008C565C" w:rsidRPr="00A84992" w:rsidRDefault="008C565C" w:rsidP="008C565C">
      <w:pPr>
        <w:pStyle w:val="Copyrightbodytext"/>
        <w:rPr>
          <w:sz w:val="20"/>
        </w:rPr>
      </w:pPr>
      <w:r w:rsidRPr="00A84992">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2312F687" w14:textId="77777777" w:rsidR="008C565C" w:rsidRPr="008A3857" w:rsidRDefault="008C565C" w:rsidP="008C565C">
      <w:pPr>
        <w:pStyle w:val="Copyrightsubtitle"/>
      </w:pPr>
      <w:r w:rsidRPr="008A3857">
        <w:t>Use of the Commonwealth Coat of Arms</w:t>
      </w:r>
    </w:p>
    <w:p w14:paraId="298855BD" w14:textId="14C25079" w:rsidR="008C565C" w:rsidRPr="00A84992" w:rsidRDefault="008C565C" w:rsidP="008C565C">
      <w:pPr>
        <w:pStyle w:val="Copyrightbodytext"/>
        <w:rPr>
          <w:spacing w:val="-4"/>
          <w:sz w:val="20"/>
        </w:rPr>
      </w:pPr>
      <w:r w:rsidRPr="00A84992">
        <w:rPr>
          <w:spacing w:val="-4"/>
          <w:sz w:val="20"/>
        </w:rPr>
        <w:t>Terms of use for the Coat of Arms are available from the Department of the Prime Minister and Cabinet’s website: https://www.pmc.gov.au/government/commonwealth-coat-arms</w:t>
      </w:r>
      <w:r w:rsidR="001D1FC4">
        <w:rPr>
          <w:spacing w:val="-4"/>
          <w:sz w:val="20"/>
        </w:rPr>
        <w:t>.</w:t>
      </w:r>
    </w:p>
    <w:p w14:paraId="6E4DEC14" w14:textId="77777777" w:rsidR="008C565C" w:rsidRPr="008A3857" w:rsidRDefault="008C565C" w:rsidP="008C565C">
      <w:pPr>
        <w:pStyle w:val="Copyrightsubtitle"/>
      </w:pPr>
      <w:r w:rsidRPr="008A3857">
        <w:t>Third party copyright</w:t>
      </w:r>
    </w:p>
    <w:p w14:paraId="3E66B2DA" w14:textId="77777777" w:rsidR="008C565C" w:rsidRPr="00A84992" w:rsidRDefault="008C565C" w:rsidP="008C565C">
      <w:pPr>
        <w:pStyle w:val="Copyrightbodytext"/>
        <w:rPr>
          <w:sz w:val="20"/>
        </w:rPr>
      </w:pPr>
      <w:r w:rsidRPr="00A84992">
        <w:rPr>
          <w:sz w:val="20"/>
        </w:rPr>
        <w:t>Wherever a third party holds copyright in this material, the copyright remains with that party. Their permission may be required to use the material, please contact them directly.</w:t>
      </w:r>
    </w:p>
    <w:p w14:paraId="04E82B24" w14:textId="77777777" w:rsidR="008C565C" w:rsidRPr="008A3857" w:rsidRDefault="008C565C" w:rsidP="008C565C">
      <w:pPr>
        <w:pStyle w:val="Copyrightsubtitle"/>
      </w:pPr>
      <w:r w:rsidRPr="008A3857">
        <w:t>Attribution</w:t>
      </w:r>
    </w:p>
    <w:p w14:paraId="59CBC4AA" w14:textId="77777777" w:rsidR="008C565C" w:rsidRPr="00A84992" w:rsidRDefault="008C565C" w:rsidP="008C565C">
      <w:pPr>
        <w:pStyle w:val="Copyrightbodytext"/>
        <w:rPr>
          <w:sz w:val="20"/>
        </w:rPr>
      </w:pPr>
      <w:r w:rsidRPr="00A84992">
        <w:rPr>
          <w:sz w:val="20"/>
        </w:rPr>
        <w:t xml:space="preserve">This work should be attributed as follows, </w:t>
      </w:r>
      <w:r w:rsidRPr="00A84992">
        <w:rPr>
          <w:i/>
          <w:sz w:val="20"/>
        </w:rPr>
        <w:t>Source: Productivity Commission, National Water Reform 2020, Inquiry Report</w:t>
      </w:r>
      <w:r w:rsidRPr="00A84992">
        <w:rPr>
          <w:sz w:val="20"/>
        </w:rPr>
        <w:t>.</w:t>
      </w:r>
    </w:p>
    <w:p w14:paraId="79449D9F" w14:textId="77777777" w:rsidR="008C565C" w:rsidRPr="00A84992" w:rsidRDefault="008C565C" w:rsidP="008C565C">
      <w:pPr>
        <w:pStyle w:val="Copyrightbodytext"/>
        <w:spacing w:before="120"/>
        <w:rPr>
          <w:sz w:val="20"/>
        </w:rPr>
      </w:pPr>
      <w:r w:rsidRPr="00A84992">
        <w:rPr>
          <w:sz w:val="20"/>
        </w:rPr>
        <w:t xml:space="preserve">If you have adapted, modified or transformed this work in anyway, please use the following, </w:t>
      </w:r>
      <w:r w:rsidRPr="00A84992">
        <w:rPr>
          <w:i/>
          <w:sz w:val="20"/>
        </w:rPr>
        <w:t>Source: based on Productivity Commission data, National Water Reform 2020, Inquiry Report</w:t>
      </w:r>
      <w:r w:rsidRPr="00A84992">
        <w:rPr>
          <w:sz w:val="20"/>
        </w:rPr>
        <w:t>.</w:t>
      </w:r>
    </w:p>
    <w:p w14:paraId="585FE43B" w14:textId="77777777" w:rsidR="008C565C" w:rsidRPr="008A3857" w:rsidRDefault="008C565C" w:rsidP="008C565C">
      <w:pPr>
        <w:pStyle w:val="Copyrightsubtitle"/>
      </w:pPr>
      <w:r w:rsidRPr="008A3857">
        <w:t xml:space="preserve">An appropriate </w:t>
      </w:r>
      <w:r>
        <w:t>reference</w:t>
      </w:r>
      <w:r w:rsidRPr="008A3857">
        <w:t xml:space="preserve"> for this publication is:</w:t>
      </w:r>
    </w:p>
    <w:p w14:paraId="71C394DB" w14:textId="77777777" w:rsidR="008C565C" w:rsidRPr="00A84992" w:rsidRDefault="008C565C" w:rsidP="008C565C">
      <w:pPr>
        <w:pStyle w:val="Copyrightsubtitle"/>
        <w:rPr>
          <w:rFonts w:ascii="Times New Roman" w:hAnsi="Times New Roman"/>
          <w:b w:val="0"/>
          <w:sz w:val="20"/>
          <w:szCs w:val="20"/>
        </w:rPr>
      </w:pPr>
      <w:r w:rsidRPr="00A84992">
        <w:rPr>
          <w:rFonts w:ascii="Times New Roman" w:hAnsi="Times New Roman"/>
          <w:b w:val="0"/>
          <w:sz w:val="20"/>
          <w:szCs w:val="20"/>
        </w:rPr>
        <w:t xml:space="preserve">Productivity Commission 2021, </w:t>
      </w:r>
      <w:r w:rsidRPr="00A84992">
        <w:rPr>
          <w:rFonts w:ascii="Times New Roman" w:hAnsi="Times New Roman"/>
          <w:b w:val="0"/>
          <w:i/>
          <w:iCs/>
          <w:sz w:val="20"/>
          <w:szCs w:val="20"/>
        </w:rPr>
        <w:t>National Water Reform 2020,</w:t>
      </w:r>
      <w:r w:rsidRPr="00A84992">
        <w:rPr>
          <w:rFonts w:ascii="Times New Roman" w:hAnsi="Times New Roman"/>
          <w:b w:val="0"/>
          <w:sz w:val="20"/>
          <w:szCs w:val="20"/>
        </w:rPr>
        <w:t xml:space="preserve"> Inquiry Report no. 96, Canberra.</w:t>
      </w:r>
    </w:p>
    <w:p w14:paraId="77328533" w14:textId="77777777" w:rsidR="008C565C" w:rsidRPr="008A3857" w:rsidRDefault="008C565C" w:rsidP="008C565C">
      <w:pPr>
        <w:pStyle w:val="Copyrightsubtitle"/>
      </w:pPr>
      <w:r w:rsidRPr="008A3857">
        <w:t>Publications enquiries</w:t>
      </w:r>
    </w:p>
    <w:p w14:paraId="682CE83E" w14:textId="77777777" w:rsidR="008C565C" w:rsidRPr="00A84992" w:rsidRDefault="008C565C" w:rsidP="008C565C">
      <w:pPr>
        <w:pStyle w:val="Copyrightbodytext"/>
        <w:rPr>
          <w:sz w:val="20"/>
        </w:rPr>
      </w:pPr>
      <w:r w:rsidRPr="00A84992">
        <w:rPr>
          <w:sz w:val="20"/>
        </w:rPr>
        <w:t>Media, Publications and Web, phone: (03) 9653 2244 or email: mpw@pc.gov.au</w:t>
      </w:r>
    </w:p>
    <w:p w14:paraId="1DD66FF6" w14:textId="77777777" w:rsidR="008C565C" w:rsidRDefault="008C565C" w:rsidP="008C565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565C" w14:paraId="68C725A5" w14:textId="77777777" w:rsidTr="009206E1">
        <w:trPr>
          <w:tblHeader/>
        </w:trPr>
        <w:tc>
          <w:tcPr>
            <w:tcW w:w="5000" w:type="pct"/>
            <w:tcBorders>
              <w:top w:val="single" w:sz="6" w:space="0" w:color="78A22F"/>
              <w:left w:val="nil"/>
              <w:bottom w:val="nil"/>
              <w:right w:val="nil"/>
            </w:tcBorders>
            <w:shd w:val="clear" w:color="auto" w:fill="F2F2F2" w:themeFill="background1" w:themeFillShade="F2"/>
          </w:tcPr>
          <w:p w14:paraId="4691F740" w14:textId="77777777" w:rsidR="008C565C" w:rsidRPr="008A3857" w:rsidRDefault="008C565C" w:rsidP="009206E1">
            <w:pPr>
              <w:pStyle w:val="BoxTitle"/>
              <w:rPr>
                <w:sz w:val="22"/>
                <w:szCs w:val="22"/>
              </w:rPr>
            </w:pPr>
            <w:r w:rsidRPr="008A3857">
              <w:rPr>
                <w:sz w:val="22"/>
                <w:szCs w:val="22"/>
              </w:rPr>
              <w:t>The Productivity Commission</w:t>
            </w:r>
          </w:p>
        </w:tc>
      </w:tr>
      <w:tr w:rsidR="008C565C" w14:paraId="4A0434E4" w14:textId="77777777" w:rsidTr="009206E1">
        <w:tc>
          <w:tcPr>
            <w:tcW w:w="5000" w:type="pct"/>
            <w:tcBorders>
              <w:top w:val="nil"/>
              <w:left w:val="nil"/>
              <w:bottom w:val="nil"/>
              <w:right w:val="nil"/>
            </w:tcBorders>
            <w:shd w:val="clear" w:color="auto" w:fill="F2F2F2" w:themeFill="background1" w:themeFillShade="F2"/>
          </w:tcPr>
          <w:p w14:paraId="3AFC0B26" w14:textId="77777777" w:rsidR="008C565C" w:rsidRDefault="008C565C" w:rsidP="009206E1">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2449355" w14:textId="77777777" w:rsidR="008C565C" w:rsidRDefault="008C565C" w:rsidP="009206E1">
            <w:pPr>
              <w:pStyle w:val="Box"/>
            </w:pPr>
            <w:r w:rsidRPr="00BB5DCF">
              <w:t>The Commission’s independence is underpinned by an Act of Parliament. Its processes and outputs are open to public scrutiny and are driven by concern for the wellbeing of the community as a whole.</w:t>
            </w:r>
          </w:p>
          <w:p w14:paraId="4BD51E9C" w14:textId="77777777" w:rsidR="008C565C" w:rsidRDefault="008C565C" w:rsidP="009206E1">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8C565C" w14:paraId="7AA04CFD" w14:textId="77777777" w:rsidTr="009206E1">
        <w:tc>
          <w:tcPr>
            <w:tcW w:w="5000" w:type="pct"/>
            <w:tcBorders>
              <w:top w:val="nil"/>
              <w:left w:val="nil"/>
              <w:bottom w:val="single" w:sz="6" w:space="0" w:color="78A22F"/>
              <w:right w:val="nil"/>
            </w:tcBorders>
            <w:shd w:val="clear" w:color="auto" w:fill="F2F2F2" w:themeFill="background1" w:themeFillShade="F2"/>
          </w:tcPr>
          <w:p w14:paraId="1E6DF016" w14:textId="77777777" w:rsidR="008C565C" w:rsidRDefault="008C565C" w:rsidP="009206E1">
            <w:pPr>
              <w:pStyle w:val="Box"/>
              <w:spacing w:before="0" w:line="120" w:lineRule="exact"/>
            </w:pPr>
          </w:p>
        </w:tc>
      </w:tr>
    </w:tbl>
    <w:p w14:paraId="72B66D4F" w14:textId="77777777" w:rsidR="008C565C" w:rsidRDefault="008C565C" w:rsidP="008C565C">
      <w:pPr>
        <w:pStyle w:val="BodyText"/>
      </w:pPr>
      <w:bookmarkStart w:id="4" w:name="cov"/>
      <w:bookmarkEnd w:id="4"/>
      <w:r>
        <w:br w:type="page"/>
      </w:r>
    </w:p>
    <w:tbl>
      <w:tblPr>
        <w:tblW w:w="5000" w:type="pct"/>
        <w:tblLook w:val="0000" w:firstRow="0" w:lastRow="0" w:firstColumn="0" w:lastColumn="0" w:noHBand="0" w:noVBand="0"/>
      </w:tblPr>
      <w:tblGrid>
        <w:gridCol w:w="2356"/>
        <w:gridCol w:w="1767"/>
        <w:gridCol w:w="1644"/>
        <w:gridCol w:w="3022"/>
      </w:tblGrid>
      <w:tr w:rsidR="008C565C" w14:paraId="1DBD6A21" w14:textId="77777777" w:rsidTr="009206E1">
        <w:trPr>
          <w:cantSplit/>
          <w:trHeight w:hRule="exact" w:val="996"/>
        </w:trPr>
        <w:tc>
          <w:tcPr>
            <w:tcW w:w="1341" w:type="pct"/>
          </w:tcPr>
          <w:p w14:paraId="5B8C6303" w14:textId="77777777" w:rsidR="008C565C" w:rsidRPr="00205C77" w:rsidRDefault="008C565C" w:rsidP="009206E1">
            <w:pPr>
              <w:pStyle w:val="PCAddress"/>
              <w:ind w:left="709"/>
              <w:rPr>
                <w:rFonts w:ascii="Goudy Old Style" w:hAnsi="Goudy Old Style"/>
                <w:b/>
                <w:i/>
              </w:rPr>
            </w:pPr>
          </w:p>
        </w:tc>
        <w:tc>
          <w:tcPr>
            <w:tcW w:w="1005" w:type="pct"/>
          </w:tcPr>
          <w:p w14:paraId="33BF58E9" w14:textId="77777777" w:rsidR="008C565C" w:rsidRPr="00205C77" w:rsidRDefault="008C565C" w:rsidP="009206E1">
            <w:pPr>
              <w:pStyle w:val="PCAddress"/>
              <w:ind w:left="709"/>
              <w:rPr>
                <w:rFonts w:ascii="Goudy Old Style" w:hAnsi="Goudy Old Style"/>
                <w:b/>
                <w:i/>
              </w:rPr>
            </w:pPr>
          </w:p>
        </w:tc>
        <w:tc>
          <w:tcPr>
            <w:tcW w:w="2653" w:type="pct"/>
            <w:gridSpan w:val="2"/>
          </w:tcPr>
          <w:p w14:paraId="4EC2AEEC" w14:textId="77777777" w:rsidR="008C565C" w:rsidRPr="00205C77" w:rsidRDefault="008C565C" w:rsidP="009206E1">
            <w:pPr>
              <w:pStyle w:val="PCAddress"/>
              <w:ind w:left="709" w:right="176"/>
              <w:jc w:val="right"/>
              <w:rPr>
                <w:rFonts w:ascii="Goudy Old Style" w:hAnsi="Goudy Old Style"/>
                <w:b/>
                <w:i/>
              </w:rPr>
            </w:pPr>
            <w:r>
              <w:rPr>
                <w:noProof/>
              </w:rPr>
              <w:drawing>
                <wp:inline distT="0" distB="0" distL="0" distR="0" wp14:anchorId="0B411C92" wp14:editId="5BF1B69F">
                  <wp:extent cx="2057400" cy="600075"/>
                  <wp:effectExtent l="0" t="0" r="0" b="9525"/>
                  <wp:docPr id="33" name="Picture 33"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rcRect r="2438"/>
                          <a:stretch>
                            <a:fillRect/>
                          </a:stretch>
                        </pic:blipFill>
                        <pic:spPr>
                          <a:xfrm>
                            <a:off x="0" y="0"/>
                            <a:ext cx="2057400" cy="600075"/>
                          </a:xfrm>
                          <a:prstGeom prst="rect">
                            <a:avLst/>
                          </a:prstGeom>
                        </pic:spPr>
                      </pic:pic>
                    </a:graphicData>
                  </a:graphic>
                </wp:inline>
              </w:drawing>
            </w:r>
          </w:p>
        </w:tc>
      </w:tr>
      <w:tr w:rsidR="008C565C" w14:paraId="1D28A627" w14:textId="77777777" w:rsidTr="009206E1">
        <w:trPr>
          <w:cantSplit/>
          <w:trHeight w:hRule="exact" w:val="2793"/>
        </w:trPr>
        <w:tc>
          <w:tcPr>
            <w:tcW w:w="3281" w:type="pct"/>
            <w:gridSpan w:val="3"/>
            <w:vAlign w:val="bottom"/>
          </w:tcPr>
          <w:p w14:paraId="069D3807" w14:textId="77777777" w:rsidR="008C565C" w:rsidRPr="00E61DA2" w:rsidRDefault="008C565C" w:rsidP="009206E1">
            <w:pPr>
              <w:ind w:left="-113"/>
            </w:pPr>
          </w:p>
          <w:p w14:paraId="587B1552" w14:textId="77777777" w:rsidR="008C565C" w:rsidRPr="00E61DA2" w:rsidRDefault="008C565C" w:rsidP="009206E1">
            <w:pPr>
              <w:pStyle w:val="LetterDate"/>
            </w:pPr>
            <w:r>
              <w:t>28 May 2021</w:t>
            </w:r>
          </w:p>
        </w:tc>
        <w:tc>
          <w:tcPr>
            <w:tcW w:w="1719" w:type="pct"/>
            <w:vAlign w:val="center"/>
          </w:tcPr>
          <w:p w14:paraId="04EDCE26" w14:textId="77777777" w:rsidR="008C565C" w:rsidRPr="00205C77" w:rsidRDefault="008C565C" w:rsidP="009206E1">
            <w:pPr>
              <w:pStyle w:val="PCAddress"/>
              <w:ind w:left="709"/>
              <w:rPr>
                <w:rFonts w:ascii="Goudy Old Style" w:hAnsi="Goudy Old Style"/>
                <w:b/>
                <w:i/>
              </w:rPr>
            </w:pPr>
            <w:r w:rsidRPr="00205C77">
              <w:rPr>
                <w:rFonts w:ascii="Goudy Old Style" w:hAnsi="Goudy Old Style"/>
                <w:b/>
                <w:i/>
              </w:rPr>
              <w:t>Melbourne Office</w:t>
            </w:r>
          </w:p>
          <w:p w14:paraId="320A35BD" w14:textId="77777777" w:rsidR="008C565C" w:rsidRPr="00205C77" w:rsidRDefault="008C565C" w:rsidP="009206E1">
            <w:pPr>
              <w:pStyle w:val="PCAddress"/>
              <w:spacing w:after="0"/>
              <w:ind w:left="709"/>
              <w:rPr>
                <w:rFonts w:ascii="Goudy Old Style" w:hAnsi="Goudy Old Style"/>
              </w:rPr>
            </w:pPr>
            <w:r w:rsidRPr="000E71F8">
              <w:rPr>
                <w:rFonts w:ascii="Goudy Old Style" w:hAnsi="Goudy Old Style"/>
                <w:spacing w:val="-2"/>
              </w:rPr>
              <w:t>Level 8, Two Melbourne Quarter</w:t>
            </w:r>
            <w:r>
              <w:rPr>
                <w:rFonts w:ascii="Goudy Old Style" w:hAnsi="Goudy Old Style"/>
              </w:rPr>
              <w:t xml:space="preserve"> 697 Collins Street</w:t>
            </w:r>
            <w:r>
              <w:rPr>
                <w:rFonts w:ascii="Goudy Old Style" w:hAnsi="Goudy Old Style"/>
              </w:rPr>
              <w:br/>
              <w:t>Docklands  VIC  3008</w:t>
            </w:r>
          </w:p>
          <w:p w14:paraId="4CBC5466" w14:textId="77777777" w:rsidR="008C565C" w:rsidRPr="00205C77" w:rsidRDefault="008C565C" w:rsidP="009206E1">
            <w:pPr>
              <w:pStyle w:val="PCAddress"/>
              <w:spacing w:after="0"/>
              <w:ind w:left="709"/>
              <w:rPr>
                <w:rFonts w:ascii="Goudy Old Style" w:hAnsi="Goudy Old Style"/>
              </w:rPr>
            </w:pPr>
            <w:r w:rsidRPr="00205C77">
              <w:rPr>
                <w:rFonts w:ascii="Goudy Old Style" w:hAnsi="Goudy Old Style"/>
              </w:rPr>
              <w:t xml:space="preserve">Locked Bag 2 Collins Street East </w:t>
            </w:r>
          </w:p>
          <w:p w14:paraId="6FFEA47E" w14:textId="77777777" w:rsidR="008C565C" w:rsidRPr="00205C77" w:rsidRDefault="008C565C" w:rsidP="009206E1">
            <w:pPr>
              <w:pStyle w:val="PCAddress"/>
              <w:ind w:left="709"/>
              <w:rPr>
                <w:rFonts w:ascii="Goudy Old Style" w:hAnsi="Goudy Old Style"/>
              </w:rPr>
            </w:pPr>
            <w:r w:rsidRPr="00205C77">
              <w:rPr>
                <w:rFonts w:ascii="Goudy Old Style" w:hAnsi="Goudy Old Style"/>
              </w:rPr>
              <w:t>Melbourne  VIC  8003</w:t>
            </w:r>
          </w:p>
          <w:p w14:paraId="16F97501" w14:textId="77777777" w:rsidR="008C565C" w:rsidRPr="00205C77" w:rsidRDefault="008C565C" w:rsidP="009206E1">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14:paraId="7B0A6B52" w14:textId="77777777" w:rsidR="008C565C" w:rsidRPr="00205C77" w:rsidRDefault="008C565C" w:rsidP="009206E1">
            <w:pPr>
              <w:pStyle w:val="PCAddress"/>
              <w:ind w:left="709"/>
              <w:rPr>
                <w:rFonts w:ascii="Goudy Old Style" w:hAnsi="Goudy Old Style"/>
                <w:b/>
                <w:i/>
              </w:rPr>
            </w:pPr>
            <w:r w:rsidRPr="00205C77">
              <w:rPr>
                <w:rFonts w:ascii="Goudy Old Style" w:hAnsi="Goudy Old Style"/>
                <w:b/>
                <w:i/>
              </w:rPr>
              <w:t>Canberra Office</w:t>
            </w:r>
          </w:p>
          <w:p w14:paraId="59C41F53" w14:textId="77777777" w:rsidR="008C565C" w:rsidRPr="00205C77" w:rsidRDefault="008C565C" w:rsidP="009206E1">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14:paraId="53F29AC7" w14:textId="77777777" w:rsidR="008C565C" w:rsidRPr="00205C77" w:rsidRDefault="008C565C" w:rsidP="009206E1">
            <w:pPr>
              <w:pStyle w:val="PCAddress"/>
              <w:ind w:left="709"/>
              <w:rPr>
                <w:rFonts w:ascii="Goudy Old Style" w:hAnsi="Goudy Old Style"/>
              </w:rPr>
            </w:pPr>
            <w:r w:rsidRPr="00205C77">
              <w:rPr>
                <w:rFonts w:ascii="Goudy Old Style" w:hAnsi="Goudy Old Style"/>
              </w:rPr>
              <w:t>www.pc.gov.au</w:t>
            </w:r>
          </w:p>
        </w:tc>
      </w:tr>
    </w:tbl>
    <w:p w14:paraId="3B7AE230" w14:textId="77777777" w:rsidR="008C565C" w:rsidRPr="00C76C25" w:rsidRDefault="008C565C" w:rsidP="008C565C">
      <w:pPr>
        <w:pStyle w:val="LetterAddress"/>
      </w:pPr>
    </w:p>
    <w:p w14:paraId="744411DE" w14:textId="77777777" w:rsidR="008C565C" w:rsidRDefault="008C565C" w:rsidP="008C565C">
      <w:pPr>
        <w:pStyle w:val="LetterAddress"/>
      </w:pPr>
      <w:r>
        <w:t>The Hon Josh Frydenberg MP</w:t>
      </w:r>
    </w:p>
    <w:p w14:paraId="726E67F5" w14:textId="77777777" w:rsidR="008C565C" w:rsidRDefault="008C565C" w:rsidP="008C565C">
      <w:pPr>
        <w:pStyle w:val="LetterAddress"/>
      </w:pPr>
      <w:r>
        <w:t>Treasurer</w:t>
      </w:r>
    </w:p>
    <w:p w14:paraId="10971B04" w14:textId="77777777" w:rsidR="008C565C" w:rsidRDefault="008C565C" w:rsidP="008C565C">
      <w:pPr>
        <w:pStyle w:val="LetterAddress"/>
      </w:pPr>
      <w:r>
        <w:t>Parliament House</w:t>
      </w:r>
    </w:p>
    <w:p w14:paraId="0FF4296B" w14:textId="77777777" w:rsidR="008C565C" w:rsidRDefault="008C565C" w:rsidP="008C565C">
      <w:pPr>
        <w:pStyle w:val="LetterAddress"/>
        <w:spacing w:after="480"/>
      </w:pPr>
      <w:r>
        <w:t>CANBERRA ACT 2600</w:t>
      </w:r>
    </w:p>
    <w:p w14:paraId="24E5B3DB" w14:textId="77777777" w:rsidR="008C565C" w:rsidRPr="00C76C25" w:rsidRDefault="008C565C" w:rsidP="008C565C">
      <w:pPr>
        <w:pStyle w:val="Salutation"/>
      </w:pPr>
      <w:r w:rsidRPr="00C76C25">
        <w:t>Dear Treasurer</w:t>
      </w:r>
    </w:p>
    <w:p w14:paraId="1B31A510" w14:textId="77777777" w:rsidR="008C565C" w:rsidRPr="0027513F" w:rsidRDefault="008C565C" w:rsidP="008C565C">
      <w:pPr>
        <w:pStyle w:val="BodyText"/>
      </w:pPr>
      <w:r>
        <w:t>In accordance with s</w:t>
      </w:r>
      <w:r w:rsidRPr="0027513F">
        <w:t xml:space="preserve">ection 11 of the </w:t>
      </w:r>
      <w:r w:rsidRPr="00692889">
        <w:rPr>
          <w:i/>
        </w:rPr>
        <w:t>Productivity Commission Act 1998</w:t>
      </w:r>
      <w:r w:rsidRPr="0027513F">
        <w:t>, we have pleasure in submitting to you the Commission’s final report into</w:t>
      </w:r>
      <w:r>
        <w:t xml:space="preserve"> </w:t>
      </w:r>
      <w:r>
        <w:rPr>
          <w:i/>
          <w:iCs/>
        </w:rPr>
        <w:t>National Water Reform 2020</w:t>
      </w:r>
      <w:r w:rsidRPr="0027513F">
        <w:t>.</w:t>
      </w:r>
    </w:p>
    <w:p w14:paraId="5A961BBF" w14:textId="77777777" w:rsidR="008C565C" w:rsidRDefault="008C565C" w:rsidP="008C565C">
      <w:pPr>
        <w:pStyle w:val="Signoff"/>
      </w:pPr>
      <w:r w:rsidRPr="00C76C25">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3566"/>
      </w:tblGrid>
      <w:tr w:rsidR="008C565C" w14:paraId="46983E4A" w14:textId="77777777" w:rsidTr="009206E1">
        <w:tc>
          <w:tcPr>
            <w:tcW w:w="3522" w:type="dxa"/>
          </w:tcPr>
          <w:p w14:paraId="4BB34C6C" w14:textId="77777777" w:rsidR="008C565C" w:rsidRDefault="008C565C" w:rsidP="009206E1">
            <w:pPr>
              <w:pStyle w:val="BodyText"/>
            </w:pPr>
            <w:r>
              <w:rPr>
                <w:noProof/>
              </w:rPr>
              <w:drawing>
                <wp:inline distT="0" distB="0" distL="0" distR="0" wp14:anchorId="62F7EAB2" wp14:editId="5CA5BDF6">
                  <wp:extent cx="1097280" cy="563880"/>
                  <wp:effectExtent l="0" t="0" r="7620" b="7620"/>
                  <wp:docPr id="34" name="Picture 34" descr="Jane Doola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ane Doolan's signature"/>
                          <pic:cNvPicPr/>
                        </pic:nvPicPr>
                        <pic:blipFill>
                          <a:blip r:embed="rId14">
                            <a:extLst>
                              <a:ext uri="{28A0092B-C50C-407E-A947-70E740481C1C}">
                                <a14:useLocalDpi xmlns:a14="http://schemas.microsoft.com/office/drawing/2010/main" val="0"/>
                              </a:ext>
                            </a:extLst>
                          </a:blip>
                          <a:stretch>
                            <a:fillRect/>
                          </a:stretch>
                        </pic:blipFill>
                        <pic:spPr>
                          <a:xfrm>
                            <a:off x="0" y="0"/>
                            <a:ext cx="1097280" cy="563880"/>
                          </a:xfrm>
                          <a:prstGeom prst="rect">
                            <a:avLst/>
                          </a:prstGeom>
                        </pic:spPr>
                      </pic:pic>
                    </a:graphicData>
                  </a:graphic>
                </wp:inline>
              </w:drawing>
            </w:r>
          </w:p>
        </w:tc>
        <w:tc>
          <w:tcPr>
            <w:tcW w:w="3566" w:type="dxa"/>
          </w:tcPr>
          <w:p w14:paraId="3887A380" w14:textId="77777777" w:rsidR="008C565C" w:rsidRDefault="008C565C" w:rsidP="009206E1">
            <w:pPr>
              <w:pStyle w:val="BodyText"/>
              <w:rPr>
                <w:szCs w:val="25"/>
              </w:rPr>
            </w:pPr>
            <w:r>
              <w:rPr>
                <w:noProof/>
              </w:rPr>
              <w:drawing>
                <wp:inline distT="0" distB="0" distL="0" distR="0" wp14:anchorId="29BFC36A" wp14:editId="36C23027">
                  <wp:extent cx="1389635" cy="796551"/>
                  <wp:effectExtent l="0" t="0" r="1270" b="3810"/>
                  <wp:docPr id="35" name="Picture 35" descr="Drew Colli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rew Collins' signature"/>
                          <pic:cNvPicPr/>
                        </pic:nvPicPr>
                        <pic:blipFill>
                          <a:blip r:embed="rId15">
                            <a:extLst>
                              <a:ext uri="{28A0092B-C50C-407E-A947-70E740481C1C}">
                                <a14:useLocalDpi xmlns:a14="http://schemas.microsoft.com/office/drawing/2010/main" val="0"/>
                              </a:ext>
                            </a:extLst>
                          </a:blip>
                          <a:stretch>
                            <a:fillRect/>
                          </a:stretch>
                        </pic:blipFill>
                        <pic:spPr>
                          <a:xfrm>
                            <a:off x="0" y="0"/>
                            <a:ext cx="1389635" cy="796551"/>
                          </a:xfrm>
                          <a:prstGeom prst="rect">
                            <a:avLst/>
                          </a:prstGeom>
                        </pic:spPr>
                      </pic:pic>
                    </a:graphicData>
                  </a:graphic>
                </wp:inline>
              </w:drawing>
            </w:r>
          </w:p>
        </w:tc>
      </w:tr>
      <w:tr w:rsidR="008C565C" w14:paraId="355CD3DC" w14:textId="77777777" w:rsidTr="009206E1">
        <w:tc>
          <w:tcPr>
            <w:tcW w:w="3522" w:type="dxa"/>
          </w:tcPr>
          <w:p w14:paraId="599A8016" w14:textId="77777777" w:rsidR="008C565C" w:rsidRPr="0027513F" w:rsidRDefault="008C565C" w:rsidP="009206E1">
            <w:pPr>
              <w:pStyle w:val="BodyText"/>
            </w:pPr>
            <w:r>
              <w:t>Dr Jane Doolan</w:t>
            </w:r>
          </w:p>
          <w:p w14:paraId="1730B8B7" w14:textId="77777777" w:rsidR="008C565C" w:rsidRPr="0027513F" w:rsidRDefault="008C565C" w:rsidP="009206E1">
            <w:pPr>
              <w:pStyle w:val="LetterAddress"/>
              <w:rPr>
                <w:szCs w:val="25"/>
              </w:rPr>
            </w:pPr>
            <w:r w:rsidRPr="0027513F">
              <w:rPr>
                <w:szCs w:val="25"/>
              </w:rPr>
              <w:t>Presiding Commissioner</w:t>
            </w:r>
          </w:p>
        </w:tc>
        <w:tc>
          <w:tcPr>
            <w:tcW w:w="3566" w:type="dxa"/>
          </w:tcPr>
          <w:p w14:paraId="432B0D76" w14:textId="77777777" w:rsidR="008C565C" w:rsidRPr="0027513F" w:rsidRDefault="008C565C" w:rsidP="009206E1">
            <w:pPr>
              <w:pStyle w:val="BodyText"/>
              <w:rPr>
                <w:szCs w:val="25"/>
              </w:rPr>
            </w:pPr>
            <w:r>
              <w:rPr>
                <w:szCs w:val="25"/>
              </w:rPr>
              <w:t>Drew Collins</w:t>
            </w:r>
          </w:p>
          <w:p w14:paraId="65B03E8F" w14:textId="77777777" w:rsidR="008C565C" w:rsidRPr="0027513F" w:rsidRDefault="008C565C" w:rsidP="009206E1">
            <w:pPr>
              <w:pStyle w:val="LetterAddress"/>
              <w:rPr>
                <w:szCs w:val="25"/>
              </w:rPr>
            </w:pPr>
            <w:r w:rsidRPr="0027513F">
              <w:rPr>
                <w:szCs w:val="25"/>
              </w:rPr>
              <w:t>Commissioner</w:t>
            </w:r>
          </w:p>
        </w:tc>
      </w:tr>
    </w:tbl>
    <w:p w14:paraId="45386594" w14:textId="77777777" w:rsidR="008C565C" w:rsidRDefault="008C565C" w:rsidP="008C565C">
      <w:pPr>
        <w:pStyle w:val="BodyText"/>
        <w:sectPr w:rsidR="008C565C" w:rsidSect="008C565C">
          <w:pgSz w:w="11907" w:h="16840" w:code="9"/>
          <w:pgMar w:top="1304" w:right="1304" w:bottom="567" w:left="1814" w:header="1701" w:footer="397" w:gutter="0"/>
          <w:pgNumType w:fmt="lowerRoman" w:start="1"/>
          <w:cols w:space="720"/>
          <w:titlePg/>
        </w:sectPr>
      </w:pPr>
    </w:p>
    <w:p w14:paraId="1F9DC39F" w14:textId="77777777" w:rsidR="008C565C" w:rsidRDefault="008C565C" w:rsidP="008C565C">
      <w:pPr>
        <w:pStyle w:val="Heading1NotTOC"/>
        <w:rPr>
          <w:noProof/>
        </w:rPr>
      </w:pPr>
      <w:bookmarkStart w:id="5" w:name="Contents"/>
      <w:bookmarkEnd w:id="5"/>
      <w:r w:rsidRPr="00B153C3">
        <w:lastRenderedPageBreak/>
        <w:t>Contents</w:t>
      </w:r>
      <w:bookmarkStart w:id="6" w:name="InsertContents"/>
      <w:bookmarkEnd w:id="6"/>
    </w:p>
    <w:p w14:paraId="23C93626" w14:textId="7566AA78" w:rsidR="009A4626" w:rsidRDefault="008F3F02" w:rsidP="00297A19">
      <w:pPr>
        <w:pStyle w:val="TOC1"/>
        <w:rPr>
          <w:b w:val="0"/>
          <w:bCs/>
          <w:noProof/>
        </w:rPr>
      </w:pPr>
      <w:r>
        <w:rPr>
          <w:b w:val="0"/>
          <w:bCs/>
          <w:noProof/>
        </w:rPr>
        <w:t>T</w:t>
      </w:r>
      <w:r w:rsidR="009A4626">
        <w:rPr>
          <w:b w:val="0"/>
          <w:bCs/>
          <w:noProof/>
        </w:rPr>
        <w:t>ransmit</w:t>
      </w:r>
      <w:r>
        <w:rPr>
          <w:b w:val="0"/>
          <w:bCs/>
          <w:noProof/>
        </w:rPr>
        <w:t>tal letter</w:t>
      </w:r>
      <w:r w:rsidR="009A4626">
        <w:rPr>
          <w:b w:val="0"/>
          <w:bCs/>
          <w:noProof/>
        </w:rPr>
        <w:tab/>
      </w:r>
      <w:r w:rsidR="00DC71B6">
        <w:rPr>
          <w:b w:val="0"/>
          <w:bCs/>
          <w:noProof/>
        </w:rPr>
        <w:t>iii</w:t>
      </w:r>
    </w:p>
    <w:p w14:paraId="316C61A1" w14:textId="3F79B798" w:rsidR="00297A19" w:rsidRPr="009A4626" w:rsidRDefault="00297A19" w:rsidP="00297A19">
      <w:pPr>
        <w:pStyle w:val="TOC1"/>
        <w:rPr>
          <w:rFonts w:asciiTheme="minorHAnsi" w:eastAsiaTheme="minorEastAsia" w:hAnsiTheme="minorHAnsi" w:cstheme="minorBidi"/>
          <w:b w:val="0"/>
          <w:bCs/>
          <w:noProof/>
          <w:sz w:val="22"/>
          <w:szCs w:val="22"/>
          <w:lang w:eastAsia="en-AU"/>
        </w:rPr>
      </w:pPr>
      <w:r w:rsidRPr="009A4626">
        <w:rPr>
          <w:b w:val="0"/>
          <w:bCs/>
          <w:noProof/>
        </w:rPr>
        <w:t>Acknowledgments</w:t>
      </w:r>
      <w:r w:rsidRPr="009A4626">
        <w:rPr>
          <w:b w:val="0"/>
          <w:bCs/>
          <w:noProof/>
        </w:rPr>
        <w:tab/>
      </w:r>
      <w:r w:rsidRPr="009A4626">
        <w:rPr>
          <w:b w:val="0"/>
          <w:bCs/>
          <w:noProof/>
        </w:rPr>
        <w:fldChar w:fldCharType="begin"/>
      </w:r>
      <w:r w:rsidRPr="009A4626">
        <w:rPr>
          <w:b w:val="0"/>
          <w:bCs/>
          <w:noProof/>
        </w:rPr>
        <w:instrText xml:space="preserve"> PAGEREF _Toc72939474 \h </w:instrText>
      </w:r>
      <w:r w:rsidRPr="009A4626">
        <w:rPr>
          <w:b w:val="0"/>
          <w:bCs/>
          <w:noProof/>
        </w:rPr>
      </w:r>
      <w:r w:rsidRPr="009A4626">
        <w:rPr>
          <w:b w:val="0"/>
          <w:bCs/>
          <w:noProof/>
        </w:rPr>
        <w:fldChar w:fldCharType="separate"/>
      </w:r>
      <w:r w:rsidR="00104E04">
        <w:rPr>
          <w:b w:val="0"/>
          <w:bCs/>
          <w:noProof/>
        </w:rPr>
        <w:t>ix</w:t>
      </w:r>
      <w:r w:rsidRPr="009A4626">
        <w:rPr>
          <w:b w:val="0"/>
          <w:bCs/>
          <w:noProof/>
        </w:rPr>
        <w:fldChar w:fldCharType="end"/>
      </w:r>
    </w:p>
    <w:p w14:paraId="25EA3A1A" w14:textId="7CEE38FB" w:rsidR="00297A19" w:rsidRPr="009A4626" w:rsidRDefault="00297A19" w:rsidP="00297A19">
      <w:pPr>
        <w:pStyle w:val="TOC1"/>
        <w:rPr>
          <w:rFonts w:asciiTheme="minorHAnsi" w:eastAsiaTheme="minorEastAsia" w:hAnsiTheme="minorHAnsi" w:cstheme="minorBidi"/>
          <w:b w:val="0"/>
          <w:bCs/>
          <w:noProof/>
          <w:sz w:val="22"/>
          <w:szCs w:val="22"/>
          <w:lang w:eastAsia="en-AU"/>
        </w:rPr>
      </w:pPr>
      <w:r w:rsidRPr="009A4626">
        <w:rPr>
          <w:b w:val="0"/>
          <w:bCs/>
          <w:noProof/>
        </w:rPr>
        <w:t>Abbreviations</w:t>
      </w:r>
      <w:r w:rsidRPr="009A4626">
        <w:rPr>
          <w:b w:val="0"/>
          <w:bCs/>
          <w:noProof/>
        </w:rPr>
        <w:tab/>
      </w:r>
      <w:r w:rsidRPr="009A4626">
        <w:rPr>
          <w:b w:val="0"/>
          <w:bCs/>
          <w:noProof/>
        </w:rPr>
        <w:fldChar w:fldCharType="begin"/>
      </w:r>
      <w:r w:rsidRPr="009A4626">
        <w:rPr>
          <w:b w:val="0"/>
          <w:bCs/>
          <w:noProof/>
        </w:rPr>
        <w:instrText xml:space="preserve"> PAGEREF _Toc72939475 \h </w:instrText>
      </w:r>
      <w:r w:rsidRPr="009A4626">
        <w:rPr>
          <w:b w:val="0"/>
          <w:bCs/>
          <w:noProof/>
        </w:rPr>
      </w:r>
      <w:r w:rsidRPr="009A4626">
        <w:rPr>
          <w:b w:val="0"/>
          <w:bCs/>
          <w:noProof/>
        </w:rPr>
        <w:fldChar w:fldCharType="separate"/>
      </w:r>
      <w:r w:rsidR="00104E04">
        <w:rPr>
          <w:b w:val="0"/>
          <w:bCs/>
          <w:noProof/>
        </w:rPr>
        <w:t>x</w:t>
      </w:r>
      <w:r w:rsidRPr="009A4626">
        <w:rPr>
          <w:b w:val="0"/>
          <w:bCs/>
          <w:noProof/>
        </w:rPr>
        <w:fldChar w:fldCharType="end"/>
      </w:r>
    </w:p>
    <w:p w14:paraId="616C4FC8" w14:textId="3B998675" w:rsidR="00297A19" w:rsidRDefault="00297A19" w:rsidP="00DC71B6">
      <w:pPr>
        <w:pStyle w:val="TOC1"/>
        <w:spacing w:before="360"/>
        <w:rPr>
          <w:rFonts w:asciiTheme="minorHAnsi" w:eastAsiaTheme="minorEastAsia" w:hAnsiTheme="minorHAnsi" w:cstheme="minorBidi"/>
          <w:b w:val="0"/>
          <w:noProof/>
          <w:sz w:val="22"/>
          <w:szCs w:val="22"/>
          <w:lang w:eastAsia="en-AU"/>
        </w:rPr>
      </w:pPr>
      <w:r>
        <w:rPr>
          <w:noProof/>
        </w:rPr>
        <w:t>Executive summary</w:t>
      </w:r>
      <w:r>
        <w:rPr>
          <w:noProof/>
        </w:rPr>
        <w:tab/>
      </w:r>
      <w:r>
        <w:rPr>
          <w:noProof/>
        </w:rPr>
        <w:fldChar w:fldCharType="begin"/>
      </w:r>
      <w:r>
        <w:rPr>
          <w:noProof/>
        </w:rPr>
        <w:instrText xml:space="preserve"> PAGEREF _Toc72939477 \h </w:instrText>
      </w:r>
      <w:r>
        <w:rPr>
          <w:noProof/>
        </w:rPr>
      </w:r>
      <w:r>
        <w:rPr>
          <w:noProof/>
        </w:rPr>
        <w:fldChar w:fldCharType="separate"/>
      </w:r>
      <w:r w:rsidR="00104E04">
        <w:rPr>
          <w:noProof/>
        </w:rPr>
        <w:t>1</w:t>
      </w:r>
      <w:r>
        <w:rPr>
          <w:noProof/>
        </w:rPr>
        <w:fldChar w:fldCharType="end"/>
      </w:r>
    </w:p>
    <w:p w14:paraId="133D87BF" w14:textId="1472B9CB" w:rsidR="00297A19" w:rsidRDefault="00297A19" w:rsidP="00297A19">
      <w:pPr>
        <w:pStyle w:val="TOC2"/>
        <w:rPr>
          <w:rFonts w:asciiTheme="minorHAnsi" w:eastAsiaTheme="minorEastAsia" w:hAnsiTheme="minorHAnsi" w:cstheme="minorBidi"/>
          <w:noProof/>
          <w:sz w:val="22"/>
          <w:szCs w:val="22"/>
          <w:lang w:eastAsia="en-AU"/>
        </w:rPr>
      </w:pPr>
      <w:r>
        <w:rPr>
          <w:noProof/>
        </w:rPr>
        <w:t>Reform advice on NWI renewal</w:t>
      </w:r>
      <w:r>
        <w:rPr>
          <w:noProof/>
        </w:rPr>
        <w:tab/>
      </w:r>
      <w:r>
        <w:rPr>
          <w:noProof/>
        </w:rPr>
        <w:fldChar w:fldCharType="begin"/>
      </w:r>
      <w:r>
        <w:rPr>
          <w:noProof/>
        </w:rPr>
        <w:instrText xml:space="preserve"> PAGEREF _Toc72939478 \h </w:instrText>
      </w:r>
      <w:r>
        <w:rPr>
          <w:noProof/>
        </w:rPr>
      </w:r>
      <w:r>
        <w:rPr>
          <w:noProof/>
        </w:rPr>
        <w:fldChar w:fldCharType="separate"/>
      </w:r>
      <w:r w:rsidR="00104E04">
        <w:rPr>
          <w:noProof/>
        </w:rPr>
        <w:t>5</w:t>
      </w:r>
      <w:r>
        <w:rPr>
          <w:noProof/>
        </w:rPr>
        <w:fldChar w:fldCharType="end"/>
      </w:r>
    </w:p>
    <w:p w14:paraId="3A8D66EE" w14:textId="269A908C" w:rsidR="00297A19" w:rsidRDefault="00297A19" w:rsidP="00DC71B6">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the inquiry</w:t>
      </w:r>
      <w:r>
        <w:rPr>
          <w:noProof/>
        </w:rPr>
        <w:tab/>
      </w:r>
      <w:r>
        <w:rPr>
          <w:noProof/>
        </w:rPr>
        <w:fldChar w:fldCharType="begin"/>
      </w:r>
      <w:r>
        <w:rPr>
          <w:noProof/>
        </w:rPr>
        <w:instrText xml:space="preserve"> PAGEREF _Toc72939479 \h </w:instrText>
      </w:r>
      <w:r>
        <w:rPr>
          <w:noProof/>
        </w:rPr>
      </w:r>
      <w:r>
        <w:rPr>
          <w:noProof/>
        </w:rPr>
        <w:fldChar w:fldCharType="separate"/>
      </w:r>
      <w:r w:rsidR="00104E04">
        <w:rPr>
          <w:noProof/>
        </w:rPr>
        <w:t>17</w:t>
      </w:r>
      <w:r>
        <w:rPr>
          <w:noProof/>
        </w:rPr>
        <w:fldChar w:fldCharType="end"/>
      </w:r>
    </w:p>
    <w:p w14:paraId="5DB2894F" w14:textId="54393F5E"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Context for the inquiry</w:t>
      </w:r>
      <w:r>
        <w:rPr>
          <w:noProof/>
        </w:rPr>
        <w:tab/>
      </w:r>
      <w:r>
        <w:rPr>
          <w:noProof/>
        </w:rPr>
        <w:fldChar w:fldCharType="begin"/>
      </w:r>
      <w:r>
        <w:rPr>
          <w:noProof/>
        </w:rPr>
        <w:instrText xml:space="preserve"> PAGEREF _Toc72939480 \h </w:instrText>
      </w:r>
      <w:r>
        <w:rPr>
          <w:noProof/>
        </w:rPr>
      </w:r>
      <w:r>
        <w:rPr>
          <w:noProof/>
        </w:rPr>
        <w:fldChar w:fldCharType="separate"/>
      </w:r>
      <w:r w:rsidR="00104E04">
        <w:rPr>
          <w:noProof/>
        </w:rPr>
        <w:t>17</w:t>
      </w:r>
      <w:r>
        <w:rPr>
          <w:noProof/>
        </w:rPr>
        <w:fldChar w:fldCharType="end"/>
      </w:r>
    </w:p>
    <w:p w14:paraId="254A752A" w14:textId="59891E78"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Commission’s task</w:t>
      </w:r>
      <w:r>
        <w:rPr>
          <w:noProof/>
        </w:rPr>
        <w:tab/>
      </w:r>
      <w:r>
        <w:rPr>
          <w:noProof/>
        </w:rPr>
        <w:fldChar w:fldCharType="begin"/>
      </w:r>
      <w:r>
        <w:rPr>
          <w:noProof/>
        </w:rPr>
        <w:instrText xml:space="preserve"> PAGEREF _Toc72939481 \h </w:instrText>
      </w:r>
      <w:r>
        <w:rPr>
          <w:noProof/>
        </w:rPr>
      </w:r>
      <w:r>
        <w:rPr>
          <w:noProof/>
        </w:rPr>
        <w:fldChar w:fldCharType="separate"/>
      </w:r>
      <w:r w:rsidR="00104E04">
        <w:rPr>
          <w:noProof/>
        </w:rPr>
        <w:t>20</w:t>
      </w:r>
      <w:r>
        <w:rPr>
          <w:noProof/>
        </w:rPr>
        <w:fldChar w:fldCharType="end"/>
      </w:r>
    </w:p>
    <w:p w14:paraId="347DA174" w14:textId="73333DB1"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Commission’s approach</w:t>
      </w:r>
      <w:r>
        <w:rPr>
          <w:noProof/>
        </w:rPr>
        <w:tab/>
      </w:r>
      <w:r>
        <w:rPr>
          <w:noProof/>
        </w:rPr>
        <w:fldChar w:fldCharType="begin"/>
      </w:r>
      <w:r>
        <w:rPr>
          <w:noProof/>
        </w:rPr>
        <w:instrText xml:space="preserve"> PAGEREF _Toc72939482 \h </w:instrText>
      </w:r>
      <w:r>
        <w:rPr>
          <w:noProof/>
        </w:rPr>
      </w:r>
      <w:r>
        <w:rPr>
          <w:noProof/>
        </w:rPr>
        <w:fldChar w:fldCharType="separate"/>
      </w:r>
      <w:r w:rsidR="00104E04">
        <w:rPr>
          <w:noProof/>
        </w:rPr>
        <w:t>21</w:t>
      </w:r>
      <w:r>
        <w:rPr>
          <w:noProof/>
        </w:rPr>
        <w:fldChar w:fldCharType="end"/>
      </w:r>
    </w:p>
    <w:p w14:paraId="52A7A6C5" w14:textId="1E425508"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Conduct of the inquiry</w:t>
      </w:r>
      <w:r>
        <w:rPr>
          <w:noProof/>
        </w:rPr>
        <w:tab/>
      </w:r>
      <w:r>
        <w:rPr>
          <w:noProof/>
        </w:rPr>
        <w:fldChar w:fldCharType="begin"/>
      </w:r>
      <w:r>
        <w:rPr>
          <w:noProof/>
        </w:rPr>
        <w:instrText xml:space="preserve"> PAGEREF _Toc72939483 \h </w:instrText>
      </w:r>
      <w:r>
        <w:rPr>
          <w:noProof/>
        </w:rPr>
      </w:r>
      <w:r>
        <w:rPr>
          <w:noProof/>
        </w:rPr>
        <w:fldChar w:fldCharType="separate"/>
      </w:r>
      <w:r w:rsidR="00104E04">
        <w:rPr>
          <w:noProof/>
        </w:rPr>
        <w:t>22</w:t>
      </w:r>
      <w:r>
        <w:rPr>
          <w:noProof/>
        </w:rPr>
        <w:fldChar w:fldCharType="end"/>
      </w:r>
    </w:p>
    <w:p w14:paraId="04B5C649" w14:textId="24CE7007" w:rsidR="00297A19" w:rsidRDefault="00297A19" w:rsidP="00297A19">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sidRPr="003A1884">
        <w:rPr>
          <w:rFonts w:ascii="Arial Bold" w:hAnsi="Arial Bold"/>
          <w:noProof/>
          <w:spacing w:val="-6"/>
        </w:rPr>
        <w:t>Progress against the NWI and the case for continuing reform</w:t>
      </w:r>
      <w:r>
        <w:rPr>
          <w:noProof/>
        </w:rPr>
        <w:tab/>
      </w:r>
      <w:r>
        <w:rPr>
          <w:noProof/>
        </w:rPr>
        <w:fldChar w:fldCharType="begin"/>
      </w:r>
      <w:r>
        <w:rPr>
          <w:noProof/>
        </w:rPr>
        <w:instrText xml:space="preserve"> PAGEREF _Toc72939484 \h </w:instrText>
      </w:r>
      <w:r>
        <w:rPr>
          <w:noProof/>
        </w:rPr>
      </w:r>
      <w:r>
        <w:rPr>
          <w:noProof/>
        </w:rPr>
        <w:fldChar w:fldCharType="separate"/>
      </w:r>
      <w:r w:rsidR="00104E04">
        <w:rPr>
          <w:noProof/>
        </w:rPr>
        <w:t>25</w:t>
      </w:r>
      <w:r>
        <w:rPr>
          <w:noProof/>
        </w:rPr>
        <w:fldChar w:fldCharType="end"/>
      </w:r>
    </w:p>
    <w:p w14:paraId="4C849584" w14:textId="58ED7A81"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Overview of the NWI reform agenda</w:t>
      </w:r>
      <w:r>
        <w:rPr>
          <w:noProof/>
        </w:rPr>
        <w:tab/>
      </w:r>
      <w:r>
        <w:rPr>
          <w:noProof/>
        </w:rPr>
        <w:fldChar w:fldCharType="begin"/>
      </w:r>
      <w:r>
        <w:rPr>
          <w:noProof/>
        </w:rPr>
        <w:instrText xml:space="preserve"> PAGEREF _Toc72939485 \h </w:instrText>
      </w:r>
      <w:r>
        <w:rPr>
          <w:noProof/>
        </w:rPr>
      </w:r>
      <w:r>
        <w:rPr>
          <w:noProof/>
        </w:rPr>
        <w:fldChar w:fldCharType="separate"/>
      </w:r>
      <w:r w:rsidR="00104E04">
        <w:rPr>
          <w:noProof/>
        </w:rPr>
        <w:t>26</w:t>
      </w:r>
      <w:r>
        <w:rPr>
          <w:noProof/>
        </w:rPr>
        <w:fldChar w:fldCharType="end"/>
      </w:r>
    </w:p>
    <w:p w14:paraId="1568CF3C" w14:textId="69473EA5"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Summary of progress against the agreement</w:t>
      </w:r>
      <w:r>
        <w:rPr>
          <w:noProof/>
        </w:rPr>
        <w:tab/>
      </w:r>
      <w:r>
        <w:rPr>
          <w:noProof/>
        </w:rPr>
        <w:fldChar w:fldCharType="begin"/>
      </w:r>
      <w:r>
        <w:rPr>
          <w:noProof/>
        </w:rPr>
        <w:instrText xml:space="preserve"> PAGEREF _Toc72939486 \h </w:instrText>
      </w:r>
      <w:r>
        <w:rPr>
          <w:noProof/>
        </w:rPr>
      </w:r>
      <w:r>
        <w:rPr>
          <w:noProof/>
        </w:rPr>
        <w:fldChar w:fldCharType="separate"/>
      </w:r>
      <w:r w:rsidR="00104E04">
        <w:rPr>
          <w:noProof/>
        </w:rPr>
        <w:t>27</w:t>
      </w:r>
      <w:r>
        <w:rPr>
          <w:noProof/>
        </w:rPr>
        <w:fldChar w:fldCharType="end"/>
      </w:r>
    </w:p>
    <w:p w14:paraId="70E2E1F2" w14:textId="133B7296"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Reforms have contributed to sizeable benefits</w:t>
      </w:r>
      <w:r>
        <w:rPr>
          <w:noProof/>
        </w:rPr>
        <w:tab/>
      </w:r>
      <w:r>
        <w:rPr>
          <w:noProof/>
        </w:rPr>
        <w:fldChar w:fldCharType="begin"/>
      </w:r>
      <w:r>
        <w:rPr>
          <w:noProof/>
        </w:rPr>
        <w:instrText xml:space="preserve"> PAGEREF _Toc72939487 \h </w:instrText>
      </w:r>
      <w:r>
        <w:rPr>
          <w:noProof/>
        </w:rPr>
      </w:r>
      <w:r>
        <w:rPr>
          <w:noProof/>
        </w:rPr>
        <w:fldChar w:fldCharType="separate"/>
      </w:r>
      <w:r w:rsidR="00104E04">
        <w:rPr>
          <w:noProof/>
        </w:rPr>
        <w:t>29</w:t>
      </w:r>
      <w:r>
        <w:rPr>
          <w:noProof/>
        </w:rPr>
        <w:fldChar w:fldCharType="end"/>
      </w:r>
    </w:p>
    <w:p w14:paraId="4B03071C" w14:textId="397562AA"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But the case for further reform is compelling</w:t>
      </w:r>
      <w:r>
        <w:rPr>
          <w:noProof/>
        </w:rPr>
        <w:tab/>
      </w:r>
      <w:r>
        <w:rPr>
          <w:noProof/>
        </w:rPr>
        <w:fldChar w:fldCharType="begin"/>
      </w:r>
      <w:r>
        <w:rPr>
          <w:noProof/>
        </w:rPr>
        <w:instrText xml:space="preserve"> PAGEREF _Toc72939488 \h </w:instrText>
      </w:r>
      <w:r>
        <w:rPr>
          <w:noProof/>
        </w:rPr>
      </w:r>
      <w:r>
        <w:rPr>
          <w:noProof/>
        </w:rPr>
        <w:fldChar w:fldCharType="separate"/>
      </w:r>
      <w:r w:rsidR="00104E04">
        <w:rPr>
          <w:noProof/>
        </w:rPr>
        <w:t>31</w:t>
      </w:r>
      <w:r>
        <w:rPr>
          <w:noProof/>
        </w:rPr>
        <w:fldChar w:fldCharType="end"/>
      </w:r>
    </w:p>
    <w:p w14:paraId="4E34A34C" w14:textId="0C2820CB"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2.5</w:t>
      </w:r>
      <w:r>
        <w:rPr>
          <w:rFonts w:asciiTheme="minorHAnsi" w:eastAsiaTheme="minorEastAsia" w:hAnsiTheme="minorHAnsi" w:cstheme="minorBidi"/>
          <w:noProof/>
          <w:sz w:val="22"/>
          <w:szCs w:val="22"/>
          <w:lang w:eastAsia="en-AU"/>
        </w:rPr>
        <w:tab/>
      </w:r>
      <w:r>
        <w:rPr>
          <w:noProof/>
        </w:rPr>
        <w:t>In summary: the case for renewed reform effort is convincing</w:t>
      </w:r>
      <w:r>
        <w:rPr>
          <w:noProof/>
        </w:rPr>
        <w:tab/>
      </w:r>
      <w:r>
        <w:rPr>
          <w:noProof/>
        </w:rPr>
        <w:fldChar w:fldCharType="begin"/>
      </w:r>
      <w:r>
        <w:rPr>
          <w:noProof/>
        </w:rPr>
        <w:instrText xml:space="preserve"> PAGEREF _Toc72939489 \h </w:instrText>
      </w:r>
      <w:r>
        <w:rPr>
          <w:noProof/>
        </w:rPr>
      </w:r>
      <w:r>
        <w:rPr>
          <w:noProof/>
        </w:rPr>
        <w:fldChar w:fldCharType="separate"/>
      </w:r>
      <w:r w:rsidR="00104E04">
        <w:rPr>
          <w:noProof/>
        </w:rPr>
        <w:t>43</w:t>
      </w:r>
      <w:r>
        <w:rPr>
          <w:noProof/>
        </w:rPr>
        <w:fldChar w:fldCharType="end"/>
      </w:r>
    </w:p>
    <w:p w14:paraId="54698A8D" w14:textId="6BEDBA34" w:rsidR="00297A19" w:rsidRDefault="00297A19" w:rsidP="00297A19">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NWI renewal: a refreshed intent</w:t>
      </w:r>
      <w:r>
        <w:rPr>
          <w:noProof/>
        </w:rPr>
        <w:tab/>
      </w:r>
      <w:r>
        <w:rPr>
          <w:noProof/>
        </w:rPr>
        <w:fldChar w:fldCharType="begin"/>
      </w:r>
      <w:r>
        <w:rPr>
          <w:noProof/>
        </w:rPr>
        <w:instrText xml:space="preserve"> PAGEREF _Toc72939490 \h </w:instrText>
      </w:r>
      <w:r>
        <w:rPr>
          <w:noProof/>
        </w:rPr>
      </w:r>
      <w:r>
        <w:rPr>
          <w:noProof/>
        </w:rPr>
        <w:fldChar w:fldCharType="separate"/>
      </w:r>
      <w:r w:rsidR="00104E04">
        <w:rPr>
          <w:noProof/>
        </w:rPr>
        <w:t>45</w:t>
      </w:r>
      <w:r>
        <w:rPr>
          <w:noProof/>
        </w:rPr>
        <w:fldChar w:fldCharType="end"/>
      </w:r>
    </w:p>
    <w:p w14:paraId="6FF52B4C" w14:textId="0BF8C7A5"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Why a national approach to water reform?</w:t>
      </w:r>
      <w:r>
        <w:rPr>
          <w:noProof/>
        </w:rPr>
        <w:tab/>
      </w:r>
      <w:r>
        <w:rPr>
          <w:noProof/>
        </w:rPr>
        <w:fldChar w:fldCharType="begin"/>
      </w:r>
      <w:r>
        <w:rPr>
          <w:noProof/>
        </w:rPr>
        <w:instrText xml:space="preserve"> PAGEREF _Toc72939491 \h </w:instrText>
      </w:r>
      <w:r>
        <w:rPr>
          <w:noProof/>
        </w:rPr>
      </w:r>
      <w:r>
        <w:rPr>
          <w:noProof/>
        </w:rPr>
        <w:fldChar w:fldCharType="separate"/>
      </w:r>
      <w:r w:rsidR="00104E04">
        <w:rPr>
          <w:noProof/>
        </w:rPr>
        <w:t>47</w:t>
      </w:r>
      <w:r>
        <w:rPr>
          <w:noProof/>
        </w:rPr>
        <w:fldChar w:fldCharType="end"/>
      </w:r>
    </w:p>
    <w:p w14:paraId="2B8AE7EA" w14:textId="0FB85755"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 modernised goal</w:t>
      </w:r>
      <w:r>
        <w:rPr>
          <w:noProof/>
        </w:rPr>
        <w:tab/>
      </w:r>
      <w:r>
        <w:rPr>
          <w:noProof/>
        </w:rPr>
        <w:fldChar w:fldCharType="begin"/>
      </w:r>
      <w:r>
        <w:rPr>
          <w:noProof/>
        </w:rPr>
        <w:instrText xml:space="preserve"> PAGEREF _Toc72939492 \h </w:instrText>
      </w:r>
      <w:r>
        <w:rPr>
          <w:noProof/>
        </w:rPr>
      </w:r>
      <w:r>
        <w:rPr>
          <w:noProof/>
        </w:rPr>
        <w:fldChar w:fldCharType="separate"/>
      </w:r>
      <w:r w:rsidR="00104E04">
        <w:rPr>
          <w:noProof/>
        </w:rPr>
        <w:t>47</w:t>
      </w:r>
      <w:r>
        <w:rPr>
          <w:noProof/>
        </w:rPr>
        <w:fldChar w:fldCharType="end"/>
      </w:r>
    </w:p>
    <w:p w14:paraId="0AEFC5AA" w14:textId="12B8D631"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Modernised overarching objectives</w:t>
      </w:r>
      <w:r>
        <w:rPr>
          <w:noProof/>
        </w:rPr>
        <w:tab/>
      </w:r>
      <w:r>
        <w:rPr>
          <w:noProof/>
        </w:rPr>
        <w:fldChar w:fldCharType="begin"/>
      </w:r>
      <w:r>
        <w:rPr>
          <w:noProof/>
        </w:rPr>
        <w:instrText xml:space="preserve"> PAGEREF _Toc72939493 \h </w:instrText>
      </w:r>
      <w:r>
        <w:rPr>
          <w:noProof/>
        </w:rPr>
      </w:r>
      <w:r>
        <w:rPr>
          <w:noProof/>
        </w:rPr>
        <w:fldChar w:fldCharType="separate"/>
      </w:r>
      <w:r w:rsidR="00104E04">
        <w:rPr>
          <w:noProof/>
        </w:rPr>
        <w:t>49</w:t>
      </w:r>
      <w:r>
        <w:rPr>
          <w:noProof/>
        </w:rPr>
        <w:fldChar w:fldCharType="end"/>
      </w:r>
    </w:p>
    <w:p w14:paraId="2B7ED371" w14:textId="3E4A9886"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Modernised detailed objectives</w:t>
      </w:r>
      <w:r>
        <w:rPr>
          <w:noProof/>
        </w:rPr>
        <w:tab/>
      </w:r>
      <w:r>
        <w:rPr>
          <w:noProof/>
        </w:rPr>
        <w:fldChar w:fldCharType="begin"/>
      </w:r>
      <w:r>
        <w:rPr>
          <w:noProof/>
        </w:rPr>
        <w:instrText xml:space="preserve"> PAGEREF _Toc72939494 \h </w:instrText>
      </w:r>
      <w:r>
        <w:rPr>
          <w:noProof/>
        </w:rPr>
      </w:r>
      <w:r>
        <w:rPr>
          <w:noProof/>
        </w:rPr>
        <w:fldChar w:fldCharType="separate"/>
      </w:r>
      <w:r w:rsidR="00104E04">
        <w:rPr>
          <w:noProof/>
        </w:rPr>
        <w:t>50</w:t>
      </w:r>
      <w:r>
        <w:rPr>
          <w:noProof/>
        </w:rPr>
        <w:fldChar w:fldCharType="end"/>
      </w:r>
    </w:p>
    <w:p w14:paraId="3B8250DF" w14:textId="3E5F5507"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Foundations set in overarching principles</w:t>
      </w:r>
      <w:r>
        <w:rPr>
          <w:noProof/>
        </w:rPr>
        <w:tab/>
      </w:r>
      <w:r>
        <w:rPr>
          <w:noProof/>
        </w:rPr>
        <w:fldChar w:fldCharType="begin"/>
      </w:r>
      <w:r>
        <w:rPr>
          <w:noProof/>
        </w:rPr>
        <w:instrText xml:space="preserve"> PAGEREF _Toc72939495 \h </w:instrText>
      </w:r>
      <w:r>
        <w:rPr>
          <w:noProof/>
        </w:rPr>
      </w:r>
      <w:r>
        <w:rPr>
          <w:noProof/>
        </w:rPr>
        <w:fldChar w:fldCharType="separate"/>
      </w:r>
      <w:r w:rsidR="00104E04">
        <w:rPr>
          <w:noProof/>
        </w:rPr>
        <w:t>54</w:t>
      </w:r>
      <w:r>
        <w:rPr>
          <w:noProof/>
        </w:rPr>
        <w:fldChar w:fldCharType="end"/>
      </w:r>
    </w:p>
    <w:p w14:paraId="1165450B" w14:textId="465F5B55"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3.6</w:t>
      </w:r>
      <w:r>
        <w:rPr>
          <w:rFonts w:asciiTheme="minorHAnsi" w:eastAsiaTheme="minorEastAsia" w:hAnsiTheme="minorHAnsi" w:cstheme="minorBidi"/>
          <w:noProof/>
          <w:sz w:val="22"/>
          <w:szCs w:val="22"/>
          <w:lang w:eastAsia="en-AU"/>
        </w:rPr>
        <w:tab/>
      </w:r>
      <w:r>
        <w:rPr>
          <w:noProof/>
        </w:rPr>
        <w:t>Key elements</w:t>
      </w:r>
      <w:r>
        <w:rPr>
          <w:noProof/>
        </w:rPr>
        <w:tab/>
      </w:r>
      <w:r>
        <w:rPr>
          <w:noProof/>
        </w:rPr>
        <w:fldChar w:fldCharType="begin"/>
      </w:r>
      <w:r>
        <w:rPr>
          <w:noProof/>
        </w:rPr>
        <w:instrText xml:space="preserve"> PAGEREF _Toc72939496 \h </w:instrText>
      </w:r>
      <w:r>
        <w:rPr>
          <w:noProof/>
        </w:rPr>
      </w:r>
      <w:r>
        <w:rPr>
          <w:noProof/>
        </w:rPr>
        <w:fldChar w:fldCharType="separate"/>
      </w:r>
      <w:r w:rsidR="00104E04">
        <w:rPr>
          <w:noProof/>
        </w:rPr>
        <w:t>54</w:t>
      </w:r>
      <w:r>
        <w:rPr>
          <w:noProof/>
        </w:rPr>
        <w:fldChar w:fldCharType="end"/>
      </w:r>
    </w:p>
    <w:p w14:paraId="75167C27" w14:textId="4B49BB14"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3.7</w:t>
      </w:r>
      <w:r>
        <w:rPr>
          <w:rFonts w:asciiTheme="minorHAnsi" w:eastAsiaTheme="minorEastAsia" w:hAnsiTheme="minorHAnsi" w:cstheme="minorBidi"/>
          <w:noProof/>
          <w:sz w:val="22"/>
          <w:szCs w:val="22"/>
          <w:lang w:eastAsia="en-AU"/>
        </w:rPr>
        <w:tab/>
      </w:r>
      <w:r>
        <w:rPr>
          <w:noProof/>
        </w:rPr>
        <w:t>Updated acknowledgement of other initiatives</w:t>
      </w:r>
      <w:r>
        <w:rPr>
          <w:noProof/>
        </w:rPr>
        <w:tab/>
      </w:r>
      <w:r>
        <w:rPr>
          <w:noProof/>
        </w:rPr>
        <w:fldChar w:fldCharType="begin"/>
      </w:r>
      <w:r>
        <w:rPr>
          <w:noProof/>
        </w:rPr>
        <w:instrText xml:space="preserve"> PAGEREF _Toc72939497 \h </w:instrText>
      </w:r>
      <w:r>
        <w:rPr>
          <w:noProof/>
        </w:rPr>
      </w:r>
      <w:r>
        <w:rPr>
          <w:noProof/>
        </w:rPr>
        <w:fldChar w:fldCharType="separate"/>
      </w:r>
      <w:r w:rsidR="00104E04">
        <w:rPr>
          <w:noProof/>
        </w:rPr>
        <w:t>56</w:t>
      </w:r>
      <w:r>
        <w:rPr>
          <w:noProof/>
        </w:rPr>
        <w:fldChar w:fldCharType="end"/>
      </w:r>
    </w:p>
    <w:p w14:paraId="7AA5D71B" w14:textId="58B9BF79" w:rsidR="00297A19" w:rsidRDefault="00297A19" w:rsidP="00297A19">
      <w:pPr>
        <w:pStyle w:val="TOC1"/>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Building in good governance for a renewed NWI</w:t>
      </w:r>
      <w:r>
        <w:rPr>
          <w:noProof/>
        </w:rPr>
        <w:tab/>
      </w:r>
      <w:r>
        <w:rPr>
          <w:noProof/>
        </w:rPr>
        <w:fldChar w:fldCharType="begin"/>
      </w:r>
      <w:r>
        <w:rPr>
          <w:noProof/>
        </w:rPr>
        <w:instrText xml:space="preserve"> PAGEREF _Toc72939498 \h </w:instrText>
      </w:r>
      <w:r>
        <w:rPr>
          <w:noProof/>
        </w:rPr>
      </w:r>
      <w:r>
        <w:rPr>
          <w:noProof/>
        </w:rPr>
        <w:fldChar w:fldCharType="separate"/>
      </w:r>
      <w:r w:rsidR="00104E04">
        <w:rPr>
          <w:noProof/>
        </w:rPr>
        <w:t>59</w:t>
      </w:r>
      <w:r>
        <w:rPr>
          <w:noProof/>
        </w:rPr>
        <w:fldChar w:fldCharType="end"/>
      </w:r>
    </w:p>
    <w:p w14:paraId="473A1939" w14:textId="5EDE435F"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The NWI’s governance architecture has been significantly eroded</w:t>
      </w:r>
      <w:r>
        <w:rPr>
          <w:noProof/>
        </w:rPr>
        <w:tab/>
      </w:r>
      <w:r>
        <w:rPr>
          <w:noProof/>
        </w:rPr>
        <w:fldChar w:fldCharType="begin"/>
      </w:r>
      <w:r>
        <w:rPr>
          <w:noProof/>
        </w:rPr>
        <w:instrText xml:space="preserve"> PAGEREF _Toc72939499 \h </w:instrText>
      </w:r>
      <w:r>
        <w:rPr>
          <w:noProof/>
        </w:rPr>
      </w:r>
      <w:r>
        <w:rPr>
          <w:noProof/>
        </w:rPr>
        <w:fldChar w:fldCharType="separate"/>
      </w:r>
      <w:r w:rsidR="00104E04">
        <w:rPr>
          <w:noProof/>
        </w:rPr>
        <w:t>60</w:t>
      </w:r>
      <w:r>
        <w:rPr>
          <w:noProof/>
        </w:rPr>
        <w:fldChar w:fldCharType="end"/>
      </w:r>
    </w:p>
    <w:p w14:paraId="1AE687A3" w14:textId="0AAA81CF"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Characteristics of leading practice governance</w:t>
      </w:r>
      <w:r>
        <w:rPr>
          <w:noProof/>
        </w:rPr>
        <w:tab/>
      </w:r>
      <w:r>
        <w:rPr>
          <w:noProof/>
        </w:rPr>
        <w:fldChar w:fldCharType="begin"/>
      </w:r>
      <w:r>
        <w:rPr>
          <w:noProof/>
        </w:rPr>
        <w:instrText xml:space="preserve"> PAGEREF _Toc72939500 \h </w:instrText>
      </w:r>
      <w:r>
        <w:rPr>
          <w:noProof/>
        </w:rPr>
      </w:r>
      <w:r>
        <w:rPr>
          <w:noProof/>
        </w:rPr>
        <w:fldChar w:fldCharType="separate"/>
      </w:r>
      <w:r w:rsidR="00104E04">
        <w:rPr>
          <w:noProof/>
        </w:rPr>
        <w:t>61</w:t>
      </w:r>
      <w:r>
        <w:rPr>
          <w:noProof/>
        </w:rPr>
        <w:fldChar w:fldCharType="end"/>
      </w:r>
    </w:p>
    <w:p w14:paraId="18EE2938" w14:textId="79942713"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A modernised agreement structure</w:t>
      </w:r>
      <w:r>
        <w:rPr>
          <w:noProof/>
        </w:rPr>
        <w:tab/>
      </w:r>
      <w:r>
        <w:rPr>
          <w:noProof/>
        </w:rPr>
        <w:fldChar w:fldCharType="begin"/>
      </w:r>
      <w:r>
        <w:rPr>
          <w:noProof/>
        </w:rPr>
        <w:instrText xml:space="preserve"> PAGEREF _Toc72939501 \h </w:instrText>
      </w:r>
      <w:r>
        <w:rPr>
          <w:noProof/>
        </w:rPr>
      </w:r>
      <w:r>
        <w:rPr>
          <w:noProof/>
        </w:rPr>
        <w:fldChar w:fldCharType="separate"/>
      </w:r>
      <w:r w:rsidR="00104E04">
        <w:rPr>
          <w:noProof/>
        </w:rPr>
        <w:t>62</w:t>
      </w:r>
      <w:r>
        <w:rPr>
          <w:noProof/>
        </w:rPr>
        <w:fldChar w:fldCharType="end"/>
      </w:r>
    </w:p>
    <w:p w14:paraId="03B01B3F" w14:textId="37578674"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Organisational ‘best-fit’ for governance functions</w:t>
      </w:r>
      <w:r>
        <w:rPr>
          <w:noProof/>
        </w:rPr>
        <w:tab/>
      </w:r>
      <w:r>
        <w:rPr>
          <w:noProof/>
        </w:rPr>
        <w:fldChar w:fldCharType="begin"/>
      </w:r>
      <w:r>
        <w:rPr>
          <w:noProof/>
        </w:rPr>
        <w:instrText xml:space="preserve"> PAGEREF _Toc72939502 \h </w:instrText>
      </w:r>
      <w:r>
        <w:rPr>
          <w:noProof/>
        </w:rPr>
      </w:r>
      <w:r>
        <w:rPr>
          <w:noProof/>
        </w:rPr>
        <w:fldChar w:fldCharType="separate"/>
      </w:r>
      <w:r w:rsidR="00104E04">
        <w:rPr>
          <w:noProof/>
        </w:rPr>
        <w:t>63</w:t>
      </w:r>
      <w:r>
        <w:rPr>
          <w:noProof/>
        </w:rPr>
        <w:fldChar w:fldCharType="end"/>
      </w:r>
    </w:p>
    <w:p w14:paraId="1611E175" w14:textId="7B8DCB43"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Incentivising reform</w:t>
      </w:r>
      <w:r>
        <w:rPr>
          <w:noProof/>
        </w:rPr>
        <w:tab/>
      </w:r>
      <w:r>
        <w:rPr>
          <w:noProof/>
        </w:rPr>
        <w:fldChar w:fldCharType="begin"/>
      </w:r>
      <w:r>
        <w:rPr>
          <w:noProof/>
        </w:rPr>
        <w:instrText xml:space="preserve"> PAGEREF _Toc72939503 \h </w:instrText>
      </w:r>
      <w:r>
        <w:rPr>
          <w:noProof/>
        </w:rPr>
      </w:r>
      <w:r>
        <w:rPr>
          <w:noProof/>
        </w:rPr>
        <w:fldChar w:fldCharType="separate"/>
      </w:r>
      <w:r w:rsidR="00104E04">
        <w:rPr>
          <w:noProof/>
        </w:rPr>
        <w:t>65</w:t>
      </w:r>
      <w:r>
        <w:rPr>
          <w:noProof/>
        </w:rPr>
        <w:fldChar w:fldCharType="end"/>
      </w:r>
    </w:p>
    <w:p w14:paraId="4703075E" w14:textId="00EB30CE"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Greater transparency in NWI governance</w:t>
      </w:r>
      <w:r>
        <w:rPr>
          <w:noProof/>
        </w:rPr>
        <w:tab/>
      </w:r>
      <w:r>
        <w:rPr>
          <w:noProof/>
        </w:rPr>
        <w:fldChar w:fldCharType="begin"/>
      </w:r>
      <w:r>
        <w:rPr>
          <w:noProof/>
        </w:rPr>
        <w:instrText xml:space="preserve"> PAGEREF _Toc72939504 \h </w:instrText>
      </w:r>
      <w:r>
        <w:rPr>
          <w:noProof/>
        </w:rPr>
      </w:r>
      <w:r>
        <w:rPr>
          <w:noProof/>
        </w:rPr>
        <w:fldChar w:fldCharType="separate"/>
      </w:r>
      <w:r w:rsidR="00104E04">
        <w:rPr>
          <w:noProof/>
        </w:rPr>
        <w:t>65</w:t>
      </w:r>
      <w:r>
        <w:rPr>
          <w:noProof/>
        </w:rPr>
        <w:fldChar w:fldCharType="end"/>
      </w:r>
    </w:p>
    <w:p w14:paraId="5A3E6E06" w14:textId="1E1E9850" w:rsidR="00297A19" w:rsidRDefault="00297A19" w:rsidP="00297A19">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Water resource management — a fit</w:t>
      </w:r>
      <w:r>
        <w:rPr>
          <w:noProof/>
        </w:rPr>
        <w:noBreakHyphen/>
        <w:t>for</w:t>
      </w:r>
      <w:r>
        <w:rPr>
          <w:noProof/>
        </w:rPr>
        <w:noBreakHyphen/>
        <w:t>purpose framework</w:t>
      </w:r>
      <w:r>
        <w:rPr>
          <w:noProof/>
        </w:rPr>
        <w:tab/>
      </w:r>
      <w:r>
        <w:rPr>
          <w:noProof/>
        </w:rPr>
        <w:fldChar w:fldCharType="begin"/>
      </w:r>
      <w:r>
        <w:rPr>
          <w:noProof/>
        </w:rPr>
        <w:instrText xml:space="preserve"> PAGEREF _Toc72939505 \h </w:instrText>
      </w:r>
      <w:r>
        <w:rPr>
          <w:noProof/>
        </w:rPr>
      </w:r>
      <w:r>
        <w:rPr>
          <w:noProof/>
        </w:rPr>
        <w:fldChar w:fldCharType="separate"/>
      </w:r>
      <w:r w:rsidR="00104E04">
        <w:rPr>
          <w:noProof/>
        </w:rPr>
        <w:t>67</w:t>
      </w:r>
      <w:r>
        <w:rPr>
          <w:noProof/>
        </w:rPr>
        <w:fldChar w:fldCharType="end"/>
      </w:r>
    </w:p>
    <w:p w14:paraId="280FC3F5" w14:textId="452B5D21" w:rsidR="00297A19" w:rsidRDefault="00297A19" w:rsidP="00297A19">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Water entitlements and planning</w:t>
      </w:r>
      <w:r>
        <w:rPr>
          <w:noProof/>
        </w:rPr>
        <w:tab/>
      </w:r>
      <w:r>
        <w:rPr>
          <w:noProof/>
        </w:rPr>
        <w:fldChar w:fldCharType="begin"/>
      </w:r>
      <w:r>
        <w:rPr>
          <w:noProof/>
        </w:rPr>
        <w:instrText xml:space="preserve"> PAGEREF _Toc72939506 \h </w:instrText>
      </w:r>
      <w:r>
        <w:rPr>
          <w:noProof/>
        </w:rPr>
      </w:r>
      <w:r>
        <w:rPr>
          <w:noProof/>
        </w:rPr>
        <w:fldChar w:fldCharType="separate"/>
      </w:r>
      <w:r w:rsidR="00104E04">
        <w:rPr>
          <w:noProof/>
        </w:rPr>
        <w:t>73</w:t>
      </w:r>
      <w:r>
        <w:rPr>
          <w:noProof/>
        </w:rPr>
        <w:fldChar w:fldCharType="end"/>
      </w:r>
    </w:p>
    <w:p w14:paraId="7FDD576E" w14:textId="47D3F935"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Room for improvement in entitlements regimes</w:t>
      </w:r>
      <w:r>
        <w:rPr>
          <w:noProof/>
        </w:rPr>
        <w:tab/>
      </w:r>
      <w:r>
        <w:rPr>
          <w:noProof/>
        </w:rPr>
        <w:fldChar w:fldCharType="begin"/>
      </w:r>
      <w:r>
        <w:rPr>
          <w:noProof/>
        </w:rPr>
        <w:instrText xml:space="preserve"> PAGEREF _Toc72939507 \h </w:instrText>
      </w:r>
      <w:r>
        <w:rPr>
          <w:noProof/>
        </w:rPr>
      </w:r>
      <w:r>
        <w:rPr>
          <w:noProof/>
        </w:rPr>
        <w:fldChar w:fldCharType="separate"/>
      </w:r>
      <w:r w:rsidR="00104E04">
        <w:rPr>
          <w:noProof/>
        </w:rPr>
        <w:t>74</w:t>
      </w:r>
      <w:r>
        <w:rPr>
          <w:noProof/>
        </w:rPr>
        <w:fldChar w:fldCharType="end"/>
      </w:r>
    </w:p>
    <w:p w14:paraId="69701776" w14:textId="34F7D3E4"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Improvement in water planning</w:t>
      </w:r>
      <w:r>
        <w:rPr>
          <w:noProof/>
        </w:rPr>
        <w:tab/>
      </w:r>
      <w:r>
        <w:rPr>
          <w:noProof/>
        </w:rPr>
        <w:fldChar w:fldCharType="begin"/>
      </w:r>
      <w:r>
        <w:rPr>
          <w:noProof/>
        </w:rPr>
        <w:instrText xml:space="preserve"> PAGEREF _Toc72939508 \h </w:instrText>
      </w:r>
      <w:r>
        <w:rPr>
          <w:noProof/>
        </w:rPr>
      </w:r>
      <w:r>
        <w:rPr>
          <w:noProof/>
        </w:rPr>
        <w:fldChar w:fldCharType="separate"/>
      </w:r>
      <w:r w:rsidR="00104E04">
        <w:rPr>
          <w:noProof/>
        </w:rPr>
        <w:t>78</w:t>
      </w:r>
      <w:r>
        <w:rPr>
          <w:noProof/>
        </w:rPr>
        <w:fldChar w:fldCharType="end"/>
      </w:r>
    </w:p>
    <w:p w14:paraId="0C40F77E" w14:textId="6C23BF59" w:rsidR="00297A19" w:rsidRDefault="00297A19" w:rsidP="00297A19">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Water trading and markets</w:t>
      </w:r>
      <w:r>
        <w:rPr>
          <w:noProof/>
        </w:rPr>
        <w:tab/>
      </w:r>
      <w:r>
        <w:rPr>
          <w:noProof/>
        </w:rPr>
        <w:fldChar w:fldCharType="begin"/>
      </w:r>
      <w:r>
        <w:rPr>
          <w:noProof/>
        </w:rPr>
        <w:instrText xml:space="preserve"> PAGEREF _Toc72939509 \h </w:instrText>
      </w:r>
      <w:r>
        <w:rPr>
          <w:noProof/>
        </w:rPr>
      </w:r>
      <w:r>
        <w:rPr>
          <w:noProof/>
        </w:rPr>
        <w:fldChar w:fldCharType="separate"/>
      </w:r>
      <w:r w:rsidR="00104E04">
        <w:rPr>
          <w:noProof/>
        </w:rPr>
        <w:t>89</w:t>
      </w:r>
      <w:r>
        <w:rPr>
          <w:noProof/>
        </w:rPr>
        <w:fldChar w:fldCharType="end"/>
      </w:r>
    </w:p>
    <w:p w14:paraId="33634649" w14:textId="27966505"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Trading has delivered significant net benefits</w:t>
      </w:r>
      <w:r>
        <w:rPr>
          <w:noProof/>
        </w:rPr>
        <w:tab/>
      </w:r>
      <w:r>
        <w:rPr>
          <w:noProof/>
        </w:rPr>
        <w:fldChar w:fldCharType="begin"/>
      </w:r>
      <w:r>
        <w:rPr>
          <w:noProof/>
        </w:rPr>
        <w:instrText xml:space="preserve"> PAGEREF _Toc72939510 \h </w:instrText>
      </w:r>
      <w:r>
        <w:rPr>
          <w:noProof/>
        </w:rPr>
      </w:r>
      <w:r>
        <w:rPr>
          <w:noProof/>
        </w:rPr>
        <w:fldChar w:fldCharType="separate"/>
      </w:r>
      <w:r w:rsidR="00104E04">
        <w:rPr>
          <w:noProof/>
        </w:rPr>
        <w:t>90</w:t>
      </w:r>
      <w:r>
        <w:rPr>
          <w:noProof/>
        </w:rPr>
        <w:fldChar w:fldCharType="end"/>
      </w:r>
    </w:p>
    <w:p w14:paraId="028C2A20" w14:textId="6BA6C9E2"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More detailed principles for stronger markets</w:t>
      </w:r>
      <w:r>
        <w:rPr>
          <w:noProof/>
        </w:rPr>
        <w:tab/>
      </w:r>
      <w:r>
        <w:rPr>
          <w:noProof/>
        </w:rPr>
        <w:fldChar w:fldCharType="begin"/>
      </w:r>
      <w:r>
        <w:rPr>
          <w:noProof/>
        </w:rPr>
        <w:instrText xml:space="preserve"> PAGEREF _Toc72939511 \h </w:instrText>
      </w:r>
      <w:r>
        <w:rPr>
          <w:noProof/>
        </w:rPr>
      </w:r>
      <w:r>
        <w:rPr>
          <w:noProof/>
        </w:rPr>
        <w:fldChar w:fldCharType="separate"/>
      </w:r>
      <w:r w:rsidR="00104E04">
        <w:rPr>
          <w:noProof/>
        </w:rPr>
        <w:t>91</w:t>
      </w:r>
      <w:r>
        <w:rPr>
          <w:noProof/>
        </w:rPr>
        <w:fldChar w:fldCharType="end"/>
      </w:r>
    </w:p>
    <w:p w14:paraId="5638CBAA" w14:textId="0D35B2A3"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Creating the foundations for leading practice</w:t>
      </w:r>
      <w:r>
        <w:rPr>
          <w:noProof/>
        </w:rPr>
        <w:tab/>
      </w:r>
      <w:r>
        <w:rPr>
          <w:noProof/>
        </w:rPr>
        <w:fldChar w:fldCharType="begin"/>
      </w:r>
      <w:r>
        <w:rPr>
          <w:noProof/>
        </w:rPr>
        <w:instrText xml:space="preserve"> PAGEREF _Toc72939512 \h </w:instrText>
      </w:r>
      <w:r>
        <w:rPr>
          <w:noProof/>
        </w:rPr>
      </w:r>
      <w:r>
        <w:rPr>
          <w:noProof/>
        </w:rPr>
        <w:fldChar w:fldCharType="separate"/>
      </w:r>
      <w:r w:rsidR="00104E04">
        <w:rPr>
          <w:noProof/>
        </w:rPr>
        <w:t>92</w:t>
      </w:r>
      <w:r>
        <w:rPr>
          <w:noProof/>
        </w:rPr>
        <w:fldChar w:fldCharType="end"/>
      </w:r>
    </w:p>
    <w:p w14:paraId="5BEA21E2" w14:textId="4EED97D4" w:rsidR="00297A19" w:rsidRDefault="00297A19" w:rsidP="00297A19">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Environmental management</w:t>
      </w:r>
      <w:r>
        <w:rPr>
          <w:noProof/>
        </w:rPr>
        <w:tab/>
      </w:r>
      <w:r>
        <w:rPr>
          <w:noProof/>
        </w:rPr>
        <w:fldChar w:fldCharType="begin"/>
      </w:r>
      <w:r>
        <w:rPr>
          <w:noProof/>
        </w:rPr>
        <w:instrText xml:space="preserve"> PAGEREF _Toc72939513 \h </w:instrText>
      </w:r>
      <w:r>
        <w:rPr>
          <w:noProof/>
        </w:rPr>
      </w:r>
      <w:r>
        <w:rPr>
          <w:noProof/>
        </w:rPr>
        <w:fldChar w:fldCharType="separate"/>
      </w:r>
      <w:r w:rsidR="00104E04">
        <w:rPr>
          <w:noProof/>
        </w:rPr>
        <w:t>99</w:t>
      </w:r>
      <w:r>
        <w:rPr>
          <w:noProof/>
        </w:rPr>
        <w:fldChar w:fldCharType="end"/>
      </w:r>
    </w:p>
    <w:p w14:paraId="4022C5E0" w14:textId="277B2E97"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Progress on providing water for the environment</w:t>
      </w:r>
      <w:r>
        <w:rPr>
          <w:noProof/>
        </w:rPr>
        <w:tab/>
      </w:r>
      <w:r>
        <w:rPr>
          <w:noProof/>
        </w:rPr>
        <w:fldChar w:fldCharType="begin"/>
      </w:r>
      <w:r>
        <w:rPr>
          <w:noProof/>
        </w:rPr>
        <w:instrText xml:space="preserve"> PAGEREF _Toc72939514 \h </w:instrText>
      </w:r>
      <w:r>
        <w:rPr>
          <w:noProof/>
        </w:rPr>
      </w:r>
      <w:r>
        <w:rPr>
          <w:noProof/>
        </w:rPr>
        <w:fldChar w:fldCharType="separate"/>
      </w:r>
      <w:r w:rsidR="00104E04">
        <w:rPr>
          <w:noProof/>
        </w:rPr>
        <w:t>100</w:t>
      </w:r>
      <w:r>
        <w:rPr>
          <w:noProof/>
        </w:rPr>
        <w:fldChar w:fldCharType="end"/>
      </w:r>
    </w:p>
    <w:p w14:paraId="110DF600" w14:textId="7A5E962A"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Requirements for achieving agreed outcomes in all systems</w:t>
      </w:r>
      <w:r>
        <w:rPr>
          <w:noProof/>
        </w:rPr>
        <w:tab/>
      </w:r>
      <w:r>
        <w:rPr>
          <w:noProof/>
        </w:rPr>
        <w:fldChar w:fldCharType="begin"/>
      </w:r>
      <w:r>
        <w:rPr>
          <w:noProof/>
        </w:rPr>
        <w:instrText xml:space="preserve"> PAGEREF _Toc72939515 \h </w:instrText>
      </w:r>
      <w:r>
        <w:rPr>
          <w:noProof/>
        </w:rPr>
      </w:r>
      <w:r>
        <w:rPr>
          <w:noProof/>
        </w:rPr>
        <w:fldChar w:fldCharType="separate"/>
      </w:r>
      <w:r w:rsidR="00104E04">
        <w:rPr>
          <w:noProof/>
        </w:rPr>
        <w:t>103</w:t>
      </w:r>
      <w:r>
        <w:rPr>
          <w:noProof/>
        </w:rPr>
        <w:fldChar w:fldCharType="end"/>
      </w:r>
    </w:p>
    <w:p w14:paraId="5FA30662" w14:textId="21B1C0B4"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Additional requirements in systems with held water</w:t>
      </w:r>
      <w:r>
        <w:rPr>
          <w:noProof/>
        </w:rPr>
        <w:tab/>
      </w:r>
      <w:r>
        <w:rPr>
          <w:noProof/>
        </w:rPr>
        <w:fldChar w:fldCharType="begin"/>
      </w:r>
      <w:r>
        <w:rPr>
          <w:noProof/>
        </w:rPr>
        <w:instrText xml:space="preserve"> PAGEREF _Toc72939516 \h </w:instrText>
      </w:r>
      <w:r>
        <w:rPr>
          <w:noProof/>
        </w:rPr>
      </w:r>
      <w:r>
        <w:rPr>
          <w:noProof/>
        </w:rPr>
        <w:fldChar w:fldCharType="separate"/>
      </w:r>
      <w:r w:rsidR="00104E04">
        <w:rPr>
          <w:noProof/>
        </w:rPr>
        <w:t>110</w:t>
      </w:r>
      <w:r>
        <w:rPr>
          <w:noProof/>
        </w:rPr>
        <w:fldChar w:fldCharType="end"/>
      </w:r>
    </w:p>
    <w:p w14:paraId="0C38DA23" w14:textId="4BF0AC80"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Water system managers should use their best endeavours to achieve agreed outcomes</w:t>
      </w:r>
      <w:r>
        <w:rPr>
          <w:noProof/>
        </w:rPr>
        <w:tab/>
      </w:r>
      <w:r>
        <w:rPr>
          <w:noProof/>
        </w:rPr>
        <w:fldChar w:fldCharType="begin"/>
      </w:r>
      <w:r>
        <w:rPr>
          <w:noProof/>
        </w:rPr>
        <w:instrText xml:space="preserve"> PAGEREF _Toc72939517 \h </w:instrText>
      </w:r>
      <w:r>
        <w:rPr>
          <w:noProof/>
        </w:rPr>
      </w:r>
      <w:r>
        <w:rPr>
          <w:noProof/>
        </w:rPr>
        <w:fldChar w:fldCharType="separate"/>
      </w:r>
      <w:r w:rsidR="00104E04">
        <w:rPr>
          <w:noProof/>
        </w:rPr>
        <w:t>118</w:t>
      </w:r>
      <w:r>
        <w:rPr>
          <w:noProof/>
        </w:rPr>
        <w:fldChar w:fldCharType="end"/>
      </w:r>
    </w:p>
    <w:p w14:paraId="7C151FD7" w14:textId="5AC2E50F"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Effective monitoring, evaluation and reporting</w:t>
      </w:r>
      <w:r>
        <w:rPr>
          <w:noProof/>
        </w:rPr>
        <w:tab/>
      </w:r>
      <w:r>
        <w:rPr>
          <w:noProof/>
        </w:rPr>
        <w:fldChar w:fldCharType="begin"/>
      </w:r>
      <w:r>
        <w:rPr>
          <w:noProof/>
        </w:rPr>
        <w:instrText xml:space="preserve"> PAGEREF _Toc72939518 \h </w:instrText>
      </w:r>
      <w:r>
        <w:rPr>
          <w:noProof/>
        </w:rPr>
      </w:r>
      <w:r>
        <w:rPr>
          <w:noProof/>
        </w:rPr>
        <w:fldChar w:fldCharType="separate"/>
      </w:r>
      <w:r w:rsidR="00104E04">
        <w:rPr>
          <w:noProof/>
        </w:rPr>
        <w:t>119</w:t>
      </w:r>
      <w:r>
        <w:rPr>
          <w:noProof/>
        </w:rPr>
        <w:fldChar w:fldCharType="end"/>
      </w:r>
    </w:p>
    <w:p w14:paraId="517384F9" w14:textId="31466931" w:rsidR="00297A19" w:rsidRDefault="00297A19" w:rsidP="00297A19">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Securing Aboriginal and Torres Strait Islander people’s interests in water</w:t>
      </w:r>
      <w:r>
        <w:rPr>
          <w:noProof/>
        </w:rPr>
        <w:tab/>
      </w:r>
      <w:r>
        <w:rPr>
          <w:noProof/>
        </w:rPr>
        <w:fldChar w:fldCharType="begin"/>
      </w:r>
      <w:r>
        <w:rPr>
          <w:noProof/>
        </w:rPr>
        <w:instrText xml:space="preserve"> PAGEREF _Toc72939519 \h </w:instrText>
      </w:r>
      <w:r>
        <w:rPr>
          <w:noProof/>
        </w:rPr>
      </w:r>
      <w:r>
        <w:rPr>
          <w:noProof/>
        </w:rPr>
        <w:fldChar w:fldCharType="separate"/>
      </w:r>
      <w:r w:rsidR="00104E04">
        <w:rPr>
          <w:noProof/>
        </w:rPr>
        <w:t>121</w:t>
      </w:r>
      <w:r>
        <w:rPr>
          <w:noProof/>
        </w:rPr>
        <w:fldChar w:fldCharType="end"/>
      </w:r>
    </w:p>
    <w:p w14:paraId="57C126B0" w14:textId="6F616A5C"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Understanding of Traditional Owners’ aspirations has evolved since the NWI was drafted</w:t>
      </w:r>
      <w:r>
        <w:rPr>
          <w:noProof/>
        </w:rPr>
        <w:tab/>
      </w:r>
      <w:r>
        <w:rPr>
          <w:noProof/>
        </w:rPr>
        <w:fldChar w:fldCharType="begin"/>
      </w:r>
      <w:r>
        <w:rPr>
          <w:noProof/>
        </w:rPr>
        <w:instrText xml:space="preserve"> PAGEREF _Toc72939520 \h </w:instrText>
      </w:r>
      <w:r>
        <w:rPr>
          <w:noProof/>
        </w:rPr>
      </w:r>
      <w:r>
        <w:rPr>
          <w:noProof/>
        </w:rPr>
        <w:fldChar w:fldCharType="separate"/>
      </w:r>
      <w:r w:rsidR="00104E04">
        <w:rPr>
          <w:noProof/>
        </w:rPr>
        <w:t>122</w:t>
      </w:r>
      <w:r>
        <w:rPr>
          <w:noProof/>
        </w:rPr>
        <w:fldChar w:fldCharType="end"/>
      </w:r>
    </w:p>
    <w:p w14:paraId="27F60CCC" w14:textId="60D05DC0"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A new policy element developed through co</w:t>
      </w:r>
      <w:r>
        <w:rPr>
          <w:noProof/>
        </w:rPr>
        <w:noBreakHyphen/>
        <w:t>design</w:t>
      </w:r>
      <w:r>
        <w:rPr>
          <w:noProof/>
        </w:rPr>
        <w:tab/>
      </w:r>
      <w:r>
        <w:rPr>
          <w:noProof/>
        </w:rPr>
        <w:fldChar w:fldCharType="begin"/>
      </w:r>
      <w:r>
        <w:rPr>
          <w:noProof/>
        </w:rPr>
        <w:instrText xml:space="preserve"> PAGEREF _Toc72939521 \h </w:instrText>
      </w:r>
      <w:r>
        <w:rPr>
          <w:noProof/>
        </w:rPr>
      </w:r>
      <w:r>
        <w:rPr>
          <w:noProof/>
        </w:rPr>
        <w:fldChar w:fldCharType="separate"/>
      </w:r>
      <w:r w:rsidR="00104E04">
        <w:rPr>
          <w:noProof/>
        </w:rPr>
        <w:t>125</w:t>
      </w:r>
      <w:r>
        <w:rPr>
          <w:noProof/>
        </w:rPr>
        <w:fldChar w:fldCharType="end"/>
      </w:r>
    </w:p>
    <w:p w14:paraId="2555C64D" w14:textId="67066203"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sidRPr="00022DDB">
        <w:rPr>
          <w:noProof/>
          <w:spacing w:val="-6"/>
        </w:rPr>
        <w:t>Achieving cultural outcomes through enhancing the influence of Traditional Owners in water management</w:t>
      </w:r>
      <w:r>
        <w:rPr>
          <w:noProof/>
        </w:rPr>
        <w:tab/>
      </w:r>
      <w:r>
        <w:rPr>
          <w:noProof/>
        </w:rPr>
        <w:fldChar w:fldCharType="begin"/>
      </w:r>
      <w:r>
        <w:rPr>
          <w:noProof/>
        </w:rPr>
        <w:instrText xml:space="preserve"> PAGEREF _Toc72939522 \h </w:instrText>
      </w:r>
      <w:r>
        <w:rPr>
          <w:noProof/>
        </w:rPr>
      </w:r>
      <w:r>
        <w:rPr>
          <w:noProof/>
        </w:rPr>
        <w:fldChar w:fldCharType="separate"/>
      </w:r>
      <w:r w:rsidR="00104E04">
        <w:rPr>
          <w:noProof/>
        </w:rPr>
        <w:t>126</w:t>
      </w:r>
      <w:r>
        <w:rPr>
          <w:noProof/>
        </w:rPr>
        <w:fldChar w:fldCharType="end"/>
      </w:r>
    </w:p>
    <w:p w14:paraId="66A549CB" w14:textId="20EC2729" w:rsidR="00297A19" w:rsidRDefault="00297A19" w:rsidP="00297A19">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Enabling access to water for economic use</w:t>
      </w:r>
      <w:r>
        <w:rPr>
          <w:noProof/>
        </w:rPr>
        <w:tab/>
      </w:r>
      <w:r>
        <w:rPr>
          <w:noProof/>
        </w:rPr>
        <w:fldChar w:fldCharType="begin"/>
      </w:r>
      <w:r>
        <w:rPr>
          <w:noProof/>
        </w:rPr>
        <w:instrText xml:space="preserve"> PAGEREF _Toc72939523 \h </w:instrText>
      </w:r>
      <w:r>
        <w:rPr>
          <w:noProof/>
        </w:rPr>
      </w:r>
      <w:r>
        <w:rPr>
          <w:noProof/>
        </w:rPr>
        <w:fldChar w:fldCharType="separate"/>
      </w:r>
      <w:r w:rsidR="00104E04">
        <w:rPr>
          <w:noProof/>
        </w:rPr>
        <w:t>128</w:t>
      </w:r>
      <w:r>
        <w:rPr>
          <w:noProof/>
        </w:rPr>
        <w:fldChar w:fldCharType="end"/>
      </w:r>
    </w:p>
    <w:p w14:paraId="6E0CD812" w14:textId="0B35C2C9" w:rsidR="00297A19" w:rsidRDefault="00297A19" w:rsidP="00297A19">
      <w:pPr>
        <w:pStyle w:val="TOC1"/>
        <w:rPr>
          <w:rFonts w:asciiTheme="minorHAnsi" w:eastAsiaTheme="minorEastAsia" w:hAnsiTheme="minorHAnsi" w:cstheme="minorBidi"/>
          <w:b w:val="0"/>
          <w:noProof/>
          <w:sz w:val="22"/>
          <w:szCs w:val="22"/>
          <w:lang w:eastAsia="en-AU"/>
        </w:rPr>
      </w:pPr>
      <w:r>
        <w:rPr>
          <w:noProof/>
        </w:rPr>
        <w:lastRenderedPageBreak/>
        <w:t>10</w:t>
      </w:r>
      <w:r>
        <w:rPr>
          <w:rFonts w:asciiTheme="minorHAnsi" w:eastAsiaTheme="minorEastAsia" w:hAnsiTheme="minorHAnsi" w:cstheme="minorBidi"/>
          <w:b w:val="0"/>
          <w:noProof/>
          <w:sz w:val="22"/>
          <w:szCs w:val="22"/>
          <w:lang w:eastAsia="en-AU"/>
        </w:rPr>
        <w:tab/>
      </w:r>
      <w:r>
        <w:rPr>
          <w:noProof/>
        </w:rPr>
        <w:t>Ensuring the integrity of water resource management</w:t>
      </w:r>
      <w:r>
        <w:rPr>
          <w:noProof/>
        </w:rPr>
        <w:tab/>
      </w:r>
      <w:r>
        <w:rPr>
          <w:noProof/>
        </w:rPr>
        <w:fldChar w:fldCharType="begin"/>
      </w:r>
      <w:r>
        <w:rPr>
          <w:noProof/>
        </w:rPr>
        <w:instrText xml:space="preserve"> PAGEREF _Toc72939524 \h </w:instrText>
      </w:r>
      <w:r>
        <w:rPr>
          <w:noProof/>
        </w:rPr>
      </w:r>
      <w:r>
        <w:rPr>
          <w:noProof/>
        </w:rPr>
        <w:fldChar w:fldCharType="separate"/>
      </w:r>
      <w:r w:rsidR="00104E04">
        <w:rPr>
          <w:noProof/>
        </w:rPr>
        <w:t>133</w:t>
      </w:r>
      <w:r>
        <w:rPr>
          <w:noProof/>
        </w:rPr>
        <w:fldChar w:fldCharType="end"/>
      </w:r>
    </w:p>
    <w:p w14:paraId="7DCA16E2" w14:textId="12AADA65"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Confidence in water management has been tested</w:t>
      </w:r>
      <w:r>
        <w:rPr>
          <w:noProof/>
        </w:rPr>
        <w:tab/>
      </w:r>
      <w:r>
        <w:rPr>
          <w:noProof/>
        </w:rPr>
        <w:fldChar w:fldCharType="begin"/>
      </w:r>
      <w:r>
        <w:rPr>
          <w:noProof/>
        </w:rPr>
        <w:instrText xml:space="preserve"> PAGEREF _Toc72939525 \h </w:instrText>
      </w:r>
      <w:r>
        <w:rPr>
          <w:noProof/>
        </w:rPr>
      </w:r>
      <w:r>
        <w:rPr>
          <w:noProof/>
        </w:rPr>
        <w:fldChar w:fldCharType="separate"/>
      </w:r>
      <w:r w:rsidR="00104E04">
        <w:rPr>
          <w:noProof/>
        </w:rPr>
        <w:t>134</w:t>
      </w:r>
      <w:r>
        <w:rPr>
          <w:noProof/>
        </w:rPr>
        <w:fldChar w:fldCharType="end"/>
      </w:r>
    </w:p>
    <w:p w14:paraId="4CDCCF1E" w14:textId="08475D12"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A framework for trusted and credible water resource management</w:t>
      </w:r>
      <w:r>
        <w:rPr>
          <w:noProof/>
        </w:rPr>
        <w:tab/>
      </w:r>
      <w:r>
        <w:rPr>
          <w:noProof/>
        </w:rPr>
        <w:fldChar w:fldCharType="begin"/>
      </w:r>
      <w:r>
        <w:rPr>
          <w:noProof/>
        </w:rPr>
        <w:instrText xml:space="preserve"> PAGEREF _Toc72939526 \h </w:instrText>
      </w:r>
      <w:r>
        <w:rPr>
          <w:noProof/>
        </w:rPr>
      </w:r>
      <w:r>
        <w:rPr>
          <w:noProof/>
        </w:rPr>
        <w:fldChar w:fldCharType="separate"/>
      </w:r>
      <w:r w:rsidR="00104E04">
        <w:rPr>
          <w:noProof/>
        </w:rPr>
        <w:t>135</w:t>
      </w:r>
      <w:r>
        <w:rPr>
          <w:noProof/>
        </w:rPr>
        <w:fldChar w:fldCharType="end"/>
      </w:r>
    </w:p>
    <w:p w14:paraId="4E0284D8" w14:textId="4C7772BE"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Ensuring integrity in water use</w:t>
      </w:r>
      <w:r>
        <w:rPr>
          <w:noProof/>
        </w:rPr>
        <w:tab/>
      </w:r>
      <w:r>
        <w:rPr>
          <w:noProof/>
        </w:rPr>
        <w:fldChar w:fldCharType="begin"/>
      </w:r>
      <w:r>
        <w:rPr>
          <w:noProof/>
        </w:rPr>
        <w:instrText xml:space="preserve"> PAGEREF _Toc72939527 \h </w:instrText>
      </w:r>
      <w:r>
        <w:rPr>
          <w:noProof/>
        </w:rPr>
      </w:r>
      <w:r>
        <w:rPr>
          <w:noProof/>
        </w:rPr>
        <w:fldChar w:fldCharType="separate"/>
      </w:r>
      <w:r w:rsidR="00104E04">
        <w:rPr>
          <w:noProof/>
        </w:rPr>
        <w:t>137</w:t>
      </w:r>
      <w:r>
        <w:rPr>
          <w:noProof/>
        </w:rPr>
        <w:fldChar w:fldCharType="end"/>
      </w:r>
    </w:p>
    <w:p w14:paraId="51AF2F3B" w14:textId="6562D885"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Ensuring the integrity of water system management</w:t>
      </w:r>
      <w:r>
        <w:rPr>
          <w:noProof/>
        </w:rPr>
        <w:tab/>
      </w:r>
      <w:r>
        <w:rPr>
          <w:noProof/>
        </w:rPr>
        <w:fldChar w:fldCharType="begin"/>
      </w:r>
      <w:r>
        <w:rPr>
          <w:noProof/>
        </w:rPr>
        <w:instrText xml:space="preserve"> PAGEREF _Toc72939528 \h </w:instrText>
      </w:r>
      <w:r>
        <w:rPr>
          <w:noProof/>
        </w:rPr>
      </w:r>
      <w:r>
        <w:rPr>
          <w:noProof/>
        </w:rPr>
        <w:fldChar w:fldCharType="separate"/>
      </w:r>
      <w:r w:rsidR="00104E04">
        <w:rPr>
          <w:noProof/>
        </w:rPr>
        <w:t>141</w:t>
      </w:r>
      <w:r>
        <w:rPr>
          <w:noProof/>
        </w:rPr>
        <w:fldChar w:fldCharType="end"/>
      </w:r>
    </w:p>
    <w:p w14:paraId="48B3BF54" w14:textId="12EF6B7A"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10.5</w:t>
      </w:r>
      <w:r>
        <w:rPr>
          <w:rFonts w:asciiTheme="minorHAnsi" w:eastAsiaTheme="minorEastAsia" w:hAnsiTheme="minorHAnsi" w:cstheme="minorBidi"/>
          <w:noProof/>
          <w:sz w:val="22"/>
          <w:szCs w:val="22"/>
          <w:lang w:eastAsia="en-AU"/>
        </w:rPr>
        <w:tab/>
      </w:r>
      <w:r w:rsidRPr="00022DDB">
        <w:rPr>
          <w:noProof/>
          <w:spacing w:val="-2"/>
        </w:rPr>
        <w:t>Building understanding of the broader water context</w:t>
      </w:r>
      <w:r>
        <w:rPr>
          <w:noProof/>
        </w:rPr>
        <w:tab/>
      </w:r>
      <w:r>
        <w:rPr>
          <w:noProof/>
        </w:rPr>
        <w:fldChar w:fldCharType="begin"/>
      </w:r>
      <w:r>
        <w:rPr>
          <w:noProof/>
        </w:rPr>
        <w:instrText xml:space="preserve"> PAGEREF _Toc72939529 \h </w:instrText>
      </w:r>
      <w:r>
        <w:rPr>
          <w:noProof/>
        </w:rPr>
      </w:r>
      <w:r>
        <w:rPr>
          <w:noProof/>
        </w:rPr>
        <w:fldChar w:fldCharType="separate"/>
      </w:r>
      <w:r w:rsidR="00104E04">
        <w:rPr>
          <w:noProof/>
        </w:rPr>
        <w:t>145</w:t>
      </w:r>
      <w:r>
        <w:rPr>
          <w:noProof/>
        </w:rPr>
        <w:fldChar w:fldCharType="end"/>
      </w:r>
    </w:p>
    <w:p w14:paraId="32BFCBA3" w14:textId="066BB5F9" w:rsidR="00297A19" w:rsidRDefault="00297A19" w:rsidP="00297A19">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Provision of water services</w:t>
      </w:r>
      <w:r>
        <w:rPr>
          <w:noProof/>
        </w:rPr>
        <w:tab/>
      </w:r>
      <w:r>
        <w:rPr>
          <w:noProof/>
        </w:rPr>
        <w:fldChar w:fldCharType="begin"/>
      </w:r>
      <w:r>
        <w:rPr>
          <w:noProof/>
        </w:rPr>
        <w:instrText xml:space="preserve"> PAGEREF _Toc72939530 \h </w:instrText>
      </w:r>
      <w:r>
        <w:rPr>
          <w:noProof/>
        </w:rPr>
      </w:r>
      <w:r>
        <w:rPr>
          <w:noProof/>
        </w:rPr>
        <w:fldChar w:fldCharType="separate"/>
      </w:r>
      <w:r w:rsidR="00104E04">
        <w:rPr>
          <w:noProof/>
        </w:rPr>
        <w:t>147</w:t>
      </w:r>
      <w:r>
        <w:rPr>
          <w:noProof/>
        </w:rPr>
        <w:fldChar w:fldCharType="end"/>
      </w:r>
    </w:p>
    <w:p w14:paraId="02F4090E" w14:textId="007BF378"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Background on water service provision</w:t>
      </w:r>
      <w:r>
        <w:rPr>
          <w:noProof/>
        </w:rPr>
        <w:tab/>
      </w:r>
      <w:r>
        <w:rPr>
          <w:noProof/>
        </w:rPr>
        <w:fldChar w:fldCharType="begin"/>
      </w:r>
      <w:r>
        <w:rPr>
          <w:noProof/>
        </w:rPr>
        <w:instrText xml:space="preserve"> PAGEREF _Toc72939531 \h </w:instrText>
      </w:r>
      <w:r>
        <w:rPr>
          <w:noProof/>
        </w:rPr>
      </w:r>
      <w:r>
        <w:rPr>
          <w:noProof/>
        </w:rPr>
        <w:fldChar w:fldCharType="separate"/>
      </w:r>
      <w:r w:rsidR="00104E04">
        <w:rPr>
          <w:noProof/>
        </w:rPr>
        <w:t>148</w:t>
      </w:r>
      <w:r>
        <w:rPr>
          <w:noProof/>
        </w:rPr>
        <w:fldChar w:fldCharType="end"/>
      </w:r>
    </w:p>
    <w:p w14:paraId="670C1395" w14:textId="34385E98"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Pricing and institutional arrangements in a renewed NWI</w:t>
      </w:r>
      <w:r>
        <w:rPr>
          <w:noProof/>
        </w:rPr>
        <w:tab/>
      </w:r>
      <w:r>
        <w:rPr>
          <w:noProof/>
        </w:rPr>
        <w:fldChar w:fldCharType="begin"/>
      </w:r>
      <w:r>
        <w:rPr>
          <w:noProof/>
        </w:rPr>
        <w:instrText xml:space="preserve"> PAGEREF _Toc72939532 \h </w:instrText>
      </w:r>
      <w:r>
        <w:rPr>
          <w:noProof/>
        </w:rPr>
      </w:r>
      <w:r>
        <w:rPr>
          <w:noProof/>
        </w:rPr>
        <w:fldChar w:fldCharType="separate"/>
      </w:r>
      <w:r w:rsidR="00104E04">
        <w:rPr>
          <w:noProof/>
        </w:rPr>
        <w:t>151</w:t>
      </w:r>
      <w:r>
        <w:rPr>
          <w:noProof/>
        </w:rPr>
        <w:fldChar w:fldCharType="end"/>
      </w:r>
    </w:p>
    <w:p w14:paraId="55582F7E" w14:textId="7C6B1BC6" w:rsidR="00297A19" w:rsidRDefault="00297A19" w:rsidP="00297A19">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Urban water services</w:t>
      </w:r>
      <w:r>
        <w:rPr>
          <w:noProof/>
        </w:rPr>
        <w:tab/>
      </w:r>
      <w:r>
        <w:rPr>
          <w:noProof/>
        </w:rPr>
        <w:fldChar w:fldCharType="begin"/>
      </w:r>
      <w:r>
        <w:rPr>
          <w:noProof/>
        </w:rPr>
        <w:instrText xml:space="preserve"> PAGEREF _Toc72939533 \h </w:instrText>
      </w:r>
      <w:r>
        <w:rPr>
          <w:noProof/>
        </w:rPr>
      </w:r>
      <w:r>
        <w:rPr>
          <w:noProof/>
        </w:rPr>
        <w:fldChar w:fldCharType="separate"/>
      </w:r>
      <w:r w:rsidR="00104E04">
        <w:rPr>
          <w:noProof/>
        </w:rPr>
        <w:t>159</w:t>
      </w:r>
      <w:r>
        <w:rPr>
          <w:noProof/>
        </w:rPr>
        <w:fldChar w:fldCharType="end"/>
      </w:r>
    </w:p>
    <w:p w14:paraId="3322E8FD" w14:textId="378ED42F"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Australia has seen significant urban water reform</w:t>
      </w:r>
      <w:r>
        <w:rPr>
          <w:noProof/>
        </w:rPr>
        <w:tab/>
      </w:r>
      <w:r>
        <w:rPr>
          <w:noProof/>
        </w:rPr>
        <w:fldChar w:fldCharType="begin"/>
      </w:r>
      <w:r>
        <w:rPr>
          <w:noProof/>
        </w:rPr>
        <w:instrText xml:space="preserve"> PAGEREF _Toc72939534 \h </w:instrText>
      </w:r>
      <w:r>
        <w:rPr>
          <w:noProof/>
        </w:rPr>
      </w:r>
      <w:r>
        <w:rPr>
          <w:noProof/>
        </w:rPr>
        <w:fldChar w:fldCharType="separate"/>
      </w:r>
      <w:r w:rsidR="00104E04">
        <w:rPr>
          <w:noProof/>
        </w:rPr>
        <w:t>160</w:t>
      </w:r>
      <w:r>
        <w:rPr>
          <w:noProof/>
        </w:rPr>
        <w:fldChar w:fldCharType="end"/>
      </w:r>
    </w:p>
    <w:p w14:paraId="5D51012F" w14:textId="236B84DD"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Much has been achieved but the case for further action is clear</w:t>
      </w:r>
      <w:r>
        <w:rPr>
          <w:noProof/>
        </w:rPr>
        <w:tab/>
      </w:r>
      <w:r>
        <w:rPr>
          <w:noProof/>
        </w:rPr>
        <w:fldChar w:fldCharType="begin"/>
      </w:r>
      <w:r>
        <w:rPr>
          <w:noProof/>
        </w:rPr>
        <w:instrText xml:space="preserve"> PAGEREF _Toc72939535 \h </w:instrText>
      </w:r>
      <w:r>
        <w:rPr>
          <w:noProof/>
        </w:rPr>
      </w:r>
      <w:r>
        <w:rPr>
          <w:noProof/>
        </w:rPr>
        <w:fldChar w:fldCharType="separate"/>
      </w:r>
      <w:r w:rsidR="00104E04">
        <w:rPr>
          <w:noProof/>
        </w:rPr>
        <w:t>160</w:t>
      </w:r>
      <w:r>
        <w:rPr>
          <w:noProof/>
        </w:rPr>
        <w:fldChar w:fldCharType="end"/>
      </w:r>
    </w:p>
    <w:p w14:paraId="07A748A9" w14:textId="7499912A"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NWI renewal is an opportunity to embed the foundations of success</w:t>
      </w:r>
      <w:r>
        <w:rPr>
          <w:noProof/>
        </w:rPr>
        <w:tab/>
      </w:r>
      <w:r>
        <w:rPr>
          <w:noProof/>
        </w:rPr>
        <w:fldChar w:fldCharType="begin"/>
      </w:r>
      <w:r>
        <w:rPr>
          <w:noProof/>
        </w:rPr>
        <w:instrText xml:space="preserve"> PAGEREF _Toc72939536 \h </w:instrText>
      </w:r>
      <w:r>
        <w:rPr>
          <w:noProof/>
        </w:rPr>
      </w:r>
      <w:r>
        <w:rPr>
          <w:noProof/>
        </w:rPr>
        <w:fldChar w:fldCharType="separate"/>
      </w:r>
      <w:r w:rsidR="00104E04">
        <w:rPr>
          <w:noProof/>
        </w:rPr>
        <w:t>163</w:t>
      </w:r>
      <w:r>
        <w:rPr>
          <w:noProof/>
        </w:rPr>
        <w:fldChar w:fldCharType="end"/>
      </w:r>
    </w:p>
    <w:p w14:paraId="379B340B" w14:textId="666D4072"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Best-practice system planning</w:t>
      </w:r>
      <w:r>
        <w:rPr>
          <w:noProof/>
        </w:rPr>
        <w:tab/>
      </w:r>
      <w:r>
        <w:rPr>
          <w:noProof/>
        </w:rPr>
        <w:fldChar w:fldCharType="begin"/>
      </w:r>
      <w:r>
        <w:rPr>
          <w:noProof/>
        </w:rPr>
        <w:instrText xml:space="preserve"> PAGEREF _Toc72939537 \h </w:instrText>
      </w:r>
      <w:r>
        <w:rPr>
          <w:noProof/>
        </w:rPr>
      </w:r>
      <w:r>
        <w:rPr>
          <w:noProof/>
        </w:rPr>
        <w:fldChar w:fldCharType="separate"/>
      </w:r>
      <w:r w:rsidR="00104E04">
        <w:rPr>
          <w:noProof/>
        </w:rPr>
        <w:t>164</w:t>
      </w:r>
      <w:r>
        <w:rPr>
          <w:noProof/>
        </w:rPr>
        <w:fldChar w:fldCharType="end"/>
      </w:r>
    </w:p>
    <w:p w14:paraId="582849C2" w14:textId="3BF03158"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12.5</w:t>
      </w:r>
      <w:r>
        <w:rPr>
          <w:rFonts w:asciiTheme="minorHAnsi" w:eastAsiaTheme="minorEastAsia" w:hAnsiTheme="minorHAnsi" w:cstheme="minorBidi"/>
          <w:noProof/>
          <w:sz w:val="22"/>
          <w:szCs w:val="22"/>
          <w:lang w:eastAsia="en-AU"/>
        </w:rPr>
        <w:tab/>
      </w:r>
      <w:r>
        <w:rPr>
          <w:noProof/>
        </w:rPr>
        <w:t>Pricing and service outcomes — another focus</w:t>
      </w:r>
      <w:r>
        <w:rPr>
          <w:noProof/>
        </w:rPr>
        <w:tab/>
      </w:r>
      <w:r>
        <w:rPr>
          <w:noProof/>
        </w:rPr>
        <w:fldChar w:fldCharType="begin"/>
      </w:r>
      <w:r>
        <w:rPr>
          <w:noProof/>
        </w:rPr>
        <w:instrText xml:space="preserve"> PAGEREF _Toc72939538 \h </w:instrText>
      </w:r>
      <w:r>
        <w:rPr>
          <w:noProof/>
        </w:rPr>
      </w:r>
      <w:r>
        <w:rPr>
          <w:noProof/>
        </w:rPr>
        <w:fldChar w:fldCharType="separate"/>
      </w:r>
      <w:r w:rsidR="00104E04">
        <w:rPr>
          <w:noProof/>
        </w:rPr>
        <w:t>169</w:t>
      </w:r>
      <w:r>
        <w:rPr>
          <w:noProof/>
        </w:rPr>
        <w:fldChar w:fldCharType="end"/>
      </w:r>
    </w:p>
    <w:p w14:paraId="1CA2876C" w14:textId="433EFA6F"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12.6</w:t>
      </w:r>
      <w:r>
        <w:rPr>
          <w:rFonts w:asciiTheme="minorHAnsi" w:eastAsiaTheme="minorEastAsia" w:hAnsiTheme="minorHAnsi" w:cstheme="minorBidi"/>
          <w:noProof/>
          <w:sz w:val="22"/>
          <w:szCs w:val="22"/>
          <w:lang w:eastAsia="en-AU"/>
        </w:rPr>
        <w:tab/>
      </w:r>
      <w:r>
        <w:rPr>
          <w:noProof/>
        </w:rPr>
        <w:t>Additional tailored advice for regional and remote urban water services</w:t>
      </w:r>
      <w:r>
        <w:rPr>
          <w:noProof/>
        </w:rPr>
        <w:tab/>
      </w:r>
      <w:r>
        <w:rPr>
          <w:noProof/>
        </w:rPr>
        <w:fldChar w:fldCharType="begin"/>
      </w:r>
      <w:r>
        <w:rPr>
          <w:noProof/>
        </w:rPr>
        <w:instrText xml:space="preserve"> PAGEREF _Toc72939539 \h </w:instrText>
      </w:r>
      <w:r>
        <w:rPr>
          <w:noProof/>
        </w:rPr>
      </w:r>
      <w:r>
        <w:rPr>
          <w:noProof/>
        </w:rPr>
        <w:fldChar w:fldCharType="separate"/>
      </w:r>
      <w:r w:rsidR="00104E04">
        <w:rPr>
          <w:noProof/>
        </w:rPr>
        <w:t>172</w:t>
      </w:r>
      <w:r>
        <w:rPr>
          <w:noProof/>
        </w:rPr>
        <w:fldChar w:fldCharType="end"/>
      </w:r>
    </w:p>
    <w:p w14:paraId="2231FBF3" w14:textId="23F3ACED" w:rsidR="00297A19" w:rsidRDefault="00297A19" w:rsidP="00297A19">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Water reform in rural Australia</w:t>
      </w:r>
      <w:r>
        <w:rPr>
          <w:noProof/>
        </w:rPr>
        <w:tab/>
      </w:r>
      <w:r>
        <w:rPr>
          <w:noProof/>
        </w:rPr>
        <w:fldChar w:fldCharType="begin"/>
      </w:r>
      <w:r>
        <w:rPr>
          <w:noProof/>
        </w:rPr>
        <w:instrText xml:space="preserve"> PAGEREF _Toc72939540 \h </w:instrText>
      </w:r>
      <w:r>
        <w:rPr>
          <w:noProof/>
        </w:rPr>
      </w:r>
      <w:r>
        <w:rPr>
          <w:noProof/>
        </w:rPr>
        <w:fldChar w:fldCharType="separate"/>
      </w:r>
      <w:r w:rsidR="00104E04">
        <w:rPr>
          <w:noProof/>
        </w:rPr>
        <w:t>179</w:t>
      </w:r>
      <w:r>
        <w:rPr>
          <w:noProof/>
        </w:rPr>
        <w:fldChar w:fldCharType="end"/>
      </w:r>
    </w:p>
    <w:p w14:paraId="729B5837" w14:textId="1B7499AB"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NWI-consistent reforms have delivered large benefits to rural users</w:t>
      </w:r>
      <w:r>
        <w:rPr>
          <w:noProof/>
        </w:rPr>
        <w:tab/>
      </w:r>
      <w:r>
        <w:rPr>
          <w:noProof/>
        </w:rPr>
        <w:fldChar w:fldCharType="begin"/>
      </w:r>
      <w:r>
        <w:rPr>
          <w:noProof/>
        </w:rPr>
        <w:instrText xml:space="preserve"> PAGEREF _Toc72939541 \h </w:instrText>
      </w:r>
      <w:r>
        <w:rPr>
          <w:noProof/>
        </w:rPr>
      </w:r>
      <w:r>
        <w:rPr>
          <w:noProof/>
        </w:rPr>
        <w:fldChar w:fldCharType="separate"/>
      </w:r>
      <w:r w:rsidR="00104E04">
        <w:rPr>
          <w:noProof/>
        </w:rPr>
        <w:t>180</w:t>
      </w:r>
      <w:r>
        <w:rPr>
          <w:noProof/>
        </w:rPr>
        <w:fldChar w:fldCharType="end"/>
      </w:r>
    </w:p>
    <w:p w14:paraId="4C9425FF" w14:textId="735EA1B1"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Reforms have also prepared water users to address future challenges</w:t>
      </w:r>
      <w:r>
        <w:rPr>
          <w:noProof/>
        </w:rPr>
        <w:tab/>
      </w:r>
      <w:r>
        <w:rPr>
          <w:noProof/>
        </w:rPr>
        <w:fldChar w:fldCharType="begin"/>
      </w:r>
      <w:r>
        <w:rPr>
          <w:noProof/>
        </w:rPr>
        <w:instrText xml:space="preserve"> PAGEREF _Toc72939542 \h </w:instrText>
      </w:r>
      <w:r>
        <w:rPr>
          <w:noProof/>
        </w:rPr>
      </w:r>
      <w:r>
        <w:rPr>
          <w:noProof/>
        </w:rPr>
        <w:fldChar w:fldCharType="separate"/>
      </w:r>
      <w:r w:rsidR="00104E04">
        <w:rPr>
          <w:noProof/>
        </w:rPr>
        <w:t>182</w:t>
      </w:r>
      <w:r>
        <w:rPr>
          <w:noProof/>
        </w:rPr>
        <w:fldChar w:fldCharType="end"/>
      </w:r>
    </w:p>
    <w:p w14:paraId="6A8296C1" w14:textId="63E8C74E"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A renewed NWI would lock in past benefits and enable adaptation</w:t>
      </w:r>
      <w:r>
        <w:rPr>
          <w:noProof/>
        </w:rPr>
        <w:tab/>
      </w:r>
      <w:r>
        <w:rPr>
          <w:noProof/>
        </w:rPr>
        <w:fldChar w:fldCharType="begin"/>
      </w:r>
      <w:r>
        <w:rPr>
          <w:noProof/>
        </w:rPr>
        <w:instrText xml:space="preserve"> PAGEREF _Toc72939543 \h </w:instrText>
      </w:r>
      <w:r>
        <w:rPr>
          <w:noProof/>
        </w:rPr>
      </w:r>
      <w:r>
        <w:rPr>
          <w:noProof/>
        </w:rPr>
        <w:fldChar w:fldCharType="separate"/>
      </w:r>
      <w:r w:rsidR="00104E04">
        <w:rPr>
          <w:noProof/>
        </w:rPr>
        <w:t>182</w:t>
      </w:r>
      <w:r>
        <w:rPr>
          <w:noProof/>
        </w:rPr>
        <w:fldChar w:fldCharType="end"/>
      </w:r>
    </w:p>
    <w:p w14:paraId="2EDE5244" w14:textId="6119E3A0"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Community adjustment to lower water availability</w:t>
      </w:r>
      <w:r>
        <w:rPr>
          <w:noProof/>
        </w:rPr>
        <w:tab/>
      </w:r>
      <w:r>
        <w:rPr>
          <w:noProof/>
        </w:rPr>
        <w:fldChar w:fldCharType="begin"/>
      </w:r>
      <w:r>
        <w:rPr>
          <w:noProof/>
        </w:rPr>
        <w:instrText xml:space="preserve"> PAGEREF _Toc72939544 \h </w:instrText>
      </w:r>
      <w:r>
        <w:rPr>
          <w:noProof/>
        </w:rPr>
      </w:r>
      <w:r>
        <w:rPr>
          <w:noProof/>
        </w:rPr>
        <w:fldChar w:fldCharType="separate"/>
      </w:r>
      <w:r w:rsidR="00104E04">
        <w:rPr>
          <w:noProof/>
        </w:rPr>
        <w:t>183</w:t>
      </w:r>
      <w:r>
        <w:rPr>
          <w:noProof/>
        </w:rPr>
        <w:fldChar w:fldCharType="end"/>
      </w:r>
    </w:p>
    <w:p w14:paraId="2206C09D" w14:textId="27726486" w:rsidR="00297A19" w:rsidRDefault="00297A19" w:rsidP="00297A19">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Government investment in major water infrastructure</w:t>
      </w:r>
      <w:r>
        <w:rPr>
          <w:noProof/>
        </w:rPr>
        <w:tab/>
      </w:r>
      <w:r>
        <w:rPr>
          <w:noProof/>
        </w:rPr>
        <w:fldChar w:fldCharType="begin"/>
      </w:r>
      <w:r>
        <w:rPr>
          <w:noProof/>
        </w:rPr>
        <w:instrText xml:space="preserve"> PAGEREF _Toc72939545 \h </w:instrText>
      </w:r>
      <w:r>
        <w:rPr>
          <w:noProof/>
        </w:rPr>
      </w:r>
      <w:r>
        <w:rPr>
          <w:noProof/>
        </w:rPr>
        <w:fldChar w:fldCharType="separate"/>
      </w:r>
      <w:r w:rsidR="00104E04">
        <w:rPr>
          <w:noProof/>
        </w:rPr>
        <w:t>187</w:t>
      </w:r>
      <w:r>
        <w:rPr>
          <w:noProof/>
        </w:rPr>
        <w:fldChar w:fldCharType="end"/>
      </w:r>
    </w:p>
    <w:p w14:paraId="78180C91" w14:textId="5E106807"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The NWI targets economically viable and ecologically sustainable infrastructure</w:t>
      </w:r>
      <w:r>
        <w:rPr>
          <w:noProof/>
        </w:rPr>
        <w:tab/>
      </w:r>
      <w:r>
        <w:rPr>
          <w:noProof/>
        </w:rPr>
        <w:fldChar w:fldCharType="begin"/>
      </w:r>
      <w:r>
        <w:rPr>
          <w:noProof/>
        </w:rPr>
        <w:instrText xml:space="preserve"> PAGEREF _Toc72939546 \h </w:instrText>
      </w:r>
      <w:r>
        <w:rPr>
          <w:noProof/>
        </w:rPr>
      </w:r>
      <w:r>
        <w:rPr>
          <w:noProof/>
        </w:rPr>
        <w:fldChar w:fldCharType="separate"/>
      </w:r>
      <w:r w:rsidR="00104E04">
        <w:rPr>
          <w:noProof/>
        </w:rPr>
        <w:t>188</w:t>
      </w:r>
      <w:r>
        <w:rPr>
          <w:noProof/>
        </w:rPr>
        <w:fldChar w:fldCharType="end"/>
      </w:r>
    </w:p>
    <w:p w14:paraId="4DA70618" w14:textId="1048E804"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sidRPr="00022DDB">
        <w:rPr>
          <w:noProof/>
          <w:spacing w:val="-2"/>
        </w:rPr>
        <w:t>14.2</w:t>
      </w:r>
      <w:r>
        <w:rPr>
          <w:rFonts w:asciiTheme="minorHAnsi" w:eastAsiaTheme="minorEastAsia" w:hAnsiTheme="minorHAnsi" w:cstheme="minorBidi"/>
          <w:noProof/>
          <w:sz w:val="22"/>
          <w:szCs w:val="22"/>
          <w:lang w:eastAsia="en-AU"/>
        </w:rPr>
        <w:tab/>
      </w:r>
      <w:r w:rsidRPr="00022DDB">
        <w:rPr>
          <w:noProof/>
          <w:spacing w:val="-2"/>
        </w:rPr>
        <w:t>Some past government commitments raise red flags</w:t>
      </w:r>
      <w:r>
        <w:rPr>
          <w:noProof/>
        </w:rPr>
        <w:tab/>
      </w:r>
      <w:r>
        <w:rPr>
          <w:noProof/>
        </w:rPr>
        <w:fldChar w:fldCharType="begin"/>
      </w:r>
      <w:r>
        <w:rPr>
          <w:noProof/>
        </w:rPr>
        <w:instrText xml:space="preserve"> PAGEREF _Toc72939547 \h </w:instrText>
      </w:r>
      <w:r>
        <w:rPr>
          <w:noProof/>
        </w:rPr>
      </w:r>
      <w:r>
        <w:rPr>
          <w:noProof/>
        </w:rPr>
        <w:fldChar w:fldCharType="separate"/>
      </w:r>
      <w:r w:rsidR="00104E04">
        <w:rPr>
          <w:noProof/>
        </w:rPr>
        <w:t>189</w:t>
      </w:r>
      <w:r>
        <w:rPr>
          <w:noProof/>
        </w:rPr>
        <w:fldChar w:fldCharType="end"/>
      </w:r>
    </w:p>
    <w:p w14:paraId="1BA1A475" w14:textId="1E9F2B71"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14.3</w:t>
      </w:r>
      <w:r>
        <w:rPr>
          <w:rFonts w:asciiTheme="minorHAnsi" w:eastAsiaTheme="minorEastAsia" w:hAnsiTheme="minorHAnsi" w:cstheme="minorBidi"/>
          <w:noProof/>
          <w:sz w:val="22"/>
          <w:szCs w:val="22"/>
          <w:lang w:eastAsia="en-AU"/>
        </w:rPr>
        <w:tab/>
      </w:r>
      <w:r>
        <w:rPr>
          <w:noProof/>
        </w:rPr>
        <w:t>NWI renewal can contribute to improved decision making</w:t>
      </w:r>
      <w:r>
        <w:rPr>
          <w:noProof/>
        </w:rPr>
        <w:tab/>
      </w:r>
      <w:r>
        <w:rPr>
          <w:noProof/>
        </w:rPr>
        <w:fldChar w:fldCharType="begin"/>
      </w:r>
      <w:r>
        <w:rPr>
          <w:noProof/>
        </w:rPr>
        <w:instrText xml:space="preserve"> PAGEREF _Toc72939548 \h </w:instrText>
      </w:r>
      <w:r>
        <w:rPr>
          <w:noProof/>
        </w:rPr>
      </w:r>
      <w:r>
        <w:rPr>
          <w:noProof/>
        </w:rPr>
        <w:fldChar w:fldCharType="separate"/>
      </w:r>
      <w:r w:rsidR="00104E04">
        <w:rPr>
          <w:noProof/>
        </w:rPr>
        <w:t>193</w:t>
      </w:r>
      <w:r>
        <w:rPr>
          <w:noProof/>
        </w:rPr>
        <w:fldChar w:fldCharType="end"/>
      </w:r>
    </w:p>
    <w:p w14:paraId="232ED8E6" w14:textId="024334B2" w:rsidR="00297A19" w:rsidRDefault="00297A19" w:rsidP="00297A19">
      <w:pPr>
        <w:pStyle w:val="TOC1"/>
        <w:rPr>
          <w:rFonts w:asciiTheme="minorHAnsi" w:eastAsiaTheme="minorEastAsia" w:hAnsiTheme="minorHAnsi" w:cstheme="minorBidi"/>
          <w:b w:val="0"/>
          <w:noProof/>
          <w:sz w:val="22"/>
          <w:szCs w:val="22"/>
          <w:lang w:eastAsia="en-AU"/>
        </w:rPr>
      </w:pPr>
      <w:r>
        <w:rPr>
          <w:noProof/>
        </w:rPr>
        <w:lastRenderedPageBreak/>
        <w:t>15</w:t>
      </w:r>
      <w:r>
        <w:rPr>
          <w:rFonts w:asciiTheme="minorHAnsi" w:eastAsiaTheme="minorEastAsia" w:hAnsiTheme="minorHAnsi" w:cstheme="minorBidi"/>
          <w:b w:val="0"/>
          <w:noProof/>
          <w:sz w:val="22"/>
          <w:szCs w:val="22"/>
          <w:lang w:eastAsia="en-AU"/>
        </w:rPr>
        <w:tab/>
      </w:r>
      <w:r>
        <w:rPr>
          <w:noProof/>
        </w:rPr>
        <w:t>Community engagement</w:t>
      </w:r>
      <w:r>
        <w:rPr>
          <w:noProof/>
        </w:rPr>
        <w:tab/>
      </w:r>
      <w:r>
        <w:rPr>
          <w:noProof/>
        </w:rPr>
        <w:fldChar w:fldCharType="begin"/>
      </w:r>
      <w:r>
        <w:rPr>
          <w:noProof/>
        </w:rPr>
        <w:instrText xml:space="preserve"> PAGEREF _Toc72939549 \h </w:instrText>
      </w:r>
      <w:r>
        <w:rPr>
          <w:noProof/>
        </w:rPr>
      </w:r>
      <w:r>
        <w:rPr>
          <w:noProof/>
        </w:rPr>
        <w:fldChar w:fldCharType="separate"/>
      </w:r>
      <w:r w:rsidR="00104E04">
        <w:rPr>
          <w:noProof/>
        </w:rPr>
        <w:t>205</w:t>
      </w:r>
      <w:r>
        <w:rPr>
          <w:noProof/>
        </w:rPr>
        <w:fldChar w:fldCharType="end"/>
      </w:r>
    </w:p>
    <w:p w14:paraId="5743B277" w14:textId="00776E61"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15.1</w:t>
      </w:r>
      <w:r>
        <w:rPr>
          <w:rFonts w:asciiTheme="minorHAnsi" w:eastAsiaTheme="minorEastAsia" w:hAnsiTheme="minorHAnsi" w:cstheme="minorBidi"/>
          <w:noProof/>
          <w:sz w:val="22"/>
          <w:szCs w:val="22"/>
          <w:lang w:eastAsia="en-AU"/>
        </w:rPr>
        <w:tab/>
      </w:r>
      <w:r>
        <w:rPr>
          <w:noProof/>
        </w:rPr>
        <w:t>The NWI has facilitated engagement but an update is needed</w:t>
      </w:r>
      <w:r>
        <w:rPr>
          <w:noProof/>
        </w:rPr>
        <w:tab/>
      </w:r>
      <w:r>
        <w:rPr>
          <w:noProof/>
        </w:rPr>
        <w:fldChar w:fldCharType="begin"/>
      </w:r>
      <w:r>
        <w:rPr>
          <w:noProof/>
        </w:rPr>
        <w:instrText xml:space="preserve"> PAGEREF _Toc72939550 \h </w:instrText>
      </w:r>
      <w:r>
        <w:rPr>
          <w:noProof/>
        </w:rPr>
      </w:r>
      <w:r>
        <w:rPr>
          <w:noProof/>
        </w:rPr>
        <w:fldChar w:fldCharType="separate"/>
      </w:r>
      <w:r w:rsidR="00104E04">
        <w:rPr>
          <w:noProof/>
        </w:rPr>
        <w:t>206</w:t>
      </w:r>
      <w:r>
        <w:rPr>
          <w:noProof/>
        </w:rPr>
        <w:fldChar w:fldCharType="end"/>
      </w:r>
    </w:p>
    <w:p w14:paraId="5B2260F0" w14:textId="189D62ED"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15.2</w:t>
      </w:r>
      <w:r>
        <w:rPr>
          <w:rFonts w:asciiTheme="minorHAnsi" w:eastAsiaTheme="minorEastAsia" w:hAnsiTheme="minorHAnsi" w:cstheme="minorBidi"/>
          <w:noProof/>
          <w:sz w:val="22"/>
          <w:szCs w:val="22"/>
          <w:lang w:eastAsia="en-AU"/>
        </w:rPr>
        <w:tab/>
      </w:r>
      <w:r>
        <w:rPr>
          <w:noProof/>
        </w:rPr>
        <w:t>Embedding effective practice through a renewed NWI</w:t>
      </w:r>
      <w:r>
        <w:rPr>
          <w:noProof/>
        </w:rPr>
        <w:tab/>
      </w:r>
      <w:r>
        <w:rPr>
          <w:noProof/>
        </w:rPr>
        <w:fldChar w:fldCharType="begin"/>
      </w:r>
      <w:r>
        <w:rPr>
          <w:noProof/>
        </w:rPr>
        <w:instrText xml:space="preserve"> PAGEREF _Toc72939551 \h </w:instrText>
      </w:r>
      <w:r>
        <w:rPr>
          <w:noProof/>
        </w:rPr>
      </w:r>
      <w:r>
        <w:rPr>
          <w:noProof/>
        </w:rPr>
        <w:fldChar w:fldCharType="separate"/>
      </w:r>
      <w:r w:rsidR="00104E04">
        <w:rPr>
          <w:noProof/>
        </w:rPr>
        <w:t>207</w:t>
      </w:r>
      <w:r>
        <w:rPr>
          <w:noProof/>
        </w:rPr>
        <w:fldChar w:fldCharType="end"/>
      </w:r>
    </w:p>
    <w:p w14:paraId="50EDABA2" w14:textId="49C07C59" w:rsidR="00297A19" w:rsidRDefault="00297A19" w:rsidP="00297A19">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Knowledge, capacity and capability building</w:t>
      </w:r>
      <w:r>
        <w:rPr>
          <w:noProof/>
        </w:rPr>
        <w:tab/>
      </w:r>
      <w:r>
        <w:rPr>
          <w:noProof/>
        </w:rPr>
        <w:fldChar w:fldCharType="begin"/>
      </w:r>
      <w:r>
        <w:rPr>
          <w:noProof/>
        </w:rPr>
        <w:instrText xml:space="preserve"> PAGEREF _Toc72939552 \h </w:instrText>
      </w:r>
      <w:r>
        <w:rPr>
          <w:noProof/>
        </w:rPr>
      </w:r>
      <w:r>
        <w:rPr>
          <w:noProof/>
        </w:rPr>
        <w:fldChar w:fldCharType="separate"/>
      </w:r>
      <w:r w:rsidR="00104E04">
        <w:rPr>
          <w:noProof/>
        </w:rPr>
        <w:t>211</w:t>
      </w:r>
      <w:r>
        <w:rPr>
          <w:noProof/>
        </w:rPr>
        <w:fldChar w:fldCharType="end"/>
      </w:r>
    </w:p>
    <w:p w14:paraId="48DE3487" w14:textId="5DB4DD8B"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Pr>
          <w:noProof/>
        </w:rPr>
        <w:t>Knowledge generation needs attention</w:t>
      </w:r>
      <w:r>
        <w:rPr>
          <w:noProof/>
        </w:rPr>
        <w:tab/>
      </w:r>
      <w:r>
        <w:rPr>
          <w:noProof/>
        </w:rPr>
        <w:fldChar w:fldCharType="begin"/>
      </w:r>
      <w:r>
        <w:rPr>
          <w:noProof/>
        </w:rPr>
        <w:instrText xml:space="preserve"> PAGEREF _Toc72939553 \h </w:instrText>
      </w:r>
      <w:r>
        <w:rPr>
          <w:noProof/>
        </w:rPr>
      </w:r>
      <w:r>
        <w:rPr>
          <w:noProof/>
        </w:rPr>
        <w:fldChar w:fldCharType="separate"/>
      </w:r>
      <w:r w:rsidR="00104E04">
        <w:rPr>
          <w:noProof/>
        </w:rPr>
        <w:t>212</w:t>
      </w:r>
      <w:r>
        <w:rPr>
          <w:noProof/>
        </w:rPr>
        <w:fldChar w:fldCharType="end"/>
      </w:r>
    </w:p>
    <w:p w14:paraId="0F91EE3F" w14:textId="76738BF5" w:rsidR="00297A19" w:rsidRDefault="00297A19" w:rsidP="00297A19">
      <w:pPr>
        <w:pStyle w:val="TOC2"/>
        <w:tabs>
          <w:tab w:val="left" w:pos="1320"/>
        </w:tabs>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Use of knowledge also needs to be optimised</w:t>
      </w:r>
      <w:r>
        <w:rPr>
          <w:noProof/>
        </w:rPr>
        <w:tab/>
      </w:r>
      <w:r>
        <w:rPr>
          <w:noProof/>
        </w:rPr>
        <w:fldChar w:fldCharType="begin"/>
      </w:r>
      <w:r>
        <w:rPr>
          <w:noProof/>
        </w:rPr>
        <w:instrText xml:space="preserve"> PAGEREF _Toc72939554 \h </w:instrText>
      </w:r>
      <w:r>
        <w:rPr>
          <w:noProof/>
        </w:rPr>
      </w:r>
      <w:r>
        <w:rPr>
          <w:noProof/>
        </w:rPr>
        <w:fldChar w:fldCharType="separate"/>
      </w:r>
      <w:r w:rsidR="00104E04">
        <w:rPr>
          <w:noProof/>
        </w:rPr>
        <w:t>214</w:t>
      </w:r>
      <w:r>
        <w:rPr>
          <w:noProof/>
        </w:rPr>
        <w:fldChar w:fldCharType="end"/>
      </w:r>
    </w:p>
    <w:p w14:paraId="6C6D9A23" w14:textId="615D58B9" w:rsidR="00297A19" w:rsidRDefault="00297A19" w:rsidP="008F3F02">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Terms of Reference</w:t>
      </w:r>
      <w:r>
        <w:rPr>
          <w:noProof/>
        </w:rPr>
        <w:tab/>
      </w:r>
      <w:r>
        <w:rPr>
          <w:noProof/>
        </w:rPr>
        <w:fldChar w:fldCharType="begin"/>
      </w:r>
      <w:r>
        <w:rPr>
          <w:noProof/>
        </w:rPr>
        <w:instrText xml:space="preserve"> PAGEREF _Toc72939555 \h </w:instrText>
      </w:r>
      <w:r>
        <w:rPr>
          <w:noProof/>
        </w:rPr>
      </w:r>
      <w:r>
        <w:rPr>
          <w:noProof/>
        </w:rPr>
        <w:fldChar w:fldCharType="separate"/>
      </w:r>
      <w:r w:rsidR="00104E04">
        <w:rPr>
          <w:noProof/>
        </w:rPr>
        <w:t>217</w:t>
      </w:r>
      <w:r>
        <w:rPr>
          <w:noProof/>
        </w:rPr>
        <w:fldChar w:fldCharType="end"/>
      </w:r>
    </w:p>
    <w:p w14:paraId="43BF13D8" w14:textId="04922982" w:rsidR="00297A19" w:rsidRDefault="00297A19" w:rsidP="00297A19">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Glossary</w:t>
      </w:r>
      <w:r>
        <w:rPr>
          <w:noProof/>
        </w:rPr>
        <w:tab/>
      </w:r>
      <w:r>
        <w:rPr>
          <w:noProof/>
        </w:rPr>
        <w:fldChar w:fldCharType="begin"/>
      </w:r>
      <w:r>
        <w:rPr>
          <w:noProof/>
        </w:rPr>
        <w:instrText xml:space="preserve"> PAGEREF _Toc72939556 \h </w:instrText>
      </w:r>
      <w:r>
        <w:rPr>
          <w:noProof/>
        </w:rPr>
      </w:r>
      <w:r>
        <w:rPr>
          <w:noProof/>
        </w:rPr>
        <w:fldChar w:fldCharType="separate"/>
      </w:r>
      <w:r w:rsidR="00104E04">
        <w:rPr>
          <w:noProof/>
        </w:rPr>
        <w:t>221</w:t>
      </w:r>
      <w:r>
        <w:rPr>
          <w:noProof/>
        </w:rPr>
        <w:fldChar w:fldCharType="end"/>
      </w:r>
    </w:p>
    <w:p w14:paraId="14692B4D" w14:textId="515DA174" w:rsidR="00297A19" w:rsidRDefault="00297A19" w:rsidP="00297A19">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Inquiry conduct and participants</w:t>
      </w:r>
      <w:r>
        <w:rPr>
          <w:noProof/>
        </w:rPr>
        <w:tab/>
      </w:r>
      <w:r>
        <w:rPr>
          <w:noProof/>
        </w:rPr>
        <w:fldChar w:fldCharType="begin"/>
      </w:r>
      <w:r>
        <w:rPr>
          <w:noProof/>
        </w:rPr>
        <w:instrText xml:space="preserve"> PAGEREF _Toc72939557 \h </w:instrText>
      </w:r>
      <w:r>
        <w:rPr>
          <w:noProof/>
        </w:rPr>
      </w:r>
      <w:r>
        <w:rPr>
          <w:noProof/>
        </w:rPr>
        <w:fldChar w:fldCharType="separate"/>
      </w:r>
      <w:r w:rsidR="00104E04">
        <w:rPr>
          <w:noProof/>
        </w:rPr>
        <w:t>225</w:t>
      </w:r>
      <w:r>
        <w:rPr>
          <w:noProof/>
        </w:rPr>
        <w:fldChar w:fldCharType="end"/>
      </w:r>
    </w:p>
    <w:p w14:paraId="21AED6AE" w14:textId="1202D5DC" w:rsidR="00297A19" w:rsidRDefault="00297A19" w:rsidP="008F3F02">
      <w:pPr>
        <w:pStyle w:val="TOC1"/>
        <w:spacing w:before="360"/>
        <w:rPr>
          <w:rFonts w:asciiTheme="minorHAnsi" w:eastAsiaTheme="minorEastAsia" w:hAnsiTheme="minorHAnsi" w:cstheme="minorBidi"/>
          <w:b w:val="0"/>
          <w:noProof/>
          <w:sz w:val="22"/>
          <w:szCs w:val="22"/>
          <w:lang w:eastAsia="en-AU"/>
        </w:rPr>
      </w:pPr>
      <w:r>
        <w:rPr>
          <w:noProof/>
        </w:rPr>
        <w:t>References</w:t>
      </w:r>
      <w:r>
        <w:rPr>
          <w:noProof/>
        </w:rPr>
        <w:tab/>
      </w:r>
      <w:r>
        <w:rPr>
          <w:noProof/>
        </w:rPr>
        <w:fldChar w:fldCharType="begin"/>
      </w:r>
      <w:r>
        <w:rPr>
          <w:noProof/>
        </w:rPr>
        <w:instrText xml:space="preserve"> PAGEREF _Toc72939558 \h </w:instrText>
      </w:r>
      <w:r>
        <w:rPr>
          <w:noProof/>
        </w:rPr>
      </w:r>
      <w:r>
        <w:rPr>
          <w:noProof/>
        </w:rPr>
        <w:fldChar w:fldCharType="separate"/>
      </w:r>
      <w:r w:rsidR="00104E04">
        <w:rPr>
          <w:noProof/>
        </w:rPr>
        <w:t>237</w:t>
      </w:r>
      <w:r>
        <w:rPr>
          <w:noProof/>
        </w:rPr>
        <w:fldChar w:fldCharType="end"/>
      </w:r>
    </w:p>
    <w:p w14:paraId="6CBC6280" w14:textId="1DE9FD61" w:rsidR="008C565C" w:rsidRDefault="008C565C" w:rsidP="008C565C">
      <w:pPr>
        <w:pStyle w:val="TOC1"/>
        <w:spacing w:before="360"/>
        <w:ind w:left="0" w:firstLine="0"/>
      </w:pPr>
      <w:r>
        <w:t>Supporting papers</w:t>
      </w:r>
    </w:p>
    <w:p w14:paraId="121BC735" w14:textId="77777777" w:rsidR="008C565C" w:rsidRPr="0058332A" w:rsidRDefault="008C565C" w:rsidP="008C565C">
      <w:pPr>
        <w:pStyle w:val="TOC1"/>
        <w:spacing w:after="120"/>
        <w:ind w:left="0" w:right="0" w:firstLine="0"/>
        <w:jc w:val="both"/>
        <w:rPr>
          <w:rFonts w:cs="Arial"/>
          <w:b w:val="0"/>
          <w:bCs/>
          <w:noProof/>
          <w:spacing w:val="-4"/>
        </w:rPr>
      </w:pPr>
      <w:r>
        <w:rPr>
          <w:b w:val="0"/>
          <w:bCs/>
          <w:noProof/>
          <w:spacing w:val="-4"/>
        </w:rPr>
        <w:t xml:space="preserve">This </w:t>
      </w:r>
      <w:r w:rsidRPr="00A02378">
        <w:rPr>
          <w:b w:val="0"/>
          <w:bCs/>
          <w:noProof/>
          <w:spacing w:val="-4"/>
        </w:rPr>
        <w:t xml:space="preserve">report </w:t>
      </w:r>
      <w:r w:rsidRPr="0058332A">
        <w:rPr>
          <w:rFonts w:cs="Arial"/>
          <w:b w:val="0"/>
          <w:bCs/>
          <w:noProof/>
          <w:spacing w:val="-4"/>
        </w:rPr>
        <w:t xml:space="preserve">summarises analysis contained in the </w:t>
      </w:r>
      <w:r w:rsidRPr="0058332A">
        <w:rPr>
          <w:rFonts w:cs="Arial"/>
          <w:b w:val="0"/>
          <w:bCs/>
          <w:spacing w:val="-4"/>
        </w:rPr>
        <w:t xml:space="preserve">following </w:t>
      </w:r>
      <w:r w:rsidRPr="0058332A">
        <w:rPr>
          <w:rFonts w:cs="Arial"/>
          <w:b w:val="0"/>
          <w:bCs/>
          <w:noProof/>
          <w:spacing w:val="-4"/>
        </w:rPr>
        <w:t xml:space="preserve">supporting papers (SPs), which are available online at: </w:t>
      </w:r>
      <w:hyperlink r:id="rId16" w:history="1">
        <w:r>
          <w:rPr>
            <w:rStyle w:val="Hyperlink"/>
            <w:rFonts w:cs="Arial"/>
            <w:b w:val="0"/>
            <w:bCs/>
            <w:noProof/>
            <w:spacing w:val="-4"/>
          </w:rPr>
          <w:t>www.pc.gov.au/water-reform-2020/report</w:t>
        </w:r>
      </w:hyperlink>
      <w:r w:rsidRPr="0058332A">
        <w:rPr>
          <w:rFonts w:cs="Arial"/>
          <w:b w:val="0"/>
          <w:bCs/>
          <w:noProof/>
          <w:spacing w:val="-4"/>
        </w:rPr>
        <w:t>.</w:t>
      </w:r>
    </w:p>
    <w:p w14:paraId="4EB5F5B9" w14:textId="77777777" w:rsidR="008C565C" w:rsidRPr="00F63166" w:rsidRDefault="008C565C" w:rsidP="008C565C">
      <w:pPr>
        <w:pStyle w:val="TOC1"/>
        <w:tabs>
          <w:tab w:val="left" w:pos="851"/>
        </w:tabs>
        <w:rPr>
          <w:b w:val="0"/>
          <w:bCs/>
          <w:noProof/>
        </w:rPr>
      </w:pPr>
      <w:r w:rsidRPr="00F63166">
        <w:rPr>
          <w:b w:val="0"/>
          <w:bCs/>
          <w:noProof/>
        </w:rPr>
        <w:t>SP A</w:t>
      </w:r>
      <w:r w:rsidRPr="00F63166">
        <w:rPr>
          <w:b w:val="0"/>
          <w:bCs/>
          <w:noProof/>
        </w:rPr>
        <w:tab/>
        <w:t>Water entitlements and planning</w:t>
      </w:r>
    </w:p>
    <w:p w14:paraId="35A0A043" w14:textId="77777777" w:rsidR="008C565C" w:rsidRPr="00F63166" w:rsidRDefault="008C565C" w:rsidP="008C565C">
      <w:pPr>
        <w:pStyle w:val="TOC1"/>
        <w:tabs>
          <w:tab w:val="left" w:pos="851"/>
        </w:tabs>
        <w:rPr>
          <w:b w:val="0"/>
          <w:bCs/>
          <w:noProof/>
        </w:rPr>
      </w:pPr>
      <w:r w:rsidRPr="00F63166">
        <w:rPr>
          <w:b w:val="0"/>
          <w:bCs/>
          <w:noProof/>
        </w:rPr>
        <w:t>SP B</w:t>
      </w:r>
      <w:r w:rsidRPr="00F63166">
        <w:rPr>
          <w:b w:val="0"/>
          <w:bCs/>
          <w:noProof/>
        </w:rPr>
        <w:tab/>
        <w:t>Water trading and markets</w:t>
      </w:r>
    </w:p>
    <w:p w14:paraId="6E30ECF3" w14:textId="77777777" w:rsidR="008C565C" w:rsidRPr="00F63166" w:rsidRDefault="008C565C" w:rsidP="008C565C">
      <w:pPr>
        <w:pStyle w:val="TOC1"/>
        <w:tabs>
          <w:tab w:val="left" w:pos="851"/>
        </w:tabs>
        <w:rPr>
          <w:b w:val="0"/>
          <w:bCs/>
          <w:noProof/>
        </w:rPr>
      </w:pPr>
      <w:r w:rsidRPr="00F63166">
        <w:rPr>
          <w:b w:val="0"/>
          <w:bCs/>
          <w:noProof/>
        </w:rPr>
        <w:t>SP C</w:t>
      </w:r>
      <w:r w:rsidRPr="00F63166">
        <w:rPr>
          <w:b w:val="0"/>
          <w:bCs/>
          <w:noProof/>
        </w:rPr>
        <w:tab/>
        <w:t>Environmental management</w:t>
      </w:r>
    </w:p>
    <w:p w14:paraId="65FF1279" w14:textId="274464A5" w:rsidR="008C565C" w:rsidRPr="002B4A85" w:rsidRDefault="008C565C" w:rsidP="00037FD8">
      <w:pPr>
        <w:pStyle w:val="TOC1"/>
        <w:tabs>
          <w:tab w:val="left" w:pos="851"/>
        </w:tabs>
        <w:ind w:left="851" w:right="284" w:hanging="851"/>
        <w:rPr>
          <w:b w:val="0"/>
          <w:bCs/>
          <w:noProof/>
          <w:spacing w:val="-6"/>
        </w:rPr>
      </w:pPr>
      <w:r w:rsidRPr="00F63166">
        <w:rPr>
          <w:b w:val="0"/>
          <w:bCs/>
          <w:noProof/>
        </w:rPr>
        <w:t>SP D</w:t>
      </w:r>
      <w:r w:rsidRPr="00F63166">
        <w:rPr>
          <w:b w:val="0"/>
          <w:bCs/>
          <w:noProof/>
        </w:rPr>
        <w:tab/>
      </w:r>
      <w:r w:rsidRPr="002B4A85">
        <w:rPr>
          <w:b w:val="0"/>
          <w:bCs/>
          <w:noProof/>
          <w:spacing w:val="-6"/>
        </w:rPr>
        <w:t xml:space="preserve">Securing Aboriginal and Torres Strait Islander </w:t>
      </w:r>
      <w:r w:rsidR="006B559F" w:rsidRPr="002B4A85">
        <w:rPr>
          <w:b w:val="0"/>
          <w:bCs/>
          <w:noProof/>
          <w:spacing w:val="-6"/>
        </w:rPr>
        <w:t>people</w:t>
      </w:r>
      <w:r w:rsidR="007D7BF5" w:rsidRPr="002B4A85">
        <w:rPr>
          <w:b w:val="0"/>
          <w:bCs/>
          <w:noProof/>
          <w:spacing w:val="-6"/>
        </w:rPr>
        <w:t>’</w:t>
      </w:r>
      <w:r w:rsidR="006B559F" w:rsidRPr="002B4A85">
        <w:rPr>
          <w:b w:val="0"/>
          <w:bCs/>
          <w:noProof/>
          <w:spacing w:val="-6"/>
        </w:rPr>
        <w:t xml:space="preserve">s </w:t>
      </w:r>
      <w:r w:rsidRPr="002B4A85">
        <w:rPr>
          <w:b w:val="0"/>
          <w:bCs/>
          <w:noProof/>
          <w:spacing w:val="-6"/>
        </w:rPr>
        <w:t>interests in water</w:t>
      </w:r>
    </w:p>
    <w:p w14:paraId="057490E4" w14:textId="77777777" w:rsidR="008C565C" w:rsidRPr="00F63166" w:rsidRDefault="008C565C" w:rsidP="008C565C">
      <w:pPr>
        <w:pStyle w:val="TOC1"/>
        <w:tabs>
          <w:tab w:val="left" w:pos="851"/>
        </w:tabs>
        <w:rPr>
          <w:b w:val="0"/>
          <w:bCs/>
          <w:noProof/>
        </w:rPr>
      </w:pPr>
      <w:r w:rsidRPr="00F63166">
        <w:rPr>
          <w:b w:val="0"/>
          <w:bCs/>
          <w:noProof/>
        </w:rPr>
        <w:t>SP E</w:t>
      </w:r>
      <w:r w:rsidRPr="00F63166">
        <w:rPr>
          <w:b w:val="0"/>
          <w:bCs/>
          <w:noProof/>
        </w:rPr>
        <w:tab/>
        <w:t>Ensuring the integrity of water resource management</w:t>
      </w:r>
    </w:p>
    <w:p w14:paraId="63E721A4" w14:textId="77777777" w:rsidR="008C565C" w:rsidRPr="00F63166" w:rsidRDefault="008C565C" w:rsidP="007355AF">
      <w:pPr>
        <w:pStyle w:val="TOC1"/>
        <w:tabs>
          <w:tab w:val="left" w:pos="851"/>
        </w:tabs>
        <w:ind w:left="851" w:hanging="851"/>
        <w:rPr>
          <w:b w:val="0"/>
          <w:bCs/>
          <w:noProof/>
        </w:rPr>
      </w:pPr>
      <w:r w:rsidRPr="00F63166">
        <w:rPr>
          <w:b w:val="0"/>
          <w:bCs/>
          <w:noProof/>
        </w:rPr>
        <w:t>SP F</w:t>
      </w:r>
      <w:r w:rsidRPr="00F63166">
        <w:rPr>
          <w:b w:val="0"/>
          <w:bCs/>
          <w:noProof/>
        </w:rPr>
        <w:tab/>
        <w:t>Urban water services</w:t>
      </w:r>
    </w:p>
    <w:p w14:paraId="35026DDD" w14:textId="77777777" w:rsidR="008C565C" w:rsidRPr="00F63166" w:rsidRDefault="008C565C" w:rsidP="008C565C">
      <w:pPr>
        <w:pStyle w:val="TOC1"/>
        <w:tabs>
          <w:tab w:val="left" w:pos="851"/>
        </w:tabs>
        <w:rPr>
          <w:b w:val="0"/>
          <w:bCs/>
          <w:noProof/>
        </w:rPr>
      </w:pPr>
      <w:r w:rsidRPr="00F63166">
        <w:rPr>
          <w:b w:val="0"/>
          <w:bCs/>
          <w:noProof/>
        </w:rPr>
        <w:t>SP G</w:t>
      </w:r>
      <w:r w:rsidRPr="00F63166">
        <w:rPr>
          <w:b w:val="0"/>
          <w:bCs/>
          <w:noProof/>
        </w:rPr>
        <w:tab/>
        <w:t>Urban water services: regional and remote communities</w:t>
      </w:r>
    </w:p>
    <w:p w14:paraId="393D9698" w14:textId="77777777" w:rsidR="008C565C" w:rsidRPr="00F63166" w:rsidRDefault="008C565C" w:rsidP="008C565C">
      <w:pPr>
        <w:pStyle w:val="TOC1"/>
        <w:tabs>
          <w:tab w:val="left" w:pos="851"/>
        </w:tabs>
        <w:rPr>
          <w:b w:val="0"/>
          <w:bCs/>
          <w:noProof/>
        </w:rPr>
      </w:pPr>
      <w:r w:rsidRPr="00F63166">
        <w:rPr>
          <w:b w:val="0"/>
          <w:bCs/>
          <w:noProof/>
        </w:rPr>
        <w:t>SP H</w:t>
      </w:r>
      <w:r w:rsidRPr="00F63166">
        <w:rPr>
          <w:b w:val="0"/>
          <w:bCs/>
          <w:noProof/>
        </w:rPr>
        <w:tab/>
        <w:t>Water reform in rural Australia</w:t>
      </w:r>
    </w:p>
    <w:p w14:paraId="0AC720DC" w14:textId="77777777" w:rsidR="008C565C" w:rsidRPr="00F63166" w:rsidRDefault="008C565C" w:rsidP="008C565C">
      <w:pPr>
        <w:pStyle w:val="TOC1"/>
        <w:tabs>
          <w:tab w:val="left" w:pos="851"/>
        </w:tabs>
        <w:rPr>
          <w:b w:val="0"/>
          <w:bCs/>
          <w:noProof/>
        </w:rPr>
      </w:pPr>
      <w:r w:rsidRPr="00F63166">
        <w:rPr>
          <w:b w:val="0"/>
          <w:bCs/>
          <w:noProof/>
        </w:rPr>
        <w:t>SP I</w:t>
      </w:r>
      <w:r w:rsidRPr="00F63166">
        <w:rPr>
          <w:b w:val="0"/>
          <w:bCs/>
          <w:noProof/>
        </w:rPr>
        <w:tab/>
      </w:r>
      <w:r>
        <w:rPr>
          <w:b w:val="0"/>
          <w:bCs/>
          <w:noProof/>
        </w:rPr>
        <w:tab/>
      </w:r>
      <w:r w:rsidRPr="00F63166">
        <w:rPr>
          <w:b w:val="0"/>
          <w:bCs/>
          <w:noProof/>
        </w:rPr>
        <w:t xml:space="preserve">Government investment in major water infrastructure </w:t>
      </w:r>
    </w:p>
    <w:p w14:paraId="14445105" w14:textId="77777777" w:rsidR="008C565C" w:rsidRPr="00F63166" w:rsidRDefault="008C565C" w:rsidP="008C565C">
      <w:pPr>
        <w:pStyle w:val="TOC1"/>
        <w:tabs>
          <w:tab w:val="left" w:pos="851"/>
        </w:tabs>
        <w:rPr>
          <w:b w:val="0"/>
          <w:bCs/>
          <w:noProof/>
        </w:rPr>
      </w:pPr>
      <w:r w:rsidRPr="00F63166">
        <w:rPr>
          <w:b w:val="0"/>
          <w:bCs/>
          <w:noProof/>
        </w:rPr>
        <w:t>SP J</w:t>
      </w:r>
      <w:r w:rsidRPr="00F63166">
        <w:rPr>
          <w:b w:val="0"/>
          <w:bCs/>
          <w:noProof/>
        </w:rPr>
        <w:tab/>
        <w:t>Community engagement</w:t>
      </w:r>
    </w:p>
    <w:p w14:paraId="1BE4F008" w14:textId="77777777" w:rsidR="008C565C" w:rsidRPr="00F63166" w:rsidRDefault="008C565C" w:rsidP="008C565C">
      <w:pPr>
        <w:pStyle w:val="TOC1"/>
        <w:tabs>
          <w:tab w:val="left" w:pos="851"/>
        </w:tabs>
        <w:rPr>
          <w:b w:val="0"/>
          <w:bCs/>
          <w:noProof/>
        </w:rPr>
      </w:pPr>
      <w:r w:rsidRPr="00F63166">
        <w:rPr>
          <w:b w:val="0"/>
          <w:bCs/>
          <w:noProof/>
        </w:rPr>
        <w:t>SP K</w:t>
      </w:r>
      <w:r w:rsidRPr="00F63166">
        <w:rPr>
          <w:b w:val="0"/>
          <w:bCs/>
          <w:noProof/>
        </w:rPr>
        <w:tab/>
        <w:t>Knowledge, capacity and capability building</w:t>
      </w:r>
    </w:p>
    <w:p w14:paraId="38D913C3" w14:textId="77777777" w:rsidR="008C565C" w:rsidRPr="00BD2C21" w:rsidRDefault="008C565C" w:rsidP="008C565C">
      <w:pPr>
        <w:pStyle w:val="BodyText"/>
        <w:rPr>
          <w:rFonts w:ascii="Arial" w:hAnsi="Arial" w:cs="Arial"/>
          <w:sz w:val="26"/>
          <w:szCs w:val="26"/>
        </w:rPr>
      </w:pPr>
      <w:r w:rsidRPr="00BD2C21">
        <w:rPr>
          <w:rFonts w:ascii="Arial" w:hAnsi="Arial" w:cs="Arial"/>
          <w:sz w:val="26"/>
          <w:szCs w:val="26"/>
        </w:rPr>
        <w:t xml:space="preserve">An assessment report into the National Water Initiative implementation progress is also available online at: </w:t>
      </w:r>
      <w:hyperlink r:id="rId17" w:history="1">
        <w:r w:rsidRPr="00BD2C21">
          <w:rPr>
            <w:rStyle w:val="Hyperlink"/>
            <w:rFonts w:ascii="Arial" w:hAnsi="Arial" w:cs="Arial"/>
            <w:noProof/>
            <w:spacing w:val="-4"/>
            <w:sz w:val="26"/>
            <w:szCs w:val="26"/>
          </w:rPr>
          <w:t>www.pc.gov.au/water-reform-2020/report</w:t>
        </w:r>
      </w:hyperlink>
      <w:r w:rsidRPr="00BD2C21">
        <w:rPr>
          <w:rFonts w:ascii="Arial" w:hAnsi="Arial" w:cs="Arial"/>
          <w:sz w:val="26"/>
          <w:szCs w:val="26"/>
        </w:rPr>
        <w:t>.</w:t>
      </w:r>
    </w:p>
    <w:p w14:paraId="7AD7E3CC" w14:textId="77777777" w:rsidR="008C565C" w:rsidRDefault="008C565C" w:rsidP="008C565C">
      <w:pPr>
        <w:pStyle w:val="BodyText"/>
      </w:pPr>
    </w:p>
    <w:p w14:paraId="474AFFA5" w14:textId="77777777" w:rsidR="008C565C" w:rsidRDefault="008C565C" w:rsidP="008C565C">
      <w:pPr>
        <w:pStyle w:val="BodyText"/>
        <w:sectPr w:rsidR="008C565C" w:rsidSect="007448F7">
          <w:headerReference w:type="even" r:id="rId18"/>
          <w:headerReference w:type="default" r:id="rId19"/>
          <w:footerReference w:type="even" r:id="rId20"/>
          <w:footerReference w:type="default" r:id="rId21"/>
          <w:type w:val="oddPage"/>
          <w:pgSz w:w="11907" w:h="16840" w:code="9"/>
          <w:pgMar w:top="1985" w:right="1304" w:bottom="1247" w:left="1814" w:header="1701" w:footer="397" w:gutter="0"/>
          <w:pgNumType w:fmt="lowerRoman"/>
          <w:cols w:space="720"/>
        </w:sectPr>
      </w:pPr>
    </w:p>
    <w:p w14:paraId="233E4492" w14:textId="77777777" w:rsidR="008C565C" w:rsidRDefault="008C565C" w:rsidP="008C565C">
      <w:pPr>
        <w:pStyle w:val="Heading1"/>
      </w:pPr>
      <w:bookmarkStart w:id="7" w:name="Abbreviations"/>
      <w:bookmarkStart w:id="8" w:name="RDnote"/>
      <w:bookmarkStart w:id="9" w:name="_Toc72413790"/>
      <w:bookmarkStart w:id="10" w:name="_Toc72939474"/>
      <w:bookmarkEnd w:id="7"/>
      <w:bookmarkEnd w:id="8"/>
      <w:r>
        <w:lastRenderedPageBreak/>
        <w:t>Acknowledgments</w:t>
      </w:r>
      <w:bookmarkEnd w:id="9"/>
      <w:bookmarkEnd w:id="10"/>
    </w:p>
    <w:p w14:paraId="26D95089" w14:textId="77777777" w:rsidR="008C565C" w:rsidRDefault="008C565C" w:rsidP="008C565C">
      <w:pPr>
        <w:pStyle w:val="BodyText"/>
      </w:pPr>
      <w:r w:rsidRPr="000C5B08">
        <w:t>The Commission has used a range of information sources in preparing the report.</w:t>
      </w:r>
      <w:r w:rsidDel="00056631">
        <w:t xml:space="preserve"> </w:t>
      </w:r>
      <w:r>
        <w:t xml:space="preserve">The Commission is grateful for the contributions made by inquiry participants through their submissions and brief comments, and their participation in meetings, public hearings and roundtables. </w:t>
      </w:r>
      <w:r w:rsidRPr="00406F42">
        <w:t xml:space="preserve">The Commission also thanks the Stakeholder Working Group (members are listed in appendix </w:t>
      </w:r>
      <w:r>
        <w:t>C</w:t>
      </w:r>
      <w:r w:rsidRPr="00406F42">
        <w:t>) for their input.</w:t>
      </w:r>
    </w:p>
    <w:p w14:paraId="79F353C9" w14:textId="77777777" w:rsidR="008C565C" w:rsidRDefault="008C565C" w:rsidP="008C565C">
      <w:pPr>
        <w:pStyle w:val="BodyText"/>
      </w:pPr>
      <w:r>
        <w:t>The Commissioners express their appreciation to the staff who worked on the inquiry report and underlying analysis — A/g Assistant Commissioner Lou Will, who led the inquiry, and to other team members, including: Josh Appleton-Miles, Vanessa Boltman, Bronwyn Fisher, Cordelia Foo, Nick Fransen, Sally Harvey, Phil Heaphy, Matthew Hyde, Suvi Lokuge, Catherine McCombe, Samuel Thornton and An Tran. Our thanks are also extended to Marianna Olding and Ingrid Ottaway for administrative and project support.</w:t>
      </w:r>
    </w:p>
    <w:p w14:paraId="06E232D2" w14:textId="77777777" w:rsidR="008C565C" w:rsidRDefault="008C565C" w:rsidP="008C565C">
      <w:pPr>
        <w:pStyle w:val="Heading3"/>
      </w:pPr>
      <w:r>
        <w:t>Disclosure of interests</w:t>
      </w:r>
    </w:p>
    <w:p w14:paraId="2EC44BE0" w14:textId="77777777" w:rsidR="008C565C" w:rsidRDefault="008C565C" w:rsidP="008C565C">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3B9FA2F2" w14:textId="77777777" w:rsidR="008C565C" w:rsidRDefault="008C565C" w:rsidP="008C565C">
      <w:pPr>
        <w:pStyle w:val="BodyText"/>
      </w:pPr>
      <w:r>
        <w:t>Dr Jane Doolan has advised the Commission that she is:</w:t>
      </w:r>
    </w:p>
    <w:p w14:paraId="763AFE32" w14:textId="77777777" w:rsidR="008C565C" w:rsidRDefault="008C565C" w:rsidP="008C565C">
      <w:pPr>
        <w:pStyle w:val="ListBullet"/>
        <w:rPr>
          <w:sz w:val="22"/>
        </w:rPr>
      </w:pPr>
      <w:r>
        <w:t>Deputy Chair, Western Water Authority</w:t>
      </w:r>
    </w:p>
    <w:p w14:paraId="5036ADAA" w14:textId="77777777" w:rsidR="008C565C" w:rsidRDefault="008C565C" w:rsidP="008C565C">
      <w:pPr>
        <w:pStyle w:val="ListBullet"/>
      </w:pPr>
      <w:r>
        <w:t>Member, City West Water, Joint Transition Committee</w:t>
      </w:r>
    </w:p>
    <w:p w14:paraId="5CB12301" w14:textId="77777777" w:rsidR="008C565C" w:rsidRDefault="008C565C" w:rsidP="008C565C">
      <w:pPr>
        <w:pStyle w:val="ListBullet"/>
      </w:pPr>
      <w:r>
        <w:t>Independent Chair, Yarra Consultative Committee</w:t>
      </w:r>
    </w:p>
    <w:p w14:paraId="1298CBD0" w14:textId="77777777" w:rsidR="008C565C" w:rsidRDefault="008C565C" w:rsidP="008C565C">
      <w:pPr>
        <w:pStyle w:val="ListBullet"/>
      </w:pPr>
      <w:r>
        <w:t>Chair, Independent Panel of Experts on Capacity and Delivery in the River Murray</w:t>
      </w:r>
    </w:p>
    <w:p w14:paraId="0ACF9400" w14:textId="77777777" w:rsidR="008C565C" w:rsidRDefault="008C565C" w:rsidP="008C565C">
      <w:pPr>
        <w:pStyle w:val="ListBullet"/>
      </w:pPr>
      <w:r>
        <w:t>Member, Australian Water Partnership Advisory Committee.</w:t>
      </w:r>
    </w:p>
    <w:p w14:paraId="586D88A2" w14:textId="77777777" w:rsidR="008C565C" w:rsidRPr="00883E8C" w:rsidRDefault="008C565C" w:rsidP="008C565C">
      <w:pPr>
        <w:pStyle w:val="BodyText"/>
        <w:rPr>
          <w:lang w:eastAsia="en-US"/>
        </w:rPr>
      </w:pPr>
    </w:p>
    <w:p w14:paraId="7D1F9760" w14:textId="77777777" w:rsidR="008C565C" w:rsidRDefault="008C565C" w:rsidP="008C565C">
      <w:pPr>
        <w:pStyle w:val="BodyText"/>
        <w:sectPr w:rsidR="008C565C" w:rsidSect="005464E7">
          <w:headerReference w:type="even" r:id="rId22"/>
          <w:headerReference w:type="default" r:id="rId23"/>
          <w:footerReference w:type="even" r:id="rId24"/>
          <w:footerReference w:type="default" r:id="rId25"/>
          <w:pgSz w:w="11906" w:h="16838" w:code="9"/>
          <w:pgMar w:top="1985" w:right="1304" w:bottom="1247" w:left="1814" w:header="1701" w:footer="397" w:gutter="0"/>
          <w:pgNumType w:fmt="lowerRoman"/>
          <w:cols w:space="708"/>
          <w:docGrid w:linePitch="360"/>
        </w:sectPr>
      </w:pPr>
    </w:p>
    <w:p w14:paraId="3FFF26A0" w14:textId="77777777" w:rsidR="008C565C" w:rsidRDefault="008C565C" w:rsidP="008C565C">
      <w:pPr>
        <w:pStyle w:val="Heading1"/>
      </w:pPr>
      <w:bookmarkStart w:id="11" w:name="EndContents"/>
      <w:bookmarkStart w:id="12" w:name="_Toc72413791"/>
      <w:bookmarkStart w:id="13" w:name="_Toc72939475"/>
      <w:bookmarkEnd w:id="11"/>
      <w:r>
        <w:lastRenderedPageBreak/>
        <w:t>Abbreviations</w:t>
      </w:r>
      <w:bookmarkEnd w:id="12"/>
      <w:bookmarkEnd w:id="13"/>
    </w:p>
    <w:tbl>
      <w:tblPr>
        <w:tblW w:w="4998" w:type="pct"/>
        <w:tblCellMar>
          <w:left w:w="0" w:type="dxa"/>
          <w:right w:w="0" w:type="dxa"/>
        </w:tblCellMar>
        <w:tblLook w:val="0000" w:firstRow="0" w:lastRow="0" w:firstColumn="0" w:lastColumn="0" w:noHBand="0" w:noVBand="0"/>
        <w:tblDescription w:val="Table used for design layout."/>
      </w:tblPr>
      <w:tblGrid>
        <w:gridCol w:w="1416"/>
        <w:gridCol w:w="7369"/>
      </w:tblGrid>
      <w:tr w:rsidR="008C565C" w14:paraId="2A2156F0" w14:textId="77777777" w:rsidTr="009206E1">
        <w:tc>
          <w:tcPr>
            <w:tcW w:w="806" w:type="pct"/>
          </w:tcPr>
          <w:p w14:paraId="66EB568A" w14:textId="77777777" w:rsidR="008C565C" w:rsidRDefault="008C565C" w:rsidP="009206E1">
            <w:pPr>
              <w:pStyle w:val="BodyText"/>
              <w:spacing w:before="120"/>
              <w:ind w:right="6"/>
            </w:pPr>
            <w:r>
              <w:t>ABARES</w:t>
            </w:r>
          </w:p>
        </w:tc>
        <w:tc>
          <w:tcPr>
            <w:tcW w:w="4194" w:type="pct"/>
          </w:tcPr>
          <w:p w14:paraId="6D63D64E" w14:textId="77777777" w:rsidR="008C565C" w:rsidRDefault="008C565C" w:rsidP="009206E1">
            <w:pPr>
              <w:pStyle w:val="BodyText"/>
              <w:spacing w:before="120"/>
              <w:ind w:left="227" w:right="6"/>
            </w:pPr>
            <w:r>
              <w:t>Australian Bureau of Agricultural and Resource Economics and Sciences</w:t>
            </w:r>
          </w:p>
        </w:tc>
      </w:tr>
      <w:tr w:rsidR="008C565C" w14:paraId="4C07846C" w14:textId="77777777" w:rsidTr="009206E1">
        <w:tc>
          <w:tcPr>
            <w:tcW w:w="806" w:type="pct"/>
          </w:tcPr>
          <w:p w14:paraId="5C10FE8A" w14:textId="77777777" w:rsidR="008C565C" w:rsidRDefault="008C565C" w:rsidP="009206E1">
            <w:pPr>
              <w:pStyle w:val="BodyText"/>
              <w:spacing w:before="120"/>
              <w:ind w:right="6"/>
            </w:pPr>
            <w:r>
              <w:t>ABC</w:t>
            </w:r>
          </w:p>
        </w:tc>
        <w:tc>
          <w:tcPr>
            <w:tcW w:w="4194" w:type="pct"/>
          </w:tcPr>
          <w:p w14:paraId="1301EDAB" w14:textId="77777777" w:rsidR="008C565C" w:rsidRDefault="008C565C" w:rsidP="009206E1">
            <w:pPr>
              <w:pStyle w:val="BodyText"/>
              <w:spacing w:before="120"/>
              <w:ind w:left="227" w:right="6"/>
            </w:pPr>
            <w:r>
              <w:t>Australian Broadcasting Corporation</w:t>
            </w:r>
          </w:p>
        </w:tc>
      </w:tr>
      <w:tr w:rsidR="008C565C" w14:paraId="66108311" w14:textId="77777777" w:rsidTr="009206E1">
        <w:tc>
          <w:tcPr>
            <w:tcW w:w="806" w:type="pct"/>
          </w:tcPr>
          <w:p w14:paraId="57701221" w14:textId="77777777" w:rsidR="008C565C" w:rsidRDefault="008C565C" w:rsidP="009206E1">
            <w:pPr>
              <w:pStyle w:val="BodyText"/>
              <w:spacing w:before="120"/>
              <w:ind w:right="6"/>
            </w:pPr>
            <w:r>
              <w:t>ABS</w:t>
            </w:r>
          </w:p>
        </w:tc>
        <w:tc>
          <w:tcPr>
            <w:tcW w:w="4194" w:type="pct"/>
          </w:tcPr>
          <w:p w14:paraId="01744F3D" w14:textId="77777777" w:rsidR="008C565C" w:rsidRDefault="008C565C" w:rsidP="009206E1">
            <w:pPr>
              <w:pStyle w:val="BodyText"/>
              <w:spacing w:before="120"/>
              <w:ind w:left="227" w:right="6"/>
            </w:pPr>
            <w:r>
              <w:t>Australian Bureau of Statistics</w:t>
            </w:r>
          </w:p>
        </w:tc>
      </w:tr>
      <w:tr w:rsidR="008C565C" w14:paraId="5DC47084" w14:textId="77777777" w:rsidTr="009206E1">
        <w:tc>
          <w:tcPr>
            <w:tcW w:w="806" w:type="pct"/>
          </w:tcPr>
          <w:p w14:paraId="22810DF4" w14:textId="77777777" w:rsidR="008C565C" w:rsidRDefault="008C565C" w:rsidP="009206E1">
            <w:pPr>
              <w:pStyle w:val="BodyText"/>
              <w:spacing w:before="120"/>
              <w:ind w:right="6"/>
            </w:pPr>
            <w:r>
              <w:t>ACCC</w:t>
            </w:r>
          </w:p>
        </w:tc>
        <w:tc>
          <w:tcPr>
            <w:tcW w:w="4194" w:type="pct"/>
          </w:tcPr>
          <w:p w14:paraId="4C01025C" w14:textId="77777777" w:rsidR="008C565C" w:rsidRDefault="008C565C" w:rsidP="009206E1">
            <w:pPr>
              <w:pStyle w:val="BodyText"/>
              <w:spacing w:before="120"/>
              <w:ind w:left="227" w:right="6"/>
            </w:pPr>
            <w:bookmarkStart w:id="14" w:name="_Hlk61439814"/>
            <w:r w:rsidRPr="00D447D8">
              <w:t xml:space="preserve">Australian Competition </w:t>
            </w:r>
            <w:r>
              <w:t>and</w:t>
            </w:r>
            <w:r w:rsidRPr="00D447D8">
              <w:t xml:space="preserve"> Consumer Commission</w:t>
            </w:r>
            <w:bookmarkEnd w:id="14"/>
          </w:p>
        </w:tc>
      </w:tr>
      <w:tr w:rsidR="008C565C" w14:paraId="65B4EA05" w14:textId="77777777" w:rsidTr="009206E1">
        <w:tc>
          <w:tcPr>
            <w:tcW w:w="806" w:type="pct"/>
          </w:tcPr>
          <w:p w14:paraId="541D63C6" w14:textId="77777777" w:rsidR="008C565C" w:rsidRDefault="008C565C" w:rsidP="009206E1">
            <w:pPr>
              <w:pStyle w:val="BodyText"/>
              <w:spacing w:before="120"/>
              <w:ind w:right="6"/>
            </w:pPr>
            <w:r>
              <w:t>BOM</w:t>
            </w:r>
          </w:p>
        </w:tc>
        <w:tc>
          <w:tcPr>
            <w:tcW w:w="4194" w:type="pct"/>
          </w:tcPr>
          <w:p w14:paraId="06898B62" w14:textId="77777777" w:rsidR="008C565C" w:rsidRDefault="008C565C" w:rsidP="009206E1">
            <w:pPr>
              <w:pStyle w:val="BodyText"/>
              <w:spacing w:before="120"/>
              <w:ind w:left="227" w:right="6"/>
            </w:pPr>
            <w:r>
              <w:t>Bureau of Meteorology</w:t>
            </w:r>
          </w:p>
        </w:tc>
      </w:tr>
      <w:tr w:rsidR="008C565C" w14:paraId="476A7B7C" w14:textId="77777777" w:rsidTr="009206E1">
        <w:tc>
          <w:tcPr>
            <w:tcW w:w="806" w:type="pct"/>
          </w:tcPr>
          <w:p w14:paraId="68829D3A" w14:textId="77777777" w:rsidR="008C565C" w:rsidRDefault="008C565C" w:rsidP="009206E1">
            <w:pPr>
              <w:pStyle w:val="BodyText"/>
              <w:spacing w:before="120"/>
              <w:ind w:right="6"/>
            </w:pPr>
            <w:r>
              <w:t>COAG</w:t>
            </w:r>
          </w:p>
        </w:tc>
        <w:tc>
          <w:tcPr>
            <w:tcW w:w="4194" w:type="pct"/>
          </w:tcPr>
          <w:p w14:paraId="75D6AAFC" w14:textId="77777777" w:rsidR="008C565C" w:rsidRDefault="008C565C" w:rsidP="009206E1">
            <w:pPr>
              <w:pStyle w:val="BodyText"/>
              <w:spacing w:before="120"/>
              <w:ind w:left="227" w:right="6"/>
            </w:pPr>
            <w:r w:rsidRPr="000779D3">
              <w:t>Council of Australian Governments</w:t>
            </w:r>
          </w:p>
        </w:tc>
      </w:tr>
      <w:tr w:rsidR="008C565C" w14:paraId="49B5C05A" w14:textId="77777777" w:rsidTr="009206E1">
        <w:tc>
          <w:tcPr>
            <w:tcW w:w="806" w:type="pct"/>
          </w:tcPr>
          <w:p w14:paraId="5B101A4A" w14:textId="77777777" w:rsidR="008C565C" w:rsidRDefault="008C565C" w:rsidP="009206E1">
            <w:pPr>
              <w:pStyle w:val="BodyText"/>
              <w:spacing w:before="120"/>
              <w:ind w:right="6"/>
            </w:pPr>
            <w:r>
              <w:t>CRC</w:t>
            </w:r>
          </w:p>
        </w:tc>
        <w:tc>
          <w:tcPr>
            <w:tcW w:w="4194" w:type="pct"/>
          </w:tcPr>
          <w:p w14:paraId="13CD6559" w14:textId="77777777" w:rsidR="008C565C" w:rsidRDefault="008C565C" w:rsidP="009206E1">
            <w:pPr>
              <w:pStyle w:val="BodyText"/>
              <w:spacing w:before="120"/>
              <w:ind w:left="227" w:right="6"/>
            </w:pPr>
            <w:r>
              <w:t>Cooperative Research Centre</w:t>
            </w:r>
          </w:p>
        </w:tc>
      </w:tr>
      <w:tr w:rsidR="008C565C" w14:paraId="6157C8A5" w14:textId="77777777" w:rsidTr="009206E1">
        <w:tc>
          <w:tcPr>
            <w:tcW w:w="806" w:type="pct"/>
          </w:tcPr>
          <w:p w14:paraId="5CA11F4D" w14:textId="77777777" w:rsidR="008C565C" w:rsidRDefault="008C565C" w:rsidP="009206E1">
            <w:pPr>
              <w:pStyle w:val="BodyText"/>
              <w:spacing w:before="120"/>
              <w:ind w:right="6"/>
            </w:pPr>
            <w:r>
              <w:t>CSO</w:t>
            </w:r>
          </w:p>
        </w:tc>
        <w:tc>
          <w:tcPr>
            <w:tcW w:w="4194" w:type="pct"/>
          </w:tcPr>
          <w:p w14:paraId="2C3AA850" w14:textId="77777777" w:rsidR="008C565C" w:rsidRDefault="008C565C" w:rsidP="009206E1">
            <w:pPr>
              <w:pStyle w:val="BodyText"/>
              <w:spacing w:before="120"/>
              <w:ind w:left="227" w:right="6"/>
            </w:pPr>
            <w:bookmarkStart w:id="15" w:name="_Hlk61439891"/>
            <w:r>
              <w:rPr>
                <w:szCs w:val="24"/>
              </w:rPr>
              <w:t>c</w:t>
            </w:r>
            <w:r w:rsidRPr="00E52575">
              <w:rPr>
                <w:szCs w:val="24"/>
              </w:rPr>
              <w:t>ommunity service obligation</w:t>
            </w:r>
            <w:bookmarkEnd w:id="15"/>
          </w:p>
        </w:tc>
      </w:tr>
      <w:tr w:rsidR="008C565C" w14:paraId="1BE501E5" w14:textId="77777777" w:rsidTr="009206E1">
        <w:tc>
          <w:tcPr>
            <w:tcW w:w="806" w:type="pct"/>
          </w:tcPr>
          <w:p w14:paraId="7FB95BFF" w14:textId="77777777" w:rsidR="008C565C" w:rsidRDefault="008C565C" w:rsidP="009206E1">
            <w:pPr>
              <w:pStyle w:val="BodyText"/>
              <w:spacing w:before="120"/>
              <w:ind w:right="6"/>
            </w:pPr>
            <w:r>
              <w:t>GDP</w:t>
            </w:r>
          </w:p>
        </w:tc>
        <w:tc>
          <w:tcPr>
            <w:tcW w:w="4194" w:type="pct"/>
          </w:tcPr>
          <w:p w14:paraId="050B41B9" w14:textId="77777777" w:rsidR="008C565C" w:rsidRDefault="008C565C" w:rsidP="009206E1">
            <w:pPr>
              <w:pStyle w:val="BodyText"/>
              <w:spacing w:before="120"/>
              <w:ind w:left="227" w:right="6"/>
            </w:pPr>
            <w:r>
              <w:rPr>
                <w:szCs w:val="24"/>
              </w:rPr>
              <w:t>gross domestic product</w:t>
            </w:r>
          </w:p>
        </w:tc>
      </w:tr>
      <w:tr w:rsidR="008C565C" w14:paraId="29738EEF" w14:textId="77777777" w:rsidTr="009206E1">
        <w:tc>
          <w:tcPr>
            <w:tcW w:w="806" w:type="pct"/>
          </w:tcPr>
          <w:p w14:paraId="3B865DB2" w14:textId="77777777" w:rsidR="008C565C" w:rsidRDefault="008C565C" w:rsidP="009206E1">
            <w:pPr>
              <w:pStyle w:val="BodyText"/>
              <w:spacing w:before="120"/>
              <w:ind w:right="6"/>
            </w:pPr>
            <w:r>
              <w:t>GL</w:t>
            </w:r>
          </w:p>
        </w:tc>
        <w:tc>
          <w:tcPr>
            <w:tcW w:w="4194" w:type="pct"/>
          </w:tcPr>
          <w:p w14:paraId="2CC555A6" w14:textId="77777777" w:rsidR="008C565C" w:rsidRDefault="008C565C" w:rsidP="009206E1">
            <w:pPr>
              <w:pStyle w:val="BodyText"/>
              <w:spacing w:before="120"/>
              <w:ind w:left="227" w:right="6"/>
            </w:pPr>
            <w:r>
              <w:rPr>
                <w:szCs w:val="24"/>
              </w:rPr>
              <w:t>gigalitre</w:t>
            </w:r>
          </w:p>
        </w:tc>
      </w:tr>
      <w:tr w:rsidR="008C565C" w14:paraId="788C1A45" w14:textId="77777777" w:rsidTr="009206E1">
        <w:tc>
          <w:tcPr>
            <w:tcW w:w="806" w:type="pct"/>
          </w:tcPr>
          <w:p w14:paraId="513F2131" w14:textId="77777777" w:rsidR="008C565C" w:rsidRDefault="008C565C" w:rsidP="009206E1">
            <w:pPr>
              <w:pStyle w:val="BodyText"/>
              <w:spacing w:before="120"/>
              <w:ind w:right="6"/>
            </w:pPr>
            <w:r>
              <w:t>IAP2</w:t>
            </w:r>
          </w:p>
        </w:tc>
        <w:tc>
          <w:tcPr>
            <w:tcW w:w="4194" w:type="pct"/>
          </w:tcPr>
          <w:p w14:paraId="7DE941BE" w14:textId="77777777" w:rsidR="008C565C" w:rsidRDefault="008C565C" w:rsidP="009206E1">
            <w:pPr>
              <w:pStyle w:val="BodyText"/>
              <w:spacing w:before="120"/>
              <w:ind w:left="227" w:right="6"/>
            </w:pPr>
            <w:r>
              <w:rPr>
                <w:szCs w:val="24"/>
              </w:rPr>
              <w:t>International Association for Public Participation</w:t>
            </w:r>
          </w:p>
        </w:tc>
      </w:tr>
      <w:tr w:rsidR="008C565C" w14:paraId="4C772F71" w14:textId="77777777" w:rsidTr="009206E1">
        <w:tc>
          <w:tcPr>
            <w:tcW w:w="806" w:type="pct"/>
          </w:tcPr>
          <w:p w14:paraId="31D8B9D6" w14:textId="77777777" w:rsidR="008C565C" w:rsidRDefault="008C565C" w:rsidP="009206E1">
            <w:pPr>
              <w:pStyle w:val="BodyText"/>
              <w:spacing w:before="120"/>
              <w:ind w:right="6"/>
            </w:pPr>
            <w:r>
              <w:t>MDB</w:t>
            </w:r>
          </w:p>
        </w:tc>
        <w:tc>
          <w:tcPr>
            <w:tcW w:w="4194" w:type="pct"/>
          </w:tcPr>
          <w:p w14:paraId="625E0874" w14:textId="77777777" w:rsidR="008C565C" w:rsidRDefault="008C565C" w:rsidP="009206E1">
            <w:pPr>
              <w:pStyle w:val="BodyText"/>
              <w:spacing w:before="120"/>
              <w:ind w:left="227" w:right="6"/>
            </w:pPr>
            <w:r w:rsidRPr="00732D76">
              <w:t>Murray–Darling Basin</w:t>
            </w:r>
          </w:p>
        </w:tc>
      </w:tr>
      <w:tr w:rsidR="008C565C" w14:paraId="4D19F686" w14:textId="77777777" w:rsidTr="009206E1">
        <w:tc>
          <w:tcPr>
            <w:tcW w:w="806" w:type="pct"/>
          </w:tcPr>
          <w:p w14:paraId="1363F212" w14:textId="77777777" w:rsidR="008C565C" w:rsidRDefault="008C565C" w:rsidP="009206E1">
            <w:pPr>
              <w:pStyle w:val="BodyText"/>
              <w:spacing w:before="120"/>
              <w:ind w:right="6"/>
            </w:pPr>
            <w:r>
              <w:t>MDBA</w:t>
            </w:r>
          </w:p>
        </w:tc>
        <w:tc>
          <w:tcPr>
            <w:tcW w:w="4194" w:type="pct"/>
          </w:tcPr>
          <w:p w14:paraId="7C4A6537" w14:textId="77777777" w:rsidR="008C565C" w:rsidRDefault="008C565C" w:rsidP="009206E1">
            <w:pPr>
              <w:pStyle w:val="BodyText"/>
              <w:spacing w:before="120"/>
              <w:ind w:left="227" w:right="6"/>
            </w:pPr>
            <w:r w:rsidRPr="00665908">
              <w:t>Murray–Darling Basin Authority</w:t>
            </w:r>
          </w:p>
        </w:tc>
      </w:tr>
      <w:tr w:rsidR="008C565C" w14:paraId="23C5BD48" w14:textId="77777777" w:rsidTr="009206E1">
        <w:tc>
          <w:tcPr>
            <w:tcW w:w="806" w:type="pct"/>
          </w:tcPr>
          <w:p w14:paraId="78136325" w14:textId="77777777" w:rsidR="008C565C" w:rsidRDefault="008C565C" w:rsidP="009206E1">
            <w:pPr>
              <w:pStyle w:val="BodyText"/>
              <w:spacing w:before="120"/>
              <w:ind w:right="6"/>
            </w:pPr>
            <w:r>
              <w:t>MDBCC</w:t>
            </w:r>
          </w:p>
        </w:tc>
        <w:tc>
          <w:tcPr>
            <w:tcW w:w="4194" w:type="pct"/>
          </w:tcPr>
          <w:p w14:paraId="1ACF74EF" w14:textId="77777777" w:rsidR="008C565C" w:rsidRDefault="008C565C" w:rsidP="009206E1">
            <w:pPr>
              <w:pStyle w:val="BodyText"/>
              <w:spacing w:before="120"/>
              <w:ind w:left="227" w:right="6"/>
            </w:pPr>
            <w:r w:rsidRPr="00665908">
              <w:t>Murray–Darling Basin Compliance Compact</w:t>
            </w:r>
          </w:p>
        </w:tc>
      </w:tr>
      <w:tr w:rsidR="008C565C" w14:paraId="637465F4" w14:textId="77777777" w:rsidTr="009206E1">
        <w:tc>
          <w:tcPr>
            <w:tcW w:w="806" w:type="pct"/>
          </w:tcPr>
          <w:p w14:paraId="73FB3F6E" w14:textId="77777777" w:rsidR="008C565C" w:rsidRDefault="008C565C" w:rsidP="009206E1">
            <w:pPr>
              <w:pStyle w:val="BodyText"/>
              <w:spacing w:before="120"/>
              <w:ind w:right="6"/>
            </w:pPr>
            <w:r>
              <w:t>ML</w:t>
            </w:r>
          </w:p>
        </w:tc>
        <w:tc>
          <w:tcPr>
            <w:tcW w:w="4194" w:type="pct"/>
          </w:tcPr>
          <w:p w14:paraId="08BD5BB8" w14:textId="77777777" w:rsidR="008C565C" w:rsidRDefault="008C565C" w:rsidP="009206E1">
            <w:pPr>
              <w:pStyle w:val="BodyText"/>
              <w:spacing w:before="120"/>
              <w:ind w:left="227" w:right="6"/>
            </w:pPr>
            <w:r>
              <w:t>megalitre</w:t>
            </w:r>
          </w:p>
        </w:tc>
      </w:tr>
      <w:tr w:rsidR="008C565C" w14:paraId="30DE8338" w14:textId="77777777" w:rsidTr="009206E1">
        <w:tc>
          <w:tcPr>
            <w:tcW w:w="806" w:type="pct"/>
          </w:tcPr>
          <w:p w14:paraId="03781FC1" w14:textId="77777777" w:rsidR="008C565C" w:rsidRDefault="008C565C" w:rsidP="009206E1">
            <w:pPr>
              <w:pStyle w:val="BodyText"/>
              <w:spacing w:before="120"/>
              <w:ind w:right="6"/>
            </w:pPr>
            <w:r>
              <w:t>NPR</w:t>
            </w:r>
          </w:p>
        </w:tc>
        <w:tc>
          <w:tcPr>
            <w:tcW w:w="4194" w:type="pct"/>
          </w:tcPr>
          <w:p w14:paraId="3266E7FC" w14:textId="77777777" w:rsidR="008C565C" w:rsidRDefault="008C565C" w:rsidP="009206E1">
            <w:pPr>
              <w:pStyle w:val="BodyText"/>
              <w:spacing w:before="120"/>
              <w:ind w:left="227" w:right="6"/>
            </w:pPr>
            <w:r w:rsidRPr="00665908">
              <w:t>National Performance Report</w:t>
            </w:r>
          </w:p>
        </w:tc>
      </w:tr>
      <w:tr w:rsidR="008C565C" w14:paraId="4F1A9F8B" w14:textId="77777777" w:rsidTr="009206E1">
        <w:tc>
          <w:tcPr>
            <w:tcW w:w="806" w:type="pct"/>
          </w:tcPr>
          <w:p w14:paraId="635CB88F" w14:textId="77777777" w:rsidR="008C565C" w:rsidRDefault="008C565C" w:rsidP="009206E1">
            <w:pPr>
              <w:pStyle w:val="BodyText"/>
              <w:spacing w:before="120"/>
              <w:ind w:right="6"/>
            </w:pPr>
            <w:r>
              <w:t>NRM</w:t>
            </w:r>
          </w:p>
        </w:tc>
        <w:tc>
          <w:tcPr>
            <w:tcW w:w="4194" w:type="pct"/>
          </w:tcPr>
          <w:p w14:paraId="77212F25" w14:textId="77777777" w:rsidR="008C565C" w:rsidRDefault="008C565C" w:rsidP="009206E1">
            <w:pPr>
              <w:pStyle w:val="BodyText"/>
              <w:spacing w:before="120"/>
              <w:ind w:left="227" w:right="6"/>
            </w:pPr>
            <w:r>
              <w:t>n</w:t>
            </w:r>
            <w:r w:rsidRPr="00DF0EF1">
              <w:t>atural resource management</w:t>
            </w:r>
          </w:p>
        </w:tc>
      </w:tr>
      <w:tr w:rsidR="008C565C" w14:paraId="417C6926" w14:textId="77777777" w:rsidTr="009206E1">
        <w:tc>
          <w:tcPr>
            <w:tcW w:w="806" w:type="pct"/>
          </w:tcPr>
          <w:p w14:paraId="4B677023" w14:textId="77777777" w:rsidR="008C565C" w:rsidRDefault="008C565C" w:rsidP="009206E1">
            <w:pPr>
              <w:pStyle w:val="BodyText"/>
              <w:spacing w:before="120"/>
              <w:ind w:right="6"/>
            </w:pPr>
            <w:r>
              <w:t>NWC</w:t>
            </w:r>
          </w:p>
        </w:tc>
        <w:tc>
          <w:tcPr>
            <w:tcW w:w="4194" w:type="pct"/>
          </w:tcPr>
          <w:p w14:paraId="5A45C3FB" w14:textId="77777777" w:rsidR="008C565C" w:rsidRDefault="008C565C" w:rsidP="009206E1">
            <w:pPr>
              <w:pStyle w:val="BodyText"/>
              <w:spacing w:before="120"/>
              <w:ind w:left="227" w:right="6"/>
            </w:pPr>
            <w:r w:rsidRPr="00DF0EF1">
              <w:t>National Water Commission</w:t>
            </w:r>
          </w:p>
        </w:tc>
      </w:tr>
      <w:tr w:rsidR="008C565C" w14:paraId="7B6ADB1E" w14:textId="77777777" w:rsidTr="009206E1">
        <w:tc>
          <w:tcPr>
            <w:tcW w:w="806" w:type="pct"/>
          </w:tcPr>
          <w:p w14:paraId="5CDA9F09" w14:textId="77777777" w:rsidR="008C565C" w:rsidRDefault="008C565C" w:rsidP="009206E1">
            <w:pPr>
              <w:pStyle w:val="BodyText"/>
              <w:spacing w:before="120"/>
              <w:ind w:right="6"/>
            </w:pPr>
            <w:r w:rsidRPr="00217B18">
              <w:t>NWGA</w:t>
            </w:r>
          </w:p>
        </w:tc>
        <w:tc>
          <w:tcPr>
            <w:tcW w:w="4194" w:type="pct"/>
          </w:tcPr>
          <w:p w14:paraId="4A13FA01" w14:textId="77777777" w:rsidR="008C565C" w:rsidRDefault="008C565C" w:rsidP="009206E1">
            <w:pPr>
              <w:pStyle w:val="BodyText"/>
              <w:spacing w:before="120"/>
              <w:ind w:left="227" w:right="6"/>
            </w:pPr>
            <w:r w:rsidRPr="00217B18">
              <w:t>National Water Grid Authority</w:t>
            </w:r>
          </w:p>
        </w:tc>
      </w:tr>
      <w:tr w:rsidR="008C565C" w14:paraId="6CD41E9D" w14:textId="77777777" w:rsidTr="009206E1">
        <w:tc>
          <w:tcPr>
            <w:tcW w:w="806" w:type="pct"/>
          </w:tcPr>
          <w:p w14:paraId="4D64F72C" w14:textId="77777777" w:rsidR="008C565C" w:rsidRDefault="008C565C" w:rsidP="009206E1">
            <w:pPr>
              <w:pStyle w:val="BodyText"/>
              <w:spacing w:before="120"/>
              <w:ind w:right="6"/>
            </w:pPr>
            <w:r w:rsidRPr="00217B18">
              <w:t>NWI</w:t>
            </w:r>
          </w:p>
        </w:tc>
        <w:tc>
          <w:tcPr>
            <w:tcW w:w="4194" w:type="pct"/>
          </w:tcPr>
          <w:p w14:paraId="356B34C4" w14:textId="77777777" w:rsidR="008C565C" w:rsidRDefault="008C565C" w:rsidP="009206E1">
            <w:pPr>
              <w:pStyle w:val="BodyText"/>
              <w:spacing w:before="120"/>
              <w:ind w:left="227" w:right="6"/>
            </w:pPr>
            <w:r w:rsidRPr="00217B18">
              <w:t>National Water Initiative</w:t>
            </w:r>
          </w:p>
        </w:tc>
      </w:tr>
      <w:tr w:rsidR="008C565C" w14:paraId="6658D8F1" w14:textId="77777777" w:rsidTr="009206E1">
        <w:tc>
          <w:tcPr>
            <w:tcW w:w="806" w:type="pct"/>
          </w:tcPr>
          <w:p w14:paraId="20A75DF4" w14:textId="77777777" w:rsidR="008C565C" w:rsidRDefault="008C565C" w:rsidP="009206E1">
            <w:pPr>
              <w:pStyle w:val="BodyText"/>
              <w:spacing w:before="120"/>
              <w:ind w:right="6"/>
            </w:pPr>
            <w:r>
              <w:t>NWIDF</w:t>
            </w:r>
          </w:p>
        </w:tc>
        <w:tc>
          <w:tcPr>
            <w:tcW w:w="4194" w:type="pct"/>
          </w:tcPr>
          <w:p w14:paraId="4FCC294A" w14:textId="77777777" w:rsidR="008C565C" w:rsidRDefault="008C565C" w:rsidP="009206E1">
            <w:pPr>
              <w:pStyle w:val="BodyText"/>
              <w:spacing w:before="120"/>
              <w:ind w:left="227" w:right="6"/>
            </w:pPr>
            <w:r w:rsidRPr="008814F2">
              <w:t>National Water Infrastructure Development Fund</w:t>
            </w:r>
          </w:p>
        </w:tc>
      </w:tr>
      <w:tr w:rsidR="008C565C" w14:paraId="1E2E68EF" w14:textId="77777777" w:rsidTr="009206E1">
        <w:tc>
          <w:tcPr>
            <w:tcW w:w="806" w:type="pct"/>
          </w:tcPr>
          <w:p w14:paraId="79878651" w14:textId="77777777" w:rsidR="008C565C" w:rsidRDefault="008C565C" w:rsidP="009206E1">
            <w:pPr>
              <w:pStyle w:val="BodyText"/>
              <w:spacing w:before="120"/>
              <w:ind w:right="6"/>
            </w:pPr>
            <w:r>
              <w:t>NWRC</w:t>
            </w:r>
          </w:p>
        </w:tc>
        <w:tc>
          <w:tcPr>
            <w:tcW w:w="4194" w:type="pct"/>
          </w:tcPr>
          <w:p w14:paraId="5F38B96D" w14:textId="77777777" w:rsidR="008C565C" w:rsidRDefault="008C565C" w:rsidP="009206E1">
            <w:pPr>
              <w:pStyle w:val="BodyText"/>
              <w:spacing w:before="120"/>
              <w:ind w:left="227" w:right="6"/>
            </w:pPr>
            <w:r w:rsidRPr="00DF0EF1">
              <w:t>National Water Reform Committee</w:t>
            </w:r>
          </w:p>
        </w:tc>
      </w:tr>
      <w:tr w:rsidR="008C565C" w14:paraId="79BF7E06" w14:textId="77777777" w:rsidTr="009206E1">
        <w:tc>
          <w:tcPr>
            <w:tcW w:w="806" w:type="pct"/>
          </w:tcPr>
          <w:p w14:paraId="757C6699" w14:textId="77777777" w:rsidR="008C565C" w:rsidRDefault="008C565C" w:rsidP="009206E1">
            <w:pPr>
              <w:pStyle w:val="BodyText"/>
              <w:spacing w:before="120"/>
              <w:ind w:right="6"/>
            </w:pPr>
            <w:r>
              <w:t>OECD</w:t>
            </w:r>
          </w:p>
        </w:tc>
        <w:tc>
          <w:tcPr>
            <w:tcW w:w="4194" w:type="pct"/>
          </w:tcPr>
          <w:p w14:paraId="4078EA40" w14:textId="77777777" w:rsidR="008C565C" w:rsidRDefault="008C565C" w:rsidP="009206E1">
            <w:pPr>
              <w:pStyle w:val="BodyText"/>
              <w:spacing w:before="120"/>
              <w:ind w:left="227" w:right="6"/>
            </w:pPr>
            <w:r w:rsidRPr="00A21CED">
              <w:t>Organisation for Economic Co-operation and Development</w:t>
            </w:r>
          </w:p>
        </w:tc>
      </w:tr>
      <w:tr w:rsidR="008C565C" w14:paraId="1A4F30A8" w14:textId="77777777" w:rsidTr="009206E1">
        <w:tc>
          <w:tcPr>
            <w:tcW w:w="806" w:type="pct"/>
          </w:tcPr>
          <w:p w14:paraId="4252B825" w14:textId="77777777" w:rsidR="008C565C" w:rsidRDefault="008C565C" w:rsidP="009206E1">
            <w:pPr>
              <w:pStyle w:val="BodyText"/>
              <w:spacing w:before="120"/>
              <w:ind w:right="6"/>
            </w:pPr>
            <w:r>
              <w:t>RCP</w:t>
            </w:r>
          </w:p>
        </w:tc>
        <w:tc>
          <w:tcPr>
            <w:tcW w:w="4194" w:type="pct"/>
          </w:tcPr>
          <w:p w14:paraId="7A6F48F7" w14:textId="77777777" w:rsidR="008C565C" w:rsidRDefault="008C565C" w:rsidP="009206E1">
            <w:pPr>
              <w:pStyle w:val="BodyText"/>
              <w:spacing w:before="120"/>
              <w:ind w:left="227" w:right="6"/>
            </w:pPr>
            <w:r>
              <w:t>representative concentration pathway</w:t>
            </w:r>
          </w:p>
        </w:tc>
      </w:tr>
      <w:tr w:rsidR="008C565C" w14:paraId="4A5D5FF9" w14:textId="77777777" w:rsidTr="009206E1">
        <w:tc>
          <w:tcPr>
            <w:tcW w:w="806" w:type="pct"/>
          </w:tcPr>
          <w:p w14:paraId="6B0A597F" w14:textId="77777777" w:rsidR="008C565C" w:rsidRDefault="008C565C" w:rsidP="009206E1">
            <w:pPr>
              <w:pStyle w:val="BodyText"/>
              <w:spacing w:before="120"/>
              <w:ind w:right="6"/>
            </w:pPr>
            <w:r>
              <w:t>SP</w:t>
            </w:r>
          </w:p>
        </w:tc>
        <w:tc>
          <w:tcPr>
            <w:tcW w:w="4194" w:type="pct"/>
          </w:tcPr>
          <w:p w14:paraId="07184D62" w14:textId="77777777" w:rsidR="008C565C" w:rsidRDefault="008C565C" w:rsidP="009206E1">
            <w:pPr>
              <w:pStyle w:val="BodyText"/>
              <w:spacing w:before="120"/>
              <w:ind w:left="227" w:right="6"/>
            </w:pPr>
            <w:r>
              <w:t>Supporting Paper</w:t>
            </w:r>
          </w:p>
        </w:tc>
      </w:tr>
      <w:tr w:rsidR="008C565C" w14:paraId="39EBF29C" w14:textId="77777777" w:rsidTr="009206E1">
        <w:tc>
          <w:tcPr>
            <w:tcW w:w="806" w:type="pct"/>
          </w:tcPr>
          <w:p w14:paraId="7B37B636" w14:textId="77777777" w:rsidR="008C565C" w:rsidRDefault="008C565C" w:rsidP="009206E1">
            <w:pPr>
              <w:pStyle w:val="BodyText"/>
              <w:spacing w:before="120"/>
              <w:ind w:right="6"/>
            </w:pPr>
            <w:r>
              <w:t>UNDRIP</w:t>
            </w:r>
          </w:p>
        </w:tc>
        <w:tc>
          <w:tcPr>
            <w:tcW w:w="4194" w:type="pct"/>
          </w:tcPr>
          <w:p w14:paraId="23561EE5" w14:textId="77777777" w:rsidR="008C565C" w:rsidRDefault="008C565C" w:rsidP="009206E1">
            <w:pPr>
              <w:pStyle w:val="BodyText"/>
              <w:spacing w:before="120"/>
              <w:ind w:left="227" w:right="6"/>
            </w:pPr>
            <w:r>
              <w:t xml:space="preserve">United Nations </w:t>
            </w:r>
            <w:r w:rsidRPr="007D537A">
              <w:t>Declaration on the Rights of Indigenous People</w:t>
            </w:r>
          </w:p>
        </w:tc>
      </w:tr>
      <w:tr w:rsidR="008C565C" w14:paraId="13A89E70" w14:textId="77777777" w:rsidTr="009206E1">
        <w:tc>
          <w:tcPr>
            <w:tcW w:w="806" w:type="pct"/>
          </w:tcPr>
          <w:p w14:paraId="2BC72616" w14:textId="77777777" w:rsidR="008C565C" w:rsidRDefault="008C565C" w:rsidP="009206E1">
            <w:pPr>
              <w:pStyle w:val="BodyText"/>
              <w:spacing w:before="120"/>
              <w:ind w:right="6"/>
            </w:pPr>
            <w:r>
              <w:t>WRM</w:t>
            </w:r>
          </w:p>
        </w:tc>
        <w:tc>
          <w:tcPr>
            <w:tcW w:w="4194" w:type="pct"/>
          </w:tcPr>
          <w:p w14:paraId="120CE48D" w14:textId="77777777" w:rsidR="008C565C" w:rsidRDefault="008C565C" w:rsidP="009206E1">
            <w:pPr>
              <w:pStyle w:val="BodyText"/>
              <w:spacing w:before="120"/>
              <w:ind w:left="227" w:right="6"/>
            </w:pPr>
            <w:r>
              <w:t>water resource management</w:t>
            </w:r>
          </w:p>
        </w:tc>
      </w:tr>
    </w:tbl>
    <w:p w14:paraId="46D2DE6B" w14:textId="77777777" w:rsidR="008C565C" w:rsidRDefault="008C565C" w:rsidP="008C565C">
      <w:pPr>
        <w:pStyle w:val="BodyText"/>
        <w:spacing w:before="0"/>
        <w:rPr>
          <w:rStyle w:val="CommentReference"/>
          <w:b w:val="0"/>
          <w:vanish w:val="0"/>
        </w:rPr>
        <w:sectPr w:rsidR="008C565C" w:rsidSect="00585B3F">
          <w:headerReference w:type="even" r:id="rId26"/>
          <w:headerReference w:type="default" r:id="rId27"/>
          <w:footerReference w:type="even" r:id="rId28"/>
          <w:footerReference w:type="default" r:id="rId29"/>
          <w:pgSz w:w="11907" w:h="16840" w:code="9"/>
          <w:pgMar w:top="1332" w:right="1304" w:bottom="1247" w:left="1814" w:header="1701" w:footer="397" w:gutter="0"/>
          <w:pgNumType w:fmt="lowerRoman"/>
          <w:cols w:space="720"/>
        </w:sectPr>
      </w:pPr>
    </w:p>
    <w:p w14:paraId="5746F4A6" w14:textId="77777777" w:rsidR="001054C3" w:rsidRDefault="001054C3">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1054C3" w14:paraId="55F65228" w14:textId="77777777">
        <w:tc>
          <w:tcPr>
            <w:tcW w:w="6634" w:type="dxa"/>
            <w:tcBorders>
              <w:top w:val="single" w:sz="6" w:space="0" w:color="auto"/>
            </w:tcBorders>
          </w:tcPr>
          <w:p w14:paraId="582475F8" w14:textId="77777777" w:rsidR="001054C3" w:rsidRDefault="001054C3">
            <w:pPr>
              <w:pStyle w:val="PartDivider"/>
            </w:pPr>
          </w:p>
        </w:tc>
        <w:tc>
          <w:tcPr>
            <w:tcW w:w="2155" w:type="dxa"/>
            <w:tcBorders>
              <w:top w:val="single" w:sz="24" w:space="0" w:color="auto"/>
            </w:tcBorders>
          </w:tcPr>
          <w:p w14:paraId="09CE99FE" w14:textId="77777777" w:rsidR="001054C3" w:rsidRDefault="001054C3">
            <w:pPr>
              <w:pStyle w:val="PartDivider"/>
            </w:pPr>
          </w:p>
        </w:tc>
      </w:tr>
    </w:tbl>
    <w:p w14:paraId="65BA9ACD" w14:textId="77777777" w:rsidR="001054C3" w:rsidRDefault="001054C3">
      <w:pPr>
        <w:pStyle w:val="PartDivider"/>
      </w:pPr>
    </w:p>
    <w:p w14:paraId="7D576581" w14:textId="50A6659A" w:rsidR="001054C3" w:rsidRDefault="001054C3">
      <w:pPr>
        <w:pStyle w:val="PartTitle"/>
      </w:pPr>
      <w:bookmarkStart w:id="16" w:name="_Toc72939476"/>
      <w:r>
        <w:t>Executive Summary</w:t>
      </w:r>
      <w:bookmarkEnd w:id="16"/>
    </w:p>
    <w:bookmarkEnd w:id="2"/>
    <w:p w14:paraId="1CDDFAFB" w14:textId="7C26238B" w:rsidR="001054C3" w:rsidRDefault="001054C3">
      <w:pPr>
        <w:sectPr w:rsidR="001054C3" w:rsidSect="00234FBE">
          <w:headerReference w:type="even" r:id="rId30"/>
          <w:headerReference w:type="default" r:id="rId31"/>
          <w:footerReference w:type="even" r:id="rId32"/>
          <w:footerReference w:type="default" r:id="rId33"/>
          <w:pgSz w:w="11907" w:h="16840" w:code="9"/>
          <w:pgMar w:top="1985" w:right="1304" w:bottom="1247" w:left="1814" w:header="1701" w:footer="397" w:gutter="0"/>
          <w:pgNumType w:chapSep="period"/>
          <w:cols w:space="720"/>
          <w:titlePg/>
          <w:docGrid w:linePitch="326"/>
        </w:sectPr>
      </w:pPr>
    </w:p>
    <w:p w14:paraId="2D6BADD1" w14:textId="7DE78EF4" w:rsidR="001054C3" w:rsidRDefault="001054C3" w:rsidP="00234FBE">
      <w:pPr>
        <w:pStyle w:val="Heading1"/>
      </w:pPr>
      <w:bookmarkStart w:id="17" w:name="_Toc72939477"/>
      <w:r>
        <w:lastRenderedPageBreak/>
        <w:t>Executive summary</w:t>
      </w:r>
      <w:bookmarkEnd w:id="17"/>
    </w:p>
    <w:p w14:paraId="16F7E72C" w14:textId="77777777" w:rsidR="001054C3" w:rsidRPr="00BC2813" w:rsidRDefault="001054C3" w:rsidP="00234FBE">
      <w:pPr>
        <w:pStyle w:val="BodyText"/>
      </w:pPr>
      <w:bookmarkStart w:id="18" w:name="begin"/>
      <w:bookmarkEnd w:id="18"/>
      <w:r w:rsidRPr="00BC2813">
        <w:t>Water is critical to the wellbeing of Australian communities, the economy and the environment. But our highly variable rainfall patterns, coupled with frequent droughts and floods, make it a challenging resource to manage. Since the mid</w:t>
      </w:r>
      <w:r w:rsidRPr="00BC2813">
        <w:noBreakHyphen/>
        <w:t>1990s, governments have implemented a program of national water reform, with the most recent agreement — the National Water Initiative (NWI) — signed in 2004.</w:t>
      </w:r>
    </w:p>
    <w:p w14:paraId="3F6C37F6" w14:textId="77777777" w:rsidR="001054C3" w:rsidRPr="00BC2813" w:rsidRDefault="001054C3" w:rsidP="00234FBE">
      <w:pPr>
        <w:pStyle w:val="BodyText"/>
      </w:pPr>
      <w:r w:rsidRPr="00BC2813">
        <w:t xml:space="preserve">In May 2019, in response to the Productivity Commission’s 2017 inquiry </w:t>
      </w:r>
      <w:r>
        <w:t>into</w:t>
      </w:r>
      <w:r w:rsidRPr="00BC2813">
        <w:t xml:space="preserve"> national water reform, the Australian Government agreed to renew the NWI and, in partnership with State and Territory </w:t>
      </w:r>
      <w:r>
        <w:t>G</w:t>
      </w:r>
      <w:r w:rsidRPr="00BC2813">
        <w:t>overnments, has commenced the process of policy renewal.</w:t>
      </w:r>
    </w:p>
    <w:p w14:paraId="35AB9BF4" w14:textId="77777777" w:rsidR="001054C3" w:rsidRPr="00BC2813" w:rsidRDefault="001054C3" w:rsidP="00234FBE">
      <w:pPr>
        <w:pStyle w:val="BodyText"/>
        <w:rPr>
          <w:spacing w:val="-4"/>
        </w:rPr>
      </w:pPr>
      <w:r w:rsidRPr="00BC2813">
        <w:rPr>
          <w:spacing w:val="-2"/>
        </w:rPr>
        <w:t xml:space="preserve">This inquiry responds to the Australian Government’s request for the Commission to undertake its second triennial assessment of jurisdictions’ progress towards achieving the objectives and outcomes of the NWI, and to provide practical advice on future national water reform directions. Both the assessment and the Commission’s advice — aimed at providing </w:t>
      </w:r>
      <w:r w:rsidRPr="00BC2813">
        <w:rPr>
          <w:spacing w:val="-4"/>
        </w:rPr>
        <w:t>detailed input for consideration in the policy renewal process — are summarised in this report.</w:t>
      </w:r>
      <w:r w:rsidRPr="00091306">
        <w:rPr>
          <w:rStyle w:val="FootnoteReference"/>
        </w:rPr>
        <w:footnoteReference w:id="2"/>
      </w:r>
    </w:p>
    <w:p w14:paraId="138AB357" w14:textId="77777777" w:rsidR="001054C3" w:rsidRDefault="001054C3" w:rsidP="00234FBE">
      <w:pPr>
        <w:pStyle w:val="Heading3"/>
      </w:pPr>
      <w:r w:rsidRPr="00BC2813">
        <w:t>Jurisdictions have made good progress against the reform agenda</w:t>
      </w:r>
    </w:p>
    <w:p w14:paraId="4B0EBFF6" w14:textId="77777777" w:rsidR="001054C3" w:rsidRDefault="001054C3" w:rsidP="00234FBE">
      <w:pPr>
        <w:pStyle w:val="BodyText"/>
      </w:pPr>
      <w:r>
        <w:t>The NWI is now seventeen years old and m</w:t>
      </w:r>
      <w:r w:rsidRPr="00CA2069">
        <w:t>ost jurisdictions have largely achieved the</w:t>
      </w:r>
      <w:r>
        <w:t>ir 2004</w:t>
      </w:r>
      <w:r w:rsidRPr="00CA2069">
        <w:t xml:space="preserve"> NWI commitments</w:t>
      </w:r>
      <w:r>
        <w:t xml:space="preserve">. </w:t>
      </w:r>
      <w:r w:rsidRPr="00CA2069">
        <w:t>All</w:t>
      </w:r>
      <w:r>
        <w:t xml:space="preserve"> </w:t>
      </w:r>
      <w:r w:rsidRPr="00CA2069">
        <w:t>except Western Australia and the Northern Territory, have enacted legislation to create secure, NWI</w:t>
      </w:r>
      <w:r>
        <w:noBreakHyphen/>
      </w:r>
      <w:r w:rsidRPr="00CA2069">
        <w:t>consistent water access entitlements for consumptive uses</w:t>
      </w:r>
      <w:r>
        <w:t>. W</w:t>
      </w:r>
      <w:r w:rsidRPr="00CA2069">
        <w:t>ater planning arrangements have been established for all areas of intensive water use</w:t>
      </w:r>
      <w:r>
        <w:t>, and e</w:t>
      </w:r>
      <w:r w:rsidRPr="005C4A91">
        <w:t>nvironmental sustainability has been supported by formal provisions of water for the environment</w:t>
      </w:r>
      <w:r>
        <w:t xml:space="preserve"> and improvements in the balance in overallocated systems</w:t>
      </w:r>
      <w:r w:rsidRPr="00CA2069">
        <w:t>.</w:t>
      </w:r>
      <w:r>
        <w:t xml:space="preserve"> </w:t>
      </w:r>
      <w:r w:rsidRPr="00CA2069">
        <w:t>Water markets have been created, allowing water to be traded.</w:t>
      </w:r>
      <w:r>
        <w:t xml:space="preserve"> And w</w:t>
      </w:r>
      <w:r w:rsidRPr="00CA2069">
        <w:t>ater accounting is generally providing practical, credible and reliable information</w:t>
      </w:r>
      <w:r>
        <w:t xml:space="preserve"> about how much water is being used, where and when.</w:t>
      </w:r>
      <w:r w:rsidRPr="00CA2069">
        <w:t xml:space="preserve"> </w:t>
      </w:r>
      <w:r>
        <w:t>However,</w:t>
      </w:r>
      <w:r w:rsidRPr="00CA2069">
        <w:t xml:space="preserve"> most States and Territories are still in the process of implementing metering policies</w:t>
      </w:r>
      <w:r>
        <w:t xml:space="preserve"> for non</w:t>
      </w:r>
      <w:r>
        <w:noBreakHyphen/>
        <w:t>urban water users</w:t>
      </w:r>
      <w:r w:rsidRPr="00CA2069" w:rsidDel="00D27B70">
        <w:t>.</w:t>
      </w:r>
    </w:p>
    <w:p w14:paraId="0FE7126B" w14:textId="77777777" w:rsidR="001054C3" w:rsidRDefault="001054C3" w:rsidP="00234FBE">
      <w:pPr>
        <w:pStyle w:val="BodyText"/>
      </w:pPr>
      <w:r>
        <w:t>Moreover, d</w:t>
      </w:r>
      <w:r w:rsidRPr="00CA2069">
        <w:t>rinking water quality generally meets existing guidelines</w:t>
      </w:r>
      <w:r>
        <w:t>.</w:t>
      </w:r>
      <w:r w:rsidRPr="00CA2069">
        <w:t xml:space="preserve"> </w:t>
      </w:r>
      <w:r>
        <w:t>But</w:t>
      </w:r>
      <w:r w:rsidRPr="00CA2069">
        <w:t xml:space="preserve"> issues remain, particularly in some regional and remote communities and especially during drought.</w:t>
      </w:r>
      <w:r>
        <w:t xml:space="preserve"> And e</w:t>
      </w:r>
      <w:r w:rsidRPr="005C4A91">
        <w:t xml:space="preserve">conomic regulation </w:t>
      </w:r>
      <w:r>
        <w:t>and urban service providers’ p</w:t>
      </w:r>
      <w:r w:rsidRPr="00CA2069">
        <w:t>ricing processes generally meet NWI requirements</w:t>
      </w:r>
      <w:r>
        <w:t>, but</w:t>
      </w:r>
      <w:r w:rsidRPr="00CA2069">
        <w:t xml:space="preserve"> Queensland, Western Australia and the Northern Territory do not have adequate independent economic regulation in place.</w:t>
      </w:r>
    </w:p>
    <w:p w14:paraId="2EBA4261" w14:textId="77777777" w:rsidR="001054C3" w:rsidRDefault="001054C3" w:rsidP="00234FBE">
      <w:pPr>
        <w:pStyle w:val="BodyText"/>
      </w:pPr>
      <w:r>
        <w:lastRenderedPageBreak/>
        <w:t>Finally, a</w:t>
      </w:r>
      <w:r w:rsidRPr="00CA2069">
        <w:t>ll jurisdictions have sought to improve the scale and quality of their engagement with communities and Aboriginal and Torres Strait Islander people.</w:t>
      </w:r>
      <w:r>
        <w:t xml:space="preserve"> That said, progress in this area has been slow, and concerns have been expressed about the adequacy and effectiveness of some engagement efforts, particularly within the NSW part of the Murray–Darling Basin (MDB).</w:t>
      </w:r>
    </w:p>
    <w:p w14:paraId="3A913CDC" w14:textId="77777777" w:rsidR="001054C3" w:rsidRPr="00E6560F" w:rsidRDefault="001054C3" w:rsidP="00234FBE">
      <w:pPr>
        <w:pStyle w:val="Heading3"/>
      </w:pPr>
      <w:r>
        <w:t>National water reforms have contributed to material benefits …</w:t>
      </w:r>
    </w:p>
    <w:p w14:paraId="70D8918C" w14:textId="77777777" w:rsidR="001054C3" w:rsidRDefault="001054C3" w:rsidP="00234FBE">
      <w:pPr>
        <w:pStyle w:val="Heading4"/>
        <w:spacing w:before="240"/>
      </w:pPr>
      <w:r>
        <w:t>… through improvements in water resource management …</w:t>
      </w:r>
    </w:p>
    <w:p w14:paraId="3F548898" w14:textId="77777777" w:rsidR="001054C3" w:rsidRDefault="001054C3" w:rsidP="00234FBE">
      <w:pPr>
        <w:spacing w:before="240" w:line="300" w:lineRule="atLeast"/>
        <w:jc w:val="both"/>
        <w:rPr>
          <w:szCs w:val="20"/>
        </w:rPr>
      </w:pPr>
      <w:r w:rsidRPr="00E41751">
        <w:rPr>
          <w:szCs w:val="20"/>
        </w:rPr>
        <w:t>Adoption of NWI</w:t>
      </w:r>
      <w:r w:rsidRPr="00E41751">
        <w:rPr>
          <w:szCs w:val="20"/>
        </w:rPr>
        <w:noBreakHyphen/>
        <w:t xml:space="preserve">consistent water planning and entitlement frameworks has created the foundations for efficient and sustainable </w:t>
      </w:r>
      <w:r>
        <w:rPr>
          <w:szCs w:val="20"/>
        </w:rPr>
        <w:t xml:space="preserve">water </w:t>
      </w:r>
      <w:r w:rsidRPr="00E41751">
        <w:rPr>
          <w:szCs w:val="20"/>
        </w:rPr>
        <w:t>resource management. Water planning has established transparent processes for de</w:t>
      </w:r>
      <w:r>
        <w:rPr>
          <w:szCs w:val="20"/>
        </w:rPr>
        <w:t>termining</w:t>
      </w:r>
      <w:r w:rsidRPr="00E41751">
        <w:rPr>
          <w:szCs w:val="20"/>
        </w:rPr>
        <w:t xml:space="preserve"> how the </w:t>
      </w:r>
      <w:r w:rsidDel="00D77544">
        <w:rPr>
          <w:szCs w:val="20"/>
        </w:rPr>
        <w:t>volume of</w:t>
      </w:r>
      <w:r>
        <w:rPr>
          <w:szCs w:val="20"/>
        </w:rPr>
        <w:t xml:space="preserve"> </w:t>
      </w:r>
      <w:r w:rsidRPr="00E41751">
        <w:rPr>
          <w:szCs w:val="20"/>
        </w:rPr>
        <w:t xml:space="preserve">water </w:t>
      </w:r>
      <w:r>
        <w:rPr>
          <w:szCs w:val="20"/>
        </w:rPr>
        <w:t xml:space="preserve">available </w:t>
      </w:r>
      <w:r w:rsidRPr="00E41751">
        <w:rPr>
          <w:szCs w:val="20"/>
        </w:rPr>
        <w:t>in a system is shared between consumptive users (people and businesses) and the environment. Creation of water entitlements, separate from land, has provided clear and secure long</w:t>
      </w:r>
      <w:r w:rsidRPr="00E41751">
        <w:rPr>
          <w:szCs w:val="20"/>
        </w:rPr>
        <w:noBreakHyphen/>
        <w:t xml:space="preserve">term property rights </w:t>
      </w:r>
      <w:r>
        <w:rPr>
          <w:szCs w:val="20"/>
        </w:rPr>
        <w:t xml:space="preserve">to water </w:t>
      </w:r>
      <w:r w:rsidRPr="00E41751">
        <w:rPr>
          <w:szCs w:val="20"/>
        </w:rPr>
        <w:t xml:space="preserve">for both consumptive users and the environment. And together, these developments have provided the essential prerequisites for water </w:t>
      </w:r>
      <w:r>
        <w:rPr>
          <w:szCs w:val="20"/>
        </w:rPr>
        <w:t xml:space="preserve">trading and </w:t>
      </w:r>
      <w:r w:rsidRPr="00E41751">
        <w:rPr>
          <w:szCs w:val="20"/>
        </w:rPr>
        <w:t>markets</w:t>
      </w:r>
      <w:r>
        <w:rPr>
          <w:szCs w:val="20"/>
        </w:rPr>
        <w:t xml:space="preserve">, </w:t>
      </w:r>
      <w:r w:rsidRPr="00E41751">
        <w:rPr>
          <w:szCs w:val="20"/>
        </w:rPr>
        <w:t xml:space="preserve">and established pathways to </w:t>
      </w:r>
      <w:r>
        <w:rPr>
          <w:szCs w:val="20"/>
        </w:rPr>
        <w:t xml:space="preserve">create </w:t>
      </w:r>
      <w:r w:rsidRPr="00E41751">
        <w:rPr>
          <w:szCs w:val="20"/>
        </w:rPr>
        <w:t>a more sustainable balance between consumptive and environmental use</w:t>
      </w:r>
      <w:r>
        <w:rPr>
          <w:szCs w:val="20"/>
        </w:rPr>
        <w:t>s</w:t>
      </w:r>
      <w:r w:rsidRPr="00E41751">
        <w:rPr>
          <w:szCs w:val="20"/>
        </w:rPr>
        <w:t>.</w:t>
      </w:r>
    </w:p>
    <w:p w14:paraId="2908F5E1" w14:textId="77777777" w:rsidR="001054C3" w:rsidRPr="00334A9B" w:rsidRDefault="001054C3" w:rsidP="00234FBE">
      <w:pPr>
        <w:spacing w:before="240" w:line="300" w:lineRule="atLeast"/>
        <w:jc w:val="both"/>
        <w:rPr>
          <w:spacing w:val="-2"/>
          <w:szCs w:val="20"/>
        </w:rPr>
      </w:pPr>
      <w:r w:rsidRPr="00334A9B">
        <w:rPr>
          <w:spacing w:val="-2"/>
          <w:szCs w:val="20"/>
        </w:rPr>
        <w:t xml:space="preserve">Material benefits have flowed from these reforms — lower average </w:t>
      </w:r>
      <w:r>
        <w:rPr>
          <w:spacing w:val="-2"/>
          <w:szCs w:val="20"/>
        </w:rPr>
        <w:t xml:space="preserve">water </w:t>
      </w:r>
      <w:r w:rsidRPr="00334A9B">
        <w:rPr>
          <w:spacing w:val="-2"/>
          <w:szCs w:val="20"/>
        </w:rPr>
        <w:t>use by households, more efficient use by industry, more water for the environment and better adaptation to uncertainty.</w:t>
      </w:r>
    </w:p>
    <w:p w14:paraId="57CD773A" w14:textId="77777777" w:rsidR="001054C3" w:rsidRPr="002B7469" w:rsidRDefault="001054C3" w:rsidP="00234FBE">
      <w:pPr>
        <w:spacing w:before="240" w:line="300" w:lineRule="atLeast"/>
        <w:jc w:val="both"/>
        <w:rPr>
          <w:szCs w:val="20"/>
        </w:rPr>
      </w:pPr>
      <w:r>
        <w:t xml:space="preserve">Water entitlements </w:t>
      </w:r>
      <w:r w:rsidRPr="002B7469">
        <w:rPr>
          <w:szCs w:val="20"/>
        </w:rPr>
        <w:t xml:space="preserve">have become a valuable asset — </w:t>
      </w:r>
      <w:bookmarkStart w:id="19" w:name="_Hlk58227360"/>
      <w:r w:rsidRPr="002B7469">
        <w:rPr>
          <w:szCs w:val="20"/>
        </w:rPr>
        <w:t>estimates put their value in the southern MDB at more than $26</w:t>
      </w:r>
      <w:r>
        <w:rPr>
          <w:szCs w:val="20"/>
        </w:rPr>
        <w:t> </w:t>
      </w:r>
      <w:r w:rsidRPr="002B7469">
        <w:rPr>
          <w:szCs w:val="20"/>
        </w:rPr>
        <w:t>billion</w:t>
      </w:r>
      <w:bookmarkEnd w:id="19"/>
      <w:r w:rsidRPr="002B7469">
        <w:rPr>
          <w:szCs w:val="20"/>
        </w:rPr>
        <w:t xml:space="preserve">. This value, coupled with their legal backing and the development of water markets, </w:t>
      </w:r>
      <w:r>
        <w:rPr>
          <w:szCs w:val="20"/>
        </w:rPr>
        <w:t>means entitlements</w:t>
      </w:r>
      <w:r w:rsidRPr="002B7469">
        <w:rPr>
          <w:szCs w:val="20"/>
        </w:rPr>
        <w:t xml:space="preserve"> </w:t>
      </w:r>
      <w:r>
        <w:rPr>
          <w:szCs w:val="20"/>
        </w:rPr>
        <w:t xml:space="preserve">can now be </w:t>
      </w:r>
      <w:r w:rsidRPr="002B7469">
        <w:rPr>
          <w:szCs w:val="20"/>
        </w:rPr>
        <w:t>used as collateral for loans.</w:t>
      </w:r>
    </w:p>
    <w:p w14:paraId="0063D8A5" w14:textId="77777777" w:rsidR="001054C3" w:rsidRDefault="001054C3" w:rsidP="00234FBE">
      <w:pPr>
        <w:pStyle w:val="BodyText"/>
      </w:pPr>
      <w:r>
        <w:t>Water trading and markets have created a valuable business risk management tool for irrigators, enabling more certainty in decision making, providing flexibility in dealing with changing market conditions and opening up new opportunities. Trade has allowed water use to move in line with market opportunities and price signals have encouraged on</w:t>
      </w:r>
      <w:r>
        <w:noBreakHyphen/>
        <w:t xml:space="preserve">farm water use efficiency (through adoption of irrigation methods that use less water for similar outputs), freeing up water for other uses. These benefits have been particularly apparent during drought. Irrigators with flexible demands (such as rice and cotton growers) have been able to sell water to those with inflexible demands (such as horticulturalists with perennial fruit and nut trees). And entitlements holders have </w:t>
      </w:r>
      <w:r w:rsidRPr="002362BB">
        <w:t>been</w:t>
      </w:r>
      <w:r>
        <w:t xml:space="preserve"> able to </w:t>
      </w:r>
      <w:r w:rsidRPr="00490A8C">
        <w:t>sell water allocations to manage debt</w:t>
      </w:r>
      <w:r>
        <w:t xml:space="preserve"> and maintain cash flow. T</w:t>
      </w:r>
      <w:r w:rsidRPr="00F87F3E">
        <w:t xml:space="preserve">rading has allowed </w:t>
      </w:r>
      <w:r>
        <w:t xml:space="preserve">Australia’s gross value of irrigated agricultural production to increase in most years over the past decade despite </w:t>
      </w:r>
      <w:r w:rsidRPr="004A52B4">
        <w:t>considerabl</w:t>
      </w:r>
      <w:r>
        <w:t>e</w:t>
      </w:r>
      <w:r w:rsidRPr="004A52B4">
        <w:t xml:space="preserve"> </w:t>
      </w:r>
      <w:r>
        <w:t xml:space="preserve">variation in water use </w:t>
      </w:r>
      <w:r w:rsidRPr="004A52B4">
        <w:t>between wet and dry years</w:t>
      </w:r>
      <w:r>
        <w:t>.</w:t>
      </w:r>
    </w:p>
    <w:p w14:paraId="117AECFD" w14:textId="77777777" w:rsidR="001054C3" w:rsidRDefault="001054C3" w:rsidP="00234FBE">
      <w:pPr>
        <w:pStyle w:val="BodyText"/>
      </w:pPr>
      <w:r>
        <w:t>And water trading has become a sizeable economic activity. In 2018</w:t>
      </w:r>
      <w:r>
        <w:noBreakHyphen/>
        <w:t>19, trading turnover was estimated at $5.2</w:t>
      </w:r>
      <w:r>
        <w:rPr>
          <w:lang w:val="en-GB"/>
        </w:rPr>
        <w:t> </w:t>
      </w:r>
      <w:r>
        <w:t xml:space="preserve">billion. Studies of the economic benefits of water trading, although dated, point to substantial value. For example, regional GDP in the southern MDB was </w:t>
      </w:r>
      <w:r>
        <w:lastRenderedPageBreak/>
        <w:t>estimated to be $5.2 billion (in 2020</w:t>
      </w:r>
      <w:r>
        <w:noBreakHyphen/>
        <w:t>21 dollars) higher over the five years to 2010</w:t>
      </w:r>
      <w:r>
        <w:noBreakHyphen/>
        <w:t>11 than it would have been without trading.</w:t>
      </w:r>
    </w:p>
    <w:p w14:paraId="33E25E7C" w14:textId="77777777" w:rsidR="001054C3" w:rsidRPr="00804DCC" w:rsidRDefault="001054C3" w:rsidP="00234FBE">
      <w:pPr>
        <w:pStyle w:val="BodyText"/>
      </w:pPr>
      <w:r>
        <w:t>Benefits are starting to be seen from the provision of water for the environment, particularly at the local level. These include</w:t>
      </w:r>
      <w:r w:rsidRPr="00804DCC">
        <w:t>: improved native vegetation and wetland condition; protection of rare and threatened biodiversity such as in groundwater</w:t>
      </w:r>
      <w:r w:rsidRPr="00804DCC">
        <w:noBreakHyphen/>
        <w:t xml:space="preserve">dependent ecosystems; and the migration and breeding of native fish, frogs and waterbirds. </w:t>
      </w:r>
      <w:r>
        <w:t>Watering</w:t>
      </w:r>
      <w:r w:rsidRPr="00804DCC">
        <w:t xml:space="preserve"> of</w:t>
      </w:r>
      <w:r w:rsidRPr="00804DCC" w:rsidDel="004376B4">
        <w:t xml:space="preserve"> </w:t>
      </w:r>
      <w:r w:rsidRPr="00804DCC">
        <w:t>refuges has been particularly important in maintaining breeding grounds during drought, supporting ecosystem resilience until rain returned.</w:t>
      </w:r>
      <w:r>
        <w:t xml:space="preserve"> Providing water for the environment</w:t>
      </w:r>
      <w:r w:rsidRPr="00804DCC">
        <w:t xml:space="preserve"> ha</w:t>
      </w:r>
      <w:r>
        <w:t xml:space="preserve">s </w:t>
      </w:r>
      <w:r w:rsidRPr="00804DCC">
        <w:t xml:space="preserve">also helped to avoid </w:t>
      </w:r>
      <w:r>
        <w:t xml:space="preserve">even more widespread </w:t>
      </w:r>
      <w:r w:rsidRPr="00804DCC">
        <w:t>environmental degradation tha</w:t>
      </w:r>
      <w:r>
        <w:t>n</w:t>
      </w:r>
      <w:r w:rsidRPr="00804DCC">
        <w:t xml:space="preserve"> would have otherwise occurred</w:t>
      </w:r>
      <w:r>
        <w:t>, particularly</w:t>
      </w:r>
      <w:r w:rsidRPr="00804DCC">
        <w:t xml:space="preserve"> </w:t>
      </w:r>
      <w:r>
        <w:t>during the recent s</w:t>
      </w:r>
      <w:r w:rsidRPr="00580FF0">
        <w:t>evere drought</w:t>
      </w:r>
      <w:r>
        <w:t>.</w:t>
      </w:r>
    </w:p>
    <w:p w14:paraId="0E4F8237" w14:textId="77777777" w:rsidR="001054C3" w:rsidRPr="003E4D64" w:rsidRDefault="001054C3" w:rsidP="00234FBE">
      <w:pPr>
        <w:pStyle w:val="BodyText"/>
      </w:pPr>
      <w:r w:rsidRPr="003E4D64">
        <w:t xml:space="preserve">Environmental water </w:t>
      </w:r>
      <w:r>
        <w:t>has also provided</w:t>
      </w:r>
      <w:r w:rsidRPr="003E4D64">
        <w:t xml:space="preserve"> a range of other </w:t>
      </w:r>
      <w:r>
        <w:t>consequential</w:t>
      </w:r>
      <w:r w:rsidRPr="003E4D64">
        <w:t xml:space="preserve"> public benefits</w:t>
      </w:r>
      <w:r>
        <w:t>,</w:t>
      </w:r>
      <w:r w:rsidRPr="003E4D64">
        <w:t xml:space="preserve"> including cultural outcomes for Aboriginal and Torres Strait Islander people, and economic and social outcomes for recreational and commercial fishers and the tourism industry. And, although difficult to quantify, healthy rivers, lakes and wetlands provide pleasure for those who use or view them.</w:t>
      </w:r>
    </w:p>
    <w:p w14:paraId="1B432264" w14:textId="77777777" w:rsidR="001054C3" w:rsidRDefault="001054C3" w:rsidP="00234FBE">
      <w:pPr>
        <w:pStyle w:val="Heading4"/>
      </w:pPr>
      <w:r>
        <w:t>… and through improvements in water service delivery</w:t>
      </w:r>
    </w:p>
    <w:p w14:paraId="798B28D2" w14:textId="77777777" w:rsidR="001054C3" w:rsidRPr="003E4D64" w:rsidRDefault="001054C3" w:rsidP="00234FBE">
      <w:pPr>
        <w:pStyle w:val="BodyText"/>
      </w:pPr>
      <w:r w:rsidRPr="003E4D64">
        <w:t>Reforms to institutional arrangements have brought significant benefits to water users and the broader community.</w:t>
      </w:r>
    </w:p>
    <w:p w14:paraId="6AA9FFF7" w14:textId="77777777" w:rsidR="001054C3" w:rsidRPr="003E4D64" w:rsidRDefault="001054C3" w:rsidP="00234FBE">
      <w:pPr>
        <w:pStyle w:val="BodyText"/>
      </w:pPr>
      <w:r w:rsidRPr="003E4D64">
        <w:t>Widespread adoption of cost</w:t>
      </w:r>
      <w:r w:rsidRPr="003E4D64">
        <w:noBreakHyphen/>
        <w:t>reflective and consumption</w:t>
      </w:r>
      <w:r w:rsidRPr="003E4D64">
        <w:noBreakHyphen/>
        <w:t xml:space="preserve">based pricing in the urban water sector (along with </w:t>
      </w:r>
      <w:r>
        <w:t xml:space="preserve">water </w:t>
      </w:r>
      <w:r w:rsidRPr="003E4D64">
        <w:t xml:space="preserve">restrictions and awareness campaigns during drought) have contributed to changes in water users’ behaviour, supporting more efficient water use, better signalling of investment needs and a more financially sustainable sector. Household water use, for example, has fallen over the past two decades from a national annual average of 280 kilolitres in 2000 to about 190 kilolitres in 2019, while the average size of households has not changed. And </w:t>
      </w:r>
      <w:r>
        <w:t>user charging has allowed most service providers to maintain long‑term financial sustainability, removing the need for ongoing government subsidies</w:t>
      </w:r>
      <w:r w:rsidRPr="003E4D64" w:rsidDel="00855C98">
        <w:t xml:space="preserve"> </w:t>
      </w:r>
      <w:r>
        <w:t>and the related</w:t>
      </w:r>
      <w:r w:rsidRPr="003E4D64">
        <w:t xml:space="preserve"> burden on taxpayers.</w:t>
      </w:r>
    </w:p>
    <w:p w14:paraId="16CD945A" w14:textId="77777777" w:rsidR="001054C3" w:rsidRDefault="001054C3" w:rsidP="00234FBE">
      <w:pPr>
        <w:pStyle w:val="BodyText"/>
      </w:pPr>
      <w:r w:rsidRPr="00E41751">
        <w:t xml:space="preserve">Institutional separation of policy making, service delivery and regulation has improved accountability and transparency. Corporatisation of utilities has encouraged commercial behaviour, promoting efficient investment and lower prices </w:t>
      </w:r>
      <w:r>
        <w:t>to</w:t>
      </w:r>
      <w:r w:rsidRPr="00E41751">
        <w:t xml:space="preserve"> the benefit of water users. Independent economic regulation has supported more rigorous scrutiny of utilities’ operational and investment decisions and reduced the risk of political interference in price setting and infrastructure investment processes. </w:t>
      </w:r>
      <w:r>
        <w:t>Monitoring</w:t>
      </w:r>
      <w:r w:rsidRPr="00E41751">
        <w:t xml:space="preserve"> and reporting of urban water pricing and service outcomes enable customers to compare their provider with </w:t>
      </w:r>
      <w:r w:rsidRPr="00CA2069">
        <w:t xml:space="preserve">others — promoting questioning </w:t>
      </w:r>
      <w:r>
        <w:t xml:space="preserve">from customers </w:t>
      </w:r>
      <w:r w:rsidRPr="00CA2069">
        <w:t xml:space="preserve">that can </w:t>
      </w:r>
      <w:r>
        <w:t>motivate providers to improve their performance</w:t>
      </w:r>
      <w:r w:rsidRPr="00CA2069">
        <w:t>.</w:t>
      </w:r>
    </w:p>
    <w:p w14:paraId="67C11091" w14:textId="77777777" w:rsidR="001054C3" w:rsidRPr="00CA2069" w:rsidRDefault="001054C3" w:rsidP="00234FBE">
      <w:pPr>
        <w:pStyle w:val="BodyText"/>
      </w:pPr>
      <w:r>
        <w:t>Reform efforts have also led to improvements in water quality in many parts of the country.</w:t>
      </w:r>
    </w:p>
    <w:p w14:paraId="74A57CA4" w14:textId="77777777" w:rsidR="001054C3" w:rsidRPr="00CA2069" w:rsidRDefault="001054C3" w:rsidP="00234FBE">
      <w:pPr>
        <w:pStyle w:val="BodyText"/>
      </w:pPr>
      <w:bookmarkStart w:id="20" w:name="_Hlk58227602"/>
      <w:r w:rsidRPr="00CA2069">
        <w:lastRenderedPageBreak/>
        <w:t xml:space="preserve">For the irrigation sector, </w:t>
      </w:r>
      <w:r>
        <w:t xml:space="preserve">pricing, </w:t>
      </w:r>
      <w:r w:rsidRPr="00CA2069">
        <w:t xml:space="preserve">economic regulation and </w:t>
      </w:r>
      <w:r>
        <w:t>institutional changes (such as transferring networks to user</w:t>
      </w:r>
      <w:r>
        <w:noBreakHyphen/>
        <w:t>ownership)</w:t>
      </w:r>
      <w:r w:rsidRPr="00CA2069">
        <w:t xml:space="preserve"> have improved the accountability, productivity</w:t>
      </w:r>
      <w:r>
        <w:t xml:space="preserve"> and</w:t>
      </w:r>
      <w:r w:rsidRPr="00CA2069">
        <w:t xml:space="preserve"> efficiency of </w:t>
      </w:r>
      <w:r>
        <w:t xml:space="preserve">rural water service providers, and made them more </w:t>
      </w:r>
      <w:r w:rsidRPr="00CA2069">
        <w:t>responsive</w:t>
      </w:r>
      <w:r w:rsidRPr="00677122" w:rsidDel="002F76FD">
        <w:t xml:space="preserve"> </w:t>
      </w:r>
      <w:r w:rsidRPr="00677122">
        <w:t xml:space="preserve">to the needs of </w:t>
      </w:r>
      <w:r>
        <w:t>their customers</w:t>
      </w:r>
      <w:r w:rsidRPr="00CA2069">
        <w:t>.</w:t>
      </w:r>
    </w:p>
    <w:bookmarkEnd w:id="20"/>
    <w:p w14:paraId="0BAB83FC" w14:textId="77777777" w:rsidR="001054C3" w:rsidRPr="00BA5845" w:rsidRDefault="001054C3" w:rsidP="00234FBE">
      <w:pPr>
        <w:pStyle w:val="Heading3"/>
      </w:pPr>
      <w:r>
        <w:t>But there is a compelling case for continued reform</w:t>
      </w:r>
    </w:p>
    <w:p w14:paraId="4DF31D4F" w14:textId="77777777" w:rsidR="001054C3" w:rsidRPr="00BC2813" w:rsidRDefault="001054C3" w:rsidP="00234FBE">
      <w:pPr>
        <w:pStyle w:val="BodyText"/>
      </w:pPr>
      <w:r w:rsidRPr="00FA3908">
        <w:t>Overall, the NWI has served Australia well, and reforms have been widely supported by the</w:t>
      </w:r>
      <w:r w:rsidRPr="00BC2813">
        <w:t xml:space="preserve"> water sector, industry and stakeholders.</w:t>
      </w:r>
      <w:r>
        <w:t xml:space="preserve"> </w:t>
      </w:r>
      <w:r w:rsidRPr="00BC2813">
        <w:t xml:space="preserve">But </w:t>
      </w:r>
      <w:r>
        <w:t xml:space="preserve">for reform to </w:t>
      </w:r>
      <w:r w:rsidRPr="00B506E3">
        <w:t>continue</w:t>
      </w:r>
      <w:r>
        <w:t xml:space="preserve"> to be effective, it needs to be</w:t>
      </w:r>
      <w:r w:rsidRPr="00BC2813">
        <w:t xml:space="preserve"> adaptive — reflecting lessons learnt from experience, evolving as the broader policy context changes and proactively dealing with anticipated challenges.</w:t>
      </w:r>
    </w:p>
    <w:p w14:paraId="02B83379" w14:textId="77777777" w:rsidR="001054C3" w:rsidRPr="004A77D9" w:rsidRDefault="001054C3" w:rsidP="00234FBE">
      <w:pPr>
        <w:pStyle w:val="BodyText"/>
        <w:rPr>
          <w:spacing w:val="-2"/>
        </w:rPr>
      </w:pPr>
      <w:r w:rsidRPr="004A77D9">
        <w:rPr>
          <w:spacing w:val="-2"/>
        </w:rPr>
        <w:t>Seventeen years of NWI implementation has provided a wealth of experience and knowledge.</w:t>
      </w:r>
    </w:p>
    <w:p w14:paraId="6F9B5F47" w14:textId="77777777" w:rsidR="001054C3" w:rsidRDefault="001054C3" w:rsidP="00234FBE">
      <w:pPr>
        <w:pStyle w:val="BodyText"/>
      </w:pPr>
      <w:r>
        <w:t>E</w:t>
      </w:r>
      <w:r w:rsidRPr="00BC2813">
        <w:t>xtensive and often contentious reform in the MDB</w:t>
      </w:r>
      <w:r>
        <w:t xml:space="preserve"> over the past decade offers</w:t>
      </w:r>
      <w:r w:rsidRPr="00BC2813">
        <w:t xml:space="preserve"> insights into both best practice and areas where doing things differently could allay community concern</w:t>
      </w:r>
      <w:r>
        <w:t>s</w:t>
      </w:r>
      <w:r w:rsidRPr="00BC2813">
        <w:t xml:space="preserve"> and mistrust.</w:t>
      </w:r>
      <w:r>
        <w:t xml:space="preserve"> For example, requirements for Basin jurisdictions to consult with Traditional Owners on their respective Basin Water Resource Plans have improved general engagement. In contrast, instances of non</w:t>
      </w:r>
      <w:r>
        <w:noBreakHyphen/>
        <w:t>compliance with water licence conditions and concerns about the transparency of water management decisions in the MDB have undermined public confidence in how Australia’s water resources are being managed.</w:t>
      </w:r>
    </w:p>
    <w:p w14:paraId="36A31B16" w14:textId="77777777" w:rsidR="001054C3" w:rsidRDefault="001054C3" w:rsidP="00234FBE">
      <w:pPr>
        <w:pStyle w:val="BodyText"/>
      </w:pPr>
      <w:r>
        <w:t xml:space="preserve">Water managers have also had to deal with extreme and prolonged droughts. </w:t>
      </w:r>
      <w:r w:rsidRPr="00215FEB">
        <w:t>Australia experienced the worst years of the Millennium Drought</w:t>
      </w:r>
      <w:r>
        <w:t xml:space="preserve"> after the NWI was signed in 2004</w:t>
      </w:r>
      <w:r w:rsidRPr="00215FEB">
        <w:t>, followed by large</w:t>
      </w:r>
      <w:r>
        <w:noBreakHyphen/>
      </w:r>
      <w:r w:rsidRPr="00215FEB">
        <w:t xml:space="preserve">scale flooding in several areas. </w:t>
      </w:r>
      <w:r>
        <w:t>D</w:t>
      </w:r>
      <w:r w:rsidRPr="00215FEB">
        <w:t>rought conditions re</w:t>
      </w:r>
      <w:r>
        <w:noBreakHyphen/>
      </w:r>
      <w:r w:rsidRPr="00215FEB">
        <w:t>emerged</w:t>
      </w:r>
      <w:r>
        <w:t xml:space="preserve"> in many parts of Australia from mid</w:t>
      </w:r>
      <w:r>
        <w:noBreakHyphen/>
        <w:t>2017</w:t>
      </w:r>
      <w:r w:rsidRPr="00215FEB">
        <w:t xml:space="preserve">. By the end of 2019, many communities were </w:t>
      </w:r>
      <w:r>
        <w:t>living with</w:t>
      </w:r>
      <w:r w:rsidRPr="00215FEB">
        <w:t xml:space="preserve"> </w:t>
      </w:r>
      <w:r>
        <w:t>record</w:t>
      </w:r>
      <w:r>
        <w:noBreakHyphen/>
        <w:t>breaking dry conditions</w:t>
      </w:r>
      <w:r w:rsidRPr="00215FEB">
        <w:t>. Agricultural production and incomes in affected regions fell</w:t>
      </w:r>
      <w:r>
        <w:t>.</w:t>
      </w:r>
      <w:r w:rsidRPr="00215FEB">
        <w:t xml:space="preserve"> </w:t>
      </w:r>
      <w:r>
        <w:t>T</w:t>
      </w:r>
      <w:r w:rsidRPr="00215FEB">
        <w:t xml:space="preserve">here were devastating environmental consequences including a number of fish death events, most notably in the </w:t>
      </w:r>
      <w:r>
        <w:t>L</w:t>
      </w:r>
      <w:r w:rsidRPr="00215FEB">
        <w:t>ower Darling River. Drought also forced towns and major cities to introduce water restrictions, with some regional areas having to cart in water as potable sources dried up</w:t>
      </w:r>
      <w:r w:rsidRPr="004011D6">
        <w:t>. Additionally, there were record highs in dangerous fire weather conditions (a combination of a dry landscape, hot weather and strong winds).</w:t>
      </w:r>
    </w:p>
    <w:p w14:paraId="2A52E1F3" w14:textId="77777777" w:rsidR="001054C3" w:rsidRDefault="001054C3" w:rsidP="00234FBE">
      <w:pPr>
        <w:pStyle w:val="BodyText"/>
      </w:pPr>
      <w:r>
        <w:t xml:space="preserve">Severe droughts, floods and water shortages fit with the signs of a changing climate — </w:t>
      </w:r>
      <w:r w:rsidRPr="00860CAC">
        <w:t xml:space="preserve">higher temperatures, changing rainfall patterns and reduced </w:t>
      </w:r>
      <w:r>
        <w:t>water availability</w:t>
      </w:r>
      <w:r w:rsidRPr="00860CAC">
        <w:t>.</w:t>
      </w:r>
      <w:r>
        <w:t xml:space="preserve"> Long</w:t>
      </w:r>
      <w:r>
        <w:noBreakHyphen/>
        <w:t>term reductions in average rainfall have led to declining streamflows in</w:t>
      </w:r>
      <w:r w:rsidRPr="009E34BE">
        <w:t xml:space="preserve"> </w:t>
      </w:r>
      <w:r>
        <w:t xml:space="preserve">many parts of southern </w:t>
      </w:r>
      <w:r w:rsidRPr="009E34BE">
        <w:t>Australia.</w:t>
      </w:r>
      <w:r>
        <w:t xml:space="preserve"> Average inflows to Perth dams over the past decade were 75 per cent below the level of much of the 1900s. And records of River Murray inflows stretching back 125 years show m</w:t>
      </w:r>
      <w:r w:rsidRPr="009D1CA0">
        <w:t>edian annual inflow</w:t>
      </w:r>
      <w:r>
        <w:t>s</w:t>
      </w:r>
      <w:r w:rsidRPr="009D1CA0">
        <w:t xml:space="preserve"> </w:t>
      </w:r>
      <w:r>
        <w:t>over the past 20 years have been about</w:t>
      </w:r>
      <w:r w:rsidRPr="009D1CA0">
        <w:t xml:space="preserve"> half the </w:t>
      </w:r>
      <w:r>
        <w:t xml:space="preserve">level of the </w:t>
      </w:r>
      <w:r w:rsidRPr="009D1CA0">
        <w:t>preceding century</w:t>
      </w:r>
      <w:r>
        <w:t>, with drier years much more frequent.</w:t>
      </w:r>
    </w:p>
    <w:p w14:paraId="48B301A4" w14:textId="77777777" w:rsidR="001054C3" w:rsidRDefault="001054C3" w:rsidP="00234FBE">
      <w:pPr>
        <w:pStyle w:val="BodyText"/>
      </w:pPr>
      <w:r>
        <w:t>Changing expectations of Australian communities are adding further pressure. Urban water users’ expectations of water service providers have extended beyond clean, reliable and affordable water and wastewater services to also include the role of water in creating better urban amenity, for example, through green space and urban wetlands. And</w:t>
      </w:r>
      <w:r w:rsidDel="009F37A4">
        <w:t xml:space="preserve"> </w:t>
      </w:r>
      <w:r>
        <w:t xml:space="preserve">understanding of </w:t>
      </w:r>
      <w:r>
        <w:lastRenderedPageBreak/>
        <w:t xml:space="preserve">and support for Aboriginal and Torres Strait Islander people’s aspirations for greater access to, and control over, water resources has grown. The importance of water to Aboriginal and Torres Strait Islander people has been recognised and commitments to respond to these aspirations have been made in the 2020 National Agreement on Closing the Gap. Australia has also endorsed </w:t>
      </w:r>
      <w:r w:rsidRPr="00BC2813">
        <w:t>the United Nations Declaration on the Rights of Indigenous Peoples</w:t>
      </w:r>
      <w:r>
        <w:t>.</w:t>
      </w:r>
    </w:p>
    <w:p w14:paraId="1652CCAB" w14:textId="351D14B9" w:rsidR="001054C3" w:rsidRPr="004A77D9" w:rsidRDefault="001054C3" w:rsidP="00234FBE">
      <w:pPr>
        <w:pStyle w:val="BodyText"/>
        <w:rPr>
          <w:spacing w:val="2"/>
        </w:rPr>
      </w:pPr>
      <w:r w:rsidRPr="004A77D9">
        <w:rPr>
          <w:spacing w:val="2"/>
        </w:rPr>
        <w:t xml:space="preserve">Looking to the future, water resource management and </w:t>
      </w:r>
      <w:r>
        <w:rPr>
          <w:spacing w:val="2"/>
        </w:rPr>
        <w:t xml:space="preserve">water </w:t>
      </w:r>
      <w:r w:rsidRPr="004A77D9">
        <w:rPr>
          <w:spacing w:val="2"/>
        </w:rPr>
        <w:t>service provision will have to respond to these changing demands within the context of a growing population and climate change. Capital city populations are projected to increase by 1</w:t>
      </w:r>
      <w:r>
        <w:rPr>
          <w:spacing w:val="2"/>
        </w:rPr>
        <w:t>0 </w:t>
      </w:r>
      <w:r w:rsidRPr="004A77D9">
        <w:rPr>
          <w:spacing w:val="2"/>
        </w:rPr>
        <w:t>million people by 2050. And climate projections point to hotter, drier and more extreme weather</w:t>
      </w:r>
      <w:r w:rsidR="00705214">
        <w:rPr>
          <w:spacing w:val="2"/>
        </w:rPr>
        <w:t> </w:t>
      </w:r>
      <w:r w:rsidRPr="004A77D9">
        <w:rPr>
          <w:spacing w:val="2"/>
        </w:rPr>
        <w:t>—</w:t>
      </w:r>
      <w:r w:rsidR="00705214">
        <w:rPr>
          <w:spacing w:val="2"/>
        </w:rPr>
        <w:t> </w:t>
      </w:r>
      <w:r w:rsidRPr="004A77D9">
        <w:rPr>
          <w:spacing w:val="2"/>
        </w:rPr>
        <w:t>particularly in southern Australia. This will likely mean material reductions in water availability for most of the country and an increase in the frequency and severity of droughts and floods across the nation. And it will accelerate change in irrigated agricultural production. The droughts and water scarcity experienced during the past 20</w:t>
      </w:r>
      <w:r>
        <w:rPr>
          <w:spacing w:val="2"/>
        </w:rPr>
        <w:t> </w:t>
      </w:r>
      <w:r w:rsidRPr="004A77D9">
        <w:rPr>
          <w:spacing w:val="2"/>
        </w:rPr>
        <w:t>years are likely to be a harbinger of things to come.</w:t>
      </w:r>
    </w:p>
    <w:p w14:paraId="018278AB" w14:textId="77777777" w:rsidR="001054C3" w:rsidRDefault="001054C3" w:rsidP="00234FBE">
      <w:pPr>
        <w:pStyle w:val="BodyText"/>
      </w:pPr>
      <w:r>
        <w:t xml:space="preserve">The reality is that </w:t>
      </w:r>
      <w:r w:rsidRPr="00BC2813">
        <w:t>Australians will need to become even more adept at dealing with drought, and communities, industries and the environment will have to adapt to lower water availability</w:t>
      </w:r>
      <w:r>
        <w:t xml:space="preserve"> and more uncertainty. Water managers will need </w:t>
      </w:r>
      <w:r w:rsidRPr="000C5870">
        <w:t xml:space="preserve">to be </w:t>
      </w:r>
      <w:r>
        <w:t>forward</w:t>
      </w:r>
      <w:r>
        <w:noBreakHyphen/>
        <w:t xml:space="preserve">looking, </w:t>
      </w:r>
      <w:r w:rsidRPr="000C5870">
        <w:t>adaptive</w:t>
      </w:r>
      <w:r>
        <w:t xml:space="preserve"> and agile in how they manage water resources to meet the community’s changing needs.</w:t>
      </w:r>
    </w:p>
    <w:p w14:paraId="055BE29C" w14:textId="77777777" w:rsidR="001054C3" w:rsidRPr="00BC2813" w:rsidRDefault="001054C3" w:rsidP="00234FBE">
      <w:pPr>
        <w:pStyle w:val="BodyText"/>
      </w:pPr>
      <w:r w:rsidRPr="00BC2813">
        <w:t xml:space="preserve">These </w:t>
      </w:r>
      <w:r>
        <w:t xml:space="preserve">lessons, changes and </w:t>
      </w:r>
      <w:r w:rsidRPr="00BC2813">
        <w:t>challenges provide a compelling case for continu</w:t>
      </w:r>
      <w:r>
        <w:t>ed</w:t>
      </w:r>
      <w:r w:rsidRPr="00BC2813">
        <w:t xml:space="preserve"> reform effort</w:t>
      </w:r>
      <w:r>
        <w:t>.</w:t>
      </w:r>
      <w:r w:rsidRPr="00BC2813">
        <w:t xml:space="preserve"> </w:t>
      </w:r>
      <w:r>
        <w:t>Australia’s water reform record provides confidence that governments, working together, can provide a forward</w:t>
      </w:r>
      <w:r>
        <w:noBreakHyphen/>
        <w:t>looking policy framework to assist communities, industries and the environment to meet these challenges. And the NWI, renewed and refocused, could form the basis for this effort.</w:t>
      </w:r>
    </w:p>
    <w:p w14:paraId="31112DC6" w14:textId="77777777" w:rsidR="001054C3" w:rsidRPr="00BC2813" w:rsidRDefault="001054C3" w:rsidP="00234FBE">
      <w:pPr>
        <w:pStyle w:val="Heading2"/>
        <w:spacing w:before="480"/>
      </w:pPr>
      <w:bookmarkStart w:id="21" w:name="_Toc63112441"/>
      <w:bookmarkStart w:id="22" w:name="_Toc72939478"/>
      <w:r>
        <w:t>R</w:t>
      </w:r>
      <w:r w:rsidRPr="00BC2813">
        <w:t>eform advice</w:t>
      </w:r>
      <w:r>
        <w:t xml:space="preserve"> on NWI renewal</w:t>
      </w:r>
      <w:bookmarkEnd w:id="21"/>
      <w:bookmarkEnd w:id="22"/>
    </w:p>
    <w:p w14:paraId="7B15E59E" w14:textId="77777777" w:rsidR="001054C3" w:rsidRPr="00BC2813" w:rsidRDefault="001054C3" w:rsidP="00234FBE">
      <w:pPr>
        <w:pStyle w:val="BodyText"/>
      </w:pPr>
      <w:r w:rsidRPr="00BC2813">
        <w:t xml:space="preserve">Much of the intent and framework of the </w:t>
      </w:r>
      <w:r>
        <w:t>current</w:t>
      </w:r>
      <w:r w:rsidRPr="00BC2813">
        <w:t xml:space="preserve"> NWI remains relevant and should be retained.</w:t>
      </w:r>
      <w:r>
        <w:t xml:space="preserve"> By drafting new content, reframing</w:t>
      </w:r>
      <w:r w:rsidRPr="00BC2813">
        <w:t xml:space="preserve"> </w:t>
      </w:r>
      <w:r>
        <w:t xml:space="preserve">some areas and refocusing the agreement to deal with future challenges, governments could develop </w:t>
      </w:r>
      <w:r w:rsidRPr="00BC2813">
        <w:t xml:space="preserve">an agreement fit for </w:t>
      </w:r>
      <w:r>
        <w:t xml:space="preserve">the </w:t>
      </w:r>
      <w:r w:rsidRPr="00BC2813">
        <w:t xml:space="preserve">next 10 to 15 years. </w:t>
      </w:r>
      <w:r>
        <w:t>This report provides detailed, practical advice on</w:t>
      </w:r>
      <w:r w:rsidRPr="00BC2813">
        <w:t>:</w:t>
      </w:r>
    </w:p>
    <w:p w14:paraId="1216D367" w14:textId="77777777" w:rsidR="001054C3" w:rsidRPr="00BC2813" w:rsidRDefault="001054C3" w:rsidP="00234FBE">
      <w:pPr>
        <w:pStyle w:val="ListBullet"/>
        <w:spacing w:before="100"/>
      </w:pPr>
      <w:r>
        <w:t>modernisation of</w:t>
      </w:r>
      <w:r w:rsidRPr="00BC2813">
        <w:t xml:space="preserve"> the goal, </w:t>
      </w:r>
      <w:r>
        <w:t xml:space="preserve">overarching principles, </w:t>
      </w:r>
      <w:r w:rsidRPr="00BC2813">
        <w:t xml:space="preserve">objectives and elements of </w:t>
      </w:r>
      <w:r>
        <w:t>the</w:t>
      </w:r>
      <w:r w:rsidRPr="00BC2813">
        <w:t xml:space="preserve"> NWI</w:t>
      </w:r>
    </w:p>
    <w:p w14:paraId="10B8CEFE" w14:textId="77777777" w:rsidR="001054C3" w:rsidRPr="00BC2813" w:rsidRDefault="001054C3" w:rsidP="00234FBE">
      <w:pPr>
        <w:pStyle w:val="ListBullet"/>
        <w:spacing w:before="100"/>
      </w:pPr>
      <w:r w:rsidRPr="00BC2813">
        <w:t>governance arrangements</w:t>
      </w:r>
      <w:r>
        <w:t xml:space="preserve"> for a renewed agreement</w:t>
      </w:r>
    </w:p>
    <w:p w14:paraId="1CE99F12" w14:textId="77777777" w:rsidR="001054C3" w:rsidRPr="00BC2813" w:rsidRDefault="001054C3" w:rsidP="00234FBE">
      <w:pPr>
        <w:pStyle w:val="ListBullet"/>
        <w:spacing w:before="100"/>
      </w:pPr>
      <w:r w:rsidRPr="00BC2813">
        <w:t>the major issues to be considered, lessons learnt, best practice and potential directions</w:t>
      </w:r>
      <w:r>
        <w:t xml:space="preserve"> </w:t>
      </w:r>
      <w:r w:rsidRPr="00BC2813">
        <w:t>for each of the proposed policy elements.</w:t>
      </w:r>
    </w:p>
    <w:p w14:paraId="4988433D" w14:textId="77777777" w:rsidR="001054C3" w:rsidRPr="00BC2813" w:rsidRDefault="001054C3" w:rsidP="00234FBE">
      <w:pPr>
        <w:pStyle w:val="Heading3"/>
        <w:spacing w:before="480"/>
      </w:pPr>
      <w:r>
        <w:t>Suggestions to modernise the agreement</w:t>
      </w:r>
    </w:p>
    <w:p w14:paraId="0B8862DD" w14:textId="77777777" w:rsidR="001054C3" w:rsidRDefault="001054C3" w:rsidP="00234FBE">
      <w:pPr>
        <w:pStyle w:val="BodyText"/>
      </w:pPr>
      <w:r w:rsidRPr="00BC2813">
        <w:t>The overarching goal for the NWI</w:t>
      </w:r>
      <w:r>
        <w:t xml:space="preserve"> remains sound. The parties agreed to implement reforms:</w:t>
      </w:r>
    </w:p>
    <w:p w14:paraId="0A457AC0" w14:textId="77777777" w:rsidR="001054C3" w:rsidRDefault="001054C3" w:rsidP="00234FBE">
      <w:pPr>
        <w:pStyle w:val="Quote"/>
      </w:pPr>
      <w:r>
        <w:t>… in recognition of the continuing national imperative</w:t>
      </w:r>
      <w:r w:rsidRPr="00610FA9">
        <w:t xml:space="preserve"> to increase the productivity and efficiency of Australia’s water use, the need to service rural and urban communities, and to ensure the health </w:t>
      </w:r>
      <w:r w:rsidRPr="00610FA9">
        <w:lastRenderedPageBreak/>
        <w:t>of river and groundwater systems by establishing clear pathways to return all systems to environmentally sustainable levels of extraction</w:t>
      </w:r>
      <w:r>
        <w:t>. (paragraph 5)</w:t>
      </w:r>
    </w:p>
    <w:p w14:paraId="2682CFA6" w14:textId="77777777" w:rsidR="001054C3" w:rsidRPr="00BC2813" w:rsidRDefault="001054C3" w:rsidP="00234FBE">
      <w:pPr>
        <w:pStyle w:val="BodyText"/>
      </w:pPr>
      <w:r>
        <w:t>B</w:t>
      </w:r>
      <w:r w:rsidRPr="00BC2813">
        <w:t>ut</w:t>
      </w:r>
      <w:r>
        <w:t>, reflecting changes in the reform context,</w:t>
      </w:r>
      <w:r w:rsidRPr="00BC2813">
        <w:t xml:space="preserve"> </w:t>
      </w:r>
      <w:r>
        <w:t xml:space="preserve">the renewed NWI </w:t>
      </w:r>
      <w:r w:rsidRPr="00BC2813">
        <w:t xml:space="preserve">should </w:t>
      </w:r>
      <w:r>
        <w:t>also</w:t>
      </w:r>
      <w:r w:rsidRPr="00BC2813">
        <w:t xml:space="preserve"> </w:t>
      </w:r>
      <w:r>
        <w:t>explicitly mention</w:t>
      </w:r>
      <w:r w:rsidRPr="00BC2813">
        <w:t xml:space="preserve"> the need to adapt to a changing climate</w:t>
      </w:r>
      <w:r>
        <w:t>,</w:t>
      </w:r>
      <w:r w:rsidRPr="00BC2813">
        <w:t xml:space="preserve"> and recognise Aboriginal and Torres Strait Islander people</w:t>
      </w:r>
      <w:r>
        <w:t xml:space="preserve">’s </w:t>
      </w:r>
      <w:r w:rsidRPr="00422D8A">
        <w:t xml:space="preserve">reverence and </w:t>
      </w:r>
      <w:r>
        <w:t xml:space="preserve">cultural </w:t>
      </w:r>
      <w:r w:rsidRPr="00422D8A">
        <w:t>responsibility for rivers and groundwater systems</w:t>
      </w:r>
      <w:r>
        <w:t>,</w:t>
      </w:r>
      <w:r w:rsidRPr="00422D8A">
        <w:t xml:space="preserve"> and their </w:t>
      </w:r>
      <w:r>
        <w:t>desire</w:t>
      </w:r>
      <w:r w:rsidRPr="00422D8A">
        <w:t xml:space="preserve"> to participate in all </w:t>
      </w:r>
      <w:r>
        <w:t xml:space="preserve">significant water-related </w:t>
      </w:r>
      <w:r w:rsidRPr="00422D8A">
        <w:t>processes and decisions</w:t>
      </w:r>
      <w:r w:rsidRPr="00BC2813">
        <w:t>.</w:t>
      </w:r>
    </w:p>
    <w:p w14:paraId="0364DA1E" w14:textId="77777777" w:rsidR="001054C3" w:rsidRPr="00BC2813" w:rsidRDefault="001054C3" w:rsidP="00234FBE">
      <w:pPr>
        <w:pStyle w:val="BodyText"/>
      </w:pPr>
      <w:r>
        <w:t>Experiences over the past 17 years suggest s</w:t>
      </w:r>
      <w:r w:rsidRPr="00BC2813">
        <w:t xml:space="preserve">ix </w:t>
      </w:r>
      <w:r>
        <w:t xml:space="preserve">overarching reform </w:t>
      </w:r>
      <w:r w:rsidRPr="00BC2813">
        <w:t>principles</w:t>
      </w:r>
      <w:r>
        <w:t xml:space="preserve"> that should be embedded in all policy areas</w:t>
      </w:r>
      <w:r w:rsidRPr="00BC2813">
        <w:t xml:space="preserve">: strong capacity to </w:t>
      </w:r>
      <w:r>
        <w:t>deal</w:t>
      </w:r>
      <w:r w:rsidRPr="00BC2813">
        <w:t xml:space="preserve"> with droughts, floods and shocks and to adapt to a changing climate; fit</w:t>
      </w:r>
      <w:r w:rsidRPr="00BC2813">
        <w:noBreakHyphen/>
        <w:t>for</w:t>
      </w:r>
      <w:r w:rsidRPr="00BC2813">
        <w:noBreakHyphen/>
        <w:t xml:space="preserve">purpose </w:t>
      </w:r>
      <w:r>
        <w:t>regulatory, governance and management arrangements</w:t>
      </w:r>
      <w:r w:rsidRPr="00BC2813">
        <w:t>; use of the best available information in decision making; innovation and adaptive management; effective community engagement; and information provision that enables that engagement.</w:t>
      </w:r>
    </w:p>
    <w:p w14:paraId="4F1056F6" w14:textId="77777777" w:rsidR="001054C3" w:rsidRPr="00BC2813" w:rsidRDefault="001054C3" w:rsidP="00234FBE">
      <w:pPr>
        <w:pStyle w:val="BodyText"/>
      </w:pPr>
      <w:r w:rsidRPr="00BC2813">
        <w:t>The current NWI has a strong focus on water resource management</w:t>
      </w:r>
      <w:r>
        <w:t xml:space="preserve"> (planning, developing and managing water resources)</w:t>
      </w:r>
      <w:r w:rsidRPr="00BC2813">
        <w:t xml:space="preserve">. But reform in aspects of water service provision </w:t>
      </w:r>
      <w:r>
        <w:t>(</w:t>
      </w:r>
      <w:r>
        <w:rPr>
          <w:szCs w:val="24"/>
        </w:rPr>
        <w:t xml:space="preserve">urban, rural and bulk water </w:t>
      </w:r>
      <w:r w:rsidRPr="00B92F92">
        <w:rPr>
          <w:szCs w:val="24"/>
        </w:rPr>
        <w:t>services</w:t>
      </w:r>
      <w:r>
        <w:rPr>
          <w:szCs w:val="24"/>
        </w:rPr>
        <w:t xml:space="preserve">) </w:t>
      </w:r>
      <w:r w:rsidRPr="00BC2813">
        <w:t>will be equally important to successfully navigat</w:t>
      </w:r>
      <w:r>
        <w:t>ing</w:t>
      </w:r>
      <w:r w:rsidRPr="00BC2813">
        <w:t xml:space="preserve"> the challenges ahead. </w:t>
      </w:r>
      <w:r>
        <w:t>A</w:t>
      </w:r>
      <w:r w:rsidRPr="00BC2813">
        <w:t xml:space="preserve"> renewed NWI should reflect the importance of both sustainable water resource management and effective, equitable and efficient water service provision</w:t>
      </w:r>
      <w:r>
        <w:t> — a</w:t>
      </w:r>
      <w:r w:rsidRPr="00BC2813">
        <w:t xml:space="preserve"> more detailed set of objectives </w:t>
      </w:r>
      <w:r>
        <w:t xml:space="preserve">covering both spheres of policy focus </w:t>
      </w:r>
      <w:r w:rsidRPr="00BC2813">
        <w:t>is proposed</w:t>
      </w:r>
      <w:r>
        <w:t xml:space="preserve"> (figure 1)</w:t>
      </w:r>
      <w:r w:rsidRPr="00BC2813">
        <w:t>.</w:t>
      </w:r>
    </w:p>
    <w:p w14:paraId="40E4FFB2" w14:textId="77777777" w:rsidR="001054C3" w:rsidRDefault="001054C3" w:rsidP="00234FBE">
      <w:pPr>
        <w:pStyle w:val="BodyText"/>
      </w:pPr>
      <w:r w:rsidRPr="00BC2813">
        <w:t xml:space="preserve">All eight elements of the current NWI </w:t>
      </w:r>
      <w:r>
        <w:t xml:space="preserve">(box 1) </w:t>
      </w:r>
      <w:r w:rsidRPr="00BC2813">
        <w:t>remain highly relevant and should be retained.</w:t>
      </w:r>
    </w:p>
    <w:p w14:paraId="2C3231D2" w14:textId="77777777" w:rsidR="001054C3" w:rsidRDefault="001054C3" w:rsidP="00234FBE">
      <w:pPr>
        <w:pStyle w:val="BodyText"/>
      </w:pPr>
      <w:r w:rsidRPr="00BC2813">
        <w:t xml:space="preserve">Significant enhancements should be made to </w:t>
      </w:r>
      <w:r>
        <w:t>the:</w:t>
      </w:r>
    </w:p>
    <w:p w14:paraId="1CAE1D2F" w14:textId="77777777" w:rsidR="001054C3" w:rsidRDefault="001054C3" w:rsidP="00234FBE">
      <w:pPr>
        <w:pStyle w:val="ListBullet"/>
      </w:pPr>
      <w:r>
        <w:t>planning element, to reflect contemporary best practice and ensure climate change is taken into account in water planning</w:t>
      </w:r>
    </w:p>
    <w:p w14:paraId="5EA24A05" w14:textId="77777777" w:rsidR="001054C3" w:rsidRDefault="001054C3" w:rsidP="00234FBE">
      <w:pPr>
        <w:pStyle w:val="ListBullet"/>
      </w:pPr>
      <w:r w:rsidRPr="00BC2813">
        <w:t xml:space="preserve">environmental management element, to </w:t>
      </w:r>
      <w:r>
        <w:t>address</w:t>
      </w:r>
      <w:r w:rsidRPr="00BC2813">
        <w:t xml:space="preserve"> the need for more adaptive management</w:t>
      </w:r>
      <w:r>
        <w:t xml:space="preserve"> and</w:t>
      </w:r>
      <w:r w:rsidRPr="00BC2813" w:rsidDel="00093761">
        <w:t xml:space="preserve"> </w:t>
      </w:r>
      <w:r w:rsidRPr="00BC2813">
        <w:t>integrated waterway and catchment management, and to respon</w:t>
      </w:r>
      <w:r>
        <w:t>d</w:t>
      </w:r>
      <w:r w:rsidRPr="00BC2813">
        <w:t xml:space="preserve"> to a drying and more variable climate</w:t>
      </w:r>
    </w:p>
    <w:p w14:paraId="12FE99A1" w14:textId="77777777" w:rsidR="001054C3" w:rsidRDefault="001054C3" w:rsidP="00234FBE">
      <w:pPr>
        <w:pStyle w:val="ListBullet"/>
      </w:pPr>
      <w:r w:rsidRPr="00BC2813">
        <w:t>water accounting element</w:t>
      </w:r>
      <w:r w:rsidRPr="00BC2813" w:rsidDel="00016C6D">
        <w:t>,</w:t>
      </w:r>
      <w:r>
        <w:t xml:space="preserve"> </w:t>
      </w:r>
      <w:r w:rsidRPr="00BC2813">
        <w:t xml:space="preserve">to </w:t>
      </w:r>
      <w:r>
        <w:t>build</w:t>
      </w:r>
      <w:r w:rsidRPr="00BC2813">
        <w:t xml:space="preserve"> trust and confidence in water management</w:t>
      </w:r>
      <w:r>
        <w:t xml:space="preserve"> (or system integrity)</w:t>
      </w:r>
    </w:p>
    <w:p w14:paraId="4C5879F9" w14:textId="77777777" w:rsidR="001054C3" w:rsidRDefault="001054C3" w:rsidP="00234FBE">
      <w:pPr>
        <w:pStyle w:val="ListBullet"/>
      </w:pPr>
      <w:r>
        <w:t>urban water services element, to give</w:t>
      </w:r>
      <w:r w:rsidRPr="00BC2813">
        <w:t xml:space="preserve"> much more comprehensive </w:t>
      </w:r>
      <w:r>
        <w:t xml:space="preserve">attention to planning and </w:t>
      </w:r>
      <w:r w:rsidRPr="00BC2813">
        <w:t xml:space="preserve">service provision </w:t>
      </w:r>
      <w:r>
        <w:t>standards, and to respond to t</w:t>
      </w:r>
      <w:r w:rsidRPr="00BC2813">
        <w:t>he joint pressures of climate change and population growth.</w:t>
      </w:r>
      <w:r>
        <w:t xml:space="preserve"> While u</w:t>
      </w:r>
      <w:r w:rsidRPr="00BC2813">
        <w:t>rban water reform was the focus of an earlier COAG agreement</w:t>
      </w:r>
      <w:r>
        <w:t xml:space="preserve"> in 1994</w:t>
      </w:r>
      <w:r w:rsidRPr="00BC2813">
        <w:t>, the NWI maintain</w:t>
      </w:r>
      <w:r>
        <w:t>ed</w:t>
      </w:r>
      <w:r w:rsidRPr="00BC2813">
        <w:t xml:space="preserve"> but </w:t>
      </w:r>
      <w:r>
        <w:t xml:space="preserve">did </w:t>
      </w:r>
      <w:r w:rsidRPr="00BC2813">
        <w:t>not greatly advanc</w:t>
      </w:r>
      <w:r>
        <w:t>e</w:t>
      </w:r>
      <w:r w:rsidRPr="00BC2813">
        <w:t xml:space="preserve"> those reforms.</w:t>
      </w:r>
    </w:p>
    <w:p w14:paraId="794C200B"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6A285E73" w14:textId="77777777" w:rsidTr="00234FBE">
        <w:trPr>
          <w:tblHeader/>
        </w:trPr>
        <w:tc>
          <w:tcPr>
            <w:tcW w:w="5000" w:type="pct"/>
            <w:tcBorders>
              <w:top w:val="single" w:sz="6" w:space="0" w:color="78A22F" w:themeColor="accent1"/>
              <w:left w:val="nil"/>
              <w:bottom w:val="nil"/>
              <w:right w:val="nil"/>
            </w:tcBorders>
            <w:shd w:val="clear" w:color="auto" w:fill="auto"/>
          </w:tcPr>
          <w:p w14:paraId="787636FC" w14:textId="77777777" w:rsidR="001054C3" w:rsidRPr="00176D3F" w:rsidRDefault="001054C3" w:rsidP="00234FBE">
            <w:pPr>
              <w:pStyle w:val="FigureTitle"/>
            </w:pPr>
            <w:r w:rsidRPr="0048559E">
              <w:rPr>
                <w:b w:val="0"/>
              </w:rPr>
              <w:t>Figure 1</w:t>
            </w:r>
            <w:r w:rsidRPr="0048559E">
              <w:rPr>
                <w:b w:val="0"/>
              </w:rPr>
              <w:tab/>
            </w:r>
            <w:r w:rsidRPr="00B92F92">
              <w:t>Summary view of suggested new NWI objectives</w:t>
            </w:r>
            <w:r w:rsidRPr="00B92F92">
              <w:rPr>
                <w:position w:val="6"/>
                <w:sz w:val="18"/>
              </w:rPr>
              <w:t>a</w:t>
            </w:r>
          </w:p>
        </w:tc>
      </w:tr>
      <w:tr w:rsidR="001054C3" w14:paraId="1214CB3E"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04"/>
              <w:gridCol w:w="4401"/>
            </w:tblGrid>
            <w:tr w:rsidR="001054C3" w:rsidRPr="00B1465D" w14:paraId="63BDC551" w14:textId="77777777" w:rsidTr="00234FBE">
              <w:trPr>
                <w:tblHeader/>
                <w:jc w:val="center"/>
              </w:trPr>
              <w:tc>
                <w:tcPr>
                  <w:tcW w:w="2500" w:type="pct"/>
                  <w:tcBorders>
                    <w:top w:val="nil"/>
                    <w:bottom w:val="nil"/>
                  </w:tcBorders>
                </w:tcPr>
                <w:p w14:paraId="29BC5A30" w14:textId="77777777" w:rsidR="001054C3" w:rsidRPr="00B1465D" w:rsidRDefault="001054C3" w:rsidP="00234FBE">
                  <w:pPr>
                    <w:pStyle w:val="Figure"/>
                    <w:spacing w:before="60" w:after="60"/>
                    <w:rPr>
                      <w:rFonts w:ascii="Arial" w:hAnsi="Arial" w:cs="Arial"/>
                      <w:sz w:val="18"/>
                      <w:szCs w:val="18"/>
                    </w:rPr>
                  </w:pPr>
                  <w:r w:rsidRPr="00EB754A">
                    <w:rPr>
                      <w:rFonts w:ascii="Arial" w:hAnsi="Arial" w:cs="Arial"/>
                      <w:noProof/>
                      <w:sz w:val="18"/>
                      <w:szCs w:val="18"/>
                    </w:rPr>
                    <w:drawing>
                      <wp:inline distT="0" distB="0" distL="0" distR="0" wp14:anchorId="09C3A375" wp14:editId="29890104">
                        <wp:extent cx="2628900" cy="2987040"/>
                        <wp:effectExtent l="0" t="0" r="0" b="3810"/>
                        <wp:docPr id="4" name="Picture 4" descr="Figure 1. Resource management. Panel A. in this figure summarises the Commission's suggested objectives for the renewed NWI within the area of water resource management. Yellow colouring represents new objec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Resource management. Panel A. in this figure summarises the Commission's suggested objectives for the renewed NWI within the area of water resource management. Yellow colouring represents new objective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900" cy="2987040"/>
                                </a:xfrm>
                                <a:prstGeom prst="rect">
                                  <a:avLst/>
                                </a:prstGeom>
                                <a:noFill/>
                                <a:ln>
                                  <a:noFill/>
                                </a:ln>
                              </pic:spPr>
                            </pic:pic>
                          </a:graphicData>
                        </a:graphic>
                      </wp:inline>
                    </w:drawing>
                  </w:r>
                </w:p>
              </w:tc>
              <w:tc>
                <w:tcPr>
                  <w:tcW w:w="2500" w:type="pct"/>
                  <w:tcBorders>
                    <w:top w:val="nil"/>
                    <w:bottom w:val="nil"/>
                  </w:tcBorders>
                </w:tcPr>
                <w:p w14:paraId="39DCB94E" w14:textId="77777777" w:rsidR="001054C3" w:rsidRPr="00B1465D" w:rsidRDefault="001054C3" w:rsidP="00234FBE">
                  <w:pPr>
                    <w:pStyle w:val="Figure"/>
                    <w:spacing w:before="60" w:after="60"/>
                    <w:rPr>
                      <w:rFonts w:ascii="Arial" w:hAnsi="Arial" w:cs="Arial"/>
                      <w:sz w:val="18"/>
                      <w:szCs w:val="18"/>
                    </w:rPr>
                  </w:pPr>
                  <w:r w:rsidRPr="00E21F38">
                    <w:rPr>
                      <w:rFonts w:ascii="Arial" w:hAnsi="Arial" w:cs="Arial"/>
                      <w:noProof/>
                      <w:sz w:val="18"/>
                      <w:szCs w:val="18"/>
                    </w:rPr>
                    <w:drawing>
                      <wp:inline distT="0" distB="0" distL="0" distR="0" wp14:anchorId="2AE181D6" wp14:editId="4DC35A12">
                        <wp:extent cx="2811780" cy="2987040"/>
                        <wp:effectExtent l="0" t="0" r="7620" b="3810"/>
                        <wp:docPr id="5" name="Picture 5" descr="Figure 1. Service provision  Panel B. In this figure summarises the Commission's suggested objectives for the renewed NWI within the area of water service provision. Yellow colouring represents new object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Service provision  Panel B. In this figure summarises the Commission's suggested objectives for the renewed NWI within the area of water service provision. Yellow colouring represents new objectives.&#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1780" cy="2987040"/>
                                </a:xfrm>
                                <a:prstGeom prst="rect">
                                  <a:avLst/>
                                </a:prstGeom>
                                <a:noFill/>
                                <a:ln>
                                  <a:noFill/>
                                </a:ln>
                              </pic:spPr>
                            </pic:pic>
                          </a:graphicData>
                        </a:graphic>
                      </wp:inline>
                    </w:drawing>
                  </w:r>
                </w:p>
              </w:tc>
            </w:tr>
          </w:tbl>
          <w:p w14:paraId="0247A86B" w14:textId="77777777" w:rsidR="001054C3" w:rsidRDefault="001054C3" w:rsidP="00234FBE">
            <w:pPr>
              <w:pStyle w:val="Figure"/>
            </w:pPr>
          </w:p>
        </w:tc>
      </w:tr>
      <w:tr w:rsidR="001054C3" w:rsidRPr="00176D3F" w14:paraId="39CD90B3" w14:textId="77777777" w:rsidTr="00234FBE">
        <w:tc>
          <w:tcPr>
            <w:tcW w:w="5000" w:type="pct"/>
            <w:tcBorders>
              <w:top w:val="nil"/>
              <w:left w:val="nil"/>
              <w:bottom w:val="nil"/>
              <w:right w:val="nil"/>
            </w:tcBorders>
            <w:shd w:val="clear" w:color="auto" w:fill="auto"/>
          </w:tcPr>
          <w:p w14:paraId="42C5D01C" w14:textId="084EF3A5" w:rsidR="001054C3" w:rsidRPr="00176D3F" w:rsidRDefault="001054C3" w:rsidP="00234FBE">
            <w:pPr>
              <w:pStyle w:val="Note"/>
            </w:pPr>
            <w:r w:rsidRPr="00670D3A">
              <w:rPr>
                <w:b/>
                <w:position w:val="6"/>
              </w:rPr>
              <w:t>a</w:t>
            </w:r>
            <w:r w:rsidRPr="00670D3A">
              <w:t xml:space="preserve"> </w:t>
            </w:r>
            <w:r w:rsidR="007F4714">
              <w:t>Highlighted areas</w:t>
            </w:r>
            <w:r w:rsidRPr="00670D3A">
              <w:t xml:space="preserve"> represent new objectives.</w:t>
            </w:r>
          </w:p>
        </w:tc>
      </w:tr>
      <w:tr w:rsidR="001054C3" w14:paraId="6E26CCBD" w14:textId="77777777" w:rsidTr="00234FBE">
        <w:tc>
          <w:tcPr>
            <w:tcW w:w="5000" w:type="pct"/>
            <w:tcBorders>
              <w:top w:val="nil"/>
              <w:left w:val="nil"/>
              <w:bottom w:val="single" w:sz="6" w:space="0" w:color="78A22F" w:themeColor="accent1"/>
              <w:right w:val="nil"/>
            </w:tcBorders>
            <w:shd w:val="clear" w:color="auto" w:fill="auto"/>
          </w:tcPr>
          <w:p w14:paraId="1E34E44B" w14:textId="77777777" w:rsidR="001054C3" w:rsidRDefault="001054C3" w:rsidP="00234FBE">
            <w:pPr>
              <w:pStyle w:val="Figurespace"/>
            </w:pPr>
          </w:p>
        </w:tc>
      </w:tr>
      <w:tr w:rsidR="001054C3" w:rsidRPr="000863A5" w14:paraId="6BF6D980" w14:textId="77777777" w:rsidTr="00234FBE">
        <w:tc>
          <w:tcPr>
            <w:tcW w:w="5000" w:type="pct"/>
            <w:tcBorders>
              <w:top w:val="single" w:sz="6" w:space="0" w:color="78A22F" w:themeColor="accent1"/>
              <w:left w:val="nil"/>
              <w:bottom w:val="nil"/>
              <w:right w:val="nil"/>
            </w:tcBorders>
          </w:tcPr>
          <w:p w14:paraId="6189510A" w14:textId="77777777" w:rsidR="001054C3" w:rsidRPr="00626D32" w:rsidRDefault="001054C3" w:rsidP="00234FBE">
            <w:pPr>
              <w:pStyle w:val="BoxSpaceBelow"/>
            </w:pPr>
          </w:p>
        </w:tc>
      </w:tr>
    </w:tbl>
    <w:p w14:paraId="780300C7"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4480378B" w14:textId="77777777" w:rsidTr="00234FBE">
        <w:trPr>
          <w:tblHeader/>
        </w:trPr>
        <w:tc>
          <w:tcPr>
            <w:tcW w:w="5000" w:type="pct"/>
            <w:tcBorders>
              <w:top w:val="single" w:sz="6" w:space="0" w:color="78A22F"/>
              <w:left w:val="nil"/>
              <w:bottom w:val="nil"/>
              <w:right w:val="nil"/>
            </w:tcBorders>
            <w:shd w:val="clear" w:color="auto" w:fill="F2F2F2"/>
          </w:tcPr>
          <w:p w14:paraId="2641C71C" w14:textId="77777777" w:rsidR="001054C3" w:rsidRDefault="001054C3" w:rsidP="00234FBE">
            <w:pPr>
              <w:pStyle w:val="BoxTitle"/>
            </w:pPr>
            <w:r>
              <w:rPr>
                <w:b w:val="0"/>
              </w:rPr>
              <w:t>Box 1</w:t>
            </w:r>
            <w:r>
              <w:tab/>
              <w:t xml:space="preserve">Proposed </w:t>
            </w:r>
            <w:r>
              <w:rPr>
                <w:noProof/>
                <w:spacing w:val="-2"/>
              </w:rPr>
              <w:t>elements of a renewed agreement</w:t>
            </w:r>
          </w:p>
        </w:tc>
      </w:tr>
      <w:tr w:rsidR="001054C3" w14:paraId="5ABCA2F7" w14:textId="77777777" w:rsidTr="00234FBE">
        <w:tc>
          <w:tcPr>
            <w:tcW w:w="5000" w:type="pct"/>
            <w:tcBorders>
              <w:top w:val="nil"/>
              <w:left w:val="nil"/>
              <w:bottom w:val="nil"/>
              <w:right w:val="nil"/>
            </w:tcBorders>
            <w:shd w:val="clear" w:color="auto" w:fill="F2F2F2"/>
          </w:tcPr>
          <w:p w14:paraId="05DF9615" w14:textId="77777777" w:rsidR="001054C3" w:rsidRDefault="001054C3" w:rsidP="00234FBE">
            <w:pPr>
              <w:pStyle w:val="Rec"/>
            </w:pPr>
            <w:r>
              <w:t>The overall goal and objectives of a renewed NWI should be delivered through the following elements:</w:t>
            </w:r>
          </w:p>
          <w:p w14:paraId="6D8D5B26" w14:textId="77777777" w:rsidR="001054C3" w:rsidRPr="00C95B29" w:rsidRDefault="001054C3" w:rsidP="00234FBE">
            <w:pPr>
              <w:pStyle w:val="Rec"/>
              <w:rPr>
                <w:b/>
                <w:bCs/>
              </w:rPr>
            </w:pPr>
            <w:r w:rsidRPr="00C95B29">
              <w:rPr>
                <w:b/>
                <w:bCs/>
              </w:rPr>
              <w:t>Water resource management</w:t>
            </w:r>
          </w:p>
          <w:p w14:paraId="62EEB17F" w14:textId="77777777" w:rsidR="001054C3" w:rsidRDefault="001054C3" w:rsidP="008C565C">
            <w:pPr>
              <w:pStyle w:val="Rec"/>
              <w:numPr>
                <w:ilvl w:val="0"/>
                <w:numId w:val="20"/>
              </w:numPr>
              <w:spacing w:before="80"/>
              <w:ind w:left="357" w:hanging="357"/>
            </w:pPr>
            <w:r>
              <w:t>Water access entitlements and planning frameworks</w:t>
            </w:r>
            <w:r w:rsidRPr="000D22F5">
              <w:rPr>
                <w:rStyle w:val="NoteLabel"/>
              </w:rPr>
              <w:t>a</w:t>
            </w:r>
          </w:p>
          <w:p w14:paraId="7A1C362A" w14:textId="77777777" w:rsidR="001054C3" w:rsidRDefault="001054C3" w:rsidP="008C565C">
            <w:pPr>
              <w:pStyle w:val="Rec"/>
              <w:numPr>
                <w:ilvl w:val="0"/>
                <w:numId w:val="20"/>
              </w:numPr>
              <w:spacing w:before="80"/>
              <w:ind w:left="357" w:hanging="357"/>
            </w:pPr>
            <w:r>
              <w:t>Water trading and markets</w:t>
            </w:r>
          </w:p>
          <w:p w14:paraId="2756F214" w14:textId="77777777" w:rsidR="001054C3" w:rsidRDefault="001054C3" w:rsidP="008C565C">
            <w:pPr>
              <w:pStyle w:val="Rec"/>
              <w:numPr>
                <w:ilvl w:val="0"/>
                <w:numId w:val="20"/>
              </w:numPr>
              <w:spacing w:before="80"/>
              <w:ind w:left="357" w:hanging="357"/>
            </w:pPr>
            <w:r>
              <w:t>Environmental management</w:t>
            </w:r>
            <w:r w:rsidRPr="000D22F5">
              <w:rPr>
                <w:rStyle w:val="NoteLabel"/>
              </w:rPr>
              <w:t>a</w:t>
            </w:r>
          </w:p>
          <w:p w14:paraId="4D91B6D1" w14:textId="77777777" w:rsidR="001054C3" w:rsidRDefault="001054C3" w:rsidP="008C565C">
            <w:pPr>
              <w:pStyle w:val="Rec"/>
              <w:numPr>
                <w:ilvl w:val="0"/>
                <w:numId w:val="20"/>
              </w:numPr>
              <w:spacing w:before="80"/>
              <w:ind w:left="357" w:hanging="357"/>
            </w:pPr>
            <w:r>
              <w:t>Aboriginal and Torres Strait Islander people’s interests in water</w:t>
            </w:r>
            <w:r>
              <w:rPr>
                <w:rStyle w:val="NoteLabel"/>
              </w:rPr>
              <w:t>b</w:t>
            </w:r>
          </w:p>
          <w:p w14:paraId="6A1F49B0" w14:textId="77777777" w:rsidR="001054C3" w:rsidRDefault="001054C3" w:rsidP="008C565C">
            <w:pPr>
              <w:pStyle w:val="Rec"/>
              <w:numPr>
                <w:ilvl w:val="0"/>
                <w:numId w:val="20"/>
              </w:numPr>
              <w:spacing w:before="80"/>
              <w:ind w:left="357" w:hanging="357"/>
            </w:pPr>
            <w:r>
              <w:t>System integrity</w:t>
            </w:r>
            <w:r>
              <w:rPr>
                <w:rStyle w:val="NoteLabel"/>
              </w:rPr>
              <w:t>a</w:t>
            </w:r>
          </w:p>
          <w:p w14:paraId="4D5AD601" w14:textId="77777777" w:rsidR="001054C3" w:rsidRPr="00C95B29" w:rsidRDefault="001054C3" w:rsidP="00234FBE">
            <w:pPr>
              <w:pStyle w:val="Rec"/>
              <w:rPr>
                <w:b/>
                <w:bCs/>
              </w:rPr>
            </w:pPr>
            <w:r w:rsidRPr="00C95B29">
              <w:rPr>
                <w:b/>
                <w:bCs/>
              </w:rPr>
              <w:t>Water services provision</w:t>
            </w:r>
          </w:p>
          <w:p w14:paraId="30D0C1E0" w14:textId="77777777" w:rsidR="001054C3" w:rsidRDefault="001054C3" w:rsidP="008C565C">
            <w:pPr>
              <w:pStyle w:val="Rec"/>
              <w:numPr>
                <w:ilvl w:val="0"/>
                <w:numId w:val="20"/>
              </w:numPr>
              <w:spacing w:before="80"/>
              <w:ind w:left="357" w:hanging="357"/>
            </w:pPr>
            <w:r>
              <w:t>Pricing and institutional arrangements</w:t>
            </w:r>
          </w:p>
          <w:p w14:paraId="53AA7C3A" w14:textId="77777777" w:rsidR="001054C3" w:rsidRDefault="001054C3" w:rsidP="008C565C">
            <w:pPr>
              <w:pStyle w:val="Rec"/>
              <w:numPr>
                <w:ilvl w:val="0"/>
                <w:numId w:val="20"/>
              </w:numPr>
              <w:spacing w:before="80"/>
              <w:ind w:left="357" w:hanging="357"/>
            </w:pPr>
            <w:r>
              <w:t>Urban water services</w:t>
            </w:r>
            <w:r w:rsidRPr="000D22F5">
              <w:rPr>
                <w:rStyle w:val="NoteLabel"/>
              </w:rPr>
              <w:t>a</w:t>
            </w:r>
          </w:p>
          <w:p w14:paraId="4E6C8C58" w14:textId="77777777" w:rsidR="001054C3" w:rsidRDefault="001054C3" w:rsidP="008C565C">
            <w:pPr>
              <w:pStyle w:val="Rec"/>
              <w:numPr>
                <w:ilvl w:val="0"/>
                <w:numId w:val="20"/>
              </w:numPr>
              <w:spacing w:before="80"/>
              <w:ind w:left="357" w:hanging="357"/>
            </w:pPr>
            <w:r>
              <w:t>Infrastructure development</w:t>
            </w:r>
            <w:r>
              <w:rPr>
                <w:rStyle w:val="NoteLabel"/>
              </w:rPr>
              <w:t>b</w:t>
            </w:r>
          </w:p>
          <w:p w14:paraId="3550EC8D" w14:textId="77777777" w:rsidR="001054C3" w:rsidRPr="00C95B29" w:rsidRDefault="001054C3" w:rsidP="00234FBE">
            <w:pPr>
              <w:pStyle w:val="Rec"/>
              <w:rPr>
                <w:b/>
                <w:bCs/>
              </w:rPr>
            </w:pPr>
            <w:r w:rsidRPr="00C95B29">
              <w:rPr>
                <w:b/>
                <w:bCs/>
              </w:rPr>
              <w:t>Supporting arrangements</w:t>
            </w:r>
          </w:p>
          <w:p w14:paraId="7C8FBC3A" w14:textId="77777777" w:rsidR="001054C3" w:rsidRDefault="001054C3" w:rsidP="008C565C">
            <w:pPr>
              <w:pStyle w:val="Rec"/>
              <w:numPr>
                <w:ilvl w:val="0"/>
                <w:numId w:val="20"/>
              </w:numPr>
              <w:spacing w:before="80"/>
              <w:ind w:left="357" w:hanging="357"/>
            </w:pPr>
            <w:r>
              <w:t>Community engagement, and adjustment</w:t>
            </w:r>
          </w:p>
          <w:p w14:paraId="31350990" w14:textId="77777777" w:rsidR="001054C3" w:rsidRDefault="001054C3" w:rsidP="008C565C">
            <w:pPr>
              <w:pStyle w:val="Rec"/>
              <w:numPr>
                <w:ilvl w:val="0"/>
                <w:numId w:val="20"/>
              </w:numPr>
              <w:spacing w:before="80"/>
              <w:ind w:left="357" w:hanging="357"/>
            </w:pPr>
            <w:r w:rsidRPr="000D22F5">
              <w:t>Knowledge, capacity and capability building</w:t>
            </w:r>
          </w:p>
        </w:tc>
      </w:tr>
      <w:tr w:rsidR="001054C3" w14:paraId="45F0A91D" w14:textId="77777777" w:rsidTr="00234FBE">
        <w:tc>
          <w:tcPr>
            <w:tcW w:w="5000" w:type="pct"/>
            <w:tcBorders>
              <w:top w:val="nil"/>
              <w:left w:val="nil"/>
              <w:bottom w:val="nil"/>
              <w:right w:val="nil"/>
            </w:tcBorders>
            <w:shd w:val="clear" w:color="auto" w:fill="F2F2F2"/>
          </w:tcPr>
          <w:p w14:paraId="11C4CCC7" w14:textId="77777777" w:rsidR="001054C3" w:rsidRDefault="001054C3" w:rsidP="00234FBE">
            <w:pPr>
              <w:pStyle w:val="Note"/>
            </w:pPr>
            <w:r w:rsidRPr="000D22F5">
              <w:rPr>
                <w:rStyle w:val="NoteLabel"/>
              </w:rPr>
              <w:t>a</w:t>
            </w:r>
            <w:r w:rsidRPr="00FE1F81">
              <w:t xml:space="preserve"> Significantly enhanced element. </w:t>
            </w:r>
            <w:r>
              <w:rPr>
                <w:rStyle w:val="NoteLabel"/>
              </w:rPr>
              <w:t>b</w:t>
            </w:r>
            <w:r w:rsidRPr="00FE1F81">
              <w:t> New element.</w:t>
            </w:r>
          </w:p>
        </w:tc>
      </w:tr>
      <w:tr w:rsidR="001054C3" w14:paraId="29218AD6" w14:textId="77777777" w:rsidTr="00234FBE">
        <w:tc>
          <w:tcPr>
            <w:tcW w:w="5000" w:type="pct"/>
            <w:tcBorders>
              <w:top w:val="nil"/>
              <w:left w:val="nil"/>
              <w:bottom w:val="single" w:sz="6" w:space="0" w:color="78A22F"/>
              <w:right w:val="nil"/>
            </w:tcBorders>
            <w:shd w:val="clear" w:color="auto" w:fill="F2F2F2"/>
          </w:tcPr>
          <w:p w14:paraId="3C948791" w14:textId="77777777" w:rsidR="001054C3" w:rsidRDefault="001054C3" w:rsidP="00234FBE">
            <w:pPr>
              <w:pStyle w:val="Box"/>
              <w:spacing w:before="0" w:line="120" w:lineRule="exact"/>
            </w:pPr>
          </w:p>
        </w:tc>
      </w:tr>
      <w:tr w:rsidR="001054C3" w:rsidRPr="000863A5" w14:paraId="279115B1" w14:textId="77777777" w:rsidTr="00234FBE">
        <w:tc>
          <w:tcPr>
            <w:tcW w:w="5000" w:type="pct"/>
            <w:tcBorders>
              <w:top w:val="single" w:sz="6" w:space="0" w:color="78A22F"/>
              <w:left w:val="nil"/>
              <w:bottom w:val="nil"/>
              <w:right w:val="nil"/>
            </w:tcBorders>
          </w:tcPr>
          <w:p w14:paraId="06D80053" w14:textId="77777777" w:rsidR="001054C3" w:rsidRPr="00626D32" w:rsidRDefault="001054C3" w:rsidP="00234FBE">
            <w:pPr>
              <w:pStyle w:val="BoxSpaceBelow"/>
            </w:pPr>
          </w:p>
        </w:tc>
      </w:tr>
    </w:tbl>
    <w:p w14:paraId="03FA0138" w14:textId="77777777" w:rsidR="001054C3" w:rsidRDefault="001054C3" w:rsidP="00234FBE">
      <w:pPr>
        <w:pStyle w:val="BodyText"/>
      </w:pPr>
      <w:r w:rsidRPr="00BC2813">
        <w:lastRenderedPageBreak/>
        <w:t xml:space="preserve">Two new elements are proposed — </w:t>
      </w:r>
      <w:r>
        <w:t xml:space="preserve">one to </w:t>
      </w:r>
      <w:r w:rsidRPr="00BC2813">
        <w:t>recognis</w:t>
      </w:r>
      <w:r>
        <w:t>e</w:t>
      </w:r>
      <w:r w:rsidRPr="00BC2813">
        <w:t xml:space="preserve"> the interests of Aboriginal and Torres Strait Islander people in water resource management</w:t>
      </w:r>
      <w:r>
        <w:t>; the other to add</w:t>
      </w:r>
      <w:r w:rsidRPr="00BC2813">
        <w:t xml:space="preserve"> a framework for major water infrastructure developments.</w:t>
      </w:r>
    </w:p>
    <w:p w14:paraId="290D739F" w14:textId="77777777" w:rsidR="001054C3" w:rsidRDefault="001054C3" w:rsidP="00234FBE">
      <w:pPr>
        <w:pStyle w:val="BodyText"/>
      </w:pPr>
      <w:r>
        <w:t>Finally, a renewed NWI should be the major policy vehicle for pursuing the water-related goals endorsed as part of the United Nations 2030 Agenda for Sustainable Development.</w:t>
      </w:r>
    </w:p>
    <w:p w14:paraId="04197009" w14:textId="77777777" w:rsidR="001054C3" w:rsidRPr="00BC2813" w:rsidRDefault="001054C3" w:rsidP="00234FBE">
      <w:pPr>
        <w:pStyle w:val="Heading3"/>
        <w:spacing w:before="480"/>
      </w:pPr>
      <w:r>
        <w:t>Effective g</w:t>
      </w:r>
      <w:r w:rsidRPr="00BC2813">
        <w:t>overnance arrangements for a renewed NWI</w:t>
      </w:r>
    </w:p>
    <w:p w14:paraId="5EEBB181" w14:textId="77777777" w:rsidR="001054C3" w:rsidRPr="00BC2813" w:rsidRDefault="001054C3" w:rsidP="00234FBE">
      <w:pPr>
        <w:pStyle w:val="BodyText"/>
        <w:rPr>
          <w:spacing w:val="-2"/>
        </w:rPr>
      </w:pPr>
      <w:r>
        <w:t xml:space="preserve">The governance arrangements established for the NWI in 2004 were key to progress with implementation in its early years, but </w:t>
      </w:r>
      <w:r w:rsidRPr="00BC2813">
        <w:t xml:space="preserve">have been significantly eroded </w:t>
      </w:r>
      <w:r>
        <w:t>in</w:t>
      </w:r>
      <w:r w:rsidRPr="00BC2813">
        <w:t xml:space="preserve"> </w:t>
      </w:r>
      <w:r>
        <w:t>recent years</w:t>
      </w:r>
      <w:r w:rsidRPr="00BC2813">
        <w:t xml:space="preserve">. </w:t>
      </w:r>
      <w:r>
        <w:t>The relevant Ministerial Council has been disbanded, the National Water Commission has been abolished and jurisdictions no longer prepare rolling implementation plans.</w:t>
      </w:r>
      <w:r w:rsidRPr="00BC2813">
        <w:t xml:space="preserve"> A </w:t>
      </w:r>
      <w:r>
        <w:t>renewed NWI needs to include a</w:t>
      </w:r>
      <w:r w:rsidRPr="00BC2813">
        <w:t xml:space="preserve"> strengthened architecture that</w:t>
      </w:r>
      <w:r>
        <w:t>:</w:t>
      </w:r>
      <w:r w:rsidRPr="00BC2813">
        <w:t xml:space="preserve"> </w:t>
      </w:r>
      <w:r>
        <w:t xml:space="preserve">transparently </w:t>
      </w:r>
      <w:r w:rsidRPr="00BC2813">
        <w:t xml:space="preserve">emphasises the importance of government leadership </w:t>
      </w:r>
      <w:r>
        <w:t xml:space="preserve">on, </w:t>
      </w:r>
      <w:r w:rsidRPr="00BC2813">
        <w:t>and commitment</w:t>
      </w:r>
      <w:r>
        <w:t xml:space="preserve"> to, national water policy;</w:t>
      </w:r>
      <w:r w:rsidRPr="00BC2813">
        <w:t xml:space="preserve"> </w:t>
      </w:r>
      <w:r>
        <w:t>build</w:t>
      </w:r>
      <w:r w:rsidRPr="00BC2813">
        <w:t>s confidence in reform effort</w:t>
      </w:r>
      <w:r>
        <w:t>;</w:t>
      </w:r>
      <w:r w:rsidRPr="00BC2813">
        <w:t xml:space="preserve"> and </w:t>
      </w:r>
      <w:r>
        <w:t>supports</w:t>
      </w:r>
      <w:r w:rsidRPr="00BC2813">
        <w:t xml:space="preserve"> </w:t>
      </w:r>
      <w:r w:rsidRPr="00BC2813">
        <w:rPr>
          <w:spacing w:val="-2"/>
        </w:rPr>
        <w:t>interjurisdictional cooperation. This should include:</w:t>
      </w:r>
    </w:p>
    <w:p w14:paraId="13059076" w14:textId="77777777" w:rsidR="001054C3" w:rsidRPr="00BC2813" w:rsidRDefault="001054C3" w:rsidP="00234FBE">
      <w:pPr>
        <w:pStyle w:val="ListBullet"/>
        <w:spacing w:before="100"/>
      </w:pPr>
      <w:r>
        <w:t>w</w:t>
      </w:r>
      <w:r w:rsidRPr="00BC2813">
        <w:t xml:space="preserve">ater </w:t>
      </w:r>
      <w:r>
        <w:t>m</w:t>
      </w:r>
      <w:r w:rsidRPr="00BC2813">
        <w:t xml:space="preserve">inisters </w:t>
      </w:r>
      <w:r w:rsidRPr="00BC2813" w:rsidDel="009B6CEA">
        <w:t xml:space="preserve">convening </w:t>
      </w:r>
      <w:r>
        <w:t xml:space="preserve">periodically </w:t>
      </w:r>
      <w:r w:rsidRPr="00BC2813">
        <w:t>to oversee development of a renewed NWI and to consider and act upon advice that comes out of reviews</w:t>
      </w:r>
      <w:r>
        <w:t xml:space="preserve"> of the agreement</w:t>
      </w:r>
    </w:p>
    <w:p w14:paraId="5783B63D" w14:textId="77777777" w:rsidR="001054C3" w:rsidRPr="00BC2813" w:rsidRDefault="001054C3" w:rsidP="00234FBE">
      <w:pPr>
        <w:pStyle w:val="ListBullet"/>
        <w:spacing w:before="100"/>
      </w:pPr>
      <w:r w:rsidRPr="00BC2813">
        <w:t>the preparation of three</w:t>
      </w:r>
      <w:r w:rsidRPr="00BC2813">
        <w:noBreakHyphen/>
        <w:t>year rolling implementation programs by jurisdictions describing how they aim to achieve the outcomes set out in the renewed agreement</w:t>
      </w:r>
    </w:p>
    <w:p w14:paraId="72F324EA" w14:textId="77777777" w:rsidR="001054C3" w:rsidRPr="00BC2813" w:rsidRDefault="001054C3" w:rsidP="00234FBE">
      <w:pPr>
        <w:pStyle w:val="ListBullet"/>
        <w:spacing w:before="100"/>
      </w:pPr>
      <w:r w:rsidRPr="00BC2813">
        <w:t>independent triennial assessments and reporting on the adequacy of and progress against these work programs</w:t>
      </w:r>
      <w:r>
        <w:t>,</w:t>
      </w:r>
      <w:r w:rsidRPr="00BC2813">
        <w:t xml:space="preserve"> as well as the effectiveness of the broader agreement</w:t>
      </w:r>
    </w:p>
    <w:p w14:paraId="74DC0E47" w14:textId="77777777" w:rsidR="001054C3" w:rsidRPr="00BC2813" w:rsidRDefault="001054C3" w:rsidP="00234FBE">
      <w:pPr>
        <w:pStyle w:val="ListBullet"/>
        <w:spacing w:before="100"/>
      </w:pPr>
      <w:r w:rsidRPr="00BC2813">
        <w:t>a comprehensive independent policy review of the agreement every 10 years</w:t>
      </w:r>
    </w:p>
    <w:p w14:paraId="391CC1F0" w14:textId="77777777" w:rsidR="001054C3" w:rsidRPr="00BC2813" w:rsidRDefault="001054C3" w:rsidP="00234FBE">
      <w:pPr>
        <w:pStyle w:val="ListBullet"/>
        <w:spacing w:before="100"/>
        <w:rPr>
          <w:i/>
          <w:iCs/>
        </w:rPr>
      </w:pPr>
      <w:r w:rsidRPr="00BC2813">
        <w:t xml:space="preserve">ongoing </w:t>
      </w:r>
      <w:r>
        <w:t>and transparent oversight</w:t>
      </w:r>
      <w:r w:rsidRPr="00BC2813">
        <w:t xml:space="preserve"> of the agreement by the </w:t>
      </w:r>
      <w:r>
        <w:t xml:space="preserve">current </w:t>
      </w:r>
      <w:r w:rsidRPr="00BC2813">
        <w:t>multi</w:t>
      </w:r>
      <w:r>
        <w:noBreakHyphen/>
      </w:r>
      <w:r w:rsidRPr="00BC2813">
        <w:t>jurisdictional National Water Reform Committee including joint work on issues of collective interest.</w:t>
      </w:r>
    </w:p>
    <w:p w14:paraId="1F48EFAD" w14:textId="77777777" w:rsidR="001054C3" w:rsidRPr="00BC2813" w:rsidRDefault="001054C3" w:rsidP="00234FBE">
      <w:pPr>
        <w:pStyle w:val="Heading3"/>
        <w:spacing w:before="480"/>
      </w:pPr>
      <w:r>
        <w:t xml:space="preserve">Detailed guidance for each policy </w:t>
      </w:r>
      <w:r w:rsidRPr="00BC2813">
        <w:t>element</w:t>
      </w:r>
    </w:p>
    <w:p w14:paraId="4C1F915F" w14:textId="77777777" w:rsidR="001054C3" w:rsidRPr="00235BA4" w:rsidRDefault="001054C3" w:rsidP="00234FBE">
      <w:pPr>
        <w:pStyle w:val="BodyText"/>
        <w:rPr>
          <w:spacing w:val="-2"/>
        </w:rPr>
      </w:pPr>
      <w:r w:rsidRPr="00235BA4">
        <w:rPr>
          <w:spacing w:val="-2"/>
        </w:rPr>
        <w:t>The following discussion outlines the Commission’s advice on major policy directions for each of the proposed elements of a renewed NWI. A compilation of the detailed advice is available in a companion document, and summaries of findings and recommendations (table 1),</w:t>
      </w:r>
      <w:r w:rsidRPr="00235BA4" w:rsidDel="00BE281C">
        <w:rPr>
          <w:spacing w:val="-2"/>
        </w:rPr>
        <w:t xml:space="preserve"> </w:t>
      </w:r>
      <w:r w:rsidRPr="00235BA4">
        <w:rPr>
          <w:spacing w:val="-2"/>
        </w:rPr>
        <w:t>and NWI renewal advice (table 2) are presented at the end of this executive summary.</w:t>
      </w:r>
    </w:p>
    <w:p w14:paraId="7218B4F6" w14:textId="77777777" w:rsidR="001054C3" w:rsidRPr="00BC2813" w:rsidRDefault="001054C3" w:rsidP="00234FBE">
      <w:pPr>
        <w:pStyle w:val="Heading4"/>
        <w:spacing w:before="360"/>
      </w:pPr>
      <w:r w:rsidRPr="00BC2813">
        <w:t>Water entitlements and planning</w:t>
      </w:r>
    </w:p>
    <w:p w14:paraId="38E33E33" w14:textId="77777777" w:rsidR="001054C3" w:rsidRPr="00BC2813" w:rsidRDefault="001054C3" w:rsidP="00234FBE">
      <w:pPr>
        <w:pStyle w:val="BodyText"/>
      </w:pPr>
      <w:r w:rsidRPr="00BC2813">
        <w:t>The fundamental components of the NWI framework are largely in place. However, water entitlement</w:t>
      </w:r>
      <w:r>
        <w:t>s</w:t>
      </w:r>
      <w:r w:rsidRPr="00BC2813">
        <w:t xml:space="preserve"> frameworks need to consider all key water uses, including </w:t>
      </w:r>
      <w:r>
        <w:t>those by</w:t>
      </w:r>
      <w:r w:rsidRPr="00BC2813">
        <w:t xml:space="preserve"> mineral</w:t>
      </w:r>
      <w:r>
        <w:t>s</w:t>
      </w:r>
      <w:r w:rsidRPr="00BC2813">
        <w:t xml:space="preserve"> and petroleum industries and interception activities (</w:t>
      </w:r>
      <w:r>
        <w:t>those that prevent surface and sub</w:t>
      </w:r>
      <w:r>
        <w:noBreakHyphen/>
        <w:t xml:space="preserve">surface water from flowing into a waterway, lake, wetland, aquifer, dam or reservoir, </w:t>
      </w:r>
      <w:r w:rsidRPr="00BC2813">
        <w:t>for example, farm dams and</w:t>
      </w:r>
      <w:r w:rsidRPr="00BC2813" w:rsidDel="00806157">
        <w:t xml:space="preserve"> </w:t>
      </w:r>
      <w:r w:rsidRPr="00BC2813">
        <w:t>floodplain harvesting)</w:t>
      </w:r>
      <w:r>
        <w:t>.</w:t>
      </w:r>
      <w:r w:rsidRPr="00BC2813">
        <w:t xml:space="preserve"> </w:t>
      </w:r>
      <w:r>
        <w:t>They</w:t>
      </w:r>
      <w:r w:rsidRPr="00BC2813">
        <w:t xml:space="preserve"> </w:t>
      </w:r>
      <w:r>
        <w:t xml:space="preserve">also </w:t>
      </w:r>
      <w:r w:rsidRPr="00BC2813">
        <w:t>need to consider all water sources</w:t>
      </w:r>
      <w:r>
        <w:t xml:space="preserve"> —</w:t>
      </w:r>
      <w:r w:rsidRPr="00BC2813">
        <w:t xml:space="preserve"> including alternatives such as stormwater and recycled water</w:t>
      </w:r>
      <w:r>
        <w:t xml:space="preserve"> — in ways that are consistent and fit for purpose</w:t>
      </w:r>
      <w:r w:rsidRPr="00BC2813">
        <w:t>.</w:t>
      </w:r>
    </w:p>
    <w:p w14:paraId="00D5F5AF" w14:textId="77777777" w:rsidR="001054C3" w:rsidRDefault="001054C3" w:rsidP="00234FBE">
      <w:pPr>
        <w:pStyle w:val="BodyText"/>
      </w:pPr>
      <w:r w:rsidRPr="00BC2813">
        <w:lastRenderedPageBreak/>
        <w:t>Water planning processes need to be upgraded to best practice</w:t>
      </w:r>
      <w:r>
        <w:t xml:space="preserve"> (that is, they must be fit for purpose, recognise the needs of </w:t>
      </w:r>
      <w:r w:rsidRPr="007D6538">
        <w:t>Aboriginal</w:t>
      </w:r>
      <w:r>
        <w:t xml:space="preserve"> and Torres Strait Islander people, clearly specify environmental objectives and outcomes, be based on an assessment of the trade</w:t>
      </w:r>
      <w:r>
        <w:noBreakHyphen/>
        <w:t>offs between environmental, social and economic outcomes, involve appropriate engagement with stakeholders and communities, and be independently reviewed)</w:t>
      </w:r>
      <w:r w:rsidRPr="00BC2813">
        <w:t xml:space="preserve">. And they need to have a strong focus on dealing with climate change. This should include provisions in water plans to deal with water scarcity arising from drought, </w:t>
      </w:r>
      <w:r>
        <w:t xml:space="preserve">and </w:t>
      </w:r>
      <w:r w:rsidRPr="00BC2813">
        <w:t>incorporat</w:t>
      </w:r>
      <w:r>
        <w:t>e</w:t>
      </w:r>
      <w:r w:rsidRPr="00BC2813">
        <w:t xml:space="preserve"> priorities for water sharing and actions relating to meeting critical human and environmental needs.</w:t>
      </w:r>
    </w:p>
    <w:p w14:paraId="2B3EF52B" w14:textId="77777777" w:rsidR="001054C3" w:rsidRPr="00BC2813" w:rsidRDefault="001054C3" w:rsidP="00234FBE">
      <w:pPr>
        <w:pStyle w:val="BodyText"/>
        <w:rPr>
          <w:lang w:val="en-GB"/>
        </w:rPr>
      </w:pPr>
      <w:r w:rsidRPr="00BC2813">
        <w:t>In relatively undeveloped and developing water systems, there is an opportunity to set consumptive and environmental shares in ways that manage the risk of future resource reductions</w:t>
      </w:r>
      <w:r>
        <w:t xml:space="preserve"> as a result of climate change</w:t>
      </w:r>
      <w:r w:rsidRPr="00BC2813">
        <w:t xml:space="preserve">. And in </w:t>
      </w:r>
      <w:r>
        <w:t>fully</w:t>
      </w:r>
      <w:r w:rsidRPr="00BC2813">
        <w:t xml:space="preserve"> developed systems, </w:t>
      </w:r>
      <w:r w:rsidRPr="00317E89">
        <w:t>a process for rebalancing between environmental and consumptive uses as a result of climate change</w:t>
      </w:r>
      <w:r>
        <w:t>, with new environmental, consumptive and cultural objectives, should be developed. As part of this</w:t>
      </w:r>
      <w:r w:rsidRPr="00BC2813">
        <w:t xml:space="preserve">, triggers </w:t>
      </w:r>
      <w:r>
        <w:t xml:space="preserve">(for example based on hydrological or environmental conditions) </w:t>
      </w:r>
      <w:r w:rsidRPr="00BC2813">
        <w:t xml:space="preserve">could be identified that indicate when there is a demonstrable </w:t>
      </w:r>
      <w:r w:rsidRPr="00BC2813">
        <w:rPr>
          <w:lang w:val="en-GB"/>
        </w:rPr>
        <w:t>need to rebalance environmental and consumptive uses.</w:t>
      </w:r>
      <w:r>
        <w:rPr>
          <w:lang w:val="en-GB"/>
        </w:rPr>
        <w:t xml:space="preserve"> Any trigger should be </w:t>
      </w:r>
      <w:r>
        <w:t xml:space="preserve">transparent, </w:t>
      </w:r>
      <w:r w:rsidRPr="001B2440">
        <w:rPr>
          <w:lang w:val="en-GB"/>
        </w:rPr>
        <w:t>scientifically robust, evidence based and provide certainty for water users</w:t>
      </w:r>
      <w:r>
        <w:rPr>
          <w:lang w:val="en-GB"/>
        </w:rPr>
        <w:t>. When reached, it would set in train a process that includes reviewing the water plan’s objectives and outcomes (and reaching agreement</w:t>
      </w:r>
      <w:r w:rsidRPr="00482A0E">
        <w:rPr>
          <w:lang w:val="en-GB"/>
        </w:rPr>
        <w:t xml:space="preserve"> to either retain or change</w:t>
      </w:r>
      <w:r>
        <w:rPr>
          <w:lang w:val="en-GB"/>
        </w:rPr>
        <w:t xml:space="preserve"> them based on community engagement and </w:t>
      </w:r>
      <w:r w:rsidRPr="00E772DF">
        <w:rPr>
          <w:lang w:val="en-GB"/>
        </w:rPr>
        <w:t>a clear cost</w:t>
      </w:r>
      <w:r>
        <w:rPr>
          <w:lang w:val="en-GB"/>
        </w:rPr>
        <w:t>–</w:t>
      </w:r>
      <w:r w:rsidRPr="00E772DF">
        <w:rPr>
          <w:lang w:val="en-GB"/>
        </w:rPr>
        <w:t>benefit analysis</w:t>
      </w:r>
      <w:r>
        <w:rPr>
          <w:lang w:val="en-GB"/>
        </w:rPr>
        <w:t xml:space="preserve">), identifying options to </w:t>
      </w:r>
      <w:r w:rsidRPr="00482A0E">
        <w:rPr>
          <w:lang w:val="en-GB"/>
        </w:rPr>
        <w:t xml:space="preserve">meet the new objectives and </w:t>
      </w:r>
      <w:r>
        <w:rPr>
          <w:lang w:val="en-GB"/>
        </w:rPr>
        <w:t xml:space="preserve">agreed </w:t>
      </w:r>
      <w:r w:rsidRPr="00482A0E">
        <w:rPr>
          <w:lang w:val="en-GB"/>
        </w:rPr>
        <w:t>outcomes</w:t>
      </w:r>
      <w:r>
        <w:rPr>
          <w:lang w:val="en-GB"/>
        </w:rPr>
        <w:t xml:space="preserve"> and </w:t>
      </w:r>
      <w:r w:rsidRPr="0084655A">
        <w:rPr>
          <w:lang w:val="en-GB"/>
        </w:rPr>
        <w:t>agreeing a mechanism to transition to the new balance</w:t>
      </w:r>
      <w:r>
        <w:rPr>
          <w:lang w:val="en-GB"/>
        </w:rPr>
        <w:t>.</w:t>
      </w:r>
    </w:p>
    <w:p w14:paraId="29504E1D" w14:textId="77777777" w:rsidR="001054C3" w:rsidRPr="00BC2813" w:rsidRDefault="001054C3" w:rsidP="00234FBE">
      <w:pPr>
        <w:pStyle w:val="Heading4"/>
        <w:spacing w:before="360"/>
        <w:rPr>
          <w:lang w:val="en-GB"/>
        </w:rPr>
      </w:pPr>
      <w:r w:rsidRPr="00BC2813">
        <w:rPr>
          <w:lang w:val="en-GB"/>
        </w:rPr>
        <w:t>Water trading and markets</w:t>
      </w:r>
    </w:p>
    <w:p w14:paraId="08D16533" w14:textId="77777777" w:rsidR="001054C3" w:rsidRPr="00BC2813" w:rsidRDefault="001054C3" w:rsidP="00234FBE">
      <w:pPr>
        <w:pStyle w:val="BodyText"/>
      </w:pPr>
      <w:r w:rsidRPr="00BC2813">
        <w:rPr>
          <w:lang w:val="en-GB"/>
        </w:rPr>
        <w:t xml:space="preserve">Water trading and markets </w:t>
      </w:r>
      <w:r>
        <w:rPr>
          <w:lang w:val="en-GB"/>
        </w:rPr>
        <w:t>increase the flexibility of how and where water is used and</w:t>
      </w:r>
      <w:r w:rsidRPr="00BC2813">
        <w:rPr>
          <w:lang w:val="en-GB"/>
        </w:rPr>
        <w:t xml:space="preserve"> will become increasingly important in enabling entitlement holders to adapt to seasonal variability and climate change. </w:t>
      </w:r>
      <w:r w:rsidRPr="00BC2813">
        <w:t xml:space="preserve">The addition of principles that support </w:t>
      </w:r>
      <w:r>
        <w:t>fit</w:t>
      </w:r>
      <w:r>
        <w:noBreakHyphen/>
        <w:t>for</w:t>
      </w:r>
      <w:r>
        <w:noBreakHyphen/>
        <w:t>purpose</w:t>
      </w:r>
      <w:r w:rsidRPr="00BC2813">
        <w:t xml:space="preserve"> governance, regulatory, operational and informational arrangements through NWI renewal would build on the 30 years of trading experience in the MDB, providing stronger foundations for developing markets elsewhere in Australia.</w:t>
      </w:r>
    </w:p>
    <w:p w14:paraId="64240943" w14:textId="77777777" w:rsidR="001054C3" w:rsidRPr="00BC2813" w:rsidRDefault="001054C3" w:rsidP="00234FBE">
      <w:pPr>
        <w:pStyle w:val="Heading4"/>
        <w:spacing w:before="360"/>
      </w:pPr>
      <w:r w:rsidRPr="00BC2813">
        <w:t>Environmental management</w:t>
      </w:r>
    </w:p>
    <w:p w14:paraId="55844C95" w14:textId="77777777" w:rsidR="001054C3" w:rsidRPr="00BC2813" w:rsidRDefault="001054C3" w:rsidP="00234FBE">
      <w:pPr>
        <w:pStyle w:val="BodyText"/>
      </w:pPr>
      <w:r>
        <w:t>F</w:t>
      </w:r>
      <w:r w:rsidRPr="00BC2813">
        <w:t xml:space="preserve">urther work on rebalancing overallocated systems is required. </w:t>
      </w:r>
      <w:r>
        <w:t>And</w:t>
      </w:r>
      <w:r w:rsidRPr="00BC2813" w:rsidDel="00B504F3">
        <w:t xml:space="preserve"> </w:t>
      </w:r>
      <w:r>
        <w:t>t</w:t>
      </w:r>
      <w:r w:rsidRPr="00BC2813">
        <w:t>he next phase of reform should provide the policy principles and institutional arrangements to make the best use of environmental water to achieve agreed (and where possible, better) environmental outcomes. This includes clearly specifying environmental objectives and outcomes</w:t>
      </w:r>
      <w:r>
        <w:t>;</w:t>
      </w:r>
      <w:r w:rsidRPr="00BC2813">
        <w:t xml:space="preserve"> ensuring adequate low</w:t>
      </w:r>
      <w:r>
        <w:noBreakHyphen/>
      </w:r>
      <w:r w:rsidRPr="00BC2813">
        <w:t>flow provisions</w:t>
      </w:r>
      <w:r>
        <w:t>;</w:t>
      </w:r>
      <w:r w:rsidRPr="00BC2813">
        <w:t xml:space="preserve"> integrating environmental water management with waterway and catchment management</w:t>
      </w:r>
      <w:r>
        <w:t>;</w:t>
      </w:r>
      <w:r w:rsidRPr="00BC2813">
        <w:t xml:space="preserve"> identifying institutional responsibility for waterway management</w:t>
      </w:r>
      <w:r>
        <w:t>;</w:t>
      </w:r>
      <w:r w:rsidRPr="00BC2813">
        <w:t xml:space="preserve"> </w:t>
      </w:r>
      <w:r>
        <w:t xml:space="preserve">creating </w:t>
      </w:r>
      <w:r w:rsidRPr="00BC2813">
        <w:t>adaptive monitoring programs</w:t>
      </w:r>
      <w:r>
        <w:t>;</w:t>
      </w:r>
      <w:r w:rsidRPr="00BC2813">
        <w:t xml:space="preserve"> and </w:t>
      </w:r>
      <w:r>
        <w:t xml:space="preserve">developing </w:t>
      </w:r>
      <w:r w:rsidRPr="00BC2813">
        <w:t>clear processes to adapt environmental management objectives as changes in climate necessitate.</w:t>
      </w:r>
    </w:p>
    <w:p w14:paraId="4F7ACE3D" w14:textId="77777777" w:rsidR="001054C3" w:rsidRPr="00BC2813" w:rsidRDefault="001054C3" w:rsidP="00234FBE">
      <w:pPr>
        <w:pStyle w:val="Heading4"/>
        <w:spacing w:before="360"/>
      </w:pPr>
      <w:r w:rsidRPr="00BC2813">
        <w:lastRenderedPageBreak/>
        <w:t>Securing Aboriginal and Torres Strait Islander people’s interests in water</w:t>
      </w:r>
    </w:p>
    <w:p w14:paraId="3546D965" w14:textId="77777777" w:rsidR="001054C3" w:rsidRPr="00BC2813" w:rsidRDefault="001054C3" w:rsidP="00234FBE">
      <w:pPr>
        <w:pStyle w:val="BodyText"/>
      </w:pPr>
      <w:r>
        <w:t>This</w:t>
      </w:r>
      <w:r w:rsidRPr="00BC2813">
        <w:t xml:space="preserve"> new </w:t>
      </w:r>
      <w:r>
        <w:t xml:space="preserve">NWI </w:t>
      </w:r>
      <w:r w:rsidRPr="00BC2813">
        <w:t xml:space="preserve">element should be developed by the </w:t>
      </w:r>
      <w:r>
        <w:t xml:space="preserve">recently formed national </w:t>
      </w:r>
      <w:r w:rsidRPr="00BC2813">
        <w:t xml:space="preserve">Committee on </w:t>
      </w:r>
      <w:r>
        <w:t>Aboriginal</w:t>
      </w:r>
      <w:r w:rsidRPr="00BC2813">
        <w:t xml:space="preserve"> Water Interests</w:t>
      </w:r>
      <w:r>
        <w:t xml:space="preserve">. To give issues associated with Aboriginal and Torres Strait Islander people’s interests in water the status in national water policy making implied by the National Agreement on Closing the Gap, the </w:t>
      </w:r>
      <w:r w:rsidDel="00AE5413">
        <w:t>c</w:t>
      </w:r>
      <w:r>
        <w:t>ommittee should report directly to water ministers overseeing the development of the renewed NWI</w:t>
      </w:r>
      <w:r w:rsidRPr="00BC2813">
        <w:t xml:space="preserve">. </w:t>
      </w:r>
      <w:r>
        <w:t>The new element</w:t>
      </w:r>
      <w:r w:rsidRPr="00BC2813">
        <w:t xml:space="preserve"> should include advice on water management measures to achieve cultural and economic outcomes for Aboriginal and Torres Strait Islander people and the inland waters and service delivery targets in the 2020 National Agreement on Closing the Gap. The Commission has provided some views on these issues for consideration by the </w:t>
      </w:r>
      <w:r w:rsidDel="004D1202">
        <w:t>c</w:t>
      </w:r>
      <w:r w:rsidRPr="00BC2813">
        <w:t>ommittee.</w:t>
      </w:r>
    </w:p>
    <w:p w14:paraId="7A0ECC5B" w14:textId="77777777" w:rsidR="001054C3" w:rsidRPr="00BC2813" w:rsidRDefault="001054C3" w:rsidP="00234FBE">
      <w:pPr>
        <w:pStyle w:val="Heading4"/>
        <w:spacing w:before="360"/>
      </w:pPr>
      <w:r w:rsidRPr="00BC2813">
        <w:t>Ensuring the integrity of water resource management</w:t>
      </w:r>
    </w:p>
    <w:p w14:paraId="24C2C901" w14:textId="77777777" w:rsidR="001054C3" w:rsidRPr="00235BA4" w:rsidRDefault="001054C3" w:rsidP="00234FBE">
      <w:pPr>
        <w:pStyle w:val="BodyText"/>
        <w:keepNext/>
        <w:rPr>
          <w:spacing w:val="-2"/>
        </w:rPr>
      </w:pPr>
      <w:r w:rsidRPr="00235BA4">
        <w:rPr>
          <w:spacing w:val="-2"/>
        </w:rPr>
        <w:t>Recent experience in the MDB has shown the importance of developing and maintaining community trust in water management. This requires more than water accounting. The current element of the NWI needs to be broadened to support the regular provision of credible and reliable information and institutional processes. It should provide assurance that:</w:t>
      </w:r>
    </w:p>
    <w:p w14:paraId="5FA5EE46" w14:textId="77777777" w:rsidR="001054C3" w:rsidRPr="00953713" w:rsidRDefault="001054C3" w:rsidP="00234FBE">
      <w:pPr>
        <w:pStyle w:val="ListBullet"/>
      </w:pPr>
      <w:r w:rsidRPr="00BC2813">
        <w:t>entitlement holders are operating in line with their rights</w:t>
      </w:r>
      <w:r>
        <w:t>;</w:t>
      </w:r>
      <w:r w:rsidRPr="00BC2813">
        <w:t xml:space="preserve"> and water use is consistent with established rights and water plans — this requires </w:t>
      </w:r>
      <w:r w:rsidRPr="00953713">
        <w:t>fit</w:t>
      </w:r>
      <w:r w:rsidRPr="00953713">
        <w:noBreakHyphen/>
        <w:t>for</w:t>
      </w:r>
      <w:r w:rsidRPr="00953713">
        <w:noBreakHyphen/>
        <w:t xml:space="preserve">purpose </w:t>
      </w:r>
      <w:r w:rsidRPr="00BC2813">
        <w:t xml:space="preserve">metering and measuring of water take, reporting </w:t>
      </w:r>
      <w:r>
        <w:t>throu</w:t>
      </w:r>
      <w:r w:rsidRPr="00953713">
        <w:t>gh water registers, and effective compliance and enforcement systems</w:t>
      </w:r>
    </w:p>
    <w:p w14:paraId="7BB2D522" w14:textId="77777777" w:rsidR="001054C3" w:rsidRPr="00BC2813" w:rsidRDefault="001054C3" w:rsidP="00234FBE">
      <w:pPr>
        <w:pStyle w:val="ListBullet"/>
      </w:pPr>
      <w:r w:rsidRPr="00953713">
        <w:t>water systems a</w:t>
      </w:r>
      <w:r w:rsidRPr="00BC2813">
        <w:t xml:space="preserve">re being managed to best effect for all users, </w:t>
      </w:r>
      <w:r>
        <w:t>operations are transparent and credible and accessible</w:t>
      </w:r>
      <w:r w:rsidRPr="00BC2813">
        <w:t xml:space="preserve"> information </w:t>
      </w:r>
      <w:r>
        <w:t>is provided</w:t>
      </w:r>
      <w:r w:rsidRPr="00BC2813">
        <w:t>.</w:t>
      </w:r>
    </w:p>
    <w:p w14:paraId="16A77429" w14:textId="77777777" w:rsidR="001054C3" w:rsidRPr="00BC2813" w:rsidRDefault="001054C3" w:rsidP="00234FBE">
      <w:pPr>
        <w:pStyle w:val="Heading4"/>
        <w:spacing w:before="360"/>
      </w:pPr>
      <w:r>
        <w:t>P</w:t>
      </w:r>
      <w:r w:rsidRPr="00BC2813">
        <w:t>ricing</w:t>
      </w:r>
      <w:r>
        <w:t xml:space="preserve"> and institutional arrangements</w:t>
      </w:r>
    </w:p>
    <w:p w14:paraId="312017A5" w14:textId="77777777" w:rsidR="001054C3" w:rsidRPr="00BC2813" w:rsidRDefault="001054C3" w:rsidP="00234FBE">
      <w:pPr>
        <w:pStyle w:val="BodyText"/>
        <w:keepNext/>
      </w:pPr>
      <w:r w:rsidRPr="00BC2813">
        <w:t>Many of the relevant principles in the NWI remain sound — particularly, cost</w:t>
      </w:r>
      <w:r w:rsidRPr="00BC2813">
        <w:noBreakHyphen/>
        <w:t xml:space="preserve">reflective pricing and </w:t>
      </w:r>
      <w:r>
        <w:t xml:space="preserve">the </w:t>
      </w:r>
      <w:r w:rsidRPr="00BC2813">
        <w:t>institutional separation</w:t>
      </w:r>
      <w:r>
        <w:t xml:space="preserve"> of </w:t>
      </w:r>
      <w:r w:rsidRPr="00E41751">
        <w:t>policy making, service delivery and regulation</w:t>
      </w:r>
      <w:r w:rsidRPr="00BC2813">
        <w:t xml:space="preserve">. However, there is scope to expand </w:t>
      </w:r>
      <w:r>
        <w:t>those principles:</w:t>
      </w:r>
      <w:r w:rsidRPr="00BC2813">
        <w:t xml:space="preserve"> </w:t>
      </w:r>
      <w:r>
        <w:t>a g</w:t>
      </w:r>
      <w:r w:rsidRPr="00BC2813">
        <w:t>reater commitment to independent economic regulation (including national principles</w:t>
      </w:r>
      <w:r>
        <w:t xml:space="preserve"> for best practice</w:t>
      </w:r>
      <w:r w:rsidRPr="00BC2813">
        <w:t xml:space="preserve">) is needed, along with enhancements to pricing principles (including </w:t>
      </w:r>
      <w:r>
        <w:t xml:space="preserve">treatment of </w:t>
      </w:r>
      <w:r w:rsidRPr="00BC2813">
        <w:t>stormwater management</w:t>
      </w:r>
      <w:r>
        <w:t xml:space="preserve"> and</w:t>
      </w:r>
      <w:r w:rsidRPr="00BC2813">
        <w:t xml:space="preserve"> developer charges</w:t>
      </w:r>
      <w:r>
        <w:t>)</w:t>
      </w:r>
      <w:r w:rsidRPr="00BC2813" w:rsidDel="00983EA8">
        <w:t xml:space="preserve"> and </w:t>
      </w:r>
      <w:r>
        <w:t>a</w:t>
      </w:r>
      <w:r w:rsidRPr="00BC2813">
        <w:t xml:space="preserve"> recommitment to monitor </w:t>
      </w:r>
      <w:r>
        <w:t xml:space="preserve">and </w:t>
      </w:r>
      <w:r w:rsidRPr="00BC2813">
        <w:t>report</w:t>
      </w:r>
      <w:r>
        <w:t xml:space="preserve"> on</w:t>
      </w:r>
      <w:r w:rsidRPr="00BC2813" w:rsidDel="000139D9">
        <w:t xml:space="preserve"> service </w:t>
      </w:r>
      <w:r>
        <w:t>provider performance (including financial and service delivery outcomes)</w:t>
      </w:r>
      <w:r w:rsidRPr="00BC2813">
        <w:t>.</w:t>
      </w:r>
    </w:p>
    <w:p w14:paraId="3737EB1C" w14:textId="77777777" w:rsidR="001054C3" w:rsidRPr="00BC2813" w:rsidRDefault="001054C3" w:rsidP="00234FBE">
      <w:pPr>
        <w:pStyle w:val="Heading4"/>
        <w:spacing w:before="360"/>
      </w:pPr>
      <w:r w:rsidRPr="00BC2813">
        <w:t>Urban water services</w:t>
      </w:r>
    </w:p>
    <w:p w14:paraId="774366A9" w14:textId="77777777" w:rsidR="001054C3" w:rsidRDefault="001054C3" w:rsidP="00234FBE">
      <w:pPr>
        <w:pStyle w:val="BodyText"/>
      </w:pPr>
      <w:r w:rsidRPr="00BC2813">
        <w:t>A renewed NWI could establish a standard for best</w:t>
      </w:r>
      <w:r w:rsidRPr="00BC2813">
        <w:noBreakHyphen/>
        <w:t>practice urban water system planning, including adoption of integrated management of water supply, wastewater and stormwater</w:t>
      </w:r>
      <w:r>
        <w:t xml:space="preserve"> services</w:t>
      </w:r>
      <w:r w:rsidRPr="00BC2813">
        <w:t xml:space="preserve">. This </w:t>
      </w:r>
      <w:r>
        <w:t>should</w:t>
      </w:r>
      <w:r w:rsidRPr="00BC2813">
        <w:t xml:space="preserve"> </w:t>
      </w:r>
      <w:r>
        <w:t xml:space="preserve">be guided by </w:t>
      </w:r>
      <w:r w:rsidRPr="00BC2813">
        <w:t>community</w:t>
      </w:r>
      <w:r>
        <w:noBreakHyphen/>
      </w:r>
      <w:r w:rsidRPr="00BC2813">
        <w:t>driven objectives for water security, service standards, urban amenity and the environment. There also need</w:t>
      </w:r>
      <w:r>
        <w:t>s</w:t>
      </w:r>
      <w:r w:rsidRPr="00BC2813">
        <w:t xml:space="preserve"> to be clear roles and responsibilities for decision making, and processes and incentives to facilitate co</w:t>
      </w:r>
      <w:r>
        <w:t>ordination</w:t>
      </w:r>
      <w:r w:rsidRPr="00BC2813">
        <w:t xml:space="preserve"> between water utilities, governments, regulators, developers and land planners in </w:t>
      </w:r>
      <w:r>
        <w:t xml:space="preserve">water system </w:t>
      </w:r>
      <w:r w:rsidRPr="00BC2813">
        <w:t>planning.</w:t>
      </w:r>
    </w:p>
    <w:p w14:paraId="6FC66B43" w14:textId="77777777" w:rsidR="001054C3" w:rsidRPr="00BC2813" w:rsidRDefault="001054C3" w:rsidP="00234FBE">
      <w:pPr>
        <w:pStyle w:val="BodyText"/>
        <w:rPr>
          <w:rFonts w:asciiTheme="majorBidi" w:hAnsiTheme="majorBidi" w:cstheme="majorBidi"/>
        </w:rPr>
      </w:pPr>
      <w:r w:rsidRPr="00BC2813">
        <w:lastRenderedPageBreak/>
        <w:t xml:space="preserve">Small utilities </w:t>
      </w:r>
      <w:r w:rsidRPr="00BC2813">
        <w:rPr>
          <w:rFonts w:asciiTheme="majorBidi" w:hAnsiTheme="majorBidi" w:cstheme="majorBidi"/>
        </w:rPr>
        <w:t>can face unique challenges — specific guidelines for system and contingency planning are needed for them</w:t>
      </w:r>
      <w:r>
        <w:rPr>
          <w:rFonts w:asciiTheme="majorBidi" w:hAnsiTheme="majorBidi" w:cstheme="majorBidi"/>
        </w:rPr>
        <w:t xml:space="preserve">. </w:t>
      </w:r>
      <w:r w:rsidRPr="006F0B7F">
        <w:t xml:space="preserve">State and Territory </w:t>
      </w:r>
      <w:r>
        <w:t>G</w:t>
      </w:r>
      <w:r w:rsidRPr="006F0B7F">
        <w:t xml:space="preserve">overnments should </w:t>
      </w:r>
      <w:r>
        <w:t xml:space="preserve">also </w:t>
      </w:r>
      <w:r w:rsidRPr="006F0B7F">
        <w:t>commit to defining and ensuring access to a basic level of service</w:t>
      </w:r>
      <w:r>
        <w:t xml:space="preserve"> for all Australians</w:t>
      </w:r>
      <w:r w:rsidRPr="006F0B7F">
        <w:t>,</w:t>
      </w:r>
      <w:r>
        <w:t xml:space="preserve"> including for safe and reliable drinking water. </w:t>
      </w:r>
      <w:r w:rsidRPr="00337FD8">
        <w:t xml:space="preserve">Funding </w:t>
      </w:r>
      <w:r>
        <w:t>support (via community service obligation payments)</w:t>
      </w:r>
      <w:r w:rsidRPr="00337FD8">
        <w:t xml:space="preserve"> should be targeted at ensuring this basic level of service in </w:t>
      </w:r>
      <w:r>
        <w:t xml:space="preserve">those </w:t>
      </w:r>
      <w:r w:rsidRPr="00337FD8">
        <w:t xml:space="preserve">areas where </w:t>
      </w:r>
      <w:r>
        <w:t>the cost of providing</w:t>
      </w:r>
      <w:r w:rsidRPr="00337FD8">
        <w:t xml:space="preserve"> </w:t>
      </w:r>
      <w:r>
        <w:t xml:space="preserve">that </w:t>
      </w:r>
      <w:r w:rsidRPr="00337FD8">
        <w:t xml:space="preserve">service would otherwise be </w:t>
      </w:r>
      <w:r>
        <w:t xml:space="preserve">considered </w:t>
      </w:r>
      <w:r w:rsidRPr="00337FD8">
        <w:t>unaffordable.</w:t>
      </w:r>
    </w:p>
    <w:p w14:paraId="2A0DCB93" w14:textId="77777777" w:rsidR="001054C3" w:rsidRPr="00BC2813" w:rsidRDefault="001054C3" w:rsidP="00234FBE">
      <w:pPr>
        <w:pStyle w:val="Heading4"/>
        <w:spacing w:before="360"/>
      </w:pPr>
      <w:r>
        <w:t>I</w:t>
      </w:r>
      <w:r w:rsidRPr="00BC2813">
        <w:t>nfrastructure development</w:t>
      </w:r>
    </w:p>
    <w:p w14:paraId="6E477EF9" w14:textId="77777777" w:rsidR="001054C3" w:rsidRPr="008119C4" w:rsidRDefault="001054C3" w:rsidP="00234FBE">
      <w:pPr>
        <w:pStyle w:val="BodyText"/>
        <w:rPr>
          <w:spacing w:val="-2"/>
        </w:rPr>
      </w:pPr>
      <w:r w:rsidRPr="008119C4">
        <w:rPr>
          <w:spacing w:val="-2"/>
        </w:rPr>
        <w:t>The NWI requires new and refurbished water infrastructure to be both economically viable and ecologically sustainable, with costs recovered from users in most cases. However, decision making by governments on infrastructure has not always adhered to these requirements, reflecting shortcomings in project selection processes. The NWI requirements should be retained, and the Commission has provided advice on criteria to better assess how projects comply with them. A third headline requirement — that planning processes for major infrastructure developments are culturally responsive — should be added to reflect requirements for deep engagement with Traditional Owners and protection of cultural heritage.</w:t>
      </w:r>
    </w:p>
    <w:p w14:paraId="47DEF59E" w14:textId="77777777" w:rsidR="001054C3" w:rsidRDefault="001054C3" w:rsidP="00234FBE">
      <w:pPr>
        <w:pStyle w:val="BodyText"/>
      </w:pPr>
      <w:r>
        <w:t>The case for government investment in water infrastructure is limited</w:t>
      </w:r>
      <w:r w:rsidRPr="00BC2813">
        <w:t xml:space="preserve"> </w:t>
      </w:r>
      <w:r>
        <w:t>but, f</w:t>
      </w:r>
      <w:r w:rsidRPr="00BC2813">
        <w:t>rom time to time, governments will seek to invest in water infrastructure to meet broader strategic objectives</w:t>
      </w:r>
      <w:r>
        <w:t>, such as regional development</w:t>
      </w:r>
      <w:r w:rsidRPr="00BC2813">
        <w:t xml:space="preserve">. When this occurs, good project selection is critical to ensure that these investments: are the best means of achieving those broader objectives; provide value for taxpayer funds; and avoid </w:t>
      </w:r>
      <w:r>
        <w:t>onerous</w:t>
      </w:r>
      <w:r w:rsidRPr="00BC2813">
        <w:t xml:space="preserve"> liabilities for water users. Criteria are proposed for inclusion in the renewed NWI to achieve these outcomes.</w:t>
      </w:r>
    </w:p>
    <w:p w14:paraId="4F817C40" w14:textId="77777777" w:rsidR="001054C3" w:rsidRPr="00BC2813" w:rsidRDefault="001054C3" w:rsidP="00234FBE">
      <w:pPr>
        <w:pStyle w:val="BodyText"/>
      </w:pPr>
      <w:r>
        <w:t>T</w:t>
      </w:r>
      <w:r w:rsidRPr="00BC2813">
        <w:t xml:space="preserve">he remit of current national water investment programs should be broadened to allow funding for all projects where there is a public good rationale for government involvement, such as </w:t>
      </w:r>
      <w:r>
        <w:t xml:space="preserve">on equity grounds in </w:t>
      </w:r>
      <w:r w:rsidRPr="00BC2813">
        <w:t>high</w:t>
      </w:r>
      <w:r>
        <w:noBreakHyphen/>
      </w:r>
      <w:r w:rsidRPr="00BC2813">
        <w:t>cost regional town water supply</w:t>
      </w:r>
      <w:r>
        <w:t xml:space="preserve">, rather than being limited to primary industry. </w:t>
      </w:r>
      <w:r w:rsidRPr="00BC2813">
        <w:t xml:space="preserve">Finally, </w:t>
      </w:r>
      <w:r>
        <w:t>governments</w:t>
      </w:r>
      <w:r w:rsidRPr="00BC2813">
        <w:t xml:space="preserve"> should </w:t>
      </w:r>
      <w:r>
        <w:t xml:space="preserve">also consider </w:t>
      </w:r>
      <w:r w:rsidRPr="00BC2813">
        <w:t>reserving a share of entitlements from new infrastructure for Traditional Owners.</w:t>
      </w:r>
    </w:p>
    <w:p w14:paraId="35887286" w14:textId="77777777" w:rsidR="001054C3" w:rsidRPr="00BC2813" w:rsidRDefault="001054C3" w:rsidP="00234FBE">
      <w:pPr>
        <w:pStyle w:val="Heading4"/>
        <w:spacing w:before="360"/>
      </w:pPr>
      <w:r w:rsidRPr="00BC2813">
        <w:t>Community engagement</w:t>
      </w:r>
      <w:r>
        <w:t>,</w:t>
      </w:r>
      <w:r w:rsidRPr="00BC2813">
        <w:t xml:space="preserve"> and adjustment</w:t>
      </w:r>
    </w:p>
    <w:p w14:paraId="4E9E5F43" w14:textId="77777777" w:rsidR="001054C3" w:rsidRPr="00BC2813" w:rsidRDefault="001054C3" w:rsidP="00234FBE">
      <w:pPr>
        <w:pStyle w:val="BodyText"/>
      </w:pPr>
      <w:r w:rsidRPr="00BC2813">
        <w:t>Effective, thorough and well</w:t>
      </w:r>
      <w:r w:rsidRPr="00BC2813">
        <w:noBreakHyphen/>
        <w:t>informed community engagement is needed to support reform in all aspects of water resource management and water services provision. This is recognised in the current NWI. However, adapt</w:t>
      </w:r>
      <w:r>
        <w:t>at</w:t>
      </w:r>
      <w:r w:rsidRPr="00BC2813">
        <w:t xml:space="preserve">ion to a likely drier and more variable water future will require difficult decisions by governments, communities and individual entitlement holders. Given this, the commitment to </w:t>
      </w:r>
      <w:r>
        <w:t>conduct regular, effective and well</w:t>
      </w:r>
      <w:r>
        <w:noBreakHyphen/>
        <w:t>informed</w:t>
      </w:r>
      <w:r w:rsidRPr="00BC2813">
        <w:t xml:space="preserve"> community engagement should be enhanced in a renewed agreement with additional guidance on effective processes and </w:t>
      </w:r>
      <w:r>
        <w:t xml:space="preserve">their </w:t>
      </w:r>
      <w:r w:rsidRPr="00BC2813">
        <w:t>quality. Commitment to the regular provision of accessible and comprehensible water information is also needed.</w:t>
      </w:r>
    </w:p>
    <w:p w14:paraId="2CB96C5A" w14:textId="77777777" w:rsidR="001054C3" w:rsidRPr="00BC2813" w:rsidRDefault="001054C3" w:rsidP="00234FBE">
      <w:pPr>
        <w:pStyle w:val="BodyText"/>
      </w:pPr>
      <w:r w:rsidRPr="00BC2813">
        <w:t xml:space="preserve">Clarity will be required on who bears the risk of climate change. The current </w:t>
      </w:r>
      <w:bookmarkStart w:id="23" w:name="_Hlk60754221"/>
      <w:r w:rsidRPr="00BC2813">
        <w:t xml:space="preserve">NWI states that entitlement holders bear the risks of changes to the quantity or reliability of water allocations </w:t>
      </w:r>
      <w:r w:rsidRPr="00BC2813">
        <w:lastRenderedPageBreak/>
        <w:t>as a result of seasonal or long</w:t>
      </w:r>
      <w:r>
        <w:noBreakHyphen/>
      </w:r>
      <w:r w:rsidRPr="00BC2813">
        <w:t>term changes in climate and natural events such as bushfire and drought. This principle should be retained to provide certainty.</w:t>
      </w:r>
    </w:p>
    <w:p w14:paraId="607E7875" w14:textId="77777777" w:rsidR="001054C3" w:rsidRPr="00BC2813" w:rsidRDefault="001054C3" w:rsidP="00234FBE">
      <w:pPr>
        <w:pStyle w:val="BodyText"/>
      </w:pPr>
      <w:r w:rsidRPr="00BC2813">
        <w:rPr>
          <w:rFonts w:asciiTheme="minorBidi" w:hAnsiTheme="minorBidi" w:cstheme="minorBidi"/>
          <w:szCs w:val="22"/>
        </w:rPr>
        <w:t xml:space="preserve">Inclusion of guiding principles in a renewed NWI would </w:t>
      </w:r>
      <w:r>
        <w:rPr>
          <w:rFonts w:asciiTheme="minorBidi" w:hAnsiTheme="minorBidi" w:cstheme="minorBidi"/>
          <w:szCs w:val="22"/>
        </w:rPr>
        <w:t xml:space="preserve">help to </w:t>
      </w:r>
      <w:r w:rsidRPr="00BC2813">
        <w:rPr>
          <w:rFonts w:asciiTheme="minorBidi" w:hAnsiTheme="minorBidi" w:cstheme="minorBidi"/>
          <w:szCs w:val="22"/>
        </w:rPr>
        <w:t xml:space="preserve">clarify how governments can best respond to any significant adjustment pressures </w:t>
      </w:r>
      <w:r w:rsidRPr="00BC2813">
        <w:t>—</w:t>
      </w:r>
      <w:r>
        <w:t xml:space="preserve"> that is, pressures</w:t>
      </w:r>
      <w:r w:rsidRPr="00BC2813">
        <w:rPr>
          <w:rFonts w:asciiTheme="minorBidi" w:hAnsiTheme="minorBidi" w:cstheme="minorBidi"/>
          <w:szCs w:val="22"/>
        </w:rPr>
        <w:t xml:space="preserve"> faced by rural communities </w:t>
      </w:r>
      <w:r w:rsidRPr="00BC2813">
        <w:t xml:space="preserve">as a result of </w:t>
      </w:r>
      <w:r w:rsidRPr="00BC2813">
        <w:rPr>
          <w:rFonts w:asciiTheme="minorBidi" w:hAnsiTheme="minorBidi" w:cstheme="minorBidi"/>
          <w:szCs w:val="22"/>
        </w:rPr>
        <w:t>reform</w:t>
      </w:r>
      <w:r w:rsidRPr="00BC2813">
        <w:rPr>
          <w:rFonts w:asciiTheme="minorBidi" w:hAnsiTheme="minorBidi" w:cstheme="minorBidi"/>
          <w:szCs w:val="22"/>
        </w:rPr>
        <w:noBreakHyphen/>
        <w:t>induced reductions in water availability. These should point first to the g</w:t>
      </w:r>
      <w:r>
        <w:t>enerally</w:t>
      </w:r>
      <w:r>
        <w:noBreakHyphen/>
      </w:r>
      <w:r w:rsidRPr="00BC2813">
        <w:t>available measures that target the welfare and skills of individuals, and to regional development planning to leverage community</w:t>
      </w:r>
      <w:r w:rsidRPr="00BC2813">
        <w:noBreakHyphen/>
        <w:t xml:space="preserve">level capabilities and competitive advantages. These are usually the </w:t>
      </w:r>
      <w:r>
        <w:t>best</w:t>
      </w:r>
      <w:r w:rsidRPr="00BC2813">
        <w:t xml:space="preserve"> responses to adjustment pressures. Where specific assistance is warranted, governments should </w:t>
      </w:r>
      <w:r>
        <w:t>support</w:t>
      </w:r>
      <w:r w:rsidRPr="00BC2813">
        <w:t xml:space="preserve"> change by focusing any direct assistance on building adaptive capacity in affected communities and securing employment or business opportunities for the most vulnerable individuals.</w:t>
      </w:r>
    </w:p>
    <w:bookmarkEnd w:id="23"/>
    <w:p w14:paraId="6EE01072" w14:textId="77777777" w:rsidR="001054C3" w:rsidRPr="00BC2813" w:rsidRDefault="001054C3" w:rsidP="00234FBE">
      <w:pPr>
        <w:pStyle w:val="Heading4"/>
        <w:spacing w:before="360"/>
      </w:pPr>
      <w:r w:rsidRPr="00BC2813">
        <w:t>Knowledge, capacity and capability building</w:t>
      </w:r>
    </w:p>
    <w:p w14:paraId="24E3CD7E" w14:textId="77777777" w:rsidR="001054C3" w:rsidRDefault="001054C3" w:rsidP="00234FBE">
      <w:pPr>
        <w:pStyle w:val="BodyText"/>
      </w:pPr>
      <w:r w:rsidRPr="00BC2813">
        <w:t>Knowledge generation has been integral to water reform achievements under the NWI, and will underpin the success of future water reform efforts. It provides a foundation for evidence</w:t>
      </w:r>
      <w:r>
        <w:noBreakHyphen/>
      </w:r>
      <w:r w:rsidRPr="00BC2813">
        <w:t>based decision making, innovation</w:t>
      </w:r>
      <w:r>
        <w:t xml:space="preserve"> and</w:t>
      </w:r>
      <w:r w:rsidRPr="00BC2813">
        <w:t xml:space="preserve"> continuous improvement in water management and service provision. </w:t>
      </w:r>
      <w:r>
        <w:t>This</w:t>
      </w:r>
      <w:r w:rsidRPr="00BC2813">
        <w:t xml:space="preserve"> should be recommitted to in a renewed NWI, with processes to: enable efficient government investment in relevant public good research; set research priorities and coordinate outcomes; and ensure that water utilities are able to invest in knowledge generation and application to support improved practices.</w:t>
      </w:r>
    </w:p>
    <w:p w14:paraId="524F19CA"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6F82C213" w14:textId="77777777" w:rsidTr="00234FBE">
        <w:trPr>
          <w:tblHeader/>
        </w:trPr>
        <w:tc>
          <w:tcPr>
            <w:tcW w:w="5000" w:type="pct"/>
            <w:tcBorders>
              <w:top w:val="single" w:sz="6" w:space="0" w:color="78A22F"/>
              <w:left w:val="nil"/>
              <w:bottom w:val="nil"/>
              <w:right w:val="nil"/>
            </w:tcBorders>
            <w:shd w:val="clear" w:color="auto" w:fill="auto"/>
          </w:tcPr>
          <w:p w14:paraId="3F9D2B02" w14:textId="77777777" w:rsidR="001054C3" w:rsidRPr="004A77D9" w:rsidRDefault="001054C3" w:rsidP="00234FBE">
            <w:pPr>
              <w:pStyle w:val="TableTitle"/>
              <w:rPr>
                <w:spacing w:val="-4"/>
              </w:rPr>
            </w:pPr>
            <w:r>
              <w:rPr>
                <w:b w:val="0"/>
              </w:rPr>
              <w:t>Table 1</w:t>
            </w:r>
            <w:r>
              <w:tab/>
            </w:r>
            <w:r>
              <w:rPr>
                <w:spacing w:val="-4"/>
              </w:rPr>
              <w:t>F</w:t>
            </w:r>
            <w:r w:rsidRPr="004A77D9">
              <w:rPr>
                <w:spacing w:val="-4"/>
              </w:rPr>
              <w:t>indings and recommendations</w:t>
            </w:r>
          </w:p>
          <w:p w14:paraId="0B87B04A" w14:textId="77777777" w:rsidR="001054C3" w:rsidRPr="00F17082" w:rsidRDefault="001054C3" w:rsidP="00234FBE">
            <w:pPr>
              <w:pStyle w:val="Subtitle"/>
            </w:pPr>
            <w:r>
              <w:t>Brackets present the numbers used to denote each item in the report</w:t>
            </w:r>
          </w:p>
        </w:tc>
      </w:tr>
      <w:tr w:rsidR="001054C3" w14:paraId="529497DF" w14:textId="77777777" w:rsidTr="00234FB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1054C3" w:rsidRPr="00FD59E5" w14:paraId="1C0765ED" w14:textId="77777777" w:rsidTr="00234FBE">
              <w:trPr>
                <w:tblHeader/>
              </w:trPr>
              <w:tc>
                <w:tcPr>
                  <w:tcW w:w="5000" w:type="pct"/>
                  <w:tcBorders>
                    <w:top w:val="single" w:sz="6" w:space="0" w:color="BFBFBF"/>
                    <w:left w:val="nil"/>
                    <w:bottom w:val="single" w:sz="6" w:space="0" w:color="BFBFBF"/>
                    <w:right w:val="nil"/>
                  </w:tcBorders>
                  <w:tcMar>
                    <w:top w:w="28" w:type="dxa"/>
                  </w:tcMar>
                </w:tcPr>
                <w:p w14:paraId="065C3FC7" w14:textId="77777777" w:rsidR="001054C3" w:rsidRPr="00FD59E5" w:rsidRDefault="001054C3" w:rsidP="00234FBE">
                  <w:pPr>
                    <w:keepNext/>
                    <w:keepLines/>
                    <w:spacing w:before="60" w:after="60"/>
                    <w:ind w:left="1474" w:hanging="1474"/>
                    <w:rPr>
                      <w:rFonts w:ascii="Arial" w:hAnsi="Arial"/>
                      <w:b/>
                    </w:rPr>
                  </w:pPr>
                  <w:r w:rsidRPr="00EF34E9">
                    <w:rPr>
                      <w:rFonts w:ascii="Arial" w:hAnsi="Arial"/>
                      <w:b/>
                      <w:sz w:val="22"/>
                    </w:rPr>
                    <w:t>Findings</w:t>
                  </w:r>
                </w:p>
              </w:tc>
            </w:tr>
            <w:tr w:rsidR="001054C3" w:rsidRPr="00FD59E5" w14:paraId="3CE670AE" w14:textId="77777777" w:rsidTr="00234FBE">
              <w:tc>
                <w:tcPr>
                  <w:tcW w:w="5000" w:type="pct"/>
                  <w:tcBorders>
                    <w:top w:val="single" w:sz="6" w:space="0" w:color="BFBFBF"/>
                    <w:left w:val="nil"/>
                    <w:bottom w:val="single" w:sz="6" w:space="0" w:color="BFBFBF"/>
                    <w:right w:val="nil"/>
                  </w:tcBorders>
                </w:tcPr>
                <w:p w14:paraId="62DDE427" w14:textId="77777777" w:rsidR="001054C3" w:rsidRPr="003E4D64" w:rsidRDefault="001054C3" w:rsidP="00234FBE">
                  <w:pPr>
                    <w:pStyle w:val="TableBullet"/>
                  </w:pPr>
                  <w:r w:rsidRPr="003E4D64">
                    <w:t xml:space="preserve">Governance arrangements established for the National Water Initiative have been significantly eroded. A strengthened governance architecture that </w:t>
                  </w:r>
                  <w:r>
                    <w:t xml:space="preserve">transparently </w:t>
                  </w:r>
                  <w:r w:rsidRPr="003E4D64">
                    <w:t>reflects the presence of national water policy leadership and ensures confidence in reform effort needs to be included in a renewed agreement. (4.1)</w:t>
                  </w:r>
                </w:p>
                <w:p w14:paraId="758688B4" w14:textId="77777777" w:rsidR="001054C3" w:rsidRPr="003E4D64" w:rsidRDefault="001054C3" w:rsidP="00234FBE">
                  <w:pPr>
                    <w:pStyle w:val="TableBullet"/>
                  </w:pPr>
                  <w:r w:rsidRPr="003E4D64">
                    <w:t>The Murray–Darling Basin demonstrates that, in highly developed systems, water trade monitoring ought to be integrated into system level resource management. By taking a broader and longer term system</w:t>
                  </w:r>
                  <w:r>
                    <w:noBreakHyphen/>
                  </w:r>
                  <w:r w:rsidRPr="003E4D64">
                    <w:t>level</w:t>
                  </w:r>
                  <w:r>
                    <w:t xml:space="preserve"> </w:t>
                  </w:r>
                  <w:r w:rsidRPr="003E4D64">
                    <w:t>view of water trade and operational risk within the water resource management context, jurisdictions can more proactively anticipate and identify emerging issues and be advised on regulatory responses where warranted. (7.1)</w:t>
                  </w:r>
                </w:p>
                <w:p w14:paraId="453747BE" w14:textId="77777777" w:rsidR="001054C3" w:rsidRPr="003E4D64" w:rsidRDefault="001054C3" w:rsidP="00234FBE">
                  <w:pPr>
                    <w:pStyle w:val="TableBullet"/>
                  </w:pPr>
                  <w:r w:rsidRPr="003E4D64">
                    <w:t>Much more needs to be done to include Traditional Owners’ interests in water in jurisdictional planning and the management of water. Slow progress against commitments made in the 2004 National Water Initiative, coupled with the contemporary context including the National Agreement on Closing the Gap and wide support for action, warrants inclusion of both a dedicated objective and new element in a renewed National Water Initiative. (9.1)</w:t>
                  </w:r>
                </w:p>
                <w:p w14:paraId="74C822A8" w14:textId="77777777" w:rsidR="001054C3" w:rsidRPr="00FD59E5" w:rsidRDefault="001054C3" w:rsidP="00234FBE">
                  <w:pPr>
                    <w:pStyle w:val="TableBullet"/>
                  </w:pPr>
                  <w:r w:rsidRPr="003E4D64">
                    <w:t xml:space="preserve">The National Performance Report is not fit for purpose in </w:t>
                  </w:r>
                  <w:r>
                    <w:t>reporting</w:t>
                  </w:r>
                  <w:r w:rsidRPr="003E4D64">
                    <w:t xml:space="preserve"> service quality, as envisioned under the National Water Initiative (NWI), nor is it adequate to assess progress against NWI commitments. The only measure for cost recovery, the economic real rate of return, is inconsistent with the NWI and the </w:t>
                  </w:r>
                  <w:r w:rsidRPr="00FD0701">
                    <w:rPr>
                      <w:i/>
                      <w:iCs/>
                    </w:rPr>
                    <w:t>NWI Pricing Principles</w:t>
                  </w:r>
                  <w:r w:rsidRPr="003E4D64">
                    <w:t>. The current</w:t>
                  </w:r>
                  <w:r w:rsidRPr="003E4D64" w:rsidDel="00867710">
                    <w:t xml:space="preserve"> </w:t>
                  </w:r>
                  <w:r w:rsidRPr="003E4D64">
                    <w:t xml:space="preserve">National Performance Report </w:t>
                  </w:r>
                  <w:r>
                    <w:t>I</w:t>
                  </w:r>
                  <w:r w:rsidRPr="003E4D64">
                    <w:t>ndicator</w:t>
                  </w:r>
                  <w:r>
                    <w:t xml:space="preserve"> Review</w:t>
                  </w:r>
                  <w:r w:rsidRPr="003E4D64">
                    <w:t xml:space="preserve"> is well placed to address these inadequacies. (1</w:t>
                  </w:r>
                  <w:r>
                    <w:t>2</w:t>
                  </w:r>
                  <w:r w:rsidRPr="003E4D64">
                    <w:t>.1)</w:t>
                  </w:r>
                </w:p>
              </w:tc>
            </w:tr>
            <w:tr w:rsidR="001054C3" w:rsidRPr="00EF34E9" w14:paraId="41AB45A3" w14:textId="77777777" w:rsidTr="00234FBE">
              <w:tc>
                <w:tcPr>
                  <w:tcW w:w="5000" w:type="pct"/>
                  <w:tcBorders>
                    <w:top w:val="single" w:sz="6" w:space="0" w:color="BFBFBF"/>
                    <w:left w:val="nil"/>
                    <w:bottom w:val="single" w:sz="6" w:space="0" w:color="BFBFBF"/>
                    <w:right w:val="nil"/>
                  </w:tcBorders>
                </w:tcPr>
                <w:p w14:paraId="6F7DA18B" w14:textId="77777777" w:rsidR="001054C3" w:rsidRPr="00EF34E9" w:rsidRDefault="001054C3" w:rsidP="00234FBE">
                  <w:pPr>
                    <w:keepNext/>
                    <w:keepLines/>
                    <w:spacing w:before="60" w:after="60"/>
                    <w:ind w:left="1474" w:hanging="1474"/>
                    <w:rPr>
                      <w:rFonts w:ascii="Arial" w:hAnsi="Arial"/>
                      <w:b/>
                      <w:sz w:val="22"/>
                    </w:rPr>
                  </w:pPr>
                  <w:r w:rsidRPr="00EF34E9">
                    <w:rPr>
                      <w:rFonts w:ascii="Arial" w:hAnsi="Arial"/>
                      <w:b/>
                      <w:sz w:val="22"/>
                    </w:rPr>
                    <w:t>Recommendations</w:t>
                  </w:r>
                </w:p>
              </w:tc>
            </w:tr>
            <w:tr w:rsidR="001054C3" w:rsidRPr="00FD59E5" w14:paraId="78948677" w14:textId="77777777" w:rsidTr="00234FBE">
              <w:tc>
                <w:tcPr>
                  <w:tcW w:w="5000" w:type="pct"/>
                  <w:tcBorders>
                    <w:top w:val="single" w:sz="6" w:space="0" w:color="BFBFBF"/>
                    <w:left w:val="nil"/>
                    <w:bottom w:val="single" w:sz="6" w:space="0" w:color="BFBFBF"/>
                    <w:right w:val="nil"/>
                  </w:tcBorders>
                </w:tcPr>
                <w:p w14:paraId="629B46AB" w14:textId="77777777" w:rsidR="001054C3" w:rsidRPr="003E4D64" w:rsidRDefault="001054C3" w:rsidP="00234FBE">
                  <w:pPr>
                    <w:pStyle w:val="TableBullet"/>
                  </w:pPr>
                  <w:r w:rsidRPr="003E4D64">
                    <w:t xml:space="preserve">Water ministers should </w:t>
                  </w:r>
                  <w:r>
                    <w:t>come together</w:t>
                  </w:r>
                  <w:r w:rsidRPr="003E4D64">
                    <w:t xml:space="preserve"> periodically to oversee development of a renewed N</w:t>
                  </w:r>
                  <w:r>
                    <w:t xml:space="preserve">ational </w:t>
                  </w:r>
                  <w:r w:rsidRPr="003E4D64">
                    <w:t>W</w:t>
                  </w:r>
                  <w:r>
                    <w:t xml:space="preserve">ater </w:t>
                  </w:r>
                  <w:r w:rsidRPr="003E4D64">
                    <w:t>I</w:t>
                  </w:r>
                  <w:r>
                    <w:t>nitiative,</w:t>
                  </w:r>
                  <w:r w:rsidRPr="003E4D64">
                    <w:t xml:space="preserve"> and to receive, consider and act upon advice that comes out of any periodic review of the new agreement. (4.1)</w:t>
                  </w:r>
                </w:p>
                <w:p w14:paraId="79F300C2" w14:textId="77777777" w:rsidR="001054C3" w:rsidRPr="003E4D64" w:rsidRDefault="001054C3" w:rsidP="00234FBE">
                  <w:pPr>
                    <w:pStyle w:val="TableBullet"/>
                  </w:pPr>
                  <w:r w:rsidRPr="003E4D64">
                    <w:t xml:space="preserve">Natural resource management </w:t>
                  </w:r>
                  <w:r>
                    <w:t xml:space="preserve">(NRM) </w:t>
                  </w:r>
                  <w:r w:rsidRPr="003E4D64">
                    <w:t xml:space="preserve">programs should give priority to the key environmental assets identified in water planning processes, provide funding and undertake the required works to protect those assets. During periods of water scarcity, </w:t>
                  </w:r>
                  <w:r>
                    <w:t>NRM</w:t>
                  </w:r>
                  <w:r w:rsidRPr="003E4D64">
                    <w:t xml:space="preserve"> should focus on the protection of reserves and refuges and making sure that their regenerative capacity is protected. (8.1)</w:t>
                  </w:r>
                </w:p>
                <w:p w14:paraId="7A710F3B" w14:textId="77777777" w:rsidR="001054C3" w:rsidRPr="003E4D64" w:rsidRDefault="001054C3" w:rsidP="00234FBE">
                  <w:pPr>
                    <w:pStyle w:val="TableBullet"/>
                  </w:pPr>
                  <w:r w:rsidRPr="003E4D64">
                    <w:t xml:space="preserve">State and Territory Governments, through the National Performance Report, should require urban water service providers to report a financial return metric consistent with the </w:t>
                  </w:r>
                  <w:r w:rsidRPr="00822A9E">
                    <w:rPr>
                      <w:i/>
                      <w:iCs/>
                    </w:rPr>
                    <w:t>National Water Initiative Pricing Principles</w:t>
                  </w:r>
                  <w:r w:rsidRPr="003E4D64">
                    <w:t xml:space="preserve">, alongside the existing economic real rate of return metric. This should include: an income measure that excludes developer charges and contributed assets; an asset base measure determined by a methodology consistent with the </w:t>
                  </w:r>
                  <w:r w:rsidRPr="00822A9E">
                    <w:rPr>
                      <w:i/>
                      <w:iCs/>
                    </w:rPr>
                    <w:t>National Water Initiative Pricing Principles</w:t>
                  </w:r>
                  <w:r w:rsidRPr="003E4D64">
                    <w:t>. (1</w:t>
                  </w:r>
                  <w:r>
                    <w:t>2</w:t>
                  </w:r>
                  <w:r w:rsidRPr="003E4D64">
                    <w:t>.1)</w:t>
                  </w:r>
                </w:p>
                <w:p w14:paraId="5E6234E8" w14:textId="77777777" w:rsidR="001054C3" w:rsidRPr="00FD59E5" w:rsidRDefault="001054C3" w:rsidP="00234FBE">
                  <w:pPr>
                    <w:pStyle w:val="TableBullet"/>
                  </w:pPr>
                  <w:r w:rsidRPr="003E4D64">
                    <w:t>Australian Government investment in major water infrastructure</w:t>
                  </w:r>
                  <w:r>
                    <w:t>, where it occurs,</w:t>
                  </w:r>
                  <w:r w:rsidRPr="003E4D64">
                    <w:t xml:space="preserve"> should neither prioritise a particular sector or class of water user, nor be limited to providing water for primary industry. The National Water Grid Authority should broaden its </w:t>
                  </w:r>
                  <w:r w:rsidRPr="00822A9E">
                    <w:rPr>
                      <w:i/>
                      <w:iCs/>
                    </w:rPr>
                    <w:t>Investment Policy Framework</w:t>
                  </w:r>
                  <w:r w:rsidRPr="003E4D64">
                    <w:t xml:space="preserve"> to allow funding for all projects where government involvement may be warranted, including supporting access to essential town water supplies</w:t>
                  </w:r>
                  <w:r>
                    <w:t xml:space="preserve"> in regional and remote communities</w:t>
                  </w:r>
                  <w:r w:rsidRPr="003E4D64">
                    <w:t>. (1</w:t>
                  </w:r>
                  <w:r>
                    <w:t>4</w:t>
                  </w:r>
                  <w:r w:rsidRPr="003E4D64">
                    <w:t>.1)</w:t>
                  </w:r>
                </w:p>
              </w:tc>
            </w:tr>
          </w:tbl>
          <w:p w14:paraId="74F7696E" w14:textId="77777777" w:rsidR="001054C3" w:rsidRDefault="001054C3" w:rsidP="00234FBE">
            <w:pPr>
              <w:pStyle w:val="Box"/>
              <w:spacing w:before="0" w:line="20" w:lineRule="exact"/>
            </w:pPr>
          </w:p>
        </w:tc>
      </w:tr>
      <w:tr w:rsidR="001054C3" w14:paraId="0DC0AE48" w14:textId="77777777" w:rsidTr="00234FBE">
        <w:tc>
          <w:tcPr>
            <w:tcW w:w="5000" w:type="pct"/>
            <w:tcBorders>
              <w:top w:val="nil"/>
              <w:left w:val="nil"/>
              <w:bottom w:val="single" w:sz="6" w:space="0" w:color="78A22F"/>
              <w:right w:val="nil"/>
            </w:tcBorders>
            <w:shd w:val="clear" w:color="auto" w:fill="auto"/>
          </w:tcPr>
          <w:p w14:paraId="29932A0B" w14:textId="77777777" w:rsidR="001054C3" w:rsidRDefault="001054C3" w:rsidP="00234FBE">
            <w:pPr>
              <w:pStyle w:val="Box"/>
              <w:spacing w:before="0" w:line="120" w:lineRule="exact"/>
            </w:pPr>
          </w:p>
        </w:tc>
      </w:tr>
      <w:tr w:rsidR="001054C3" w:rsidRPr="000863A5" w14:paraId="5027C66F" w14:textId="77777777" w:rsidTr="00234FBE">
        <w:tc>
          <w:tcPr>
            <w:tcW w:w="5000" w:type="pct"/>
            <w:tcBorders>
              <w:top w:val="single" w:sz="6" w:space="0" w:color="78A22F"/>
              <w:left w:val="nil"/>
              <w:bottom w:val="nil"/>
              <w:right w:val="nil"/>
            </w:tcBorders>
          </w:tcPr>
          <w:p w14:paraId="33EAC22B" w14:textId="77777777" w:rsidR="001054C3" w:rsidRPr="00626D32" w:rsidRDefault="001054C3" w:rsidP="00234FBE">
            <w:pPr>
              <w:pStyle w:val="BoxSpaceBelow"/>
            </w:pPr>
          </w:p>
        </w:tc>
      </w:tr>
    </w:tbl>
    <w:p w14:paraId="20F46FDC" w14:textId="77777777" w:rsidR="001054C3" w:rsidRPr="00FD59E5"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1054C3" w:rsidRPr="00887AE6" w14:paraId="6129EDD4" w14:textId="77777777" w:rsidTr="00234FBE">
        <w:trPr>
          <w:tblHeader/>
        </w:trPr>
        <w:tc>
          <w:tcPr>
            <w:tcW w:w="5000" w:type="pct"/>
            <w:tcBorders>
              <w:top w:val="single" w:sz="6" w:space="0" w:color="78A22F" w:themeColor="accent1"/>
              <w:left w:val="nil"/>
              <w:bottom w:val="nil"/>
              <w:right w:val="nil"/>
            </w:tcBorders>
          </w:tcPr>
          <w:p w14:paraId="5C741519" w14:textId="77777777" w:rsidR="001054C3" w:rsidRDefault="001054C3" w:rsidP="00234FBE">
            <w:pPr>
              <w:pStyle w:val="TableTitle"/>
            </w:pPr>
            <w:r w:rsidRPr="00887AE6">
              <w:rPr>
                <w:b w:val="0"/>
              </w:rPr>
              <w:t>Table 2</w:t>
            </w:r>
            <w:r w:rsidRPr="00887AE6">
              <w:rPr>
                <w:b w:val="0"/>
              </w:rPr>
              <w:tab/>
            </w:r>
            <w:r>
              <w:t xml:space="preserve">NWI </w:t>
            </w:r>
            <w:r w:rsidRPr="00887AE6">
              <w:t>renewal advice</w:t>
            </w:r>
            <w:r>
              <w:t>: high</w:t>
            </w:r>
            <w:r>
              <w:noBreakHyphen/>
              <w:t>level summary by area</w:t>
            </w:r>
          </w:p>
          <w:p w14:paraId="6C5A598A" w14:textId="77777777" w:rsidR="001054C3" w:rsidRPr="00BF345D" w:rsidRDefault="001054C3" w:rsidP="00234FBE">
            <w:pPr>
              <w:pStyle w:val="Subtitle"/>
            </w:pPr>
            <w:r>
              <w:t>Brackets present the numbers of the boxes containing the detailed advice</w:t>
            </w:r>
            <w:r w:rsidRPr="00385650">
              <w:rPr>
                <w:rStyle w:val="NoteLabel"/>
              </w:rPr>
              <w:t>a</w:t>
            </w:r>
          </w:p>
        </w:tc>
      </w:tr>
      <w:tr w:rsidR="001054C3" w:rsidRPr="00FD59E5" w14:paraId="415D37EC" w14:textId="77777777" w:rsidTr="00234FBE">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8505"/>
            </w:tblGrid>
            <w:tr w:rsidR="001054C3" w:rsidRPr="00887AE6" w14:paraId="2E80F2C7" w14:textId="77777777" w:rsidTr="00234FBE">
              <w:trPr>
                <w:tblHeader/>
              </w:trPr>
              <w:tc>
                <w:tcPr>
                  <w:tcW w:w="5000" w:type="pct"/>
                  <w:tcBorders>
                    <w:top w:val="single" w:sz="6" w:space="0" w:color="BFBFBF" w:themeColor="background1" w:themeShade="BF"/>
                    <w:bottom w:val="single" w:sz="6" w:space="0" w:color="BFBFBF" w:themeColor="background1" w:themeShade="BF"/>
                  </w:tcBorders>
                  <w:tcMar>
                    <w:top w:w="28" w:type="dxa"/>
                  </w:tcMar>
                </w:tcPr>
                <w:p w14:paraId="2095D108" w14:textId="77777777" w:rsidR="001054C3" w:rsidRPr="00887AE6" w:rsidRDefault="001054C3" w:rsidP="00234FBE">
                  <w:pPr>
                    <w:keepNext/>
                    <w:keepLines/>
                    <w:spacing w:before="60" w:after="60"/>
                    <w:ind w:left="1474" w:hanging="1474"/>
                    <w:rPr>
                      <w:rFonts w:ascii="Arial" w:hAnsi="Arial"/>
                      <w:b/>
                      <w:sz w:val="22"/>
                    </w:rPr>
                  </w:pPr>
                  <w:r>
                    <w:rPr>
                      <w:rFonts w:ascii="Arial" w:hAnsi="Arial"/>
                      <w:b/>
                      <w:sz w:val="22"/>
                    </w:rPr>
                    <w:t>A r</w:t>
                  </w:r>
                  <w:r w:rsidRPr="00887AE6">
                    <w:rPr>
                      <w:rFonts w:ascii="Arial" w:hAnsi="Arial"/>
                      <w:b/>
                      <w:sz w:val="22"/>
                    </w:rPr>
                    <w:t>efreshed intent</w:t>
                  </w:r>
                </w:p>
              </w:tc>
            </w:tr>
            <w:tr w:rsidR="001054C3" w14:paraId="3F07CD89" w14:textId="77777777" w:rsidTr="00234FBE">
              <w:tc>
                <w:tcPr>
                  <w:tcW w:w="5000" w:type="pct"/>
                  <w:tcBorders>
                    <w:top w:val="single" w:sz="6" w:space="0" w:color="BFBFBF" w:themeColor="background1" w:themeShade="BF"/>
                  </w:tcBorders>
                </w:tcPr>
                <w:p w14:paraId="23EE9217" w14:textId="77777777" w:rsidR="001054C3" w:rsidRDefault="001054C3" w:rsidP="00234FBE">
                  <w:pPr>
                    <w:pStyle w:val="TableBullet"/>
                  </w:pPr>
                  <w:r>
                    <w:t>Modernise the National Water Initiative (NWI) goal by including references to climate change and Traditional Owners. (3.1)</w:t>
                  </w:r>
                </w:p>
                <w:p w14:paraId="12672F03" w14:textId="77777777" w:rsidR="001054C3" w:rsidRDefault="001054C3" w:rsidP="00234FBE">
                  <w:pPr>
                    <w:pStyle w:val="TableBullet"/>
                  </w:pPr>
                  <w:r>
                    <w:t>Increase emphasis on water service provision, provide more detail for water resource management and refer to cultural outcomes in NWI objectives. (3.2, 3.3)</w:t>
                  </w:r>
                </w:p>
                <w:p w14:paraId="1B83317A" w14:textId="77777777" w:rsidR="001054C3" w:rsidRDefault="001054C3" w:rsidP="00234FBE">
                  <w:pPr>
                    <w:pStyle w:val="TableBullet"/>
                  </w:pPr>
                  <w:r>
                    <w:t>Embed six overarching principles in all policy areas. (3.4)</w:t>
                  </w:r>
                </w:p>
                <w:p w14:paraId="130DCF51" w14:textId="77777777" w:rsidR="001054C3" w:rsidRDefault="001054C3" w:rsidP="00234FBE">
                  <w:pPr>
                    <w:pStyle w:val="TableBullet"/>
                  </w:pPr>
                  <w:r>
                    <w:t>Develop new elements covering Aboriginal and Torres Strait Islander people’s interests in water, and infrastructure development. Significantly enhance the environmental management and water accounting (system integrity) elements. (3.5)</w:t>
                  </w:r>
                </w:p>
                <w:p w14:paraId="13D72088" w14:textId="77777777" w:rsidR="001054C3" w:rsidRDefault="001054C3" w:rsidP="00234FBE">
                  <w:pPr>
                    <w:pStyle w:val="TableBullet"/>
                  </w:pPr>
                  <w:r>
                    <w:t>Update references to interactions between the NWI and other key initiatives. (3.6)</w:t>
                  </w:r>
                </w:p>
              </w:tc>
            </w:tr>
            <w:tr w:rsidR="001054C3" w:rsidRPr="00887AE6" w14:paraId="1A88825A" w14:textId="77777777" w:rsidTr="00234FBE">
              <w:tc>
                <w:tcPr>
                  <w:tcW w:w="5000" w:type="pct"/>
                  <w:tcBorders>
                    <w:top w:val="single" w:sz="6" w:space="0" w:color="BFBFBF" w:themeColor="background1" w:themeShade="BF"/>
                  </w:tcBorders>
                </w:tcPr>
                <w:p w14:paraId="2964C93A" w14:textId="77777777" w:rsidR="001054C3" w:rsidRPr="00887AE6" w:rsidRDefault="001054C3" w:rsidP="00234FBE">
                  <w:pPr>
                    <w:keepNext/>
                    <w:keepLines/>
                    <w:spacing w:before="60" w:after="60"/>
                    <w:ind w:left="1474" w:hanging="1474"/>
                    <w:rPr>
                      <w:rFonts w:ascii="Arial" w:hAnsi="Arial"/>
                      <w:b/>
                      <w:sz w:val="22"/>
                    </w:rPr>
                  </w:pPr>
                  <w:r>
                    <w:rPr>
                      <w:rFonts w:ascii="Arial" w:hAnsi="Arial"/>
                      <w:b/>
                      <w:sz w:val="22"/>
                    </w:rPr>
                    <w:t>G</w:t>
                  </w:r>
                  <w:r w:rsidRPr="00887AE6">
                    <w:rPr>
                      <w:rFonts w:ascii="Arial" w:hAnsi="Arial"/>
                      <w:b/>
                      <w:sz w:val="22"/>
                    </w:rPr>
                    <w:t>overnance</w:t>
                  </w:r>
                  <w:r>
                    <w:rPr>
                      <w:rFonts w:ascii="Arial" w:hAnsi="Arial"/>
                      <w:b/>
                      <w:sz w:val="22"/>
                    </w:rPr>
                    <w:t xml:space="preserve"> of the agreement</w:t>
                  </w:r>
                </w:p>
              </w:tc>
            </w:tr>
            <w:tr w:rsidR="001054C3" w14:paraId="60E8867A" w14:textId="77777777" w:rsidTr="00234FBE">
              <w:tc>
                <w:tcPr>
                  <w:tcW w:w="5000" w:type="pct"/>
                  <w:tcBorders>
                    <w:top w:val="single" w:sz="6" w:space="0" w:color="BFBFBF" w:themeColor="background1" w:themeShade="BF"/>
                    <w:bottom w:val="single" w:sz="6" w:space="0" w:color="BFBFBF" w:themeColor="background1" w:themeShade="BF"/>
                  </w:tcBorders>
                </w:tcPr>
                <w:p w14:paraId="01FD66BA" w14:textId="77777777" w:rsidR="001054C3" w:rsidRDefault="001054C3" w:rsidP="00234FBE">
                  <w:pPr>
                    <w:pStyle w:val="TableBullet"/>
                  </w:pPr>
                  <w:r>
                    <w:t>Water ministers should convene periodically to oversee development of a renewed NWI. (4.1)</w:t>
                  </w:r>
                </w:p>
                <w:p w14:paraId="715AB19A" w14:textId="77777777" w:rsidR="001054C3" w:rsidRDefault="001054C3" w:rsidP="00234FBE">
                  <w:pPr>
                    <w:pStyle w:val="TableBullet"/>
                  </w:pPr>
                  <w:r>
                    <w:t>The renewed NWI should clearly link desired outcomes to objectives and limit prescriptive actions, instead setting out principles for best-practice, fit</w:t>
                  </w:r>
                  <w:r>
                    <w:noBreakHyphen/>
                    <w:t>for</w:t>
                  </w:r>
                  <w:r>
                    <w:noBreakHyphen/>
                    <w:t>purpose policy approaches. (4.1)</w:t>
                  </w:r>
                </w:p>
                <w:p w14:paraId="3F5C5E74" w14:textId="77777777" w:rsidR="001054C3" w:rsidRDefault="001054C3" w:rsidP="00234FBE">
                  <w:pPr>
                    <w:pStyle w:val="TableBullet"/>
                  </w:pPr>
                  <w:r>
                    <w:t>Jurisdictions should prepare 3</w:t>
                  </w:r>
                  <w:r>
                    <w:noBreakHyphen/>
                    <w:t>year rolling work programs, with progress independently assessed on a triennial basis. (4.1)</w:t>
                  </w:r>
                </w:p>
                <w:p w14:paraId="55A05C22" w14:textId="77777777" w:rsidR="001054C3" w:rsidRDefault="001054C3" w:rsidP="00234FBE">
                  <w:pPr>
                    <w:pStyle w:val="TableBullet"/>
                  </w:pPr>
                  <w:r>
                    <w:t>There should be a comprehensive review of national water policy every 10 years. (4.1)</w:t>
                  </w:r>
                </w:p>
                <w:p w14:paraId="03FB75F2" w14:textId="77777777" w:rsidR="001054C3" w:rsidRDefault="001054C3" w:rsidP="00234FBE">
                  <w:pPr>
                    <w:pStyle w:val="TableBullet"/>
                  </w:pPr>
                  <w:r>
                    <w:t>The National Water Reform Committee should provide transparent on</w:t>
                  </w:r>
                  <w:r>
                    <w:noBreakHyphen/>
                    <w:t>going oversight of the agreement. (4.1)</w:t>
                  </w:r>
                </w:p>
              </w:tc>
            </w:tr>
            <w:tr w:rsidR="001054C3" w:rsidRPr="00887AE6" w14:paraId="4F8EAAD5" w14:textId="77777777" w:rsidTr="00234FBE">
              <w:tc>
                <w:tcPr>
                  <w:tcW w:w="5000" w:type="pct"/>
                  <w:tcBorders>
                    <w:top w:val="single" w:sz="6" w:space="0" w:color="BFBFBF" w:themeColor="background1" w:themeShade="BF"/>
                    <w:bottom w:val="single" w:sz="6" w:space="0" w:color="BFBFBF" w:themeColor="background1" w:themeShade="BF"/>
                  </w:tcBorders>
                </w:tcPr>
                <w:p w14:paraId="537BCDB0" w14:textId="77777777" w:rsidR="001054C3" w:rsidRDefault="001054C3" w:rsidP="00234FBE">
                  <w:pPr>
                    <w:keepNext/>
                    <w:keepLines/>
                    <w:spacing w:before="60" w:after="60"/>
                    <w:ind w:left="1474" w:hanging="1474"/>
                    <w:rPr>
                      <w:rFonts w:ascii="Arial" w:hAnsi="Arial"/>
                      <w:b/>
                      <w:sz w:val="22"/>
                    </w:rPr>
                  </w:pPr>
                  <w:r>
                    <w:rPr>
                      <w:rFonts w:ascii="Arial" w:hAnsi="Arial"/>
                      <w:b/>
                      <w:sz w:val="22"/>
                    </w:rPr>
                    <w:t>A framework for water resource management</w:t>
                  </w:r>
                </w:p>
              </w:tc>
            </w:tr>
            <w:tr w:rsidR="001054C3" w:rsidRPr="00887AE6" w14:paraId="432CFDB6" w14:textId="77777777" w:rsidTr="00234FBE">
              <w:tc>
                <w:tcPr>
                  <w:tcW w:w="5000" w:type="pct"/>
                  <w:tcBorders>
                    <w:top w:val="single" w:sz="6" w:space="0" w:color="BFBFBF" w:themeColor="background1" w:themeShade="BF"/>
                    <w:bottom w:val="single" w:sz="6" w:space="0" w:color="BFBFBF" w:themeColor="background1" w:themeShade="BF"/>
                  </w:tcBorders>
                </w:tcPr>
                <w:p w14:paraId="2F3C9BAD" w14:textId="77777777" w:rsidR="001054C3" w:rsidRPr="00C227F7" w:rsidRDefault="001054C3" w:rsidP="00234FBE">
                  <w:pPr>
                    <w:pStyle w:val="TableBullet"/>
                  </w:pPr>
                  <w:r>
                    <w:t>Embed the concept of fit</w:t>
                  </w:r>
                  <w:r>
                    <w:noBreakHyphen/>
                    <w:t>for</w:t>
                  </w:r>
                  <w:r>
                    <w:noBreakHyphen/>
                    <w:t>purpose water resource management in a new NWI. (5.1)</w:t>
                  </w:r>
                </w:p>
              </w:tc>
            </w:tr>
            <w:tr w:rsidR="001054C3" w:rsidRPr="00887AE6" w14:paraId="2389270D" w14:textId="77777777" w:rsidTr="00234FBE">
              <w:tc>
                <w:tcPr>
                  <w:tcW w:w="5000" w:type="pct"/>
                  <w:tcBorders>
                    <w:top w:val="single" w:sz="6" w:space="0" w:color="BFBFBF" w:themeColor="background1" w:themeShade="BF"/>
                    <w:bottom w:val="single" w:sz="6" w:space="0" w:color="BFBFBF" w:themeColor="background1" w:themeShade="BF"/>
                  </w:tcBorders>
                </w:tcPr>
                <w:p w14:paraId="300DFBFF" w14:textId="77777777" w:rsidR="001054C3" w:rsidRPr="00887AE6" w:rsidRDefault="001054C3" w:rsidP="00234FBE">
                  <w:pPr>
                    <w:keepNext/>
                    <w:keepLines/>
                    <w:spacing w:before="60" w:after="60"/>
                    <w:ind w:left="1474" w:hanging="1474"/>
                    <w:rPr>
                      <w:rFonts w:ascii="Arial" w:hAnsi="Arial"/>
                      <w:b/>
                      <w:sz w:val="22"/>
                    </w:rPr>
                  </w:pPr>
                  <w:r>
                    <w:rPr>
                      <w:rFonts w:ascii="Arial" w:hAnsi="Arial"/>
                      <w:b/>
                      <w:sz w:val="22"/>
                    </w:rPr>
                    <w:t>Water e</w:t>
                  </w:r>
                  <w:r w:rsidRPr="00887AE6">
                    <w:rPr>
                      <w:rFonts w:ascii="Arial" w:hAnsi="Arial"/>
                      <w:b/>
                      <w:sz w:val="22"/>
                    </w:rPr>
                    <w:t>ntitlements and planning</w:t>
                  </w:r>
                </w:p>
              </w:tc>
            </w:tr>
            <w:tr w:rsidR="001054C3" w14:paraId="17D2A6E2" w14:textId="77777777" w:rsidTr="00234FBE">
              <w:tc>
                <w:tcPr>
                  <w:tcW w:w="5000" w:type="pct"/>
                  <w:tcBorders>
                    <w:top w:val="single" w:sz="6" w:space="0" w:color="BFBFBF" w:themeColor="background1" w:themeShade="BF"/>
                    <w:bottom w:val="single" w:sz="6" w:space="0" w:color="BFBFBF" w:themeColor="background1" w:themeShade="BF"/>
                  </w:tcBorders>
                </w:tcPr>
                <w:p w14:paraId="5FABE727" w14:textId="77777777" w:rsidR="001054C3" w:rsidRDefault="001054C3" w:rsidP="00234FBE">
                  <w:pPr>
                    <w:pStyle w:val="TableBullet"/>
                  </w:pPr>
                  <w:r>
                    <w:t>Recommit to the key outcomes and actions related to water access entitlements, and ensure entitlements and access rights frameworks are fit for purpose. Remove</w:t>
                  </w:r>
                  <w:r w:rsidDel="0097483F">
                    <w:t xml:space="preserve"> </w:t>
                  </w:r>
                  <w:r>
                    <w:t xml:space="preserve">the special provision for mineral and petroleum industries; </w:t>
                  </w:r>
                  <w:r w:rsidRPr="006A0431">
                    <w:t>consider exemptions on the basis of context, not industry or user;</w:t>
                  </w:r>
                  <w:r>
                    <w:rPr>
                      <w:color w:val="C00000"/>
                    </w:rPr>
                    <w:t xml:space="preserve"> </w:t>
                  </w:r>
                  <w:r>
                    <w:t>establish a process to determine whether alternative water sources can be incorporated into water access entitlements frameworks; and adopt a risk</w:t>
                  </w:r>
                  <w:r>
                    <w:noBreakHyphen/>
                    <w:t>based approach to managing significant interception activities. (6.1)</w:t>
                  </w:r>
                </w:p>
                <w:p w14:paraId="60CF9D4E" w14:textId="77777777" w:rsidR="001054C3" w:rsidRDefault="001054C3" w:rsidP="00234FBE">
                  <w:pPr>
                    <w:pStyle w:val="TableBullet"/>
                  </w:pPr>
                  <w:r>
                    <w:t>E</w:t>
                  </w:r>
                  <w:r w:rsidRPr="007B3255">
                    <w:t>n</w:t>
                  </w:r>
                  <w:r>
                    <w:t>hance</w:t>
                  </w:r>
                  <w:r w:rsidRPr="007B3255">
                    <w:t xml:space="preserve"> water planning provisions </w:t>
                  </w:r>
                  <w:r>
                    <w:t>to better reflect current best practice and embed processes to better account for climate change including in relation to: dealing with extreme scenarios; water quality issues; rebalancing; modelling climate; and provisions for allocating risk. (6.2)</w:t>
                  </w:r>
                </w:p>
              </w:tc>
            </w:tr>
            <w:tr w:rsidR="001054C3" w:rsidRPr="00887AE6" w14:paraId="7ABC1D72" w14:textId="77777777" w:rsidTr="00234FBE">
              <w:tc>
                <w:tcPr>
                  <w:tcW w:w="5000" w:type="pct"/>
                  <w:tcBorders>
                    <w:top w:val="single" w:sz="6" w:space="0" w:color="BFBFBF" w:themeColor="background1" w:themeShade="BF"/>
                    <w:bottom w:val="single" w:sz="6" w:space="0" w:color="BFBFBF" w:themeColor="background1" w:themeShade="BF"/>
                  </w:tcBorders>
                </w:tcPr>
                <w:p w14:paraId="0758F503" w14:textId="77777777" w:rsidR="001054C3" w:rsidRPr="00887AE6" w:rsidRDefault="001054C3" w:rsidP="00234FBE">
                  <w:pPr>
                    <w:keepNext/>
                    <w:keepLines/>
                    <w:spacing w:before="60" w:after="60"/>
                    <w:ind w:left="1474" w:hanging="1474"/>
                    <w:rPr>
                      <w:rFonts w:ascii="Arial" w:hAnsi="Arial"/>
                      <w:b/>
                      <w:sz w:val="22"/>
                    </w:rPr>
                  </w:pPr>
                  <w:r>
                    <w:rPr>
                      <w:rFonts w:ascii="Arial" w:hAnsi="Arial"/>
                      <w:b/>
                      <w:sz w:val="22"/>
                    </w:rPr>
                    <w:t>Trading and markets</w:t>
                  </w:r>
                </w:p>
              </w:tc>
            </w:tr>
            <w:tr w:rsidR="001054C3" w14:paraId="49F0CA27" w14:textId="77777777" w:rsidTr="00234FBE">
              <w:tc>
                <w:tcPr>
                  <w:tcW w:w="5000" w:type="pct"/>
                  <w:tcBorders>
                    <w:top w:val="single" w:sz="6" w:space="0" w:color="BFBFBF" w:themeColor="background1" w:themeShade="BF"/>
                  </w:tcBorders>
                </w:tcPr>
                <w:p w14:paraId="1DC2A8CF" w14:textId="77777777" w:rsidR="001054C3" w:rsidRDefault="001054C3" w:rsidP="00234FBE">
                  <w:pPr>
                    <w:pStyle w:val="TableBullet"/>
                  </w:pPr>
                  <w:r>
                    <w:t>E</w:t>
                  </w:r>
                  <w:r w:rsidRPr="00DA2A9C">
                    <w:t>mphasise that the purpose of water trading and markets is as a tool within a water resource management framework to increase efficiency</w:t>
                  </w:r>
                  <w:r>
                    <w:t>. Market arrangements need to be fit</w:t>
                  </w:r>
                  <w:r>
                    <w:noBreakHyphen/>
                    <w:t>for</w:t>
                  </w:r>
                  <w:r>
                    <w:noBreakHyphen/>
                    <w:t>purpose. (7.1)</w:t>
                  </w:r>
                </w:p>
                <w:p w14:paraId="4FD2D38E" w14:textId="77777777" w:rsidR="001054C3" w:rsidRDefault="001054C3" w:rsidP="00234FBE">
                  <w:pPr>
                    <w:pStyle w:val="TableBullet"/>
                  </w:pPr>
                  <w:r>
                    <w:t>Recommit to the NWI water trading and market principles. Reshape</w:t>
                  </w:r>
                  <w:r w:rsidRPr="000539EE">
                    <w:t xml:space="preserve"> principles covering governance, regulatory and operational arrangements for water </w:t>
                  </w:r>
                  <w:r>
                    <w:t xml:space="preserve">trading and </w:t>
                  </w:r>
                  <w:r w:rsidRPr="000539EE">
                    <w:t xml:space="preserve">markets </w:t>
                  </w:r>
                  <w:r>
                    <w:t>to</w:t>
                  </w:r>
                  <w:r w:rsidRPr="000539EE">
                    <w:t xml:space="preserve"> provide </w:t>
                  </w:r>
                  <w:r>
                    <w:t>leading practice</w:t>
                  </w:r>
                  <w:r w:rsidRPr="000539EE">
                    <w:t xml:space="preserve"> foundations for developing markets.</w:t>
                  </w:r>
                  <w:r>
                    <w:t xml:space="preserve"> (7.2)</w:t>
                  </w:r>
                </w:p>
                <w:p w14:paraId="660ADDED" w14:textId="77777777" w:rsidR="001054C3" w:rsidRPr="005F6993" w:rsidRDefault="001054C3" w:rsidP="00234FBE">
                  <w:pPr>
                    <w:pStyle w:val="TableBullet"/>
                  </w:pPr>
                  <w:r>
                    <w:t>Provide information to support efficient water markets. (7.3)</w:t>
                  </w:r>
                </w:p>
              </w:tc>
            </w:tr>
          </w:tbl>
          <w:p w14:paraId="35881A14" w14:textId="77777777" w:rsidR="001054C3" w:rsidRPr="00FD59E5" w:rsidRDefault="001054C3" w:rsidP="00234FBE">
            <w:pPr>
              <w:keepNext/>
              <w:spacing w:line="20" w:lineRule="exact"/>
              <w:jc w:val="both"/>
              <w:rPr>
                <w:rFonts w:ascii="Arial" w:hAnsi="Arial"/>
                <w:sz w:val="20"/>
                <w:szCs w:val="20"/>
              </w:rPr>
            </w:pPr>
          </w:p>
        </w:tc>
      </w:tr>
      <w:tr w:rsidR="001054C3" w:rsidRPr="00FD59E5" w14:paraId="52429010" w14:textId="77777777" w:rsidTr="00234FBE">
        <w:tc>
          <w:tcPr>
            <w:tcW w:w="5000" w:type="pct"/>
            <w:tcBorders>
              <w:top w:val="nil"/>
              <w:left w:val="nil"/>
              <w:bottom w:val="nil"/>
              <w:right w:val="nil"/>
            </w:tcBorders>
          </w:tcPr>
          <w:p w14:paraId="30373D97" w14:textId="77777777" w:rsidR="001054C3" w:rsidRPr="00FD59E5" w:rsidRDefault="001054C3" w:rsidP="00234FBE">
            <w:pPr>
              <w:pStyle w:val="Continued"/>
            </w:pPr>
            <w:r>
              <w:t>(continued next page)</w:t>
            </w:r>
          </w:p>
        </w:tc>
      </w:tr>
      <w:tr w:rsidR="001054C3" w:rsidRPr="00FD59E5" w14:paraId="5EBF1E47" w14:textId="77777777" w:rsidTr="00234FBE">
        <w:tc>
          <w:tcPr>
            <w:tcW w:w="5000" w:type="pct"/>
            <w:tcBorders>
              <w:top w:val="nil"/>
              <w:left w:val="nil"/>
              <w:bottom w:val="single" w:sz="6" w:space="0" w:color="78A22F" w:themeColor="accent1"/>
              <w:right w:val="nil"/>
            </w:tcBorders>
          </w:tcPr>
          <w:p w14:paraId="5E9D9738" w14:textId="77777777" w:rsidR="001054C3" w:rsidRPr="00FD59E5" w:rsidRDefault="001054C3" w:rsidP="00234FBE">
            <w:pPr>
              <w:keepNext/>
              <w:spacing w:line="120" w:lineRule="exact"/>
              <w:jc w:val="both"/>
              <w:rPr>
                <w:rFonts w:ascii="Arial" w:hAnsi="Arial"/>
                <w:sz w:val="20"/>
                <w:szCs w:val="20"/>
              </w:rPr>
            </w:pPr>
          </w:p>
        </w:tc>
      </w:tr>
      <w:tr w:rsidR="001054C3" w:rsidRPr="00FD59E5" w14:paraId="4F3C2657" w14:textId="77777777" w:rsidTr="00234FBE">
        <w:tc>
          <w:tcPr>
            <w:tcW w:w="5000" w:type="pct"/>
            <w:tcBorders>
              <w:top w:val="single" w:sz="6" w:space="0" w:color="78A22F" w:themeColor="accent1"/>
              <w:left w:val="nil"/>
              <w:bottom w:val="nil"/>
              <w:right w:val="nil"/>
            </w:tcBorders>
          </w:tcPr>
          <w:p w14:paraId="64F968F3" w14:textId="77777777" w:rsidR="001054C3" w:rsidRPr="00FD59E5" w:rsidRDefault="001054C3" w:rsidP="00234FBE">
            <w:pPr>
              <w:spacing w:before="60" w:after="60" w:line="80" w:lineRule="exact"/>
              <w:jc w:val="both"/>
              <w:rPr>
                <w:rFonts w:ascii="Arial" w:hAnsi="Arial"/>
                <w:sz w:val="14"/>
                <w:szCs w:val="20"/>
              </w:rPr>
            </w:pPr>
          </w:p>
        </w:tc>
      </w:tr>
    </w:tbl>
    <w:p w14:paraId="5197BF4E" w14:textId="77777777" w:rsidR="001054C3" w:rsidRPr="00FD59E5"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1054C3" w:rsidRPr="00FD59E5" w14:paraId="32E08F28" w14:textId="77777777" w:rsidTr="00234FBE">
        <w:trPr>
          <w:tblHeader/>
        </w:trPr>
        <w:tc>
          <w:tcPr>
            <w:tcW w:w="5000" w:type="pct"/>
            <w:tcBorders>
              <w:top w:val="single" w:sz="6" w:space="0" w:color="78A22F"/>
              <w:left w:val="nil"/>
              <w:bottom w:val="nil"/>
              <w:right w:val="nil"/>
            </w:tcBorders>
          </w:tcPr>
          <w:p w14:paraId="4592FC29" w14:textId="77777777" w:rsidR="001054C3" w:rsidRPr="00FD59E5" w:rsidRDefault="001054C3" w:rsidP="00234FBE">
            <w:pPr>
              <w:keepNext/>
              <w:keepLines/>
              <w:spacing w:before="120" w:after="80" w:line="280" w:lineRule="exact"/>
              <w:ind w:left="1474" w:hanging="1474"/>
              <w:rPr>
                <w:rFonts w:ascii="Arial" w:hAnsi="Arial"/>
                <w:b/>
              </w:rPr>
            </w:pPr>
            <w:r w:rsidRPr="00FD59E5">
              <w:rPr>
                <w:rFonts w:ascii="Arial" w:hAnsi="Arial"/>
              </w:rPr>
              <w:t>Table</w:t>
            </w:r>
            <w:r>
              <w:rPr>
                <w:rFonts w:ascii="Arial" w:hAnsi="Arial"/>
              </w:rPr>
              <w:t> 2</w:t>
            </w:r>
            <w:r w:rsidRPr="00FD59E5">
              <w:rPr>
                <w:rFonts w:ascii="Arial" w:hAnsi="Arial"/>
                <w:b/>
              </w:rPr>
              <w:tab/>
            </w:r>
            <w:r w:rsidRPr="00AA1FFF">
              <w:rPr>
                <w:rStyle w:val="Continuedintitle"/>
                <w:b w:val="0"/>
              </w:rPr>
              <w:t>(continued)</w:t>
            </w:r>
          </w:p>
        </w:tc>
      </w:tr>
      <w:tr w:rsidR="001054C3" w:rsidRPr="00FD59E5" w14:paraId="47146B07" w14:textId="77777777" w:rsidTr="00234FBE">
        <w:tc>
          <w:tcPr>
            <w:tcW w:w="5000" w:type="pct"/>
            <w:tcBorders>
              <w:top w:val="nil"/>
              <w:left w:val="nil"/>
              <w:bottom w:val="nil"/>
              <w:right w:val="nil"/>
            </w:tcBorders>
          </w:tcPr>
          <w:tbl>
            <w:tblPr>
              <w:tblW w:w="5000" w:type="pct"/>
              <w:tblBorders>
                <w:top w:val="single" w:sz="6" w:space="0" w:color="BFBFBF"/>
                <w:bottom w:val="single" w:sz="6" w:space="0" w:color="BFBFBF"/>
                <w:insideH w:val="single" w:sz="6" w:space="0" w:color="BFBFBF"/>
                <w:insideV w:val="single" w:sz="6" w:space="0" w:color="BFBFBF"/>
              </w:tblBorders>
              <w:tblCellMar>
                <w:top w:w="28" w:type="dxa"/>
                <w:left w:w="0" w:type="dxa"/>
                <w:right w:w="0" w:type="dxa"/>
              </w:tblCellMar>
              <w:tblLook w:val="0000" w:firstRow="0" w:lastRow="0" w:firstColumn="0" w:lastColumn="0" w:noHBand="0" w:noVBand="0"/>
            </w:tblPr>
            <w:tblGrid>
              <w:gridCol w:w="8505"/>
            </w:tblGrid>
            <w:tr w:rsidR="001054C3" w:rsidRPr="00887AE6" w14:paraId="270CAE09" w14:textId="77777777" w:rsidTr="00234FBE">
              <w:trPr>
                <w:tblHeader/>
              </w:trPr>
              <w:tc>
                <w:tcPr>
                  <w:tcW w:w="5000" w:type="pct"/>
                  <w:tcMar>
                    <w:top w:w="28" w:type="dxa"/>
                  </w:tcMar>
                </w:tcPr>
                <w:p w14:paraId="6BE0B856" w14:textId="77777777" w:rsidR="001054C3" w:rsidRPr="00887AE6" w:rsidRDefault="001054C3" w:rsidP="00234FBE">
                  <w:pPr>
                    <w:keepNext/>
                    <w:keepLines/>
                    <w:spacing w:before="60" w:after="60"/>
                    <w:ind w:left="1474" w:hanging="1474"/>
                    <w:rPr>
                      <w:rFonts w:ascii="Arial" w:hAnsi="Arial"/>
                      <w:b/>
                      <w:sz w:val="22"/>
                    </w:rPr>
                  </w:pPr>
                  <w:r w:rsidRPr="00887AE6">
                    <w:rPr>
                      <w:rFonts w:ascii="Arial" w:hAnsi="Arial"/>
                      <w:b/>
                      <w:sz w:val="22"/>
                    </w:rPr>
                    <w:t>Environmental management</w:t>
                  </w:r>
                </w:p>
              </w:tc>
            </w:tr>
            <w:tr w:rsidR="001054C3" w:rsidRPr="00887AE6" w14:paraId="47A20067" w14:textId="77777777" w:rsidTr="00234FBE">
              <w:trPr>
                <w:tblHeader/>
              </w:trPr>
              <w:tc>
                <w:tcPr>
                  <w:tcW w:w="5000" w:type="pct"/>
                  <w:tcMar>
                    <w:top w:w="28" w:type="dxa"/>
                  </w:tcMar>
                </w:tcPr>
                <w:p w14:paraId="2C7D4D3D" w14:textId="77777777" w:rsidR="001054C3" w:rsidRPr="00EF34E9" w:rsidRDefault="001054C3" w:rsidP="00234FBE">
                  <w:pPr>
                    <w:pStyle w:val="TableBullet"/>
                    <w:rPr>
                      <w:spacing w:val="-2"/>
                    </w:rPr>
                  </w:pPr>
                  <w:r w:rsidRPr="00EF34E9">
                    <w:rPr>
                      <w:spacing w:val="-2"/>
                    </w:rPr>
                    <w:t>Adopt best</w:t>
                  </w:r>
                  <w:r w:rsidRPr="00EF34E9">
                    <w:rPr>
                      <w:spacing w:val="-2"/>
                    </w:rPr>
                    <w:noBreakHyphen/>
                    <w:t>practice development of environmental objectives and agreed environmental outcomes. (8.1)</w:t>
                  </w:r>
                </w:p>
                <w:p w14:paraId="5E08D8F4" w14:textId="77777777" w:rsidR="001054C3" w:rsidRPr="00BF345D" w:rsidRDefault="001054C3" w:rsidP="00234FBE">
                  <w:pPr>
                    <w:pStyle w:val="TableBullet"/>
                    <w:rPr>
                      <w:spacing w:val="-2"/>
                    </w:rPr>
                  </w:pPr>
                  <w:r w:rsidRPr="00BF345D">
                    <w:rPr>
                      <w:spacing w:val="-2"/>
                    </w:rPr>
                    <w:t>Integrate management of environmental water and complementary natural resource management. (8.2)</w:t>
                  </w:r>
                </w:p>
                <w:p w14:paraId="1477E089" w14:textId="77777777" w:rsidR="001054C3" w:rsidRDefault="001054C3" w:rsidP="00234FBE">
                  <w:pPr>
                    <w:pStyle w:val="TableBullet"/>
                  </w:pPr>
                  <w:r>
                    <w:t>Where not in place, e</w:t>
                  </w:r>
                  <w:r w:rsidRPr="00D74003">
                    <w:t>stablish a formal institutional oversight responsibility for wetland and waterway management</w:t>
                  </w:r>
                  <w:r>
                    <w:t>. (8.3)</w:t>
                  </w:r>
                </w:p>
                <w:p w14:paraId="55ED9DB8" w14:textId="77777777" w:rsidR="001054C3" w:rsidRDefault="001054C3" w:rsidP="00234FBE">
                  <w:pPr>
                    <w:pStyle w:val="TableBullet"/>
                  </w:pPr>
                  <w:r>
                    <w:t>Establish clear processes for reviewing progress on environmental outcomes. (8.4)</w:t>
                  </w:r>
                </w:p>
                <w:p w14:paraId="17C86D4B" w14:textId="77777777" w:rsidR="001054C3" w:rsidRDefault="001054C3" w:rsidP="00234FBE">
                  <w:pPr>
                    <w:pStyle w:val="TableBullet"/>
                  </w:pPr>
                  <w:r>
                    <w:t>Embed criteria for prioritising environmental watering, and objectives for environmental watering under different climate scenarios. (8.5)</w:t>
                  </w:r>
                </w:p>
                <w:p w14:paraId="7F159ABA" w14:textId="77777777" w:rsidR="001054C3" w:rsidRDefault="001054C3" w:rsidP="00234FBE">
                  <w:pPr>
                    <w:pStyle w:val="TableBullet"/>
                  </w:pPr>
                  <w:r>
                    <w:t>Ensure environmental water holders’ trade strategies are in place and transparent. (8.6)</w:t>
                  </w:r>
                </w:p>
                <w:p w14:paraId="7ADDD285" w14:textId="77777777" w:rsidR="001054C3" w:rsidRDefault="001054C3" w:rsidP="00234FBE">
                  <w:pPr>
                    <w:pStyle w:val="TableBullet"/>
                  </w:pPr>
                  <w:r w:rsidRPr="00043D5A">
                    <w:t>Environmental water holders should pursue innovative market approaches.</w:t>
                  </w:r>
                  <w:r>
                    <w:t xml:space="preserve"> (8.7)</w:t>
                  </w:r>
                </w:p>
                <w:p w14:paraId="2AE22963" w14:textId="77777777" w:rsidR="001054C3" w:rsidRDefault="001054C3" w:rsidP="00234FBE">
                  <w:pPr>
                    <w:pStyle w:val="TableBullet"/>
                  </w:pPr>
                  <w:r>
                    <w:t>Enable e</w:t>
                  </w:r>
                  <w:r w:rsidRPr="00043D5A">
                    <w:t>nvironmental water holders to vary their entitlement portfolio over time.</w:t>
                  </w:r>
                  <w:r>
                    <w:t xml:space="preserve"> (8.8)</w:t>
                  </w:r>
                </w:p>
                <w:p w14:paraId="415A7230" w14:textId="77777777" w:rsidR="001054C3" w:rsidRDefault="001054C3" w:rsidP="00234FBE">
                  <w:pPr>
                    <w:pStyle w:val="TableBullet"/>
                  </w:pPr>
                  <w:r>
                    <w:t>Actively pursue public benefit outcomes where they do not compromise environmental outcomes. (8.9)</w:t>
                  </w:r>
                </w:p>
                <w:p w14:paraId="45DB7042" w14:textId="77777777" w:rsidR="001054C3" w:rsidRDefault="001054C3" w:rsidP="00234FBE">
                  <w:pPr>
                    <w:pStyle w:val="TableBullet"/>
                    <w:rPr>
                      <w:spacing w:val="-2"/>
                    </w:rPr>
                  </w:pPr>
                  <w:r w:rsidRPr="00EF34E9">
                    <w:rPr>
                      <w:spacing w:val="-2"/>
                    </w:rPr>
                    <w:t>Independently audit the adequacy and use of environmental water entitlements every three years. (8.10)</w:t>
                  </w:r>
                </w:p>
                <w:p w14:paraId="0E6E5F22" w14:textId="77777777" w:rsidR="001054C3" w:rsidRDefault="001054C3" w:rsidP="00234FBE">
                  <w:pPr>
                    <w:pStyle w:val="TableBullet"/>
                    <w:rPr>
                      <w:spacing w:val="-2"/>
                    </w:rPr>
                  </w:pPr>
                  <w:r>
                    <w:rPr>
                      <w:spacing w:val="-2"/>
                    </w:rPr>
                    <w:t>Obligate system managers to use their best endeavours to achieve agreed outcomes. (8.11)</w:t>
                  </w:r>
                </w:p>
                <w:p w14:paraId="3B4455F2" w14:textId="77777777" w:rsidR="001054C3" w:rsidRPr="00887AE6" w:rsidRDefault="001054C3" w:rsidP="00234FBE">
                  <w:pPr>
                    <w:pStyle w:val="TableBullet"/>
                    <w:rPr>
                      <w:b/>
                      <w:sz w:val="22"/>
                    </w:rPr>
                  </w:pPr>
                  <w:r>
                    <w:rPr>
                      <w:spacing w:val="-2"/>
                    </w:rPr>
                    <w:t>Commit to adaptive management. (8.12)</w:t>
                  </w:r>
                </w:p>
              </w:tc>
            </w:tr>
            <w:tr w:rsidR="001054C3" w:rsidRPr="00887AE6" w14:paraId="7E262900" w14:textId="77777777" w:rsidTr="00234FBE">
              <w:trPr>
                <w:tblHeader/>
              </w:trPr>
              <w:tc>
                <w:tcPr>
                  <w:tcW w:w="5000" w:type="pct"/>
                  <w:tcMar>
                    <w:top w:w="28" w:type="dxa"/>
                  </w:tcMar>
                </w:tcPr>
                <w:p w14:paraId="2CF640F1" w14:textId="77777777" w:rsidR="001054C3" w:rsidRPr="00887AE6" w:rsidRDefault="001054C3" w:rsidP="00234FBE">
                  <w:pPr>
                    <w:keepNext/>
                    <w:keepLines/>
                    <w:spacing w:before="60" w:after="60"/>
                    <w:ind w:left="1474" w:hanging="1474"/>
                    <w:rPr>
                      <w:rFonts w:ascii="Arial" w:hAnsi="Arial"/>
                      <w:b/>
                      <w:sz w:val="22"/>
                    </w:rPr>
                  </w:pPr>
                  <w:r w:rsidRPr="00887AE6">
                    <w:rPr>
                      <w:rFonts w:ascii="Arial" w:hAnsi="Arial"/>
                      <w:b/>
                      <w:sz w:val="22"/>
                    </w:rPr>
                    <w:t>Aboriginal and Torres Strait Islander people</w:t>
                  </w:r>
                  <w:r>
                    <w:rPr>
                      <w:rFonts w:ascii="Arial" w:hAnsi="Arial"/>
                      <w:b/>
                      <w:sz w:val="22"/>
                    </w:rPr>
                    <w:t>’s interests in water</w:t>
                  </w:r>
                </w:p>
              </w:tc>
            </w:tr>
            <w:tr w:rsidR="001054C3" w14:paraId="603C1045" w14:textId="77777777" w:rsidTr="00234FBE">
              <w:tc>
                <w:tcPr>
                  <w:tcW w:w="5000" w:type="pct"/>
                </w:tcPr>
                <w:p w14:paraId="18FFE1D5" w14:textId="77777777" w:rsidR="001054C3" w:rsidRDefault="001054C3" w:rsidP="00234FBE">
                  <w:pPr>
                    <w:pStyle w:val="TableBullet"/>
                  </w:pPr>
                  <w:r>
                    <w:t>Co</w:t>
                  </w:r>
                  <w:r>
                    <w:noBreakHyphen/>
                    <w:t>design a new NWI element dedicated to Aboriginal and Torres Strait Islander people’s interests in water and involvement in water management. (9.1)</w:t>
                  </w:r>
                </w:p>
                <w:p w14:paraId="2B877389" w14:textId="77777777" w:rsidR="001054C3" w:rsidRDefault="001054C3" w:rsidP="00234FBE">
                  <w:pPr>
                    <w:pStyle w:val="TableBullet"/>
                  </w:pPr>
                  <w:r>
                    <w:t>Improve cultural outcomes using existing frameworks. (9.2)</w:t>
                  </w:r>
                </w:p>
                <w:p w14:paraId="0668095E" w14:textId="77777777" w:rsidR="001054C3" w:rsidRDefault="001054C3" w:rsidP="00234FBE">
                  <w:pPr>
                    <w:pStyle w:val="TableBullet"/>
                  </w:pPr>
                  <w:r>
                    <w:t>Improve access to water for economic development. (9.3)</w:t>
                  </w:r>
                </w:p>
              </w:tc>
            </w:tr>
            <w:tr w:rsidR="001054C3" w:rsidRPr="00887AE6" w14:paraId="3F354218" w14:textId="77777777" w:rsidTr="00234FBE">
              <w:tc>
                <w:tcPr>
                  <w:tcW w:w="5000" w:type="pct"/>
                </w:tcPr>
                <w:p w14:paraId="7B491EF3" w14:textId="77777777" w:rsidR="001054C3" w:rsidRPr="00887AE6" w:rsidRDefault="001054C3" w:rsidP="00234FBE">
                  <w:pPr>
                    <w:keepNext/>
                    <w:keepLines/>
                    <w:spacing w:before="60" w:after="60"/>
                    <w:ind w:left="1474" w:hanging="1474"/>
                    <w:rPr>
                      <w:rFonts w:ascii="Arial" w:hAnsi="Arial"/>
                      <w:b/>
                      <w:sz w:val="22"/>
                    </w:rPr>
                  </w:pPr>
                  <w:r>
                    <w:rPr>
                      <w:rFonts w:ascii="Arial" w:hAnsi="Arial"/>
                      <w:b/>
                      <w:sz w:val="22"/>
                    </w:rPr>
                    <w:t>System integrity</w:t>
                  </w:r>
                </w:p>
              </w:tc>
            </w:tr>
            <w:tr w:rsidR="001054C3" w14:paraId="0DE747FE" w14:textId="77777777" w:rsidTr="00234FBE">
              <w:tc>
                <w:tcPr>
                  <w:tcW w:w="5000" w:type="pct"/>
                </w:tcPr>
                <w:p w14:paraId="79356942" w14:textId="77777777" w:rsidR="001054C3" w:rsidRDefault="001054C3" w:rsidP="00234FBE">
                  <w:pPr>
                    <w:pStyle w:val="TableBullet"/>
                  </w:pPr>
                  <w:r>
                    <w:t>Build system integrity through a renewed element. (10.1)</w:t>
                  </w:r>
                </w:p>
                <w:p w14:paraId="11140151" w14:textId="77777777" w:rsidR="001054C3" w:rsidRDefault="001054C3" w:rsidP="00234FBE">
                  <w:pPr>
                    <w:pStyle w:val="TableBullet"/>
                  </w:pPr>
                  <w:r>
                    <w:t>Ensure system integrity through fit</w:t>
                  </w:r>
                  <w:r>
                    <w:noBreakHyphen/>
                    <w:t>for</w:t>
                  </w:r>
                  <w:r>
                    <w:noBreakHyphen/>
                    <w:t>purpose metering and measurement, registers and effective compliance and enforcement systems. (10.2)</w:t>
                  </w:r>
                </w:p>
                <w:p w14:paraId="4783291D" w14:textId="77777777" w:rsidR="001054C3" w:rsidRDefault="001054C3" w:rsidP="00234FBE">
                  <w:pPr>
                    <w:pStyle w:val="TableBullet"/>
                  </w:pPr>
                  <w:r>
                    <w:t>Ensure the integrity of water system management via effective information provision. (10.3)</w:t>
                  </w:r>
                </w:p>
                <w:p w14:paraId="0DCD0937" w14:textId="77777777" w:rsidR="001054C3" w:rsidRDefault="001054C3" w:rsidP="00234FBE">
                  <w:pPr>
                    <w:pStyle w:val="TableBullet"/>
                  </w:pPr>
                  <w:r>
                    <w:t>Ensure information on the broader water context aligns with users’ needs. (10.4)</w:t>
                  </w:r>
                </w:p>
              </w:tc>
            </w:tr>
            <w:tr w:rsidR="001054C3" w:rsidRPr="00B552FD" w14:paraId="2A3A7A27" w14:textId="77777777" w:rsidTr="00234FBE">
              <w:tc>
                <w:tcPr>
                  <w:tcW w:w="5000" w:type="pct"/>
                </w:tcPr>
                <w:p w14:paraId="7CC199E9" w14:textId="77777777" w:rsidR="001054C3" w:rsidRPr="00B552FD" w:rsidRDefault="001054C3" w:rsidP="00234FBE">
                  <w:pPr>
                    <w:keepNext/>
                    <w:keepLines/>
                    <w:spacing w:before="60" w:after="60"/>
                    <w:ind w:left="1474" w:hanging="1474"/>
                    <w:rPr>
                      <w:rFonts w:ascii="Arial" w:hAnsi="Arial"/>
                      <w:b/>
                      <w:sz w:val="22"/>
                    </w:rPr>
                  </w:pPr>
                  <w:r>
                    <w:rPr>
                      <w:rFonts w:ascii="Arial" w:hAnsi="Arial"/>
                      <w:b/>
                      <w:sz w:val="22"/>
                    </w:rPr>
                    <w:t>Pricing and institutional arrangements</w:t>
                  </w:r>
                </w:p>
              </w:tc>
            </w:tr>
            <w:tr w:rsidR="001054C3" w:rsidRPr="00B552FD" w14:paraId="6EB35E04" w14:textId="77777777" w:rsidTr="00234FBE">
              <w:tc>
                <w:tcPr>
                  <w:tcW w:w="5000" w:type="pct"/>
                </w:tcPr>
                <w:p w14:paraId="206D0369" w14:textId="77777777" w:rsidR="001054C3" w:rsidRDefault="001054C3" w:rsidP="00234FBE">
                  <w:pPr>
                    <w:pStyle w:val="TableBullet"/>
                    <w:rPr>
                      <w:spacing w:val="-4"/>
                    </w:rPr>
                  </w:pPr>
                  <w:r>
                    <w:rPr>
                      <w:spacing w:val="-4"/>
                    </w:rPr>
                    <w:t>Maintain core principle of cost</w:t>
                  </w:r>
                  <w:r>
                    <w:rPr>
                      <w:spacing w:val="-4"/>
                    </w:rPr>
                    <w:noBreakHyphen/>
                    <w:t>reflective, consumption</w:t>
                  </w:r>
                  <w:r>
                    <w:rPr>
                      <w:spacing w:val="-4"/>
                    </w:rPr>
                    <w:noBreakHyphen/>
                    <w:t>based pricing with full cost recovery. Maintain institutional separation of water resource management, standard setting and regulatory enforcement from service delivery.</w:t>
                  </w:r>
                  <w:r w:rsidRPr="00784B8F">
                    <w:rPr>
                      <w:spacing w:val="-4"/>
                    </w:rPr>
                    <w:t xml:space="preserve"> (11.</w:t>
                  </w:r>
                  <w:r>
                    <w:rPr>
                      <w:spacing w:val="-4"/>
                    </w:rPr>
                    <w:t>1</w:t>
                  </w:r>
                  <w:r w:rsidRPr="00784B8F">
                    <w:rPr>
                      <w:spacing w:val="-4"/>
                    </w:rPr>
                    <w:t>)</w:t>
                  </w:r>
                </w:p>
                <w:p w14:paraId="11289370" w14:textId="77777777" w:rsidR="001054C3" w:rsidRPr="00784B8F" w:rsidRDefault="001054C3" w:rsidP="00234FBE">
                  <w:pPr>
                    <w:pStyle w:val="TableBullet"/>
                    <w:rPr>
                      <w:spacing w:val="-4"/>
                    </w:rPr>
                  </w:pPr>
                  <w:r>
                    <w:rPr>
                      <w:spacing w:val="-4"/>
                    </w:rPr>
                    <w:t>Adopt principles for best</w:t>
                  </w:r>
                  <w:r>
                    <w:rPr>
                      <w:spacing w:val="-4"/>
                    </w:rPr>
                    <w:noBreakHyphen/>
                    <w:t>practice independent economic regulation. Commit to light touch economic oversight for small regional and remote urban water providers and a framework for applying different models where the benefits exceed the costs. (11.2, 11.3)</w:t>
                  </w:r>
                </w:p>
                <w:p w14:paraId="5CACDD51" w14:textId="77777777" w:rsidR="001054C3" w:rsidRPr="00DA1364" w:rsidRDefault="001054C3" w:rsidP="00234FBE">
                  <w:pPr>
                    <w:pStyle w:val="TableBullet"/>
                  </w:pPr>
                  <w:r>
                    <w:t>Maintain water service provider performance monitoring and reporting. (11.4)</w:t>
                  </w:r>
                </w:p>
              </w:tc>
            </w:tr>
            <w:tr w:rsidR="001054C3" w:rsidRPr="00B552FD" w14:paraId="69640BAD" w14:textId="77777777" w:rsidTr="00234FBE">
              <w:tc>
                <w:tcPr>
                  <w:tcW w:w="5000" w:type="pct"/>
                </w:tcPr>
                <w:p w14:paraId="722AA760" w14:textId="77777777" w:rsidR="001054C3" w:rsidRDefault="001054C3" w:rsidP="00234FBE">
                  <w:pPr>
                    <w:keepNext/>
                    <w:keepLines/>
                    <w:spacing w:before="60" w:after="60"/>
                    <w:ind w:left="1474" w:hanging="1474"/>
                    <w:rPr>
                      <w:spacing w:val="-4"/>
                    </w:rPr>
                  </w:pPr>
                  <w:r w:rsidRPr="00B552FD">
                    <w:rPr>
                      <w:rFonts w:ascii="Arial" w:hAnsi="Arial"/>
                      <w:b/>
                      <w:sz w:val="22"/>
                    </w:rPr>
                    <w:t>Urban water services</w:t>
                  </w:r>
                </w:p>
              </w:tc>
            </w:tr>
            <w:tr w:rsidR="001054C3" w:rsidRPr="00B552FD" w14:paraId="369CA3AA" w14:textId="77777777" w:rsidTr="00234FBE">
              <w:tc>
                <w:tcPr>
                  <w:tcW w:w="5000" w:type="pct"/>
                </w:tcPr>
                <w:p w14:paraId="3E20EB27" w14:textId="77777777" w:rsidR="001054C3" w:rsidRDefault="001054C3" w:rsidP="00234FBE">
                  <w:pPr>
                    <w:pStyle w:val="TableBullet"/>
                  </w:pPr>
                  <w:r>
                    <w:t xml:space="preserve">Update the </w:t>
                  </w:r>
                  <w:r w:rsidRPr="00236DDE">
                    <w:rPr>
                      <w:i/>
                    </w:rPr>
                    <w:t xml:space="preserve">National Water Urban Planning </w:t>
                  </w:r>
                  <w:r w:rsidRPr="00BA033D">
                    <w:rPr>
                      <w:i/>
                      <w:iCs/>
                    </w:rPr>
                    <w:t>Principles</w:t>
                  </w:r>
                  <w:r>
                    <w:t xml:space="preserve"> and embed them in the NWI. (12.1)</w:t>
                  </w:r>
                </w:p>
                <w:p w14:paraId="0FEA01F3" w14:textId="77777777" w:rsidR="001054C3" w:rsidRDefault="001054C3" w:rsidP="00234FBE">
                  <w:pPr>
                    <w:pStyle w:val="TableBullet"/>
                  </w:pPr>
                  <w:r>
                    <w:t xml:space="preserve">Update and recommit to the </w:t>
                  </w:r>
                  <w:r>
                    <w:rPr>
                      <w:i/>
                    </w:rPr>
                    <w:t>NWI</w:t>
                  </w:r>
                  <w:r w:rsidRPr="00236DDE">
                    <w:rPr>
                      <w:i/>
                    </w:rPr>
                    <w:t xml:space="preserve"> P</w:t>
                  </w:r>
                  <w:r>
                    <w:rPr>
                      <w:i/>
                    </w:rPr>
                    <w:t>ricing</w:t>
                  </w:r>
                  <w:r w:rsidRPr="00236DDE">
                    <w:rPr>
                      <w:i/>
                    </w:rPr>
                    <w:t xml:space="preserve"> </w:t>
                  </w:r>
                  <w:r w:rsidRPr="00BA033D">
                    <w:rPr>
                      <w:i/>
                      <w:iCs/>
                    </w:rPr>
                    <w:t>Principles</w:t>
                  </w:r>
                  <w:r>
                    <w:t>. (12.2)</w:t>
                  </w:r>
                </w:p>
                <w:p w14:paraId="1F598565" w14:textId="77777777" w:rsidR="001054C3" w:rsidRDefault="001054C3" w:rsidP="00234FBE">
                  <w:pPr>
                    <w:pStyle w:val="TableBullet"/>
                  </w:pPr>
                  <w:r>
                    <w:t>Subject all urban water service providers to performance monitoring and reporting. (12.3)</w:t>
                  </w:r>
                </w:p>
                <w:p w14:paraId="485F3D6C" w14:textId="77777777" w:rsidR="001054C3" w:rsidRDefault="001054C3" w:rsidP="00234FBE">
                  <w:pPr>
                    <w:pStyle w:val="TableBullet"/>
                  </w:pPr>
                  <w:r>
                    <w:t>Commit to ensuring</w:t>
                  </w:r>
                  <w:r w:rsidRPr="006F0B7F">
                    <w:t xml:space="preserve"> </w:t>
                  </w:r>
                  <w:r>
                    <w:t xml:space="preserve">affordable </w:t>
                  </w:r>
                  <w:r w:rsidRPr="006F0B7F">
                    <w:t xml:space="preserve">access to a basic level of </w:t>
                  </w:r>
                  <w:r>
                    <w:t>water services for</w:t>
                  </w:r>
                  <w:r w:rsidRPr="006F0B7F">
                    <w:t xml:space="preserve"> all Australians</w:t>
                  </w:r>
                  <w:r>
                    <w:t xml:space="preserve">. At a minimum, these would include </w:t>
                  </w:r>
                  <w:r w:rsidRPr="006F0B7F">
                    <w:t>safe and reliable drinking water</w:t>
                  </w:r>
                  <w:r>
                    <w:t>.</w:t>
                  </w:r>
                  <w:r w:rsidRPr="006F0B7F">
                    <w:t xml:space="preserve"> </w:t>
                  </w:r>
                  <w:r>
                    <w:t>Where subsidies are needed, they should be provided as transparent community service obligation payments. (12.4)</w:t>
                  </w:r>
                </w:p>
                <w:p w14:paraId="08C427E3" w14:textId="77777777" w:rsidR="001054C3" w:rsidRDefault="001054C3" w:rsidP="00234FBE">
                  <w:pPr>
                    <w:pStyle w:val="TableBullet"/>
                  </w:pPr>
                  <w:r>
                    <w:t>Include</w:t>
                  </w:r>
                  <w:r w:rsidRPr="006F0B7F">
                    <w:t xml:space="preserve"> principles for governance of regional and remote water services where local governments retain ownership of utilities</w:t>
                  </w:r>
                  <w:r>
                    <w:t>. (12.5)</w:t>
                  </w:r>
                </w:p>
                <w:p w14:paraId="683AE629" w14:textId="77777777" w:rsidR="001054C3" w:rsidRDefault="001054C3" w:rsidP="00234FBE">
                  <w:pPr>
                    <w:pStyle w:val="TableBullet"/>
                    <w:rPr>
                      <w:spacing w:val="-4"/>
                    </w:rPr>
                  </w:pPr>
                  <w:r>
                    <w:t>Monitor and report on</w:t>
                  </w:r>
                  <w:r w:rsidRPr="006F0B7F">
                    <w:t xml:space="preserve"> water quality and service outcomes in remote Aboriginal and Torres Strait Islander communities</w:t>
                  </w:r>
                  <w:r>
                    <w:t>. (12.6)</w:t>
                  </w:r>
                </w:p>
              </w:tc>
            </w:tr>
          </w:tbl>
          <w:p w14:paraId="323F7265" w14:textId="77777777" w:rsidR="001054C3" w:rsidRPr="00FD59E5" w:rsidRDefault="001054C3" w:rsidP="00234FBE">
            <w:pPr>
              <w:keepNext/>
              <w:spacing w:line="20" w:lineRule="exact"/>
              <w:jc w:val="both"/>
              <w:rPr>
                <w:rFonts w:ascii="Arial" w:hAnsi="Arial"/>
                <w:sz w:val="20"/>
                <w:szCs w:val="20"/>
              </w:rPr>
            </w:pPr>
          </w:p>
        </w:tc>
      </w:tr>
      <w:tr w:rsidR="001054C3" w:rsidRPr="00FD59E5" w14:paraId="34844719" w14:textId="77777777" w:rsidTr="00234FBE">
        <w:tc>
          <w:tcPr>
            <w:tcW w:w="5000" w:type="pct"/>
            <w:tcBorders>
              <w:top w:val="nil"/>
              <w:left w:val="nil"/>
              <w:bottom w:val="nil"/>
              <w:right w:val="nil"/>
            </w:tcBorders>
          </w:tcPr>
          <w:p w14:paraId="755AB951" w14:textId="77777777" w:rsidR="001054C3" w:rsidRPr="00FD59E5" w:rsidRDefault="001054C3" w:rsidP="00234FBE">
            <w:pPr>
              <w:pStyle w:val="Continued"/>
            </w:pPr>
            <w:r>
              <w:t>(continued next page)</w:t>
            </w:r>
          </w:p>
        </w:tc>
      </w:tr>
      <w:tr w:rsidR="001054C3" w:rsidRPr="00FD59E5" w14:paraId="3FF215BD" w14:textId="77777777" w:rsidTr="00234FBE">
        <w:tc>
          <w:tcPr>
            <w:tcW w:w="5000" w:type="pct"/>
            <w:tcBorders>
              <w:top w:val="nil"/>
              <w:left w:val="nil"/>
              <w:bottom w:val="single" w:sz="6" w:space="0" w:color="78A22F"/>
              <w:right w:val="nil"/>
            </w:tcBorders>
          </w:tcPr>
          <w:p w14:paraId="51A8487F" w14:textId="77777777" w:rsidR="001054C3" w:rsidRPr="00FD59E5" w:rsidRDefault="001054C3" w:rsidP="00234FBE">
            <w:pPr>
              <w:keepNext/>
              <w:spacing w:line="120" w:lineRule="exact"/>
              <w:jc w:val="both"/>
              <w:rPr>
                <w:rFonts w:ascii="Arial" w:hAnsi="Arial"/>
                <w:sz w:val="20"/>
                <w:szCs w:val="20"/>
              </w:rPr>
            </w:pPr>
          </w:p>
        </w:tc>
      </w:tr>
      <w:tr w:rsidR="001054C3" w:rsidRPr="00FD59E5" w14:paraId="30F0E500" w14:textId="77777777" w:rsidTr="00C73418">
        <w:tc>
          <w:tcPr>
            <w:tcW w:w="5000" w:type="pct"/>
            <w:tcBorders>
              <w:top w:val="single" w:sz="6" w:space="0" w:color="78A22F"/>
              <w:left w:val="nil"/>
              <w:bottom w:val="nil"/>
              <w:right w:val="nil"/>
            </w:tcBorders>
          </w:tcPr>
          <w:p w14:paraId="4538D930" w14:textId="77777777" w:rsidR="001054C3" w:rsidRPr="00005AAB" w:rsidRDefault="001054C3" w:rsidP="00234FBE">
            <w:pPr>
              <w:spacing w:before="60" w:after="60" w:line="80" w:lineRule="exact"/>
              <w:jc w:val="both"/>
              <w:rPr>
                <w:rFonts w:ascii="Arial" w:hAnsi="Arial"/>
                <w:sz w:val="14"/>
                <w:szCs w:val="20"/>
              </w:rPr>
            </w:pPr>
          </w:p>
        </w:tc>
      </w:tr>
      <w:tr w:rsidR="001054C3" w:rsidRPr="00FD59E5" w14:paraId="51C57283" w14:textId="77777777" w:rsidTr="00C73418">
        <w:tc>
          <w:tcPr>
            <w:tcW w:w="5000" w:type="pct"/>
            <w:tcBorders>
              <w:top w:val="nil"/>
              <w:left w:val="nil"/>
              <w:bottom w:val="nil"/>
              <w:right w:val="nil"/>
            </w:tcBorders>
          </w:tcPr>
          <w:tbl>
            <w:tblPr>
              <w:tblW w:w="5000" w:type="pct"/>
              <w:tblBorders>
                <w:top w:val="single" w:sz="6" w:space="0" w:color="BFBFBF"/>
                <w:bottom w:val="single" w:sz="6" w:space="0" w:color="BFBFBF"/>
                <w:insideH w:val="single" w:sz="6" w:space="0" w:color="BFBFBF"/>
                <w:insideV w:val="single" w:sz="6" w:space="0" w:color="BFBFBF"/>
              </w:tblBorders>
              <w:tblCellMar>
                <w:top w:w="28" w:type="dxa"/>
                <w:left w:w="0" w:type="dxa"/>
                <w:right w:w="0" w:type="dxa"/>
              </w:tblCellMar>
              <w:tblLook w:val="0000" w:firstRow="0" w:lastRow="0" w:firstColumn="0" w:lastColumn="0" w:noHBand="0" w:noVBand="0"/>
            </w:tblPr>
            <w:tblGrid>
              <w:gridCol w:w="8505"/>
            </w:tblGrid>
            <w:tr w:rsidR="001054C3" w:rsidRPr="00887AE6" w14:paraId="73D61EBB" w14:textId="77777777" w:rsidTr="00C73418">
              <w:tc>
                <w:tcPr>
                  <w:tcW w:w="5000" w:type="pct"/>
                </w:tcPr>
                <w:p w14:paraId="248DED52" w14:textId="77777777" w:rsidR="001054C3" w:rsidRPr="00887AE6" w:rsidRDefault="001054C3" w:rsidP="00234FBE">
                  <w:pPr>
                    <w:keepNext/>
                    <w:keepLines/>
                    <w:spacing w:before="60" w:after="60"/>
                    <w:ind w:left="1474" w:hanging="1474"/>
                    <w:rPr>
                      <w:rFonts w:ascii="Arial" w:hAnsi="Arial"/>
                      <w:b/>
                      <w:sz w:val="22"/>
                    </w:rPr>
                  </w:pPr>
                  <w:r>
                    <w:rPr>
                      <w:rFonts w:ascii="Arial" w:hAnsi="Arial"/>
                      <w:b/>
                      <w:sz w:val="22"/>
                    </w:rPr>
                    <w:lastRenderedPageBreak/>
                    <w:t>Infrastructure development</w:t>
                  </w:r>
                </w:p>
              </w:tc>
            </w:tr>
            <w:tr w:rsidR="001054C3" w14:paraId="7ADA32BE" w14:textId="77777777" w:rsidTr="00C73418">
              <w:tc>
                <w:tcPr>
                  <w:tcW w:w="5000" w:type="pct"/>
                </w:tcPr>
                <w:p w14:paraId="7865D1C2" w14:textId="77777777" w:rsidR="001054C3" w:rsidRDefault="001054C3" w:rsidP="00234FBE">
                  <w:pPr>
                    <w:pStyle w:val="TableBullet"/>
                  </w:pPr>
                  <w:r>
                    <w:t>Develop an element to guide investment in water infrastructure. R</w:t>
                  </w:r>
                  <w:r w:rsidRPr="00536D3E">
                    <w:t>estate the high</w:t>
                  </w:r>
                  <w:r>
                    <w:noBreakHyphen/>
                  </w:r>
                  <w:r w:rsidRPr="00536D3E">
                    <w:t>level requirement for</w:t>
                  </w:r>
                  <w:r>
                    <w:t xml:space="preserve"> </w:t>
                  </w:r>
                  <w:r w:rsidRPr="00536D3E">
                    <w:t xml:space="preserve">all infrastructure to be assessed as economically viable and </w:t>
                  </w:r>
                  <w:r>
                    <w:t>ecologically</w:t>
                  </w:r>
                  <w:r w:rsidRPr="00536D3E">
                    <w:t xml:space="preserve"> sustainable prior to the commitment of funding, with cost recovery from users the norm</w:t>
                  </w:r>
                  <w:r>
                    <w:t>. A</w:t>
                  </w:r>
                  <w:r w:rsidRPr="00536D3E">
                    <w:t xml:space="preserve">dd a further requirement that infrastructure development processes are culturally responsive to </w:t>
                  </w:r>
                  <w:r>
                    <w:t>Traditional Owners’ interests to ensure</w:t>
                  </w:r>
                  <w:r w:rsidRPr="00BC2813">
                    <w:t xml:space="preserve"> deep </w:t>
                  </w:r>
                  <w:r>
                    <w:t xml:space="preserve">engagement </w:t>
                  </w:r>
                  <w:r w:rsidRPr="00BC2813">
                    <w:t>and</w:t>
                  </w:r>
                  <w:r>
                    <w:t>, at a minimum,</w:t>
                  </w:r>
                  <w:r w:rsidRPr="00BC2813">
                    <w:t xml:space="preserve"> protection of cultural </w:t>
                  </w:r>
                  <w:r>
                    <w:t>assets.</w:t>
                  </w:r>
                  <w:r w:rsidRPr="00536D3E">
                    <w:t xml:space="preserve"> </w:t>
                  </w:r>
                  <w:r>
                    <w:t>(14.1)</w:t>
                  </w:r>
                </w:p>
                <w:p w14:paraId="752CF9FB" w14:textId="77777777" w:rsidR="001054C3" w:rsidRDefault="001054C3" w:rsidP="00234FBE">
                  <w:pPr>
                    <w:pStyle w:val="TableBullet"/>
                  </w:pPr>
                  <w:r>
                    <w:t>A</w:t>
                  </w:r>
                  <w:r w:rsidRPr="00C61D1E">
                    <w:t xml:space="preserve">gree to criteria </w:t>
                  </w:r>
                  <w:r>
                    <w:t xml:space="preserve">on how major projects can demonstrate </w:t>
                  </w:r>
                  <w:r w:rsidRPr="00C61D1E">
                    <w:t>adherence to the NWI requirements for infrastructure</w:t>
                  </w:r>
                  <w:r>
                    <w:t>. (14.2)</w:t>
                  </w:r>
                </w:p>
                <w:p w14:paraId="597F11C9" w14:textId="77777777" w:rsidR="001054C3" w:rsidRPr="00784B8F" w:rsidRDefault="001054C3" w:rsidP="00234FBE">
                  <w:pPr>
                    <w:pStyle w:val="TableBullet"/>
                    <w:ind w:right="-7"/>
                    <w:rPr>
                      <w:spacing w:val="-2"/>
                    </w:rPr>
                  </w:pPr>
                  <w:r w:rsidRPr="00784B8F">
                    <w:rPr>
                      <w:spacing w:val="-2"/>
                    </w:rPr>
                    <w:t>Clarify institutional roles and responsibilities underpinning government investment. (1</w:t>
                  </w:r>
                  <w:r>
                    <w:rPr>
                      <w:spacing w:val="-2"/>
                    </w:rPr>
                    <w:t>4</w:t>
                  </w:r>
                  <w:r w:rsidRPr="00784B8F">
                    <w:rPr>
                      <w:spacing w:val="-2"/>
                    </w:rPr>
                    <w:t>.3)</w:t>
                  </w:r>
                </w:p>
              </w:tc>
            </w:tr>
            <w:tr w:rsidR="001054C3" w:rsidRPr="00887AE6" w14:paraId="7B82D7F3" w14:textId="77777777" w:rsidTr="00C73418">
              <w:tc>
                <w:tcPr>
                  <w:tcW w:w="5000" w:type="pct"/>
                </w:tcPr>
                <w:p w14:paraId="1FD9A45A" w14:textId="77777777" w:rsidR="001054C3" w:rsidRPr="00887AE6" w:rsidRDefault="001054C3" w:rsidP="00234FBE">
                  <w:pPr>
                    <w:keepNext/>
                    <w:keepLines/>
                    <w:spacing w:before="60" w:after="60"/>
                    <w:ind w:left="1474" w:hanging="1474"/>
                    <w:rPr>
                      <w:rFonts w:ascii="Arial" w:hAnsi="Arial"/>
                      <w:b/>
                      <w:sz w:val="22"/>
                    </w:rPr>
                  </w:pPr>
                  <w:r w:rsidRPr="00887AE6">
                    <w:rPr>
                      <w:rFonts w:ascii="Arial" w:hAnsi="Arial"/>
                      <w:b/>
                      <w:sz w:val="22"/>
                    </w:rPr>
                    <w:t>Community engagement, and adjustment</w:t>
                  </w:r>
                </w:p>
              </w:tc>
            </w:tr>
            <w:tr w:rsidR="001054C3" w14:paraId="0FF9E5BC" w14:textId="77777777" w:rsidTr="00C73418">
              <w:tc>
                <w:tcPr>
                  <w:tcW w:w="5000" w:type="pct"/>
                </w:tcPr>
                <w:p w14:paraId="65A37B83" w14:textId="77777777" w:rsidR="001054C3" w:rsidRPr="00887AE6" w:rsidRDefault="001054C3" w:rsidP="00234FBE">
                  <w:pPr>
                    <w:pStyle w:val="TableBullet"/>
                  </w:pPr>
                  <w:r>
                    <w:t xml:space="preserve">Include guiding principles </w:t>
                  </w:r>
                  <w:r>
                    <w:rPr>
                      <w:rFonts w:asciiTheme="minorHAnsi" w:hAnsiTheme="minorHAnsi" w:cs="Arial"/>
                      <w:szCs w:val="22"/>
                    </w:rPr>
                    <w:t xml:space="preserve">clarifying how governments can </w:t>
                  </w:r>
                  <w:r w:rsidRPr="001A720A">
                    <w:rPr>
                      <w:rFonts w:asciiTheme="minorHAnsi" w:hAnsiTheme="minorHAnsi" w:cs="Arial"/>
                      <w:szCs w:val="22"/>
                    </w:rPr>
                    <w:t>respond</w:t>
                  </w:r>
                  <w:r>
                    <w:rPr>
                      <w:rFonts w:asciiTheme="minorHAnsi" w:hAnsiTheme="minorHAnsi" w:cs="Arial"/>
                      <w:szCs w:val="22"/>
                    </w:rPr>
                    <w:t xml:space="preserve"> </w:t>
                  </w:r>
                  <w:r w:rsidRPr="001A720A">
                    <w:rPr>
                      <w:rFonts w:asciiTheme="minorHAnsi" w:hAnsiTheme="minorHAnsi" w:cs="Arial"/>
                      <w:szCs w:val="22"/>
                    </w:rPr>
                    <w:t xml:space="preserve">to </w:t>
                  </w:r>
                  <w:r>
                    <w:rPr>
                      <w:rFonts w:asciiTheme="minorHAnsi" w:hAnsiTheme="minorHAnsi" w:cs="Arial"/>
                      <w:szCs w:val="22"/>
                    </w:rPr>
                    <w:t xml:space="preserve">any significant community </w:t>
                  </w:r>
                  <w:r w:rsidRPr="001A720A">
                    <w:rPr>
                      <w:rFonts w:asciiTheme="minorHAnsi" w:hAnsiTheme="minorHAnsi" w:cs="Arial"/>
                      <w:szCs w:val="22"/>
                    </w:rPr>
                    <w:t xml:space="preserve">adjustment pressures </w:t>
                  </w:r>
                  <w:r>
                    <w:rPr>
                      <w:rFonts w:asciiTheme="minorHAnsi" w:hAnsiTheme="minorHAnsi" w:cs="Arial"/>
                      <w:szCs w:val="22"/>
                    </w:rPr>
                    <w:t>resulting from policy</w:t>
                  </w:r>
                  <w:r>
                    <w:rPr>
                      <w:rFonts w:asciiTheme="minorHAnsi" w:hAnsiTheme="minorHAnsi" w:cs="Arial"/>
                      <w:szCs w:val="22"/>
                    </w:rPr>
                    <w:noBreakHyphen/>
                    <w:t>induced reductions in</w:t>
                  </w:r>
                  <w:r w:rsidRPr="001A720A">
                    <w:rPr>
                      <w:rFonts w:asciiTheme="minorHAnsi" w:hAnsiTheme="minorHAnsi" w:cs="Arial"/>
                      <w:szCs w:val="22"/>
                    </w:rPr>
                    <w:t xml:space="preserve"> water availability</w:t>
                  </w:r>
                  <w:r>
                    <w:rPr>
                      <w:rFonts w:asciiTheme="minorHAnsi" w:hAnsiTheme="minorHAnsi" w:cs="Arial"/>
                      <w:szCs w:val="22"/>
                    </w:rPr>
                    <w:t>. (13.1)</w:t>
                  </w:r>
                </w:p>
                <w:p w14:paraId="4BC642B5" w14:textId="77777777" w:rsidR="001054C3" w:rsidRDefault="001054C3" w:rsidP="00234FBE">
                  <w:pPr>
                    <w:pStyle w:val="TableBullet"/>
                  </w:pPr>
                  <w:r>
                    <w:t>Recommit to best-practice, cost</w:t>
                  </w:r>
                  <w:r>
                    <w:noBreakHyphen/>
                    <w:t>effective engagement with communities on all water matters. (15.1)</w:t>
                  </w:r>
                </w:p>
              </w:tc>
            </w:tr>
            <w:tr w:rsidR="001054C3" w:rsidRPr="00887AE6" w14:paraId="6F718171" w14:textId="77777777" w:rsidTr="00C73418">
              <w:tc>
                <w:tcPr>
                  <w:tcW w:w="5000" w:type="pct"/>
                </w:tcPr>
                <w:p w14:paraId="00EF17D2" w14:textId="77777777" w:rsidR="001054C3" w:rsidRPr="00887AE6" w:rsidRDefault="001054C3" w:rsidP="00234FBE">
                  <w:pPr>
                    <w:keepNext/>
                    <w:keepLines/>
                    <w:spacing w:before="60" w:after="60"/>
                    <w:ind w:left="1474" w:hanging="1474"/>
                    <w:rPr>
                      <w:rFonts w:ascii="Arial" w:hAnsi="Arial"/>
                      <w:b/>
                      <w:sz w:val="22"/>
                    </w:rPr>
                  </w:pPr>
                  <w:r w:rsidRPr="00887AE6">
                    <w:rPr>
                      <w:rFonts w:ascii="Arial" w:hAnsi="Arial"/>
                      <w:b/>
                      <w:sz w:val="22"/>
                    </w:rPr>
                    <w:t>Knowledge, capacity and capability building</w:t>
                  </w:r>
                </w:p>
              </w:tc>
            </w:tr>
            <w:tr w:rsidR="001054C3" w14:paraId="712ABE23" w14:textId="77777777" w:rsidTr="00C73418">
              <w:tc>
                <w:tcPr>
                  <w:tcW w:w="5000" w:type="pct"/>
                </w:tcPr>
                <w:p w14:paraId="707FC80E" w14:textId="77777777" w:rsidR="001054C3" w:rsidRDefault="001054C3" w:rsidP="00234FBE">
                  <w:pPr>
                    <w:pStyle w:val="TableBullet"/>
                  </w:pPr>
                  <w:r w:rsidRPr="0053359D">
                    <w:t>Commit to a culture of evidence</w:t>
                  </w:r>
                  <w:r>
                    <w:noBreakHyphen/>
                  </w:r>
                  <w:r w:rsidRPr="0053359D">
                    <w:t xml:space="preserve">based decision making, innovation and continuous improvement </w:t>
                  </w:r>
                  <w:r>
                    <w:t>to</w:t>
                  </w:r>
                  <w:r w:rsidRPr="0053359D">
                    <w:t xml:space="preserve"> underpin successful implementation</w:t>
                  </w:r>
                  <w:r>
                    <w:t>. (16.1)</w:t>
                  </w:r>
                </w:p>
              </w:tc>
            </w:tr>
          </w:tbl>
          <w:p w14:paraId="0FCD4B11" w14:textId="77777777" w:rsidR="001054C3" w:rsidRPr="00005AAB" w:rsidRDefault="001054C3" w:rsidP="00234FBE">
            <w:pPr>
              <w:spacing w:before="60" w:after="60" w:line="80" w:lineRule="exact"/>
              <w:jc w:val="both"/>
              <w:rPr>
                <w:rFonts w:ascii="Arial" w:hAnsi="Arial"/>
                <w:sz w:val="14"/>
                <w:szCs w:val="20"/>
              </w:rPr>
            </w:pPr>
          </w:p>
        </w:tc>
      </w:tr>
      <w:tr w:rsidR="001054C3" w:rsidRPr="00FD59E5" w14:paraId="517046B5" w14:textId="77777777" w:rsidTr="00234FBE">
        <w:tc>
          <w:tcPr>
            <w:tcW w:w="5000" w:type="pct"/>
            <w:tcBorders>
              <w:top w:val="nil"/>
              <w:left w:val="nil"/>
              <w:bottom w:val="nil"/>
              <w:right w:val="nil"/>
            </w:tcBorders>
          </w:tcPr>
          <w:p w14:paraId="1EC6F34B" w14:textId="77777777" w:rsidR="001054C3" w:rsidRPr="00FD59E5" w:rsidRDefault="001054C3" w:rsidP="00234FBE">
            <w:pPr>
              <w:pStyle w:val="Note"/>
            </w:pPr>
            <w:r w:rsidRPr="00BA033D">
              <w:rPr>
                <w:rStyle w:val="NoteLabel"/>
              </w:rPr>
              <w:t>a</w:t>
            </w:r>
            <w:r>
              <w:t xml:space="preserve"> This table is a very high</w:t>
            </w:r>
            <w:r>
              <w:noBreakHyphen/>
              <w:t>level summary of the detailed policy advice presented in the report.</w:t>
            </w:r>
          </w:p>
        </w:tc>
      </w:tr>
      <w:tr w:rsidR="001054C3" w:rsidRPr="00FD59E5" w14:paraId="771D9C42" w14:textId="77777777" w:rsidTr="00234FBE">
        <w:tc>
          <w:tcPr>
            <w:tcW w:w="5000" w:type="pct"/>
            <w:tcBorders>
              <w:top w:val="nil"/>
              <w:left w:val="nil"/>
              <w:bottom w:val="single" w:sz="6" w:space="0" w:color="78A22F"/>
              <w:right w:val="nil"/>
            </w:tcBorders>
          </w:tcPr>
          <w:p w14:paraId="5B556C03" w14:textId="77777777" w:rsidR="001054C3" w:rsidRPr="00FD59E5" w:rsidRDefault="001054C3" w:rsidP="00234FBE">
            <w:pPr>
              <w:keepNext/>
              <w:spacing w:line="120" w:lineRule="exact"/>
              <w:jc w:val="both"/>
              <w:rPr>
                <w:rFonts w:ascii="Arial" w:hAnsi="Arial"/>
                <w:sz w:val="20"/>
                <w:szCs w:val="20"/>
              </w:rPr>
            </w:pPr>
          </w:p>
        </w:tc>
      </w:tr>
      <w:tr w:rsidR="001054C3" w:rsidRPr="00FD59E5" w14:paraId="1CA57D89" w14:textId="77777777" w:rsidTr="00234FBE">
        <w:tc>
          <w:tcPr>
            <w:tcW w:w="5000" w:type="pct"/>
            <w:tcBorders>
              <w:top w:val="single" w:sz="6" w:space="0" w:color="78A22F"/>
              <w:left w:val="nil"/>
              <w:bottom w:val="nil"/>
              <w:right w:val="nil"/>
            </w:tcBorders>
          </w:tcPr>
          <w:p w14:paraId="460082C4" w14:textId="77777777" w:rsidR="001054C3" w:rsidRPr="00FD59E5" w:rsidRDefault="001054C3" w:rsidP="00234FBE">
            <w:pPr>
              <w:spacing w:before="60" w:after="60" w:line="80" w:lineRule="exact"/>
              <w:jc w:val="both"/>
              <w:rPr>
                <w:rFonts w:ascii="Arial" w:hAnsi="Arial"/>
                <w:sz w:val="14"/>
                <w:szCs w:val="20"/>
              </w:rPr>
            </w:pPr>
          </w:p>
        </w:tc>
      </w:tr>
    </w:tbl>
    <w:p w14:paraId="4B15EF34" w14:textId="77777777" w:rsidR="001054C3" w:rsidRDefault="001054C3" w:rsidP="00120072">
      <w:pPr>
        <w:pStyle w:val="BodyText"/>
      </w:pPr>
    </w:p>
    <w:p w14:paraId="23866F57" w14:textId="77777777" w:rsidR="001054C3" w:rsidRDefault="001054C3" w:rsidP="001054C3">
      <w:pPr>
        <w:sectPr w:rsidR="001054C3" w:rsidSect="00A41F1A">
          <w:headerReference w:type="even" r:id="rId36"/>
          <w:headerReference w:type="default" r:id="rId37"/>
          <w:footerReference w:type="even" r:id="rId38"/>
          <w:footerReference w:type="default" r:id="rId39"/>
          <w:pgSz w:w="11907" w:h="16840" w:code="9"/>
          <w:pgMar w:top="1985" w:right="1304" w:bottom="1247" w:left="1814" w:header="1701" w:footer="397" w:gutter="0"/>
          <w:pgNumType w:start="1" w:chapSep="period"/>
          <w:cols w:space="720"/>
          <w:docGrid w:linePitch="326"/>
        </w:sectPr>
      </w:pPr>
    </w:p>
    <w:p w14:paraId="776A2116" w14:textId="77777777" w:rsidR="001054C3" w:rsidRDefault="001054C3" w:rsidP="00234FBE">
      <w:pPr>
        <w:pStyle w:val="Heading1"/>
        <w:spacing w:before="0"/>
      </w:pPr>
      <w:bookmarkStart w:id="24" w:name="_Toc63112442"/>
      <w:bookmarkStart w:id="25" w:name="_Toc72939479"/>
      <w:r>
        <w:lastRenderedPageBreak/>
        <w:t>1</w:t>
      </w:r>
      <w:r>
        <w:tab/>
      </w:r>
      <w:bookmarkStart w:id="26" w:name="ChapterTitle"/>
      <w:r>
        <w:t>About the inquiry</w:t>
      </w:r>
      <w:bookmarkEnd w:id="24"/>
      <w:bookmarkEnd w:id="25"/>
      <w:bookmarkEnd w:id="26"/>
    </w:p>
    <w:p w14:paraId="3D8449F2" w14:textId="77777777" w:rsidR="001054C3" w:rsidRPr="001C5DC4" w:rsidRDefault="001054C3" w:rsidP="00234FBE">
      <w:pPr>
        <w:pStyle w:val="BodyText"/>
      </w:pPr>
      <w:r w:rsidRPr="001C5DC4">
        <w:t xml:space="preserve">In May 2020, the Australian Government </w:t>
      </w:r>
      <w:r>
        <w:t>asked</w:t>
      </w:r>
      <w:r w:rsidRPr="001C5DC4">
        <w:t xml:space="preserve"> the Productivity Commission </w:t>
      </w:r>
      <w:r>
        <w:t xml:space="preserve">to </w:t>
      </w:r>
      <w:r w:rsidRPr="001C5DC4">
        <w:t xml:space="preserve">undertake its second triennial assessment of jurisdictions’ progress towards achieving the objectives and outcomes of the National Water Initiative (NWI), and </w:t>
      </w:r>
      <w:r>
        <w:t xml:space="preserve">to </w:t>
      </w:r>
      <w:r w:rsidRPr="001C5DC4">
        <w:t>provide practical advice on future national water reform directions.</w:t>
      </w:r>
      <w:r w:rsidRPr="00CE01ED">
        <w:rPr>
          <w:rStyle w:val="FootnoteReference"/>
        </w:rPr>
        <w:footnoteReference w:id="3"/>
      </w:r>
      <w:r w:rsidRPr="001C5DC4">
        <w:t xml:space="preserve"> This report summarises the assessment and the Commission’s advice.</w:t>
      </w:r>
    </w:p>
    <w:p w14:paraId="1715939F" w14:textId="24D3B8AC" w:rsidR="001054C3" w:rsidRDefault="001054C3" w:rsidP="00234FBE">
      <w:pPr>
        <w:pStyle w:val="Heading2"/>
      </w:pPr>
      <w:bookmarkStart w:id="27" w:name="_Toc72939480"/>
      <w:r>
        <w:t>1.</w:t>
      </w:r>
      <w:r>
        <w:rPr>
          <w:noProof/>
        </w:rPr>
        <w:t>1</w:t>
      </w:r>
      <w:bookmarkStart w:id="28" w:name="_Toc63112443"/>
      <w:r>
        <w:tab/>
        <w:t>Context for the inquiry</w:t>
      </w:r>
      <w:bookmarkEnd w:id="27"/>
      <w:bookmarkEnd w:id="28"/>
    </w:p>
    <w:p w14:paraId="31CCF1E9" w14:textId="77777777" w:rsidR="001054C3" w:rsidRPr="00732E07" w:rsidRDefault="001054C3" w:rsidP="00234FBE">
      <w:pPr>
        <w:pStyle w:val="Heading3"/>
        <w:spacing w:before="280"/>
      </w:pPr>
      <w:r>
        <w:t>Water presents significant policy challenges</w:t>
      </w:r>
    </w:p>
    <w:p w14:paraId="1E69457F" w14:textId="5446CBFE" w:rsidR="001054C3" w:rsidRDefault="001054C3" w:rsidP="00234FBE">
      <w:pPr>
        <w:pStyle w:val="BodyText"/>
      </w:pPr>
      <w:r>
        <w:t xml:space="preserve">Water is a particularly precious and challenging resource. Much of the Australian continent is very dry. Rainfall patterns tend to be highly variable. </w:t>
      </w:r>
      <w:r w:rsidRPr="001B46EA">
        <w:t>Recurrent</w:t>
      </w:r>
      <w:r>
        <w:t xml:space="preserve"> and prolonged droughts and large floods are the norm. And in some catchments, water is heavily used (figure 1.1).</w:t>
      </w:r>
    </w:p>
    <w:p w14:paraId="479BE869" w14:textId="77777777" w:rsidR="001054C3" w:rsidRDefault="001054C3" w:rsidP="00234FBE">
      <w:pPr>
        <w:pStyle w:val="BodyText"/>
      </w:pPr>
      <w:r>
        <w:t>Given these characteristics, water has to be stored, distributed as needed and carefully managed. Water infrastructure has been essential to meeting the needs of growing urban populations and to expanding agricultural output, and water in landscapes is integral to the health of people and the environment (box 1.1).</w:t>
      </w:r>
    </w:p>
    <w:p w14:paraId="432FE4BA"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3D121DE5" w14:textId="77777777" w:rsidTr="00234FBE">
        <w:trPr>
          <w:tblHeader/>
        </w:trPr>
        <w:tc>
          <w:tcPr>
            <w:tcW w:w="5000" w:type="pct"/>
            <w:tcBorders>
              <w:top w:val="single" w:sz="6" w:space="0" w:color="78A22F" w:themeColor="accent1"/>
              <w:left w:val="nil"/>
              <w:bottom w:val="nil"/>
              <w:right w:val="nil"/>
            </w:tcBorders>
            <w:shd w:val="clear" w:color="auto" w:fill="auto"/>
          </w:tcPr>
          <w:p w14:paraId="1F669295" w14:textId="74820DEB" w:rsidR="001054C3" w:rsidRPr="00176D3F" w:rsidRDefault="001054C3" w:rsidP="00234FBE">
            <w:pPr>
              <w:pStyle w:val="FigureTitle"/>
            </w:pPr>
            <w:r w:rsidRPr="00784A05">
              <w:rPr>
                <w:b w:val="0"/>
              </w:rPr>
              <w:t xml:space="preserve">Figure </w:t>
            </w:r>
            <w:bookmarkStart w:id="29" w:name="OLE_LINK1"/>
            <w:r>
              <w:rPr>
                <w:b w:val="0"/>
              </w:rPr>
              <w:t>1.</w:t>
            </w:r>
            <w:r>
              <w:rPr>
                <w:b w:val="0"/>
                <w:noProof/>
              </w:rPr>
              <w:t>1</w:t>
            </w:r>
            <w:bookmarkEnd w:id="29"/>
            <w:r>
              <w:tab/>
              <w:t>Water is a challenging resource for Australia</w:t>
            </w:r>
          </w:p>
        </w:tc>
      </w:tr>
      <w:tr w:rsidR="001054C3" w14:paraId="4E2A3BEB"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44"/>
              <w:gridCol w:w="4260"/>
            </w:tblGrid>
            <w:tr w:rsidR="001054C3" w:rsidRPr="00B1465D" w14:paraId="08ED0CF6" w14:textId="77777777" w:rsidTr="00234FBE">
              <w:trPr>
                <w:tblHeader/>
                <w:jc w:val="center"/>
              </w:trPr>
              <w:tc>
                <w:tcPr>
                  <w:tcW w:w="2500" w:type="pct"/>
                  <w:tcBorders>
                    <w:top w:val="nil"/>
                    <w:bottom w:val="nil"/>
                  </w:tcBorders>
                </w:tcPr>
                <w:p w14:paraId="7B11A3C5" w14:textId="77777777" w:rsidR="001054C3" w:rsidRPr="00B1465D" w:rsidRDefault="001054C3" w:rsidP="00234FBE">
                  <w:pPr>
                    <w:pStyle w:val="Figure"/>
                    <w:spacing w:before="60" w:after="60"/>
                    <w:rPr>
                      <w:rFonts w:ascii="Arial" w:hAnsi="Arial" w:cs="Arial"/>
                      <w:sz w:val="18"/>
                      <w:szCs w:val="18"/>
                    </w:rPr>
                  </w:pPr>
                  <w:r w:rsidRPr="00485BCA">
                    <w:rPr>
                      <w:rFonts w:ascii="Arial" w:hAnsi="Arial" w:cs="Arial"/>
                      <w:noProof/>
                      <w:sz w:val="18"/>
                      <w:szCs w:val="18"/>
                    </w:rPr>
                    <w:drawing>
                      <wp:inline distT="0" distB="0" distL="0" distR="0" wp14:anchorId="0ADE5699" wp14:editId="0EACEA4D">
                        <wp:extent cx="2667000" cy="2019300"/>
                        <wp:effectExtent l="0" t="0" r="0" b="0"/>
                        <wp:docPr id="19" name="Picture 19" descr="Figure 1.1.a. This figure presents a map of Australia showing water run off in megalitres per hectare in different areas. The darker the colour of an area, the higher the level of run off (to a maximum of &gt;10 megalitres per hectare. Data are from 2011. The key message is that much of the continent is very dry (and has highly variable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019300"/>
                                </a:xfrm>
                                <a:prstGeom prst="rect">
                                  <a:avLst/>
                                </a:prstGeom>
                                <a:noFill/>
                                <a:ln>
                                  <a:noFill/>
                                </a:ln>
                              </pic:spPr>
                            </pic:pic>
                          </a:graphicData>
                        </a:graphic>
                      </wp:inline>
                    </w:drawing>
                  </w:r>
                </w:p>
              </w:tc>
              <w:tc>
                <w:tcPr>
                  <w:tcW w:w="2500" w:type="pct"/>
                  <w:tcBorders>
                    <w:top w:val="nil"/>
                    <w:bottom w:val="nil"/>
                  </w:tcBorders>
                </w:tcPr>
                <w:p w14:paraId="6EC4A4A4" w14:textId="77777777" w:rsidR="001054C3" w:rsidRPr="00B1465D" w:rsidRDefault="001054C3" w:rsidP="00234FBE">
                  <w:pPr>
                    <w:pStyle w:val="Figure"/>
                    <w:spacing w:before="60" w:after="60"/>
                    <w:rPr>
                      <w:rFonts w:ascii="Arial" w:hAnsi="Arial" w:cs="Arial"/>
                      <w:sz w:val="18"/>
                      <w:szCs w:val="18"/>
                    </w:rPr>
                  </w:pPr>
                  <w:r w:rsidRPr="001430A8">
                    <w:rPr>
                      <w:rFonts w:ascii="Arial" w:hAnsi="Arial" w:cs="Arial"/>
                      <w:noProof/>
                      <w:sz w:val="18"/>
                      <w:szCs w:val="18"/>
                    </w:rPr>
                    <w:drawing>
                      <wp:inline distT="0" distB="0" distL="0" distR="0" wp14:anchorId="1AA540BA" wp14:editId="627EC98A">
                        <wp:extent cx="2705100" cy="2049780"/>
                        <wp:effectExtent l="0" t="0" r="0" b="0"/>
                        <wp:docPr id="9" name="Picture 9" descr="Figure 1.1. Panel B. This figure presents a map of Australia showing the percentage of available water resources used in different areas. The darker the colour of an area, the higher the percentages (to a maximum of &gt; 10 megalitres per hectare. Data are from 2011. The key message is that water is heavily used in som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1. Panel B. This figure presents a map of Australia showing the percentage of available water resources used in different areas. The darker the colour of an area, the higher the percentages (to a maximum of &gt; 10 megalitres per hectare. Data are from 2011. The key message is that water is heavily used in some are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100" cy="2049780"/>
                                </a:xfrm>
                                <a:prstGeom prst="rect">
                                  <a:avLst/>
                                </a:prstGeom>
                                <a:noFill/>
                                <a:ln>
                                  <a:noFill/>
                                </a:ln>
                              </pic:spPr>
                            </pic:pic>
                          </a:graphicData>
                        </a:graphic>
                      </wp:inline>
                    </w:drawing>
                  </w:r>
                </w:p>
              </w:tc>
            </w:tr>
          </w:tbl>
          <w:p w14:paraId="0916E3B5" w14:textId="77777777" w:rsidR="001054C3" w:rsidRDefault="001054C3" w:rsidP="00234FBE">
            <w:pPr>
              <w:pStyle w:val="Figure"/>
            </w:pPr>
          </w:p>
        </w:tc>
      </w:tr>
      <w:tr w:rsidR="001054C3" w:rsidRPr="00176D3F" w14:paraId="30526315" w14:textId="77777777" w:rsidTr="00234FBE">
        <w:tc>
          <w:tcPr>
            <w:tcW w:w="5000" w:type="pct"/>
            <w:tcBorders>
              <w:top w:val="nil"/>
              <w:left w:val="nil"/>
              <w:bottom w:val="nil"/>
              <w:right w:val="nil"/>
            </w:tcBorders>
            <w:shd w:val="clear" w:color="auto" w:fill="auto"/>
          </w:tcPr>
          <w:p w14:paraId="454983CF" w14:textId="096671B4" w:rsidR="001054C3" w:rsidRPr="00176D3F" w:rsidRDefault="001054C3" w:rsidP="00234FBE">
            <w:pPr>
              <w:pStyle w:val="Source"/>
            </w:pPr>
            <w:r>
              <w:rPr>
                <w:i/>
              </w:rPr>
              <w:t>S</w:t>
            </w:r>
            <w:r w:rsidRPr="00784A05">
              <w:rPr>
                <w:i/>
              </w:rPr>
              <w:t>ource</w:t>
            </w:r>
            <w:r w:rsidRPr="00176D3F">
              <w:t>:</w:t>
            </w:r>
            <w:r>
              <w:t xml:space="preserve"> Prosser </w:t>
            </w:r>
            <w:r w:rsidRPr="00A85050">
              <w:rPr>
                <w:rFonts w:cs="Arial"/>
              </w:rPr>
              <w:t>(2011)</w:t>
            </w:r>
            <w:r>
              <w:t>.</w:t>
            </w:r>
          </w:p>
        </w:tc>
      </w:tr>
      <w:tr w:rsidR="001054C3" w14:paraId="6F97F663" w14:textId="77777777" w:rsidTr="00234FBE">
        <w:tc>
          <w:tcPr>
            <w:tcW w:w="5000" w:type="pct"/>
            <w:tcBorders>
              <w:top w:val="nil"/>
              <w:left w:val="nil"/>
              <w:bottom w:val="single" w:sz="6" w:space="0" w:color="78A22F" w:themeColor="accent1"/>
              <w:right w:val="nil"/>
            </w:tcBorders>
            <w:shd w:val="clear" w:color="auto" w:fill="auto"/>
          </w:tcPr>
          <w:p w14:paraId="63AFF006" w14:textId="77777777" w:rsidR="001054C3" w:rsidRDefault="001054C3" w:rsidP="00234FBE">
            <w:pPr>
              <w:pStyle w:val="Figurespace"/>
            </w:pPr>
          </w:p>
        </w:tc>
      </w:tr>
      <w:tr w:rsidR="001054C3" w:rsidRPr="000863A5" w14:paraId="6A6FDA94" w14:textId="77777777" w:rsidTr="00234FBE">
        <w:tc>
          <w:tcPr>
            <w:tcW w:w="5000" w:type="pct"/>
            <w:tcBorders>
              <w:top w:val="single" w:sz="6" w:space="0" w:color="78A22F" w:themeColor="accent1"/>
              <w:left w:val="nil"/>
              <w:bottom w:val="nil"/>
              <w:right w:val="nil"/>
            </w:tcBorders>
          </w:tcPr>
          <w:p w14:paraId="33D4167F" w14:textId="77777777" w:rsidR="001054C3" w:rsidRPr="00626D32" w:rsidRDefault="001054C3" w:rsidP="00234FBE">
            <w:pPr>
              <w:pStyle w:val="BoxSpaceBelow"/>
            </w:pPr>
          </w:p>
        </w:tc>
      </w:tr>
    </w:tbl>
    <w:p w14:paraId="602154CD"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36EF5CE2" w14:textId="77777777" w:rsidTr="00234FBE">
        <w:trPr>
          <w:tblHeader/>
        </w:trPr>
        <w:tc>
          <w:tcPr>
            <w:tcW w:w="5000" w:type="pct"/>
            <w:tcBorders>
              <w:top w:val="single" w:sz="6" w:space="0" w:color="78A22F"/>
              <w:left w:val="nil"/>
              <w:bottom w:val="nil"/>
              <w:right w:val="nil"/>
            </w:tcBorders>
            <w:shd w:val="clear" w:color="auto" w:fill="F2F2F2"/>
          </w:tcPr>
          <w:p w14:paraId="79BF3208" w14:textId="22C03142" w:rsidR="001054C3" w:rsidRDefault="001054C3" w:rsidP="00234FBE">
            <w:pPr>
              <w:pStyle w:val="BoxTitle"/>
            </w:pPr>
            <w:r>
              <w:rPr>
                <w:b w:val="0"/>
              </w:rPr>
              <w:t>Box 1.</w:t>
            </w:r>
            <w:r>
              <w:rPr>
                <w:b w:val="0"/>
                <w:noProof/>
              </w:rPr>
              <w:t>1</w:t>
            </w:r>
            <w:r>
              <w:tab/>
              <w:t>Key facts about the water sector</w:t>
            </w:r>
          </w:p>
        </w:tc>
      </w:tr>
      <w:tr w:rsidR="001054C3" w14:paraId="7A59F4B0" w14:textId="77777777" w:rsidTr="00234FBE">
        <w:tc>
          <w:tcPr>
            <w:tcW w:w="5000" w:type="pct"/>
            <w:tcBorders>
              <w:top w:val="nil"/>
              <w:left w:val="nil"/>
              <w:bottom w:val="nil"/>
              <w:right w:val="nil"/>
            </w:tcBorders>
            <w:shd w:val="clear" w:color="auto" w:fill="F2F2F2"/>
          </w:tcPr>
          <w:p w14:paraId="17CB2D3C" w14:textId="58559E0B" w:rsidR="001054C3" w:rsidRDefault="001054C3" w:rsidP="00234FBE">
            <w:pPr>
              <w:pStyle w:val="BoxListBullet"/>
            </w:pPr>
            <w:r w:rsidRPr="00F30DF9">
              <w:t>In 2018</w:t>
            </w:r>
            <w:r>
              <w:noBreakHyphen/>
            </w:r>
            <w:r w:rsidRPr="00F30DF9">
              <w:t xml:space="preserve">19, there </w:t>
            </w:r>
            <w:r>
              <w:t>were</w:t>
            </w:r>
            <w:r w:rsidRPr="00F30DF9">
              <w:t xml:space="preserve"> 39</w:t>
            </w:r>
            <w:r>
              <w:t> </w:t>
            </w:r>
            <w:r w:rsidRPr="00F30DF9">
              <w:t>124</w:t>
            </w:r>
            <w:r>
              <w:t> </w:t>
            </w:r>
            <w:r w:rsidRPr="00F30DF9">
              <w:t>GL of entitlements on issue</w:t>
            </w:r>
            <w:r>
              <w:t>. Entitlements</w:t>
            </w:r>
            <w:r w:rsidRPr="00F30DF9">
              <w:t xml:space="preserve"> govern the amount of water available for use (including </w:t>
            </w:r>
            <w:r>
              <w:t>agricultural</w:t>
            </w:r>
            <w:r w:rsidRPr="00F30DF9">
              <w:t>, industrial</w:t>
            </w:r>
            <w:r>
              <w:t xml:space="preserve">, </w:t>
            </w:r>
            <w:r w:rsidRPr="00F30DF9">
              <w:t xml:space="preserve">urban </w:t>
            </w:r>
            <w:r>
              <w:t xml:space="preserve">and environmental </w:t>
            </w:r>
            <w:r w:rsidRPr="00F30DF9">
              <w:t>uses)</w:t>
            </w:r>
            <w:r>
              <w:t xml:space="preserve"> </w:t>
            </w:r>
            <w:r w:rsidRPr="000F261D">
              <w:rPr>
                <w:rFonts w:cs="Arial"/>
                <w:szCs w:val="24"/>
              </w:rPr>
              <w:t>(BOM 2020a, p. 14)</w:t>
            </w:r>
            <w:r w:rsidRPr="00F30DF9">
              <w:t>.</w:t>
            </w:r>
          </w:p>
          <w:p w14:paraId="6893162F" w14:textId="1AA4029D" w:rsidR="001054C3" w:rsidRDefault="001054C3" w:rsidP="00234FBE">
            <w:pPr>
              <w:pStyle w:val="BoxListBullet"/>
            </w:pPr>
            <w:r>
              <w:t xml:space="preserve">In </w:t>
            </w:r>
            <w:r w:rsidRPr="00597524">
              <w:t>20</w:t>
            </w:r>
            <w:r>
              <w:t>18</w:t>
            </w:r>
            <w:r>
              <w:noBreakHyphen/>
            </w:r>
            <w:r w:rsidRPr="00597524">
              <w:t>1</w:t>
            </w:r>
            <w:r>
              <w:t>9</w:t>
            </w:r>
            <w:r w:rsidRPr="00597524">
              <w:t xml:space="preserve">, </w:t>
            </w:r>
            <w:r>
              <w:t>20</w:t>
            </w:r>
            <w:r w:rsidRPr="00597524">
              <w:t xml:space="preserve"> per cent of </w:t>
            </w:r>
            <w:r>
              <w:t xml:space="preserve">total </w:t>
            </w:r>
            <w:r w:rsidRPr="00597524">
              <w:t>water</w:t>
            </w:r>
            <w:r>
              <w:t xml:space="preserve"> abstractions</w:t>
            </w:r>
            <w:r w:rsidRPr="00597524">
              <w:t xml:space="preserve"> was supplied </w:t>
            </w:r>
            <w:r>
              <w:t xml:space="preserve">for urban use, </w:t>
            </w:r>
            <w:r w:rsidRPr="00597524">
              <w:t>7</w:t>
            </w:r>
            <w:r>
              <w:t>0</w:t>
            </w:r>
            <w:r w:rsidRPr="00597524">
              <w:t xml:space="preserve"> per cent </w:t>
            </w:r>
            <w:r>
              <w:t xml:space="preserve">was </w:t>
            </w:r>
            <w:r w:rsidRPr="00597524">
              <w:t>supplied for agricultural</w:t>
            </w:r>
            <w:r>
              <w:t xml:space="preserve"> uses and 10 per cent for</w:t>
            </w:r>
            <w:r w:rsidRPr="00597524">
              <w:t xml:space="preserve"> industrial uses</w:t>
            </w:r>
            <w:r>
              <w:t xml:space="preserve"> </w:t>
            </w:r>
            <w:r w:rsidR="00C67DB3" w:rsidRPr="00C67DB3">
              <w:rPr>
                <w:rFonts w:cs="Arial"/>
                <w:szCs w:val="24"/>
              </w:rPr>
              <w:t>(BOM 2020e)</w:t>
            </w:r>
            <w:r>
              <w:t>.</w:t>
            </w:r>
          </w:p>
          <w:p w14:paraId="6DC6FC89" w14:textId="71777BA4" w:rsidR="001054C3" w:rsidRDefault="001054C3" w:rsidP="00234FBE">
            <w:pPr>
              <w:pStyle w:val="BoxListBullet"/>
            </w:pPr>
            <w:r>
              <w:t>Expenditure on services provided by the water sector was about $10.1 billion in 2018</w:t>
            </w:r>
            <w:r>
              <w:noBreakHyphen/>
              <w:t xml:space="preserve">19. About 60 per cent of this expenditure was by households, and about 30 per cent by industry and agriculture </w:t>
            </w:r>
            <w:r w:rsidR="00C67DB3" w:rsidRPr="00C67DB3">
              <w:rPr>
                <w:rFonts w:cs="Arial"/>
                <w:szCs w:val="24"/>
              </w:rPr>
              <w:t>(ABS 2020c)</w:t>
            </w:r>
            <w:r>
              <w:t>.</w:t>
            </w:r>
          </w:p>
          <w:p w14:paraId="05D31074" w14:textId="77777777" w:rsidR="001054C3" w:rsidRDefault="001054C3" w:rsidP="00234FBE">
            <w:pPr>
              <w:pStyle w:val="BoxHeading1"/>
            </w:pPr>
            <w:r>
              <w:t>Urban water services</w:t>
            </w:r>
          </w:p>
          <w:p w14:paraId="0D2AEF36" w14:textId="77777777" w:rsidR="001054C3" w:rsidRDefault="001054C3" w:rsidP="00234FBE">
            <w:pPr>
              <w:pStyle w:val="BoxListBullet"/>
            </w:pPr>
            <w:r>
              <w:t>The urban water sector provides Australian cities and towns with potable (drinking quality) water, wastewater services and stormwater management.</w:t>
            </w:r>
          </w:p>
          <w:p w14:paraId="43279F84" w14:textId="38CD5D17" w:rsidR="001054C3" w:rsidRPr="008119C4" w:rsidRDefault="001054C3" w:rsidP="00234FBE">
            <w:pPr>
              <w:pStyle w:val="BoxListBullet"/>
              <w:rPr>
                <w:spacing w:val="-4"/>
              </w:rPr>
            </w:pPr>
            <w:r w:rsidRPr="008119C4">
              <w:rPr>
                <w:spacing w:val="-4"/>
              </w:rPr>
              <w:t>In 2018</w:t>
            </w:r>
            <w:r w:rsidRPr="008119C4">
              <w:rPr>
                <w:spacing w:val="-4"/>
              </w:rPr>
              <w:noBreakHyphen/>
              <w:t xml:space="preserve">19, the median typical residential water supply and sewerage bill was $1460, with residential properties being supplied an average of 192 kilolitres of water </w:t>
            </w:r>
            <w:r w:rsidR="00C67DB3" w:rsidRPr="008119C4">
              <w:rPr>
                <w:rFonts w:cs="Arial"/>
                <w:spacing w:val="-4"/>
                <w:szCs w:val="24"/>
              </w:rPr>
              <w:t>(BOM 2020d, pp. 27, 32)</w:t>
            </w:r>
            <w:r w:rsidRPr="008119C4">
              <w:rPr>
                <w:spacing w:val="-4"/>
              </w:rPr>
              <w:t>.</w:t>
            </w:r>
          </w:p>
          <w:p w14:paraId="621F6DEF" w14:textId="49B1DCB5" w:rsidR="001054C3" w:rsidRPr="00AC5DEB" w:rsidRDefault="001054C3" w:rsidP="00234FBE">
            <w:pPr>
              <w:pStyle w:val="BoxListBullet"/>
            </w:pPr>
            <w:r>
              <w:t>The urban water sector is capital intensive — utility capital expenditure on water and wastewater assets was $4.7 billion in 2019</w:t>
            </w:r>
            <w:r>
              <w:noBreakHyphen/>
              <w:t xml:space="preserve">20 </w:t>
            </w:r>
            <w:r w:rsidR="00C67DB3" w:rsidRPr="00C67DB3">
              <w:rPr>
                <w:rFonts w:cs="Arial"/>
                <w:szCs w:val="24"/>
              </w:rPr>
              <w:t>(BOM 2020g)</w:t>
            </w:r>
            <w:r>
              <w:t>.</w:t>
            </w:r>
          </w:p>
          <w:p w14:paraId="6AC941A3" w14:textId="77777777" w:rsidR="001054C3" w:rsidRPr="00AC5DEB" w:rsidRDefault="001054C3" w:rsidP="00234FBE">
            <w:pPr>
              <w:pStyle w:val="BoxHeading1"/>
            </w:pPr>
            <w:r w:rsidRPr="00AC5DEB">
              <w:t>Water services for agriculture</w:t>
            </w:r>
          </w:p>
          <w:p w14:paraId="45E805EC" w14:textId="2A9B72FD" w:rsidR="001054C3" w:rsidRPr="00AC5DEB" w:rsidRDefault="001054C3" w:rsidP="00234FBE">
            <w:pPr>
              <w:pStyle w:val="BoxListBullet"/>
            </w:pPr>
            <w:r>
              <w:t>Expenditure on rural</w:t>
            </w:r>
            <w:r w:rsidRPr="00AC5DEB">
              <w:t xml:space="preserve"> distribution services was </w:t>
            </w:r>
            <w:r>
              <w:t>over</w:t>
            </w:r>
            <w:r w:rsidRPr="00AC5DEB">
              <w:t xml:space="preserve"> $</w:t>
            </w:r>
            <w:r>
              <w:t>719 </w:t>
            </w:r>
            <w:r w:rsidRPr="00AC5DEB">
              <w:t>million in 201</w:t>
            </w:r>
            <w:r>
              <w:t>8</w:t>
            </w:r>
            <w:r>
              <w:noBreakHyphen/>
            </w:r>
            <w:r w:rsidRPr="00AC5DEB">
              <w:t>1</w:t>
            </w:r>
            <w:r>
              <w:t xml:space="preserve">9 </w:t>
            </w:r>
            <w:r w:rsidR="00C67DB3" w:rsidRPr="00C67DB3">
              <w:rPr>
                <w:rFonts w:cs="Arial"/>
                <w:szCs w:val="24"/>
              </w:rPr>
              <w:t>(ABS 2020c)</w:t>
            </w:r>
            <w:r w:rsidRPr="00AC5DEB">
              <w:t>.</w:t>
            </w:r>
          </w:p>
          <w:p w14:paraId="71380460" w14:textId="6C42B67B" w:rsidR="001054C3" w:rsidRPr="00AC5DEB" w:rsidRDefault="001054C3" w:rsidP="00234FBE">
            <w:pPr>
              <w:pStyle w:val="BoxListBullet"/>
            </w:pPr>
            <w:r w:rsidRPr="00AC5DEB">
              <w:t>These services contributed to irrigated agriculture produ</w:t>
            </w:r>
            <w:r>
              <w:t>ction worth $16.4 billion in 2018</w:t>
            </w:r>
            <w:r>
              <w:noBreakHyphen/>
            </w:r>
            <w:r w:rsidRPr="00AC5DEB">
              <w:t>1</w:t>
            </w:r>
            <w:r>
              <w:t xml:space="preserve">9 </w:t>
            </w:r>
            <w:r w:rsidR="00C67DB3" w:rsidRPr="00C67DB3">
              <w:rPr>
                <w:rFonts w:cs="Arial"/>
                <w:szCs w:val="24"/>
              </w:rPr>
              <w:t>(ABS 2020c)</w:t>
            </w:r>
            <w:r>
              <w:t>,</w:t>
            </w:r>
            <w:r w:rsidRPr="00AC5DEB">
              <w:t xml:space="preserve"> comprising 27 per cent of total agricultural production</w:t>
            </w:r>
            <w:r>
              <w:t xml:space="preserve"> (based on ABS </w:t>
            </w:r>
            <w:r w:rsidRPr="0080702E">
              <w:rPr>
                <w:rFonts w:cs="Arial"/>
              </w:rPr>
              <w:t>(2020a)</w:t>
            </w:r>
            <w:r>
              <w:t>)</w:t>
            </w:r>
            <w:r w:rsidRPr="00AC5DEB">
              <w:t>.</w:t>
            </w:r>
          </w:p>
          <w:p w14:paraId="0D0CC852" w14:textId="76F6B006" w:rsidR="001054C3" w:rsidRPr="00AC5DEB" w:rsidRDefault="001054C3" w:rsidP="00234FBE">
            <w:pPr>
              <w:pStyle w:val="BoxListBullet"/>
            </w:pPr>
            <w:r w:rsidRPr="00AC5DEB">
              <w:t>In 201</w:t>
            </w:r>
            <w:r>
              <w:t>8</w:t>
            </w:r>
            <w:r>
              <w:noBreakHyphen/>
            </w:r>
            <w:r w:rsidRPr="00AC5DEB">
              <w:t>1</w:t>
            </w:r>
            <w:r>
              <w:t>9,</w:t>
            </w:r>
            <w:r w:rsidRPr="00AC5DEB">
              <w:t xml:space="preserve"> the value of entitlements on issue in the </w:t>
            </w:r>
            <w:r>
              <w:t>s</w:t>
            </w:r>
            <w:r w:rsidRPr="00AC5DEB">
              <w:t>outhern Murray</w:t>
            </w:r>
            <w:r>
              <w:t>–</w:t>
            </w:r>
            <w:r w:rsidRPr="00AC5DEB">
              <w:t>Darli</w:t>
            </w:r>
            <w:r>
              <w:t>ng Basin was at least $26 </w:t>
            </w:r>
            <w:r w:rsidRPr="00AC5DEB">
              <w:t>billion</w:t>
            </w:r>
            <w:r>
              <w:t xml:space="preserve"> </w:t>
            </w:r>
            <w:r w:rsidRPr="00BE112C">
              <w:rPr>
                <w:rFonts w:cs="Arial"/>
                <w:szCs w:val="24"/>
              </w:rPr>
              <w:t>(Aither 2019)</w:t>
            </w:r>
            <w:r>
              <w:t>.</w:t>
            </w:r>
          </w:p>
          <w:p w14:paraId="3E6DA591" w14:textId="77777777" w:rsidR="001054C3" w:rsidRPr="00AC5DEB" w:rsidRDefault="001054C3" w:rsidP="00234FBE">
            <w:pPr>
              <w:pStyle w:val="BoxHeading1"/>
              <w:rPr>
                <w:szCs w:val="22"/>
              </w:rPr>
            </w:pPr>
            <w:r w:rsidRPr="00AC5DEB">
              <w:t>Water for the environment</w:t>
            </w:r>
          </w:p>
          <w:p w14:paraId="0F7572DC" w14:textId="77777777" w:rsidR="001054C3" w:rsidRDefault="001054C3" w:rsidP="00234FBE">
            <w:pPr>
              <w:pStyle w:val="BoxListBullet"/>
            </w:pPr>
            <w:r w:rsidRPr="00AC5DEB">
              <w:t xml:space="preserve">Governments have </w:t>
            </w:r>
            <w:r>
              <w:t xml:space="preserve">provided water for the environment through water plans (‘planned environmental water’) and have also </w:t>
            </w:r>
            <w:r w:rsidRPr="00AC5DEB">
              <w:t xml:space="preserve">acquired entitlements </w:t>
            </w:r>
            <w:r>
              <w:t>that</w:t>
            </w:r>
            <w:r w:rsidRPr="00AC5DEB">
              <w:t xml:space="preserve"> are managed for environmental benefit</w:t>
            </w:r>
            <w:r>
              <w:t xml:space="preserve"> (‘</w:t>
            </w:r>
            <w:r w:rsidRPr="00AC5DEB">
              <w:t>held environmental water</w:t>
            </w:r>
            <w:r>
              <w:t>’)</w:t>
            </w:r>
            <w:r w:rsidRPr="00AC5DEB">
              <w:t>.</w:t>
            </w:r>
          </w:p>
          <w:p w14:paraId="27C42AD4" w14:textId="3D7FC423" w:rsidR="001054C3" w:rsidRDefault="001054C3" w:rsidP="00234FBE">
            <w:pPr>
              <w:pStyle w:val="BoxListBullet"/>
            </w:pPr>
            <w:r>
              <w:t xml:space="preserve">In the </w:t>
            </w:r>
            <w:r w:rsidRPr="00AC5DEB">
              <w:t>M</w:t>
            </w:r>
            <w:r>
              <w:t>urray–</w:t>
            </w:r>
            <w:r w:rsidRPr="00AC5DEB">
              <w:t>D</w:t>
            </w:r>
            <w:r>
              <w:t xml:space="preserve">arling </w:t>
            </w:r>
            <w:r w:rsidRPr="00AC5DEB">
              <w:t>B</w:t>
            </w:r>
            <w:r>
              <w:t>asin,</w:t>
            </w:r>
            <w:r w:rsidRPr="009D0A6A">
              <w:t xml:space="preserve"> </w:t>
            </w:r>
            <w:r>
              <w:t>t</w:t>
            </w:r>
            <w:r w:rsidRPr="009D0A6A">
              <w:t>he total volume of held environmental water entitlements (of varying reliabilities) in 2018</w:t>
            </w:r>
            <w:r>
              <w:noBreakHyphen/>
            </w:r>
            <w:r w:rsidRPr="009D0A6A">
              <w:t xml:space="preserve">19 was </w:t>
            </w:r>
            <w:r>
              <w:t>4635 GL</w:t>
            </w:r>
            <w:r w:rsidRPr="009D0A6A">
              <w:t xml:space="preserve">, or </w:t>
            </w:r>
            <w:r>
              <w:t>23 </w:t>
            </w:r>
            <w:r w:rsidRPr="009D0A6A">
              <w:t>per</w:t>
            </w:r>
            <w:r>
              <w:t> </w:t>
            </w:r>
            <w:r w:rsidRPr="009D0A6A">
              <w:t>cent of all entitlements on issue</w:t>
            </w:r>
            <w:r>
              <w:t xml:space="preserve"> </w:t>
            </w:r>
            <w:r w:rsidR="00C67DB3" w:rsidRPr="00C67DB3">
              <w:rPr>
                <w:rFonts w:cs="Arial"/>
                <w:szCs w:val="24"/>
              </w:rPr>
              <w:t>(BOM 2020b; MDBA 2020c, pp. 128, 135)</w:t>
            </w:r>
            <w:r w:rsidRPr="009D0A6A">
              <w:t xml:space="preserve">. </w:t>
            </w:r>
          </w:p>
          <w:p w14:paraId="2BABD6BE" w14:textId="714A35B7" w:rsidR="001054C3" w:rsidRDefault="001054C3" w:rsidP="00234FBE">
            <w:pPr>
              <w:pStyle w:val="BoxListBullet"/>
            </w:pPr>
            <w:r>
              <w:t>The</w:t>
            </w:r>
            <w:r w:rsidRPr="00C46F75">
              <w:t xml:space="preserve"> Commonwealth environmental water holdings total 28</w:t>
            </w:r>
            <w:r>
              <w:t>76 GL</w:t>
            </w:r>
            <w:r w:rsidRPr="00C46F75">
              <w:t xml:space="preserve"> of registered entitlements </w:t>
            </w:r>
            <w:r>
              <w:t>a</w:t>
            </w:r>
            <w:r w:rsidRPr="00C46F75">
              <w:t>s at 30</w:t>
            </w:r>
            <w:r>
              <w:t> </w:t>
            </w:r>
            <w:r w:rsidRPr="00C46F75">
              <w:t>November</w:t>
            </w:r>
            <w:r>
              <w:t> </w:t>
            </w:r>
            <w:r w:rsidRPr="00C46F75">
              <w:t xml:space="preserve">2020, with a </w:t>
            </w:r>
            <w:r>
              <w:t>l</w:t>
            </w:r>
            <w:r w:rsidRPr="00C46F75">
              <w:t>ong</w:t>
            </w:r>
            <w:r>
              <w:noBreakHyphen/>
            </w:r>
            <w:r w:rsidRPr="00C46F75">
              <w:t>term average annual yield of 1989</w:t>
            </w:r>
            <w:r>
              <w:t xml:space="preserve"> GL </w:t>
            </w:r>
            <w:r w:rsidR="00C67DB3" w:rsidRPr="00C67DB3">
              <w:rPr>
                <w:rFonts w:cs="Arial"/>
                <w:szCs w:val="24"/>
              </w:rPr>
              <w:t>(CEWO 2020a)</w:t>
            </w:r>
            <w:r>
              <w:t>.</w:t>
            </w:r>
          </w:p>
        </w:tc>
      </w:tr>
      <w:tr w:rsidR="001054C3" w14:paraId="53766CA7" w14:textId="77777777" w:rsidTr="00234FBE">
        <w:tc>
          <w:tcPr>
            <w:tcW w:w="5000" w:type="pct"/>
            <w:tcBorders>
              <w:top w:val="nil"/>
              <w:left w:val="nil"/>
              <w:bottom w:val="nil"/>
              <w:right w:val="nil"/>
            </w:tcBorders>
            <w:shd w:val="clear" w:color="auto" w:fill="F2F2F2"/>
          </w:tcPr>
          <w:p w14:paraId="680CF095" w14:textId="77777777" w:rsidR="001054C3" w:rsidRPr="0005688F" w:rsidRDefault="001054C3" w:rsidP="00234FBE">
            <w:pPr>
              <w:pStyle w:val="Note"/>
            </w:pPr>
            <w:r>
              <w:rPr>
                <w:rStyle w:val="NoteLabel"/>
              </w:rPr>
              <w:t>a </w:t>
            </w:r>
            <w:r>
              <w:t>Wa</w:t>
            </w:r>
            <w:r w:rsidRPr="007E41A1">
              <w:t>ter</w:t>
            </w:r>
            <w:r>
              <w:t xml:space="preserve"> supply and wastewater, excluding bulk providers and utilities with fewer than 10 000 connections.</w:t>
            </w:r>
          </w:p>
        </w:tc>
      </w:tr>
      <w:tr w:rsidR="001054C3" w14:paraId="23157F2A" w14:textId="77777777" w:rsidTr="00234FBE">
        <w:tc>
          <w:tcPr>
            <w:tcW w:w="5000" w:type="pct"/>
            <w:tcBorders>
              <w:top w:val="nil"/>
              <w:left w:val="nil"/>
              <w:bottom w:val="single" w:sz="6" w:space="0" w:color="78A22F"/>
              <w:right w:val="nil"/>
            </w:tcBorders>
            <w:shd w:val="clear" w:color="auto" w:fill="F2F2F2"/>
          </w:tcPr>
          <w:p w14:paraId="01332B6C" w14:textId="77777777" w:rsidR="001054C3" w:rsidRDefault="001054C3" w:rsidP="00234FBE">
            <w:pPr>
              <w:pStyle w:val="Box"/>
              <w:spacing w:before="0" w:line="120" w:lineRule="exact"/>
            </w:pPr>
          </w:p>
        </w:tc>
      </w:tr>
      <w:tr w:rsidR="001054C3" w:rsidRPr="000863A5" w14:paraId="71EABDFD" w14:textId="77777777" w:rsidTr="00234FBE">
        <w:tc>
          <w:tcPr>
            <w:tcW w:w="5000" w:type="pct"/>
            <w:tcBorders>
              <w:top w:val="single" w:sz="6" w:space="0" w:color="78A22F"/>
              <w:left w:val="nil"/>
              <w:bottom w:val="nil"/>
              <w:right w:val="nil"/>
            </w:tcBorders>
          </w:tcPr>
          <w:p w14:paraId="0ABC3931" w14:textId="77777777" w:rsidR="001054C3" w:rsidRPr="00626D32" w:rsidRDefault="001054C3" w:rsidP="00234FBE">
            <w:pPr>
              <w:pStyle w:val="BoxSpaceBelow"/>
            </w:pPr>
          </w:p>
        </w:tc>
      </w:tr>
    </w:tbl>
    <w:p w14:paraId="55878969" w14:textId="77777777" w:rsidR="001054C3" w:rsidRDefault="001054C3" w:rsidP="00234FBE">
      <w:pPr>
        <w:pStyle w:val="BodyText"/>
      </w:pPr>
      <w:r>
        <w:t>Australia’s water systems and communities have been under significant pressure since the NWI was agreed to 17 years ago.</w:t>
      </w:r>
    </w:p>
    <w:p w14:paraId="4BAF51FE" w14:textId="54D0A510" w:rsidR="001054C3" w:rsidRDefault="001054C3" w:rsidP="00234FBE">
      <w:pPr>
        <w:pStyle w:val="BodyText"/>
      </w:pPr>
      <w:r>
        <w:t>During the mid to late 2000s, Australia experienced the worst years of the Millennium Drought, followed by large</w:t>
      </w:r>
      <w:r>
        <w:noBreakHyphen/>
        <w:t>scale flooding in several areas. And then, from mid</w:t>
      </w:r>
      <w:r>
        <w:noBreakHyphen/>
        <w:t>2017, drought conditions re</w:t>
      </w:r>
      <w:r>
        <w:noBreakHyphen/>
        <w:t xml:space="preserve">emerged across much of New South Wales and parts of Victoria, Queensland, South Australia and Western Australia. By the end of 2019, many communities were facing their largest rainfall deficiencies </w:t>
      </w:r>
      <w:r w:rsidRPr="00123BB4">
        <w:rPr>
          <w:iCs/>
        </w:rPr>
        <w:t>on record</w:t>
      </w:r>
      <w:r>
        <w:t xml:space="preserve">. Agricultural production and incomes </w:t>
      </w:r>
      <w:r>
        <w:lastRenderedPageBreak/>
        <w:t xml:space="preserve">in affected regions fell </w:t>
      </w:r>
      <w:r w:rsidRPr="001D65A6">
        <w:rPr>
          <w:szCs w:val="24"/>
        </w:rPr>
        <w:t>(ABARES 2020)</w:t>
      </w:r>
      <w:r>
        <w:t>, and there were devastating environmental consequences including a number of fish death events throughout Australia, most notably in the lower</w:t>
      </w:r>
      <w:r>
        <w:noBreakHyphen/>
        <w:t xml:space="preserve">Darling River </w:t>
      </w:r>
      <w:r w:rsidRPr="0032377A">
        <w:rPr>
          <w:szCs w:val="24"/>
        </w:rPr>
        <w:t>(DPI (NSW) 2020; Vertessy et al. 2019)</w:t>
      </w:r>
      <w:r>
        <w:t xml:space="preserve">. Drought also forced towns and major cities to introduce water restrictions, with some </w:t>
      </w:r>
      <w:r w:rsidRPr="001B46EA">
        <w:t>regional</w:t>
      </w:r>
      <w:r>
        <w:t xml:space="preserve"> areas having to cart in water as potable sources dried up.</w:t>
      </w:r>
    </w:p>
    <w:p w14:paraId="1FE956BD" w14:textId="77777777" w:rsidR="001054C3" w:rsidRDefault="001054C3" w:rsidP="00234FBE">
      <w:pPr>
        <w:pStyle w:val="BodyText"/>
      </w:pPr>
      <w:r>
        <w:t>During 2020, extreme bushfires early in the year as well as the COVID</w:t>
      </w:r>
      <w:r>
        <w:noBreakHyphen/>
        <w:t>19 pandemic stretched the resources of the agencies responsible for maintaining water supply and water quality, and exposed a number of communities to severe water restrictions and service disruptions. Then in March 2021 came widespread and severe flooding in New South Wales and to a lesser extent in southeast Queensland.</w:t>
      </w:r>
    </w:p>
    <w:p w14:paraId="55B165DA" w14:textId="77777777" w:rsidR="001054C3" w:rsidRDefault="001054C3" w:rsidP="00234FBE">
      <w:pPr>
        <w:pStyle w:val="BodyText"/>
      </w:pPr>
      <w:r>
        <w:t>On top of these climate</w:t>
      </w:r>
      <w:r>
        <w:noBreakHyphen/>
        <w:t>related challenges, allegations of non</w:t>
      </w:r>
      <w:r>
        <w:noBreakHyphen/>
        <w:t>compliance with water licence conditions (</w:t>
      </w:r>
      <w:r w:rsidRPr="00F77E21">
        <w:t xml:space="preserve">in the ABC Four Corners program, </w:t>
      </w:r>
      <w:r w:rsidRPr="006C0C15">
        <w:rPr>
          <w:i/>
        </w:rPr>
        <w:t>Pumped</w:t>
      </w:r>
      <w:r w:rsidRPr="00F77E21">
        <w:t>, July 2017</w:t>
      </w:r>
      <w:r>
        <w:t xml:space="preserve">), and concerns about the transparency of water </w:t>
      </w:r>
      <w:r w:rsidRPr="00F734A9">
        <w:t>management decisions in the Murray–Darling Basin, have undermined public confidence in how Australia’s water resources are being managed</w:t>
      </w:r>
      <w:r>
        <w:t>.</w:t>
      </w:r>
    </w:p>
    <w:p w14:paraId="119D4A31" w14:textId="77777777" w:rsidR="001054C3" w:rsidRDefault="001054C3" w:rsidP="00234FBE">
      <w:pPr>
        <w:pStyle w:val="BodyText"/>
      </w:pPr>
      <w:r>
        <w:t>These challenges have shed light on aspects of the nation’s water resource management and water service provision frameworks that could be enhanced to increase the Australian water sector’s readiness to deal with extreme and unanticipated events.</w:t>
      </w:r>
    </w:p>
    <w:p w14:paraId="5A340627" w14:textId="77777777" w:rsidR="001054C3" w:rsidRDefault="001054C3" w:rsidP="00234FBE">
      <w:pPr>
        <w:pStyle w:val="BodyText"/>
      </w:pPr>
      <w:r>
        <w:t>Looking ahead, c</w:t>
      </w:r>
      <w:r w:rsidRPr="0038500E">
        <w:t>limate change and population growth present significant risks to the security of Australia’s water resources.</w:t>
      </w:r>
      <w:r>
        <w:t xml:space="preserve"> D</w:t>
      </w:r>
      <w:r w:rsidRPr="00F21C4E">
        <w:t xml:space="preserve">rought conditions are likely to </w:t>
      </w:r>
      <w:r>
        <w:t>become</w:t>
      </w:r>
      <w:r w:rsidRPr="00F21C4E">
        <w:t xml:space="preserve"> more frequent</w:t>
      </w:r>
      <w:r>
        <w:t xml:space="preserve">, </w:t>
      </w:r>
      <w:r w:rsidRPr="00F21C4E">
        <w:t>se</w:t>
      </w:r>
      <w:r>
        <w:t>vere and prolonged in some regions</w:t>
      </w:r>
      <w:r w:rsidRPr="00F21C4E">
        <w:t>.</w:t>
      </w:r>
      <w:r>
        <w:t xml:space="preserve"> Higher anticipated demand from a growing population, alongside reductions in supply, will increase water scarcity and put further pressure on all users (including the environment).</w:t>
      </w:r>
    </w:p>
    <w:p w14:paraId="18DCE388" w14:textId="77777777" w:rsidR="001054C3" w:rsidRDefault="001054C3" w:rsidP="00234FBE">
      <w:pPr>
        <w:pStyle w:val="BodyText"/>
      </w:pPr>
      <w:r>
        <w:t xml:space="preserve">Communities will need the capacity to deal with droughts, floods and shocks, and to adapt to the effects of climate change, and significant investments in water infrastructure will be made in the next few decades. </w:t>
      </w:r>
      <w:r w:rsidRPr="00A732F8">
        <w:t xml:space="preserve">Decisions </w:t>
      </w:r>
      <w:r>
        <w:t>made today in response</w:t>
      </w:r>
      <w:r w:rsidRPr="00A732F8">
        <w:t xml:space="preserve"> to </w:t>
      </w:r>
      <w:r>
        <w:t xml:space="preserve">the </w:t>
      </w:r>
      <w:r w:rsidRPr="00A732F8">
        <w:t xml:space="preserve">current and future risks to Australia’s water security will have lasting effects </w:t>
      </w:r>
      <w:r>
        <w:t>on</w:t>
      </w:r>
      <w:r w:rsidRPr="00A732F8">
        <w:t xml:space="preserve"> future generations.</w:t>
      </w:r>
    </w:p>
    <w:p w14:paraId="6D119851" w14:textId="77777777" w:rsidR="001054C3" w:rsidRDefault="001054C3" w:rsidP="00234FBE">
      <w:pPr>
        <w:pStyle w:val="Heading3"/>
      </w:pPr>
      <w:r>
        <w:t>Water has been a focus of significant reform effort</w:t>
      </w:r>
    </w:p>
    <w:p w14:paraId="570D594E" w14:textId="77777777" w:rsidR="001054C3" w:rsidRPr="00001242" w:rsidRDefault="001054C3" w:rsidP="00234FBE">
      <w:pPr>
        <w:pStyle w:val="BodyText"/>
        <w:rPr>
          <w:spacing w:val="-2"/>
        </w:rPr>
      </w:pPr>
      <w:r>
        <w:t>Reflecting the importance of water to the wellbeing of Australian communities, the economy and the environment, governments have implemented significant reforms since the mid</w:t>
      </w:r>
      <w:r>
        <w:noBreakHyphen/>
        <w:t xml:space="preserve">1980s. COAG’s </w:t>
      </w:r>
      <w:r w:rsidRPr="007D28E6">
        <w:t>1994 Water Reform Framework</w:t>
      </w:r>
      <w:r>
        <w:t xml:space="preserve">, the </w:t>
      </w:r>
      <w:r w:rsidRPr="007D28E6">
        <w:t>2004 NWI</w:t>
      </w:r>
      <w:r>
        <w:t xml:space="preserve">, </w:t>
      </w:r>
      <w:r w:rsidRPr="00001242">
        <w:rPr>
          <w:spacing w:val="-2"/>
        </w:rPr>
        <w:t xml:space="preserve">the </w:t>
      </w:r>
      <w:r w:rsidRPr="00001242">
        <w:rPr>
          <w:i/>
          <w:spacing w:val="-2"/>
        </w:rPr>
        <w:t>Water Act 2007</w:t>
      </w:r>
      <w:r w:rsidRPr="00001242">
        <w:rPr>
          <w:spacing w:val="-2"/>
        </w:rPr>
        <w:t xml:space="preserve"> (Cth) and the 2012 Murray–Darling Basin Plan have been key milestones.</w:t>
      </w:r>
    </w:p>
    <w:p w14:paraId="3627E52C" w14:textId="77777777" w:rsidR="001054C3" w:rsidRDefault="001054C3" w:rsidP="00234FBE">
      <w:pPr>
        <w:pStyle w:val="Heading4"/>
      </w:pPr>
      <w:r>
        <w:t>The 2004 National Water Initiative</w:t>
      </w:r>
    </w:p>
    <w:p w14:paraId="338F88AD" w14:textId="77777777" w:rsidR="001054C3" w:rsidRDefault="001054C3" w:rsidP="00234FBE">
      <w:pPr>
        <w:pStyle w:val="BodyText"/>
      </w:pPr>
      <w:r>
        <w:t>In signing the NWI, jurisdictions set out to</w:t>
      </w:r>
      <w:r w:rsidRPr="007D28E6">
        <w:t xml:space="preserve"> establish greater certainty for investment and the environment through clearly specified water access entitlements (perpetual water rights)</w:t>
      </w:r>
      <w:r>
        <w:t>,</w:t>
      </w:r>
      <w:r w:rsidRPr="007D28E6">
        <w:t xml:space="preserve"> </w:t>
      </w:r>
      <w:r w:rsidRPr="007D28E6">
        <w:lastRenderedPageBreak/>
        <w:t>address</w:t>
      </w:r>
      <w:r>
        <w:t>ing</w:t>
      </w:r>
      <w:r w:rsidRPr="007D28E6">
        <w:t xml:space="preserve"> overallocated </w:t>
      </w:r>
      <w:r>
        <w:t xml:space="preserve">water </w:t>
      </w:r>
      <w:r w:rsidRPr="007D28E6">
        <w:t>systems</w:t>
      </w:r>
      <w:r>
        <w:t>,</w:t>
      </w:r>
      <w:r w:rsidRPr="007D28E6">
        <w:t xml:space="preserve"> and improv</w:t>
      </w:r>
      <w:r>
        <w:t xml:space="preserve">ing </w:t>
      </w:r>
      <w:r w:rsidRPr="007D28E6">
        <w:t>the economic efficiency and environmental sustainability of water management for both rural and urban water systems.</w:t>
      </w:r>
    </w:p>
    <w:p w14:paraId="247B1776" w14:textId="23C2EF03" w:rsidR="001054C3" w:rsidRDefault="001054C3" w:rsidP="00234FBE">
      <w:pPr>
        <w:pStyle w:val="BodyText"/>
      </w:pPr>
      <w:r>
        <w:t>Independent, regular reviews of progress are a key requirement of the agreement. Initial reviews were undertaken by the former National Water Commission, with responsibility for three</w:t>
      </w:r>
      <w:r>
        <w:noBreakHyphen/>
        <w:t xml:space="preserve">yearly reviews transferred to the Productivity Commission in 2015 under the </w:t>
      </w:r>
      <w:r w:rsidRPr="008F5CAC">
        <w:rPr>
          <w:iCs/>
        </w:rPr>
        <w:t>Water Act</w:t>
      </w:r>
      <w:r>
        <w:t>. The Productivity Commission is also responsible for inquiring into the effectiveness of the implementation of the Murray–Darling Basin Plan on a five</w:t>
      </w:r>
      <w:r>
        <w:noBreakHyphen/>
        <w:t>yearly basis. The timing of the Commission’s inquiries is shown in figure 1.2.</w:t>
      </w:r>
    </w:p>
    <w:p w14:paraId="213FCFB4" w14:textId="77777777" w:rsidR="001054C3" w:rsidRPr="00190496" w:rsidRDefault="001054C3" w:rsidP="00234FBE">
      <w:pPr>
        <w:pStyle w:val="BodyText"/>
        <w:rPr>
          <w:spacing w:val="-2"/>
        </w:rPr>
      </w:pPr>
      <w:r w:rsidRPr="00190496">
        <w:rPr>
          <w:spacing w:val="-2"/>
        </w:rPr>
        <w:t>In its first inquiry on national water reform conducted in 2017, the Commission recommended that the NWI be renewed with a focus on maintaining the key foundations and revising some content to ensure contemporary and enhanced policy settings for urban water, environmental management and new infrastructure investment. In April 2019, the Australian Government accepted this recommendation and commenced the process of policy review and renewal.</w:t>
      </w:r>
    </w:p>
    <w:p w14:paraId="280FEAF5"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1FE97000" w14:textId="77777777" w:rsidTr="00234FBE">
        <w:trPr>
          <w:tblHeader/>
        </w:trPr>
        <w:tc>
          <w:tcPr>
            <w:tcW w:w="5000" w:type="pct"/>
            <w:tcBorders>
              <w:top w:val="single" w:sz="6" w:space="0" w:color="78A22F" w:themeColor="accent1"/>
              <w:left w:val="nil"/>
              <w:bottom w:val="nil"/>
              <w:right w:val="nil"/>
            </w:tcBorders>
            <w:shd w:val="clear" w:color="auto" w:fill="auto"/>
          </w:tcPr>
          <w:p w14:paraId="05B5862F" w14:textId="315DB594" w:rsidR="001054C3" w:rsidRPr="00176D3F" w:rsidRDefault="001054C3" w:rsidP="00234FBE">
            <w:pPr>
              <w:pStyle w:val="FigureTitle"/>
            </w:pPr>
            <w:r w:rsidRPr="00784A05">
              <w:rPr>
                <w:b w:val="0"/>
              </w:rPr>
              <w:t xml:space="preserve">Figure </w:t>
            </w:r>
            <w:bookmarkStart w:id="30" w:name="OLE_LINK3"/>
            <w:r>
              <w:rPr>
                <w:b w:val="0"/>
              </w:rPr>
              <w:t>1.</w:t>
            </w:r>
            <w:r>
              <w:rPr>
                <w:b w:val="0"/>
                <w:noProof/>
              </w:rPr>
              <w:t>2</w:t>
            </w:r>
            <w:bookmarkEnd w:id="30"/>
            <w:r>
              <w:tab/>
              <w:t>Timeline for Productivity Commission water inquiries</w:t>
            </w:r>
          </w:p>
        </w:tc>
      </w:tr>
      <w:tr w:rsidR="001054C3" w14:paraId="59995BC9"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054C3" w:rsidRPr="00B1465D" w14:paraId="4818E78D" w14:textId="77777777" w:rsidTr="00234FBE">
              <w:trPr>
                <w:tblHeader/>
                <w:jc w:val="center"/>
              </w:trPr>
              <w:tc>
                <w:tcPr>
                  <w:tcW w:w="5000" w:type="pct"/>
                  <w:tcBorders>
                    <w:top w:val="nil"/>
                    <w:bottom w:val="nil"/>
                  </w:tcBorders>
                </w:tcPr>
                <w:p w14:paraId="597A68F2" w14:textId="77777777" w:rsidR="001054C3" w:rsidRPr="00B1465D" w:rsidRDefault="001054C3" w:rsidP="00234FBE">
                  <w:pPr>
                    <w:pStyle w:val="Figure"/>
                    <w:spacing w:before="60" w:after="60"/>
                    <w:rPr>
                      <w:rFonts w:ascii="Arial" w:hAnsi="Arial" w:cs="Arial"/>
                      <w:sz w:val="18"/>
                      <w:szCs w:val="18"/>
                    </w:rPr>
                  </w:pPr>
                  <w:r w:rsidRPr="00077E64">
                    <w:rPr>
                      <w:rFonts w:ascii="Arial" w:hAnsi="Arial" w:cs="Arial"/>
                      <w:noProof/>
                      <w:sz w:val="18"/>
                      <w:szCs w:val="18"/>
                    </w:rPr>
                    <w:drawing>
                      <wp:inline distT="0" distB="0" distL="0" distR="0" wp14:anchorId="29E54D4F" wp14:editId="5CD3A44B">
                        <wp:extent cx="5402580" cy="1463040"/>
                        <wp:effectExtent l="0" t="0" r="7620" b="0"/>
                        <wp:docPr id="1" name="Picture 1" descr="Figure 1.2. The figure shows a timeline for Productivity Commission water inquiries. The Commission's first National Water Reform Inquiry was undertaken in 2017. The Murray-Darling Basin Plan Implementation Inquiry was undertaken in 2018. The current inquiry is the Commission’s second inquiry into national water reform. In 2023, the Commission will undertake the National Water Reform and Murray-Darling Basin Plan Implementation I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2. The figure shows a timeline for Productivity Commission water inquiries. The Commission's first National Water Reform Inquiry was undertaken in 2017. The Murray-Darling Basin Plan Implementation Inquiry was undertaken in 2018. The current inquiry is the Commission’s second inquiry into national water reform. In 2023, the Commission will undertake the National Water Reform and Murray-Darling Basin Plan Implementation Inquiri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2580" cy="1463040"/>
                                </a:xfrm>
                                <a:prstGeom prst="rect">
                                  <a:avLst/>
                                </a:prstGeom>
                                <a:noFill/>
                                <a:ln>
                                  <a:noFill/>
                                </a:ln>
                              </pic:spPr>
                            </pic:pic>
                          </a:graphicData>
                        </a:graphic>
                      </wp:inline>
                    </w:drawing>
                  </w:r>
                </w:p>
              </w:tc>
            </w:tr>
          </w:tbl>
          <w:p w14:paraId="7E77EBAE" w14:textId="77777777" w:rsidR="001054C3" w:rsidRDefault="001054C3" w:rsidP="00234FBE">
            <w:pPr>
              <w:pStyle w:val="Figure"/>
            </w:pPr>
          </w:p>
        </w:tc>
      </w:tr>
      <w:tr w:rsidR="001054C3" w14:paraId="50CF98FD" w14:textId="77777777" w:rsidTr="00234FBE">
        <w:tc>
          <w:tcPr>
            <w:tcW w:w="5000" w:type="pct"/>
            <w:tcBorders>
              <w:top w:val="nil"/>
              <w:left w:val="nil"/>
              <w:bottom w:val="single" w:sz="6" w:space="0" w:color="78A22F" w:themeColor="accent1"/>
              <w:right w:val="nil"/>
            </w:tcBorders>
            <w:shd w:val="clear" w:color="auto" w:fill="auto"/>
          </w:tcPr>
          <w:p w14:paraId="6B63054F" w14:textId="77777777" w:rsidR="001054C3" w:rsidRDefault="001054C3" w:rsidP="00234FBE">
            <w:pPr>
              <w:pStyle w:val="Figurespace"/>
            </w:pPr>
          </w:p>
        </w:tc>
      </w:tr>
      <w:tr w:rsidR="001054C3" w:rsidRPr="000863A5" w14:paraId="27719C01" w14:textId="77777777" w:rsidTr="00234FBE">
        <w:tc>
          <w:tcPr>
            <w:tcW w:w="5000" w:type="pct"/>
            <w:tcBorders>
              <w:top w:val="single" w:sz="6" w:space="0" w:color="78A22F" w:themeColor="accent1"/>
              <w:left w:val="nil"/>
              <w:bottom w:val="nil"/>
              <w:right w:val="nil"/>
            </w:tcBorders>
          </w:tcPr>
          <w:p w14:paraId="472D1453" w14:textId="77777777" w:rsidR="001054C3" w:rsidRPr="00626D32" w:rsidRDefault="001054C3" w:rsidP="00234FBE">
            <w:pPr>
              <w:pStyle w:val="BoxSpaceBelow"/>
            </w:pPr>
          </w:p>
        </w:tc>
      </w:tr>
    </w:tbl>
    <w:p w14:paraId="4C7AA2C3" w14:textId="28029961" w:rsidR="001054C3" w:rsidRDefault="001054C3" w:rsidP="00234FBE">
      <w:pPr>
        <w:pStyle w:val="Heading2"/>
      </w:pPr>
      <w:bookmarkStart w:id="31" w:name="_Toc72939481"/>
      <w:r>
        <w:t>1.</w:t>
      </w:r>
      <w:r>
        <w:rPr>
          <w:noProof/>
        </w:rPr>
        <w:t>2</w:t>
      </w:r>
      <w:bookmarkStart w:id="32" w:name="_Toc63112444"/>
      <w:r>
        <w:tab/>
        <w:t>The Commission’s task</w:t>
      </w:r>
      <w:bookmarkEnd w:id="31"/>
      <w:bookmarkEnd w:id="32"/>
    </w:p>
    <w:p w14:paraId="17C2E8DC" w14:textId="77777777" w:rsidR="001054C3" w:rsidRDefault="001054C3" w:rsidP="00234FBE">
      <w:pPr>
        <w:pStyle w:val="BodyText"/>
      </w:pPr>
      <w:r>
        <w:t>In May 2020, the Australian Government asked t</w:t>
      </w:r>
      <w:r w:rsidRPr="00666C9B">
        <w:t>he Commission</w:t>
      </w:r>
      <w:r w:rsidRPr="00666C9B" w:rsidDel="00F13D1D">
        <w:t xml:space="preserve"> </w:t>
      </w:r>
      <w:r>
        <w:t xml:space="preserve">to undertake its second inquiry on national water reform to </w:t>
      </w:r>
      <w:r w:rsidRPr="00666C9B">
        <w:t xml:space="preserve">assess </w:t>
      </w:r>
      <w:r>
        <w:t>the:</w:t>
      </w:r>
    </w:p>
    <w:p w14:paraId="2B6C077B" w14:textId="77777777" w:rsidR="001054C3" w:rsidRPr="00666C9B" w:rsidRDefault="001054C3" w:rsidP="00234FBE">
      <w:pPr>
        <w:pStyle w:val="ListBullet"/>
      </w:pPr>
      <w:r>
        <w:t>progress of jurisdictions in adopting the principles, objectives and key outcomes set out in the NWI and any impacts where progress has not been made</w:t>
      </w:r>
    </w:p>
    <w:p w14:paraId="6A67BF11" w14:textId="77777777" w:rsidR="001054C3" w:rsidRPr="00666C9B" w:rsidRDefault="001054C3" w:rsidP="00234FBE">
      <w:pPr>
        <w:pStyle w:val="ListBullet"/>
      </w:pPr>
      <w:r>
        <w:t>outcomes of reform efforts</w:t>
      </w:r>
    </w:p>
    <w:p w14:paraId="2919D0A9" w14:textId="77777777" w:rsidR="001054C3" w:rsidRDefault="001054C3" w:rsidP="00234FBE">
      <w:pPr>
        <w:pStyle w:val="ListBullet"/>
      </w:pPr>
      <w:r>
        <w:t>extent to which the NWI reforms are adequate to support government responses to challenges such as climate change.</w:t>
      </w:r>
    </w:p>
    <w:p w14:paraId="5E66A2EF" w14:textId="77777777" w:rsidR="001054C3" w:rsidRDefault="001054C3" w:rsidP="00234FBE">
      <w:pPr>
        <w:pStyle w:val="BodyText"/>
      </w:pPr>
      <w:r>
        <w:t>The Australian Government also asked the Commission to provide practical advice to support jurisdictions in implementing a renewed NWI and on ways in which the agreement could be improved to support better social, economic and environmental outcomes.</w:t>
      </w:r>
    </w:p>
    <w:p w14:paraId="228585DD" w14:textId="77777777" w:rsidR="001054C3" w:rsidRDefault="001054C3" w:rsidP="00234FBE">
      <w:pPr>
        <w:pStyle w:val="BodyText"/>
      </w:pPr>
      <w:r>
        <w:lastRenderedPageBreak/>
        <w:t>The terms of reference also requested the Commission to consider:</w:t>
      </w:r>
    </w:p>
    <w:p w14:paraId="776D3D5B" w14:textId="77777777" w:rsidR="001054C3" w:rsidRDefault="001054C3" w:rsidP="00234FBE">
      <w:pPr>
        <w:pStyle w:val="ListBullet"/>
      </w:pPr>
      <w:r>
        <w:t>the interaction of water policy with other policy areas (such as climate, energy, agriculture, forestry, land use planning and urban development)</w:t>
      </w:r>
    </w:p>
    <w:p w14:paraId="34D7D69A" w14:textId="77777777" w:rsidR="001054C3" w:rsidRDefault="001054C3" w:rsidP="00234FBE">
      <w:pPr>
        <w:pStyle w:val="ListBullet"/>
      </w:pPr>
      <w:r>
        <w:t>the policy ramifications of climate change on water resources</w:t>
      </w:r>
    </w:p>
    <w:p w14:paraId="5750A63D" w14:textId="77777777" w:rsidR="001054C3" w:rsidRDefault="001054C3" w:rsidP="00234FBE">
      <w:pPr>
        <w:pStyle w:val="ListBullet"/>
      </w:pPr>
      <w:r>
        <w:t>the provision of reliable water services to regional, rural and remote communities</w:t>
      </w:r>
    </w:p>
    <w:p w14:paraId="4C065943" w14:textId="77777777" w:rsidR="001054C3" w:rsidRDefault="001054C3" w:rsidP="00234FBE">
      <w:pPr>
        <w:pStyle w:val="ListBullet"/>
      </w:pPr>
      <w:r>
        <w:t>the principles to be satisfied for any government investment in major water infrastructure</w:t>
      </w:r>
    </w:p>
    <w:p w14:paraId="2A9B36C8" w14:textId="77777777" w:rsidR="001054C3" w:rsidRDefault="001054C3" w:rsidP="00234FBE">
      <w:pPr>
        <w:pStyle w:val="ListBullet"/>
      </w:pPr>
      <w:r>
        <w:t>issues identified in the Commission’s 2017 National Water Reform inquiry report</w:t>
      </w:r>
    </w:p>
    <w:p w14:paraId="1F916F86" w14:textId="77777777" w:rsidR="001054C3" w:rsidRDefault="001054C3" w:rsidP="00234FBE">
      <w:pPr>
        <w:pStyle w:val="ListBullet"/>
      </w:pPr>
      <w:r>
        <w:t>international experiences and examples.</w:t>
      </w:r>
    </w:p>
    <w:p w14:paraId="29702B7E" w14:textId="77777777" w:rsidR="001054C3" w:rsidRPr="008249E6" w:rsidRDefault="001054C3" w:rsidP="00234FBE">
      <w:pPr>
        <w:pStyle w:val="BodyText"/>
      </w:pPr>
      <w:r>
        <w:t>In undertaking this inquiry, the Commission is avoiding duplication with:</w:t>
      </w:r>
    </w:p>
    <w:p w14:paraId="4F414302" w14:textId="345D9679" w:rsidR="001054C3" w:rsidRPr="008249E6" w:rsidRDefault="001054C3" w:rsidP="00234FBE">
      <w:pPr>
        <w:pStyle w:val="ListBullet"/>
      </w:pPr>
      <w:r w:rsidRPr="008249E6">
        <w:t xml:space="preserve">its 2018 </w:t>
      </w:r>
      <w:r>
        <w:t>i</w:t>
      </w:r>
      <w:r w:rsidRPr="008249E6">
        <w:t>nquiry into the effectiveness of the implementation</w:t>
      </w:r>
      <w:r>
        <w:t xml:space="preserve"> of the Basin Plan </w:t>
      </w:r>
      <w:r w:rsidRPr="00737646">
        <w:rPr>
          <w:szCs w:val="24"/>
        </w:rPr>
        <w:t>(PC 2018)</w:t>
      </w:r>
      <w:r w:rsidRPr="008249E6">
        <w:t>.</w:t>
      </w:r>
      <w:r>
        <w:t xml:space="preserve"> Murray–Darling Basin matters are only addressed where they </w:t>
      </w:r>
      <w:r w:rsidRPr="008249E6">
        <w:t>relate to nationally</w:t>
      </w:r>
      <w:r>
        <w:t xml:space="preserve"> </w:t>
      </w:r>
      <w:r w:rsidRPr="008249E6">
        <w:t xml:space="preserve">relevant </w:t>
      </w:r>
      <w:r>
        <w:t xml:space="preserve">water </w:t>
      </w:r>
      <w:r w:rsidRPr="008249E6">
        <w:t>policy issues</w:t>
      </w:r>
    </w:p>
    <w:p w14:paraId="15B49373" w14:textId="23532255" w:rsidR="001054C3" w:rsidRDefault="001054C3" w:rsidP="00234FBE">
      <w:pPr>
        <w:pStyle w:val="ListBullet"/>
      </w:pPr>
      <w:r w:rsidRPr="008249E6">
        <w:t>the A</w:t>
      </w:r>
      <w:r>
        <w:t xml:space="preserve">ustralian </w:t>
      </w:r>
      <w:r w:rsidRPr="008249E6">
        <w:t>C</w:t>
      </w:r>
      <w:r>
        <w:t xml:space="preserve">ompetition and </w:t>
      </w:r>
      <w:r w:rsidRPr="008249E6">
        <w:t>C</w:t>
      </w:r>
      <w:r>
        <w:t xml:space="preserve">onsumer </w:t>
      </w:r>
      <w:r w:rsidRPr="008249E6">
        <w:t>C</w:t>
      </w:r>
      <w:r>
        <w:t>ommission</w:t>
      </w:r>
      <w:r w:rsidRPr="008249E6">
        <w:t>’s Murray</w:t>
      </w:r>
      <w:r>
        <w:t>–</w:t>
      </w:r>
      <w:r w:rsidRPr="008249E6">
        <w:t xml:space="preserve">Darling Basin Water Markets </w:t>
      </w:r>
      <w:r>
        <w:t>i</w:t>
      </w:r>
      <w:r w:rsidRPr="008249E6">
        <w:t>nquiry</w:t>
      </w:r>
      <w:r>
        <w:t xml:space="preserve"> </w:t>
      </w:r>
      <w:r w:rsidRPr="00D51C94">
        <w:rPr>
          <w:szCs w:val="24"/>
        </w:rPr>
        <w:t>(ACCC 2020)</w:t>
      </w:r>
      <w:r w:rsidRPr="008249E6">
        <w:t>.</w:t>
      </w:r>
    </w:p>
    <w:p w14:paraId="4B894F96" w14:textId="12F9073F" w:rsidR="001054C3" w:rsidRDefault="001054C3" w:rsidP="00234FBE">
      <w:pPr>
        <w:pStyle w:val="Heading2"/>
      </w:pPr>
      <w:bookmarkStart w:id="33" w:name="_Toc72939482"/>
      <w:r>
        <w:t>1.</w:t>
      </w:r>
      <w:r>
        <w:rPr>
          <w:noProof/>
        </w:rPr>
        <w:t>3</w:t>
      </w:r>
      <w:bookmarkStart w:id="34" w:name="_Toc63112445"/>
      <w:bookmarkStart w:id="35" w:name="_Toc35111887"/>
      <w:r>
        <w:tab/>
        <w:t>The Commission’s approach</w:t>
      </w:r>
      <w:bookmarkEnd w:id="33"/>
      <w:bookmarkEnd w:id="34"/>
    </w:p>
    <w:p w14:paraId="6DBEF8CB" w14:textId="77777777" w:rsidR="001054C3" w:rsidRDefault="001054C3" w:rsidP="00234FBE">
      <w:pPr>
        <w:pStyle w:val="BodyText"/>
      </w:pPr>
      <w:r>
        <w:t>In addressing its task, the Commission has drawn on inputs from inquiry participants (section 1.4), responses from the Australian, State and Territory Governments to requests for information, published reports and publicly available data. Qualitative assessments informed the advice where quantitative information was not available.</w:t>
      </w:r>
    </w:p>
    <w:p w14:paraId="525B72A4" w14:textId="77777777" w:rsidR="001054C3" w:rsidRDefault="001054C3" w:rsidP="00234FBE">
      <w:pPr>
        <w:pStyle w:val="BodyText"/>
      </w:pPr>
      <w:r>
        <w:t xml:space="preserve">In line with the terms of reference, the Commission’s conclusions are primarily presented as practical advice on NWI renewal, rather than findings and recommendations. </w:t>
      </w:r>
      <w:r w:rsidRPr="00E64D3E">
        <w:t xml:space="preserve">This is aimed at providing detailed policy input for consideration in the </w:t>
      </w:r>
      <w:r>
        <w:t>renewal</w:t>
      </w:r>
      <w:r w:rsidRPr="00E64D3E">
        <w:t xml:space="preserve"> process being undertaken by jurisdictional governments.</w:t>
      </w:r>
      <w:r>
        <w:t xml:space="preserve"> To that end, the report:</w:t>
      </w:r>
    </w:p>
    <w:p w14:paraId="1949D0D3" w14:textId="77777777" w:rsidR="001054C3" w:rsidRDefault="001054C3" w:rsidP="00234FBE">
      <w:pPr>
        <w:pStyle w:val="ListBullet"/>
      </w:pPr>
      <w:r>
        <w:t>summarises progress against the NWI and the benefits of reform, and lays out the case for further reform through NWI renewal (chapter 2)</w:t>
      </w:r>
    </w:p>
    <w:p w14:paraId="3FDD00ED" w14:textId="77777777" w:rsidR="001054C3" w:rsidRDefault="001054C3" w:rsidP="00234FBE">
      <w:pPr>
        <w:pStyle w:val="ListBullet"/>
      </w:pPr>
      <w:r>
        <w:t>proposes revisions to the NWI’s vision — the agreement’s goals, objectives and key reform elements (chapter 3)</w:t>
      </w:r>
    </w:p>
    <w:p w14:paraId="1C794882" w14:textId="77777777" w:rsidR="001054C3" w:rsidRDefault="001054C3" w:rsidP="00234FBE">
      <w:pPr>
        <w:pStyle w:val="ListBullet"/>
      </w:pPr>
      <w:r>
        <w:t>suggests arrangements for governance and implementation of a renewed NWI (chapter 4)</w:t>
      </w:r>
    </w:p>
    <w:p w14:paraId="73DF76D8" w14:textId="77777777" w:rsidR="001054C3" w:rsidRDefault="001054C3" w:rsidP="00234FBE">
      <w:pPr>
        <w:pStyle w:val="ListBullet"/>
      </w:pPr>
      <w:r>
        <w:t>presents a framework for water resource management that accounts for the diverse characteristics of water sources (chapter 5)</w:t>
      </w:r>
    </w:p>
    <w:p w14:paraId="5EDF3195" w14:textId="77777777" w:rsidR="001054C3" w:rsidRDefault="001054C3" w:rsidP="00234FBE">
      <w:pPr>
        <w:pStyle w:val="ListBullet"/>
        <w:keepNext/>
      </w:pPr>
      <w:r>
        <w:t xml:space="preserve">identifies content for each suggested element of a renewed NWI. In doing so, the report </w:t>
      </w:r>
      <w:bookmarkStart w:id="36" w:name="_Hlk63094172"/>
      <w:r>
        <w:t>summarises detailed analysis contained in a suite of supporting papers (SPs):</w:t>
      </w:r>
    </w:p>
    <w:p w14:paraId="337DF75F" w14:textId="77777777" w:rsidR="001054C3" w:rsidRPr="00494038" w:rsidRDefault="001054C3" w:rsidP="00234FBE">
      <w:pPr>
        <w:pStyle w:val="ListBullet2"/>
        <w:spacing w:before="100"/>
      </w:pPr>
      <w:r w:rsidRPr="00494038">
        <w:t>SP A</w:t>
      </w:r>
      <w:r w:rsidRPr="00494038">
        <w:tab/>
        <w:t>Water entitlements and planning (chapter 6)</w:t>
      </w:r>
    </w:p>
    <w:p w14:paraId="0287D3FA" w14:textId="77777777" w:rsidR="001054C3" w:rsidRDefault="001054C3" w:rsidP="00234FBE">
      <w:pPr>
        <w:pStyle w:val="ListBullet2"/>
        <w:spacing w:before="100"/>
      </w:pPr>
      <w:r>
        <w:t>SP B</w:t>
      </w:r>
      <w:r>
        <w:tab/>
        <w:t>Water trading and markets (chapter 7)</w:t>
      </w:r>
    </w:p>
    <w:p w14:paraId="2FDBD6D8" w14:textId="77777777" w:rsidR="001054C3" w:rsidRDefault="001054C3" w:rsidP="00234FBE">
      <w:pPr>
        <w:pStyle w:val="ListBullet2"/>
        <w:spacing w:before="100"/>
      </w:pPr>
      <w:r>
        <w:lastRenderedPageBreak/>
        <w:t>SP C</w:t>
      </w:r>
      <w:r>
        <w:tab/>
        <w:t>Environmental management (chapter 8)</w:t>
      </w:r>
    </w:p>
    <w:p w14:paraId="1FCDD8B7" w14:textId="77777777" w:rsidR="001054C3" w:rsidRDefault="001054C3" w:rsidP="00234FBE">
      <w:pPr>
        <w:pStyle w:val="ListBullet2"/>
        <w:spacing w:before="100"/>
      </w:pPr>
      <w:r>
        <w:t>SP D</w:t>
      </w:r>
      <w:r>
        <w:tab/>
        <w:t>Securing Aboriginal and Torres Strait Islander people’s interests in water (chapter 9)</w:t>
      </w:r>
    </w:p>
    <w:p w14:paraId="36FFB075" w14:textId="77777777" w:rsidR="001054C3" w:rsidRDefault="001054C3" w:rsidP="00234FBE">
      <w:pPr>
        <w:pStyle w:val="ListBullet2"/>
        <w:spacing w:before="100"/>
      </w:pPr>
      <w:r>
        <w:t>SP E</w:t>
      </w:r>
      <w:r>
        <w:tab/>
        <w:t>Ensuring the integrity of water resource management (chapter 10)</w:t>
      </w:r>
    </w:p>
    <w:p w14:paraId="0A215964" w14:textId="77777777" w:rsidR="001054C3" w:rsidRDefault="001054C3" w:rsidP="00234FBE">
      <w:pPr>
        <w:pStyle w:val="ListBullet2"/>
        <w:spacing w:before="100"/>
      </w:pPr>
      <w:r>
        <w:t>SP F</w:t>
      </w:r>
      <w:r>
        <w:tab/>
        <w:t>Urban water services (chapters 11 and 12)</w:t>
      </w:r>
    </w:p>
    <w:p w14:paraId="3C6EFF7C" w14:textId="77777777" w:rsidR="001054C3" w:rsidRDefault="001054C3" w:rsidP="00234FBE">
      <w:pPr>
        <w:pStyle w:val="ListBullet2"/>
        <w:spacing w:before="100"/>
      </w:pPr>
      <w:r>
        <w:t>SP G</w:t>
      </w:r>
      <w:r>
        <w:tab/>
        <w:t>Urban water services: regional and remote communities (chapter 12)</w:t>
      </w:r>
    </w:p>
    <w:p w14:paraId="094C0DB2" w14:textId="77777777" w:rsidR="001054C3" w:rsidRDefault="001054C3" w:rsidP="00234FBE">
      <w:pPr>
        <w:pStyle w:val="ListBullet2"/>
        <w:spacing w:before="100"/>
      </w:pPr>
      <w:r>
        <w:t>SP H</w:t>
      </w:r>
      <w:r>
        <w:tab/>
        <w:t>Water reform in rural Australia (chapter 13)</w:t>
      </w:r>
    </w:p>
    <w:p w14:paraId="45B60A61" w14:textId="77777777" w:rsidR="001054C3" w:rsidRDefault="001054C3" w:rsidP="00234FBE">
      <w:pPr>
        <w:pStyle w:val="ListBullet2"/>
        <w:spacing w:before="100"/>
      </w:pPr>
      <w:r>
        <w:t>SP I</w:t>
      </w:r>
      <w:r>
        <w:tab/>
        <w:t>Government investment in major water infrastructure (chapter 14)</w:t>
      </w:r>
    </w:p>
    <w:p w14:paraId="73B90539" w14:textId="77777777" w:rsidR="001054C3" w:rsidRDefault="001054C3" w:rsidP="00234FBE">
      <w:pPr>
        <w:pStyle w:val="ListBullet2"/>
        <w:spacing w:before="100"/>
      </w:pPr>
      <w:r>
        <w:t>SP J</w:t>
      </w:r>
      <w:r>
        <w:tab/>
        <w:t>Community engagement (chapter 15)</w:t>
      </w:r>
    </w:p>
    <w:p w14:paraId="1C0A61AE" w14:textId="77777777" w:rsidR="001054C3" w:rsidRDefault="001054C3" w:rsidP="00234FBE">
      <w:pPr>
        <w:pStyle w:val="ListBullet2"/>
        <w:spacing w:before="100"/>
      </w:pPr>
      <w:r>
        <w:t>SP K</w:t>
      </w:r>
      <w:r>
        <w:tab/>
        <w:t>Knowledge, capacity and capability building (chapter 16).</w:t>
      </w:r>
    </w:p>
    <w:bookmarkEnd w:id="36"/>
    <w:p w14:paraId="5552215B" w14:textId="77777777" w:rsidR="001054C3" w:rsidRDefault="001054C3" w:rsidP="00234FBE">
      <w:pPr>
        <w:pStyle w:val="BodyText"/>
      </w:pPr>
      <w:r>
        <w:t xml:space="preserve">The Commission’s assessment of progress against the NWI is detailed in </w:t>
      </w:r>
      <w:r w:rsidRPr="006A36C6">
        <w:rPr>
          <w:i/>
          <w:iCs/>
        </w:rPr>
        <w:t>Assessment</w:t>
      </w:r>
      <w:r>
        <w:t>. And a compilation of the advice in this report is presented in a companion document (</w:t>
      </w:r>
      <w:r w:rsidRPr="00CF7A60">
        <w:rPr>
          <w:i/>
        </w:rPr>
        <w:t>Findings, recommendations and renewal advice</w:t>
      </w:r>
      <w:r>
        <w:t>).</w:t>
      </w:r>
    </w:p>
    <w:p w14:paraId="4AD69565" w14:textId="77777777" w:rsidR="001054C3" w:rsidRDefault="001054C3" w:rsidP="00234FBE">
      <w:pPr>
        <w:pStyle w:val="BodyText"/>
      </w:pPr>
      <w:r>
        <w:t xml:space="preserve">Water terminology can vary from place to place, which can cause confusion. A glossary at </w:t>
      </w:r>
      <w:r w:rsidRPr="00001242">
        <w:t>appendix B</w:t>
      </w:r>
      <w:r>
        <w:t xml:space="preserve"> defines some key terms.</w:t>
      </w:r>
    </w:p>
    <w:p w14:paraId="252E2EC4" w14:textId="1A09348E" w:rsidR="001054C3" w:rsidRDefault="001054C3" w:rsidP="00234FBE">
      <w:pPr>
        <w:pStyle w:val="Heading2"/>
      </w:pPr>
      <w:bookmarkStart w:id="37" w:name="_Toc72939483"/>
      <w:r>
        <w:t>1.</w:t>
      </w:r>
      <w:r>
        <w:rPr>
          <w:noProof/>
        </w:rPr>
        <w:t>4</w:t>
      </w:r>
      <w:bookmarkStart w:id="38" w:name="_Toc63112446"/>
      <w:r>
        <w:tab/>
      </w:r>
      <w:bookmarkEnd w:id="35"/>
      <w:r>
        <w:t>Conduct of the inquiry</w:t>
      </w:r>
      <w:bookmarkEnd w:id="37"/>
      <w:bookmarkEnd w:id="38"/>
    </w:p>
    <w:p w14:paraId="77C4DE54" w14:textId="77777777" w:rsidR="001054C3" w:rsidRDefault="001054C3" w:rsidP="00234FBE">
      <w:pPr>
        <w:pStyle w:val="BodyText"/>
      </w:pPr>
      <w:r>
        <w:t>Terms of reference for the inquiry were received on 22 May 2020, and an issues paper was released on 26 May 2020, outlining topics on which the Commission was seeking feedback. A draft report was released for public comment on 11 February 2021.</w:t>
      </w:r>
    </w:p>
    <w:p w14:paraId="56924782" w14:textId="77777777" w:rsidR="001054C3" w:rsidRDefault="001054C3" w:rsidP="00234FBE">
      <w:pPr>
        <w:pStyle w:val="BodyText"/>
      </w:pPr>
      <w:r>
        <w:t>The Commission also consulted widely in preparing this draft report, and:</w:t>
      </w:r>
    </w:p>
    <w:p w14:paraId="44CE1DF8" w14:textId="77777777" w:rsidR="001054C3" w:rsidRDefault="001054C3" w:rsidP="00234FBE">
      <w:pPr>
        <w:pStyle w:val="ListBullet"/>
      </w:pPr>
      <w:r>
        <w:t>received 109 submissions in response to the issues paper and 85 in response to the draft report. Given the summary nature of this report, references to these submissions are primarily contained in the supporting papers</w:t>
      </w:r>
      <w:r>
        <w:rPr>
          <w:rStyle w:val="FootnoteReference"/>
        </w:rPr>
        <w:footnoteReference w:id="4"/>
      </w:r>
    </w:p>
    <w:p w14:paraId="32608178" w14:textId="77777777" w:rsidR="001054C3" w:rsidRDefault="001054C3" w:rsidP="00234FBE">
      <w:pPr>
        <w:pStyle w:val="ListBullet"/>
      </w:pPr>
      <w:r>
        <w:t>held nearly 80 meetings with participants including government agencies, peak bodies, academics and representatives of Aboriginal and Torres Strait Islander communities</w:t>
      </w:r>
    </w:p>
    <w:p w14:paraId="3B53B249" w14:textId="77777777" w:rsidR="001054C3" w:rsidRDefault="001054C3" w:rsidP="00234FBE">
      <w:pPr>
        <w:pStyle w:val="ListBullet"/>
      </w:pPr>
      <w:r>
        <w:t>conducted public hearings</w:t>
      </w:r>
    </w:p>
    <w:p w14:paraId="14EB5E42" w14:textId="77777777" w:rsidR="001054C3" w:rsidRDefault="001054C3" w:rsidP="00234FBE">
      <w:pPr>
        <w:pStyle w:val="ListBullet"/>
      </w:pPr>
      <w:r>
        <w:t>met three times with a stakeholder working group, established as required under the Water Act as a forum to exchange information and views on issues relevant to the inquiry</w:t>
      </w:r>
    </w:p>
    <w:p w14:paraId="248BC53F" w14:textId="77777777" w:rsidR="001054C3" w:rsidRDefault="001054C3" w:rsidP="00234FBE">
      <w:pPr>
        <w:pStyle w:val="ListBullet"/>
      </w:pPr>
      <w:r>
        <w:lastRenderedPageBreak/>
        <w:t>convened two roundtables, which addressed issues relating to access to water for Aboriginal and Torres Strait Islander people and water quality in remote communities</w:t>
      </w:r>
    </w:p>
    <w:p w14:paraId="211ACF5D" w14:textId="77777777" w:rsidR="001054C3" w:rsidRDefault="001054C3" w:rsidP="00234FBE">
      <w:pPr>
        <w:pStyle w:val="ListBullet"/>
      </w:pPr>
      <w:r>
        <w:t>received responses to detailed information requests on</w:t>
      </w:r>
      <w:r w:rsidRPr="00AB7057">
        <w:t xml:space="preserve"> progress</w:t>
      </w:r>
      <w:r>
        <w:t xml:space="preserve"> </w:t>
      </w:r>
      <w:r w:rsidRPr="00AB7057">
        <w:t>towards achieving</w:t>
      </w:r>
      <w:r>
        <w:t xml:space="preserve"> the objectives and outcomes of the NWI from Australian, State and Territory Governments.</w:t>
      </w:r>
    </w:p>
    <w:p w14:paraId="1C91F595" w14:textId="77777777" w:rsidR="001054C3" w:rsidRDefault="001054C3" w:rsidP="00234FBE">
      <w:pPr>
        <w:pStyle w:val="BodyText"/>
      </w:pPr>
      <w:r>
        <w:t xml:space="preserve">Submission authors, meeting and hearing attendees, stakeholder working group members and roundtable participants are listed in </w:t>
      </w:r>
      <w:r w:rsidRPr="00001242">
        <w:t>appendix C</w:t>
      </w:r>
      <w:r>
        <w:t>.</w:t>
      </w:r>
    </w:p>
    <w:p w14:paraId="268723F5" w14:textId="77777777" w:rsidR="001054C3" w:rsidRDefault="001054C3" w:rsidP="00234FBE">
      <w:pPr>
        <w:pStyle w:val="BodyText"/>
      </w:pPr>
      <w:r>
        <w:t>The Commission thanks all participants for their contributions to the inquiry.</w:t>
      </w:r>
    </w:p>
    <w:p w14:paraId="2518D8A4" w14:textId="77777777" w:rsidR="001054C3" w:rsidRDefault="001054C3" w:rsidP="00120072">
      <w:pPr>
        <w:pStyle w:val="BodyText"/>
      </w:pPr>
    </w:p>
    <w:p w14:paraId="453BC400" w14:textId="77777777" w:rsidR="001054C3" w:rsidRDefault="001054C3" w:rsidP="001054C3">
      <w:pPr>
        <w:sectPr w:rsidR="001054C3" w:rsidSect="001054C3">
          <w:headerReference w:type="even" r:id="rId43"/>
          <w:headerReference w:type="default" r:id="rId44"/>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p>
    <w:p w14:paraId="20DB0539" w14:textId="77777777" w:rsidR="001054C3" w:rsidRDefault="001054C3" w:rsidP="00234FBE">
      <w:pPr>
        <w:pStyle w:val="Heading1"/>
        <w:spacing w:before="0"/>
      </w:pPr>
      <w:bookmarkStart w:id="39" w:name="_Toc72939484"/>
      <w:r>
        <w:lastRenderedPageBreak/>
        <w:t>2</w:t>
      </w:r>
      <w:r>
        <w:tab/>
        <w:t>Progress against the NWI and the case for continuing reform</w:t>
      </w:r>
      <w:bookmarkEnd w:id="39"/>
    </w:p>
    <w:p w14:paraId="0D6431A7" w14:textId="77777777" w:rsidR="001054C3" w:rsidRPr="00136F97" w:rsidRDefault="001054C3" w:rsidP="00E95F6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499"/>
        <w:gridCol w:w="290"/>
      </w:tblGrid>
      <w:tr w:rsidR="001054C3" w14:paraId="1E31717C" w14:textId="77777777" w:rsidTr="00234FBE">
        <w:trPr>
          <w:tblHeader/>
        </w:trPr>
        <w:tc>
          <w:tcPr>
            <w:tcW w:w="5000" w:type="pct"/>
            <w:gridSpan w:val="2"/>
            <w:tcBorders>
              <w:top w:val="single" w:sz="6" w:space="0" w:color="78A22F"/>
              <w:left w:val="nil"/>
              <w:bottom w:val="nil"/>
              <w:right w:val="nil"/>
            </w:tcBorders>
            <w:shd w:val="clear" w:color="auto" w:fill="F2F2F2"/>
          </w:tcPr>
          <w:p w14:paraId="57D19441" w14:textId="77777777" w:rsidR="001054C3" w:rsidRDefault="001054C3" w:rsidP="00234FBE">
            <w:pPr>
              <w:pStyle w:val="BoxTitle"/>
            </w:pPr>
            <w:r>
              <w:t>Key points</w:t>
            </w:r>
          </w:p>
        </w:tc>
      </w:tr>
      <w:tr w:rsidR="001054C3" w14:paraId="7AA7B4AD" w14:textId="77777777" w:rsidTr="00234FBE">
        <w:tc>
          <w:tcPr>
            <w:tcW w:w="5000" w:type="pct"/>
            <w:gridSpan w:val="2"/>
            <w:tcBorders>
              <w:top w:val="nil"/>
              <w:left w:val="nil"/>
              <w:bottom w:val="nil"/>
              <w:right w:val="nil"/>
            </w:tcBorders>
            <w:shd w:val="clear" w:color="auto" w:fill="F2F2F2"/>
          </w:tcPr>
          <w:p w14:paraId="69DB5CCA" w14:textId="77777777" w:rsidR="001054C3" w:rsidRPr="00E95F6A" w:rsidRDefault="001054C3" w:rsidP="00234FBE">
            <w:pPr>
              <w:pStyle w:val="KeyPointsListBullet"/>
              <w:rPr>
                <w:spacing w:val="-2"/>
              </w:rPr>
            </w:pPr>
            <w:r w:rsidRPr="00E95F6A">
              <w:rPr>
                <w:spacing w:val="-2"/>
              </w:rPr>
              <w:t>The National Water Initiative (NWI) established reform objectives and outcomes with the overall aim of supporting a nationally compatible market, regulatory and planning based system of managing water resources that optimised economic, social and environmental outcomes.</w:t>
            </w:r>
          </w:p>
          <w:p w14:paraId="1F839ACF" w14:textId="77777777" w:rsidR="001054C3" w:rsidRDefault="001054C3" w:rsidP="00234FBE">
            <w:pPr>
              <w:pStyle w:val="KeyPointsListBullet"/>
            </w:pPr>
            <w:r w:rsidRPr="00D267EB">
              <w:t xml:space="preserve">Jurisdictions have made good progress against </w:t>
            </w:r>
            <w:r>
              <w:t>the reform</w:t>
            </w:r>
            <w:r w:rsidRPr="00D267EB">
              <w:t xml:space="preserve"> agenda</w:t>
            </w:r>
            <w:r>
              <w:t>. M</w:t>
            </w:r>
            <w:r w:rsidRPr="00D267EB">
              <w:t>ost have largely achieved their commitments</w:t>
            </w:r>
            <w:r>
              <w:t>. And the NWI has served Australia well. Reforms have been widely supported by the water sector, industry and stakeholders, and have contributed to sizeable benefits.</w:t>
            </w:r>
          </w:p>
          <w:p w14:paraId="16D6C07B" w14:textId="77777777" w:rsidR="001054C3" w:rsidRDefault="001054C3" w:rsidP="00234FBE">
            <w:pPr>
              <w:pStyle w:val="KeyPointsListBullet2"/>
            </w:pPr>
            <w:r>
              <w:t>Water planning and entitlements frameworks together with environmental provisions have provided the foundations for sustainable resource management.</w:t>
            </w:r>
          </w:p>
          <w:p w14:paraId="47A2FAE3" w14:textId="77777777" w:rsidR="001054C3" w:rsidRDefault="001054C3" w:rsidP="00234FBE">
            <w:pPr>
              <w:pStyle w:val="KeyPointsListBullet2"/>
            </w:pPr>
            <w:r>
              <w:t>Secure and tradeable water access entitlements enabled the introduction of water trading which encouraged more efficient use of water, and moved it towards its highest value use.</w:t>
            </w:r>
          </w:p>
          <w:p w14:paraId="527FA5E3" w14:textId="77777777" w:rsidR="001054C3" w:rsidRDefault="001054C3" w:rsidP="00234FBE">
            <w:pPr>
              <w:pStyle w:val="KeyPointsListBullet2"/>
            </w:pPr>
            <w:r>
              <w:t>Improved pricing and institutional arrangements have strengthened the incentives for efficient resource development and service provision.</w:t>
            </w:r>
          </w:p>
          <w:p w14:paraId="060BE3FD" w14:textId="77777777" w:rsidR="001054C3" w:rsidRDefault="001054C3" w:rsidP="00234FBE">
            <w:pPr>
              <w:pStyle w:val="KeyPointsListBullet2"/>
            </w:pPr>
            <w:r>
              <w:t>Widespread adoption of cost</w:t>
            </w:r>
            <w:r>
              <w:noBreakHyphen/>
              <w:t>reflective and consumption</w:t>
            </w:r>
            <w:r>
              <w:noBreakHyphen/>
              <w:t>based pricing have provided better market signals, changing water user behaviour (which has led to more efficient water use) and facilitating a more financially sustainable sector.</w:t>
            </w:r>
          </w:p>
          <w:p w14:paraId="11361151" w14:textId="77777777" w:rsidR="001054C3" w:rsidRDefault="001054C3" w:rsidP="00234FBE">
            <w:pPr>
              <w:pStyle w:val="KeyPointsListBullet"/>
            </w:pPr>
            <w:r>
              <w:t>But there is some unfinished business and scope for improvement where reforms have been implemented.</w:t>
            </w:r>
          </w:p>
          <w:p w14:paraId="624310F0" w14:textId="77777777" w:rsidR="001054C3" w:rsidRPr="008F5D55" w:rsidRDefault="001054C3" w:rsidP="00234FBE">
            <w:pPr>
              <w:pStyle w:val="KeyPointsListBullet"/>
            </w:pPr>
            <w:r>
              <w:t>L</w:t>
            </w:r>
            <w:r w:rsidRPr="00023A4A">
              <w:t>essons from 1</w:t>
            </w:r>
            <w:r>
              <w:t>7</w:t>
            </w:r>
            <w:r w:rsidRPr="00023A4A">
              <w:t xml:space="preserve"> years of NWI implementation highlight opportunities to better steward Australia’s water resources.</w:t>
            </w:r>
            <w:r>
              <w:t xml:space="preserve"> </w:t>
            </w:r>
            <w:r w:rsidRPr="004E0412">
              <w:t>The case for renewed reform effort is further underscored by:</w:t>
            </w:r>
          </w:p>
          <w:p w14:paraId="41EDB016" w14:textId="77777777" w:rsidR="001054C3" w:rsidRPr="00023A4A" w:rsidRDefault="001054C3" w:rsidP="00234FBE">
            <w:pPr>
              <w:pStyle w:val="KeyPointsListBullet2"/>
            </w:pPr>
            <w:r>
              <w:t xml:space="preserve">a series of </w:t>
            </w:r>
            <w:r w:rsidRPr="00023A4A">
              <w:t>severe droughts</w:t>
            </w:r>
            <w:r>
              <w:t xml:space="preserve"> punctuated by large floods</w:t>
            </w:r>
            <w:r w:rsidRPr="00023A4A">
              <w:t xml:space="preserve">, which have caused extensive pain in Australian communities and are expected to become </w:t>
            </w:r>
            <w:r>
              <w:t xml:space="preserve">harsher and </w:t>
            </w:r>
            <w:r w:rsidRPr="00023A4A">
              <w:t>more frequent</w:t>
            </w:r>
          </w:p>
          <w:p w14:paraId="56892138" w14:textId="77777777" w:rsidR="001054C3" w:rsidRPr="00023A4A" w:rsidRDefault="001054C3" w:rsidP="00234FBE">
            <w:pPr>
              <w:pStyle w:val="KeyPointsListBullet2"/>
            </w:pPr>
            <w:r w:rsidRPr="00023A4A">
              <w:t>climate change, which will likely reduce the amount of water available for consumptive and environmental uses over the long term</w:t>
            </w:r>
          </w:p>
          <w:p w14:paraId="65CC4A64" w14:textId="77777777" w:rsidR="001054C3" w:rsidRPr="00023A4A" w:rsidRDefault="001054C3" w:rsidP="00234FBE">
            <w:pPr>
              <w:pStyle w:val="KeyPointsListBullet2"/>
            </w:pPr>
            <w:r w:rsidRPr="00023A4A">
              <w:t>projected population growth, with accompanying increases in the demand for water</w:t>
            </w:r>
          </w:p>
          <w:p w14:paraId="694ED17E" w14:textId="77777777" w:rsidR="001054C3" w:rsidRPr="00E95F6A" w:rsidRDefault="001054C3" w:rsidP="00234FBE">
            <w:pPr>
              <w:pStyle w:val="KeyPointsListBullet2"/>
              <w:rPr>
                <w:spacing w:val="4"/>
              </w:rPr>
            </w:pPr>
            <w:r w:rsidRPr="00E95F6A">
              <w:rPr>
                <w:spacing w:val="4"/>
              </w:rPr>
              <w:t>changing community expectations regarding the management of water, including support for greater recognition of the interests of Aboriginal and Torres Strait Islander people and realisation of the contribution that water makes to the amenity and liveability of communities.</w:t>
            </w:r>
          </w:p>
          <w:p w14:paraId="0FC7AF96" w14:textId="77777777" w:rsidR="001054C3" w:rsidRDefault="001054C3" w:rsidP="00234FBE">
            <w:pPr>
              <w:pStyle w:val="KeyPointsListBullet"/>
            </w:pPr>
            <w:r w:rsidRPr="00023A4A">
              <w:t>With best</w:t>
            </w:r>
            <w:r w:rsidRPr="00023A4A">
              <w:noBreakHyphen/>
              <w:t>practice policy settings, governments, water resource managers and water service providers will be as well placed as they can be to ensure that Australia’s preciou</w:t>
            </w:r>
            <w:r>
              <w:t>s water resources are conserved</w:t>
            </w:r>
            <w:r w:rsidRPr="00023A4A">
              <w:t xml:space="preserve"> and used to best effect.</w:t>
            </w:r>
          </w:p>
        </w:tc>
      </w:tr>
      <w:tr w:rsidR="001054C3" w14:paraId="59C01EEE" w14:textId="77777777" w:rsidTr="00234FBE">
        <w:tc>
          <w:tcPr>
            <w:tcW w:w="4835" w:type="pct"/>
            <w:tcBorders>
              <w:top w:val="nil"/>
              <w:left w:val="nil"/>
              <w:bottom w:val="single" w:sz="6" w:space="0" w:color="78A22F"/>
              <w:right w:val="nil"/>
            </w:tcBorders>
            <w:shd w:val="clear" w:color="auto" w:fill="F2F2F2"/>
          </w:tcPr>
          <w:p w14:paraId="0ECB50FA" w14:textId="77777777" w:rsidR="001054C3" w:rsidRDefault="001054C3" w:rsidP="00234FBE">
            <w:pPr>
              <w:pStyle w:val="Box"/>
              <w:spacing w:before="0" w:line="120" w:lineRule="exact"/>
            </w:pPr>
          </w:p>
        </w:tc>
        <w:tc>
          <w:tcPr>
            <w:tcW w:w="165" w:type="pct"/>
            <w:tcBorders>
              <w:top w:val="nil"/>
              <w:left w:val="nil"/>
              <w:bottom w:val="single" w:sz="6" w:space="0" w:color="78A22F"/>
              <w:right w:val="nil"/>
            </w:tcBorders>
            <w:shd w:val="clear" w:color="auto" w:fill="F2F2F2"/>
          </w:tcPr>
          <w:p w14:paraId="28EE51AD" w14:textId="77777777" w:rsidR="001054C3" w:rsidRDefault="001054C3" w:rsidP="00234FBE">
            <w:pPr>
              <w:pStyle w:val="Box"/>
              <w:spacing w:before="0" w:line="120" w:lineRule="exact"/>
            </w:pPr>
          </w:p>
        </w:tc>
      </w:tr>
      <w:tr w:rsidR="001054C3" w:rsidRPr="000863A5" w14:paraId="62057E59" w14:textId="77777777" w:rsidTr="00234FBE">
        <w:tc>
          <w:tcPr>
            <w:tcW w:w="5000" w:type="pct"/>
            <w:gridSpan w:val="2"/>
            <w:tcBorders>
              <w:top w:val="single" w:sz="6" w:space="0" w:color="78A22F"/>
              <w:left w:val="nil"/>
              <w:bottom w:val="nil"/>
              <w:right w:val="nil"/>
            </w:tcBorders>
          </w:tcPr>
          <w:p w14:paraId="3A6F7C6F" w14:textId="77777777" w:rsidR="001054C3" w:rsidRPr="00626D32" w:rsidRDefault="001054C3" w:rsidP="00234FBE">
            <w:pPr>
              <w:pStyle w:val="BoxSpaceBelow"/>
            </w:pPr>
          </w:p>
        </w:tc>
      </w:tr>
    </w:tbl>
    <w:p w14:paraId="07CCF5E0" w14:textId="469F2D83" w:rsidR="001054C3" w:rsidRDefault="001054C3" w:rsidP="00234FBE">
      <w:pPr>
        <w:pStyle w:val="Heading2"/>
      </w:pPr>
      <w:bookmarkStart w:id="40" w:name="_Toc72939485"/>
      <w:r>
        <w:lastRenderedPageBreak/>
        <w:t>2.</w:t>
      </w:r>
      <w:r>
        <w:rPr>
          <w:noProof/>
        </w:rPr>
        <w:t>1</w:t>
      </w:r>
      <w:bookmarkStart w:id="41" w:name="_Toc63112448"/>
      <w:r w:rsidRPr="00D71FCE">
        <w:tab/>
      </w:r>
      <w:r>
        <w:t>Overview of the NWI reform agenda</w:t>
      </w:r>
      <w:bookmarkEnd w:id="40"/>
      <w:bookmarkEnd w:id="41"/>
    </w:p>
    <w:p w14:paraId="5D01482C" w14:textId="51D939D0" w:rsidR="001054C3" w:rsidRPr="006644B3" w:rsidRDefault="001054C3" w:rsidP="00234FBE">
      <w:pPr>
        <w:pStyle w:val="BodyText"/>
      </w:pPr>
      <w:r w:rsidRPr="006644B3">
        <w:t xml:space="preserve">The reform agenda established through the National Water Initiative (NWI) </w:t>
      </w:r>
      <w:r>
        <w:t xml:space="preserve">built on the work of its predecessor, the COAG Water Reform Framework (1994), with the aim of supporting </w:t>
      </w:r>
      <w:r w:rsidRPr="006644B3">
        <w:t>a nationally</w:t>
      </w:r>
      <w:r>
        <w:t xml:space="preserve"> </w:t>
      </w:r>
      <w:r w:rsidRPr="006644B3">
        <w:t xml:space="preserve">compatible market, regulatory and planning based system of managing water </w:t>
      </w:r>
      <w:r>
        <w:t xml:space="preserve">referencing the </w:t>
      </w:r>
      <w:r w:rsidRPr="006644B3">
        <w:t>resources that optimised economic, social and environmental outcomes</w:t>
      </w:r>
      <w:r>
        <w:t>.</w:t>
      </w:r>
      <w:r>
        <w:rPr>
          <w:rStyle w:val="FootnoteReference"/>
        </w:rPr>
        <w:footnoteReference w:id="5"/>
      </w:r>
      <w:r>
        <w:t xml:space="preserve"> Ten objectives consistent with this aim were established</w:t>
      </w:r>
      <w:r w:rsidRPr="006644B3">
        <w:t xml:space="preserve"> (box </w:t>
      </w:r>
      <w:r w:rsidRPr="00EF6983">
        <w:t>2.1</w:t>
      </w:r>
      <w:r w:rsidRPr="006644B3">
        <w:t>)</w:t>
      </w:r>
      <w:r>
        <w:t xml:space="preserve">. And agreed outcomes and commitments to specific actions were set out </w:t>
      </w:r>
      <w:r w:rsidRPr="006644B3">
        <w:t>in eight reform areas</w:t>
      </w:r>
      <w:r>
        <w:t xml:space="preserve"> or ‘elements’ (box 2.2)</w:t>
      </w:r>
      <w:r w:rsidRPr="006644B3">
        <w:t>.</w:t>
      </w:r>
    </w:p>
    <w:p w14:paraId="153AA9DC" w14:textId="77777777" w:rsidR="001054C3" w:rsidRPr="005B22B9"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5B22B9" w14:paraId="56B19F25" w14:textId="77777777" w:rsidTr="00234FBE">
        <w:trPr>
          <w:tblHeader/>
        </w:trPr>
        <w:tc>
          <w:tcPr>
            <w:tcW w:w="5000" w:type="pct"/>
            <w:tcBorders>
              <w:top w:val="single" w:sz="6" w:space="0" w:color="78A22F"/>
              <w:left w:val="nil"/>
              <w:bottom w:val="nil"/>
              <w:right w:val="nil"/>
            </w:tcBorders>
            <w:shd w:val="clear" w:color="auto" w:fill="F2F2F2"/>
          </w:tcPr>
          <w:p w14:paraId="069329A7" w14:textId="1C4951E9" w:rsidR="001054C3" w:rsidRPr="005B22B9" w:rsidRDefault="001054C3" w:rsidP="00234FBE">
            <w:pPr>
              <w:keepNext/>
              <w:keepLines/>
              <w:spacing w:before="120" w:line="280" w:lineRule="exact"/>
              <w:ind w:left="1474" w:hanging="1474"/>
              <w:rPr>
                <w:rFonts w:ascii="Arial" w:hAnsi="Arial"/>
                <w:b/>
              </w:rPr>
            </w:pPr>
            <w:r w:rsidRPr="005B22B9">
              <w:rPr>
                <w:rFonts w:ascii="Arial" w:hAnsi="Arial"/>
              </w:rPr>
              <w:t xml:space="preserve">Box </w:t>
            </w:r>
            <w:r>
              <w:rPr>
                <w:rFonts w:ascii="Arial" w:hAnsi="Arial"/>
              </w:rPr>
              <w:t>2.</w:t>
            </w:r>
            <w:r>
              <w:rPr>
                <w:rFonts w:ascii="Arial" w:hAnsi="Arial"/>
                <w:noProof/>
              </w:rPr>
              <w:t>1</w:t>
            </w:r>
            <w:r w:rsidRPr="005B22B9">
              <w:rPr>
                <w:rFonts w:ascii="Arial" w:hAnsi="Arial"/>
                <w:b/>
              </w:rPr>
              <w:tab/>
              <w:t>Objectives of the National Water Initiative</w:t>
            </w:r>
          </w:p>
        </w:tc>
      </w:tr>
      <w:tr w:rsidR="001054C3" w:rsidRPr="005B22B9" w14:paraId="374A5073" w14:textId="77777777" w:rsidTr="00234FBE">
        <w:tc>
          <w:tcPr>
            <w:tcW w:w="5000" w:type="pct"/>
            <w:tcBorders>
              <w:top w:val="nil"/>
              <w:left w:val="nil"/>
              <w:bottom w:val="nil"/>
              <w:right w:val="nil"/>
            </w:tcBorders>
            <w:shd w:val="clear" w:color="auto" w:fill="F2F2F2"/>
          </w:tcPr>
          <w:p w14:paraId="7733201C" w14:textId="77777777" w:rsidR="001054C3" w:rsidRPr="005B22B9" w:rsidRDefault="001054C3" w:rsidP="00234FBE">
            <w:pPr>
              <w:keepNext/>
              <w:spacing w:before="120" w:line="260" w:lineRule="atLeast"/>
              <w:jc w:val="both"/>
              <w:rPr>
                <w:rFonts w:ascii="Arial" w:hAnsi="Arial"/>
                <w:sz w:val="20"/>
                <w:szCs w:val="20"/>
              </w:rPr>
            </w:pPr>
            <w:r>
              <w:rPr>
                <w:rFonts w:ascii="Arial" w:hAnsi="Arial"/>
                <w:sz w:val="20"/>
                <w:szCs w:val="20"/>
              </w:rPr>
              <w:t>Jurisdictions agreed to work towards ten objectives through the National Water Initiative. These are:</w:t>
            </w:r>
          </w:p>
          <w:p w14:paraId="7F63D1EC" w14:textId="77777777" w:rsidR="001054C3" w:rsidRPr="005B22B9" w:rsidRDefault="001054C3" w:rsidP="00234FBE">
            <w:pPr>
              <w:pStyle w:val="BoxListBullet"/>
            </w:pPr>
            <w:r w:rsidRPr="005B22B9">
              <w:t>clear and nationally</w:t>
            </w:r>
            <w:r>
              <w:noBreakHyphen/>
            </w:r>
            <w:r w:rsidRPr="005B22B9">
              <w:t>compatible characteristics for secure water access entitlements</w:t>
            </w:r>
          </w:p>
          <w:p w14:paraId="33793F66" w14:textId="77777777" w:rsidR="001054C3" w:rsidRPr="005B22B9" w:rsidRDefault="001054C3" w:rsidP="00234FBE">
            <w:pPr>
              <w:pStyle w:val="BoxListBullet"/>
            </w:pPr>
            <w:r w:rsidRPr="00EB6E0C">
              <w:t>transparent, statutory</w:t>
            </w:r>
            <w:r>
              <w:noBreakHyphen/>
            </w:r>
            <w:r w:rsidRPr="00EB6E0C">
              <w:t>based water planning</w:t>
            </w:r>
          </w:p>
          <w:p w14:paraId="4D81FEDA" w14:textId="77777777" w:rsidR="001054C3" w:rsidRPr="005B22B9" w:rsidRDefault="001054C3" w:rsidP="00234FBE">
            <w:pPr>
              <w:pStyle w:val="BoxListBullet"/>
            </w:pPr>
            <w:r w:rsidRPr="00EB6E0C">
              <w:t xml:space="preserve">statutory </w:t>
            </w:r>
            <w:r w:rsidRPr="005B22B9">
              <w:t>provision for environmental and other public benefit outcomes, and improved environmental management practices</w:t>
            </w:r>
          </w:p>
          <w:p w14:paraId="0F1AC006" w14:textId="77777777" w:rsidR="001054C3" w:rsidRPr="005B22B9" w:rsidRDefault="001054C3" w:rsidP="00234FBE">
            <w:pPr>
              <w:pStyle w:val="BoxListBullet"/>
            </w:pPr>
            <w:r w:rsidRPr="00EB6E0C">
              <w:t>complete the return of all currently overallocated or overused systems to environmentally</w:t>
            </w:r>
            <w:r>
              <w:t xml:space="preserve"> </w:t>
            </w:r>
            <w:r w:rsidRPr="00EB6E0C">
              <w:t>sustainable levels of extraction</w:t>
            </w:r>
          </w:p>
          <w:p w14:paraId="10455CF5" w14:textId="77777777" w:rsidR="001054C3" w:rsidRPr="005B22B9" w:rsidRDefault="001054C3" w:rsidP="00234FBE">
            <w:pPr>
              <w:pStyle w:val="BoxListBullet"/>
            </w:pPr>
            <w:r w:rsidRPr="00EB6E0C">
              <w:t xml:space="preserve">progressive </w:t>
            </w:r>
            <w:r w:rsidRPr="005B22B9">
              <w:t>removal of barriers to trade in water and meeting other requirements to facilitate the broadening and deepening of the water market, with an open trading market to be in place</w:t>
            </w:r>
          </w:p>
          <w:p w14:paraId="500BCE03" w14:textId="77777777" w:rsidR="001054C3" w:rsidRPr="005B22B9" w:rsidRDefault="001054C3" w:rsidP="00234FBE">
            <w:pPr>
              <w:pStyle w:val="BoxListBullet"/>
            </w:pPr>
            <w:r w:rsidRPr="00EB6E0C">
              <w:t>clarity around the assignment of risk arising from future changes in the availab</w:t>
            </w:r>
            <w:r w:rsidRPr="005B22B9">
              <w:t>ility of water for the consumptive pool</w:t>
            </w:r>
          </w:p>
          <w:p w14:paraId="6FEB2CF7" w14:textId="77777777" w:rsidR="001054C3" w:rsidRPr="005B22B9" w:rsidRDefault="001054C3" w:rsidP="00234FBE">
            <w:pPr>
              <w:pStyle w:val="BoxListBullet"/>
              <w:rPr>
                <w:spacing w:val="-2"/>
              </w:rPr>
            </w:pPr>
            <w:r w:rsidRPr="00EB6E0C">
              <w:t>water accounting which is able to meet the information needs of different water systems in respect to planning, monitoring, trading, environmental management and on</w:t>
            </w:r>
            <w:r>
              <w:noBreakHyphen/>
            </w:r>
            <w:r w:rsidRPr="00EB6E0C">
              <w:t>farm management</w:t>
            </w:r>
          </w:p>
          <w:p w14:paraId="2C2904CE" w14:textId="77777777" w:rsidR="001054C3" w:rsidRPr="005B22B9" w:rsidRDefault="001054C3" w:rsidP="00234FBE">
            <w:pPr>
              <w:pStyle w:val="BoxListBullet"/>
            </w:pPr>
            <w:r w:rsidRPr="00EB6E0C">
              <w:t>policy settings which facilitate wa</w:t>
            </w:r>
            <w:r w:rsidRPr="005B22B9">
              <w:t>ter use efficiency and innovation in urban and rural areas</w:t>
            </w:r>
          </w:p>
          <w:p w14:paraId="3CAA1D17" w14:textId="77777777" w:rsidR="001054C3" w:rsidRPr="005B22B9" w:rsidRDefault="001054C3" w:rsidP="00234FBE">
            <w:pPr>
              <w:pStyle w:val="BoxListBullet"/>
            </w:pPr>
            <w:r w:rsidRPr="00EB6E0C">
              <w:t>addressing future adjustment issues that may impact on water users and communities</w:t>
            </w:r>
          </w:p>
          <w:p w14:paraId="652AD56B" w14:textId="77777777" w:rsidR="001054C3" w:rsidRPr="00AA619B" w:rsidRDefault="001054C3" w:rsidP="00234FBE">
            <w:pPr>
              <w:pStyle w:val="BoxListBullet"/>
            </w:pPr>
            <w:r w:rsidRPr="00EB6E0C">
              <w:t>recognition of the connectivity</w:t>
            </w:r>
            <w:r w:rsidRPr="005B22B9">
              <w:t xml:space="preserve"> between surface and groundwater resources and connected systems managed as a single resource.</w:t>
            </w:r>
          </w:p>
        </w:tc>
      </w:tr>
      <w:tr w:rsidR="001054C3" w:rsidRPr="005B22B9" w14:paraId="60AD662F" w14:textId="77777777" w:rsidTr="00234FBE">
        <w:tc>
          <w:tcPr>
            <w:tcW w:w="5000" w:type="pct"/>
            <w:tcBorders>
              <w:top w:val="nil"/>
              <w:left w:val="nil"/>
              <w:bottom w:val="nil"/>
              <w:right w:val="nil"/>
            </w:tcBorders>
            <w:shd w:val="clear" w:color="auto" w:fill="F2F2F2"/>
          </w:tcPr>
          <w:p w14:paraId="38FD18CE" w14:textId="77777777" w:rsidR="001054C3" w:rsidRPr="005B22B9" w:rsidRDefault="001054C3" w:rsidP="00234FBE">
            <w:pPr>
              <w:keepLines/>
              <w:spacing w:before="120" w:line="220" w:lineRule="exact"/>
              <w:jc w:val="both"/>
              <w:rPr>
                <w:rFonts w:ascii="Arial" w:hAnsi="Arial"/>
                <w:sz w:val="18"/>
                <w:szCs w:val="20"/>
              </w:rPr>
            </w:pPr>
            <w:r w:rsidRPr="005B22B9">
              <w:rPr>
                <w:rFonts w:ascii="Arial" w:hAnsi="Arial"/>
                <w:i/>
                <w:sz w:val="18"/>
                <w:szCs w:val="20"/>
              </w:rPr>
              <w:t>Source</w:t>
            </w:r>
            <w:r w:rsidRPr="005B22B9">
              <w:rPr>
                <w:rFonts w:ascii="Arial" w:hAnsi="Arial"/>
                <w:sz w:val="18"/>
                <w:szCs w:val="20"/>
              </w:rPr>
              <w:t>: NWI paragraph 23.</w:t>
            </w:r>
          </w:p>
        </w:tc>
      </w:tr>
      <w:tr w:rsidR="001054C3" w:rsidRPr="005B22B9" w14:paraId="6DC2D503" w14:textId="77777777" w:rsidTr="00234FBE">
        <w:tc>
          <w:tcPr>
            <w:tcW w:w="5000" w:type="pct"/>
            <w:tcBorders>
              <w:top w:val="nil"/>
              <w:left w:val="nil"/>
              <w:bottom w:val="single" w:sz="6" w:space="0" w:color="78A22F"/>
              <w:right w:val="nil"/>
            </w:tcBorders>
            <w:shd w:val="clear" w:color="auto" w:fill="F2F2F2"/>
          </w:tcPr>
          <w:p w14:paraId="7736009F" w14:textId="77777777" w:rsidR="001054C3" w:rsidRPr="005B22B9" w:rsidRDefault="001054C3" w:rsidP="00234FBE">
            <w:pPr>
              <w:keepNext/>
              <w:spacing w:line="120" w:lineRule="exact"/>
              <w:jc w:val="both"/>
              <w:rPr>
                <w:rFonts w:ascii="Arial" w:hAnsi="Arial"/>
                <w:sz w:val="20"/>
                <w:szCs w:val="20"/>
              </w:rPr>
            </w:pPr>
          </w:p>
        </w:tc>
      </w:tr>
      <w:tr w:rsidR="001054C3" w:rsidRPr="005B22B9" w14:paraId="5A6FFF39" w14:textId="77777777" w:rsidTr="00234FBE">
        <w:tc>
          <w:tcPr>
            <w:tcW w:w="5000" w:type="pct"/>
            <w:tcBorders>
              <w:top w:val="single" w:sz="6" w:space="0" w:color="78A22F"/>
              <w:left w:val="nil"/>
              <w:bottom w:val="nil"/>
              <w:right w:val="nil"/>
            </w:tcBorders>
          </w:tcPr>
          <w:p w14:paraId="6672BAAA" w14:textId="77777777" w:rsidR="001054C3" w:rsidRPr="005B22B9" w:rsidRDefault="001054C3" w:rsidP="00234FBE">
            <w:pPr>
              <w:spacing w:before="60" w:after="60" w:line="80" w:lineRule="exact"/>
              <w:jc w:val="both"/>
              <w:rPr>
                <w:rFonts w:ascii="Arial" w:hAnsi="Arial"/>
                <w:sz w:val="14"/>
                <w:szCs w:val="20"/>
              </w:rPr>
            </w:pPr>
          </w:p>
        </w:tc>
      </w:tr>
    </w:tbl>
    <w:p w14:paraId="159F0407"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56CA64EF" w14:textId="77777777" w:rsidTr="00234FBE">
        <w:trPr>
          <w:tblHeader/>
        </w:trPr>
        <w:tc>
          <w:tcPr>
            <w:tcW w:w="5000" w:type="pct"/>
            <w:tcBorders>
              <w:top w:val="single" w:sz="6" w:space="0" w:color="78A22F"/>
              <w:left w:val="nil"/>
              <w:bottom w:val="nil"/>
              <w:right w:val="nil"/>
            </w:tcBorders>
            <w:shd w:val="clear" w:color="auto" w:fill="F2F2F2"/>
          </w:tcPr>
          <w:p w14:paraId="106A3D9D" w14:textId="77777777" w:rsidR="001054C3" w:rsidRDefault="001054C3" w:rsidP="00234FBE">
            <w:pPr>
              <w:pStyle w:val="BoxTitle"/>
            </w:pPr>
            <w:r>
              <w:rPr>
                <w:b w:val="0"/>
              </w:rPr>
              <w:t>Box 2.</w:t>
            </w:r>
            <w:r>
              <w:rPr>
                <w:b w:val="0"/>
                <w:noProof/>
              </w:rPr>
              <w:t>2</w:t>
            </w:r>
            <w:r>
              <w:tab/>
              <w:t>E</w:t>
            </w:r>
            <w:r w:rsidRPr="00AA619B">
              <w:t>lements of the National Water Initiative</w:t>
            </w:r>
          </w:p>
        </w:tc>
      </w:tr>
      <w:tr w:rsidR="001054C3" w14:paraId="35B30FAF" w14:textId="77777777" w:rsidTr="00234FBE">
        <w:tc>
          <w:tcPr>
            <w:tcW w:w="5000" w:type="pct"/>
            <w:tcBorders>
              <w:top w:val="nil"/>
              <w:left w:val="nil"/>
              <w:bottom w:val="nil"/>
              <w:right w:val="nil"/>
            </w:tcBorders>
            <w:shd w:val="clear" w:color="auto" w:fill="F2F2F2"/>
          </w:tcPr>
          <w:p w14:paraId="2D8F07CE" w14:textId="77777777" w:rsidR="001054C3" w:rsidRPr="005B22B9" w:rsidRDefault="001054C3" w:rsidP="00234FBE">
            <w:pPr>
              <w:keepNext/>
              <w:spacing w:before="120" w:line="260" w:lineRule="atLeast"/>
              <w:jc w:val="both"/>
              <w:rPr>
                <w:rFonts w:ascii="Arial" w:hAnsi="Arial"/>
                <w:sz w:val="20"/>
                <w:szCs w:val="20"/>
              </w:rPr>
            </w:pPr>
            <w:r>
              <w:rPr>
                <w:rFonts w:ascii="Arial" w:hAnsi="Arial"/>
                <w:sz w:val="20"/>
                <w:szCs w:val="20"/>
              </w:rPr>
              <w:t>Jurisdictions agreed to pursue the objectives (box 2.1) through reform actions in eight key areas.</w:t>
            </w:r>
          </w:p>
          <w:p w14:paraId="632B41A6" w14:textId="77777777" w:rsidR="001054C3" w:rsidRPr="005B22B9" w:rsidRDefault="001054C3" w:rsidP="00234FBE">
            <w:pPr>
              <w:keepNext/>
              <w:numPr>
                <w:ilvl w:val="0"/>
                <w:numId w:val="10"/>
              </w:numPr>
              <w:spacing w:before="100" w:line="260" w:lineRule="atLeast"/>
              <w:jc w:val="both"/>
              <w:rPr>
                <w:rFonts w:ascii="Arial" w:hAnsi="Arial"/>
                <w:sz w:val="20"/>
                <w:szCs w:val="20"/>
              </w:rPr>
            </w:pPr>
            <w:r w:rsidRPr="005B22B9">
              <w:rPr>
                <w:rFonts w:ascii="Arial" w:hAnsi="Arial"/>
                <w:sz w:val="20"/>
                <w:szCs w:val="20"/>
              </w:rPr>
              <w:t>Water access entitlements and planning frameworks</w:t>
            </w:r>
          </w:p>
          <w:p w14:paraId="0D827904" w14:textId="77777777" w:rsidR="001054C3" w:rsidRPr="005B22B9" w:rsidRDefault="001054C3" w:rsidP="00234FBE">
            <w:pPr>
              <w:keepNext/>
              <w:numPr>
                <w:ilvl w:val="0"/>
                <w:numId w:val="10"/>
              </w:numPr>
              <w:spacing w:before="100" w:line="260" w:lineRule="atLeast"/>
              <w:jc w:val="both"/>
              <w:rPr>
                <w:rFonts w:ascii="Arial" w:hAnsi="Arial"/>
                <w:sz w:val="20"/>
                <w:szCs w:val="20"/>
              </w:rPr>
            </w:pPr>
            <w:r w:rsidRPr="005B22B9">
              <w:rPr>
                <w:rFonts w:ascii="Arial" w:hAnsi="Arial"/>
                <w:sz w:val="20"/>
                <w:szCs w:val="20"/>
              </w:rPr>
              <w:t>Water markets and trading</w:t>
            </w:r>
          </w:p>
          <w:p w14:paraId="61693DA8" w14:textId="77777777" w:rsidR="001054C3" w:rsidRPr="005B22B9" w:rsidRDefault="001054C3" w:rsidP="00234FBE">
            <w:pPr>
              <w:keepNext/>
              <w:numPr>
                <w:ilvl w:val="0"/>
                <w:numId w:val="10"/>
              </w:numPr>
              <w:spacing w:before="100" w:line="260" w:lineRule="atLeast"/>
              <w:jc w:val="both"/>
              <w:rPr>
                <w:rFonts w:ascii="Arial" w:hAnsi="Arial"/>
                <w:sz w:val="20"/>
                <w:szCs w:val="20"/>
              </w:rPr>
            </w:pPr>
            <w:r w:rsidRPr="005B22B9">
              <w:rPr>
                <w:rFonts w:ascii="Arial" w:hAnsi="Arial"/>
                <w:sz w:val="20"/>
                <w:szCs w:val="20"/>
              </w:rPr>
              <w:t>Best</w:t>
            </w:r>
            <w:r>
              <w:rPr>
                <w:rFonts w:ascii="Arial" w:hAnsi="Arial"/>
                <w:sz w:val="20"/>
                <w:szCs w:val="20"/>
              </w:rPr>
              <w:noBreakHyphen/>
            </w:r>
            <w:r w:rsidRPr="005B22B9">
              <w:rPr>
                <w:rFonts w:ascii="Arial" w:hAnsi="Arial"/>
                <w:sz w:val="20"/>
                <w:szCs w:val="20"/>
              </w:rPr>
              <w:t>practice water pricing and institutional arrangements</w:t>
            </w:r>
          </w:p>
          <w:p w14:paraId="1D6F4082" w14:textId="77777777" w:rsidR="001054C3" w:rsidRPr="005B22B9" w:rsidRDefault="001054C3" w:rsidP="00234FBE">
            <w:pPr>
              <w:keepNext/>
              <w:numPr>
                <w:ilvl w:val="0"/>
                <w:numId w:val="10"/>
              </w:numPr>
              <w:spacing w:before="100" w:line="260" w:lineRule="atLeast"/>
              <w:jc w:val="both"/>
              <w:rPr>
                <w:rFonts w:ascii="Arial" w:hAnsi="Arial"/>
                <w:sz w:val="20"/>
                <w:szCs w:val="20"/>
              </w:rPr>
            </w:pPr>
            <w:r w:rsidRPr="005B22B9">
              <w:rPr>
                <w:rFonts w:ascii="Arial" w:hAnsi="Arial"/>
                <w:sz w:val="20"/>
                <w:szCs w:val="20"/>
              </w:rPr>
              <w:t>Integrated management of water for environmental and other public benefit outcomes</w:t>
            </w:r>
          </w:p>
          <w:p w14:paraId="500A72F9" w14:textId="77777777" w:rsidR="001054C3" w:rsidRPr="005B22B9" w:rsidRDefault="001054C3" w:rsidP="00234FBE">
            <w:pPr>
              <w:keepNext/>
              <w:numPr>
                <w:ilvl w:val="0"/>
                <w:numId w:val="10"/>
              </w:numPr>
              <w:spacing w:before="100" w:line="260" w:lineRule="atLeast"/>
              <w:jc w:val="both"/>
              <w:rPr>
                <w:rFonts w:ascii="Arial" w:hAnsi="Arial"/>
                <w:sz w:val="20"/>
                <w:szCs w:val="20"/>
              </w:rPr>
            </w:pPr>
            <w:r w:rsidRPr="005B22B9">
              <w:rPr>
                <w:rFonts w:ascii="Arial" w:hAnsi="Arial"/>
                <w:sz w:val="20"/>
                <w:szCs w:val="20"/>
              </w:rPr>
              <w:t>Water resource accounting</w:t>
            </w:r>
          </w:p>
          <w:p w14:paraId="3BE999B1" w14:textId="77777777" w:rsidR="001054C3" w:rsidRPr="005B22B9" w:rsidRDefault="001054C3" w:rsidP="00234FBE">
            <w:pPr>
              <w:keepNext/>
              <w:numPr>
                <w:ilvl w:val="0"/>
                <w:numId w:val="10"/>
              </w:numPr>
              <w:spacing w:before="100" w:line="260" w:lineRule="atLeast"/>
              <w:jc w:val="both"/>
              <w:rPr>
                <w:rFonts w:ascii="Arial" w:hAnsi="Arial"/>
                <w:sz w:val="20"/>
                <w:szCs w:val="20"/>
              </w:rPr>
            </w:pPr>
            <w:r w:rsidRPr="005B22B9">
              <w:rPr>
                <w:rFonts w:ascii="Arial" w:hAnsi="Arial"/>
                <w:sz w:val="20"/>
                <w:szCs w:val="20"/>
              </w:rPr>
              <w:t>Urban water reform</w:t>
            </w:r>
          </w:p>
          <w:p w14:paraId="0BB9EFF9" w14:textId="77777777" w:rsidR="001054C3" w:rsidRDefault="001054C3" w:rsidP="00234FBE">
            <w:pPr>
              <w:keepNext/>
              <w:numPr>
                <w:ilvl w:val="0"/>
                <w:numId w:val="10"/>
              </w:numPr>
              <w:spacing w:before="100" w:line="260" w:lineRule="atLeast"/>
              <w:jc w:val="both"/>
              <w:rPr>
                <w:rFonts w:ascii="Arial" w:hAnsi="Arial"/>
                <w:sz w:val="20"/>
                <w:szCs w:val="20"/>
              </w:rPr>
            </w:pPr>
            <w:r w:rsidRPr="005B22B9">
              <w:rPr>
                <w:rFonts w:ascii="Arial" w:hAnsi="Arial"/>
                <w:sz w:val="20"/>
                <w:szCs w:val="20"/>
              </w:rPr>
              <w:t>Knowledge and capacity building</w:t>
            </w:r>
          </w:p>
          <w:p w14:paraId="7737E0AC" w14:textId="77777777" w:rsidR="001054C3" w:rsidRPr="00EF4BF2" w:rsidRDefault="001054C3" w:rsidP="00234FBE">
            <w:pPr>
              <w:keepNext/>
              <w:numPr>
                <w:ilvl w:val="0"/>
                <w:numId w:val="10"/>
              </w:numPr>
              <w:spacing w:before="100" w:line="260" w:lineRule="atLeast"/>
              <w:jc w:val="both"/>
              <w:rPr>
                <w:rFonts w:ascii="Arial" w:hAnsi="Arial"/>
                <w:sz w:val="20"/>
                <w:szCs w:val="20"/>
              </w:rPr>
            </w:pPr>
            <w:r w:rsidRPr="00EF4BF2">
              <w:rPr>
                <w:rFonts w:ascii="Arial" w:hAnsi="Arial"/>
                <w:sz w:val="20"/>
                <w:szCs w:val="20"/>
              </w:rPr>
              <w:t>Community partnerships and adjustment.</w:t>
            </w:r>
          </w:p>
        </w:tc>
      </w:tr>
      <w:tr w:rsidR="001054C3" w14:paraId="51ECE0A1" w14:textId="77777777" w:rsidTr="00234FBE">
        <w:tc>
          <w:tcPr>
            <w:tcW w:w="5000" w:type="pct"/>
            <w:tcBorders>
              <w:top w:val="nil"/>
              <w:left w:val="nil"/>
              <w:bottom w:val="nil"/>
              <w:right w:val="nil"/>
            </w:tcBorders>
            <w:shd w:val="clear" w:color="auto" w:fill="F2F2F2"/>
          </w:tcPr>
          <w:p w14:paraId="316D8750" w14:textId="77777777" w:rsidR="001054C3" w:rsidRDefault="001054C3" w:rsidP="00234FBE">
            <w:pPr>
              <w:pStyle w:val="BoxSource"/>
            </w:pPr>
            <w:r>
              <w:rPr>
                <w:i/>
              </w:rPr>
              <w:t>Source</w:t>
            </w:r>
            <w:r w:rsidRPr="00167F06">
              <w:t xml:space="preserve">: </w:t>
            </w:r>
            <w:r w:rsidRPr="005B22B9">
              <w:t>NWI paragraph 24</w:t>
            </w:r>
            <w:r>
              <w:t>.</w:t>
            </w:r>
          </w:p>
        </w:tc>
      </w:tr>
      <w:tr w:rsidR="001054C3" w14:paraId="47456E1B" w14:textId="77777777" w:rsidTr="00234FBE">
        <w:tc>
          <w:tcPr>
            <w:tcW w:w="5000" w:type="pct"/>
            <w:tcBorders>
              <w:top w:val="nil"/>
              <w:left w:val="nil"/>
              <w:bottom w:val="single" w:sz="6" w:space="0" w:color="78A22F"/>
              <w:right w:val="nil"/>
            </w:tcBorders>
            <w:shd w:val="clear" w:color="auto" w:fill="F2F2F2"/>
          </w:tcPr>
          <w:p w14:paraId="07724ECB" w14:textId="77777777" w:rsidR="001054C3" w:rsidRDefault="001054C3" w:rsidP="00234FBE">
            <w:pPr>
              <w:pStyle w:val="Box"/>
              <w:spacing w:before="0" w:line="120" w:lineRule="exact"/>
            </w:pPr>
          </w:p>
        </w:tc>
      </w:tr>
      <w:tr w:rsidR="001054C3" w:rsidRPr="000863A5" w14:paraId="394E6004" w14:textId="77777777" w:rsidTr="00234FBE">
        <w:tc>
          <w:tcPr>
            <w:tcW w:w="5000" w:type="pct"/>
            <w:tcBorders>
              <w:top w:val="single" w:sz="6" w:space="0" w:color="78A22F"/>
              <w:left w:val="nil"/>
              <w:bottom w:val="nil"/>
              <w:right w:val="nil"/>
            </w:tcBorders>
          </w:tcPr>
          <w:p w14:paraId="4D9DC9AA" w14:textId="77777777" w:rsidR="001054C3" w:rsidRPr="00626D32" w:rsidRDefault="001054C3" w:rsidP="00234FBE">
            <w:pPr>
              <w:pStyle w:val="BoxSpaceBelow"/>
            </w:pPr>
          </w:p>
        </w:tc>
      </w:tr>
    </w:tbl>
    <w:p w14:paraId="0EC64A74" w14:textId="17F355C4" w:rsidR="001054C3" w:rsidRDefault="001054C3" w:rsidP="00234FBE">
      <w:pPr>
        <w:pStyle w:val="Heading2"/>
      </w:pPr>
      <w:bookmarkStart w:id="42" w:name="_Toc72939486"/>
      <w:r>
        <w:t>2.</w:t>
      </w:r>
      <w:r>
        <w:rPr>
          <w:noProof/>
        </w:rPr>
        <w:t>2</w:t>
      </w:r>
      <w:bookmarkStart w:id="43" w:name="_Toc63112449"/>
      <w:r>
        <w:tab/>
        <w:t>Summary of progress against the agreement</w:t>
      </w:r>
      <w:bookmarkEnd w:id="42"/>
      <w:bookmarkEnd w:id="43"/>
    </w:p>
    <w:p w14:paraId="6823052D" w14:textId="77777777" w:rsidR="001054C3" w:rsidRDefault="001054C3" w:rsidP="00234FBE">
      <w:pPr>
        <w:pStyle w:val="BodyText"/>
      </w:pPr>
      <w:r>
        <w:t xml:space="preserve">Jurisdictions have made good progress against this agenda (table 2.1). Most have largely achieved their NWI commitments, but there is some unfinished business and some scope for improvement where reforms have been implemented. A full assessment of jurisdictions’ progress since 2017 is presented in the </w:t>
      </w:r>
      <w:r w:rsidRPr="00535126">
        <w:rPr>
          <w:i/>
          <w:iCs/>
        </w:rPr>
        <w:t>Assessment</w:t>
      </w:r>
      <w:r>
        <w:t>.</w:t>
      </w:r>
    </w:p>
    <w:p w14:paraId="228A82AA" w14:textId="77777777" w:rsidR="001054C3" w:rsidRPr="00151843" w:rsidRDefault="001054C3" w:rsidP="00234FBE">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1054C3" w:rsidRPr="00151843" w14:paraId="047E3664" w14:textId="77777777" w:rsidTr="00234FBE">
        <w:trPr>
          <w:tblHeader/>
        </w:trPr>
        <w:tc>
          <w:tcPr>
            <w:tcW w:w="5000" w:type="pct"/>
            <w:tcBorders>
              <w:top w:val="single" w:sz="6" w:space="0" w:color="78A22F"/>
              <w:left w:val="nil"/>
              <w:bottom w:val="nil"/>
              <w:right w:val="nil"/>
            </w:tcBorders>
          </w:tcPr>
          <w:p w14:paraId="36C37C24" w14:textId="56908443" w:rsidR="001054C3" w:rsidRPr="00151843" w:rsidRDefault="001054C3" w:rsidP="00234FBE">
            <w:pPr>
              <w:keepNext/>
              <w:keepLines/>
              <w:spacing w:before="120" w:after="80" w:line="280" w:lineRule="exact"/>
              <w:ind w:left="1474" w:hanging="1474"/>
              <w:rPr>
                <w:rFonts w:ascii="Arial" w:hAnsi="Arial"/>
                <w:b/>
              </w:rPr>
            </w:pPr>
            <w:r w:rsidRPr="00151843">
              <w:rPr>
                <w:rFonts w:ascii="Arial" w:hAnsi="Arial"/>
              </w:rPr>
              <w:t>Table</w:t>
            </w:r>
            <w:r>
              <w:rPr>
                <w:rFonts w:ascii="Arial" w:hAnsi="Arial"/>
              </w:rPr>
              <w:t> 2.</w:t>
            </w:r>
            <w:r>
              <w:rPr>
                <w:rFonts w:ascii="Arial" w:hAnsi="Arial"/>
                <w:noProof/>
              </w:rPr>
              <w:t>1</w:t>
            </w:r>
            <w:r w:rsidRPr="00151843">
              <w:rPr>
                <w:rFonts w:ascii="Arial" w:hAnsi="Arial"/>
                <w:b/>
              </w:rPr>
              <w:tab/>
              <w:t>Summary of progress</w:t>
            </w:r>
            <w:r>
              <w:rPr>
                <w:rFonts w:ascii="Arial" w:hAnsi="Arial"/>
                <w:b/>
              </w:rPr>
              <w:t xml:space="preserve"> against the NWI</w:t>
            </w:r>
          </w:p>
        </w:tc>
      </w:tr>
      <w:tr w:rsidR="001054C3" w:rsidRPr="00151843" w14:paraId="69C698F6" w14:textId="77777777" w:rsidTr="00234FBE">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8505"/>
            </w:tblGrid>
            <w:tr w:rsidR="001054C3" w:rsidRPr="00151843" w14:paraId="0F448859" w14:textId="77777777" w:rsidTr="00234FBE">
              <w:tc>
                <w:tcPr>
                  <w:tcW w:w="5000" w:type="pct"/>
                  <w:tcBorders>
                    <w:top w:val="nil"/>
                    <w:left w:val="nil"/>
                    <w:bottom w:val="nil"/>
                    <w:right w:val="nil"/>
                  </w:tcBorders>
                </w:tcPr>
                <w:p w14:paraId="78F94E7A" w14:textId="77777777" w:rsidR="001054C3" w:rsidRPr="00151843" w:rsidRDefault="001054C3" w:rsidP="00234FBE">
                  <w:pPr>
                    <w:keepNext/>
                    <w:keepLines/>
                    <w:spacing w:after="40" w:line="200" w:lineRule="atLeast"/>
                    <w:ind w:left="6" w:right="28"/>
                    <w:rPr>
                      <w:rFonts w:ascii="Arial" w:hAnsi="Arial"/>
                      <w:b/>
                      <w:sz w:val="18"/>
                      <w:szCs w:val="20"/>
                    </w:rPr>
                  </w:pPr>
                  <w:r w:rsidRPr="00151843">
                    <w:rPr>
                      <w:rFonts w:ascii="Arial" w:hAnsi="Arial"/>
                      <w:b/>
                      <w:sz w:val="18"/>
                      <w:szCs w:val="20"/>
                    </w:rPr>
                    <w:t>1. Water access entitlements and planning frameworks</w:t>
                  </w:r>
                </w:p>
              </w:tc>
            </w:tr>
            <w:tr w:rsidR="001054C3" w:rsidRPr="00151843" w14:paraId="4CD8B217" w14:textId="77777777" w:rsidTr="00234FBE">
              <w:tc>
                <w:tcPr>
                  <w:tcW w:w="5000" w:type="pct"/>
                  <w:tcBorders>
                    <w:top w:val="nil"/>
                    <w:left w:val="nil"/>
                    <w:bottom w:val="nil"/>
                    <w:right w:val="nil"/>
                  </w:tcBorders>
                </w:tcPr>
                <w:p w14:paraId="532F72B5" w14:textId="77777777" w:rsidR="001054C3" w:rsidRPr="00151843" w:rsidRDefault="001054C3" w:rsidP="00234FBE">
                  <w:pPr>
                    <w:keepNext/>
                    <w:keepLines/>
                    <w:numPr>
                      <w:ilvl w:val="0"/>
                      <w:numId w:val="8"/>
                    </w:numPr>
                    <w:spacing w:after="40" w:line="200" w:lineRule="atLeast"/>
                    <w:ind w:right="113"/>
                    <w:rPr>
                      <w:rFonts w:ascii="Arial" w:hAnsi="Arial"/>
                      <w:sz w:val="18"/>
                      <w:szCs w:val="20"/>
                    </w:rPr>
                  </w:pPr>
                  <w:r w:rsidRPr="00151843">
                    <w:rPr>
                      <w:rFonts w:ascii="Arial" w:hAnsi="Arial"/>
                      <w:sz w:val="18"/>
                      <w:szCs w:val="20"/>
                    </w:rPr>
                    <w:t>All jurisdictions, except Western Australia and the Northern Territory, have enacted legislation required to create secure, NWI</w:t>
                  </w:r>
                  <w:r w:rsidRPr="00151843">
                    <w:rPr>
                      <w:rFonts w:ascii="Arial" w:hAnsi="Arial"/>
                      <w:sz w:val="18"/>
                      <w:szCs w:val="20"/>
                    </w:rPr>
                    <w:noBreakHyphen/>
                    <w:t>consistent water access entitlements for consumptive uses. Some progress has been made since 2017, particularly in the Northern Territory, where exemptions (from entitlements frameworks) for minerals and petroleum industries have been removed.</w:t>
                  </w:r>
                </w:p>
                <w:p w14:paraId="5E506251" w14:textId="77777777" w:rsidR="001054C3" w:rsidRPr="00151843" w:rsidRDefault="001054C3" w:rsidP="00234FBE">
                  <w:pPr>
                    <w:keepNext/>
                    <w:keepLines/>
                    <w:numPr>
                      <w:ilvl w:val="0"/>
                      <w:numId w:val="8"/>
                    </w:numPr>
                    <w:spacing w:after="40" w:line="200" w:lineRule="atLeast"/>
                    <w:ind w:right="113"/>
                    <w:rPr>
                      <w:rFonts w:ascii="Arial" w:hAnsi="Arial"/>
                      <w:sz w:val="18"/>
                      <w:szCs w:val="20"/>
                    </w:rPr>
                  </w:pPr>
                  <w:r w:rsidRPr="00151843">
                    <w:rPr>
                      <w:rFonts w:ascii="Arial" w:hAnsi="Arial"/>
                      <w:sz w:val="18"/>
                      <w:szCs w:val="20"/>
                    </w:rPr>
                    <w:t xml:space="preserve">Water planning arrangements have been established for </w:t>
                  </w:r>
                  <w:r>
                    <w:rPr>
                      <w:rFonts w:ascii="Arial" w:hAnsi="Arial"/>
                      <w:sz w:val="18"/>
                      <w:szCs w:val="20"/>
                    </w:rPr>
                    <w:t>all</w:t>
                  </w:r>
                  <w:r w:rsidRPr="00151843">
                    <w:rPr>
                      <w:rFonts w:ascii="Arial" w:hAnsi="Arial"/>
                      <w:sz w:val="18"/>
                      <w:szCs w:val="20"/>
                    </w:rPr>
                    <w:t xml:space="preserve"> areas of intensive water use. Most jurisdictions have more than 80</w:t>
                  </w:r>
                  <w:r>
                    <w:rPr>
                      <w:rFonts w:ascii="Arial" w:hAnsi="Arial"/>
                      <w:sz w:val="18"/>
                      <w:szCs w:val="20"/>
                    </w:rPr>
                    <w:t> </w:t>
                  </w:r>
                  <w:r w:rsidRPr="00151843">
                    <w:rPr>
                      <w:rFonts w:ascii="Arial" w:hAnsi="Arial"/>
                      <w:sz w:val="18"/>
                      <w:szCs w:val="20"/>
                    </w:rPr>
                    <w:t>per</w:t>
                  </w:r>
                  <w:r>
                    <w:rPr>
                      <w:rFonts w:ascii="Arial" w:hAnsi="Arial"/>
                      <w:sz w:val="18"/>
                      <w:szCs w:val="20"/>
                    </w:rPr>
                    <w:t> </w:t>
                  </w:r>
                  <w:r w:rsidRPr="00151843">
                    <w:rPr>
                      <w:rFonts w:ascii="Arial" w:hAnsi="Arial"/>
                      <w:sz w:val="18"/>
                      <w:szCs w:val="20"/>
                    </w:rPr>
                    <w:t>cent of water use managed under water plans. This means the sharing of water resources between consumptive uses and the environment has been established in consultative processes, and informed by scientific and other assessments. However</w:t>
                  </w:r>
                  <w:r>
                    <w:rPr>
                      <w:rFonts w:ascii="Arial" w:hAnsi="Arial"/>
                      <w:sz w:val="18"/>
                      <w:szCs w:val="20"/>
                    </w:rPr>
                    <w:t>,</w:t>
                  </w:r>
                  <w:r w:rsidRPr="00151843">
                    <w:rPr>
                      <w:rFonts w:ascii="Arial" w:hAnsi="Arial"/>
                      <w:sz w:val="18"/>
                      <w:szCs w:val="20"/>
                    </w:rPr>
                    <w:t xml:space="preserve"> there has been inadequate progress to incorporate climate change and extreme events into water planning.</w:t>
                  </w:r>
                </w:p>
              </w:tc>
            </w:tr>
            <w:tr w:rsidR="001054C3" w:rsidRPr="00151843" w14:paraId="79C49A1E" w14:textId="77777777" w:rsidTr="00234FBE">
              <w:tc>
                <w:tcPr>
                  <w:tcW w:w="5000" w:type="pct"/>
                  <w:tcBorders>
                    <w:top w:val="nil"/>
                    <w:left w:val="nil"/>
                    <w:bottom w:val="nil"/>
                    <w:right w:val="nil"/>
                  </w:tcBorders>
                </w:tcPr>
                <w:p w14:paraId="3034EF14" w14:textId="77777777" w:rsidR="001054C3" w:rsidRPr="00151843" w:rsidRDefault="001054C3" w:rsidP="00234FBE">
                  <w:pPr>
                    <w:keepNext/>
                    <w:keepLines/>
                    <w:spacing w:after="40" w:line="200" w:lineRule="atLeast"/>
                    <w:ind w:left="6" w:right="28"/>
                    <w:rPr>
                      <w:rFonts w:ascii="Arial" w:hAnsi="Arial"/>
                      <w:b/>
                      <w:sz w:val="18"/>
                      <w:szCs w:val="20"/>
                    </w:rPr>
                  </w:pPr>
                  <w:r w:rsidRPr="00151843">
                    <w:rPr>
                      <w:rFonts w:ascii="Arial" w:hAnsi="Arial"/>
                      <w:b/>
                      <w:sz w:val="18"/>
                      <w:szCs w:val="20"/>
                    </w:rPr>
                    <w:t>2. Water markets and trading</w:t>
                  </w:r>
                </w:p>
              </w:tc>
            </w:tr>
            <w:tr w:rsidR="001054C3" w:rsidRPr="00151843" w14:paraId="31715777" w14:textId="77777777" w:rsidTr="00234FBE">
              <w:tc>
                <w:tcPr>
                  <w:tcW w:w="5000" w:type="pct"/>
                  <w:tcBorders>
                    <w:top w:val="nil"/>
                    <w:left w:val="nil"/>
                    <w:bottom w:val="nil"/>
                    <w:right w:val="nil"/>
                  </w:tcBorders>
                </w:tcPr>
                <w:p w14:paraId="06597886" w14:textId="77777777" w:rsidR="001054C3" w:rsidRPr="00151843" w:rsidRDefault="001054C3" w:rsidP="00234FBE">
                  <w:pPr>
                    <w:keepNext/>
                    <w:keepLines/>
                    <w:numPr>
                      <w:ilvl w:val="0"/>
                      <w:numId w:val="8"/>
                    </w:numPr>
                    <w:spacing w:after="40" w:line="200" w:lineRule="atLeast"/>
                    <w:ind w:right="113"/>
                    <w:rPr>
                      <w:rFonts w:ascii="Arial" w:hAnsi="Arial"/>
                      <w:b/>
                      <w:sz w:val="18"/>
                      <w:szCs w:val="20"/>
                    </w:rPr>
                  </w:pPr>
                  <w:r w:rsidRPr="00151843">
                    <w:rPr>
                      <w:rFonts w:ascii="Arial" w:hAnsi="Arial"/>
                      <w:sz w:val="18"/>
                      <w:szCs w:val="20"/>
                    </w:rPr>
                    <w:t>Water markets have been established, allowing water to be traded to</w:t>
                  </w:r>
                  <w:r>
                    <w:rPr>
                      <w:rFonts w:ascii="Arial" w:hAnsi="Arial"/>
                      <w:sz w:val="18"/>
                      <w:szCs w:val="20"/>
                    </w:rPr>
                    <w:t xml:space="preserve"> move between uses, promoting efficiency and supporting risk management</w:t>
                  </w:r>
                  <w:r w:rsidRPr="00151843">
                    <w:rPr>
                      <w:rFonts w:ascii="Arial" w:hAnsi="Arial"/>
                      <w:sz w:val="18"/>
                      <w:szCs w:val="20"/>
                    </w:rPr>
                    <w:t xml:space="preserve">. Further steps have been taken by jurisdictions to improve the efficiency of their functioning. The largest water markets are located in the </w:t>
                  </w:r>
                  <w:r>
                    <w:rPr>
                      <w:rFonts w:ascii="Arial" w:hAnsi="Arial"/>
                      <w:sz w:val="18"/>
                      <w:szCs w:val="20"/>
                    </w:rPr>
                    <w:t>Murray–Darling Basin (</w:t>
                  </w:r>
                  <w:r w:rsidRPr="00151843">
                    <w:rPr>
                      <w:rFonts w:ascii="Arial" w:hAnsi="Arial"/>
                      <w:sz w:val="18"/>
                      <w:szCs w:val="20"/>
                    </w:rPr>
                    <w:t>MDB</w:t>
                  </w:r>
                  <w:r>
                    <w:rPr>
                      <w:rFonts w:ascii="Arial" w:hAnsi="Arial"/>
                      <w:sz w:val="18"/>
                      <w:szCs w:val="20"/>
                    </w:rPr>
                    <w:t>)</w:t>
                  </w:r>
                  <w:r w:rsidRPr="00151843">
                    <w:rPr>
                      <w:rFonts w:ascii="Arial" w:hAnsi="Arial"/>
                      <w:sz w:val="18"/>
                      <w:szCs w:val="20"/>
                    </w:rPr>
                    <w:t xml:space="preserve"> and may provide the largest efficiency gains from further reform.</w:t>
                  </w:r>
                </w:p>
              </w:tc>
            </w:tr>
          </w:tbl>
          <w:p w14:paraId="64353F34" w14:textId="77777777" w:rsidR="001054C3" w:rsidRPr="00151843" w:rsidRDefault="001054C3" w:rsidP="00234FBE">
            <w:pPr>
              <w:keepNext/>
              <w:spacing w:before="120" w:line="260" w:lineRule="atLeast"/>
              <w:jc w:val="both"/>
              <w:rPr>
                <w:rFonts w:ascii="Arial" w:hAnsi="Arial"/>
                <w:sz w:val="20"/>
                <w:szCs w:val="20"/>
              </w:rPr>
            </w:pPr>
          </w:p>
        </w:tc>
      </w:tr>
      <w:tr w:rsidR="001054C3" w:rsidRPr="00151843" w14:paraId="73B2508C" w14:textId="77777777" w:rsidTr="00234FBE">
        <w:tc>
          <w:tcPr>
            <w:tcW w:w="5000" w:type="pct"/>
            <w:tcBorders>
              <w:top w:val="nil"/>
              <w:left w:val="nil"/>
              <w:bottom w:val="single" w:sz="6" w:space="0" w:color="78A22F"/>
              <w:right w:val="nil"/>
            </w:tcBorders>
          </w:tcPr>
          <w:p w14:paraId="02E704DD" w14:textId="77777777" w:rsidR="001054C3" w:rsidRPr="00151843" w:rsidRDefault="001054C3" w:rsidP="00234FBE">
            <w:pPr>
              <w:spacing w:before="180" w:line="220" w:lineRule="exact"/>
              <w:jc w:val="right"/>
              <w:rPr>
                <w:rFonts w:ascii="Arial" w:hAnsi="Arial"/>
                <w:sz w:val="18"/>
                <w:szCs w:val="20"/>
              </w:rPr>
            </w:pPr>
            <w:r w:rsidRPr="00151843">
              <w:rPr>
                <w:rFonts w:ascii="Arial" w:hAnsi="Arial"/>
                <w:sz w:val="18"/>
                <w:szCs w:val="20"/>
              </w:rPr>
              <w:t>(continued next page)</w:t>
            </w:r>
          </w:p>
        </w:tc>
      </w:tr>
      <w:tr w:rsidR="001054C3" w:rsidRPr="00151843" w14:paraId="2D66F150" w14:textId="77777777" w:rsidTr="00234FBE">
        <w:tc>
          <w:tcPr>
            <w:tcW w:w="5000" w:type="pct"/>
            <w:tcBorders>
              <w:top w:val="single" w:sz="6" w:space="0" w:color="78A22F"/>
              <w:left w:val="nil"/>
              <w:bottom w:val="nil"/>
              <w:right w:val="nil"/>
            </w:tcBorders>
          </w:tcPr>
          <w:p w14:paraId="1AC908E5" w14:textId="77777777" w:rsidR="001054C3" w:rsidRPr="00151843" w:rsidRDefault="001054C3" w:rsidP="00234FBE">
            <w:pPr>
              <w:spacing w:before="60" w:after="60" w:line="80" w:lineRule="exact"/>
              <w:jc w:val="both"/>
              <w:rPr>
                <w:rFonts w:ascii="Arial" w:hAnsi="Arial"/>
                <w:sz w:val="14"/>
                <w:szCs w:val="20"/>
              </w:rPr>
            </w:pPr>
          </w:p>
        </w:tc>
      </w:tr>
    </w:tbl>
    <w:p w14:paraId="614465C6" w14:textId="77777777" w:rsidR="001054C3" w:rsidRPr="00151843" w:rsidRDefault="001054C3" w:rsidP="00234FBE">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1054C3" w:rsidRPr="00151843" w14:paraId="0381DF84" w14:textId="77777777" w:rsidTr="00234FBE">
        <w:trPr>
          <w:tblHeader/>
        </w:trPr>
        <w:tc>
          <w:tcPr>
            <w:tcW w:w="5000" w:type="pct"/>
            <w:tcBorders>
              <w:top w:val="single" w:sz="6" w:space="0" w:color="78A22F"/>
              <w:left w:val="nil"/>
              <w:bottom w:val="nil"/>
              <w:right w:val="nil"/>
            </w:tcBorders>
          </w:tcPr>
          <w:p w14:paraId="1801435C" w14:textId="77777777" w:rsidR="001054C3" w:rsidRPr="00151843" w:rsidRDefault="001054C3" w:rsidP="00234FBE">
            <w:pPr>
              <w:keepNext/>
              <w:keepLines/>
              <w:spacing w:before="120" w:after="80" w:line="280" w:lineRule="exact"/>
              <w:ind w:left="1474" w:hanging="1474"/>
              <w:rPr>
                <w:rFonts w:ascii="Arial" w:hAnsi="Arial"/>
                <w:b/>
              </w:rPr>
            </w:pPr>
            <w:r w:rsidRPr="00151843">
              <w:rPr>
                <w:rFonts w:ascii="Arial" w:hAnsi="Arial"/>
              </w:rPr>
              <w:t xml:space="preserve">Table </w:t>
            </w:r>
            <w:r>
              <w:rPr>
                <w:rFonts w:ascii="Arial" w:hAnsi="Arial"/>
              </w:rPr>
              <w:t>2.1</w:t>
            </w:r>
            <w:r w:rsidRPr="00151843">
              <w:rPr>
                <w:rFonts w:ascii="Arial" w:hAnsi="Arial"/>
                <w:b/>
              </w:rPr>
              <w:tab/>
            </w:r>
            <w:r>
              <w:rPr>
                <w:rFonts w:ascii="Arial" w:hAnsi="Arial"/>
                <w:sz w:val="18"/>
              </w:rPr>
              <w:t>(</w:t>
            </w:r>
            <w:r w:rsidRPr="00151843">
              <w:rPr>
                <w:rFonts w:ascii="Arial" w:hAnsi="Arial"/>
                <w:sz w:val="18"/>
              </w:rPr>
              <w:t>continued</w:t>
            </w:r>
            <w:r>
              <w:rPr>
                <w:rFonts w:ascii="Arial" w:hAnsi="Arial"/>
                <w:sz w:val="18"/>
              </w:rPr>
              <w:t>)</w:t>
            </w:r>
          </w:p>
        </w:tc>
      </w:tr>
      <w:tr w:rsidR="001054C3" w:rsidRPr="00151843" w14:paraId="2BFA6AD1" w14:textId="77777777" w:rsidTr="00234FBE">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8505"/>
            </w:tblGrid>
            <w:tr w:rsidR="001054C3" w:rsidRPr="00151843" w14:paraId="4B70D783" w14:textId="77777777" w:rsidTr="00234FBE">
              <w:tc>
                <w:tcPr>
                  <w:tcW w:w="5000" w:type="pct"/>
                  <w:tcBorders>
                    <w:top w:val="nil"/>
                    <w:left w:val="nil"/>
                    <w:bottom w:val="nil"/>
                    <w:right w:val="nil"/>
                  </w:tcBorders>
                </w:tcPr>
                <w:p w14:paraId="28687C2F" w14:textId="77777777" w:rsidR="001054C3" w:rsidRPr="00151843" w:rsidRDefault="001054C3" w:rsidP="00234FBE">
                  <w:pPr>
                    <w:keepNext/>
                    <w:keepLines/>
                    <w:spacing w:after="40" w:line="200" w:lineRule="atLeast"/>
                    <w:ind w:left="6" w:right="28"/>
                    <w:rPr>
                      <w:rFonts w:ascii="Arial" w:hAnsi="Arial"/>
                      <w:iCs/>
                      <w:sz w:val="18"/>
                      <w:szCs w:val="20"/>
                    </w:rPr>
                  </w:pPr>
                  <w:r w:rsidRPr="00151843">
                    <w:rPr>
                      <w:rFonts w:ascii="Arial" w:hAnsi="Arial"/>
                      <w:b/>
                      <w:sz w:val="18"/>
                      <w:szCs w:val="20"/>
                    </w:rPr>
                    <w:t>3. Best</w:t>
                  </w:r>
                  <w:r w:rsidRPr="00151843">
                    <w:rPr>
                      <w:rFonts w:ascii="Arial" w:hAnsi="Arial"/>
                      <w:b/>
                      <w:sz w:val="18"/>
                      <w:szCs w:val="20"/>
                    </w:rPr>
                    <w:noBreakHyphen/>
                    <w:t>practice water pricing and institutional arrangements</w:t>
                  </w:r>
                </w:p>
              </w:tc>
            </w:tr>
            <w:tr w:rsidR="001054C3" w:rsidRPr="00151843" w14:paraId="6F783C5A" w14:textId="77777777" w:rsidTr="00234FBE">
              <w:tc>
                <w:tcPr>
                  <w:tcW w:w="5000" w:type="pct"/>
                  <w:tcBorders>
                    <w:top w:val="nil"/>
                    <w:left w:val="nil"/>
                    <w:bottom w:val="nil"/>
                    <w:right w:val="nil"/>
                  </w:tcBorders>
                </w:tcPr>
                <w:p w14:paraId="43089E85" w14:textId="77777777" w:rsidR="001054C3" w:rsidRPr="00151843" w:rsidRDefault="001054C3" w:rsidP="00234FBE">
                  <w:pPr>
                    <w:keepNext/>
                    <w:keepLines/>
                    <w:numPr>
                      <w:ilvl w:val="0"/>
                      <w:numId w:val="8"/>
                    </w:numPr>
                    <w:spacing w:before="40" w:after="40" w:line="200" w:lineRule="atLeast"/>
                    <w:ind w:right="113"/>
                    <w:rPr>
                      <w:rFonts w:ascii="Arial" w:hAnsi="Arial"/>
                      <w:sz w:val="18"/>
                      <w:szCs w:val="20"/>
                    </w:rPr>
                  </w:pPr>
                  <w:r w:rsidRPr="00151843">
                    <w:rPr>
                      <w:rFonts w:ascii="Arial" w:hAnsi="Arial"/>
                      <w:sz w:val="18"/>
                      <w:szCs w:val="20"/>
                    </w:rPr>
                    <w:t>Urban service providers are generally pricing at the levels required by the NWI, despite s</w:t>
                  </w:r>
                  <w:r>
                    <w:rPr>
                      <w:rFonts w:ascii="Arial" w:hAnsi="Arial"/>
                      <w:sz w:val="18"/>
                      <w:szCs w:val="20"/>
                    </w:rPr>
                    <w:t>ome instances of underpricing.</w:t>
                  </w:r>
                </w:p>
                <w:p w14:paraId="3CB63DAB" w14:textId="77777777" w:rsidR="001054C3" w:rsidRPr="00151843" w:rsidRDefault="001054C3" w:rsidP="00234FBE">
                  <w:pPr>
                    <w:keepNext/>
                    <w:keepLines/>
                    <w:numPr>
                      <w:ilvl w:val="0"/>
                      <w:numId w:val="8"/>
                    </w:numPr>
                    <w:spacing w:before="40" w:after="40" w:line="200" w:lineRule="atLeast"/>
                    <w:ind w:right="113"/>
                    <w:rPr>
                      <w:rFonts w:ascii="Arial" w:hAnsi="Arial"/>
                      <w:sz w:val="18"/>
                      <w:szCs w:val="20"/>
                    </w:rPr>
                  </w:pPr>
                  <w:r w:rsidRPr="00151843">
                    <w:rPr>
                      <w:rFonts w:ascii="Arial" w:hAnsi="Arial"/>
                      <w:sz w:val="18"/>
                      <w:szCs w:val="20"/>
                    </w:rPr>
                    <w:t>Independent economic regulators set prices or revenues for major urban water service providers in New South Wales, Victoria, South Australia, Tasmania and the ACT. The independent economic regulator reviews and recommends prices upon the request of the respective State Government for the state</w:t>
                  </w:r>
                  <w:r w:rsidRPr="00151843">
                    <w:rPr>
                      <w:rFonts w:ascii="Arial" w:hAnsi="Arial"/>
                      <w:sz w:val="18"/>
                      <w:szCs w:val="20"/>
                    </w:rPr>
                    <w:noBreakHyphen/>
                    <w:t>wide provider in Western Australia and the major bulk water provider in Queensland. The Northern Territory, Queensland (except the major bulk water provider) and much of regional New South Wales do not have i</w:t>
                  </w:r>
                  <w:r>
                    <w:rPr>
                      <w:rFonts w:ascii="Arial" w:hAnsi="Arial"/>
                      <w:sz w:val="18"/>
                      <w:szCs w:val="20"/>
                    </w:rPr>
                    <w:t>ndependent economic regulation.</w:t>
                  </w:r>
                </w:p>
                <w:p w14:paraId="36688B6F" w14:textId="77777777" w:rsidR="001054C3" w:rsidRPr="00151843" w:rsidRDefault="001054C3" w:rsidP="00234FBE">
                  <w:pPr>
                    <w:keepNext/>
                    <w:keepLines/>
                    <w:numPr>
                      <w:ilvl w:val="0"/>
                      <w:numId w:val="8"/>
                    </w:numPr>
                    <w:spacing w:before="40" w:after="40" w:line="200" w:lineRule="atLeast"/>
                    <w:ind w:right="113"/>
                    <w:rPr>
                      <w:rFonts w:ascii="Arial" w:hAnsi="Arial"/>
                      <w:sz w:val="18"/>
                      <w:szCs w:val="20"/>
                    </w:rPr>
                  </w:pPr>
                  <w:r w:rsidRPr="00151843">
                    <w:rPr>
                      <w:rFonts w:ascii="Arial" w:hAnsi="Arial"/>
                      <w:sz w:val="18"/>
                      <w:szCs w:val="20"/>
                    </w:rPr>
                    <w:t>Pricing for government</w:t>
                  </w:r>
                  <w:r w:rsidRPr="00151843">
                    <w:rPr>
                      <w:rFonts w:ascii="Arial" w:hAnsi="Arial"/>
                      <w:sz w:val="18"/>
                      <w:szCs w:val="20"/>
                    </w:rPr>
                    <w:noBreakHyphen/>
                    <w:t>owned rural water providers is compliant with the 2010 NWI pricing principles in jurisdictions with independent economic regulation. In other jurisdictions, pricing objectives are compliant, however there is insufficient publicly available data to confirm if pricing outcomes are compliant. User</w:t>
                  </w:r>
                  <w:r w:rsidRPr="00151843">
                    <w:rPr>
                      <w:rFonts w:ascii="Arial" w:hAnsi="Arial"/>
                      <w:sz w:val="18"/>
                      <w:szCs w:val="20"/>
                    </w:rPr>
                    <w:noBreakHyphen/>
                    <w:t>owned networks have incentives to price efficiently. There is limited independent scrutiny over the operations (including investment and renewal decisions) of cross</w:t>
                  </w:r>
                  <w:r>
                    <w:rPr>
                      <w:rFonts w:ascii="Arial" w:hAnsi="Arial"/>
                      <w:sz w:val="18"/>
                      <w:szCs w:val="20"/>
                    </w:rPr>
                    <w:noBreakHyphen/>
                  </w:r>
                  <w:r w:rsidRPr="00151843">
                    <w:rPr>
                      <w:rFonts w:ascii="Arial" w:hAnsi="Arial"/>
                      <w:sz w:val="18"/>
                      <w:szCs w:val="20"/>
                    </w:rPr>
                    <w:t>jurisdictional infrastructure providers. Queensland, Western Australia and Tasmania could make better use of economic regu</w:t>
                  </w:r>
                  <w:r>
                    <w:rPr>
                      <w:rFonts w:ascii="Arial" w:hAnsi="Arial"/>
                      <w:sz w:val="18"/>
                      <w:szCs w:val="20"/>
                    </w:rPr>
                    <w:t>lation for irrigation services.</w:t>
                  </w:r>
                </w:p>
                <w:p w14:paraId="63B9F1A5" w14:textId="77777777" w:rsidR="001054C3" w:rsidRPr="00151843" w:rsidRDefault="001054C3" w:rsidP="00234FBE">
                  <w:pPr>
                    <w:keepNext/>
                    <w:keepLines/>
                    <w:numPr>
                      <w:ilvl w:val="0"/>
                      <w:numId w:val="8"/>
                    </w:numPr>
                    <w:spacing w:before="40" w:after="40" w:line="200" w:lineRule="atLeast"/>
                    <w:ind w:right="113"/>
                    <w:rPr>
                      <w:rFonts w:ascii="Arial" w:hAnsi="Arial"/>
                      <w:iCs/>
                      <w:sz w:val="18"/>
                      <w:szCs w:val="20"/>
                    </w:rPr>
                  </w:pPr>
                  <w:r w:rsidRPr="00151843">
                    <w:rPr>
                      <w:rFonts w:ascii="Arial" w:hAnsi="Arial"/>
                      <w:sz w:val="18"/>
                      <w:szCs w:val="20"/>
                    </w:rPr>
                    <w:t>Some government</w:t>
                  </w:r>
                  <w:r w:rsidRPr="00151843">
                    <w:rPr>
                      <w:rFonts w:ascii="Arial" w:hAnsi="Arial"/>
                      <w:sz w:val="18"/>
                      <w:szCs w:val="20"/>
                    </w:rPr>
                    <w:noBreakHyphen/>
                    <w:t xml:space="preserve">funded major water infrastructure </w:t>
                  </w:r>
                  <w:r>
                    <w:rPr>
                      <w:rFonts w:ascii="Arial" w:hAnsi="Arial"/>
                      <w:sz w:val="18"/>
                      <w:szCs w:val="20"/>
                    </w:rPr>
                    <w:t>proposals are</w:t>
                  </w:r>
                  <w:r w:rsidRPr="00151843">
                    <w:rPr>
                      <w:rFonts w:ascii="Arial" w:hAnsi="Arial"/>
                      <w:sz w:val="18"/>
                      <w:szCs w:val="20"/>
                    </w:rPr>
                    <w:t xml:space="preserve"> unlike</w:t>
                  </w:r>
                  <w:r>
                    <w:rPr>
                      <w:rFonts w:ascii="Arial" w:hAnsi="Arial"/>
                      <w:sz w:val="18"/>
                      <w:szCs w:val="20"/>
                    </w:rPr>
                    <w:t>ly to be economically viable.</w:t>
                  </w:r>
                </w:p>
              </w:tc>
            </w:tr>
            <w:tr w:rsidR="001054C3" w:rsidRPr="00151843" w14:paraId="6DCA29D1" w14:textId="77777777" w:rsidTr="00234FBE">
              <w:tc>
                <w:tcPr>
                  <w:tcW w:w="5000" w:type="pct"/>
                  <w:tcBorders>
                    <w:top w:val="nil"/>
                    <w:left w:val="nil"/>
                    <w:bottom w:val="nil"/>
                    <w:right w:val="nil"/>
                  </w:tcBorders>
                </w:tcPr>
                <w:p w14:paraId="72B03ABC" w14:textId="77777777" w:rsidR="001054C3" w:rsidRPr="00151843" w:rsidRDefault="001054C3" w:rsidP="00234FBE">
                  <w:pPr>
                    <w:keepNext/>
                    <w:keepLines/>
                    <w:spacing w:after="40" w:line="200" w:lineRule="atLeast"/>
                    <w:ind w:left="6" w:right="28"/>
                    <w:rPr>
                      <w:rFonts w:ascii="Arial" w:hAnsi="Arial"/>
                      <w:iCs/>
                      <w:sz w:val="18"/>
                      <w:szCs w:val="20"/>
                    </w:rPr>
                  </w:pPr>
                  <w:r w:rsidRPr="00151843">
                    <w:rPr>
                      <w:rFonts w:ascii="Arial" w:hAnsi="Arial"/>
                      <w:b/>
                      <w:sz w:val="18"/>
                      <w:szCs w:val="20"/>
                    </w:rPr>
                    <w:t>4. Integrated management of water for environmental and other public benefit outcomes</w:t>
                  </w:r>
                </w:p>
              </w:tc>
            </w:tr>
            <w:tr w:rsidR="001054C3" w:rsidRPr="00151843" w14:paraId="7DC43D51" w14:textId="77777777" w:rsidTr="00234FBE">
              <w:tc>
                <w:tcPr>
                  <w:tcW w:w="5000" w:type="pct"/>
                  <w:tcBorders>
                    <w:top w:val="nil"/>
                    <w:left w:val="nil"/>
                    <w:bottom w:val="nil"/>
                    <w:right w:val="nil"/>
                  </w:tcBorders>
                </w:tcPr>
                <w:p w14:paraId="7FB329F0" w14:textId="77777777" w:rsidR="001054C3" w:rsidRPr="00151843" w:rsidRDefault="001054C3" w:rsidP="00234FBE">
                  <w:pPr>
                    <w:keepNext/>
                    <w:keepLines/>
                    <w:numPr>
                      <w:ilvl w:val="0"/>
                      <w:numId w:val="8"/>
                    </w:numPr>
                    <w:spacing w:before="60" w:after="40" w:line="200" w:lineRule="atLeast"/>
                    <w:ind w:right="113"/>
                    <w:rPr>
                      <w:rFonts w:ascii="Arial" w:hAnsi="Arial"/>
                      <w:sz w:val="18"/>
                      <w:szCs w:val="20"/>
                    </w:rPr>
                  </w:pPr>
                  <w:r w:rsidRPr="00151843">
                    <w:rPr>
                      <w:rFonts w:ascii="Arial" w:hAnsi="Arial"/>
                      <w:sz w:val="18"/>
                      <w:szCs w:val="20"/>
                    </w:rPr>
                    <w:t xml:space="preserve">Environmental sustainability has been supported by formal provisions of water for the environment </w:t>
                  </w:r>
                  <w:r>
                    <w:rPr>
                      <w:rFonts w:ascii="Arial" w:hAnsi="Arial"/>
                      <w:sz w:val="18"/>
                      <w:szCs w:val="20"/>
                    </w:rPr>
                    <w:t>but</w:t>
                  </w:r>
                  <w:r w:rsidRPr="00151843">
                    <w:rPr>
                      <w:rFonts w:ascii="Arial" w:hAnsi="Arial"/>
                      <w:sz w:val="18"/>
                      <w:szCs w:val="20"/>
                    </w:rPr>
                    <w:t xml:space="preserve"> progress has slowed on rebalancing overallocated systems.</w:t>
                  </w:r>
                </w:p>
                <w:p w14:paraId="175CD580" w14:textId="77777777" w:rsidR="001054C3" w:rsidRPr="00151843" w:rsidRDefault="001054C3" w:rsidP="00234FBE">
                  <w:pPr>
                    <w:keepNext/>
                    <w:keepLines/>
                    <w:numPr>
                      <w:ilvl w:val="0"/>
                      <w:numId w:val="8"/>
                    </w:numPr>
                    <w:spacing w:after="40" w:line="200" w:lineRule="atLeast"/>
                    <w:ind w:right="113"/>
                    <w:rPr>
                      <w:rFonts w:ascii="Arial" w:hAnsi="Arial"/>
                      <w:iCs/>
                      <w:sz w:val="18"/>
                      <w:szCs w:val="20"/>
                    </w:rPr>
                  </w:pPr>
                  <w:r w:rsidRPr="00151843">
                    <w:rPr>
                      <w:rFonts w:ascii="Arial" w:hAnsi="Arial"/>
                      <w:sz w:val="18"/>
                      <w:szCs w:val="20"/>
                    </w:rPr>
                    <w:t>All jurisdictions have managers with responsibility for environmental water provision, and some arrangements are in place to coordinate water use for water resources shared across jurisdictions.</w:t>
                  </w:r>
                </w:p>
                <w:p w14:paraId="5F7745F9" w14:textId="77777777" w:rsidR="001054C3" w:rsidRPr="00151843" w:rsidRDefault="001054C3" w:rsidP="00234FBE">
                  <w:pPr>
                    <w:keepNext/>
                    <w:keepLines/>
                    <w:numPr>
                      <w:ilvl w:val="0"/>
                      <w:numId w:val="8"/>
                    </w:numPr>
                    <w:spacing w:after="40" w:line="200" w:lineRule="atLeast"/>
                    <w:ind w:right="113"/>
                    <w:rPr>
                      <w:rFonts w:ascii="Arial" w:hAnsi="Arial"/>
                      <w:iCs/>
                      <w:sz w:val="18"/>
                      <w:szCs w:val="20"/>
                    </w:rPr>
                  </w:pPr>
                  <w:r w:rsidRPr="00151843">
                    <w:rPr>
                      <w:rFonts w:ascii="Arial" w:hAnsi="Arial"/>
                      <w:iCs/>
                      <w:sz w:val="18"/>
                      <w:szCs w:val="20"/>
                    </w:rPr>
                    <w:t>The recent drought has exposed weaknesses in achieving agreed outcomes in some systems.</w:t>
                  </w:r>
                </w:p>
              </w:tc>
            </w:tr>
            <w:tr w:rsidR="001054C3" w:rsidRPr="00151843" w14:paraId="4FCF62AB" w14:textId="77777777" w:rsidTr="00234FBE">
              <w:tc>
                <w:tcPr>
                  <w:tcW w:w="5000" w:type="pct"/>
                  <w:tcBorders>
                    <w:top w:val="nil"/>
                    <w:left w:val="nil"/>
                    <w:bottom w:val="nil"/>
                    <w:right w:val="nil"/>
                  </w:tcBorders>
                </w:tcPr>
                <w:p w14:paraId="6C7140C9" w14:textId="77777777" w:rsidR="001054C3" w:rsidRPr="00151843" w:rsidRDefault="001054C3" w:rsidP="00234FBE">
                  <w:pPr>
                    <w:keepNext/>
                    <w:keepLines/>
                    <w:spacing w:after="40" w:line="200" w:lineRule="atLeast"/>
                    <w:ind w:left="6" w:right="28"/>
                    <w:rPr>
                      <w:rFonts w:ascii="Arial" w:hAnsi="Arial"/>
                      <w:iCs/>
                      <w:sz w:val="18"/>
                      <w:szCs w:val="20"/>
                    </w:rPr>
                  </w:pPr>
                  <w:r w:rsidRPr="00151843">
                    <w:rPr>
                      <w:rFonts w:ascii="Arial" w:hAnsi="Arial"/>
                      <w:b/>
                      <w:sz w:val="18"/>
                      <w:szCs w:val="20"/>
                    </w:rPr>
                    <w:t>5. Water resource accounting</w:t>
                  </w:r>
                </w:p>
              </w:tc>
            </w:tr>
            <w:tr w:rsidR="001054C3" w:rsidRPr="00151843" w14:paraId="159672EF" w14:textId="77777777" w:rsidTr="00234FBE">
              <w:tc>
                <w:tcPr>
                  <w:tcW w:w="5000" w:type="pct"/>
                  <w:tcBorders>
                    <w:top w:val="nil"/>
                    <w:left w:val="nil"/>
                    <w:bottom w:val="nil"/>
                    <w:right w:val="nil"/>
                  </w:tcBorders>
                </w:tcPr>
                <w:p w14:paraId="62091981" w14:textId="77777777" w:rsidR="001054C3" w:rsidRPr="00151843" w:rsidRDefault="001054C3" w:rsidP="00234FBE">
                  <w:pPr>
                    <w:keepNext/>
                    <w:keepLines/>
                    <w:numPr>
                      <w:ilvl w:val="0"/>
                      <w:numId w:val="8"/>
                    </w:numPr>
                    <w:spacing w:before="60" w:after="40" w:line="200" w:lineRule="atLeast"/>
                    <w:ind w:right="113"/>
                    <w:rPr>
                      <w:rFonts w:ascii="Arial" w:hAnsi="Arial"/>
                      <w:sz w:val="18"/>
                      <w:szCs w:val="20"/>
                    </w:rPr>
                  </w:pPr>
                  <w:r w:rsidRPr="00151843">
                    <w:rPr>
                      <w:rFonts w:ascii="Arial" w:hAnsi="Arial"/>
                      <w:sz w:val="18"/>
                      <w:szCs w:val="20"/>
                    </w:rPr>
                    <w:t>Water accounting is generally providing practical, credible and reliable information, but there is room for improvement. Public demand for information and timely provision of it has increased over time. Most States and Territories are still in the process of implementing non</w:t>
                  </w:r>
                  <w:r>
                    <w:rPr>
                      <w:rFonts w:ascii="Arial" w:hAnsi="Arial"/>
                      <w:sz w:val="18"/>
                      <w:szCs w:val="20"/>
                    </w:rPr>
                    <w:noBreakHyphen/>
                  </w:r>
                  <w:r w:rsidRPr="00151843">
                    <w:rPr>
                      <w:rFonts w:ascii="Arial" w:hAnsi="Arial"/>
                      <w:sz w:val="18"/>
                      <w:szCs w:val="20"/>
                    </w:rPr>
                    <w:t>urban metering policies on the ground to meet the National Non</w:t>
                  </w:r>
                  <w:r>
                    <w:rPr>
                      <w:rFonts w:ascii="Arial" w:hAnsi="Arial"/>
                      <w:sz w:val="18"/>
                      <w:szCs w:val="20"/>
                    </w:rPr>
                    <w:noBreakHyphen/>
                  </w:r>
                  <w:r w:rsidRPr="00151843">
                    <w:rPr>
                      <w:rFonts w:ascii="Arial" w:hAnsi="Arial"/>
                      <w:sz w:val="18"/>
                      <w:szCs w:val="20"/>
                    </w:rPr>
                    <w:t>Urban Metering Framework and NWI requirements</w:t>
                  </w:r>
                  <w:r>
                    <w:rPr>
                      <w:rFonts w:ascii="Arial" w:hAnsi="Arial"/>
                      <w:sz w:val="18"/>
                      <w:szCs w:val="20"/>
                    </w:rPr>
                    <w:t>.</w:t>
                  </w:r>
                </w:p>
                <w:p w14:paraId="12244C79" w14:textId="77777777" w:rsidR="001054C3" w:rsidRPr="00151843" w:rsidRDefault="001054C3" w:rsidP="00234FBE">
                  <w:pPr>
                    <w:keepNext/>
                    <w:keepLines/>
                    <w:numPr>
                      <w:ilvl w:val="0"/>
                      <w:numId w:val="8"/>
                    </w:numPr>
                    <w:spacing w:before="60" w:after="40" w:line="200" w:lineRule="atLeast"/>
                    <w:ind w:right="113"/>
                    <w:rPr>
                      <w:rFonts w:ascii="Arial" w:hAnsi="Arial"/>
                      <w:iCs/>
                      <w:sz w:val="18"/>
                      <w:szCs w:val="20"/>
                    </w:rPr>
                  </w:pPr>
                  <w:r w:rsidRPr="00151843">
                    <w:rPr>
                      <w:rFonts w:ascii="Arial" w:hAnsi="Arial"/>
                      <w:sz w:val="18"/>
                      <w:szCs w:val="20"/>
                    </w:rPr>
                    <w:t>Greater compliance and enforcement activity has occurred in some MDB jurisdictions, after existing arrangements were found to be insufficient to support investor and community confidence. The Northern Territory and Tasmania still do not publicly report on compliance activities.</w:t>
                  </w:r>
                </w:p>
              </w:tc>
            </w:tr>
            <w:tr w:rsidR="001054C3" w:rsidRPr="00151843" w14:paraId="4503D5D7" w14:textId="77777777" w:rsidTr="00234FBE">
              <w:tc>
                <w:tcPr>
                  <w:tcW w:w="5000" w:type="pct"/>
                  <w:tcBorders>
                    <w:top w:val="nil"/>
                    <w:left w:val="nil"/>
                    <w:bottom w:val="nil"/>
                    <w:right w:val="nil"/>
                  </w:tcBorders>
                </w:tcPr>
                <w:p w14:paraId="47C3FE69" w14:textId="77777777" w:rsidR="001054C3" w:rsidRPr="00151843" w:rsidRDefault="001054C3" w:rsidP="00234FBE">
                  <w:pPr>
                    <w:keepNext/>
                    <w:keepLines/>
                    <w:spacing w:after="40" w:line="200" w:lineRule="atLeast"/>
                    <w:ind w:left="6" w:right="28"/>
                    <w:rPr>
                      <w:rFonts w:ascii="Arial" w:hAnsi="Arial"/>
                      <w:sz w:val="18"/>
                      <w:szCs w:val="20"/>
                    </w:rPr>
                  </w:pPr>
                  <w:r w:rsidRPr="00151843">
                    <w:rPr>
                      <w:rFonts w:ascii="Arial" w:hAnsi="Arial"/>
                      <w:b/>
                      <w:sz w:val="18"/>
                      <w:szCs w:val="20"/>
                    </w:rPr>
                    <w:t>6. Urban water reform</w:t>
                  </w:r>
                </w:p>
              </w:tc>
            </w:tr>
            <w:tr w:rsidR="001054C3" w:rsidRPr="00151843" w14:paraId="455FB6E5" w14:textId="77777777" w:rsidTr="00234FBE">
              <w:tc>
                <w:tcPr>
                  <w:tcW w:w="5000" w:type="pct"/>
                  <w:tcBorders>
                    <w:top w:val="nil"/>
                    <w:left w:val="nil"/>
                    <w:bottom w:val="nil"/>
                    <w:right w:val="nil"/>
                  </w:tcBorders>
                </w:tcPr>
                <w:p w14:paraId="3F2F6ED3" w14:textId="77777777" w:rsidR="001054C3" w:rsidRPr="00151843" w:rsidRDefault="001054C3" w:rsidP="00234FBE">
                  <w:pPr>
                    <w:keepNext/>
                    <w:keepLines/>
                    <w:numPr>
                      <w:ilvl w:val="0"/>
                      <w:numId w:val="8"/>
                    </w:numPr>
                    <w:spacing w:before="60" w:after="40" w:line="200" w:lineRule="atLeast"/>
                    <w:ind w:right="113"/>
                    <w:rPr>
                      <w:rFonts w:ascii="Arial" w:hAnsi="Arial"/>
                      <w:sz w:val="18"/>
                      <w:szCs w:val="20"/>
                    </w:rPr>
                  </w:pPr>
                  <w:r w:rsidRPr="00151843">
                    <w:rPr>
                      <w:rFonts w:ascii="Arial" w:hAnsi="Arial"/>
                      <w:sz w:val="18"/>
                      <w:szCs w:val="20"/>
                    </w:rPr>
                    <w:t>Water reuse, water use efficiency, water</w:t>
                  </w:r>
                  <w:r>
                    <w:rPr>
                      <w:rFonts w:ascii="Arial" w:hAnsi="Arial"/>
                      <w:sz w:val="18"/>
                      <w:szCs w:val="20"/>
                    </w:rPr>
                    <w:noBreakHyphen/>
                  </w:r>
                  <w:r w:rsidRPr="00151843">
                    <w:rPr>
                      <w:rFonts w:ascii="Arial" w:hAnsi="Arial"/>
                      <w:sz w:val="18"/>
                      <w:szCs w:val="20"/>
                    </w:rPr>
                    <w:t>sensitive urban design and innovation have improved sin</w:t>
                  </w:r>
                  <w:r>
                    <w:rPr>
                      <w:rFonts w:ascii="Arial" w:hAnsi="Arial"/>
                      <w:sz w:val="18"/>
                      <w:szCs w:val="20"/>
                    </w:rPr>
                    <w:t>ce the introduction of the NWI.</w:t>
                  </w:r>
                </w:p>
                <w:p w14:paraId="19BB66B4" w14:textId="77777777" w:rsidR="001054C3" w:rsidRPr="00151843" w:rsidRDefault="001054C3" w:rsidP="00234FBE">
                  <w:pPr>
                    <w:keepNext/>
                    <w:keepLines/>
                    <w:numPr>
                      <w:ilvl w:val="0"/>
                      <w:numId w:val="8"/>
                    </w:numPr>
                    <w:spacing w:before="60" w:after="40" w:line="200" w:lineRule="atLeast"/>
                    <w:ind w:right="113"/>
                    <w:rPr>
                      <w:rFonts w:ascii="Arial" w:hAnsi="Arial"/>
                      <w:b/>
                      <w:sz w:val="18"/>
                      <w:szCs w:val="20"/>
                    </w:rPr>
                  </w:pPr>
                  <w:r w:rsidRPr="00151843">
                    <w:rPr>
                      <w:rFonts w:ascii="Arial" w:hAnsi="Arial"/>
                      <w:sz w:val="18"/>
                      <w:szCs w:val="20"/>
                    </w:rPr>
                    <w:t>Drinking water quality generally meets existing guidelines. Issues remain, particularly in some regional and remote communities and especially during droughts, and data are patchy. Tasmania has made significant progress in improving drinking water quality for r</w:t>
                  </w:r>
                  <w:r>
                    <w:rPr>
                      <w:rFonts w:ascii="Arial" w:hAnsi="Arial"/>
                      <w:sz w:val="18"/>
                      <w:szCs w:val="20"/>
                    </w:rPr>
                    <w:t>egional and remote communities.</w:t>
                  </w:r>
                </w:p>
              </w:tc>
            </w:tr>
            <w:tr w:rsidR="001054C3" w:rsidRPr="00151843" w14:paraId="68023EF9" w14:textId="77777777" w:rsidTr="00234FBE">
              <w:tc>
                <w:tcPr>
                  <w:tcW w:w="5000" w:type="pct"/>
                  <w:tcBorders>
                    <w:top w:val="nil"/>
                    <w:left w:val="nil"/>
                    <w:bottom w:val="nil"/>
                    <w:right w:val="nil"/>
                  </w:tcBorders>
                </w:tcPr>
                <w:p w14:paraId="03F84F2E" w14:textId="77777777" w:rsidR="001054C3" w:rsidRPr="00151843" w:rsidRDefault="001054C3" w:rsidP="00234FBE">
                  <w:pPr>
                    <w:keepNext/>
                    <w:keepLines/>
                    <w:spacing w:after="40" w:line="200" w:lineRule="atLeast"/>
                    <w:ind w:left="6" w:right="28"/>
                    <w:rPr>
                      <w:rFonts w:ascii="Arial" w:hAnsi="Arial"/>
                      <w:sz w:val="18"/>
                      <w:szCs w:val="20"/>
                    </w:rPr>
                  </w:pPr>
                  <w:r w:rsidRPr="00151843">
                    <w:rPr>
                      <w:rFonts w:ascii="Arial" w:hAnsi="Arial"/>
                      <w:b/>
                      <w:sz w:val="18"/>
                      <w:szCs w:val="20"/>
                    </w:rPr>
                    <w:t>7. Knowledge and capacity building</w:t>
                  </w:r>
                </w:p>
              </w:tc>
            </w:tr>
            <w:tr w:rsidR="001054C3" w:rsidRPr="00151843" w14:paraId="031E9963" w14:textId="77777777" w:rsidTr="00234FBE">
              <w:tc>
                <w:tcPr>
                  <w:tcW w:w="5000" w:type="pct"/>
                  <w:tcBorders>
                    <w:top w:val="nil"/>
                    <w:left w:val="nil"/>
                    <w:bottom w:val="nil"/>
                    <w:right w:val="nil"/>
                  </w:tcBorders>
                </w:tcPr>
                <w:p w14:paraId="3936B731" w14:textId="77777777" w:rsidR="001054C3" w:rsidRPr="00151843" w:rsidRDefault="001054C3" w:rsidP="00234FBE">
                  <w:pPr>
                    <w:keepNext/>
                    <w:keepLines/>
                    <w:numPr>
                      <w:ilvl w:val="0"/>
                      <w:numId w:val="8"/>
                    </w:numPr>
                    <w:spacing w:before="60" w:after="40" w:line="200" w:lineRule="atLeast"/>
                    <w:ind w:right="113"/>
                    <w:rPr>
                      <w:rFonts w:ascii="Arial" w:hAnsi="Arial"/>
                      <w:b/>
                      <w:sz w:val="18"/>
                      <w:szCs w:val="20"/>
                    </w:rPr>
                  </w:pPr>
                  <w:r w:rsidRPr="00151843">
                    <w:rPr>
                      <w:rFonts w:ascii="Arial" w:hAnsi="Arial"/>
                      <w:sz w:val="18"/>
                      <w:szCs w:val="20"/>
                    </w:rPr>
                    <w:t>There have been advances in knowledge and capacity to support implementation of the NWI, although many jurisdictions lack a clear process for identifying knowledge and capacity building priorities.</w:t>
                  </w:r>
                </w:p>
              </w:tc>
            </w:tr>
            <w:tr w:rsidR="001054C3" w:rsidRPr="00151843" w14:paraId="3C0ADFBE" w14:textId="77777777" w:rsidTr="00234FBE">
              <w:tc>
                <w:tcPr>
                  <w:tcW w:w="5000" w:type="pct"/>
                  <w:tcBorders>
                    <w:top w:val="nil"/>
                    <w:left w:val="nil"/>
                    <w:bottom w:val="nil"/>
                    <w:right w:val="nil"/>
                  </w:tcBorders>
                </w:tcPr>
                <w:p w14:paraId="47EF227D" w14:textId="77777777" w:rsidR="001054C3" w:rsidRPr="00151843" w:rsidRDefault="001054C3" w:rsidP="00234FBE">
                  <w:pPr>
                    <w:keepNext/>
                    <w:keepLines/>
                    <w:spacing w:after="40" w:line="200" w:lineRule="atLeast"/>
                    <w:ind w:left="6" w:right="28"/>
                    <w:rPr>
                      <w:rFonts w:ascii="Arial" w:hAnsi="Arial"/>
                      <w:sz w:val="18"/>
                      <w:szCs w:val="20"/>
                    </w:rPr>
                  </w:pPr>
                  <w:r w:rsidRPr="00151843">
                    <w:rPr>
                      <w:rFonts w:ascii="Arial" w:hAnsi="Arial"/>
                      <w:b/>
                      <w:sz w:val="18"/>
                      <w:szCs w:val="20"/>
                    </w:rPr>
                    <w:t>8. Community partnerships and adjustment</w:t>
                  </w:r>
                </w:p>
              </w:tc>
            </w:tr>
            <w:tr w:rsidR="001054C3" w:rsidRPr="00151843" w14:paraId="264F7F0E" w14:textId="77777777" w:rsidTr="00234FBE">
              <w:tc>
                <w:tcPr>
                  <w:tcW w:w="5000" w:type="pct"/>
                  <w:tcBorders>
                    <w:top w:val="nil"/>
                    <w:left w:val="nil"/>
                    <w:bottom w:val="nil"/>
                    <w:right w:val="nil"/>
                  </w:tcBorders>
                </w:tcPr>
                <w:p w14:paraId="08364DB3" w14:textId="77777777" w:rsidR="001054C3" w:rsidRPr="00151843" w:rsidRDefault="001054C3" w:rsidP="00956847">
                  <w:pPr>
                    <w:keepNext/>
                    <w:keepLines/>
                    <w:numPr>
                      <w:ilvl w:val="0"/>
                      <w:numId w:val="8"/>
                    </w:numPr>
                    <w:spacing w:before="60" w:after="80" w:line="200" w:lineRule="atLeast"/>
                    <w:ind w:right="113"/>
                    <w:rPr>
                      <w:rFonts w:ascii="Arial" w:hAnsi="Arial"/>
                      <w:b/>
                      <w:sz w:val="18"/>
                      <w:szCs w:val="20"/>
                    </w:rPr>
                  </w:pPr>
                  <w:r w:rsidRPr="00151843">
                    <w:rPr>
                      <w:rFonts w:ascii="Arial" w:hAnsi="Arial"/>
                      <w:sz w:val="18"/>
                      <w:szCs w:val="20"/>
                    </w:rPr>
                    <w:t>All jurisdictions have sought to improve the scale and quality of their engagement with communities and Aboriginal and Torres Strait Islander people. However, a range of concerns have been expressed through submissions and meetings about the adequacy and effectiveness of some engagement processes undertaken since 2017, particularly within the N</w:t>
                  </w:r>
                  <w:r>
                    <w:rPr>
                      <w:rFonts w:ascii="Arial" w:hAnsi="Arial"/>
                      <w:sz w:val="18"/>
                      <w:szCs w:val="20"/>
                    </w:rPr>
                    <w:t xml:space="preserve">ew </w:t>
                  </w:r>
                  <w:r w:rsidRPr="00151843">
                    <w:rPr>
                      <w:rFonts w:ascii="Arial" w:hAnsi="Arial"/>
                      <w:sz w:val="18"/>
                      <w:szCs w:val="20"/>
                    </w:rPr>
                    <w:t>S</w:t>
                  </w:r>
                  <w:r>
                    <w:rPr>
                      <w:rFonts w:ascii="Arial" w:hAnsi="Arial"/>
                      <w:sz w:val="18"/>
                      <w:szCs w:val="20"/>
                    </w:rPr>
                    <w:t xml:space="preserve">outh </w:t>
                  </w:r>
                  <w:r w:rsidRPr="00151843">
                    <w:rPr>
                      <w:rFonts w:ascii="Arial" w:hAnsi="Arial"/>
                      <w:sz w:val="18"/>
                      <w:szCs w:val="20"/>
                    </w:rPr>
                    <w:t>W</w:t>
                  </w:r>
                  <w:r>
                    <w:rPr>
                      <w:rFonts w:ascii="Arial" w:hAnsi="Arial"/>
                      <w:sz w:val="18"/>
                      <w:szCs w:val="20"/>
                    </w:rPr>
                    <w:t>ales</w:t>
                  </w:r>
                  <w:r w:rsidRPr="00151843">
                    <w:rPr>
                      <w:rFonts w:ascii="Arial" w:hAnsi="Arial"/>
                      <w:sz w:val="18"/>
                      <w:szCs w:val="20"/>
                    </w:rPr>
                    <w:t xml:space="preserve"> </w:t>
                  </w:r>
                  <w:r>
                    <w:rPr>
                      <w:rFonts w:ascii="Arial" w:hAnsi="Arial"/>
                      <w:sz w:val="18"/>
                      <w:szCs w:val="20"/>
                    </w:rPr>
                    <w:t>part</w:t>
                  </w:r>
                  <w:r w:rsidRPr="00151843">
                    <w:rPr>
                      <w:rFonts w:ascii="Arial" w:hAnsi="Arial"/>
                      <w:sz w:val="18"/>
                      <w:szCs w:val="20"/>
                    </w:rPr>
                    <w:t xml:space="preserve"> of the MDB.</w:t>
                  </w:r>
                </w:p>
              </w:tc>
            </w:tr>
          </w:tbl>
          <w:p w14:paraId="52CA0A4F" w14:textId="77777777" w:rsidR="001054C3" w:rsidRPr="00151843" w:rsidRDefault="001054C3" w:rsidP="00234FBE">
            <w:pPr>
              <w:keepNext/>
              <w:spacing w:before="120" w:line="260" w:lineRule="atLeast"/>
              <w:jc w:val="both"/>
              <w:rPr>
                <w:rFonts w:ascii="Arial" w:hAnsi="Arial"/>
                <w:sz w:val="20"/>
                <w:szCs w:val="20"/>
              </w:rPr>
            </w:pPr>
          </w:p>
        </w:tc>
      </w:tr>
      <w:tr w:rsidR="001054C3" w:rsidRPr="00151843" w14:paraId="046341CE" w14:textId="77777777" w:rsidTr="00234FBE">
        <w:tc>
          <w:tcPr>
            <w:tcW w:w="5000" w:type="pct"/>
            <w:tcBorders>
              <w:top w:val="single" w:sz="6" w:space="0" w:color="78A22F"/>
              <w:left w:val="nil"/>
              <w:bottom w:val="nil"/>
              <w:right w:val="nil"/>
            </w:tcBorders>
          </w:tcPr>
          <w:p w14:paraId="40E09FE7" w14:textId="77777777" w:rsidR="001054C3" w:rsidRPr="00151843" w:rsidRDefault="001054C3" w:rsidP="00234FBE">
            <w:pPr>
              <w:spacing w:before="60" w:after="60" w:line="80" w:lineRule="exact"/>
              <w:jc w:val="both"/>
              <w:rPr>
                <w:rFonts w:ascii="Arial" w:hAnsi="Arial"/>
                <w:sz w:val="14"/>
                <w:szCs w:val="20"/>
              </w:rPr>
            </w:pPr>
          </w:p>
        </w:tc>
      </w:tr>
    </w:tbl>
    <w:p w14:paraId="6EE029FD" w14:textId="0FCDC9A4" w:rsidR="001054C3" w:rsidRDefault="001054C3" w:rsidP="00234FBE">
      <w:pPr>
        <w:pStyle w:val="Heading2"/>
      </w:pPr>
      <w:bookmarkStart w:id="44" w:name="_Toc72939487"/>
      <w:r>
        <w:lastRenderedPageBreak/>
        <w:t>2.</w:t>
      </w:r>
      <w:r>
        <w:rPr>
          <w:noProof/>
        </w:rPr>
        <w:t>3</w:t>
      </w:r>
      <w:bookmarkStart w:id="45" w:name="_Toc63112450"/>
      <w:r>
        <w:tab/>
        <w:t>Reforms have contributed to sizeable benefits</w:t>
      </w:r>
      <w:bookmarkEnd w:id="44"/>
      <w:bookmarkEnd w:id="45"/>
    </w:p>
    <w:p w14:paraId="28B7CAEB" w14:textId="77777777" w:rsidR="001054C3" w:rsidRPr="00E95F6A" w:rsidRDefault="001054C3" w:rsidP="00234FBE">
      <w:pPr>
        <w:pStyle w:val="BodyText"/>
        <w:rPr>
          <w:spacing w:val="-2"/>
        </w:rPr>
      </w:pPr>
      <w:r w:rsidRPr="00E95F6A">
        <w:rPr>
          <w:spacing w:val="-2"/>
        </w:rPr>
        <w:t>Progress in national water reform has considerably improved how Australia’s water resources are allocated, developed and supplied, and has delivered large benefits to the community.</w:t>
      </w:r>
    </w:p>
    <w:p w14:paraId="2DF06487" w14:textId="77777777" w:rsidR="001054C3" w:rsidRDefault="001054C3" w:rsidP="00234FBE">
      <w:pPr>
        <w:pStyle w:val="Heading3"/>
      </w:pPr>
      <w:r w:rsidRPr="005A427A">
        <w:t>Water resource management</w:t>
      </w:r>
    </w:p>
    <w:p w14:paraId="7A4D49A2" w14:textId="77777777" w:rsidR="001054C3" w:rsidRDefault="001054C3" w:rsidP="00234FBE">
      <w:pPr>
        <w:pStyle w:val="BodyText"/>
      </w:pPr>
      <w:r>
        <w:t>Adoption of a NWI</w:t>
      </w:r>
      <w:r>
        <w:noBreakHyphen/>
        <w:t>consistent water planning and entitlements framework in most jurisdictions has created the foundations for efficient and sustainable resource management (chapter 6). Water planning has established transparent processes for deciding how the water in a system is shared between consumptive users (people and businesses) and the environment. Creation of water entitlements, separate from land, has provided clear and secure long</w:t>
      </w:r>
      <w:r>
        <w:noBreakHyphen/>
        <w:t>term property rights for both consumptive users and the environment. And together, these developments have provided the essential prerequisites for trading and water markets and established pathways to a more sustainable balance between consumptive and environmental use.</w:t>
      </w:r>
    </w:p>
    <w:p w14:paraId="020ECDB5" w14:textId="21715557" w:rsidR="001054C3" w:rsidRDefault="001054C3" w:rsidP="00234FBE">
      <w:pPr>
        <w:pStyle w:val="BodyText"/>
      </w:pPr>
      <w:r>
        <w:t>Water entitlement holders have derived significant benefits from these reforms (chapter 13). Entitlements have become a valuable asset </w:t>
      </w:r>
      <w:r w:rsidRPr="00B463B9">
        <w:t>—</w:t>
      </w:r>
      <w:r>
        <w:t xml:space="preserve"> estimates put their value </w:t>
      </w:r>
      <w:r w:rsidRPr="00DB7769">
        <w:t xml:space="preserve">in the southern </w:t>
      </w:r>
      <w:r>
        <w:t>Murray–Darling Basin (MDB) at more than</w:t>
      </w:r>
      <w:r w:rsidRPr="00DB7769">
        <w:t xml:space="preserve"> $2</w:t>
      </w:r>
      <w:r>
        <w:t xml:space="preserve">6 billion </w:t>
      </w:r>
      <w:r w:rsidRPr="008371DE">
        <w:rPr>
          <w:szCs w:val="24"/>
        </w:rPr>
        <w:t>(Aither 2020, p. 5)</w:t>
      </w:r>
      <w:r w:rsidRPr="00B463B9">
        <w:t>.</w:t>
      </w:r>
      <w:r>
        <w:t xml:space="preserve"> This value, coupled with their legal backing and the development of water markets, means that entitlements </w:t>
      </w:r>
      <w:r w:rsidRPr="00B463B9">
        <w:t>can be used as collateral for loans</w:t>
      </w:r>
      <w:r>
        <w:t xml:space="preserve">. A 2013 survey found that about 20 per cent of New South Wales irrigators had secured finance against their entitlements </w:t>
      </w:r>
      <w:r w:rsidRPr="00440F56">
        <w:rPr>
          <w:szCs w:val="24"/>
        </w:rPr>
        <w:t>(Fenton and DTI (NSW) 2015)</w:t>
      </w:r>
      <w:r>
        <w:t>.</w:t>
      </w:r>
    </w:p>
    <w:p w14:paraId="0CF643FE" w14:textId="77777777" w:rsidR="001054C3" w:rsidRDefault="001054C3" w:rsidP="00234FBE">
      <w:pPr>
        <w:pStyle w:val="BodyText"/>
      </w:pPr>
      <w:r>
        <w:t>Water trading and markets also represent a valuable business management tool for irrigators, enabling more certainty in decision making, providing flexibility in dealing with changing market conditions and opening up new opportunities (chapter 13). And they have fostered greater efficiency in water use. Trade has seen water move to higher</w:t>
      </w:r>
      <w:r>
        <w:noBreakHyphen/>
        <w:t>value uses and price signals have encouraged on</w:t>
      </w:r>
      <w:r>
        <w:noBreakHyphen/>
        <w:t>farm efficiency, freeing up water for other productive uses.</w:t>
      </w:r>
    </w:p>
    <w:p w14:paraId="5E9B1355" w14:textId="77777777" w:rsidR="001054C3" w:rsidRDefault="001054C3" w:rsidP="00234FBE">
      <w:pPr>
        <w:pStyle w:val="BodyText"/>
      </w:pPr>
      <w:r>
        <w:t xml:space="preserve">The benefits of water trading have been particularly apparent during drought. Irrigators with flexible demands (such as rice and cotton growers) have been able to sell water to those with inflexible demands (such as horticulturalists with perennial crops). And entitlement holders have </w:t>
      </w:r>
      <w:r w:rsidRPr="002362BB">
        <w:t>been</w:t>
      </w:r>
      <w:r>
        <w:t xml:space="preserve"> able to </w:t>
      </w:r>
      <w:r w:rsidRPr="00490A8C">
        <w:t>sell water allocations to manage debt</w:t>
      </w:r>
      <w:r>
        <w:t xml:space="preserve"> and realise income.</w:t>
      </w:r>
    </w:p>
    <w:p w14:paraId="7E418D37" w14:textId="4A557F59" w:rsidR="001054C3" w:rsidRDefault="001054C3" w:rsidP="00234FBE">
      <w:pPr>
        <w:pStyle w:val="BodyText"/>
      </w:pPr>
      <w:r>
        <w:t>Water trading has become a sizeable economic activity. In 2018</w:t>
      </w:r>
      <w:r>
        <w:noBreakHyphen/>
        <w:t>19, Australia’s water markets were estimated to have generated $5.2</w:t>
      </w:r>
      <w:r>
        <w:rPr>
          <w:lang w:val="en-GB"/>
        </w:rPr>
        <w:t> </w:t>
      </w:r>
      <w:r>
        <w:t xml:space="preserve">billion in turnover </w:t>
      </w:r>
      <w:r w:rsidRPr="00655BF7">
        <w:rPr>
          <w:szCs w:val="24"/>
        </w:rPr>
        <w:t>(BOM 2020a, p. 7)</w:t>
      </w:r>
      <w:r>
        <w:t>. Studies of the economic benefits of this activity, although dated, have pointed to substantial value. For example, regional GDP in the southern MDB was estimated to be $4.3 billion higher over the five years to 2010</w:t>
      </w:r>
      <w:r>
        <w:noBreakHyphen/>
        <w:t xml:space="preserve">11 than it would have been without trading, and gains were largest in </w:t>
      </w:r>
      <w:r w:rsidRPr="004A52B4">
        <w:t>2007</w:t>
      </w:r>
      <w:r>
        <w:noBreakHyphen/>
      </w:r>
      <w:r w:rsidRPr="004A52B4">
        <w:t>08 and 2008</w:t>
      </w:r>
      <w:r>
        <w:noBreakHyphen/>
      </w:r>
      <w:r w:rsidRPr="004A52B4">
        <w:t xml:space="preserve">09 </w:t>
      </w:r>
      <w:r>
        <w:t xml:space="preserve">at the height of Millennium Drought </w:t>
      </w:r>
      <w:r w:rsidRPr="00A33418">
        <w:rPr>
          <w:szCs w:val="24"/>
        </w:rPr>
        <w:t>(NWC 2012, p. xii)</w:t>
      </w:r>
      <w:r>
        <w:t xml:space="preserve">. </w:t>
      </w:r>
      <w:r w:rsidRPr="00F87F3E">
        <w:t xml:space="preserve">And trading has allowed </w:t>
      </w:r>
      <w:r>
        <w:t xml:space="preserve">Australia’s gross value of irrigated agricultural production </w:t>
      </w:r>
      <w:r>
        <w:lastRenderedPageBreak/>
        <w:t xml:space="preserve">to increase in most years over the past decade, despite </w:t>
      </w:r>
      <w:r w:rsidRPr="004A52B4">
        <w:t>considerabl</w:t>
      </w:r>
      <w:r>
        <w:t>e</w:t>
      </w:r>
      <w:r w:rsidRPr="004A52B4">
        <w:t xml:space="preserve"> </w:t>
      </w:r>
      <w:r>
        <w:t xml:space="preserve">variation in water use </w:t>
      </w:r>
      <w:r w:rsidRPr="004A52B4">
        <w:t>between wet and dry years</w:t>
      </w:r>
      <w:r>
        <w:t xml:space="preserve"> (chapter 12, figure 12.1).</w:t>
      </w:r>
    </w:p>
    <w:p w14:paraId="33D376BC" w14:textId="5347328E" w:rsidR="001054C3" w:rsidRDefault="001054C3" w:rsidP="00234FBE">
      <w:pPr>
        <w:pStyle w:val="BodyText"/>
      </w:pPr>
      <w:r>
        <w:t xml:space="preserve">Provision of water for the environment has been another key achievement (chapter 8). Water planning aims to set the balance between environmental and consumptive use at an environmentally sustainable level — that is, </w:t>
      </w:r>
      <w:r w:rsidRPr="002832C6">
        <w:t xml:space="preserve">a </w:t>
      </w:r>
      <w:r>
        <w:t>level</w:t>
      </w:r>
      <w:r w:rsidRPr="002832C6">
        <w:t xml:space="preserve"> that maintain</w:t>
      </w:r>
      <w:r>
        <w:t>s</w:t>
      </w:r>
      <w:r w:rsidRPr="002832C6">
        <w:t xml:space="preserve"> key environmental assets and ecosystem functions while accepting a degree of ecological risk.</w:t>
      </w:r>
      <w:r>
        <w:t xml:space="preserve"> </w:t>
      </w:r>
      <w:r w:rsidRPr="007778E0">
        <w:t>In less developed systems, plans have capped consumptive use and specified environmental water provisions. In overallocated systems, additional water is being recovered for the environment.</w:t>
      </w:r>
      <w:r>
        <w:t xml:space="preserve"> Recovery rates have slowed in recent years, but significant progress has been made. </w:t>
      </w:r>
      <w:r w:rsidRPr="007A33B7">
        <w:t xml:space="preserve">The </w:t>
      </w:r>
      <w:r>
        <w:t>long</w:t>
      </w:r>
      <w:r>
        <w:noBreakHyphen/>
        <w:t xml:space="preserve">term average annual yield of held </w:t>
      </w:r>
      <w:r w:rsidRPr="007A33B7">
        <w:t xml:space="preserve">environmental water </w:t>
      </w:r>
      <w:r>
        <w:t>in the MDB is</w:t>
      </w:r>
      <w:r w:rsidRPr="007A33B7">
        <w:t xml:space="preserve"> 3000 GL </w:t>
      </w:r>
      <w:r w:rsidRPr="00FE37D7">
        <w:rPr>
          <w:szCs w:val="24"/>
        </w:rPr>
        <w:t>(MDBA 2020c)</w:t>
      </w:r>
      <w:r w:rsidRPr="007A33B7">
        <w:t>.</w:t>
      </w:r>
    </w:p>
    <w:p w14:paraId="527ED899" w14:textId="7D34EADF" w:rsidR="001054C3" w:rsidRDefault="001054C3" w:rsidP="00234FBE">
      <w:pPr>
        <w:pStyle w:val="BodyText"/>
      </w:pPr>
      <w:r>
        <w:t>Benefits of these provisions for the environment are starting to be seen, particularly at the local scale, including</w:t>
      </w:r>
      <w:r w:rsidRPr="00C90099">
        <w:t>: improved native vegetation</w:t>
      </w:r>
      <w:r>
        <w:t xml:space="preserve"> and wetland</w:t>
      </w:r>
      <w:r w:rsidRPr="00C90099">
        <w:t xml:space="preserve"> condition</w:t>
      </w:r>
      <w:r>
        <w:t>; protection of rare and threatened biodiversity such as in groundwater</w:t>
      </w:r>
      <w:r>
        <w:noBreakHyphen/>
        <w:t xml:space="preserve">dependent ecosystems; and the migration and </w:t>
      </w:r>
      <w:r w:rsidRPr="00C90099">
        <w:t xml:space="preserve">breeding of native fish, frogs and waterbirds </w:t>
      </w:r>
      <w:r w:rsidR="00C67DB3" w:rsidRPr="00C67DB3">
        <w:rPr>
          <w:szCs w:val="24"/>
        </w:rPr>
        <w:t>(CEWO 2020b; Hart and Butcher 2018, p. 2; Thurgate et al. 2019)</w:t>
      </w:r>
      <w:r w:rsidRPr="00C90099">
        <w:t>.</w:t>
      </w:r>
      <w:r>
        <w:t xml:space="preserve"> Provision of refuges has been particularly important in maintaining breeding grounds during drought </w:t>
      </w:r>
      <w:r w:rsidRPr="00B533B3">
        <w:t>(MDBA</w:t>
      </w:r>
      <w:r>
        <w:t>,</w:t>
      </w:r>
      <w:r w:rsidRPr="00B533B3">
        <w:t xml:space="preserve"> sub.</w:t>
      </w:r>
      <w:r>
        <w:t> </w:t>
      </w:r>
      <w:r w:rsidRPr="00B533B3">
        <w:t>23, pp.</w:t>
      </w:r>
      <w:r>
        <w:t> </w:t>
      </w:r>
      <w:r w:rsidRPr="00B533B3">
        <w:t>13–14)</w:t>
      </w:r>
      <w:r>
        <w:t>, supporting ecosystem resilience until rain returned.</w:t>
      </w:r>
    </w:p>
    <w:p w14:paraId="6748384D" w14:textId="05ED157D" w:rsidR="001054C3" w:rsidRDefault="001054C3" w:rsidP="00234FBE">
      <w:pPr>
        <w:pStyle w:val="BodyText"/>
      </w:pPr>
      <w:r>
        <w:t>T</w:t>
      </w:r>
      <w:r w:rsidRPr="00547027">
        <w:t>he provision of water for the environment</w:t>
      </w:r>
      <w:r>
        <w:t xml:space="preserve"> (through both, provisions in water planning and the recovery of water in overallocated systems), </w:t>
      </w:r>
      <w:r w:rsidRPr="00547027">
        <w:t xml:space="preserve">has </w:t>
      </w:r>
      <w:r>
        <w:t xml:space="preserve">been a major national reform effort that has </w:t>
      </w:r>
      <w:r w:rsidRPr="00547027">
        <w:t>helped to avoid environmental degradation that would have otherwise occurred through unconstrained water access</w:t>
      </w:r>
      <w:r>
        <w:t xml:space="preserve">. For example, </w:t>
      </w:r>
      <w:r w:rsidRPr="00B61C5A">
        <w:rPr>
          <w:rStyle w:val="BodyTextChar"/>
        </w:rPr>
        <w:t xml:space="preserve">water </w:t>
      </w:r>
      <w:r>
        <w:rPr>
          <w:rStyle w:val="BodyTextChar"/>
        </w:rPr>
        <w:t xml:space="preserve">delivered </w:t>
      </w:r>
      <w:r w:rsidRPr="00B61C5A">
        <w:rPr>
          <w:rStyle w:val="BodyTextChar"/>
        </w:rPr>
        <w:t xml:space="preserve">for the environment to support the Coorong, Lower Lakes and Murray Mouth </w:t>
      </w:r>
      <w:r>
        <w:rPr>
          <w:rStyle w:val="BodyTextChar"/>
        </w:rPr>
        <w:t>during</w:t>
      </w:r>
      <w:r w:rsidRPr="00B61C5A">
        <w:rPr>
          <w:rStyle w:val="BodyTextChar"/>
        </w:rPr>
        <w:t xml:space="preserve"> the </w:t>
      </w:r>
      <w:r>
        <w:rPr>
          <w:rStyle w:val="BodyTextChar"/>
        </w:rPr>
        <w:t xml:space="preserve">recent </w:t>
      </w:r>
      <w:r w:rsidRPr="00B61C5A">
        <w:rPr>
          <w:rStyle w:val="BodyTextChar"/>
        </w:rPr>
        <w:t xml:space="preserve">drought </w:t>
      </w:r>
      <w:r>
        <w:rPr>
          <w:rStyle w:val="BodyTextChar"/>
        </w:rPr>
        <w:t>prevented</w:t>
      </w:r>
      <w:r w:rsidRPr="00B61C5A">
        <w:rPr>
          <w:rStyle w:val="BodyTextChar"/>
        </w:rPr>
        <w:t xml:space="preserve"> environmental degradation </w:t>
      </w:r>
      <w:r>
        <w:rPr>
          <w:rStyle w:val="BodyTextChar"/>
        </w:rPr>
        <w:t xml:space="preserve">of the extent observed </w:t>
      </w:r>
      <w:r w:rsidRPr="00B61C5A">
        <w:rPr>
          <w:rStyle w:val="BodyTextChar"/>
        </w:rPr>
        <w:t>during the Millennium drought</w:t>
      </w:r>
      <w:r>
        <w:rPr>
          <w:rStyle w:val="BodyTextChar"/>
        </w:rPr>
        <w:t xml:space="preserve"> </w:t>
      </w:r>
      <w:r w:rsidRPr="00FE37D7">
        <w:rPr>
          <w:szCs w:val="24"/>
        </w:rPr>
        <w:t>(MDBA 2020b, p. xiii)</w:t>
      </w:r>
      <w:r>
        <w:rPr>
          <w:rStyle w:val="BodyTextChar"/>
        </w:rPr>
        <w:t>.</w:t>
      </w:r>
    </w:p>
    <w:p w14:paraId="58A4D031" w14:textId="77777777" w:rsidR="001054C3" w:rsidRDefault="001054C3" w:rsidP="00234FBE">
      <w:pPr>
        <w:pStyle w:val="BodyText"/>
      </w:pPr>
      <w:r w:rsidRPr="00DA65C3">
        <w:t xml:space="preserve">Environmental water provision </w:t>
      </w:r>
      <w:r>
        <w:t xml:space="preserve">also </w:t>
      </w:r>
      <w:r w:rsidRPr="00DA65C3">
        <w:t xml:space="preserve">has the potential to deliver </w:t>
      </w:r>
      <w:r>
        <w:t xml:space="preserve">a range of </w:t>
      </w:r>
      <w:r w:rsidRPr="001D19CE">
        <w:t xml:space="preserve">other </w:t>
      </w:r>
      <w:r>
        <w:t xml:space="preserve">public benefits including cultural outcomes for Aboriginal and Torres Strait Islander people, and economic and social outcomes for recreational and commercial fishers and the tourism industry (SP C </w:t>
      </w:r>
      <w:r w:rsidRPr="00D80A69">
        <w:rPr>
          <w:i/>
          <w:iCs/>
        </w:rPr>
        <w:t>Environment</w:t>
      </w:r>
      <w:r>
        <w:t>). And, although difficult to quantify, healthy rivers, lakes and wetlands provide amenity benefits — that is, pleasure for those who use or view them.</w:t>
      </w:r>
    </w:p>
    <w:p w14:paraId="45D3C90F" w14:textId="77777777" w:rsidR="001054C3" w:rsidRDefault="001054C3" w:rsidP="00234FBE">
      <w:pPr>
        <w:pStyle w:val="Heading3"/>
      </w:pPr>
      <w:r w:rsidRPr="005A427A">
        <w:t>Water service delivery</w:t>
      </w:r>
    </w:p>
    <w:p w14:paraId="68D51572" w14:textId="77777777" w:rsidR="001054C3" w:rsidRDefault="001054C3" w:rsidP="00234FBE">
      <w:pPr>
        <w:pStyle w:val="BodyText"/>
      </w:pPr>
      <w:r>
        <w:t>Reforms to institutional arrangements have markedly improved the efficiency of water service delivery, bringing significant benefits to water users and the broader community.</w:t>
      </w:r>
    </w:p>
    <w:p w14:paraId="51A49DD0" w14:textId="0CA65667" w:rsidR="001054C3" w:rsidRDefault="001054C3" w:rsidP="00234FBE">
      <w:pPr>
        <w:pStyle w:val="BodyText"/>
      </w:pPr>
      <w:r>
        <w:t>Widespread adoption</w:t>
      </w:r>
      <w:r w:rsidRPr="002362BB">
        <w:rPr>
          <w:rStyle w:val="BodyTextChar"/>
        </w:rPr>
        <w:t xml:space="preserve"> </w:t>
      </w:r>
      <w:r>
        <w:t>of cost</w:t>
      </w:r>
      <w:r>
        <w:noBreakHyphen/>
        <w:t>reflective and consumption</w:t>
      </w:r>
      <w:r>
        <w:noBreakHyphen/>
        <w:t xml:space="preserve">based pricing in the </w:t>
      </w:r>
      <w:r w:rsidRPr="00376AD6">
        <w:rPr>
          <w:i/>
        </w:rPr>
        <w:t>urban water sector</w:t>
      </w:r>
      <w:r>
        <w:t xml:space="preserve"> (along with restrictions and awareness campaigns during drought) have contributed to changing water users’ behaviour, supporting more efficient water use, better signalling of investment needs and a more financially sustainable sector (chapter 11). Household water use, for example, has fallen over the past two decades from a national annual average of 280 kilolitres in 2000 to about 190 kilolitres in 2019 </w:t>
      </w:r>
      <w:r w:rsidR="00C67DB3" w:rsidRPr="00C67DB3">
        <w:rPr>
          <w:szCs w:val="24"/>
        </w:rPr>
        <w:t>(ABS 2004, 2020b)</w:t>
      </w:r>
      <w:r>
        <w:t xml:space="preserve">, while the average </w:t>
      </w:r>
      <w:r>
        <w:lastRenderedPageBreak/>
        <w:t xml:space="preserve">household size has not changed </w:t>
      </w:r>
      <w:r w:rsidRPr="00520D16">
        <w:rPr>
          <w:szCs w:val="24"/>
        </w:rPr>
        <w:t>(ABS 2002, 2017)</w:t>
      </w:r>
      <w:r>
        <w:t>. And most service providers now generate enough revenue from user charges for long</w:t>
      </w:r>
      <w:r>
        <w:noBreakHyphen/>
        <w:t>term financially sustainable operations without government subsidies, removing a burden on taxpayers.</w:t>
      </w:r>
    </w:p>
    <w:p w14:paraId="334727E1" w14:textId="696C4F7B" w:rsidR="001054C3" w:rsidRDefault="001054C3" w:rsidP="00234FBE">
      <w:pPr>
        <w:pStyle w:val="BodyText"/>
      </w:pPr>
      <w:r>
        <w:t>I</w:t>
      </w:r>
      <w:r w:rsidRPr="006F0B7F">
        <w:t>nstitutional separation of policy making, service delivery and regulation has improved account</w:t>
      </w:r>
      <w:r>
        <w:t>ability and transparency</w:t>
      </w:r>
      <w:r w:rsidRPr="006F0B7F">
        <w:t>.</w:t>
      </w:r>
      <w:r>
        <w:t xml:space="preserve"> Corporatisation of utilities has encouraged commercial behaviour, promoting efficient investment and lower prices for the benefit of water users </w:t>
      </w:r>
      <w:r w:rsidRPr="0009356A">
        <w:rPr>
          <w:szCs w:val="24"/>
        </w:rPr>
        <w:t>(PC 2017a, p. 10)</w:t>
      </w:r>
      <w:r>
        <w:t>. Independent economic regulation has supported more rigorous scrutiny of utilities’ operational and investment decisions and reduced the risk of political interference in price setting and infrastructure investment processes. And benchmarking and reporting of urban water pricing and service outcomes enable customers to compare their provider with others’ — promoting questioning that can prompt improved outcomes.</w:t>
      </w:r>
    </w:p>
    <w:p w14:paraId="4BD1AB1E" w14:textId="77777777" w:rsidR="001054C3" w:rsidRDefault="001054C3" w:rsidP="00234FBE">
      <w:pPr>
        <w:pStyle w:val="BodyText"/>
      </w:pPr>
      <w:r>
        <w:t>Assessment processes consistent with the NWI requirements, that investments are economically viable and ecologically sustainable</w:t>
      </w:r>
      <w:r>
        <w:rPr>
          <w:rStyle w:val="FootnoteReference"/>
        </w:rPr>
        <w:footnoteReference w:id="6"/>
      </w:r>
      <w:r>
        <w:t>, help to ensure that water service providers avoid uneconomic and potentially environmentally damaging decisions (chapter 14).</w:t>
      </w:r>
    </w:p>
    <w:p w14:paraId="459E8992" w14:textId="77777777" w:rsidR="001054C3" w:rsidRDefault="001054C3" w:rsidP="00234FBE">
      <w:pPr>
        <w:pStyle w:val="BodyText"/>
      </w:pPr>
      <w:r>
        <w:t>And water supplies in most communities are safe, healthy and reliable (</w:t>
      </w:r>
      <w:r w:rsidRPr="00D80A69">
        <w:rPr>
          <w:i/>
          <w:iCs/>
        </w:rPr>
        <w:t>Assessment</w:t>
      </w:r>
      <w:r>
        <w:t>). Tasmania and Western Australia have made progress over the past three years in addressing areas of water supply risk. But issues persist in the Northern Territory and d</w:t>
      </w:r>
      <w:r w:rsidRPr="00D568AA">
        <w:t>rought has led to service quality issues in parts of New South Wales and Queensland</w:t>
      </w:r>
      <w:r>
        <w:t>, which indicates that more could be done to ensure communities are prepared for drought</w:t>
      </w:r>
      <w:r w:rsidRPr="00D568AA">
        <w:t>.</w:t>
      </w:r>
    </w:p>
    <w:p w14:paraId="6E10808D" w14:textId="63171C0E" w:rsidR="001054C3" w:rsidRDefault="001054C3" w:rsidP="00234FBE">
      <w:pPr>
        <w:pStyle w:val="BodyText"/>
      </w:pPr>
      <w:r>
        <w:t xml:space="preserve">For the </w:t>
      </w:r>
      <w:r w:rsidRPr="00EE6163">
        <w:rPr>
          <w:i/>
        </w:rPr>
        <w:t>irrigation sector</w:t>
      </w:r>
      <w:r>
        <w:t>, e</w:t>
      </w:r>
      <w:r w:rsidRPr="00492840">
        <w:t>conomic regulation and local ownership and</w:t>
      </w:r>
      <w:r>
        <w:t>/or</w:t>
      </w:r>
      <w:r w:rsidRPr="00492840">
        <w:t xml:space="preserve"> management</w:t>
      </w:r>
      <w:r>
        <w:t xml:space="preserve"> </w:t>
      </w:r>
      <w:r w:rsidRPr="00492840">
        <w:t>(especially by irrigators)</w:t>
      </w:r>
      <w:r>
        <w:t xml:space="preserve"> of rural</w:t>
      </w:r>
      <w:r w:rsidRPr="00262F0F">
        <w:t xml:space="preserve"> water service</w:t>
      </w:r>
      <w:r>
        <w:t xml:space="preserve"> providers</w:t>
      </w:r>
      <w:r w:rsidRPr="00492840">
        <w:t xml:space="preserve"> ha</w:t>
      </w:r>
      <w:r>
        <w:t xml:space="preserve">ve </w:t>
      </w:r>
      <w:r w:rsidRPr="00492840">
        <w:t xml:space="preserve">improved </w:t>
      </w:r>
      <w:r w:rsidRPr="00262F0F">
        <w:t xml:space="preserve">the accountability, productivity, efficiency and responsiveness of </w:t>
      </w:r>
      <w:r>
        <w:t xml:space="preserve">these businesses to the needs of rural water users </w:t>
      </w:r>
      <w:r w:rsidRPr="00376AD6">
        <w:rPr>
          <w:szCs w:val="24"/>
        </w:rPr>
        <w:t>(PC 2017b, p. 237)</w:t>
      </w:r>
      <w:r>
        <w:t>.</w:t>
      </w:r>
    </w:p>
    <w:p w14:paraId="0A208B40" w14:textId="661B12F9" w:rsidR="001054C3" w:rsidRDefault="001054C3" w:rsidP="00234FBE">
      <w:pPr>
        <w:pStyle w:val="Heading2"/>
      </w:pPr>
      <w:bookmarkStart w:id="46" w:name="_Toc72939488"/>
      <w:r>
        <w:t>2.</w:t>
      </w:r>
      <w:r>
        <w:rPr>
          <w:noProof/>
        </w:rPr>
        <w:t>4</w:t>
      </w:r>
      <w:bookmarkStart w:id="47" w:name="_Toc63112451"/>
      <w:r>
        <w:tab/>
        <w:t>But the case for further reform is compelling</w:t>
      </w:r>
      <w:bookmarkEnd w:id="46"/>
      <w:bookmarkEnd w:id="47"/>
    </w:p>
    <w:p w14:paraId="1D8ACAA1" w14:textId="77777777" w:rsidR="001054C3" w:rsidRDefault="001054C3" w:rsidP="00234FBE">
      <w:pPr>
        <w:pStyle w:val="BodyText"/>
      </w:pPr>
      <w:r>
        <w:t>National water reform has served Australia well. However, further reform should not be ‘set and forget’. It needs to be adaptive — reflecting lessons learnt from implementation, changing as the broader policy context changes and proactively shifting to deal with anticipated future challenges.</w:t>
      </w:r>
    </w:p>
    <w:p w14:paraId="708C34B0" w14:textId="77777777" w:rsidR="001054C3" w:rsidRDefault="001054C3" w:rsidP="00234FBE">
      <w:pPr>
        <w:pStyle w:val="BodyText"/>
      </w:pPr>
      <w:r>
        <w:t>Much has been learnt in the 17 years since the NWI was agreed.</w:t>
      </w:r>
      <w:r w:rsidRPr="00C272AC">
        <w:t xml:space="preserve"> </w:t>
      </w:r>
      <w:r>
        <w:t xml:space="preserve">Implementation of the agreement has provided a wealth of knowledge and experience. Each jurisdiction has dealt with reform in ways suited to their communities, industries and level of development, , providing insight into evolving best practice. This period included both the Millennium Drought and the recent </w:t>
      </w:r>
      <w:r w:rsidRPr="002362BB">
        <w:t>severe</w:t>
      </w:r>
      <w:r>
        <w:t xml:space="preserve"> drought affecting New South Wales and parts of Queensland, Victoria, Western Australia and the Northern Territory — highlighting issues and providing </w:t>
      </w:r>
      <w:r>
        <w:lastRenderedPageBreak/>
        <w:t>lessons on managing extreme water scarcity. It has also included the recent floods, bushfires and COVID</w:t>
      </w:r>
      <w:r>
        <w:noBreakHyphen/>
        <w:t>19 experience, with the challenges they raised for water management.</w:t>
      </w:r>
    </w:p>
    <w:p w14:paraId="4DCE389A" w14:textId="77777777" w:rsidR="001054C3" w:rsidRPr="00065089" w:rsidRDefault="001054C3" w:rsidP="00234FBE">
      <w:pPr>
        <w:pStyle w:val="BodyText"/>
        <w:rPr>
          <w:spacing w:val="-2"/>
        </w:rPr>
      </w:pPr>
      <w:r w:rsidRPr="00065089">
        <w:rPr>
          <w:spacing w:val="-2"/>
        </w:rPr>
        <w:t>The past 17 years have also seen shifts in community expectations, for example, about access to water for Aboriginal and Torres Strait Islander people, and about liveability and urban amenity.</w:t>
      </w:r>
    </w:p>
    <w:p w14:paraId="7B5E3EBD" w14:textId="77777777" w:rsidR="001054C3" w:rsidRDefault="001054C3" w:rsidP="00234FBE">
      <w:pPr>
        <w:pStyle w:val="BodyText"/>
      </w:pPr>
      <w:r>
        <w:t xml:space="preserve">Moreover, it has been a period of major reform in the MDB, with new institutional arrangements established under the </w:t>
      </w:r>
      <w:r w:rsidRPr="007543DD">
        <w:rPr>
          <w:i/>
        </w:rPr>
        <w:t>Water Act 2007</w:t>
      </w:r>
      <w:r>
        <w:t xml:space="preserve"> (Cth), the development of the Basin Plan and the </w:t>
      </w:r>
      <w:r w:rsidRPr="00277A98">
        <w:t>investment</w:t>
      </w:r>
      <w:r>
        <w:t xml:space="preserve"> of over $13 billion in its ongoing implementation. Over the past 40 years, the MDB has often been the proving ground for many of Australia’s successful water reforms, which have then been emulated in other parts of the country. And it continues to offer useful insights in a number of areas — in the identification of best practice that could be applicable nationally and also areas where doing things differently could prevent or avoid the community concern that has recently occurred in parts of the MDB. All of this experience needs to condition thinking about NWI renewal.</w:t>
      </w:r>
    </w:p>
    <w:p w14:paraId="6999CDD9" w14:textId="77777777" w:rsidR="001054C3" w:rsidRDefault="001054C3" w:rsidP="00234FBE">
      <w:pPr>
        <w:pStyle w:val="BodyText"/>
      </w:pPr>
      <w:r>
        <w:t>Finally, a renewed NWI needs to identify the key issues that water management will need to deal with over the next 10 to 20 years to ensure proper stewardship of Australia’s water resources. These will be dominated by the effects of climate change, coupled with the needs of a growing population.</w:t>
      </w:r>
    </w:p>
    <w:p w14:paraId="4C7ADAF8" w14:textId="77777777" w:rsidR="001054C3" w:rsidRDefault="001054C3" w:rsidP="00234FBE">
      <w:pPr>
        <w:pStyle w:val="BodyText"/>
      </w:pPr>
      <w:r>
        <w:t>The following sections paint the context for a renewed NWI. They discuss key issues observed in the recent droughts and the lessons they offer for the future. They then look at current climate conditions and finally discuss projections for both climate and population and the implications for water management across Australia.</w:t>
      </w:r>
    </w:p>
    <w:p w14:paraId="202F2D78" w14:textId="77777777" w:rsidR="001054C3" w:rsidRDefault="001054C3" w:rsidP="00234FBE">
      <w:pPr>
        <w:pStyle w:val="Heading3"/>
      </w:pPr>
      <w:r>
        <w:t>Severe drought has caused extensive pain</w:t>
      </w:r>
    </w:p>
    <w:p w14:paraId="4CF0121C" w14:textId="78045856" w:rsidR="001054C3" w:rsidRDefault="001054C3" w:rsidP="00234FBE">
      <w:pPr>
        <w:pStyle w:val="BodyText"/>
      </w:pPr>
      <w:r>
        <w:t>D</w:t>
      </w:r>
      <w:r w:rsidRPr="008317D4">
        <w:t>rought is one of the most feared and costly</w:t>
      </w:r>
      <w:r>
        <w:t xml:space="preserve"> climate challenges faced by Australian water users </w:t>
      </w:r>
      <w:r w:rsidR="00C67DB3" w:rsidRPr="00C67DB3">
        <w:rPr>
          <w:szCs w:val="24"/>
        </w:rPr>
        <w:t>(BOM 2020c)</w:t>
      </w:r>
      <w:r w:rsidRPr="008317D4">
        <w:t xml:space="preserve">. </w:t>
      </w:r>
      <w:r>
        <w:t xml:space="preserve">In rural areas, its direct consequences include crop </w:t>
      </w:r>
      <w:r w:rsidRPr="008317D4">
        <w:t>failure and stock losses</w:t>
      </w:r>
      <w:r>
        <w:t>. Dr</w:t>
      </w:r>
      <w:r w:rsidRPr="008317D4">
        <w:t xml:space="preserve">oughts </w:t>
      </w:r>
      <w:r>
        <w:t xml:space="preserve">also </w:t>
      </w:r>
      <w:r w:rsidRPr="008317D4">
        <w:t>set the scene for bushfires, dust storms and land degradation.</w:t>
      </w:r>
      <w:r>
        <w:t xml:space="preserve"> In urban areas, droughts can lead to water restrictions and shortages that threaten the wellbeing of communities. For the environment, while droughts are natural occurrences, their impacts are amplified by river regulation and water extraction and compounded by loss of habitat.</w:t>
      </w:r>
    </w:p>
    <w:p w14:paraId="30F39AE2" w14:textId="5E05A80C" w:rsidR="001054C3" w:rsidRDefault="001054C3" w:rsidP="00234FBE">
      <w:pPr>
        <w:pStyle w:val="BodyText"/>
        <w:keepNext/>
      </w:pPr>
      <w:r>
        <w:t xml:space="preserve">The Millennium Drought was only partway through when the NWI was agreed in 2004. </w:t>
      </w:r>
      <w:r w:rsidRPr="00513DDD">
        <w:t>Conditions were particularly severe in the densely populated southeast and southwest</w:t>
      </w:r>
      <w:r>
        <w:t xml:space="preserve"> of the country (figure 2.1, panel a), greatly affecting rural and urban waters users alike. For urban water users, all capital cities except Darwin were affected to some degree </w:t>
      </w:r>
      <w:r w:rsidR="00C67DB3" w:rsidRPr="00C67DB3">
        <w:rPr>
          <w:szCs w:val="24"/>
        </w:rPr>
        <w:t>(BOM 2020c)</w:t>
      </w:r>
      <w:r>
        <w:t>. Governments responded with demand</w:t>
      </w:r>
      <w:r>
        <w:noBreakHyphen/>
        <w:t xml:space="preserve">management programs and increasingly severe and prolonged water restrictions, before intervening in a number of circumstances to take direct </w:t>
      </w:r>
      <w:r>
        <w:lastRenderedPageBreak/>
        <w:t xml:space="preserve">control of planning and investment. According to the National Water Commission </w:t>
      </w:r>
      <w:r w:rsidRPr="00BD3279">
        <w:rPr>
          <w:szCs w:val="24"/>
        </w:rPr>
        <w:t>(2011, p. 11)</w:t>
      </w:r>
      <w:r>
        <w:t>:</w:t>
      </w:r>
    </w:p>
    <w:p w14:paraId="0C899A5C" w14:textId="77777777" w:rsidR="001054C3" w:rsidRDefault="001054C3" w:rsidP="00234FBE">
      <w:pPr>
        <w:pStyle w:val="Quote"/>
      </w:pPr>
      <w:r>
        <w:t>[t]</w:t>
      </w:r>
      <w:r w:rsidRPr="00BD3279">
        <w:t xml:space="preserve">hose interventions were marked </w:t>
      </w:r>
      <w:r>
        <w:t>by</w:t>
      </w:r>
      <w:r w:rsidRPr="00BD3279">
        <w:t xml:space="preserve"> </w:t>
      </w:r>
      <w:r>
        <w:t>stop–start policies and hurried planning with little transparency and community and customer engagement. While no city ran out of water, there were a number of close calls, and the response imposed significant financial and non</w:t>
      </w:r>
      <w:r>
        <w:noBreakHyphen/>
        <w:t>financial costs on customers, the community, water businesses, taxpayers and the environment.</w:t>
      </w:r>
    </w:p>
    <w:p w14:paraId="15F36F20" w14:textId="2F6B0EF6" w:rsidR="001054C3" w:rsidRDefault="001054C3" w:rsidP="00234FBE">
      <w:pPr>
        <w:pStyle w:val="BodyText"/>
      </w:pPr>
      <w:r>
        <w:t xml:space="preserve">In recent years, drought has again caused extensive pain across southern Australia. From January </w:t>
      </w:r>
      <w:r w:rsidRPr="007409E3">
        <w:t xml:space="preserve">2017 to </w:t>
      </w:r>
      <w:r>
        <w:t xml:space="preserve">December </w:t>
      </w:r>
      <w:r w:rsidRPr="007409E3">
        <w:t>2019</w:t>
      </w:r>
      <w:r>
        <w:t>, the situation was particularly challenging in the MDB</w:t>
      </w:r>
      <w:r w:rsidRPr="00A436A8">
        <w:t xml:space="preserve"> and New South Wales</w:t>
      </w:r>
      <w:r>
        <w:t xml:space="preserve"> (figure 2.1, panel b), with record</w:t>
      </w:r>
      <w:r>
        <w:noBreakHyphen/>
        <w:t xml:space="preserve">breaking extreme dry conditions </w:t>
      </w:r>
      <w:r w:rsidR="00C67DB3" w:rsidRPr="00C67DB3">
        <w:rPr>
          <w:szCs w:val="24"/>
        </w:rPr>
        <w:t>(BOM 2020c)</w:t>
      </w:r>
      <w:r>
        <w:t>.</w:t>
      </w:r>
    </w:p>
    <w:p w14:paraId="36FADED7" w14:textId="4A84650B" w:rsidR="001054C3" w:rsidRDefault="001054C3" w:rsidP="00234FBE">
      <w:pPr>
        <w:pStyle w:val="BodyText"/>
      </w:pPr>
      <w:r w:rsidRPr="007D0BE4">
        <w:t>While drought was largely confined to southern Australia, the far north has not been immune to extreme dry conditions. For example</w:t>
      </w:r>
      <w:r>
        <w:t>,</w:t>
      </w:r>
      <w:r w:rsidRPr="007D0BE4">
        <w:t xml:space="preserve"> for the 2019</w:t>
      </w:r>
      <w:r>
        <w:t>–</w:t>
      </w:r>
      <w:r w:rsidRPr="007D0BE4">
        <w:t>20 wet season, rainfall in Katherine</w:t>
      </w:r>
      <w:r>
        <w:rPr>
          <w:rStyle w:val="FootnoteReference"/>
        </w:rPr>
        <w:footnoteReference w:id="7"/>
      </w:r>
      <w:r w:rsidRPr="007D0BE4">
        <w:t xml:space="preserve"> was the lowest recorded since 1951</w:t>
      </w:r>
      <w:r>
        <w:t>–</w:t>
      </w:r>
      <w:r w:rsidRPr="007D0BE4">
        <w:t>52, and Darwin’s</w:t>
      </w:r>
      <w:r>
        <w:rPr>
          <w:rStyle w:val="FootnoteReference"/>
        </w:rPr>
        <w:footnoteReference w:id="8"/>
      </w:r>
      <w:r w:rsidRPr="007D0BE4">
        <w:t xml:space="preserve"> rainfall in </w:t>
      </w:r>
      <w:r>
        <w:t xml:space="preserve">both </w:t>
      </w:r>
      <w:r w:rsidRPr="007D0BE4">
        <w:t>the 2018</w:t>
      </w:r>
      <w:r>
        <w:t>–</w:t>
      </w:r>
      <w:r w:rsidRPr="007D0BE4">
        <w:t>19 and 2019</w:t>
      </w:r>
      <w:r>
        <w:t>–</w:t>
      </w:r>
      <w:r w:rsidRPr="007D0BE4">
        <w:t xml:space="preserve">20 wet seasons </w:t>
      </w:r>
      <w:r>
        <w:t xml:space="preserve">was </w:t>
      </w:r>
      <w:r w:rsidRPr="007D0BE4">
        <w:t xml:space="preserve">also well </w:t>
      </w:r>
      <w:r>
        <w:t xml:space="preserve">down at about </w:t>
      </w:r>
      <w:r w:rsidRPr="007D0BE4">
        <w:t xml:space="preserve">70 per cent </w:t>
      </w:r>
      <w:r>
        <w:t xml:space="preserve">of </w:t>
      </w:r>
      <w:r w:rsidRPr="007D0BE4">
        <w:t>the long</w:t>
      </w:r>
      <w:r>
        <w:noBreakHyphen/>
      </w:r>
      <w:r w:rsidRPr="007D0BE4">
        <w:t xml:space="preserve">term average </w:t>
      </w:r>
      <w:r w:rsidR="00C67DB3" w:rsidRPr="00C67DB3">
        <w:rPr>
          <w:szCs w:val="24"/>
        </w:rPr>
        <w:t>(BOM 2019, 2020f)</w:t>
      </w:r>
      <w:r w:rsidRPr="007D0BE4">
        <w:t>.</w:t>
      </w:r>
    </w:p>
    <w:p w14:paraId="5143AB22" w14:textId="77777777" w:rsidR="001054C3" w:rsidRDefault="001054C3" w:rsidP="00234FBE">
      <w:pPr>
        <w:pStyle w:val="BodyText"/>
      </w:pPr>
      <w:r>
        <w:t>Costly consequences of the recent drought and dry conditions included:</w:t>
      </w:r>
    </w:p>
    <w:p w14:paraId="2C0906B4" w14:textId="1D34C38A" w:rsidR="001054C3" w:rsidRDefault="001054C3" w:rsidP="00234FBE">
      <w:pPr>
        <w:pStyle w:val="ListBullet"/>
      </w:pPr>
      <w:r>
        <w:t xml:space="preserve">widely publicised fish deaths in the Darling River (for example ABC News </w:t>
      </w:r>
      <w:r w:rsidRPr="00E556DC">
        <w:t>(2019)</w:t>
      </w:r>
      <w:r>
        <w:t>)</w:t>
      </w:r>
    </w:p>
    <w:p w14:paraId="7152E893" w14:textId="266D3830" w:rsidR="001054C3" w:rsidRDefault="001054C3" w:rsidP="00234FBE">
      <w:pPr>
        <w:pStyle w:val="ListBullet"/>
      </w:pPr>
      <w:r>
        <w:t>water storage levels dropping to extremely low levels and many towns needing emergency relief in New South Wales (figure 2.2) — for example, $15 million was allocated by the New South Wales Government for emergency water carting and work to secure town and household water supplies in the 2019</w:t>
      </w:r>
      <w:r>
        <w:noBreakHyphen/>
        <w:t xml:space="preserve">20 state budget </w:t>
      </w:r>
      <w:r w:rsidRPr="006B5A23">
        <w:rPr>
          <w:szCs w:val="24"/>
        </w:rPr>
        <w:t>(NSW Government 2019, p. 66)</w:t>
      </w:r>
      <w:r>
        <w:t>)</w:t>
      </w:r>
    </w:p>
    <w:p w14:paraId="14B150A8" w14:textId="69E289CC" w:rsidR="001054C3" w:rsidRDefault="001054C3" w:rsidP="00234FBE">
      <w:pPr>
        <w:pStyle w:val="ListBullet"/>
      </w:pPr>
      <w:r>
        <w:t xml:space="preserve">record highs in fire weather danger (as measured by the Forest Fire Danger Index) in parts of all States and Territories in 2019 and early 2020 </w:t>
      </w:r>
      <w:r w:rsidR="00C67DB3" w:rsidRPr="00C67DB3">
        <w:rPr>
          <w:szCs w:val="24"/>
        </w:rPr>
        <w:t>(BOM 2020c)</w:t>
      </w:r>
      <w:r>
        <w:t>.</w:t>
      </w:r>
    </w:p>
    <w:p w14:paraId="716FFD3E" w14:textId="77777777" w:rsidR="001054C3" w:rsidRDefault="001054C3" w:rsidP="00234FBE">
      <w:pPr>
        <w:pStyle w:val="BodyText"/>
      </w:pPr>
      <w:r>
        <w:t xml:space="preserve">These experiences have put extreme pressure on </w:t>
      </w:r>
      <w:r w:rsidRPr="00E35A7B">
        <w:t>landscapes a</w:t>
      </w:r>
      <w:r>
        <w:t>nd communities, with lessons for NWI renewal. For example, shortcomings exposed in water management arrangements suggest</w:t>
      </w:r>
      <w:r w:rsidRPr="00BE2A7A">
        <w:t xml:space="preserve"> that </w:t>
      </w:r>
      <w:r w:rsidRPr="00E35A7B">
        <w:t xml:space="preserve">water plans must include </w:t>
      </w:r>
      <w:r>
        <w:t xml:space="preserve">improved and </w:t>
      </w:r>
      <w:r w:rsidRPr="00E35A7B">
        <w:rPr>
          <w:lang w:val="en-GB"/>
        </w:rPr>
        <w:t>well</w:t>
      </w:r>
      <w:r>
        <w:rPr>
          <w:lang w:val="en-GB"/>
        </w:rPr>
        <w:noBreakHyphen/>
      </w:r>
      <w:r w:rsidRPr="00E35A7B">
        <w:rPr>
          <w:lang w:val="en-GB"/>
        </w:rPr>
        <w:t>defined provisions to support communities</w:t>
      </w:r>
      <w:r>
        <w:rPr>
          <w:lang w:val="en-GB"/>
        </w:rPr>
        <w:t xml:space="preserve"> in dealing with </w:t>
      </w:r>
      <w:r>
        <w:t xml:space="preserve">drought. Environmental distress, exacerbated by compliance failures and incomplete water recoveries, highlights the need for improvements in </w:t>
      </w:r>
      <w:r w:rsidRPr="00565C7F">
        <w:t>environmental management policy principles, frameworks and practices</w:t>
      </w:r>
      <w:r>
        <w:t xml:space="preserve">. Compliance failures point to the value of an enhanced focus on integrity. Inadequacies </w:t>
      </w:r>
      <w:r w:rsidRPr="006F0B7F">
        <w:t xml:space="preserve">in planning and service delivery </w:t>
      </w:r>
      <w:r>
        <w:t xml:space="preserve">were brought </w:t>
      </w:r>
      <w:r w:rsidRPr="006F0B7F">
        <w:t>into sharp relief in some regional areas</w:t>
      </w:r>
      <w:r>
        <w:t xml:space="preserve"> and underscored the need for effective preparation and emergency response plans. And the recent drought has uncovered gaps in the understanding of water security for regional towns.</w:t>
      </w:r>
    </w:p>
    <w:p w14:paraId="705326E9" w14:textId="77777777" w:rsidR="001054C3" w:rsidRPr="00C33DBB" w:rsidRDefault="001054C3" w:rsidP="00234FBE">
      <w:pPr>
        <w:pStyle w:val="Figurespac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2E8DDB6F" w14:textId="77777777" w:rsidTr="00234FBE">
        <w:trPr>
          <w:tblHeader/>
        </w:trPr>
        <w:tc>
          <w:tcPr>
            <w:tcW w:w="5000" w:type="pct"/>
            <w:tcBorders>
              <w:top w:val="single" w:sz="6" w:space="0" w:color="78A22F" w:themeColor="accent1"/>
              <w:left w:val="nil"/>
              <w:bottom w:val="nil"/>
              <w:right w:val="nil"/>
            </w:tcBorders>
            <w:shd w:val="clear" w:color="auto" w:fill="auto"/>
          </w:tcPr>
          <w:p w14:paraId="4108AE5B" w14:textId="77777777" w:rsidR="001054C3" w:rsidRDefault="001054C3" w:rsidP="00234FBE">
            <w:pPr>
              <w:pStyle w:val="FigureTitle"/>
            </w:pPr>
            <w:r w:rsidRPr="00784A05">
              <w:rPr>
                <w:b w:val="0"/>
              </w:rPr>
              <w:t xml:space="preserve">Figure </w:t>
            </w:r>
            <w:r>
              <w:rPr>
                <w:b w:val="0"/>
              </w:rPr>
              <w:t>2.1</w:t>
            </w:r>
            <w:r>
              <w:tab/>
              <w:t>Recent droughts have caused widespread and extensive pain</w:t>
            </w:r>
          </w:p>
          <w:p w14:paraId="0515C0B0" w14:textId="77777777" w:rsidR="001054C3" w:rsidRPr="00176D3F" w:rsidRDefault="001054C3" w:rsidP="00234FBE">
            <w:pPr>
              <w:pStyle w:val="Subtitle"/>
            </w:pPr>
            <w:r w:rsidRPr="00821601">
              <w:t>Australian rainfall deciles</w:t>
            </w:r>
            <w:r>
              <w:t xml:space="preserve"> for recent droughts compared with historical records</w:t>
            </w:r>
            <w:r w:rsidRPr="00F92ED0">
              <w:rPr>
                <w:b/>
                <w:bCs/>
                <w:vertAlign w:val="superscript"/>
              </w:rPr>
              <w:t>a</w:t>
            </w:r>
          </w:p>
        </w:tc>
      </w:tr>
      <w:tr w:rsidR="001054C3" w14:paraId="21778804"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B1465D" w14:paraId="09A792CC" w14:textId="77777777" w:rsidTr="00234FBE">
              <w:trPr>
                <w:tblHeader/>
                <w:jc w:val="center"/>
              </w:trPr>
              <w:tc>
                <w:tcPr>
                  <w:tcW w:w="5000" w:type="pct"/>
                  <w:tcBorders>
                    <w:top w:val="nil"/>
                    <w:bottom w:val="nil"/>
                  </w:tcBorders>
                </w:tcPr>
                <w:p w14:paraId="1327ED58" w14:textId="77777777" w:rsidR="001054C3" w:rsidRPr="00F92ED0" w:rsidRDefault="001054C3" w:rsidP="00234FBE">
                  <w:pPr>
                    <w:pStyle w:val="Figure"/>
                    <w:jc w:val="left"/>
                    <w:rPr>
                      <w:rFonts w:ascii="Arial" w:hAnsi="Arial"/>
                      <w:b/>
                      <w:sz w:val="20"/>
                    </w:rPr>
                  </w:pPr>
                  <w:r>
                    <w:rPr>
                      <w:rFonts w:ascii="Arial" w:hAnsi="Arial"/>
                      <w:b/>
                      <w:sz w:val="20"/>
                    </w:rPr>
                    <w:t>a</w:t>
                  </w:r>
                  <w:r w:rsidRPr="00BE5CDE">
                    <w:rPr>
                      <w:rFonts w:ascii="Arial" w:hAnsi="Arial"/>
                      <w:b/>
                      <w:sz w:val="20"/>
                    </w:rPr>
                    <w:t>)</w:t>
                  </w:r>
                  <w:r w:rsidRPr="00F92ED0">
                    <w:rPr>
                      <w:rFonts w:ascii="Arial" w:hAnsi="Arial"/>
                      <w:b/>
                      <w:sz w:val="20"/>
                    </w:rPr>
                    <w:t xml:space="preserve"> </w:t>
                  </w:r>
                  <w:r>
                    <w:rPr>
                      <w:rFonts w:ascii="Arial" w:hAnsi="Arial"/>
                      <w:b/>
                      <w:sz w:val="20"/>
                    </w:rPr>
                    <w:t xml:space="preserve">1 April </w:t>
                  </w:r>
                  <w:r w:rsidRPr="00F92ED0">
                    <w:rPr>
                      <w:rFonts w:ascii="Arial" w:hAnsi="Arial"/>
                      <w:b/>
                      <w:sz w:val="20"/>
                    </w:rPr>
                    <w:t xml:space="preserve">1997 to </w:t>
                  </w:r>
                  <w:r>
                    <w:rPr>
                      <w:rFonts w:ascii="Arial" w:hAnsi="Arial"/>
                      <w:b/>
                      <w:sz w:val="20"/>
                    </w:rPr>
                    <w:t xml:space="preserve">31 October </w:t>
                  </w:r>
                  <w:r w:rsidRPr="00F92ED0">
                    <w:rPr>
                      <w:rFonts w:ascii="Arial" w:hAnsi="Arial"/>
                      <w:b/>
                      <w:sz w:val="20"/>
                    </w:rPr>
                    <w:t>2009 (</w:t>
                  </w:r>
                  <w:r>
                    <w:rPr>
                      <w:rFonts w:ascii="Arial" w:hAnsi="Arial"/>
                      <w:b/>
                      <w:sz w:val="20"/>
                    </w:rPr>
                    <w:t xml:space="preserve">the </w:t>
                  </w:r>
                  <w:r w:rsidRPr="00F92ED0">
                    <w:rPr>
                      <w:rFonts w:ascii="Arial" w:hAnsi="Arial"/>
                      <w:b/>
                      <w:sz w:val="20"/>
                    </w:rPr>
                    <w:t>Millennium Drought)</w:t>
                  </w:r>
                  <w:r>
                    <w:rPr>
                      <w:rFonts w:ascii="Arial" w:hAnsi="Arial"/>
                      <w:b/>
                      <w:sz w:val="20"/>
                      <w:vertAlign w:val="superscript"/>
                    </w:rPr>
                    <w:t>b</w:t>
                  </w:r>
                </w:p>
                <w:p w14:paraId="7DC90F66" w14:textId="77777777" w:rsidR="001054C3" w:rsidRDefault="001054C3" w:rsidP="00234FBE">
                  <w:pPr>
                    <w:pStyle w:val="Figure"/>
                    <w:spacing w:before="60" w:after="60"/>
                    <w:jc w:val="left"/>
                  </w:pPr>
                  <w:r w:rsidRPr="000E0F29">
                    <w:rPr>
                      <w:b/>
                      <w:bCs/>
                      <w:noProof/>
                    </w:rPr>
                    <w:drawing>
                      <wp:inline distT="0" distB="0" distL="0" distR="0" wp14:anchorId="3E52ADDC" wp14:editId="525DCA90">
                        <wp:extent cx="5387340" cy="3124200"/>
                        <wp:effectExtent l="0" t="0" r="0" b="0"/>
                        <wp:docPr id="16" name="Picture 16" descr="Figure 2.1. Panel A. This figure shows a map of Australia with shaded sections depicting rainfall deciles from 1 April 1997 to 31 October 2009 (the Millennium Drought). Most of the northern and western parts of Australia had rainfall that was above average, very much above average or the highest on record, while most of the southern and eastern parts of Australia had rainfall that was average, below average, very much below average, or the lowest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1. Panel A. This figure shows a map of Australia with shaded sections depicting rainfall deciles from 1 April 1997 to 31 October 2009 (the Millennium Drought). Most of the northern and western parts of Australia had rainfall that was above average, very much above average or the highest on record, while most of the southern and eastern parts of Australia had rainfall that was average, below average, very much below average, or the lowest on reco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7340" cy="3124200"/>
                                </a:xfrm>
                                <a:prstGeom prst="rect">
                                  <a:avLst/>
                                </a:prstGeom>
                                <a:noFill/>
                                <a:ln>
                                  <a:noFill/>
                                </a:ln>
                              </pic:spPr>
                            </pic:pic>
                          </a:graphicData>
                        </a:graphic>
                      </wp:inline>
                    </w:drawing>
                  </w:r>
                  <w:r w:rsidRPr="00F92ED0">
                    <w:rPr>
                      <w:b/>
                      <w:bCs/>
                    </w:rPr>
                    <w:t xml:space="preserve"> </w:t>
                  </w:r>
                  <w:r>
                    <w:rPr>
                      <w:rFonts w:ascii="Arial" w:hAnsi="Arial"/>
                      <w:b/>
                      <w:sz w:val="20"/>
                    </w:rPr>
                    <w:t xml:space="preserve">b) 1 January </w:t>
                  </w:r>
                  <w:r w:rsidRPr="00F92ED0">
                    <w:rPr>
                      <w:rFonts w:ascii="Arial" w:hAnsi="Arial"/>
                      <w:b/>
                      <w:sz w:val="20"/>
                    </w:rPr>
                    <w:t xml:space="preserve">2017 to </w:t>
                  </w:r>
                  <w:r>
                    <w:rPr>
                      <w:rFonts w:ascii="Arial" w:hAnsi="Arial"/>
                      <w:b/>
                      <w:sz w:val="20"/>
                    </w:rPr>
                    <w:t xml:space="preserve">31 December </w:t>
                  </w:r>
                  <w:r w:rsidRPr="00F92ED0">
                    <w:rPr>
                      <w:rFonts w:ascii="Arial" w:hAnsi="Arial"/>
                      <w:b/>
                      <w:sz w:val="20"/>
                    </w:rPr>
                    <w:t>2019</w:t>
                  </w:r>
                  <w:r>
                    <w:rPr>
                      <w:rFonts w:ascii="Arial" w:hAnsi="Arial"/>
                      <w:b/>
                      <w:sz w:val="20"/>
                      <w:vertAlign w:val="superscript"/>
                    </w:rPr>
                    <w:t>c</w:t>
                  </w:r>
                </w:p>
                <w:p w14:paraId="2560B25E" w14:textId="77777777" w:rsidR="001054C3" w:rsidRPr="00B1465D" w:rsidRDefault="001054C3" w:rsidP="00234FBE">
                  <w:pPr>
                    <w:pStyle w:val="Figure"/>
                    <w:spacing w:before="60" w:after="60"/>
                    <w:rPr>
                      <w:rFonts w:ascii="Arial" w:hAnsi="Arial" w:cs="Arial"/>
                      <w:sz w:val="18"/>
                      <w:szCs w:val="18"/>
                    </w:rPr>
                  </w:pPr>
                  <w:r w:rsidRPr="000E0F29">
                    <w:rPr>
                      <w:rFonts w:ascii="Arial" w:hAnsi="Arial" w:cs="Arial"/>
                      <w:noProof/>
                      <w:sz w:val="18"/>
                      <w:szCs w:val="18"/>
                    </w:rPr>
                    <w:drawing>
                      <wp:inline distT="0" distB="0" distL="0" distR="0" wp14:anchorId="50A36D1A" wp14:editId="177A526F">
                        <wp:extent cx="5067300" cy="2979420"/>
                        <wp:effectExtent l="0" t="0" r="0" b="0"/>
                        <wp:docPr id="18" name="Picture 18" descr="Figure 2.1. Panel B. This figure shows a map of Australia with shaded sections depicting rainfall deciles from 1 January 2017 to 31 December 2019. Most of the central and south-eastern parts of Australia had rainfall that was below average, very much below average, or the lowest on record, while much of the rest of the country had average rainfall, although rainfall ranged from lowest on record to highest on record in across different parts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1. Panel B. This figure shows a map of Australia with shaded sections depicting rainfall deciles from 1 January 2017 to 31 December 2019. Most of the central and south-eastern parts of Australia had rainfall that was below average, very much below average, or the lowest on record, while much of the rest of the country had average rainfall, although rainfall ranged from lowest on record to highest on record in across different parts of the count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7300" cy="2979420"/>
                                </a:xfrm>
                                <a:prstGeom prst="rect">
                                  <a:avLst/>
                                </a:prstGeom>
                                <a:noFill/>
                                <a:ln>
                                  <a:noFill/>
                                </a:ln>
                              </pic:spPr>
                            </pic:pic>
                          </a:graphicData>
                        </a:graphic>
                      </wp:inline>
                    </w:drawing>
                  </w:r>
                </w:p>
              </w:tc>
            </w:tr>
          </w:tbl>
          <w:p w14:paraId="7CB75CFE" w14:textId="77777777" w:rsidR="001054C3" w:rsidRDefault="001054C3" w:rsidP="00234FBE">
            <w:pPr>
              <w:pStyle w:val="Figure"/>
            </w:pPr>
          </w:p>
        </w:tc>
      </w:tr>
      <w:tr w:rsidR="001054C3" w:rsidRPr="00176D3F" w14:paraId="6AEFEDB2" w14:textId="77777777" w:rsidTr="00234FBE">
        <w:tc>
          <w:tcPr>
            <w:tcW w:w="5000" w:type="pct"/>
            <w:tcBorders>
              <w:top w:val="nil"/>
              <w:left w:val="nil"/>
              <w:bottom w:val="nil"/>
              <w:right w:val="nil"/>
            </w:tcBorders>
            <w:shd w:val="clear" w:color="auto" w:fill="auto"/>
          </w:tcPr>
          <w:p w14:paraId="01A9D228" w14:textId="77777777" w:rsidR="001054C3" w:rsidRPr="00176D3F" w:rsidRDefault="001054C3" w:rsidP="00234FBE">
            <w:pPr>
              <w:pStyle w:val="Note"/>
            </w:pPr>
            <w:r>
              <w:rPr>
                <w:rStyle w:val="NoteLabel"/>
              </w:rPr>
              <w:t>a</w:t>
            </w:r>
            <w:r>
              <w:t xml:space="preserve"> A decile map shows where rainfall is above average, average or below average for the selected period, in comparison with selected historical records. </w:t>
            </w:r>
            <w:r>
              <w:rPr>
                <w:rStyle w:val="NoteLabel"/>
              </w:rPr>
              <w:t>b</w:t>
            </w:r>
            <w:r w:rsidRPr="00821601" w:rsidDel="000746A6">
              <w:t xml:space="preserve"> </w:t>
            </w:r>
            <w:r>
              <w:t xml:space="preserve">Historical records from 1900 to March 2015. </w:t>
            </w:r>
            <w:r>
              <w:rPr>
                <w:rStyle w:val="NoteLabel"/>
              </w:rPr>
              <w:t>c</w:t>
            </w:r>
            <w:r>
              <w:t xml:space="preserve"> Historical records from 1900 to March 2020.</w:t>
            </w:r>
          </w:p>
        </w:tc>
      </w:tr>
      <w:tr w:rsidR="001054C3" w:rsidRPr="00176D3F" w14:paraId="4243EEF1" w14:textId="77777777" w:rsidTr="00234FBE">
        <w:tc>
          <w:tcPr>
            <w:tcW w:w="5000" w:type="pct"/>
            <w:tcBorders>
              <w:top w:val="nil"/>
              <w:left w:val="nil"/>
              <w:bottom w:val="nil"/>
              <w:right w:val="nil"/>
            </w:tcBorders>
            <w:shd w:val="clear" w:color="auto" w:fill="auto"/>
          </w:tcPr>
          <w:p w14:paraId="117EA31B" w14:textId="12D97584" w:rsidR="001054C3" w:rsidRPr="00176D3F" w:rsidRDefault="001054C3" w:rsidP="00234FBE">
            <w:pPr>
              <w:pStyle w:val="Source"/>
            </w:pPr>
            <w:r>
              <w:rPr>
                <w:i/>
              </w:rPr>
              <w:t>S</w:t>
            </w:r>
            <w:r w:rsidRPr="00784A05">
              <w:rPr>
                <w:i/>
              </w:rPr>
              <w:t>ource</w:t>
            </w:r>
            <w:r>
              <w:rPr>
                <w:i/>
              </w:rPr>
              <w:t>s</w:t>
            </w:r>
            <w:r w:rsidRPr="00176D3F">
              <w:t>:</w:t>
            </w:r>
            <w:r>
              <w:t xml:space="preserve"> BOM </w:t>
            </w:r>
            <w:r w:rsidRPr="00D411B0">
              <w:rPr>
                <w:rFonts w:cs="Arial"/>
              </w:rPr>
              <w:t>(2015)</w:t>
            </w:r>
            <w:r>
              <w:t xml:space="preserve"> (panel a); BOM</w:t>
            </w:r>
            <w:r w:rsidRPr="00176D3F">
              <w:t xml:space="preserve"> </w:t>
            </w:r>
            <w:r w:rsidR="00C67DB3" w:rsidRPr="00C67DB3">
              <w:rPr>
                <w:rFonts w:cs="Arial"/>
              </w:rPr>
              <w:t>(2020c)</w:t>
            </w:r>
            <w:r>
              <w:t xml:space="preserve"> (panel b).</w:t>
            </w:r>
          </w:p>
        </w:tc>
      </w:tr>
      <w:tr w:rsidR="001054C3" w14:paraId="008747E9" w14:textId="77777777" w:rsidTr="00234FBE">
        <w:tc>
          <w:tcPr>
            <w:tcW w:w="5000" w:type="pct"/>
            <w:tcBorders>
              <w:top w:val="nil"/>
              <w:left w:val="nil"/>
              <w:bottom w:val="single" w:sz="6" w:space="0" w:color="78A22F" w:themeColor="accent1"/>
              <w:right w:val="nil"/>
            </w:tcBorders>
            <w:shd w:val="clear" w:color="auto" w:fill="auto"/>
          </w:tcPr>
          <w:p w14:paraId="43326CDE" w14:textId="77777777" w:rsidR="001054C3" w:rsidRDefault="001054C3" w:rsidP="00234FBE">
            <w:pPr>
              <w:pStyle w:val="Figurespace"/>
            </w:pPr>
          </w:p>
        </w:tc>
      </w:tr>
      <w:tr w:rsidR="001054C3" w:rsidRPr="000863A5" w14:paraId="4DF54D22" w14:textId="77777777" w:rsidTr="00234FBE">
        <w:tc>
          <w:tcPr>
            <w:tcW w:w="5000" w:type="pct"/>
            <w:tcBorders>
              <w:top w:val="single" w:sz="6" w:space="0" w:color="78A22F" w:themeColor="accent1"/>
              <w:left w:val="nil"/>
              <w:bottom w:val="nil"/>
              <w:right w:val="nil"/>
            </w:tcBorders>
          </w:tcPr>
          <w:p w14:paraId="60DE5F27" w14:textId="77777777" w:rsidR="001054C3" w:rsidRPr="00626D32" w:rsidRDefault="001054C3" w:rsidP="00234FBE">
            <w:pPr>
              <w:pStyle w:val="BoxSpaceBelow"/>
            </w:pPr>
          </w:p>
        </w:tc>
      </w:tr>
    </w:tbl>
    <w:p w14:paraId="569D0138"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4418FF34" w14:textId="77777777" w:rsidTr="00234FBE">
        <w:trPr>
          <w:tblHeader/>
        </w:trPr>
        <w:tc>
          <w:tcPr>
            <w:tcW w:w="5000" w:type="pct"/>
            <w:tcBorders>
              <w:top w:val="single" w:sz="6" w:space="0" w:color="78A22F" w:themeColor="accent1"/>
              <w:left w:val="nil"/>
              <w:bottom w:val="nil"/>
              <w:right w:val="nil"/>
            </w:tcBorders>
            <w:shd w:val="clear" w:color="auto" w:fill="auto"/>
          </w:tcPr>
          <w:p w14:paraId="6044A273" w14:textId="77777777" w:rsidR="001054C3" w:rsidRPr="00176D3F" w:rsidRDefault="001054C3" w:rsidP="00234FBE">
            <w:pPr>
              <w:pStyle w:val="FigureTitle"/>
            </w:pPr>
            <w:r w:rsidRPr="00784A05">
              <w:rPr>
                <w:b w:val="0"/>
              </w:rPr>
              <w:t xml:space="preserve">Figure </w:t>
            </w:r>
            <w:r>
              <w:rPr>
                <w:b w:val="0"/>
              </w:rPr>
              <w:t>2.2</w:t>
            </w:r>
            <w:r>
              <w:tab/>
            </w:r>
            <w:r w:rsidRPr="00DB5C88">
              <w:t>Many regional towns in N</w:t>
            </w:r>
            <w:r>
              <w:t xml:space="preserve">ew </w:t>
            </w:r>
            <w:r w:rsidRPr="00DB5C88">
              <w:t>S</w:t>
            </w:r>
            <w:r>
              <w:t xml:space="preserve">outh </w:t>
            </w:r>
            <w:r w:rsidRPr="00DB5C88">
              <w:t>W</w:t>
            </w:r>
            <w:r>
              <w:t>ales</w:t>
            </w:r>
            <w:r w:rsidRPr="00DB5C88">
              <w:t xml:space="preserve"> received emergency relief</w:t>
            </w:r>
            <w:r>
              <w:t xml:space="preserve"> for town water supplies</w:t>
            </w:r>
          </w:p>
        </w:tc>
      </w:tr>
      <w:tr w:rsidR="001054C3" w14:paraId="36877D71"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B1465D" w14:paraId="2C685F30" w14:textId="77777777" w:rsidTr="00234FBE">
              <w:trPr>
                <w:tblHeader/>
                <w:jc w:val="center"/>
              </w:trPr>
              <w:tc>
                <w:tcPr>
                  <w:tcW w:w="5000" w:type="pct"/>
                  <w:tcBorders>
                    <w:top w:val="nil"/>
                    <w:bottom w:val="nil"/>
                  </w:tcBorders>
                </w:tcPr>
                <w:p w14:paraId="0E03372D" w14:textId="77777777" w:rsidR="001054C3" w:rsidRPr="00B1465D" w:rsidRDefault="001054C3" w:rsidP="00234FBE">
                  <w:pPr>
                    <w:pStyle w:val="Figure"/>
                    <w:spacing w:before="60" w:after="60"/>
                    <w:rPr>
                      <w:rFonts w:ascii="Arial" w:hAnsi="Arial" w:cs="Arial"/>
                      <w:sz w:val="18"/>
                      <w:szCs w:val="18"/>
                    </w:rPr>
                  </w:pPr>
                  <w:r w:rsidRPr="00427007">
                    <w:rPr>
                      <w:rFonts w:ascii="Arial" w:hAnsi="Arial" w:cs="Arial"/>
                      <w:noProof/>
                      <w:sz w:val="18"/>
                      <w:szCs w:val="18"/>
                    </w:rPr>
                    <w:drawing>
                      <wp:inline distT="0" distB="0" distL="0" distR="0" wp14:anchorId="37A6F650" wp14:editId="1B442BEA">
                        <wp:extent cx="5387340" cy="3596640"/>
                        <wp:effectExtent l="0" t="0" r="3810" b="3810"/>
                        <wp:docPr id="15" name="Picture 15" descr="Figure 2.2. This figure shows a map of New South Wales, with small inverted red triangles marking regional towns that received water carting, and small blue circles marking towns that received o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7340" cy="3596640"/>
                                </a:xfrm>
                                <a:prstGeom prst="rect">
                                  <a:avLst/>
                                </a:prstGeom>
                                <a:noFill/>
                                <a:ln>
                                  <a:noFill/>
                                </a:ln>
                              </pic:spPr>
                            </pic:pic>
                          </a:graphicData>
                        </a:graphic>
                      </wp:inline>
                    </w:drawing>
                  </w:r>
                  <w:r w:rsidRPr="00E37FAB" w:rsidDel="00E37FAB">
                    <w:rPr>
                      <w:rFonts w:ascii="Arial" w:hAnsi="Arial" w:cs="Arial"/>
                      <w:noProof/>
                      <w:sz w:val="18"/>
                      <w:szCs w:val="18"/>
                    </w:rPr>
                    <w:t xml:space="preserve"> </w:t>
                  </w:r>
                </w:p>
              </w:tc>
            </w:tr>
          </w:tbl>
          <w:p w14:paraId="3B1883DD" w14:textId="77777777" w:rsidR="001054C3" w:rsidRDefault="001054C3" w:rsidP="00234FBE">
            <w:pPr>
              <w:pStyle w:val="Figure"/>
            </w:pPr>
          </w:p>
        </w:tc>
      </w:tr>
      <w:tr w:rsidR="001054C3" w:rsidRPr="00176D3F" w14:paraId="7AE4EECD" w14:textId="77777777" w:rsidTr="00234FBE">
        <w:tc>
          <w:tcPr>
            <w:tcW w:w="5000" w:type="pct"/>
            <w:tcBorders>
              <w:top w:val="nil"/>
              <w:left w:val="nil"/>
              <w:bottom w:val="nil"/>
              <w:right w:val="nil"/>
            </w:tcBorders>
            <w:shd w:val="clear" w:color="auto" w:fill="auto"/>
          </w:tcPr>
          <w:p w14:paraId="06E42ED2" w14:textId="41648071" w:rsidR="001054C3" w:rsidRPr="00176D3F" w:rsidRDefault="001054C3" w:rsidP="00234FBE">
            <w:pPr>
              <w:pStyle w:val="Source"/>
            </w:pPr>
            <w:r>
              <w:rPr>
                <w:i/>
              </w:rPr>
              <w:t>S</w:t>
            </w:r>
            <w:r w:rsidRPr="00784A05">
              <w:rPr>
                <w:i/>
              </w:rPr>
              <w:t>ource</w:t>
            </w:r>
            <w:r w:rsidRPr="00176D3F">
              <w:t>:</w:t>
            </w:r>
            <w:r>
              <w:t xml:space="preserve"> </w:t>
            </w:r>
            <w:r w:rsidRPr="00EE66F6">
              <w:t>DPIE (NSW)</w:t>
            </w:r>
            <w:r>
              <w:t xml:space="preserve"> </w:t>
            </w:r>
            <w:r w:rsidRPr="00EE66F6">
              <w:rPr>
                <w:rFonts w:cs="Arial"/>
              </w:rPr>
              <w:t>(2020)</w:t>
            </w:r>
            <w:r>
              <w:t xml:space="preserve">. </w:t>
            </w:r>
          </w:p>
        </w:tc>
      </w:tr>
      <w:tr w:rsidR="001054C3" w14:paraId="074F7CBE" w14:textId="77777777" w:rsidTr="00234FBE">
        <w:tc>
          <w:tcPr>
            <w:tcW w:w="5000" w:type="pct"/>
            <w:tcBorders>
              <w:top w:val="nil"/>
              <w:left w:val="nil"/>
              <w:bottom w:val="single" w:sz="6" w:space="0" w:color="78A22F" w:themeColor="accent1"/>
              <w:right w:val="nil"/>
            </w:tcBorders>
            <w:shd w:val="clear" w:color="auto" w:fill="auto"/>
          </w:tcPr>
          <w:p w14:paraId="3BAA175F" w14:textId="77777777" w:rsidR="001054C3" w:rsidRDefault="001054C3" w:rsidP="00234FBE">
            <w:pPr>
              <w:pStyle w:val="Figurespace"/>
            </w:pPr>
          </w:p>
        </w:tc>
      </w:tr>
      <w:tr w:rsidR="001054C3" w:rsidRPr="000863A5" w14:paraId="07D8DDEC" w14:textId="77777777" w:rsidTr="00234FBE">
        <w:tc>
          <w:tcPr>
            <w:tcW w:w="5000" w:type="pct"/>
            <w:tcBorders>
              <w:top w:val="single" w:sz="6" w:space="0" w:color="78A22F" w:themeColor="accent1"/>
              <w:left w:val="nil"/>
              <w:bottom w:val="nil"/>
              <w:right w:val="nil"/>
            </w:tcBorders>
          </w:tcPr>
          <w:p w14:paraId="0F7147B7" w14:textId="77777777" w:rsidR="001054C3" w:rsidRPr="00626D32" w:rsidRDefault="001054C3" w:rsidP="00234FBE">
            <w:pPr>
              <w:pStyle w:val="BoxSpaceBelow"/>
            </w:pPr>
          </w:p>
        </w:tc>
      </w:tr>
    </w:tbl>
    <w:p w14:paraId="25C6612E" w14:textId="77777777" w:rsidR="001054C3" w:rsidRPr="007514ED" w:rsidRDefault="001054C3" w:rsidP="00234FBE">
      <w:pPr>
        <w:pStyle w:val="Heading3"/>
      </w:pPr>
      <w:r>
        <w:t>More extreme events align</w:t>
      </w:r>
      <w:r w:rsidRPr="007514ED">
        <w:t xml:space="preserve"> with evidence of changing climates</w:t>
      </w:r>
    </w:p>
    <w:p w14:paraId="468AEF43" w14:textId="77777777" w:rsidR="001054C3" w:rsidRDefault="001054C3" w:rsidP="00234FBE">
      <w:pPr>
        <w:pStyle w:val="BodyText"/>
      </w:pPr>
      <w:r>
        <w:t xml:space="preserve">Severe droughts, floods and water shortages fit with the signs of a changing climate, including </w:t>
      </w:r>
      <w:r w:rsidRPr="00860CAC">
        <w:t xml:space="preserve">higher temperatures, changing rainfall patterns and reduced </w:t>
      </w:r>
      <w:r>
        <w:t>water availability</w:t>
      </w:r>
      <w:r w:rsidRPr="00860CAC">
        <w:t>.</w:t>
      </w:r>
      <w:r w:rsidRPr="002162AF">
        <w:rPr>
          <w:rStyle w:val="FootnoteReference"/>
        </w:rPr>
        <w:footnoteReference w:id="9"/>
      </w:r>
    </w:p>
    <w:p w14:paraId="5B09B71A" w14:textId="290FC3AC" w:rsidR="001054C3" w:rsidRDefault="001054C3" w:rsidP="00234FBE">
      <w:pPr>
        <w:pStyle w:val="BodyText"/>
      </w:pPr>
      <w:r w:rsidRPr="00190AB6">
        <w:t xml:space="preserve">Australia’s climate </w:t>
      </w:r>
      <w:r>
        <w:t>is warming. A</w:t>
      </w:r>
      <w:r w:rsidRPr="00190AB6">
        <w:t xml:space="preserve">verage </w:t>
      </w:r>
      <w:r>
        <w:t xml:space="preserve">temperatures have increased by </w:t>
      </w:r>
      <w:r w:rsidRPr="00190AB6">
        <w:t>1.44</w:t>
      </w:r>
      <w:r>
        <w:t xml:space="preserve"> degrees Celsius</w:t>
      </w:r>
      <w:r w:rsidRPr="00190AB6">
        <w:t xml:space="preserve"> since</w:t>
      </w:r>
      <w:r>
        <w:t xml:space="preserve"> national records began in 1910 and warming has been observed ‘across Australia in all </w:t>
      </w:r>
      <w:r w:rsidRPr="00342104">
        <w:rPr>
          <w:spacing w:val="-2"/>
        </w:rPr>
        <w:t>months with both day and night</w:t>
      </w:r>
      <w:r>
        <w:rPr>
          <w:spacing w:val="-2"/>
        </w:rPr>
        <w:noBreakHyphen/>
      </w:r>
      <w:r w:rsidRPr="00342104">
        <w:rPr>
          <w:spacing w:val="-2"/>
        </w:rPr>
        <w:t xml:space="preserve">time temperatures increasing’ </w:t>
      </w:r>
      <w:r w:rsidRPr="00342104">
        <w:rPr>
          <w:spacing w:val="-2"/>
          <w:szCs w:val="24"/>
        </w:rPr>
        <w:t>(BOM and CSIRO 2020, p. 4)</w:t>
      </w:r>
      <w:r w:rsidRPr="00342104">
        <w:rPr>
          <w:spacing w:val="-2"/>
        </w:rPr>
        <w:t>.</w:t>
      </w:r>
    </w:p>
    <w:p w14:paraId="1EC25184" w14:textId="1CD5FF83" w:rsidR="001054C3" w:rsidRDefault="001054C3" w:rsidP="00234FBE">
      <w:pPr>
        <w:pStyle w:val="BodyText"/>
      </w:pPr>
      <w:r>
        <w:t xml:space="preserve">Increased temperatures have been accompanied by an increased </w:t>
      </w:r>
      <w:r w:rsidRPr="00190AB6">
        <w:t xml:space="preserve">frequency of extreme heat </w:t>
      </w:r>
      <w:r>
        <w:t xml:space="preserve">and fire </w:t>
      </w:r>
      <w:r w:rsidRPr="00190AB6">
        <w:t>events</w:t>
      </w:r>
      <w:r>
        <w:t>. T</w:t>
      </w:r>
      <w:r w:rsidRPr="00190AB6">
        <w:t xml:space="preserve">he length of the </w:t>
      </w:r>
      <w:r>
        <w:t xml:space="preserve">average </w:t>
      </w:r>
      <w:r w:rsidRPr="00190AB6">
        <w:t>fire season</w:t>
      </w:r>
      <w:r>
        <w:t xml:space="preserve"> has increased </w:t>
      </w:r>
      <w:r w:rsidRPr="00190AB6">
        <w:t>across large parts of Australia since the 1950s, especially in southern Australia</w:t>
      </w:r>
      <w:r>
        <w:t xml:space="preserve"> </w:t>
      </w:r>
      <w:r w:rsidRPr="0096365E">
        <w:rPr>
          <w:szCs w:val="24"/>
        </w:rPr>
        <w:t>(BOM and CSIRO 2020, p. 2)</w:t>
      </w:r>
      <w:r w:rsidRPr="00190AB6">
        <w:t>.</w:t>
      </w:r>
      <w:r>
        <w:t xml:space="preserve"> And climate change is also contributing to considerable year</w:t>
      </w:r>
      <w:r>
        <w:noBreakHyphen/>
        <w:t>to</w:t>
      </w:r>
      <w:r>
        <w:noBreakHyphen/>
        <w:t>year volatility in temperature and humidity, possibly leading to more frequent severe bushfire seasons such as that experienced in 2019</w:t>
      </w:r>
      <w:r>
        <w:noBreakHyphen/>
        <w:t xml:space="preserve">20 </w:t>
      </w:r>
      <w:r w:rsidRPr="00CF1AC0">
        <w:rPr>
          <w:szCs w:val="24"/>
        </w:rPr>
        <w:t>(BOM and CSIRO 2020, p. 5)</w:t>
      </w:r>
      <w:r>
        <w:t>.</w:t>
      </w:r>
    </w:p>
    <w:p w14:paraId="1FBDEC1A" w14:textId="1AD38CFD" w:rsidR="001054C3" w:rsidRDefault="001054C3" w:rsidP="00234FBE">
      <w:pPr>
        <w:pStyle w:val="BodyText"/>
      </w:pPr>
      <w:r>
        <w:lastRenderedPageBreak/>
        <w:t xml:space="preserve">The changing climate is also increasing the frequency and intensity of severe rainfall events </w:t>
      </w:r>
      <w:r w:rsidRPr="00F032AE">
        <w:rPr>
          <w:szCs w:val="24"/>
        </w:rPr>
        <w:t>(CSIRO 2020)</w:t>
      </w:r>
      <w:r>
        <w:t>.</w:t>
      </w:r>
      <w:r w:rsidRPr="005C2B4A">
        <w:t xml:space="preserve"> </w:t>
      </w:r>
      <w:r>
        <w:t>This will lead to more extreme flood events (such as in March 2021), particularly in paved urban areas where hard surfaces exacerbate water flow (Stormwater Shepherds, sub. DR163, p. 1).</w:t>
      </w:r>
    </w:p>
    <w:p w14:paraId="54176F4B" w14:textId="77777777" w:rsidR="001054C3" w:rsidRDefault="001054C3" w:rsidP="00234FBE">
      <w:pPr>
        <w:pStyle w:val="BodyText"/>
      </w:pPr>
      <w:r>
        <w:t xml:space="preserve">While </w:t>
      </w:r>
      <w:r w:rsidRPr="00227EA7">
        <w:t>rainfall is highly variable</w:t>
      </w:r>
      <w:r>
        <w:t xml:space="preserve">, shifts in </w:t>
      </w:r>
      <w:r w:rsidRPr="00227EA7">
        <w:t>long‑term trends are evident.</w:t>
      </w:r>
      <w:r>
        <w:t xml:space="preserve"> Average April to October rainfall levels in much of southern Australia over the past 20 years have been in the lowest decile of observations collected since 1900 (figure 2.3, panel a). In contrast, rainfall has increased in northern Australia throughout the year, especially in the northwest during the northern wet season (October to April) (figure 2.3, panel b)</w:t>
      </w:r>
      <w:r w:rsidRPr="00E67231">
        <w:t>.</w:t>
      </w:r>
    </w:p>
    <w:p w14:paraId="221585E3"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7B33B941" w14:textId="77777777" w:rsidTr="00234FBE">
        <w:trPr>
          <w:tblHeader/>
        </w:trPr>
        <w:tc>
          <w:tcPr>
            <w:tcW w:w="5000" w:type="pct"/>
            <w:tcBorders>
              <w:top w:val="single" w:sz="6" w:space="0" w:color="78A22F" w:themeColor="accent1"/>
              <w:left w:val="nil"/>
              <w:bottom w:val="nil"/>
              <w:right w:val="nil"/>
            </w:tcBorders>
            <w:shd w:val="clear" w:color="auto" w:fill="auto"/>
          </w:tcPr>
          <w:p w14:paraId="2EBE0FAF" w14:textId="77777777" w:rsidR="001054C3" w:rsidRDefault="001054C3" w:rsidP="00234FBE">
            <w:pPr>
              <w:pStyle w:val="FigureTitle"/>
            </w:pPr>
            <w:r w:rsidRPr="00784A05">
              <w:rPr>
                <w:b w:val="0"/>
              </w:rPr>
              <w:t xml:space="preserve">Figure </w:t>
            </w:r>
            <w:r>
              <w:rPr>
                <w:b w:val="0"/>
              </w:rPr>
              <w:t>2.3</w:t>
            </w:r>
            <w:r>
              <w:tab/>
              <w:t>Drier southern winters and wetter wet seasons highlight the varied effects of Australia’s changing climate</w:t>
            </w:r>
            <w:r w:rsidRPr="00DB5C47">
              <w:rPr>
                <w:rStyle w:val="NoteLabel"/>
                <w:b/>
              </w:rPr>
              <w:t>a,b</w:t>
            </w:r>
          </w:p>
          <w:p w14:paraId="4C6C8B95" w14:textId="77777777" w:rsidR="001054C3" w:rsidRPr="00176D3F" w:rsidRDefault="001054C3" w:rsidP="00234FBE">
            <w:pPr>
              <w:pStyle w:val="Subtitle"/>
            </w:pPr>
            <w:r>
              <w:t xml:space="preserve">Rainfall deciles, 2000–2019 </w:t>
            </w:r>
            <w:r w:rsidRPr="006B19C7">
              <w:t>in comparison with the entire record from 1900</w:t>
            </w:r>
          </w:p>
        </w:tc>
      </w:tr>
      <w:tr w:rsidR="001054C3" w14:paraId="4FE4B3A9" w14:textId="77777777" w:rsidTr="00234FBE">
        <w:tc>
          <w:tcPr>
            <w:tcW w:w="5000" w:type="pct"/>
            <w:tcBorders>
              <w:top w:val="nil"/>
              <w:left w:val="nil"/>
              <w:bottom w:val="nil"/>
              <w:right w:val="nil"/>
            </w:tcBorders>
            <w:shd w:val="clear" w:color="auto" w:fill="auto"/>
            <w:tcMar>
              <w:top w:w="28" w:type="dxa"/>
              <w:bottom w:w="28" w:type="dxa"/>
            </w:tcMar>
          </w:tcPr>
          <w:p w14:paraId="0A56E28F" w14:textId="77777777" w:rsidR="001054C3" w:rsidRDefault="001054C3" w:rsidP="00234FBE">
            <w:r w:rsidRPr="00BE5CDE">
              <w:rPr>
                <w:rFonts w:ascii="Arial" w:hAnsi="Arial"/>
                <w:b/>
                <w:sz w:val="20"/>
              </w:rPr>
              <w:t>a) April to October                                                        b) October to April</w:t>
            </w:r>
          </w:p>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B1465D" w14:paraId="6AA27D70" w14:textId="77777777" w:rsidTr="00234FBE">
              <w:trPr>
                <w:tblHeader/>
                <w:jc w:val="center"/>
              </w:trPr>
              <w:tc>
                <w:tcPr>
                  <w:tcW w:w="5000" w:type="pct"/>
                  <w:tcBorders>
                    <w:top w:val="nil"/>
                    <w:bottom w:val="nil"/>
                  </w:tcBorders>
                </w:tcPr>
                <w:p w14:paraId="423E49D0" w14:textId="370AEDC1" w:rsidR="001054C3" w:rsidRPr="00B1465D" w:rsidRDefault="00286F1B" w:rsidP="00234FBE">
                  <w:pPr>
                    <w:pStyle w:val="Figure"/>
                    <w:spacing w:before="60" w:after="60"/>
                    <w:rPr>
                      <w:rFonts w:ascii="Arial" w:hAnsi="Arial" w:cs="Arial"/>
                      <w:sz w:val="18"/>
                      <w:szCs w:val="18"/>
                    </w:rPr>
                  </w:pPr>
                  <w:r w:rsidRPr="00286F1B">
                    <w:rPr>
                      <w:rFonts w:ascii="Arial" w:hAnsi="Arial" w:cs="Arial"/>
                      <w:noProof/>
                      <w:sz w:val="18"/>
                      <w:szCs w:val="18"/>
                    </w:rPr>
                    <w:drawing>
                      <wp:inline distT="0" distB="0" distL="0" distR="0" wp14:anchorId="1A195ACF" wp14:editId="279C6CE9">
                        <wp:extent cx="5374005" cy="2475865"/>
                        <wp:effectExtent l="0" t="0" r="0" b="0"/>
                        <wp:docPr id="36" name="Picture 36" descr="Figure 2.3. This figure shows maps of Australia with rainfall deciles for 2000 to 2019 compared with the entire historical record from 1990. Panel a shows deciles for April to October, while panel b shows deciles from October to April. In panel a, the northern part of the country largely received above average rainfall, while the central and southern parts of the country generally received rainfall that was below average, very much below average, or the lowest on record. In panel b, the western and central parts of Australia generally received rainfall that was above average or very much above average, while the eastern part largely received average rainfall, although parts of south-eastern Australia  had rainfall that was very much below average or the lowest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2.3. This figure shows maps of Australia with rainfall deciles for 2000 to 2019 compared with the entire historical record from 1990. Panel a shows deciles for April to October, while panel b shows deciles from October to April. In panel a, the northern part of the country largely received above average rainfall, while the central and southern parts of the country generally received rainfall that was below average, very much below average, or the lowest on record. In panel b, the western and central parts of Australia generally received rainfall that was above average or very much above average, while the eastern part largely received average rainfall, although parts of south-eastern Australia  had rainfall that was very much below average or the lowest on recor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4005" cy="2475865"/>
                                </a:xfrm>
                                <a:prstGeom prst="rect">
                                  <a:avLst/>
                                </a:prstGeom>
                                <a:noFill/>
                                <a:ln>
                                  <a:noFill/>
                                </a:ln>
                              </pic:spPr>
                            </pic:pic>
                          </a:graphicData>
                        </a:graphic>
                      </wp:inline>
                    </w:drawing>
                  </w:r>
                </w:p>
              </w:tc>
            </w:tr>
          </w:tbl>
          <w:p w14:paraId="76B31976" w14:textId="77777777" w:rsidR="001054C3" w:rsidRDefault="001054C3" w:rsidP="00234FBE">
            <w:pPr>
              <w:pStyle w:val="Figure"/>
            </w:pPr>
          </w:p>
        </w:tc>
      </w:tr>
      <w:tr w:rsidR="001054C3" w:rsidRPr="00176D3F" w14:paraId="426532F4" w14:textId="77777777" w:rsidTr="00234FBE">
        <w:tc>
          <w:tcPr>
            <w:tcW w:w="5000" w:type="pct"/>
            <w:tcBorders>
              <w:top w:val="nil"/>
              <w:left w:val="nil"/>
              <w:bottom w:val="nil"/>
              <w:right w:val="nil"/>
            </w:tcBorders>
            <w:shd w:val="clear" w:color="auto" w:fill="auto"/>
          </w:tcPr>
          <w:p w14:paraId="13CD3489" w14:textId="77777777" w:rsidR="001054C3" w:rsidRPr="00176D3F" w:rsidRDefault="001054C3" w:rsidP="00234FBE">
            <w:pPr>
              <w:pStyle w:val="Note"/>
            </w:pPr>
            <w:r>
              <w:rPr>
                <w:rStyle w:val="NoteLabel"/>
              </w:rPr>
              <w:t>a</w:t>
            </w:r>
            <w:r w:rsidRPr="005F388C">
              <w:t xml:space="preserve"> </w:t>
            </w:r>
            <w:r>
              <w:t xml:space="preserve">A </w:t>
            </w:r>
            <w:r w:rsidRPr="005F388C">
              <w:t>decile map shows where rainfall is above average, average or below average for the selected period (2000–2019), in comparison with the selected historical record (1900</w:t>
            </w:r>
            <w:r>
              <w:t>–</w:t>
            </w:r>
            <w:r w:rsidRPr="005F388C">
              <w:t xml:space="preserve">2019). </w:t>
            </w:r>
            <w:r w:rsidRPr="008553AC">
              <w:rPr>
                <w:rStyle w:val="NoteLabel"/>
              </w:rPr>
              <w:t>b</w:t>
            </w:r>
            <w:r w:rsidRPr="005F388C">
              <w:t xml:space="preserve"> In panel a, areas across northern and central Australia that receive</w:t>
            </w:r>
            <w:r>
              <w:t>d</w:t>
            </w:r>
            <w:r w:rsidRPr="005F388C">
              <w:t xml:space="preserve"> less than 40 per cent of their annual rainfall during April to October are faded.</w:t>
            </w:r>
          </w:p>
        </w:tc>
      </w:tr>
      <w:tr w:rsidR="001054C3" w:rsidRPr="00176D3F" w14:paraId="74A36195" w14:textId="77777777" w:rsidTr="00234FBE">
        <w:tc>
          <w:tcPr>
            <w:tcW w:w="5000" w:type="pct"/>
            <w:tcBorders>
              <w:top w:val="nil"/>
              <w:left w:val="nil"/>
              <w:bottom w:val="nil"/>
              <w:right w:val="nil"/>
            </w:tcBorders>
            <w:shd w:val="clear" w:color="auto" w:fill="auto"/>
          </w:tcPr>
          <w:p w14:paraId="3F60838C" w14:textId="54A2E161" w:rsidR="001054C3" w:rsidRPr="00176D3F" w:rsidRDefault="001054C3" w:rsidP="00234FBE">
            <w:pPr>
              <w:pStyle w:val="Source"/>
            </w:pPr>
            <w:r>
              <w:rPr>
                <w:i/>
              </w:rPr>
              <w:t>S</w:t>
            </w:r>
            <w:r w:rsidRPr="00784A05">
              <w:rPr>
                <w:i/>
              </w:rPr>
              <w:t>ource</w:t>
            </w:r>
            <w:r w:rsidRPr="00176D3F">
              <w:t xml:space="preserve">: </w:t>
            </w:r>
            <w:r>
              <w:t xml:space="preserve">BOM and CSIRO </w:t>
            </w:r>
            <w:r w:rsidRPr="0007313F">
              <w:rPr>
                <w:rFonts w:cs="Arial"/>
                <w:szCs w:val="24"/>
              </w:rPr>
              <w:t>(2020, pp. 6–7)</w:t>
            </w:r>
            <w:r>
              <w:t>.</w:t>
            </w:r>
          </w:p>
        </w:tc>
      </w:tr>
      <w:tr w:rsidR="001054C3" w14:paraId="43126C41" w14:textId="77777777" w:rsidTr="00234FBE">
        <w:tc>
          <w:tcPr>
            <w:tcW w:w="5000" w:type="pct"/>
            <w:tcBorders>
              <w:top w:val="nil"/>
              <w:left w:val="nil"/>
              <w:bottom w:val="single" w:sz="6" w:space="0" w:color="78A22F" w:themeColor="accent1"/>
              <w:right w:val="nil"/>
            </w:tcBorders>
            <w:shd w:val="clear" w:color="auto" w:fill="auto"/>
          </w:tcPr>
          <w:p w14:paraId="3AE37529" w14:textId="77777777" w:rsidR="001054C3" w:rsidRDefault="001054C3" w:rsidP="00234FBE">
            <w:pPr>
              <w:pStyle w:val="Figurespace"/>
            </w:pPr>
          </w:p>
        </w:tc>
      </w:tr>
      <w:tr w:rsidR="001054C3" w:rsidRPr="000863A5" w14:paraId="216917EA" w14:textId="77777777" w:rsidTr="00234FBE">
        <w:tc>
          <w:tcPr>
            <w:tcW w:w="5000" w:type="pct"/>
            <w:tcBorders>
              <w:top w:val="single" w:sz="6" w:space="0" w:color="78A22F" w:themeColor="accent1"/>
              <w:left w:val="nil"/>
              <w:bottom w:val="nil"/>
              <w:right w:val="nil"/>
            </w:tcBorders>
          </w:tcPr>
          <w:p w14:paraId="34CFC298" w14:textId="77777777" w:rsidR="001054C3" w:rsidRPr="00626D32" w:rsidRDefault="001054C3" w:rsidP="00234FBE">
            <w:pPr>
              <w:pStyle w:val="BoxSpaceBelow"/>
            </w:pPr>
          </w:p>
        </w:tc>
      </w:tr>
    </w:tbl>
    <w:p w14:paraId="57C7258D" w14:textId="02867D2C" w:rsidR="001054C3" w:rsidRDefault="001054C3" w:rsidP="00234FBE">
      <w:pPr>
        <w:pStyle w:val="BodyText"/>
      </w:pPr>
      <w:r>
        <w:t>Long</w:t>
      </w:r>
      <w:r>
        <w:noBreakHyphen/>
        <w:t xml:space="preserve">term reductions in average rainfall have led to declining streamflows </w:t>
      </w:r>
      <w:r w:rsidRPr="009E34BE">
        <w:t xml:space="preserve">across </w:t>
      </w:r>
      <w:r>
        <w:t xml:space="preserve">many parts of southern </w:t>
      </w:r>
      <w:r w:rsidRPr="009E34BE">
        <w:t>Australia.</w:t>
      </w:r>
      <w:r>
        <w:t xml:space="preserve"> More than t</w:t>
      </w:r>
      <w:r w:rsidRPr="009E34BE">
        <w:t>hree</w:t>
      </w:r>
      <w:r>
        <w:noBreakHyphen/>
      </w:r>
      <w:r w:rsidRPr="009E34BE">
        <w:t xml:space="preserve">quarters of hydrologic reference stations </w:t>
      </w:r>
      <w:r>
        <w:t xml:space="preserve">in the MDB have had a </w:t>
      </w:r>
      <w:r w:rsidRPr="009E34BE">
        <w:t>declining trend in streamflow</w:t>
      </w:r>
      <w:r>
        <w:t xml:space="preserve"> </w:t>
      </w:r>
      <w:r w:rsidRPr="004509F9">
        <w:t>since records began in 1970.</w:t>
      </w:r>
      <w:r>
        <w:t xml:space="preserve"> Meanwhile, </w:t>
      </w:r>
      <w:r w:rsidRPr="007D0E03">
        <w:t>streamflows have increased in northern Australia around Darwin and much of the Northern Territory</w:t>
      </w:r>
      <w:r>
        <w:t xml:space="preserve"> </w:t>
      </w:r>
      <w:r w:rsidRPr="001669F8">
        <w:rPr>
          <w:szCs w:val="24"/>
        </w:rPr>
        <w:t>(BOM and CSIRO 2020, p. 9)</w:t>
      </w:r>
      <w:r w:rsidRPr="007D0E03">
        <w:t>.</w:t>
      </w:r>
    </w:p>
    <w:p w14:paraId="0DF87F3F" w14:textId="63CC240A" w:rsidR="001054C3" w:rsidRDefault="001054C3" w:rsidP="00234FBE">
      <w:pPr>
        <w:pStyle w:val="BodyText"/>
      </w:pPr>
      <w:r>
        <w:t xml:space="preserve">Average inflows to Perth dams over the past decade were 75 per cent below the level of much of the 1900s (figure 2.4, panel a). And records of River Murray inflows stretching back 125 years show that low inflows have been much more common over the past 20 years </w:t>
      </w:r>
      <w:r>
        <w:lastRenderedPageBreak/>
        <w:t>(figure 2.4, panel b). M</w:t>
      </w:r>
      <w:r w:rsidRPr="009D1CA0">
        <w:t>edian annual inflow</w:t>
      </w:r>
      <w:r>
        <w:t>s</w:t>
      </w:r>
      <w:r w:rsidRPr="009D1CA0">
        <w:t xml:space="preserve"> </w:t>
      </w:r>
      <w:r>
        <w:t>have been about</w:t>
      </w:r>
      <w:r w:rsidRPr="009D1CA0">
        <w:t xml:space="preserve"> half the </w:t>
      </w:r>
      <w:r>
        <w:t xml:space="preserve">level of the </w:t>
      </w:r>
      <w:r w:rsidRPr="009D1CA0">
        <w:t>preceding century</w:t>
      </w:r>
      <w:r>
        <w:t xml:space="preserve"> and drier years have been much more frequent </w:t>
      </w:r>
      <w:r w:rsidRPr="00530925">
        <w:rPr>
          <w:szCs w:val="24"/>
        </w:rPr>
        <w:t>(IIGMDB 2020, p. 7)</w:t>
      </w:r>
      <w:r>
        <w:t>.</w:t>
      </w:r>
    </w:p>
    <w:p w14:paraId="11365261" w14:textId="01241248" w:rsidR="001054C3" w:rsidRDefault="001054C3" w:rsidP="00234FBE">
      <w:pPr>
        <w:pStyle w:val="Quote"/>
      </w:pPr>
      <w:r>
        <w:t xml:space="preserve">While there may be many factors contributing to the extent of observed inflow reductions, the lack of rainfall and runoff has been the primary driver for the conditions being experienced by many across the Basin in recent times. </w:t>
      </w:r>
      <w:r w:rsidRPr="00530925">
        <w:rPr>
          <w:szCs w:val="24"/>
        </w:rPr>
        <w:t>(IIGMDB 2020, p. 14)</w:t>
      </w:r>
    </w:p>
    <w:p w14:paraId="6C031972" w14:textId="77777777" w:rsidR="001054C3" w:rsidRDefault="001054C3" w:rsidP="00234FBE">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2676563A" w14:textId="77777777" w:rsidTr="00234FBE">
        <w:trPr>
          <w:tblHeader/>
        </w:trPr>
        <w:tc>
          <w:tcPr>
            <w:tcW w:w="5000" w:type="pct"/>
            <w:tcBorders>
              <w:top w:val="single" w:sz="6" w:space="0" w:color="78A22F" w:themeColor="accent1"/>
              <w:left w:val="nil"/>
              <w:bottom w:val="nil"/>
              <w:right w:val="nil"/>
            </w:tcBorders>
            <w:shd w:val="clear" w:color="auto" w:fill="auto"/>
          </w:tcPr>
          <w:p w14:paraId="4DF40BD2" w14:textId="77777777" w:rsidR="001054C3" w:rsidRPr="00225D3E" w:rsidRDefault="001054C3" w:rsidP="00234FBE">
            <w:pPr>
              <w:pStyle w:val="FigureTitle"/>
            </w:pPr>
            <w:r w:rsidRPr="00784A05">
              <w:rPr>
                <w:b w:val="0"/>
              </w:rPr>
              <w:t xml:space="preserve">Figure </w:t>
            </w:r>
            <w:r>
              <w:rPr>
                <w:b w:val="0"/>
              </w:rPr>
              <w:t>2.4</w:t>
            </w:r>
            <w:r>
              <w:tab/>
              <w:t>Inflows have declined in large parts of southern Australia</w:t>
            </w:r>
          </w:p>
        </w:tc>
      </w:tr>
      <w:tr w:rsidR="001054C3" w14:paraId="4E57F2E2"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054C3" w:rsidRPr="00B1465D" w14:paraId="1D111232" w14:textId="77777777" w:rsidTr="00234FBE">
              <w:trPr>
                <w:tblHeader/>
                <w:jc w:val="center"/>
              </w:trPr>
              <w:tc>
                <w:tcPr>
                  <w:tcW w:w="5000" w:type="pct"/>
                  <w:tcBorders>
                    <w:top w:val="nil"/>
                    <w:bottom w:val="nil"/>
                  </w:tcBorders>
                </w:tcPr>
                <w:p w14:paraId="24D6A7DE" w14:textId="77777777" w:rsidR="001054C3" w:rsidRDefault="001054C3" w:rsidP="008C565C">
                  <w:pPr>
                    <w:pStyle w:val="Figure"/>
                    <w:numPr>
                      <w:ilvl w:val="0"/>
                      <w:numId w:val="21"/>
                    </w:numPr>
                    <w:spacing w:before="60" w:after="60"/>
                    <w:jc w:val="left"/>
                    <w:rPr>
                      <w:rFonts w:ascii="Arial" w:hAnsi="Arial" w:cs="Arial"/>
                      <w:b/>
                      <w:bCs/>
                      <w:noProof/>
                      <w:sz w:val="18"/>
                      <w:szCs w:val="18"/>
                    </w:rPr>
                  </w:pPr>
                  <w:r>
                    <w:rPr>
                      <w:rFonts w:ascii="Arial" w:hAnsi="Arial" w:cs="Arial"/>
                      <w:b/>
                      <w:bCs/>
                      <w:noProof/>
                      <w:sz w:val="18"/>
                      <w:szCs w:val="18"/>
                    </w:rPr>
                    <w:t>Perth inflows</w:t>
                  </w:r>
                </w:p>
                <w:p w14:paraId="59F2BD59" w14:textId="77777777" w:rsidR="001054C3" w:rsidRDefault="001054C3" w:rsidP="00234FBE">
                  <w:pPr>
                    <w:pStyle w:val="Figure"/>
                    <w:spacing w:before="60" w:after="60"/>
                    <w:jc w:val="left"/>
                    <w:rPr>
                      <w:rFonts w:ascii="Arial" w:hAnsi="Arial" w:cs="Arial"/>
                      <w:b/>
                      <w:bCs/>
                      <w:noProof/>
                      <w:sz w:val="18"/>
                      <w:szCs w:val="18"/>
                    </w:rPr>
                  </w:pPr>
                  <w:r>
                    <w:rPr>
                      <w:noProof/>
                    </w:rPr>
                    <w:drawing>
                      <wp:inline distT="0" distB="0" distL="0" distR="0" wp14:anchorId="0A7623C9" wp14:editId="252E6298">
                        <wp:extent cx="5543550" cy="2200275"/>
                        <wp:effectExtent l="0" t="0" r="0" b="0"/>
                        <wp:docPr id="25" name="Picture 25" descr="Figure 2.4. Panel A. This figure shows Perth inflows (in gigalitres) since 1920. There has been a more than 75 per cent fall in annual streamflow over the past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2.4. Panel A. This figure shows Perth inflows (in gigalitres) since 1920. There has been a more than 75 per cent fall in annual streamflow over the past 45 year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43550" cy="2200275"/>
                                </a:xfrm>
                                <a:prstGeom prst="rect">
                                  <a:avLst/>
                                </a:prstGeom>
                              </pic:spPr>
                            </pic:pic>
                          </a:graphicData>
                        </a:graphic>
                      </wp:inline>
                    </w:drawing>
                  </w:r>
                </w:p>
                <w:p w14:paraId="5056E708" w14:textId="77777777" w:rsidR="001054C3" w:rsidRPr="007F2F62" w:rsidRDefault="001054C3" w:rsidP="008C565C">
                  <w:pPr>
                    <w:pStyle w:val="Figure"/>
                    <w:numPr>
                      <w:ilvl w:val="0"/>
                      <w:numId w:val="21"/>
                    </w:numPr>
                    <w:spacing w:before="60" w:after="60"/>
                    <w:jc w:val="left"/>
                    <w:rPr>
                      <w:rFonts w:ascii="Arial" w:hAnsi="Arial" w:cs="Arial"/>
                      <w:b/>
                      <w:bCs/>
                      <w:noProof/>
                      <w:sz w:val="18"/>
                      <w:szCs w:val="18"/>
                    </w:rPr>
                  </w:pPr>
                  <w:r>
                    <w:rPr>
                      <w:rFonts w:ascii="Arial" w:hAnsi="Arial" w:cs="Arial"/>
                      <w:b/>
                      <w:bCs/>
                      <w:noProof/>
                      <w:sz w:val="18"/>
                      <w:szCs w:val="18"/>
                    </w:rPr>
                    <w:t>River Murray system inflows</w:t>
                  </w:r>
                </w:p>
                <w:p w14:paraId="30EA06BB" w14:textId="77777777" w:rsidR="001054C3" w:rsidRPr="00B1465D" w:rsidRDefault="001054C3" w:rsidP="00234FBE">
                  <w:pPr>
                    <w:pStyle w:val="Figure"/>
                    <w:spacing w:before="60" w:after="60"/>
                    <w:jc w:val="left"/>
                    <w:rPr>
                      <w:rFonts w:ascii="Arial" w:hAnsi="Arial" w:cs="Arial"/>
                      <w:sz w:val="18"/>
                      <w:szCs w:val="18"/>
                    </w:rPr>
                  </w:pPr>
                  <w:r>
                    <w:rPr>
                      <w:noProof/>
                    </w:rPr>
                    <w:drawing>
                      <wp:inline distT="0" distB="0" distL="0" distR="0" wp14:anchorId="5E6D3616" wp14:editId="52155C58">
                        <wp:extent cx="5543550" cy="2171700"/>
                        <wp:effectExtent l="0" t="0" r="0" b="0"/>
                        <wp:docPr id="26" name="Picture 26" descr="Figure 2.4. Panel B. This figure shows River Murray system inflows from 1896. There have been more extreme lows over the past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2.4. Panel B. This figure shows River Murray system inflows from 1896. There have been more extreme lows over the past 20 year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43550" cy="2171700"/>
                                </a:xfrm>
                                <a:prstGeom prst="rect">
                                  <a:avLst/>
                                </a:prstGeom>
                              </pic:spPr>
                            </pic:pic>
                          </a:graphicData>
                        </a:graphic>
                      </wp:inline>
                    </w:drawing>
                  </w:r>
                </w:p>
              </w:tc>
            </w:tr>
          </w:tbl>
          <w:p w14:paraId="32F3CEF9" w14:textId="77777777" w:rsidR="001054C3" w:rsidRDefault="001054C3" w:rsidP="00234FBE">
            <w:pPr>
              <w:pStyle w:val="Figure"/>
            </w:pPr>
          </w:p>
        </w:tc>
      </w:tr>
      <w:tr w:rsidR="001054C3" w:rsidRPr="00176D3F" w14:paraId="6A9CDA1D" w14:textId="77777777" w:rsidTr="00234FBE">
        <w:tc>
          <w:tcPr>
            <w:tcW w:w="5000" w:type="pct"/>
            <w:tcBorders>
              <w:top w:val="nil"/>
              <w:left w:val="nil"/>
              <w:bottom w:val="nil"/>
              <w:right w:val="nil"/>
            </w:tcBorders>
            <w:shd w:val="clear" w:color="auto" w:fill="auto"/>
          </w:tcPr>
          <w:p w14:paraId="1F0DAC6F" w14:textId="47BF726C" w:rsidR="001054C3" w:rsidRPr="00176D3F" w:rsidRDefault="001054C3" w:rsidP="00234FBE">
            <w:pPr>
              <w:pStyle w:val="Source"/>
            </w:pPr>
            <w:r>
              <w:rPr>
                <w:i/>
              </w:rPr>
              <w:t>S</w:t>
            </w:r>
            <w:r w:rsidRPr="00784A05">
              <w:rPr>
                <w:i/>
              </w:rPr>
              <w:t>ource</w:t>
            </w:r>
            <w:r>
              <w:rPr>
                <w:i/>
              </w:rPr>
              <w:t>s</w:t>
            </w:r>
            <w:r w:rsidRPr="00176D3F">
              <w:t xml:space="preserve">: </w:t>
            </w:r>
            <w:r w:rsidRPr="00116838">
              <w:rPr>
                <w:rFonts w:cs="Arial"/>
                <w:szCs w:val="24"/>
              </w:rPr>
              <w:t>Water Corporation </w:t>
            </w:r>
            <w:r w:rsidRPr="0098024C">
              <w:rPr>
                <w:rFonts w:cs="Arial"/>
              </w:rPr>
              <w:t>(2020)</w:t>
            </w:r>
            <w:r>
              <w:t xml:space="preserve"> (panel a); MDBA </w:t>
            </w:r>
            <w:r w:rsidRPr="00520D16">
              <w:rPr>
                <w:rFonts w:cs="Arial"/>
              </w:rPr>
              <w:t>(2020a)</w:t>
            </w:r>
            <w:r>
              <w:t xml:space="preserve"> (panel b).</w:t>
            </w:r>
          </w:p>
        </w:tc>
      </w:tr>
      <w:tr w:rsidR="001054C3" w14:paraId="2B5489B2" w14:textId="77777777" w:rsidTr="00234FBE">
        <w:tc>
          <w:tcPr>
            <w:tcW w:w="5000" w:type="pct"/>
            <w:tcBorders>
              <w:top w:val="nil"/>
              <w:left w:val="nil"/>
              <w:bottom w:val="single" w:sz="6" w:space="0" w:color="78A22F" w:themeColor="accent1"/>
              <w:right w:val="nil"/>
            </w:tcBorders>
            <w:shd w:val="clear" w:color="auto" w:fill="auto"/>
          </w:tcPr>
          <w:p w14:paraId="1E6888CB" w14:textId="77777777" w:rsidR="001054C3" w:rsidRDefault="001054C3" w:rsidP="00234FBE">
            <w:pPr>
              <w:pStyle w:val="Figurespace"/>
            </w:pPr>
          </w:p>
        </w:tc>
      </w:tr>
      <w:tr w:rsidR="001054C3" w:rsidRPr="000863A5" w14:paraId="7AA27404" w14:textId="77777777" w:rsidTr="00234FBE">
        <w:tc>
          <w:tcPr>
            <w:tcW w:w="5000" w:type="pct"/>
            <w:tcBorders>
              <w:top w:val="single" w:sz="6" w:space="0" w:color="78A22F" w:themeColor="accent1"/>
              <w:left w:val="nil"/>
              <w:bottom w:val="nil"/>
              <w:right w:val="nil"/>
            </w:tcBorders>
          </w:tcPr>
          <w:p w14:paraId="6533431C" w14:textId="77777777" w:rsidR="001054C3" w:rsidRPr="00626D32" w:rsidRDefault="001054C3" w:rsidP="00234FBE">
            <w:pPr>
              <w:pStyle w:val="BoxSpaceBelow"/>
            </w:pPr>
          </w:p>
        </w:tc>
      </w:tr>
    </w:tbl>
    <w:p w14:paraId="4549BE68" w14:textId="1052A3A0" w:rsidR="001054C3" w:rsidRDefault="001054C3" w:rsidP="00234FBE">
      <w:pPr>
        <w:pStyle w:val="BodyText"/>
      </w:pPr>
      <w:r w:rsidRPr="00642211">
        <w:t xml:space="preserve">Further, a recent assessment in southern Victoria found </w:t>
      </w:r>
      <w:r>
        <w:t xml:space="preserve">that the </w:t>
      </w:r>
      <w:r w:rsidRPr="00642211">
        <w:t>long</w:t>
      </w:r>
      <w:r>
        <w:noBreakHyphen/>
      </w:r>
      <w:r w:rsidRPr="00642211">
        <w:t xml:space="preserve">term average </w:t>
      </w:r>
      <w:r>
        <w:t xml:space="preserve">surface </w:t>
      </w:r>
      <w:r w:rsidRPr="00642211">
        <w:t>water availability had declined</w:t>
      </w:r>
      <w:r>
        <w:t xml:space="preserve"> </w:t>
      </w:r>
      <w:r w:rsidRPr="00642211">
        <w:t xml:space="preserve">in all basins relative to </w:t>
      </w:r>
      <w:r>
        <w:t xml:space="preserve">previous estimates (figure 2.5). </w:t>
      </w:r>
      <w:r w:rsidRPr="00642211">
        <w:t>The assessment concluded that the</w:t>
      </w:r>
      <w:r>
        <w:t xml:space="preserve"> </w:t>
      </w:r>
      <w:r w:rsidRPr="00642211">
        <w:t>period since 1975 provides a better reflection of Victoria’s current climate than the full historical record</w:t>
      </w:r>
      <w:r>
        <w:t xml:space="preserve"> used previously </w:t>
      </w:r>
      <w:r w:rsidRPr="00EB4305">
        <w:rPr>
          <w:szCs w:val="24"/>
        </w:rPr>
        <w:t>(DELWP (Vic) 2020, p.</w:t>
      </w:r>
      <w:r w:rsidRPr="00811C38">
        <w:rPr>
          <w:szCs w:val="24"/>
        </w:rPr>
        <w:t> 43)</w:t>
      </w:r>
      <w:r w:rsidRPr="00642211">
        <w:t>.</w:t>
      </w:r>
      <w:r>
        <w:t xml:space="preserve"> Upstream interception from farm dams and plantations was one cause of lower water availability in recent decades, but much of the change was attributed to drier conditions.</w:t>
      </w:r>
    </w:p>
    <w:p w14:paraId="391A667C"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6B6B76BF" w14:textId="77777777" w:rsidTr="00234FBE">
        <w:trPr>
          <w:tblHeader/>
        </w:trPr>
        <w:tc>
          <w:tcPr>
            <w:tcW w:w="5000" w:type="pct"/>
            <w:tcBorders>
              <w:top w:val="single" w:sz="6" w:space="0" w:color="78A22F" w:themeColor="accent1"/>
              <w:left w:val="nil"/>
              <w:bottom w:val="nil"/>
              <w:right w:val="nil"/>
            </w:tcBorders>
            <w:shd w:val="clear" w:color="auto" w:fill="auto"/>
          </w:tcPr>
          <w:p w14:paraId="44DA808F" w14:textId="77777777" w:rsidR="001054C3" w:rsidRDefault="001054C3" w:rsidP="00234FBE">
            <w:pPr>
              <w:pStyle w:val="FigureTitle"/>
            </w:pPr>
            <w:r w:rsidRPr="00784A05">
              <w:rPr>
                <w:b w:val="0"/>
              </w:rPr>
              <w:t xml:space="preserve">Figure </w:t>
            </w:r>
            <w:r>
              <w:rPr>
                <w:b w:val="0"/>
              </w:rPr>
              <w:t>2.5</w:t>
            </w:r>
            <w:r>
              <w:tab/>
              <w:t>S</w:t>
            </w:r>
            <w:r w:rsidRPr="0079666E">
              <w:t>urface water availability</w:t>
            </w:r>
            <w:r>
              <w:t xml:space="preserve"> has declined in southern Victoria</w:t>
            </w:r>
          </w:p>
          <w:p w14:paraId="0D82BBCE" w14:textId="77777777" w:rsidR="001054C3" w:rsidRPr="00176D3F" w:rsidRDefault="001054C3" w:rsidP="00234FBE">
            <w:pPr>
              <w:pStyle w:val="Subtitle"/>
            </w:pPr>
            <w:r>
              <w:t>Long</w:t>
            </w:r>
            <w:r>
              <w:noBreakHyphen/>
              <w:t>term average for 1974</w:t>
            </w:r>
            <w:r>
              <w:noBreakHyphen/>
              <w:t>75 to 2016</w:t>
            </w:r>
            <w:r>
              <w:noBreakHyphen/>
              <w:t>17 compared with the long</w:t>
            </w:r>
            <w:r>
              <w:noBreakHyphen/>
              <w:t xml:space="preserve">term average from </w:t>
            </w:r>
            <w:r w:rsidRPr="000A710F">
              <w:t>1920</w:t>
            </w:r>
            <w:r>
              <w:noBreakHyphen/>
              <w:t>21</w:t>
            </w:r>
            <w:r w:rsidRPr="000A710F">
              <w:t xml:space="preserve"> to </w:t>
            </w:r>
            <w:r>
              <w:t>2004</w:t>
            </w:r>
            <w:r>
              <w:noBreakHyphen/>
            </w:r>
            <w:r w:rsidRPr="000A710F">
              <w:t>05</w:t>
            </w:r>
          </w:p>
        </w:tc>
      </w:tr>
      <w:tr w:rsidR="001054C3" w14:paraId="2DCFDBE0"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B1465D" w14:paraId="599CD22D" w14:textId="77777777" w:rsidTr="00234FBE">
              <w:trPr>
                <w:tblHeader/>
                <w:jc w:val="center"/>
              </w:trPr>
              <w:tc>
                <w:tcPr>
                  <w:tcW w:w="5000" w:type="pct"/>
                  <w:tcBorders>
                    <w:top w:val="nil"/>
                    <w:bottom w:val="nil"/>
                  </w:tcBorders>
                </w:tcPr>
                <w:p w14:paraId="14B75DF9" w14:textId="7966C4D5" w:rsidR="001054C3" w:rsidRPr="00B1465D" w:rsidRDefault="00286F1B" w:rsidP="00234FBE">
                  <w:pPr>
                    <w:pStyle w:val="Figure"/>
                    <w:spacing w:before="60" w:after="60"/>
                    <w:rPr>
                      <w:rFonts w:ascii="Arial" w:hAnsi="Arial" w:cs="Arial"/>
                      <w:sz w:val="18"/>
                      <w:szCs w:val="18"/>
                    </w:rPr>
                  </w:pPr>
                  <w:r w:rsidRPr="00286F1B">
                    <w:rPr>
                      <w:rFonts w:ascii="Arial" w:hAnsi="Arial" w:cs="Arial"/>
                      <w:noProof/>
                      <w:sz w:val="18"/>
                      <w:szCs w:val="18"/>
                    </w:rPr>
                    <w:drawing>
                      <wp:inline distT="0" distB="0" distL="0" distR="0" wp14:anchorId="52D3CA1A" wp14:editId="6EE24465">
                        <wp:extent cx="5064125" cy="1941195"/>
                        <wp:effectExtent l="0" t="0" r="3175" b="0"/>
                        <wp:docPr id="37" name="Picture 37" descr="Figure 2.5. This figure shows a maps of southern Victoria, with regions shaded according to the decline in the long-term average of surface water availability when comparing the periods 1920-21 to 2004-5 and 1974-75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2.5. This figure shows a maps of southern Victoria, with regions shaded according to the decline in the long-term average of surface water availability when comparing the periods 1920-21 to 2004-5 and 1974-75 to 2016-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64125" cy="1941195"/>
                                </a:xfrm>
                                <a:prstGeom prst="rect">
                                  <a:avLst/>
                                </a:prstGeom>
                                <a:noFill/>
                                <a:ln>
                                  <a:noFill/>
                                </a:ln>
                              </pic:spPr>
                            </pic:pic>
                          </a:graphicData>
                        </a:graphic>
                      </wp:inline>
                    </w:drawing>
                  </w:r>
                </w:p>
              </w:tc>
            </w:tr>
          </w:tbl>
          <w:p w14:paraId="7037F571" w14:textId="77777777" w:rsidR="001054C3" w:rsidRDefault="001054C3" w:rsidP="00234FBE">
            <w:pPr>
              <w:pStyle w:val="Figure"/>
            </w:pPr>
          </w:p>
        </w:tc>
      </w:tr>
      <w:tr w:rsidR="001054C3" w:rsidRPr="00176D3F" w14:paraId="2D298A85" w14:textId="77777777" w:rsidTr="00234FBE">
        <w:tc>
          <w:tcPr>
            <w:tcW w:w="5000" w:type="pct"/>
            <w:tcBorders>
              <w:top w:val="nil"/>
              <w:left w:val="nil"/>
              <w:bottom w:val="nil"/>
              <w:right w:val="nil"/>
            </w:tcBorders>
            <w:shd w:val="clear" w:color="auto" w:fill="auto"/>
          </w:tcPr>
          <w:p w14:paraId="1A32E28A" w14:textId="5D9294E3" w:rsidR="001054C3" w:rsidRPr="00176D3F" w:rsidRDefault="001054C3" w:rsidP="00234FBE">
            <w:pPr>
              <w:pStyle w:val="Source"/>
            </w:pPr>
            <w:r>
              <w:rPr>
                <w:i/>
              </w:rPr>
              <w:t>S</w:t>
            </w:r>
            <w:r w:rsidRPr="00784A05">
              <w:rPr>
                <w:i/>
              </w:rPr>
              <w:t>ource</w:t>
            </w:r>
            <w:r w:rsidRPr="00176D3F">
              <w:t xml:space="preserve">: </w:t>
            </w:r>
            <w:r w:rsidRPr="00811C38">
              <w:t xml:space="preserve">DELWP (Vic) </w:t>
            </w:r>
            <w:r w:rsidRPr="007F2F62">
              <w:rPr>
                <w:rFonts w:cs="Arial"/>
                <w:szCs w:val="24"/>
              </w:rPr>
              <w:t>(2020, p. 48)</w:t>
            </w:r>
            <w:r>
              <w:t>.</w:t>
            </w:r>
          </w:p>
        </w:tc>
      </w:tr>
      <w:tr w:rsidR="001054C3" w14:paraId="69C91699" w14:textId="77777777" w:rsidTr="00234FBE">
        <w:tc>
          <w:tcPr>
            <w:tcW w:w="5000" w:type="pct"/>
            <w:tcBorders>
              <w:top w:val="nil"/>
              <w:left w:val="nil"/>
              <w:bottom w:val="single" w:sz="6" w:space="0" w:color="78A22F" w:themeColor="accent1"/>
              <w:right w:val="nil"/>
            </w:tcBorders>
            <w:shd w:val="clear" w:color="auto" w:fill="auto"/>
          </w:tcPr>
          <w:p w14:paraId="2DB3E79C" w14:textId="77777777" w:rsidR="001054C3" w:rsidRDefault="001054C3" w:rsidP="00234FBE">
            <w:pPr>
              <w:pStyle w:val="Figurespace"/>
            </w:pPr>
          </w:p>
        </w:tc>
      </w:tr>
      <w:tr w:rsidR="001054C3" w:rsidRPr="000863A5" w14:paraId="3875677D" w14:textId="77777777" w:rsidTr="00234FBE">
        <w:tc>
          <w:tcPr>
            <w:tcW w:w="5000" w:type="pct"/>
            <w:tcBorders>
              <w:top w:val="single" w:sz="6" w:space="0" w:color="78A22F" w:themeColor="accent1"/>
              <w:left w:val="nil"/>
              <w:bottom w:val="nil"/>
              <w:right w:val="nil"/>
            </w:tcBorders>
          </w:tcPr>
          <w:p w14:paraId="6274DDFF" w14:textId="77777777" w:rsidR="001054C3" w:rsidRPr="00626D32" w:rsidRDefault="001054C3" w:rsidP="00234FBE">
            <w:pPr>
              <w:pStyle w:val="BoxSpaceBelow"/>
            </w:pPr>
          </w:p>
        </w:tc>
      </w:tr>
    </w:tbl>
    <w:p w14:paraId="0B0FF6D0" w14:textId="77777777" w:rsidR="001054C3" w:rsidRDefault="001054C3" w:rsidP="00234FBE">
      <w:pPr>
        <w:pStyle w:val="BodyText"/>
      </w:pPr>
      <w:r>
        <w:t xml:space="preserve">These trends are affecting </w:t>
      </w:r>
      <w:r w:rsidRPr="002362BB">
        <w:t>how</w:t>
      </w:r>
      <w:r>
        <w:t xml:space="preserve"> much water is available to meet both consumptive and environmental needs. And they </w:t>
      </w:r>
      <w:r w:rsidRPr="000C5870">
        <w:t xml:space="preserve">indicate </w:t>
      </w:r>
      <w:r>
        <w:t xml:space="preserve">both the increasing uncertainty facing water managers and the growing need for managers </w:t>
      </w:r>
      <w:r w:rsidRPr="000C5870">
        <w:t xml:space="preserve">to be adaptive </w:t>
      </w:r>
      <w:r>
        <w:t>in how they manage water resources</w:t>
      </w:r>
      <w:r w:rsidRPr="000C5870">
        <w:t>.</w:t>
      </w:r>
    </w:p>
    <w:p w14:paraId="7E7C3937" w14:textId="77777777" w:rsidR="001054C3" w:rsidRDefault="001054C3" w:rsidP="00234FBE">
      <w:pPr>
        <w:pStyle w:val="Heading3"/>
      </w:pPr>
      <w:r>
        <w:t>Projections point to reduced water supply across Australia</w:t>
      </w:r>
    </w:p>
    <w:p w14:paraId="7EABE0E6" w14:textId="16FB297F" w:rsidR="001054C3" w:rsidRDefault="001054C3" w:rsidP="00234FBE">
      <w:pPr>
        <w:pStyle w:val="BodyText"/>
      </w:pPr>
      <w:bookmarkStart w:id="48" w:name="_Hlk57816978"/>
      <w:r w:rsidRPr="00AD6445">
        <w:t>Projections of the future climate point to a hotter, drier and more extreme</w:t>
      </w:r>
      <w:r>
        <w:t xml:space="preserve"> conditions</w:t>
      </w:r>
      <w:r w:rsidRPr="00AD6445">
        <w:t xml:space="preserve"> — particularly in southern Australia. The impacts of climate change are being driv</w:t>
      </w:r>
      <w:r>
        <w:t>en</w:t>
      </w:r>
      <w:r w:rsidRPr="00AD6445">
        <w:t xml:space="preserve"> by increased concentrations of greenhouse gas emissions in the atmosphere, </w:t>
      </w:r>
      <w:r>
        <w:t>and will likely result</w:t>
      </w:r>
      <w:r w:rsidRPr="00AD6445">
        <w:t xml:space="preserve"> in increased average temperatures</w:t>
      </w:r>
      <w:r>
        <w:t>,</w:t>
      </w:r>
      <w:r w:rsidRPr="00AD6445">
        <w:t xml:space="preserve"> </w:t>
      </w:r>
      <w:r>
        <w:t>higher</w:t>
      </w:r>
      <w:r>
        <w:noBreakHyphen/>
        <w:t>intensity</w:t>
      </w:r>
      <w:r w:rsidRPr="00AD6445">
        <w:t xml:space="preserve"> rainfall and other extreme weather events. Recent modelling by CSIRO scientists (adapted from </w:t>
      </w:r>
      <w:r w:rsidRPr="005B3E1C">
        <w:t>Zheng et al</w:t>
      </w:r>
      <w:r>
        <w:t xml:space="preserve">. </w:t>
      </w:r>
      <w:r w:rsidRPr="005B3E1C">
        <w:t>(2019)</w:t>
      </w:r>
      <w:r w:rsidRPr="00AD6445">
        <w:t>) points to declines in water availability across Australia</w:t>
      </w:r>
      <w:r>
        <w:t xml:space="preserve"> </w:t>
      </w:r>
      <w:r w:rsidRPr="00861D2E">
        <w:t>(figure</w:t>
      </w:r>
      <w:r>
        <w:t> 2.6</w:t>
      </w:r>
      <w:r w:rsidRPr="00861D2E">
        <w:t>)</w:t>
      </w:r>
      <w:r w:rsidRPr="00AD6445">
        <w:t xml:space="preserve">. Reduced water availability is very likely in southern Australia </w:t>
      </w:r>
      <w:r>
        <w:t>due to</w:t>
      </w:r>
      <w:r w:rsidRPr="00AD6445">
        <w:t xml:space="preserve"> declines in cool</w:t>
      </w:r>
      <w:r>
        <w:noBreakHyphen/>
      </w:r>
      <w:r w:rsidRPr="00AD6445">
        <w:t>season rainfall</w:t>
      </w:r>
      <w:r>
        <w:t xml:space="preserve">, </w:t>
      </w:r>
      <w:r w:rsidRPr="00AD6445">
        <w:t>increases in evapotranspiration</w:t>
      </w:r>
      <w:r>
        <w:t xml:space="preserve"> and reductions in run</w:t>
      </w:r>
      <w:r>
        <w:noBreakHyphen/>
        <w:t xml:space="preserve">off. In parts of Australia, large declines are expected, with medium projections showing a 50 per cent drop in runoff in southern Western Australia and 19 per cent fall in Victoria. </w:t>
      </w:r>
      <w:r w:rsidRPr="00AD6445">
        <w:t xml:space="preserve">Rainfall in </w:t>
      </w:r>
      <w:r>
        <w:t>n</w:t>
      </w:r>
      <w:r w:rsidRPr="00AD6445">
        <w:t>orthern Australia is slightly more likely to decrease than increase, however</w:t>
      </w:r>
      <w:r>
        <w:t>,</w:t>
      </w:r>
      <w:r w:rsidRPr="00AD6445">
        <w:t xml:space="preserve"> a wide range of outcomes </w:t>
      </w:r>
      <w:r>
        <w:t>is</w:t>
      </w:r>
      <w:r w:rsidRPr="00AD6445">
        <w:t xml:space="preserve"> possible.</w:t>
      </w:r>
    </w:p>
    <w:p w14:paraId="22DFC361" w14:textId="7D040E8C" w:rsidR="001054C3" w:rsidRDefault="001054C3" w:rsidP="00234FBE">
      <w:pPr>
        <w:pStyle w:val="BodyText"/>
      </w:pPr>
      <w:r>
        <w:t>Declining water availability will likely accelerate change in irrigated agricultural production. ABARES estimates that for the southern MDB — assuming a future in which planned recovery of water for the environment is complete, almond trees are mature and farm productivity has been increased through infrastructure upgrades — a further 11 per cent decline in surface water supply (relative to the already dry period of 2005</w:t>
      </w:r>
      <w:r>
        <w:noBreakHyphen/>
        <w:t>06 to 2018</w:t>
      </w:r>
      <w:r>
        <w:noBreakHyphen/>
        <w:t xml:space="preserve">19) would likely see production of traditional crops fall by between 15 and 30 per cent </w:t>
      </w:r>
      <w:r w:rsidRPr="003D26E9">
        <w:rPr>
          <w:szCs w:val="24"/>
        </w:rPr>
        <w:t>(Gupta et al. 2020, p. </w:t>
      </w:r>
      <w:r w:rsidRPr="00366795">
        <w:rPr>
          <w:szCs w:val="24"/>
        </w:rPr>
        <w:t>19)</w:t>
      </w:r>
      <w:r>
        <w:t>. Higher water prices would see water flow to higher</w:t>
      </w:r>
      <w:r>
        <w:noBreakHyphen/>
        <w:t>value crops (such as almonds at current commodity prices) (figure 2.7).</w:t>
      </w:r>
    </w:p>
    <w:bookmarkEnd w:id="48"/>
    <w:p w14:paraId="7D572266"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2A8FBDA9" w14:textId="77777777" w:rsidTr="00234FBE">
        <w:trPr>
          <w:tblHeader/>
        </w:trPr>
        <w:tc>
          <w:tcPr>
            <w:tcW w:w="5000" w:type="pct"/>
            <w:tcBorders>
              <w:top w:val="single" w:sz="6" w:space="0" w:color="78A22F" w:themeColor="accent1"/>
              <w:left w:val="nil"/>
              <w:bottom w:val="nil"/>
              <w:right w:val="nil"/>
            </w:tcBorders>
            <w:shd w:val="clear" w:color="auto" w:fill="auto"/>
          </w:tcPr>
          <w:p w14:paraId="12CF8BCF" w14:textId="77777777" w:rsidR="001054C3" w:rsidRDefault="001054C3" w:rsidP="00234FBE">
            <w:pPr>
              <w:pStyle w:val="FigureTitle"/>
            </w:pPr>
            <w:r w:rsidRPr="00784A05">
              <w:rPr>
                <w:b w:val="0"/>
              </w:rPr>
              <w:t xml:space="preserve">Figure </w:t>
            </w:r>
            <w:bookmarkStart w:id="49" w:name="OLE_LINK5"/>
            <w:r>
              <w:rPr>
                <w:b w:val="0"/>
              </w:rPr>
              <w:t>2.6</w:t>
            </w:r>
            <w:bookmarkEnd w:id="49"/>
            <w:r>
              <w:tab/>
              <w:t>Australia’s climate to dry with increased emissions</w:t>
            </w:r>
          </w:p>
          <w:p w14:paraId="3F333547" w14:textId="77777777" w:rsidR="001054C3" w:rsidRPr="00176D3F" w:rsidRDefault="001054C3" w:rsidP="00234FBE">
            <w:pPr>
              <w:pStyle w:val="Subtitle"/>
              <w:spacing w:line="240" w:lineRule="exact"/>
            </w:pPr>
            <w:r>
              <w:t>Median (50</w:t>
            </w:r>
            <w:r w:rsidRPr="007F2F62">
              <w:rPr>
                <w:vertAlign w:val="superscript"/>
              </w:rPr>
              <w:t>th</w:t>
            </w:r>
            <w:r>
              <w:t xml:space="preserve"> percentile) projections of percentage change in average annual rainfall, p</w:t>
            </w:r>
            <w:r w:rsidRPr="003B53B9">
              <w:t>otential evapotranspiration</w:t>
            </w:r>
            <w:r>
              <w:t xml:space="preserve"> and run</w:t>
            </w:r>
            <w:r>
              <w:noBreakHyphen/>
              <w:t xml:space="preserve">off, </w:t>
            </w:r>
            <w:r w:rsidRPr="004E5BCA">
              <w:t>1976–2005</w:t>
            </w:r>
            <w:r>
              <w:t xml:space="preserve"> to </w:t>
            </w:r>
            <w:r w:rsidRPr="004E5BCA">
              <w:t>2046–75</w:t>
            </w:r>
            <w:r>
              <w:t>, under RCP 8.5 emissions profile</w:t>
            </w:r>
            <w:r>
              <w:rPr>
                <w:rStyle w:val="NoteLabel"/>
              </w:rPr>
              <w:t>a,b</w:t>
            </w:r>
          </w:p>
        </w:tc>
      </w:tr>
      <w:tr w:rsidR="001054C3" w14:paraId="5B590332" w14:textId="77777777" w:rsidTr="00234FBE">
        <w:tc>
          <w:tcPr>
            <w:tcW w:w="5000" w:type="pct"/>
            <w:tcBorders>
              <w:top w:val="nil"/>
              <w:left w:val="nil"/>
              <w:bottom w:val="nil"/>
              <w:right w:val="nil"/>
            </w:tcBorders>
            <w:shd w:val="clear" w:color="auto" w:fill="auto"/>
            <w:tcMar>
              <w:top w:w="28" w:type="dxa"/>
              <w:bottom w:w="28" w:type="dxa"/>
            </w:tcMar>
          </w:tcPr>
          <w:p w14:paraId="676BC034" w14:textId="77777777" w:rsidR="001054C3" w:rsidRDefault="001054C3" w:rsidP="00234FBE">
            <w:r>
              <w:rPr>
                <w:rFonts w:ascii="Arial" w:hAnsi="Arial" w:cs="Arial"/>
                <w:sz w:val="18"/>
                <w:szCs w:val="18"/>
              </w:rPr>
              <w:t xml:space="preserve">a) Rainfall                                         b) </w:t>
            </w:r>
            <w:r w:rsidRPr="004E5BCA">
              <w:rPr>
                <w:rFonts w:ascii="Arial" w:hAnsi="Arial" w:cs="Arial"/>
                <w:sz w:val="18"/>
                <w:szCs w:val="18"/>
              </w:rPr>
              <w:t>Potential evapotranspiration</w:t>
            </w:r>
            <w:r>
              <w:rPr>
                <w:rFonts w:ascii="Arial" w:hAnsi="Arial" w:cs="Arial"/>
                <w:sz w:val="18"/>
                <w:szCs w:val="18"/>
              </w:rPr>
              <w:t xml:space="preserve">            c) Run</w:t>
            </w:r>
            <w:r>
              <w:rPr>
                <w:rFonts w:ascii="Arial" w:hAnsi="Arial" w:cs="Arial"/>
                <w:sz w:val="18"/>
                <w:szCs w:val="18"/>
              </w:rPr>
              <w:noBreakHyphen/>
              <w:t xml:space="preserve">off                       </w:t>
            </w:r>
          </w:p>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054C3" w:rsidRPr="00B1465D" w14:paraId="04907222" w14:textId="77777777" w:rsidTr="00234FBE">
              <w:trPr>
                <w:tblHeader/>
                <w:jc w:val="center"/>
              </w:trPr>
              <w:tc>
                <w:tcPr>
                  <w:tcW w:w="5000" w:type="pct"/>
                  <w:tcBorders>
                    <w:top w:val="nil"/>
                    <w:bottom w:val="nil"/>
                  </w:tcBorders>
                </w:tcPr>
                <w:p w14:paraId="2BB9737E" w14:textId="77777777" w:rsidR="001054C3" w:rsidRPr="00B1465D" w:rsidRDefault="001054C3" w:rsidP="00234FBE">
                  <w:pPr>
                    <w:pStyle w:val="Figure"/>
                    <w:spacing w:before="60" w:after="60"/>
                    <w:jc w:val="left"/>
                    <w:rPr>
                      <w:rFonts w:ascii="Arial" w:hAnsi="Arial" w:cs="Arial"/>
                      <w:sz w:val="18"/>
                      <w:szCs w:val="18"/>
                    </w:rPr>
                  </w:pPr>
                  <w:r>
                    <w:rPr>
                      <w:noProof/>
                    </w:rPr>
                    <w:drawing>
                      <wp:inline distT="0" distB="0" distL="0" distR="0" wp14:anchorId="179318D4" wp14:editId="012C3896">
                        <wp:extent cx="5581013" cy="1427480"/>
                        <wp:effectExtent l="0" t="0" r="635" b="1270"/>
                        <wp:docPr id="24" name="Picture 7" descr="Figure 2.6. This figure has three panels, each depicting the results of climate modelling on a map of Australia. Panel a shows projections for annual rainfall, panel b shows potential evapotranspiration and panel c shows ru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id="{6E764FBC-B1F3-42A1-97A9-ABF08A510A2E}"/>
                                    </a:ext>
                                  </a:extLst>
                                </a:blip>
                                <a:srcRect l="30658" t="34568" r="1116" b="37480"/>
                                <a:stretch>
                                  <a:fillRect/>
                                </a:stretch>
                              </pic:blipFill>
                              <pic:spPr>
                                <a:xfrm>
                                  <a:off x="0" y="0"/>
                                  <a:ext cx="5581013" cy="1427480"/>
                                </a:xfrm>
                                <a:prstGeom prst="rect">
                                  <a:avLst/>
                                </a:prstGeom>
                              </pic:spPr>
                            </pic:pic>
                          </a:graphicData>
                        </a:graphic>
                      </wp:inline>
                    </w:drawing>
                  </w:r>
                </w:p>
              </w:tc>
            </w:tr>
          </w:tbl>
          <w:p w14:paraId="34772F29" w14:textId="77777777" w:rsidR="001054C3" w:rsidRDefault="001054C3" w:rsidP="00234FBE">
            <w:pPr>
              <w:pStyle w:val="Figure"/>
            </w:pPr>
          </w:p>
        </w:tc>
      </w:tr>
      <w:tr w:rsidR="001054C3" w14:paraId="26C306B2" w14:textId="77777777" w:rsidTr="00234FBE">
        <w:tc>
          <w:tcPr>
            <w:tcW w:w="5000" w:type="pct"/>
            <w:tcBorders>
              <w:top w:val="nil"/>
              <w:left w:val="nil"/>
              <w:bottom w:val="nil"/>
              <w:right w:val="nil"/>
            </w:tcBorders>
            <w:shd w:val="clear" w:color="auto" w:fill="auto"/>
            <w:tcMar>
              <w:top w:w="28" w:type="dxa"/>
              <w:bottom w:w="28" w:type="dxa"/>
            </w:tcMar>
          </w:tcPr>
          <w:p w14:paraId="00DC8410" w14:textId="77777777" w:rsidR="001054C3" w:rsidRPr="00940268" w:rsidRDefault="001054C3" w:rsidP="00234FBE">
            <w:pPr>
              <w:pStyle w:val="Figure"/>
              <w:spacing w:before="60" w:after="60"/>
              <w:rPr>
                <w:rFonts w:ascii="Arial" w:hAnsi="Arial" w:cs="Arial"/>
                <w:sz w:val="18"/>
                <w:szCs w:val="18"/>
              </w:rPr>
            </w:pPr>
            <w:r>
              <w:rPr>
                <w:noProof/>
              </w:rPr>
              <w:drawing>
                <wp:inline distT="0" distB="0" distL="0" distR="0" wp14:anchorId="1883957B" wp14:editId="0B0A5200">
                  <wp:extent cx="5467348" cy="333375"/>
                  <wp:effectExtent l="0" t="0" r="0" b="0"/>
                  <wp:docPr id="3" name="Picture 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467348" cy="333375"/>
                          </a:xfrm>
                          <a:prstGeom prst="rect">
                            <a:avLst/>
                          </a:prstGeom>
                        </pic:spPr>
                      </pic:pic>
                    </a:graphicData>
                  </a:graphic>
                </wp:inline>
              </w:drawing>
            </w:r>
          </w:p>
        </w:tc>
      </w:tr>
      <w:tr w:rsidR="001054C3" w:rsidRPr="00176D3F" w14:paraId="39CB4319" w14:textId="77777777" w:rsidTr="00234FBE">
        <w:tc>
          <w:tcPr>
            <w:tcW w:w="5000" w:type="pct"/>
            <w:tcBorders>
              <w:top w:val="nil"/>
              <w:left w:val="nil"/>
              <w:bottom w:val="nil"/>
              <w:right w:val="nil"/>
            </w:tcBorders>
            <w:shd w:val="clear" w:color="auto" w:fill="auto"/>
          </w:tcPr>
          <w:p w14:paraId="22E4ACF0" w14:textId="1503F0BB" w:rsidR="001054C3" w:rsidRPr="00176D3F" w:rsidRDefault="001054C3" w:rsidP="00234FBE">
            <w:pPr>
              <w:pStyle w:val="Note"/>
            </w:pPr>
            <w:r>
              <w:rPr>
                <w:rStyle w:val="NoteLabel"/>
              </w:rPr>
              <w:t>a</w:t>
            </w:r>
            <w:r>
              <w:t xml:space="preserve"> Projections are based on </w:t>
            </w:r>
            <w:r w:rsidRPr="000B2FE5">
              <w:t xml:space="preserve">hydrological modelling informed by climate change projections from 42 </w:t>
            </w:r>
            <w:r>
              <w:t>g</w:t>
            </w:r>
            <w:r w:rsidRPr="000B2FE5">
              <w:t xml:space="preserve">lobal </w:t>
            </w:r>
            <w:r>
              <w:t>c</w:t>
            </w:r>
            <w:r w:rsidRPr="000B2FE5">
              <w:t xml:space="preserve">limate </w:t>
            </w:r>
            <w:r>
              <w:t>m</w:t>
            </w:r>
            <w:r w:rsidRPr="000B2FE5">
              <w:t>odel</w:t>
            </w:r>
            <w:r>
              <w:t>s. Median (50</w:t>
            </w:r>
            <w:r w:rsidRPr="000B2FE5">
              <w:rPr>
                <w:vertAlign w:val="superscript"/>
              </w:rPr>
              <w:t>th</w:t>
            </w:r>
            <w:r>
              <w:t xml:space="preserve"> percentile) values are the level at which half all</w:t>
            </w:r>
            <w:r>
              <w:noBreakHyphen/>
              <w:t>model runs were above or below these values. As all median values for runoff are below zero, the modelling indicates that it is more likely than not that runoff will decline across Australia with increased emissions. For further information and 10</w:t>
            </w:r>
            <w:r w:rsidRPr="003024A9">
              <w:rPr>
                <w:vertAlign w:val="superscript"/>
              </w:rPr>
              <w:t>th</w:t>
            </w:r>
            <w:r>
              <w:t xml:space="preserve"> and 90</w:t>
            </w:r>
            <w:r w:rsidRPr="003024A9">
              <w:rPr>
                <w:vertAlign w:val="superscript"/>
              </w:rPr>
              <w:t>th</w:t>
            </w:r>
            <w:r>
              <w:t xml:space="preserve"> percentile projections of run</w:t>
            </w:r>
            <w:r>
              <w:noBreakHyphen/>
              <w:t xml:space="preserve">off, refer to Zheng et al. </w:t>
            </w:r>
            <w:r w:rsidRPr="005B3E1C">
              <w:rPr>
                <w:rFonts w:cs="Arial"/>
              </w:rPr>
              <w:t>(2019)</w:t>
            </w:r>
            <w:r>
              <w:t xml:space="preserve">. </w:t>
            </w:r>
            <w:r w:rsidRPr="004C2899">
              <w:rPr>
                <w:rStyle w:val="NoteLabel"/>
              </w:rPr>
              <w:t>b</w:t>
            </w:r>
            <w:r>
              <w:t xml:space="preserve"> RCP 8.5 — representative concentration pathway — the trajectory for greenhouse gas concentration underlying the projections presented in this figure.</w:t>
            </w:r>
          </w:p>
        </w:tc>
      </w:tr>
      <w:tr w:rsidR="001054C3" w:rsidRPr="00176D3F" w14:paraId="561963D2" w14:textId="77777777" w:rsidTr="00234FBE">
        <w:tc>
          <w:tcPr>
            <w:tcW w:w="5000" w:type="pct"/>
            <w:tcBorders>
              <w:top w:val="nil"/>
              <w:left w:val="nil"/>
              <w:bottom w:val="nil"/>
              <w:right w:val="nil"/>
            </w:tcBorders>
            <w:shd w:val="clear" w:color="auto" w:fill="auto"/>
          </w:tcPr>
          <w:p w14:paraId="45D9F85A" w14:textId="10B30CDF" w:rsidR="001054C3" w:rsidRPr="00176D3F" w:rsidRDefault="001054C3" w:rsidP="00234FBE">
            <w:pPr>
              <w:pStyle w:val="Source"/>
            </w:pPr>
            <w:r>
              <w:rPr>
                <w:i/>
              </w:rPr>
              <w:t>S</w:t>
            </w:r>
            <w:r w:rsidRPr="00784A05">
              <w:rPr>
                <w:i/>
              </w:rPr>
              <w:t>ource</w:t>
            </w:r>
            <w:r w:rsidRPr="00176D3F">
              <w:t>:</w:t>
            </w:r>
            <w:r>
              <w:t xml:space="preserve"> Adapted from </w:t>
            </w:r>
            <w:r w:rsidRPr="005B3E1C">
              <w:t xml:space="preserve">Zheng et al. </w:t>
            </w:r>
            <w:r w:rsidRPr="005B3E1C">
              <w:rPr>
                <w:rFonts w:cs="Arial"/>
              </w:rPr>
              <w:t>(2019)</w:t>
            </w:r>
            <w:r>
              <w:t>.</w:t>
            </w:r>
          </w:p>
        </w:tc>
      </w:tr>
      <w:tr w:rsidR="001054C3" w14:paraId="42495513" w14:textId="77777777" w:rsidTr="00234FBE">
        <w:tc>
          <w:tcPr>
            <w:tcW w:w="5000" w:type="pct"/>
            <w:tcBorders>
              <w:top w:val="nil"/>
              <w:left w:val="nil"/>
              <w:bottom w:val="single" w:sz="6" w:space="0" w:color="78A22F" w:themeColor="accent1"/>
              <w:right w:val="nil"/>
            </w:tcBorders>
            <w:shd w:val="clear" w:color="auto" w:fill="auto"/>
          </w:tcPr>
          <w:p w14:paraId="271741F0" w14:textId="77777777" w:rsidR="001054C3" w:rsidRDefault="001054C3" w:rsidP="00234FBE">
            <w:pPr>
              <w:pStyle w:val="Figurespace"/>
            </w:pPr>
          </w:p>
        </w:tc>
      </w:tr>
      <w:tr w:rsidR="001054C3" w:rsidRPr="000863A5" w14:paraId="60585DC7" w14:textId="77777777" w:rsidTr="00234FBE">
        <w:tc>
          <w:tcPr>
            <w:tcW w:w="5000" w:type="pct"/>
            <w:tcBorders>
              <w:top w:val="single" w:sz="6" w:space="0" w:color="78A22F" w:themeColor="accent1"/>
              <w:left w:val="nil"/>
              <w:bottom w:val="nil"/>
              <w:right w:val="nil"/>
            </w:tcBorders>
          </w:tcPr>
          <w:p w14:paraId="12519F49" w14:textId="77777777" w:rsidR="001054C3" w:rsidRPr="00626D32" w:rsidRDefault="001054C3" w:rsidP="00234FBE">
            <w:pPr>
              <w:pStyle w:val="BoxSpaceBelow"/>
            </w:pPr>
          </w:p>
        </w:tc>
      </w:tr>
    </w:tbl>
    <w:p w14:paraId="39128637" w14:textId="77777777" w:rsidR="001054C3" w:rsidRDefault="001054C3" w:rsidP="00234FBE">
      <w:pPr>
        <w:pStyle w:val="BodyText"/>
      </w:pPr>
      <w:r>
        <w:t>The uncertainty in the extent to which the future climate will be drier and include more frequent extreme events, and the potential for significant changes in how water is used in Australia, point to the need for robust water planning and management processes to ensure systems can adapt effectively as baselines shift with climate change.</w:t>
      </w:r>
    </w:p>
    <w:p w14:paraId="16B3CD8A" w14:textId="77777777" w:rsidR="001054C3" w:rsidRDefault="001054C3" w:rsidP="00234FBE">
      <w:pPr>
        <w:pStyle w:val="BodyText"/>
      </w:pPr>
      <w:r>
        <w:t>And w</w:t>
      </w:r>
      <w:r w:rsidRPr="008E1E77">
        <w:t xml:space="preserve">hile </w:t>
      </w:r>
      <w:r>
        <w:t>crops</w:t>
      </w:r>
      <w:r w:rsidRPr="008E1E77">
        <w:t xml:space="preserve"> such as almonds are very profitable</w:t>
      </w:r>
      <w:r>
        <w:t xml:space="preserve"> at current commodity prices</w:t>
      </w:r>
      <w:r w:rsidRPr="008E1E77">
        <w:t>, the future may look very different</w:t>
      </w:r>
      <w:r>
        <w:t>. E</w:t>
      </w:r>
      <w:r w:rsidRPr="008E1E77">
        <w:t xml:space="preserve">fficient </w:t>
      </w:r>
      <w:r>
        <w:t xml:space="preserve">and effective water </w:t>
      </w:r>
      <w:r w:rsidRPr="008E1E77">
        <w:t xml:space="preserve">markets will be essential to ensure that water keeps moving to </w:t>
      </w:r>
      <w:r w:rsidRPr="00851501">
        <w:t xml:space="preserve">higher value </w:t>
      </w:r>
      <w:r>
        <w:t>opportunities</w:t>
      </w:r>
      <w:r w:rsidRPr="008E1E77">
        <w:t>.</w:t>
      </w:r>
      <w:r>
        <w:t xml:space="preserve"> Experiences from 30 years in the MDB provide valuable lessons for reform renewal to better underpin market development in other parts of the country and avoid the potential downsides of trade, including risks of delivery shortfalls, unintended unseasonal flows and erosion (chapter 7).</w:t>
      </w:r>
    </w:p>
    <w:p w14:paraId="0AE0EDA5"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72066D95" w14:textId="77777777" w:rsidTr="00234FBE">
        <w:trPr>
          <w:tblHeader/>
        </w:trPr>
        <w:tc>
          <w:tcPr>
            <w:tcW w:w="5000" w:type="pct"/>
            <w:tcBorders>
              <w:top w:val="single" w:sz="6" w:space="0" w:color="78A22F" w:themeColor="accent1"/>
              <w:left w:val="nil"/>
              <w:bottom w:val="nil"/>
              <w:right w:val="nil"/>
            </w:tcBorders>
            <w:shd w:val="clear" w:color="auto" w:fill="auto"/>
          </w:tcPr>
          <w:p w14:paraId="7209837E" w14:textId="77777777" w:rsidR="001054C3" w:rsidRPr="00176D3F" w:rsidRDefault="001054C3" w:rsidP="00234FBE">
            <w:pPr>
              <w:pStyle w:val="FigureTitle"/>
            </w:pPr>
            <w:r w:rsidRPr="00784A05">
              <w:rPr>
                <w:b w:val="0"/>
              </w:rPr>
              <w:t xml:space="preserve">Figure </w:t>
            </w:r>
            <w:r>
              <w:rPr>
                <w:b w:val="0"/>
              </w:rPr>
              <w:t>2.7</w:t>
            </w:r>
            <w:r>
              <w:tab/>
              <w:t>Changes in southern MDB production with lower water availability and use</w:t>
            </w:r>
            <w:r w:rsidRPr="005B7CC4">
              <w:rPr>
                <w:rStyle w:val="NoteLabel"/>
                <w:b/>
                <w:bCs/>
              </w:rPr>
              <w:t>a</w:t>
            </w:r>
          </w:p>
        </w:tc>
      </w:tr>
      <w:tr w:rsidR="001054C3" w14:paraId="609F62AD"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1054C3" w:rsidRPr="00B1465D" w14:paraId="4EF41BBA" w14:textId="77777777" w:rsidTr="00234FBE">
              <w:trPr>
                <w:tblHeader/>
                <w:jc w:val="center"/>
              </w:trPr>
              <w:tc>
                <w:tcPr>
                  <w:tcW w:w="8504" w:type="dxa"/>
                  <w:tcBorders>
                    <w:top w:val="nil"/>
                    <w:bottom w:val="nil"/>
                  </w:tcBorders>
                </w:tcPr>
                <w:p w14:paraId="7BA6F439" w14:textId="77777777" w:rsidR="001054C3" w:rsidRPr="00B1465D" w:rsidRDefault="001054C3" w:rsidP="00234FBE">
                  <w:pPr>
                    <w:pStyle w:val="Figure"/>
                    <w:spacing w:before="60" w:after="60"/>
                    <w:rPr>
                      <w:rFonts w:ascii="Arial" w:hAnsi="Arial" w:cs="Arial"/>
                      <w:sz w:val="18"/>
                      <w:szCs w:val="18"/>
                    </w:rPr>
                  </w:pPr>
                  <w:r>
                    <w:rPr>
                      <w:noProof/>
                    </w:rPr>
                    <w:drawing>
                      <wp:inline distT="0" distB="0" distL="0" distR="0" wp14:anchorId="25F87F77" wp14:editId="493EAF91">
                        <wp:extent cx="5375867" cy="3250679"/>
                        <wp:effectExtent l="0" t="0" r="0" b="6985"/>
                        <wp:docPr id="63" name="Picture 63" descr="Figure 2.7. This figure depicts a bar chart showing percentage changes in total water use and gross value of selected and total irrigated agricultural projects based on ABARES estimates of declining water availability. Two scenarios are presented — ‘future market’ and ‘future market (d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56">
                                  <a:extLst>
                                    <a:ext uri="{28A0092B-C50C-407E-A947-70E740481C1C}">
                                      <a14:useLocalDpi xmlns:a14="http://schemas.microsoft.com/office/drawing/2010/main" val="0"/>
                                    </a:ext>
                                  </a:extLst>
                                </a:blip>
                                <a:stretch>
                                  <a:fillRect/>
                                </a:stretch>
                              </pic:blipFill>
                              <pic:spPr>
                                <a:xfrm>
                                  <a:off x="0" y="0"/>
                                  <a:ext cx="5375867" cy="3250679"/>
                                </a:xfrm>
                                <a:prstGeom prst="rect">
                                  <a:avLst/>
                                </a:prstGeom>
                              </pic:spPr>
                            </pic:pic>
                          </a:graphicData>
                        </a:graphic>
                      </wp:inline>
                    </w:drawing>
                  </w:r>
                </w:p>
              </w:tc>
            </w:tr>
          </w:tbl>
          <w:p w14:paraId="05D89381" w14:textId="77777777" w:rsidR="001054C3" w:rsidRDefault="001054C3" w:rsidP="00234FBE">
            <w:pPr>
              <w:pStyle w:val="Figure"/>
            </w:pPr>
          </w:p>
        </w:tc>
      </w:tr>
      <w:tr w:rsidR="001054C3" w:rsidRPr="00176D3F" w14:paraId="60A34BA9" w14:textId="77777777" w:rsidTr="00234FBE">
        <w:tc>
          <w:tcPr>
            <w:tcW w:w="5000" w:type="pct"/>
            <w:tcBorders>
              <w:top w:val="nil"/>
              <w:left w:val="nil"/>
              <w:bottom w:val="nil"/>
              <w:right w:val="nil"/>
            </w:tcBorders>
            <w:shd w:val="clear" w:color="auto" w:fill="auto"/>
          </w:tcPr>
          <w:p w14:paraId="5D996422" w14:textId="77777777" w:rsidR="001054C3" w:rsidRPr="00176D3F" w:rsidRDefault="001054C3" w:rsidP="00234FBE">
            <w:pPr>
              <w:pStyle w:val="Note"/>
            </w:pPr>
            <w:r>
              <w:rPr>
                <w:rStyle w:val="NoteLabel"/>
              </w:rPr>
              <w:t>a</w:t>
            </w:r>
            <w:r>
              <w:t xml:space="preserve"> </w:t>
            </w:r>
            <w:bookmarkStart w:id="50" w:name="_Hlk58230330"/>
            <w:r>
              <w:t xml:space="preserve">Results for all </w:t>
            </w:r>
            <w:r w:rsidRPr="00E814C1">
              <w:t>scenario</w:t>
            </w:r>
            <w:r>
              <w:t>s are</w:t>
            </w:r>
            <w:r w:rsidRPr="00E814C1">
              <w:t xml:space="preserve"> </w:t>
            </w:r>
            <w:r>
              <w:t xml:space="preserve">averages </w:t>
            </w:r>
            <w:r w:rsidRPr="00E814C1">
              <w:t xml:space="preserve">based on the historical climate sequence </w:t>
            </w:r>
            <w:r>
              <w:t xml:space="preserve">from </w:t>
            </w:r>
            <w:bookmarkStart w:id="51" w:name="_Hlk58313629"/>
            <w:r w:rsidRPr="00F6416A">
              <w:t>2005</w:t>
            </w:r>
            <w:r>
              <w:rPr>
                <w:rFonts w:cs="Arial"/>
              </w:rPr>
              <w:noBreakHyphen/>
            </w:r>
            <w:r>
              <w:t>06 to 2018</w:t>
            </w:r>
            <w:r>
              <w:rPr>
                <w:rFonts w:cs="Arial"/>
              </w:rPr>
              <w:noBreakHyphen/>
            </w:r>
            <w:r w:rsidRPr="00F6416A">
              <w:t>19</w:t>
            </w:r>
            <w:r>
              <w:t xml:space="preserve"> </w:t>
            </w:r>
            <w:bookmarkEnd w:id="51"/>
            <w:r>
              <w:t xml:space="preserve">(a relatively dry period). </w:t>
            </w:r>
            <w:bookmarkEnd w:id="50"/>
            <w:r>
              <w:t xml:space="preserve">The ‘current market’ scenario holds </w:t>
            </w:r>
            <w:r w:rsidRPr="00E814C1">
              <w:t>all water market drivers fixed at 2018</w:t>
            </w:r>
            <w:r>
              <w:rPr>
                <w:rFonts w:cs="Arial"/>
              </w:rPr>
              <w:noBreakHyphen/>
            </w:r>
            <w:r w:rsidRPr="00E814C1">
              <w:t>19</w:t>
            </w:r>
            <w:r>
              <w:t xml:space="preserve"> levels. The ‘future market’ scenario accounts for planned future water recovery measures and an increase in demand. The ‘future market (dry)’ scenario assumes a further 3 per cent decline in rainfall and 11 per cent decline in allocation volumes (water supply).</w:t>
            </w:r>
          </w:p>
        </w:tc>
      </w:tr>
      <w:tr w:rsidR="001054C3" w:rsidRPr="00060062" w14:paraId="067C085E" w14:textId="77777777" w:rsidTr="00234FBE">
        <w:tc>
          <w:tcPr>
            <w:tcW w:w="5000" w:type="pct"/>
            <w:tcBorders>
              <w:top w:val="nil"/>
              <w:left w:val="nil"/>
              <w:bottom w:val="nil"/>
              <w:right w:val="nil"/>
            </w:tcBorders>
            <w:shd w:val="clear" w:color="auto" w:fill="auto"/>
          </w:tcPr>
          <w:p w14:paraId="739A6E07" w14:textId="7411C20A" w:rsidR="001054C3" w:rsidRPr="007F2F62" w:rsidRDefault="001054C3" w:rsidP="00234FBE">
            <w:pPr>
              <w:pStyle w:val="Source"/>
              <w:rPr>
                <w:lang w:val="fr-FR"/>
              </w:rPr>
            </w:pPr>
            <w:r w:rsidRPr="007F2F62">
              <w:rPr>
                <w:i/>
                <w:lang w:val="fr-FR"/>
              </w:rPr>
              <w:t>Source</w:t>
            </w:r>
            <w:r w:rsidRPr="007F2F62">
              <w:rPr>
                <w:lang w:val="fr-FR"/>
              </w:rPr>
              <w:t xml:space="preserve">: </w:t>
            </w:r>
            <w:r w:rsidRPr="00614813">
              <w:rPr>
                <w:lang w:val="fr-FR"/>
              </w:rPr>
              <w:t xml:space="preserve">Gupta et al. </w:t>
            </w:r>
            <w:r w:rsidRPr="00614813">
              <w:rPr>
                <w:rFonts w:cs="Arial"/>
                <w:szCs w:val="24"/>
                <w:lang w:val="fr-FR"/>
              </w:rPr>
              <w:t>(2020, p. 19)</w:t>
            </w:r>
            <w:r w:rsidRPr="00614813">
              <w:rPr>
                <w:lang w:val="fr-FR"/>
              </w:rPr>
              <w:t>.</w:t>
            </w:r>
          </w:p>
        </w:tc>
      </w:tr>
      <w:tr w:rsidR="001054C3" w:rsidRPr="00060062" w14:paraId="11617D62" w14:textId="77777777" w:rsidTr="00234FBE">
        <w:tc>
          <w:tcPr>
            <w:tcW w:w="5000" w:type="pct"/>
            <w:tcBorders>
              <w:top w:val="nil"/>
              <w:left w:val="nil"/>
              <w:bottom w:val="single" w:sz="6" w:space="0" w:color="78A22F" w:themeColor="accent1"/>
              <w:right w:val="nil"/>
            </w:tcBorders>
            <w:shd w:val="clear" w:color="auto" w:fill="auto"/>
          </w:tcPr>
          <w:p w14:paraId="5F59C182" w14:textId="77777777" w:rsidR="001054C3" w:rsidRPr="007F2F62" w:rsidRDefault="001054C3" w:rsidP="00234FBE">
            <w:pPr>
              <w:pStyle w:val="Figurespace"/>
              <w:rPr>
                <w:lang w:val="fr-FR"/>
              </w:rPr>
            </w:pPr>
          </w:p>
        </w:tc>
      </w:tr>
      <w:tr w:rsidR="001054C3" w:rsidRPr="00060062" w14:paraId="67C51EB6" w14:textId="77777777" w:rsidTr="00234FBE">
        <w:tc>
          <w:tcPr>
            <w:tcW w:w="5000" w:type="pct"/>
            <w:tcBorders>
              <w:top w:val="single" w:sz="6" w:space="0" w:color="78A22F" w:themeColor="accent1"/>
              <w:left w:val="nil"/>
              <w:bottom w:val="nil"/>
              <w:right w:val="nil"/>
            </w:tcBorders>
          </w:tcPr>
          <w:p w14:paraId="6413D451" w14:textId="77777777" w:rsidR="001054C3" w:rsidRPr="00BF136E" w:rsidRDefault="001054C3" w:rsidP="00234FBE">
            <w:pPr>
              <w:pStyle w:val="BoxSpaceBelow"/>
            </w:pPr>
          </w:p>
        </w:tc>
      </w:tr>
    </w:tbl>
    <w:p w14:paraId="10380C8E" w14:textId="77777777" w:rsidR="001054C3" w:rsidRDefault="001054C3" w:rsidP="00234FBE">
      <w:pPr>
        <w:pStyle w:val="Heading3"/>
      </w:pPr>
      <w:r>
        <w:t>Increasing demands will accentuate pressures</w:t>
      </w:r>
    </w:p>
    <w:p w14:paraId="51464E4B" w14:textId="77777777" w:rsidR="001054C3" w:rsidRDefault="001054C3" w:rsidP="00234FBE">
      <w:pPr>
        <w:pStyle w:val="BodyText"/>
      </w:pPr>
      <w:r>
        <w:t>A growing population, with growing demand for water, is also putting increasing pressure on an already limited resource.</w:t>
      </w:r>
    </w:p>
    <w:p w14:paraId="1136819E" w14:textId="5A88AA66" w:rsidR="001054C3" w:rsidRDefault="001054C3" w:rsidP="00234FBE">
      <w:pPr>
        <w:pStyle w:val="BodyText"/>
      </w:pPr>
      <w:r w:rsidRPr="00532240">
        <w:t>At the time of federation, Australia’s population was about 4 million people and just over one</w:t>
      </w:r>
      <w:r w:rsidRPr="00532240">
        <w:noBreakHyphen/>
        <w:t xml:space="preserve">third lived in capital cities </w:t>
      </w:r>
      <w:r w:rsidRPr="00C41E91">
        <w:rPr>
          <w:szCs w:val="24"/>
        </w:rPr>
        <w:t>(ABS 2019b)</w:t>
      </w:r>
      <w:r w:rsidRPr="00532240">
        <w:t>. By 2019, Australia was home to 25 </w:t>
      </w:r>
      <w:r>
        <w:t>million people and over two</w:t>
      </w:r>
      <w:r>
        <w:noBreakHyphen/>
        <w:t xml:space="preserve">thirds lived in capital cities </w:t>
      </w:r>
      <w:r w:rsidRPr="00C41E91">
        <w:rPr>
          <w:szCs w:val="24"/>
        </w:rPr>
        <w:t>(ABS 2019a, 2019c)</w:t>
      </w:r>
      <w:r>
        <w:t>. Despite the growth in urban living, household consumption makes up a relatively small share of consumptive use (only about</w:t>
      </w:r>
      <w:r w:rsidRPr="00381B30">
        <w:t xml:space="preserve"> 20</w:t>
      </w:r>
      <w:r>
        <w:t> </w:t>
      </w:r>
      <w:r w:rsidRPr="00381B30">
        <w:t>per</w:t>
      </w:r>
      <w:r>
        <w:t> </w:t>
      </w:r>
      <w:r w:rsidRPr="00381B30">
        <w:t>cent of total water taken was for urban water supply</w:t>
      </w:r>
      <w:r>
        <w:t xml:space="preserve"> in 2018</w:t>
      </w:r>
      <w:r>
        <w:noBreakHyphen/>
        <w:t xml:space="preserve">19 </w:t>
      </w:r>
      <w:r w:rsidR="00C67DB3" w:rsidRPr="00C67DB3">
        <w:rPr>
          <w:szCs w:val="24"/>
        </w:rPr>
        <w:t>(BOM 2020e)</w:t>
      </w:r>
      <w:r>
        <w:t>).</w:t>
      </w:r>
    </w:p>
    <w:p w14:paraId="7317533A" w14:textId="634BBADE" w:rsidR="001054C3" w:rsidRDefault="001054C3" w:rsidP="00234FBE">
      <w:pPr>
        <w:pStyle w:val="BodyText"/>
      </w:pPr>
      <w:r>
        <w:t xml:space="preserve">Nonetheless, Australian cities have been growing rapidly and are expected to continue to grow in the long term. In the year to June 2019, </w:t>
      </w:r>
      <w:r w:rsidRPr="0089342E">
        <w:t>capital cities accounted for 79</w:t>
      </w:r>
      <w:r>
        <w:t> </w:t>
      </w:r>
      <w:r w:rsidRPr="0089342E">
        <w:t>per</w:t>
      </w:r>
      <w:r>
        <w:t> </w:t>
      </w:r>
      <w:r w:rsidRPr="0089342E">
        <w:t xml:space="preserve">cent of Australia’s total population growth </w:t>
      </w:r>
      <w:r w:rsidRPr="00C41E91">
        <w:rPr>
          <w:szCs w:val="24"/>
        </w:rPr>
        <w:t>(ABS 2019c)</w:t>
      </w:r>
      <w:r>
        <w:t>. Prior to the COVID</w:t>
      </w:r>
      <w:r>
        <w:noBreakHyphen/>
        <w:t>19 pandemic, in a medium</w:t>
      </w:r>
      <w:r>
        <w:noBreakHyphen/>
        <w:t>growth scenario, the ABS estimated that, b</w:t>
      </w:r>
      <w:r w:rsidRPr="00E11E75">
        <w:t>y 2050</w:t>
      </w:r>
      <w:r>
        <w:t>,</w:t>
      </w:r>
      <w:r w:rsidRPr="00E11E75">
        <w:t xml:space="preserve"> </w:t>
      </w:r>
      <w:r>
        <w:t xml:space="preserve">an </w:t>
      </w:r>
      <w:r w:rsidRPr="00E11E75">
        <w:t>additional 1</w:t>
      </w:r>
      <w:r>
        <w:t>0 </w:t>
      </w:r>
      <w:r w:rsidRPr="00E11E75">
        <w:t xml:space="preserve">million </w:t>
      </w:r>
      <w:r>
        <w:t xml:space="preserve">people </w:t>
      </w:r>
      <w:r>
        <w:lastRenderedPageBreak/>
        <w:t>would live in Australia’s capital cities</w:t>
      </w:r>
      <w:r>
        <w:rPr>
          <w:rStyle w:val="FootnoteReference"/>
        </w:rPr>
        <w:footnoteReference w:id="10"/>
      </w:r>
      <w:r>
        <w:t>, and almost half (</w:t>
      </w:r>
      <w:r w:rsidRPr="00E11E75">
        <w:t>45</w:t>
      </w:r>
      <w:r>
        <w:t> per cent) of all Australians would</w:t>
      </w:r>
      <w:r w:rsidRPr="00E11E75">
        <w:t xml:space="preserve"> </w:t>
      </w:r>
      <w:r>
        <w:t xml:space="preserve">live </w:t>
      </w:r>
      <w:r w:rsidRPr="00E11E75">
        <w:t>in Sydney and Melbourn</w:t>
      </w:r>
      <w:r>
        <w:t>e (up from 41 per cent in 2019)</w:t>
      </w:r>
      <w:r w:rsidRPr="00E11E75">
        <w:t xml:space="preserve"> </w:t>
      </w:r>
      <w:r w:rsidRPr="00C41E91">
        <w:rPr>
          <w:szCs w:val="24"/>
        </w:rPr>
        <w:t>(ABS </w:t>
      </w:r>
      <w:r w:rsidRPr="00F926AC">
        <w:rPr>
          <w:szCs w:val="24"/>
        </w:rPr>
        <w:t>2018, 2019c)</w:t>
      </w:r>
      <w:r>
        <w:t>.</w:t>
      </w:r>
    </w:p>
    <w:p w14:paraId="60E0C730" w14:textId="52EE3567" w:rsidR="001054C3" w:rsidRDefault="001054C3" w:rsidP="00234FBE">
      <w:pPr>
        <w:pStyle w:val="BodyText"/>
      </w:pPr>
      <w:r>
        <w:t xml:space="preserve">Analysis from the Centre for Population </w:t>
      </w:r>
      <w:r w:rsidRPr="00FB356F">
        <w:t>(2020)</w:t>
      </w:r>
      <w:r>
        <w:t xml:space="preserve"> suggest that COVID</w:t>
      </w:r>
      <w:r>
        <w:noBreakHyphen/>
        <w:t>19 will affect population growth projections in the short to medium term — particularly in capital cities such as Sydney and Melbourne, where population growth is expected to be disproportionately affected by international border closures. In the long term, Australia’s population is still expected to grow significantly, particularly in capital cities (figure 2.8).</w:t>
      </w:r>
    </w:p>
    <w:p w14:paraId="2A4664AA" w14:textId="5F6F809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06B589EC" w14:textId="77777777" w:rsidTr="00234FBE">
        <w:trPr>
          <w:tblHeader/>
        </w:trPr>
        <w:tc>
          <w:tcPr>
            <w:tcW w:w="5000" w:type="pct"/>
            <w:tcBorders>
              <w:top w:val="single" w:sz="6" w:space="0" w:color="78A22F"/>
              <w:left w:val="nil"/>
              <w:bottom w:val="nil"/>
              <w:right w:val="nil"/>
            </w:tcBorders>
            <w:shd w:val="clear" w:color="auto" w:fill="auto"/>
          </w:tcPr>
          <w:p w14:paraId="69909AA2" w14:textId="77777777" w:rsidR="001054C3" w:rsidRDefault="001054C3" w:rsidP="00234FBE">
            <w:pPr>
              <w:pStyle w:val="FigureTitle"/>
              <w:rPr>
                <w:rStyle w:val="NoteLabel"/>
                <w:b/>
                <w:bCs/>
              </w:rPr>
            </w:pPr>
            <w:r w:rsidRPr="00784A05">
              <w:rPr>
                <w:b w:val="0"/>
              </w:rPr>
              <w:t>Figure</w:t>
            </w:r>
            <w:r>
              <w:rPr>
                <w:b w:val="0"/>
              </w:rPr>
              <w:t xml:space="preserve"> 2.8</w:t>
            </w:r>
            <w:r>
              <w:tab/>
              <w:t>Australia’s population is expected to grow, particularly in the largest capital cities</w:t>
            </w:r>
            <w:r w:rsidRPr="00141B36">
              <w:rPr>
                <w:rStyle w:val="NoteLabel"/>
                <w:b/>
                <w:bCs/>
              </w:rPr>
              <w:t>a</w:t>
            </w:r>
          </w:p>
          <w:p w14:paraId="6B8920A0" w14:textId="77777777" w:rsidR="001054C3" w:rsidRPr="003A1EA9" w:rsidRDefault="001054C3" w:rsidP="00234FBE">
            <w:pPr>
              <w:pStyle w:val="Subtitle"/>
            </w:pPr>
            <w:r>
              <w:t>Australia’s actual population in 2020 and population projections to 2030 (forecasted pre</w:t>
            </w:r>
            <w:r>
              <w:noBreakHyphen/>
              <w:t>COVID and post</w:t>
            </w:r>
            <w:r>
              <w:noBreakHyphen/>
              <w:t>COVID) and 2050</w:t>
            </w:r>
            <w:r>
              <w:rPr>
                <w:rStyle w:val="NoteLabel"/>
                <w:bCs/>
              </w:rPr>
              <w:t>b</w:t>
            </w:r>
            <w:r>
              <w:t xml:space="preserve"> (forecasted pre</w:t>
            </w:r>
            <w:r>
              <w:noBreakHyphen/>
              <w:t>COVID)</w:t>
            </w:r>
          </w:p>
        </w:tc>
      </w:tr>
      <w:tr w:rsidR="001054C3" w14:paraId="549C9B35"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1054C3" w:rsidRPr="00B1465D" w14:paraId="1FCA26C6" w14:textId="77777777" w:rsidTr="00234FBE">
              <w:trPr>
                <w:tblHeader/>
                <w:jc w:val="center"/>
              </w:trPr>
              <w:tc>
                <w:tcPr>
                  <w:tcW w:w="8504" w:type="dxa"/>
                  <w:tcBorders>
                    <w:top w:val="nil"/>
                    <w:bottom w:val="nil"/>
                  </w:tcBorders>
                </w:tcPr>
                <w:p w14:paraId="7D78D682" w14:textId="46927B3C" w:rsidR="001054C3" w:rsidRPr="00B1465D" w:rsidRDefault="003F3B4B" w:rsidP="00234FBE">
                  <w:pPr>
                    <w:pStyle w:val="Figure"/>
                    <w:spacing w:before="60" w:after="60"/>
                    <w:rPr>
                      <w:rFonts w:ascii="Arial" w:hAnsi="Arial" w:cs="Arial"/>
                      <w:sz w:val="18"/>
                      <w:szCs w:val="18"/>
                    </w:rPr>
                  </w:pPr>
                  <w:r w:rsidRPr="003F3B4B">
                    <w:rPr>
                      <w:rFonts w:ascii="Arial" w:hAnsi="Arial" w:cs="Arial"/>
                      <w:noProof/>
                      <w:sz w:val="18"/>
                      <w:szCs w:val="18"/>
                    </w:rPr>
                    <w:drawing>
                      <wp:inline distT="0" distB="0" distL="0" distR="0" wp14:anchorId="6DAA4B41" wp14:editId="15EE0658">
                        <wp:extent cx="5472000" cy="3248086"/>
                        <wp:effectExtent l="0" t="0" r="0" b="0"/>
                        <wp:docPr id="13" name="Picture 13" descr="Figure 2.8 This figure shows a bar chart depicting actual population, projected population at 2031 (both pre‑COVID and post-COVID projections) and at 2050 (pre-COVID projection) for each of Australia’s capital cities, and the aggregate for the population outside of capital cities. Population is expected to increase in every city as well as outside of capital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8 This figure shows a bar chart depicting actual population, projected population at 2031 (both pre‑COVID and post-COVID projections) and at 2050 (pre-COVID projection) for each of Australia’s capital cities, and the aggregate for the population outside of capital cities. Population is expected to increase in every city as well as outside of capital citie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000" cy="3248086"/>
                                </a:xfrm>
                                <a:prstGeom prst="rect">
                                  <a:avLst/>
                                </a:prstGeom>
                                <a:noFill/>
                                <a:ln>
                                  <a:noFill/>
                                </a:ln>
                              </pic:spPr>
                            </pic:pic>
                          </a:graphicData>
                        </a:graphic>
                      </wp:inline>
                    </w:drawing>
                  </w:r>
                  <w:r w:rsidR="001054C3" w:rsidRPr="00B57A19" w:rsidDel="00B57A19">
                    <w:rPr>
                      <w:rFonts w:ascii="Arial" w:hAnsi="Arial" w:cs="Arial"/>
                      <w:sz w:val="18"/>
                      <w:szCs w:val="18"/>
                    </w:rPr>
                    <w:t xml:space="preserve"> </w:t>
                  </w:r>
                </w:p>
              </w:tc>
            </w:tr>
          </w:tbl>
          <w:p w14:paraId="293E42FD" w14:textId="77777777" w:rsidR="001054C3" w:rsidRDefault="001054C3" w:rsidP="00234FBE">
            <w:pPr>
              <w:pStyle w:val="Figure"/>
            </w:pPr>
          </w:p>
        </w:tc>
      </w:tr>
      <w:tr w:rsidR="001054C3" w:rsidRPr="00176D3F" w14:paraId="3A6F9907" w14:textId="77777777" w:rsidTr="00234FBE">
        <w:tc>
          <w:tcPr>
            <w:tcW w:w="5000" w:type="pct"/>
            <w:tcBorders>
              <w:top w:val="nil"/>
              <w:left w:val="nil"/>
              <w:bottom w:val="nil"/>
              <w:right w:val="nil"/>
            </w:tcBorders>
            <w:shd w:val="clear" w:color="auto" w:fill="auto"/>
          </w:tcPr>
          <w:p w14:paraId="16FB1C0B" w14:textId="77777777" w:rsidR="001054C3" w:rsidRPr="00176D3F" w:rsidRDefault="001054C3" w:rsidP="00234FBE">
            <w:pPr>
              <w:pStyle w:val="Note"/>
            </w:pPr>
            <w:r>
              <w:rPr>
                <w:rStyle w:val="NoteLabel"/>
              </w:rPr>
              <w:t>a</w:t>
            </w:r>
            <w:r>
              <w:t xml:space="preserve"> Greater Capital City Statistical Areas. </w:t>
            </w:r>
            <w:r>
              <w:rPr>
                <w:rStyle w:val="NoteLabel"/>
              </w:rPr>
              <w:t>b</w:t>
            </w:r>
            <w:r>
              <w:t> The ABS 2050 population projections reflect the estimated medium</w:t>
            </w:r>
            <w:r>
              <w:noBreakHyphen/>
              <w:t>growth scenario (Series B), but there is also a high</w:t>
            </w:r>
            <w:r>
              <w:noBreakHyphen/>
              <w:t xml:space="preserve"> and low</w:t>
            </w:r>
            <w:r>
              <w:noBreakHyphen/>
              <w:t>growth scenario (Series A and C)</w:t>
            </w:r>
          </w:p>
        </w:tc>
      </w:tr>
      <w:tr w:rsidR="001054C3" w:rsidRPr="00176D3F" w14:paraId="6CFFA357" w14:textId="77777777" w:rsidTr="00234FBE">
        <w:tc>
          <w:tcPr>
            <w:tcW w:w="5000" w:type="pct"/>
            <w:tcBorders>
              <w:top w:val="nil"/>
              <w:left w:val="nil"/>
              <w:bottom w:val="nil"/>
              <w:right w:val="nil"/>
            </w:tcBorders>
            <w:shd w:val="clear" w:color="auto" w:fill="auto"/>
          </w:tcPr>
          <w:p w14:paraId="664E82DF" w14:textId="553BCFB9" w:rsidR="001054C3" w:rsidRPr="00176D3F" w:rsidRDefault="00C210B0" w:rsidP="00234FBE">
            <w:pPr>
              <w:pStyle w:val="Source"/>
            </w:pPr>
            <w:r>
              <w:rPr>
                <w:i/>
              </w:rPr>
              <w:t>S</w:t>
            </w:r>
            <w:r w:rsidR="001054C3" w:rsidRPr="00784A05">
              <w:rPr>
                <w:i/>
              </w:rPr>
              <w:t>ource</w:t>
            </w:r>
            <w:r w:rsidR="001054C3">
              <w:rPr>
                <w:i/>
              </w:rPr>
              <w:t>s</w:t>
            </w:r>
            <w:r w:rsidR="001054C3" w:rsidRPr="00176D3F">
              <w:t>:</w:t>
            </w:r>
            <w:r w:rsidR="001054C3">
              <w:t xml:space="preserve"> ABS (</w:t>
            </w:r>
            <w:r w:rsidR="001054C3">
              <w:rPr>
                <w:i/>
                <w:iCs/>
              </w:rPr>
              <w:t>Population Projections, Australia, November 2018,</w:t>
            </w:r>
            <w:r w:rsidR="001054C3">
              <w:t xml:space="preserve"> Cat. no. 3222.0; </w:t>
            </w:r>
            <w:r w:rsidR="001054C3">
              <w:rPr>
                <w:i/>
                <w:iCs/>
              </w:rPr>
              <w:t xml:space="preserve">Regional Population Growth, Australia, March 2020, </w:t>
            </w:r>
            <w:r w:rsidR="001054C3">
              <w:t xml:space="preserve">Cat. no. 3218.0); Centre for Population </w:t>
            </w:r>
            <w:r w:rsidR="001054C3" w:rsidRPr="006F3620">
              <w:rPr>
                <w:rFonts w:cs="Arial"/>
              </w:rPr>
              <w:t>(2020)</w:t>
            </w:r>
            <w:r w:rsidR="001054C3">
              <w:t>.</w:t>
            </w:r>
          </w:p>
        </w:tc>
      </w:tr>
      <w:tr w:rsidR="001054C3" w14:paraId="39AF88DE" w14:textId="77777777" w:rsidTr="00234FBE">
        <w:tc>
          <w:tcPr>
            <w:tcW w:w="5000" w:type="pct"/>
            <w:tcBorders>
              <w:top w:val="nil"/>
              <w:left w:val="nil"/>
              <w:bottom w:val="single" w:sz="6" w:space="0" w:color="78A22F"/>
              <w:right w:val="nil"/>
            </w:tcBorders>
            <w:shd w:val="clear" w:color="auto" w:fill="auto"/>
          </w:tcPr>
          <w:p w14:paraId="262A23E3" w14:textId="77777777" w:rsidR="001054C3" w:rsidRDefault="001054C3" w:rsidP="00234FBE">
            <w:pPr>
              <w:pStyle w:val="Figurespace"/>
            </w:pPr>
          </w:p>
        </w:tc>
      </w:tr>
      <w:tr w:rsidR="001054C3" w:rsidRPr="000863A5" w14:paraId="2B74B344" w14:textId="77777777" w:rsidTr="00234FBE">
        <w:tc>
          <w:tcPr>
            <w:tcW w:w="5000" w:type="pct"/>
            <w:tcBorders>
              <w:top w:val="single" w:sz="6" w:space="0" w:color="78A22F"/>
              <w:left w:val="nil"/>
              <w:bottom w:val="nil"/>
              <w:right w:val="nil"/>
            </w:tcBorders>
          </w:tcPr>
          <w:p w14:paraId="1E22787A" w14:textId="53A506AF" w:rsidR="001054C3" w:rsidRPr="00626D32" w:rsidRDefault="001054C3" w:rsidP="00234FBE">
            <w:pPr>
              <w:pStyle w:val="BoxSpaceBelow"/>
            </w:pPr>
          </w:p>
        </w:tc>
      </w:tr>
    </w:tbl>
    <w:p w14:paraId="370E1477" w14:textId="77777777" w:rsidR="001054C3" w:rsidRDefault="001054C3" w:rsidP="00234FBE">
      <w:pPr>
        <w:pStyle w:val="BodyText"/>
      </w:pPr>
      <w:r>
        <w:t>In major cities where readily</w:t>
      </w:r>
      <w:r>
        <w:noBreakHyphen/>
        <w:t>available supply sources have already been accessed, ongoing population growth is likely to create significant pressure on increasingly limited water supplies. With the exception of Darwin, all of Australia’s capital cities are located in southern or eastern parts of Australia, which are regions likely to see future declines in water availability as the climate changes.</w:t>
      </w:r>
    </w:p>
    <w:p w14:paraId="3233EE20" w14:textId="77777777" w:rsidR="001054C3" w:rsidRDefault="001054C3" w:rsidP="00234FBE">
      <w:pPr>
        <w:pStyle w:val="BodyText"/>
      </w:pPr>
      <w:r>
        <w:lastRenderedPageBreak/>
        <w:t>Major supply augmentations will be needed to meet increasing demand. Scenarios developed for Melbourne, for example, include a worst case of demand outstripping supply by about 2028 without further supply augmentation. Uncertainty in the underlying climate and demographic models, however, means that Melbourne’s water security may last until well beyond the middle of the century (figure 2.9).</w:t>
      </w:r>
    </w:p>
    <w:p w14:paraId="0D4313C0"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3D405D92" w14:textId="77777777" w:rsidTr="00234FBE">
        <w:trPr>
          <w:tblHeader/>
        </w:trPr>
        <w:tc>
          <w:tcPr>
            <w:tcW w:w="5000" w:type="pct"/>
            <w:tcBorders>
              <w:top w:val="single" w:sz="6" w:space="0" w:color="78A22F" w:themeColor="accent1"/>
              <w:left w:val="nil"/>
              <w:bottom w:val="nil"/>
              <w:right w:val="nil"/>
            </w:tcBorders>
            <w:shd w:val="clear" w:color="auto" w:fill="auto"/>
          </w:tcPr>
          <w:p w14:paraId="61596339" w14:textId="77777777" w:rsidR="001054C3" w:rsidRPr="00176D3F" w:rsidRDefault="001054C3" w:rsidP="00234FBE">
            <w:pPr>
              <w:pStyle w:val="FigureTitle"/>
            </w:pPr>
            <w:r w:rsidRPr="00784A05">
              <w:rPr>
                <w:b w:val="0"/>
              </w:rPr>
              <w:t xml:space="preserve">Figure </w:t>
            </w:r>
            <w:bookmarkStart w:id="52" w:name="OLE_LINK7"/>
            <w:r>
              <w:rPr>
                <w:b w:val="0"/>
              </w:rPr>
              <w:t>2.9</w:t>
            </w:r>
            <w:bookmarkEnd w:id="52"/>
            <w:r>
              <w:tab/>
            </w:r>
            <w:r w:rsidRPr="001446B7">
              <w:t>Water supply and demand projections for Melbourne</w:t>
            </w:r>
          </w:p>
        </w:tc>
      </w:tr>
      <w:tr w:rsidR="001054C3" w14:paraId="112B16F6" w14:textId="77777777" w:rsidTr="00234FBE">
        <w:tc>
          <w:tcPr>
            <w:tcW w:w="5000" w:type="pct"/>
            <w:tcBorders>
              <w:top w:val="nil"/>
              <w:left w:val="nil"/>
              <w:bottom w:val="nil"/>
              <w:right w:val="nil"/>
            </w:tcBorders>
            <w:shd w:val="clear" w:color="auto" w:fill="auto"/>
            <w:tcMar>
              <w:top w:w="28" w:type="dxa"/>
              <w:bottom w:w="28" w:type="dxa"/>
            </w:tcMar>
          </w:tcPr>
          <w:tbl>
            <w:tblPr>
              <w:tblW w:w="849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1054C3" w:rsidRPr="00B1465D" w14:paraId="1BD3F4D9" w14:textId="77777777" w:rsidTr="00234FBE">
              <w:trPr>
                <w:tblHeader/>
                <w:jc w:val="center"/>
              </w:trPr>
              <w:tc>
                <w:tcPr>
                  <w:tcW w:w="8498" w:type="dxa"/>
                  <w:tcBorders>
                    <w:top w:val="nil"/>
                    <w:bottom w:val="nil"/>
                  </w:tcBorders>
                </w:tcPr>
                <w:p w14:paraId="6952780A" w14:textId="77777777" w:rsidR="001054C3" w:rsidRPr="00B1465D" w:rsidRDefault="001054C3" w:rsidP="00234FBE">
                  <w:pPr>
                    <w:pStyle w:val="Figure"/>
                    <w:spacing w:before="60" w:after="60"/>
                    <w:rPr>
                      <w:rFonts w:ascii="Arial" w:hAnsi="Arial" w:cs="Arial"/>
                      <w:sz w:val="18"/>
                      <w:szCs w:val="18"/>
                    </w:rPr>
                  </w:pPr>
                  <w:r w:rsidRPr="00FE26B1">
                    <w:rPr>
                      <w:rFonts w:ascii="Arial" w:hAnsi="Arial" w:cs="Arial"/>
                      <w:noProof/>
                      <w:sz w:val="18"/>
                      <w:szCs w:val="18"/>
                    </w:rPr>
                    <w:drawing>
                      <wp:inline distT="0" distB="0" distL="0" distR="0" wp14:anchorId="2693B0A5" wp14:editId="0AEC6F1B">
                        <wp:extent cx="5493221" cy="2512695"/>
                        <wp:effectExtent l="0" t="0" r="0" b="1905"/>
                        <wp:docPr id="6" name="Picture 6" descr="Figure 2.9. This figure shows a line chart depicting projected water supply and demand (with associated ranges) for Melbourne, from 2015 to 2065. Supply is expected to decrease over time, while demand is expected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9. This figure shows a line chart depicting projected water supply and demand (with associated ranges) for Melbourne, from 2015 to 2065. Supply is expected to decrease over time, while demand is expected to increas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98982" cy="2515330"/>
                                </a:xfrm>
                                <a:prstGeom prst="rect">
                                  <a:avLst/>
                                </a:prstGeom>
                                <a:noFill/>
                                <a:ln>
                                  <a:noFill/>
                                </a:ln>
                              </pic:spPr>
                            </pic:pic>
                          </a:graphicData>
                        </a:graphic>
                      </wp:inline>
                    </w:drawing>
                  </w:r>
                </w:p>
              </w:tc>
            </w:tr>
          </w:tbl>
          <w:p w14:paraId="2D64DAD0" w14:textId="77777777" w:rsidR="001054C3" w:rsidRDefault="001054C3" w:rsidP="00234FBE">
            <w:pPr>
              <w:pStyle w:val="Figure"/>
            </w:pPr>
          </w:p>
        </w:tc>
      </w:tr>
      <w:tr w:rsidR="001054C3" w:rsidRPr="00176D3F" w14:paraId="0C69FD17" w14:textId="77777777" w:rsidTr="00234FBE">
        <w:tc>
          <w:tcPr>
            <w:tcW w:w="5000" w:type="pct"/>
            <w:tcBorders>
              <w:top w:val="nil"/>
              <w:left w:val="nil"/>
              <w:bottom w:val="nil"/>
              <w:right w:val="nil"/>
            </w:tcBorders>
            <w:shd w:val="clear" w:color="auto" w:fill="auto"/>
          </w:tcPr>
          <w:p w14:paraId="3D1C9417" w14:textId="6E6E460E" w:rsidR="001054C3" w:rsidRPr="00176D3F" w:rsidRDefault="001054C3" w:rsidP="00234FBE">
            <w:pPr>
              <w:pStyle w:val="Source"/>
            </w:pPr>
            <w:r w:rsidRPr="007F2F62">
              <w:rPr>
                <w:i/>
                <w:lang w:val="fr-FR"/>
              </w:rPr>
              <w:t>Source</w:t>
            </w:r>
            <w:r w:rsidRPr="007F2F62">
              <w:rPr>
                <w:lang w:val="fr-FR"/>
              </w:rPr>
              <w:t xml:space="preserve">: Melbourne Water et al. </w:t>
            </w:r>
            <w:r w:rsidRPr="00F926AC">
              <w:rPr>
                <w:rFonts w:cs="Arial"/>
              </w:rPr>
              <w:t>(2017)</w:t>
            </w:r>
            <w:r>
              <w:t>.</w:t>
            </w:r>
          </w:p>
        </w:tc>
      </w:tr>
      <w:tr w:rsidR="001054C3" w14:paraId="1A3AB404" w14:textId="77777777" w:rsidTr="00234FBE">
        <w:tc>
          <w:tcPr>
            <w:tcW w:w="5000" w:type="pct"/>
            <w:tcBorders>
              <w:top w:val="nil"/>
              <w:left w:val="nil"/>
              <w:bottom w:val="single" w:sz="6" w:space="0" w:color="78A22F" w:themeColor="accent1"/>
              <w:right w:val="nil"/>
            </w:tcBorders>
            <w:shd w:val="clear" w:color="auto" w:fill="auto"/>
          </w:tcPr>
          <w:p w14:paraId="591F20D0" w14:textId="77777777" w:rsidR="001054C3" w:rsidRDefault="001054C3" w:rsidP="00234FBE">
            <w:pPr>
              <w:pStyle w:val="Figurespace"/>
            </w:pPr>
          </w:p>
        </w:tc>
      </w:tr>
      <w:tr w:rsidR="001054C3" w:rsidRPr="000863A5" w14:paraId="24791E6D" w14:textId="77777777" w:rsidTr="00234FBE">
        <w:tc>
          <w:tcPr>
            <w:tcW w:w="5000" w:type="pct"/>
            <w:tcBorders>
              <w:top w:val="single" w:sz="6" w:space="0" w:color="78A22F" w:themeColor="accent1"/>
              <w:left w:val="nil"/>
              <w:bottom w:val="nil"/>
              <w:right w:val="nil"/>
            </w:tcBorders>
          </w:tcPr>
          <w:p w14:paraId="5918B8DF" w14:textId="77777777" w:rsidR="001054C3" w:rsidRPr="00626D32" w:rsidRDefault="001054C3" w:rsidP="00234FBE">
            <w:pPr>
              <w:pStyle w:val="BoxSpaceBelow"/>
            </w:pPr>
          </w:p>
        </w:tc>
      </w:tr>
    </w:tbl>
    <w:p w14:paraId="55910626" w14:textId="3FFBBBB2" w:rsidR="001054C3" w:rsidRDefault="001054C3" w:rsidP="00234FBE">
      <w:pPr>
        <w:pStyle w:val="BodyText"/>
      </w:pPr>
      <w:r>
        <w:t xml:space="preserve">The changing expectations of Australian communities are adding further pressure. For instance, in recent years, urban water users’ expectations of water service providers have extended beyond clean, reliable and affordable water and wastewater services to the role of water in creating urban amenity </w:t>
      </w:r>
      <w:r w:rsidRPr="006B775E">
        <w:rPr>
          <w:szCs w:val="24"/>
        </w:rPr>
        <w:t>(Infrastructure Victoria 2019, p.</w:t>
      </w:r>
      <w:r w:rsidRPr="00BB2BE1">
        <w:rPr>
          <w:szCs w:val="24"/>
        </w:rPr>
        <w:t> </w:t>
      </w:r>
      <w:r w:rsidRPr="006B775E">
        <w:rPr>
          <w:szCs w:val="24"/>
        </w:rPr>
        <w:t>3; WSAA 2014, p. 9, sub.</w:t>
      </w:r>
      <w:r>
        <w:rPr>
          <w:szCs w:val="24"/>
        </w:rPr>
        <w:t> </w:t>
      </w:r>
      <w:r w:rsidRPr="006B775E">
        <w:rPr>
          <w:szCs w:val="24"/>
        </w:rPr>
        <w:t>88, p.</w:t>
      </w:r>
      <w:r>
        <w:rPr>
          <w:szCs w:val="24"/>
        </w:rPr>
        <w:t> </w:t>
      </w:r>
      <w:r w:rsidRPr="006B775E">
        <w:rPr>
          <w:szCs w:val="24"/>
        </w:rPr>
        <w:t>12)</w:t>
      </w:r>
      <w:r>
        <w:t>. The Millennium Drought highlighted the dependence of both urban and rural communities on water and water environments — local lakes and streams dried up (particularly in regional communities) and urban communities had severe water restrictions which meant many public spaces could not be watered. Since then, both regional and urban communities have developed a greater appreciation of the contribution that water management and water environments can make to amenity, liveability, recreation and regional tourism. And the value of urban water amenity has never been more relevant than since the beginning of the COVID</w:t>
      </w:r>
      <w:r>
        <w:noBreakHyphen/>
        <w:t>19 pandemic, as intermittent lockdowns have limited people’s ability to travel outside cities to access natural environments.</w:t>
      </w:r>
    </w:p>
    <w:p w14:paraId="37A5D5BE" w14:textId="77777777" w:rsidR="001054C3" w:rsidRDefault="001054C3" w:rsidP="00234FBE">
      <w:pPr>
        <w:pStyle w:val="BodyText"/>
      </w:pPr>
      <w:r>
        <w:t>The expectations of Aboriginal and Torres Strait Islander people, and commitments made to Traditional Owners by governments, will also play an important role in determining how Australia’s water resources are managed into the future.</w:t>
      </w:r>
    </w:p>
    <w:p w14:paraId="7005B01D" w14:textId="77777777" w:rsidR="001054C3" w:rsidRDefault="001054C3" w:rsidP="00234FBE">
      <w:pPr>
        <w:pStyle w:val="BodyText"/>
      </w:pPr>
      <w:r>
        <w:lastRenderedPageBreak/>
        <w:t>Finally, extreme events such as the recent floods, COVID</w:t>
      </w:r>
      <w:r>
        <w:noBreakHyphen/>
        <w:t>19 pandemic and bushfires will continue to test water resource managers, and potentially lead to changing patterns in both supply and demand.</w:t>
      </w:r>
    </w:p>
    <w:p w14:paraId="25423D6D" w14:textId="77777777" w:rsidR="001054C3" w:rsidRDefault="001054C3" w:rsidP="00234FBE">
      <w:pPr>
        <w:pStyle w:val="BodyText"/>
        <w:rPr>
          <w:szCs w:val="24"/>
        </w:rPr>
      </w:pPr>
      <w:r>
        <w:rPr>
          <w:szCs w:val="24"/>
        </w:rPr>
        <w:t xml:space="preserve">Overall, urban water providers are likely to face significant pressures to augment and better manage water supplies. Here, too, past experience contains lessons for future reform settings and contributes to the case for NWI renewal. For example, instances of </w:t>
      </w:r>
      <w:r w:rsidRPr="006F0B7F">
        <w:t>rushed investments into desalination and water recycling</w:t>
      </w:r>
      <w:r>
        <w:t xml:space="preserve">, and </w:t>
      </w:r>
      <w:r>
        <w:rPr>
          <w:szCs w:val="24"/>
        </w:rPr>
        <w:t>poor selection of major rural water infrastructure with attendant costs for taxpayers, highlight the need for best</w:t>
      </w:r>
      <w:r>
        <w:rPr>
          <w:szCs w:val="24"/>
        </w:rPr>
        <w:noBreakHyphen/>
        <w:t xml:space="preserve">practice planning and investment decision making. </w:t>
      </w:r>
      <w:r>
        <w:t>U</w:t>
      </w:r>
      <w:r w:rsidRPr="006F0B7F">
        <w:t xml:space="preserve">tilities </w:t>
      </w:r>
      <w:r>
        <w:t xml:space="preserve">would be better able to </w:t>
      </w:r>
      <w:r w:rsidRPr="006F0B7F">
        <w:t xml:space="preserve">pursue the full suite of water security, public health, environmental and amenity outcomes sought by communities </w:t>
      </w:r>
      <w:r>
        <w:rPr>
          <w:szCs w:val="24"/>
        </w:rPr>
        <w:t>if water supply, wastewater and stormwater planning and management were integrated and sitting within entitlement regimes, and all water supply options were able to be considered.</w:t>
      </w:r>
    </w:p>
    <w:p w14:paraId="793B3FDB" w14:textId="77777777" w:rsidR="001054C3" w:rsidRDefault="001054C3" w:rsidP="00234FBE">
      <w:pPr>
        <w:pStyle w:val="BodyText"/>
      </w:pPr>
      <w:r w:rsidRPr="00BE2A7A">
        <w:rPr>
          <w:szCs w:val="24"/>
        </w:rPr>
        <w:t>Strong</w:t>
      </w:r>
      <w:r>
        <w:rPr>
          <w:szCs w:val="24"/>
        </w:rPr>
        <w:t>er</w:t>
      </w:r>
      <w:r w:rsidRPr="00BE2A7A">
        <w:rPr>
          <w:szCs w:val="24"/>
        </w:rPr>
        <w:t xml:space="preserve"> urban water policy settings that provide guidance on best</w:t>
      </w:r>
      <w:r w:rsidRPr="00BE2A7A">
        <w:rPr>
          <w:szCs w:val="24"/>
        </w:rPr>
        <w:noBreakHyphen/>
        <w:t>practice system planning, pricing and institutional arrangement</w:t>
      </w:r>
      <w:r>
        <w:rPr>
          <w:szCs w:val="24"/>
        </w:rPr>
        <w:t>s will help the sector meet th</w:t>
      </w:r>
      <w:r w:rsidRPr="00BE2A7A">
        <w:rPr>
          <w:szCs w:val="24"/>
        </w:rPr>
        <w:t>e challenges</w:t>
      </w:r>
      <w:r>
        <w:rPr>
          <w:szCs w:val="24"/>
        </w:rPr>
        <w:t xml:space="preserve"> ahead</w:t>
      </w:r>
      <w:r w:rsidRPr="00BE2A7A">
        <w:rPr>
          <w:szCs w:val="24"/>
        </w:rPr>
        <w:t>.</w:t>
      </w:r>
    </w:p>
    <w:p w14:paraId="710DBCC7" w14:textId="368B9C17" w:rsidR="001054C3" w:rsidRDefault="001054C3" w:rsidP="00234FBE">
      <w:pPr>
        <w:pStyle w:val="Heading2"/>
      </w:pPr>
      <w:bookmarkStart w:id="53" w:name="_Toc72939489"/>
      <w:r>
        <w:t>2.</w:t>
      </w:r>
      <w:r>
        <w:rPr>
          <w:noProof/>
        </w:rPr>
        <w:t>5</w:t>
      </w:r>
      <w:bookmarkStart w:id="54" w:name="_Toc63112452"/>
      <w:r w:rsidRPr="00C561D8">
        <w:tab/>
      </w:r>
      <w:r w:rsidRPr="007514ED">
        <w:t xml:space="preserve">In summary: the case for </w:t>
      </w:r>
      <w:r>
        <w:t xml:space="preserve">renewed </w:t>
      </w:r>
      <w:r w:rsidRPr="007514ED">
        <w:t xml:space="preserve">reform </w:t>
      </w:r>
      <w:r>
        <w:t xml:space="preserve">effort </w:t>
      </w:r>
      <w:r w:rsidRPr="007514ED">
        <w:t xml:space="preserve">is </w:t>
      </w:r>
      <w:r>
        <w:t>convincing</w:t>
      </w:r>
      <w:bookmarkEnd w:id="53"/>
      <w:bookmarkEnd w:id="54"/>
    </w:p>
    <w:p w14:paraId="371000D3" w14:textId="77777777" w:rsidR="001054C3" w:rsidRDefault="001054C3" w:rsidP="00234FBE">
      <w:pPr>
        <w:pStyle w:val="BodyText"/>
      </w:pPr>
      <w:r>
        <w:t>Water reform needs renewal. Significant progress has been made against the objectives and outcomes of the NWI over the 17 years since the agreement took effect, with sizeable benefits to Australian communities.</w:t>
      </w:r>
    </w:p>
    <w:p w14:paraId="7BFC7318" w14:textId="77777777" w:rsidR="001054C3" w:rsidRDefault="001054C3" w:rsidP="00234FBE">
      <w:pPr>
        <w:pStyle w:val="BodyText"/>
      </w:pPr>
      <w:r>
        <w:t>However, since the agreement was struck, severe droughts and extreme events have exposed vulnerabilities in water resource management and service provision. Management approaches have evolved in each of the jurisdictions. And experience has conferred significant knowledge. Modernisation of the NWI could draw on the lessons from this history to address the vulnerabilities, embed best practice and harness the value of new knowledge.</w:t>
      </w:r>
    </w:p>
    <w:p w14:paraId="1ED854C2" w14:textId="77777777" w:rsidR="001054C3" w:rsidRDefault="001054C3" w:rsidP="00234FBE">
      <w:pPr>
        <w:pStyle w:val="BodyText"/>
      </w:pPr>
      <w:r>
        <w:t>Renewal will also better position policy makers to confront the challenges from likely declines in water availability in much of the country, shifts in rainfall patterns, more frequent extreme events and increasing demands from water users. A proactive approach, with adoption of best</w:t>
      </w:r>
      <w:r>
        <w:noBreakHyphen/>
        <w:t>practice policy settings, will see Australia’s resources conserved and managed to best effect. Failing to adopt this approach will risk ad hoc and reactive responses, with greater costs to community wellbeing than need be.</w:t>
      </w:r>
    </w:p>
    <w:p w14:paraId="6C3865D3" w14:textId="77777777" w:rsidR="001054C3" w:rsidRDefault="001054C3" w:rsidP="00234FBE">
      <w:pPr>
        <w:pStyle w:val="BodyText"/>
      </w:pPr>
      <w:r>
        <w:t>The remainder of the report outlines the Commission’s advice on NWI renewal. It covers the policy framework for a renewed NWI including the goal, objectives and key elements for a new agreement (chapter 3), proposed governance arrangements for a new NWI (chapter 4) and more detailed policy directions for the proposed key elements (subsequent chapters).</w:t>
      </w:r>
    </w:p>
    <w:p w14:paraId="4AA73734" w14:textId="77777777" w:rsidR="001054C3" w:rsidRPr="00065089" w:rsidRDefault="001054C3" w:rsidP="00234FBE">
      <w:pPr>
        <w:pStyle w:val="BodyText"/>
        <w:rPr>
          <w:spacing w:val="-4"/>
        </w:rPr>
      </w:pPr>
      <w:r w:rsidRPr="00065089">
        <w:rPr>
          <w:spacing w:val="-4"/>
        </w:rPr>
        <w:lastRenderedPageBreak/>
        <w:t>In drafting this advice, the Commission has taken an adaptive approach to reform — examining progress against the original NWI, taking into account issues identified during 17 years of implementation including the experience during droughts, understanding the experience in the MDB as it provides lessons for national applicability, noting changing community preferences and attitudes and using this to develop policy approaches to allow governments and communities to deal with future challenges and adapt to a drier and more uncertain future.</w:t>
      </w:r>
    </w:p>
    <w:p w14:paraId="0BFDA0EF" w14:textId="77777777" w:rsidR="001054C3" w:rsidRPr="000E293F" w:rsidRDefault="001054C3" w:rsidP="00234FBE">
      <w:pPr>
        <w:pStyle w:val="BodyText"/>
      </w:pPr>
    </w:p>
    <w:p w14:paraId="1C13988A" w14:textId="77777777" w:rsidR="001054C3" w:rsidRDefault="001054C3" w:rsidP="001054C3">
      <w:pPr>
        <w:sectPr w:rsidR="001054C3" w:rsidSect="001054C3">
          <w:headerReference w:type="even" r:id="rId59"/>
          <w:headerReference w:type="default" r:id="rId60"/>
          <w:footerReference w:type="even" r:id="rId61"/>
          <w:footerReference w:type="default" r:id="rId62"/>
          <w:type w:val="oddPage"/>
          <w:pgSz w:w="11907" w:h="16840" w:code="9"/>
          <w:pgMar w:top="1985" w:right="1304" w:bottom="1247" w:left="1814" w:header="1701" w:footer="397" w:gutter="0"/>
          <w:pgNumType w:chapSep="period"/>
          <w:cols w:space="720"/>
          <w:docGrid w:linePitch="326"/>
        </w:sectPr>
      </w:pPr>
    </w:p>
    <w:p w14:paraId="36CFA3F3" w14:textId="77777777" w:rsidR="001054C3" w:rsidRDefault="001054C3" w:rsidP="00234FBE">
      <w:pPr>
        <w:pStyle w:val="Heading1"/>
        <w:spacing w:before="0"/>
      </w:pPr>
      <w:bookmarkStart w:id="55" w:name="_Toc63112453"/>
      <w:bookmarkStart w:id="56" w:name="_Toc72939490"/>
      <w:r>
        <w:lastRenderedPageBreak/>
        <w:t>3</w:t>
      </w:r>
      <w:r>
        <w:tab/>
        <w:t>NWI renewal: a refreshed intent</w:t>
      </w:r>
      <w:bookmarkEnd w:id="55"/>
      <w:bookmarkEnd w:id="56"/>
    </w:p>
    <w:p w14:paraId="56D1757F"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4AF457A1" w14:textId="77777777" w:rsidTr="00234FBE">
        <w:trPr>
          <w:tblHeader/>
        </w:trPr>
        <w:tc>
          <w:tcPr>
            <w:tcW w:w="5000" w:type="pct"/>
            <w:tcBorders>
              <w:top w:val="single" w:sz="6" w:space="0" w:color="78A22F"/>
              <w:left w:val="nil"/>
              <w:bottom w:val="nil"/>
              <w:right w:val="nil"/>
            </w:tcBorders>
            <w:shd w:val="clear" w:color="auto" w:fill="F2F2F2"/>
          </w:tcPr>
          <w:p w14:paraId="3C956945" w14:textId="77777777" w:rsidR="001054C3" w:rsidRDefault="001054C3" w:rsidP="00234FBE">
            <w:pPr>
              <w:pStyle w:val="BoxTitle"/>
            </w:pPr>
            <w:r>
              <w:t>Key points</w:t>
            </w:r>
          </w:p>
        </w:tc>
      </w:tr>
      <w:tr w:rsidR="001054C3" w14:paraId="2D417D00" w14:textId="77777777" w:rsidTr="00234FBE">
        <w:tc>
          <w:tcPr>
            <w:tcW w:w="5000" w:type="pct"/>
            <w:tcBorders>
              <w:top w:val="nil"/>
              <w:left w:val="nil"/>
              <w:bottom w:val="nil"/>
              <w:right w:val="nil"/>
            </w:tcBorders>
            <w:shd w:val="clear" w:color="auto" w:fill="F2F2F2"/>
          </w:tcPr>
          <w:p w14:paraId="1AD293FB" w14:textId="77777777" w:rsidR="001054C3" w:rsidRPr="00407671" w:rsidRDefault="001054C3" w:rsidP="00234FBE">
            <w:pPr>
              <w:pStyle w:val="KeyPointsListBullet"/>
            </w:pPr>
            <w:r>
              <w:t>Renewal of the National Water Initiative (NWI) would address stakeholder views about the need for strong government leadership on water policy.</w:t>
            </w:r>
          </w:p>
          <w:p w14:paraId="1B83CB85" w14:textId="77777777" w:rsidR="001054C3" w:rsidRDefault="001054C3" w:rsidP="00234FBE">
            <w:pPr>
              <w:pStyle w:val="KeyPointsListBullet"/>
            </w:pPr>
            <w:r>
              <w:t xml:space="preserve">The overarching goal for the NWI should be modernised to </w:t>
            </w:r>
            <w:r w:rsidRPr="00407671">
              <w:t>reference adaptation to</w:t>
            </w:r>
            <w:r>
              <w:t xml:space="preserve"> a changing</w:t>
            </w:r>
            <w:r w:rsidRPr="00407671">
              <w:t xml:space="preserve"> climate and </w:t>
            </w:r>
            <w:r>
              <w:t xml:space="preserve">to </w:t>
            </w:r>
            <w:r w:rsidRPr="00407671">
              <w:t>recogni</w:t>
            </w:r>
            <w:r>
              <w:t>se</w:t>
            </w:r>
            <w:r w:rsidRPr="00407671">
              <w:t xml:space="preserve"> the water </w:t>
            </w:r>
            <w:r>
              <w:t>interests</w:t>
            </w:r>
            <w:r w:rsidRPr="00407671">
              <w:t xml:space="preserve"> of </w:t>
            </w:r>
            <w:r>
              <w:t>Aboriginal and Torres Strait Islander people.</w:t>
            </w:r>
          </w:p>
          <w:p w14:paraId="2A235DCC" w14:textId="77777777" w:rsidR="001054C3" w:rsidRDefault="001054C3" w:rsidP="00234FBE">
            <w:pPr>
              <w:pStyle w:val="KeyPointsListBullet"/>
            </w:pPr>
            <w:r w:rsidRPr="00F751E3">
              <w:t xml:space="preserve">The overarching </w:t>
            </w:r>
            <w:r>
              <w:t>objective</w:t>
            </w:r>
            <w:r w:rsidRPr="00F751E3">
              <w:t xml:space="preserve"> for the NWI should be </w:t>
            </w:r>
            <w:r>
              <w:t>modernised</w:t>
            </w:r>
            <w:r w:rsidRPr="00F751E3">
              <w:t xml:space="preserve"> </w:t>
            </w:r>
            <w:r>
              <w:t>to reflect both</w:t>
            </w:r>
            <w:r w:rsidRPr="00F751E3">
              <w:t xml:space="preserve"> water resource management</w:t>
            </w:r>
            <w:r>
              <w:t xml:space="preserve"> and </w:t>
            </w:r>
            <w:r w:rsidRPr="00F751E3">
              <w:t xml:space="preserve">water service provision. The objective should also </w:t>
            </w:r>
            <w:r>
              <w:t>seek</w:t>
            </w:r>
            <w:r w:rsidRPr="00F751E3">
              <w:t xml:space="preserve"> to </w:t>
            </w:r>
            <w:r>
              <w:t xml:space="preserve">optimise </w:t>
            </w:r>
            <w:r w:rsidRPr="00F751E3">
              <w:t>Aboriginal and Torres Strait Islander people</w:t>
            </w:r>
            <w:r>
              <w:t xml:space="preserve">’s </w:t>
            </w:r>
            <w:r w:rsidRPr="00F751E3">
              <w:t>cultural outcomes</w:t>
            </w:r>
            <w:r>
              <w:t xml:space="preserve"> through best practice water resource management</w:t>
            </w:r>
            <w:r w:rsidRPr="00F751E3">
              <w:t>.</w:t>
            </w:r>
          </w:p>
          <w:p w14:paraId="29D22298" w14:textId="77777777" w:rsidR="001054C3" w:rsidRDefault="001054C3" w:rsidP="00234FBE">
            <w:pPr>
              <w:pStyle w:val="KeyPointsListBullet"/>
            </w:pPr>
            <w:r>
              <w:t>A</w:t>
            </w:r>
            <w:r w:rsidRPr="00F751E3">
              <w:t xml:space="preserve"> more detailed set of objectives for water resource management and a separate set for water service provision are propose</w:t>
            </w:r>
            <w:r>
              <w:t>d for the renewed NWI.</w:t>
            </w:r>
          </w:p>
          <w:p w14:paraId="7D85DFA1" w14:textId="77777777" w:rsidR="001054C3" w:rsidRDefault="001054C3" w:rsidP="00234FBE">
            <w:pPr>
              <w:pStyle w:val="KeyPointsListBullet"/>
            </w:pPr>
            <w:r>
              <w:t xml:space="preserve">New water resource management objectives should </w:t>
            </w:r>
            <w:r w:rsidRPr="00B4564C">
              <w:t>better account for the diverse characteristics of water sources</w:t>
            </w:r>
            <w:r>
              <w:t xml:space="preserve"> and should:</w:t>
            </w:r>
          </w:p>
          <w:p w14:paraId="13E12F75" w14:textId="77777777" w:rsidR="001054C3" w:rsidRDefault="001054C3" w:rsidP="00234FBE">
            <w:pPr>
              <w:pStyle w:val="KeyPointsListBullet2"/>
            </w:pPr>
            <w:r>
              <w:t xml:space="preserve">include </w:t>
            </w:r>
            <w:r w:rsidRPr="00B4564C">
              <w:t>processes for water sharing and management during periods of water scarcity</w:t>
            </w:r>
            <w:r>
              <w:t xml:space="preserve">, along with </w:t>
            </w:r>
            <w:r w:rsidRPr="00B4564C">
              <w:t>triggers and processes for reviewing the balance</w:t>
            </w:r>
            <w:r>
              <w:t xml:space="preserve"> and </w:t>
            </w:r>
            <w:r w:rsidRPr="00B4564C">
              <w:t>clear identification of the environmental, cultural and other public benefit outcomes to be met through planning processes</w:t>
            </w:r>
          </w:p>
          <w:p w14:paraId="40E65AAB" w14:textId="77777777" w:rsidR="001054C3" w:rsidRDefault="001054C3" w:rsidP="00234FBE">
            <w:pPr>
              <w:pStyle w:val="KeyPointsListBullet2"/>
            </w:pPr>
            <w:r>
              <w:t>extend</w:t>
            </w:r>
            <w:r w:rsidRPr="00B4564C">
              <w:t xml:space="preserve"> statutory provisions for the environment to recognise a need for integration with natural resource management and the potential to achieve cultural and social benefits</w:t>
            </w:r>
          </w:p>
          <w:p w14:paraId="603130AE" w14:textId="77777777" w:rsidR="001054C3" w:rsidRDefault="001054C3" w:rsidP="00234FBE">
            <w:pPr>
              <w:pStyle w:val="KeyPointsListBullet2"/>
            </w:pPr>
            <w:r>
              <w:t>enable strengthened and enduring</w:t>
            </w:r>
            <w:r w:rsidRPr="00B4564C">
              <w:t xml:space="preserve"> </w:t>
            </w:r>
            <w:r>
              <w:t xml:space="preserve">standing and </w:t>
            </w:r>
            <w:r w:rsidRPr="00B4564C">
              <w:t>influence for Aboriginal and Torres Strait Islander people in water planning and natural resource management</w:t>
            </w:r>
            <w:r>
              <w:t xml:space="preserve"> processes.</w:t>
            </w:r>
          </w:p>
          <w:p w14:paraId="5A2565E4" w14:textId="77777777" w:rsidR="001054C3" w:rsidRDefault="001054C3" w:rsidP="00234FBE">
            <w:pPr>
              <w:pStyle w:val="KeyPointsListBullet"/>
            </w:pPr>
            <w:r>
              <w:t>W</w:t>
            </w:r>
            <w:r w:rsidRPr="00B4564C">
              <w:t xml:space="preserve">ater service provision </w:t>
            </w:r>
            <w:r>
              <w:t>should include</w:t>
            </w:r>
            <w:r w:rsidRPr="00B4564C">
              <w:t xml:space="preserve"> a substantially expanded set of objectives</w:t>
            </w:r>
            <w:r>
              <w:t xml:space="preserve"> covering</w:t>
            </w:r>
            <w:r w:rsidRPr="00B4564C">
              <w:t>: drinking water quality; integrated management of water supply, wastewater and stormwater services; and processes to ensure that investments in major infrastructure clearly contribute to community wellbeing.</w:t>
            </w:r>
          </w:p>
          <w:p w14:paraId="67C2BE22" w14:textId="77777777" w:rsidR="001054C3" w:rsidRDefault="001054C3" w:rsidP="00234FBE">
            <w:pPr>
              <w:pStyle w:val="KeyPointsListBullet"/>
            </w:pPr>
            <w:r>
              <w:t>Six overarching principles are proposed to be</w:t>
            </w:r>
            <w:r w:rsidRPr="000D7A47">
              <w:t xml:space="preserve"> applied across all areas of water resource management and water service provision</w:t>
            </w:r>
            <w:r>
              <w:t xml:space="preserve"> and cover: strong capacity to contend with drought, floods and other shocks and adapt to climate change; fit</w:t>
            </w:r>
            <w:r>
              <w:noBreakHyphen/>
              <w:t>for</w:t>
            </w:r>
            <w:r>
              <w:noBreakHyphen/>
              <w:t>purpose management and regulation; use of best available information; adaptive management; meaningful community engagement; and capacity for communities to effectively engage.</w:t>
            </w:r>
          </w:p>
          <w:p w14:paraId="3505042E" w14:textId="77777777" w:rsidR="001054C3" w:rsidRDefault="001054C3" w:rsidP="00234FBE">
            <w:pPr>
              <w:pStyle w:val="KeyPointsListBullet"/>
            </w:pPr>
            <w:r>
              <w:t xml:space="preserve">All eight elements of the NWI remain relevant and should be retained in a new agreement. The current water accounting element should be significantly expanded to ensure trust and confidence in the integrity of water management, and there needs to be much more comprehensive treatment of urban water services. </w:t>
            </w:r>
            <w:r w:rsidRPr="000D7A47">
              <w:t>Two new elements are proposed</w:t>
            </w:r>
            <w:r>
              <w:t>:</w:t>
            </w:r>
          </w:p>
          <w:p w14:paraId="1C7E2CC8" w14:textId="77777777" w:rsidR="001054C3" w:rsidRDefault="001054C3" w:rsidP="00234FBE">
            <w:pPr>
              <w:pStyle w:val="KeyPointsListBullet2"/>
            </w:pPr>
            <w:r>
              <w:t xml:space="preserve">one </w:t>
            </w:r>
            <w:r w:rsidRPr="000D7A47">
              <w:t xml:space="preserve">to </w:t>
            </w:r>
            <w:r>
              <w:t>reflect</w:t>
            </w:r>
            <w:r w:rsidRPr="000D7A47">
              <w:t xml:space="preserve"> the interests of Aboriginal and Torres Strait Islander people in water resource management</w:t>
            </w:r>
          </w:p>
          <w:p w14:paraId="2F88C6DB" w14:textId="77777777" w:rsidR="001054C3" w:rsidRDefault="001054C3" w:rsidP="00234FBE">
            <w:pPr>
              <w:pStyle w:val="KeyPointsListBullet2"/>
            </w:pPr>
            <w:r>
              <w:t xml:space="preserve">the other, </w:t>
            </w:r>
            <w:r w:rsidRPr="000D7A47">
              <w:t xml:space="preserve">to </w:t>
            </w:r>
            <w:r>
              <w:t>include</w:t>
            </w:r>
            <w:r w:rsidRPr="000D7A47">
              <w:t xml:space="preserve"> principles for efficient investments</w:t>
            </w:r>
            <w:r>
              <w:t xml:space="preserve"> in major water infrastructure.</w:t>
            </w:r>
          </w:p>
        </w:tc>
      </w:tr>
      <w:tr w:rsidR="001054C3" w14:paraId="7B718765" w14:textId="77777777" w:rsidTr="00234FBE">
        <w:tc>
          <w:tcPr>
            <w:tcW w:w="5000" w:type="pct"/>
            <w:tcBorders>
              <w:top w:val="nil"/>
              <w:left w:val="nil"/>
              <w:bottom w:val="single" w:sz="6" w:space="0" w:color="78A22F"/>
              <w:right w:val="nil"/>
            </w:tcBorders>
            <w:shd w:val="clear" w:color="auto" w:fill="F2F2F2"/>
          </w:tcPr>
          <w:p w14:paraId="446540BE" w14:textId="77777777" w:rsidR="001054C3" w:rsidRDefault="001054C3" w:rsidP="00234FBE">
            <w:pPr>
              <w:pStyle w:val="Box"/>
              <w:spacing w:before="0" w:line="120" w:lineRule="exact"/>
            </w:pPr>
          </w:p>
        </w:tc>
      </w:tr>
      <w:tr w:rsidR="001054C3" w:rsidRPr="000863A5" w14:paraId="173BBC33" w14:textId="77777777" w:rsidTr="00234FBE">
        <w:tc>
          <w:tcPr>
            <w:tcW w:w="5000" w:type="pct"/>
            <w:tcBorders>
              <w:top w:val="single" w:sz="6" w:space="0" w:color="78A22F"/>
              <w:left w:val="nil"/>
              <w:bottom w:val="nil"/>
              <w:right w:val="nil"/>
            </w:tcBorders>
          </w:tcPr>
          <w:p w14:paraId="4D642DBE" w14:textId="77777777" w:rsidR="001054C3" w:rsidRPr="00626D32" w:rsidRDefault="001054C3" w:rsidP="00234FBE">
            <w:pPr>
              <w:pStyle w:val="BoxSpaceBelow"/>
            </w:pPr>
          </w:p>
        </w:tc>
      </w:tr>
    </w:tbl>
    <w:p w14:paraId="69AFB2C3" w14:textId="77858DCB" w:rsidR="001054C3" w:rsidRPr="007B1BBD" w:rsidRDefault="001054C3" w:rsidP="00234FBE">
      <w:pPr>
        <w:pStyle w:val="BodyText"/>
      </w:pPr>
      <w:r w:rsidRPr="007B1BBD">
        <w:lastRenderedPageBreak/>
        <w:t>This chapter sets out the Commission’s advice on the intent of a new agreement — its goal, objective</w:t>
      </w:r>
      <w:r>
        <w:t>s</w:t>
      </w:r>
      <w:r w:rsidRPr="007B1BBD">
        <w:t>, elements (reform foci)</w:t>
      </w:r>
      <w:r>
        <w:t xml:space="preserve"> and </w:t>
      </w:r>
      <w:r w:rsidRPr="007B1BBD">
        <w:t>underpinning principles. None of the related content from the 2004 National Water Initiative (NWI) is redundant. It should be retained. But it should be built on to create an agreement that is fit for today and for the next 10 to 15 years.</w:t>
      </w:r>
      <w:r>
        <w:t xml:space="preserve"> A summary comparison of the key parts of the 2004 NWI and the Commission’s advice for a renewed agreement is presented in figure 3.1.</w:t>
      </w:r>
    </w:p>
    <w:p w14:paraId="1469D290" w14:textId="77777777" w:rsidR="001054C3" w:rsidRPr="007B1BBD" w:rsidRDefault="001054C3" w:rsidP="00234FBE">
      <w:pPr>
        <w:pStyle w:val="BodyText"/>
      </w:pPr>
      <w:r w:rsidRPr="007B1BBD">
        <w:t>Three major themes run through all aspects of this advice</w:t>
      </w:r>
      <w:r>
        <w:t xml:space="preserve"> (and the Commission’s advice more generally in this report)</w:t>
      </w:r>
      <w:r w:rsidRPr="007B1BBD">
        <w:t xml:space="preserve">, reflecting the lessons of the past </w:t>
      </w:r>
      <w:r>
        <w:t>17</w:t>
      </w:r>
      <w:r w:rsidRPr="007B1BBD">
        <w:t xml:space="preserve"> years and the profound challenges facing the water sector</w:t>
      </w:r>
      <w:r>
        <w:t>. I</w:t>
      </w:r>
      <w:r w:rsidRPr="007B1BBD">
        <w:t>n the coming years</w:t>
      </w:r>
      <w:r>
        <w:t>,</w:t>
      </w:r>
      <w:r w:rsidRPr="007B1BBD">
        <w:t xml:space="preserve"> communities are going to have to:</w:t>
      </w:r>
    </w:p>
    <w:p w14:paraId="3ABF8B1F" w14:textId="77777777" w:rsidR="001054C3" w:rsidRDefault="001054C3" w:rsidP="00234FBE">
      <w:pPr>
        <w:pStyle w:val="ListBullet"/>
      </w:pPr>
      <w:r>
        <w:t xml:space="preserve">be able to contend with </w:t>
      </w:r>
      <w:r w:rsidDel="00DE65BB">
        <w:t xml:space="preserve">droughts </w:t>
      </w:r>
      <w:r>
        <w:t>and other extreme events and withstand shocks</w:t>
      </w:r>
    </w:p>
    <w:p w14:paraId="6148EF90" w14:textId="77777777" w:rsidR="001054C3" w:rsidRDefault="001054C3" w:rsidP="00234FBE">
      <w:pPr>
        <w:pStyle w:val="ListBullet"/>
      </w:pPr>
      <w:r>
        <w:t>know when and how to adapt to changes in the baseline (that is, permanent shifts in resource availability),</w:t>
      </w:r>
      <w:r w:rsidDel="00630DE7">
        <w:t xml:space="preserve"> </w:t>
      </w:r>
      <w:r>
        <w:t>wrought by climate change</w:t>
      </w:r>
    </w:p>
    <w:p w14:paraId="461B5635" w14:textId="77777777" w:rsidR="001054C3" w:rsidRDefault="001054C3" w:rsidP="00234FBE">
      <w:pPr>
        <w:pStyle w:val="ListBullet"/>
      </w:pPr>
      <w:r>
        <w:t>adopt fit</w:t>
      </w:r>
      <w:r>
        <w:noBreakHyphen/>
        <w:t>for</w:t>
      </w:r>
      <w:r>
        <w:noBreakHyphen/>
        <w:t>purpose arrangements — that is, arrangements that address the diversity of circumstances across the country.</w:t>
      </w:r>
    </w:p>
    <w:p w14:paraId="21C70280" w14:textId="77777777" w:rsidR="001054C3" w:rsidRPr="007B1BBD" w:rsidRDefault="001054C3" w:rsidP="00234FBE">
      <w:pPr>
        <w:pStyle w:val="BodyText"/>
      </w:pPr>
      <w:r w:rsidRPr="007B1BBD">
        <w:t>Before presenting th</w:t>
      </w:r>
      <w:r>
        <w:t>e Commission’s</w:t>
      </w:r>
      <w:r w:rsidRPr="007B1BBD">
        <w:t xml:space="preserve"> advice</w:t>
      </w:r>
      <w:r>
        <w:t xml:space="preserve"> on the intent of a new agreement</w:t>
      </w:r>
      <w:r w:rsidRPr="007B1BBD">
        <w:t xml:space="preserve">, the case </w:t>
      </w:r>
      <w:r>
        <w:t xml:space="preserve">is made </w:t>
      </w:r>
      <w:r w:rsidRPr="007B1BBD">
        <w:t>for a national approach.</w:t>
      </w:r>
    </w:p>
    <w:p w14:paraId="6AB7BAC5" w14:textId="7CFE3BA4"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7AB79739" w14:textId="77777777" w:rsidTr="00234FBE">
        <w:trPr>
          <w:tblHeader/>
        </w:trPr>
        <w:tc>
          <w:tcPr>
            <w:tcW w:w="5000" w:type="pct"/>
            <w:tcBorders>
              <w:top w:val="single" w:sz="6" w:space="0" w:color="78A22F"/>
              <w:left w:val="nil"/>
              <w:bottom w:val="nil"/>
              <w:right w:val="nil"/>
            </w:tcBorders>
            <w:shd w:val="clear" w:color="auto" w:fill="auto"/>
          </w:tcPr>
          <w:p w14:paraId="25850257" w14:textId="08B34063" w:rsidR="001054C3" w:rsidRPr="00176D3F" w:rsidRDefault="001054C3" w:rsidP="00234FBE">
            <w:pPr>
              <w:pStyle w:val="FigureTitle"/>
            </w:pPr>
            <w:r w:rsidRPr="00784A05">
              <w:rPr>
                <w:b w:val="0"/>
              </w:rPr>
              <w:t xml:space="preserve">Figure </w:t>
            </w:r>
            <w:bookmarkStart w:id="57" w:name="OLE_LINK2"/>
            <w:r>
              <w:rPr>
                <w:b w:val="0"/>
              </w:rPr>
              <w:t>3.</w:t>
            </w:r>
            <w:r>
              <w:rPr>
                <w:b w:val="0"/>
                <w:noProof/>
              </w:rPr>
              <w:t>1</w:t>
            </w:r>
            <w:bookmarkEnd w:id="57"/>
            <w:r>
              <w:tab/>
              <w:t>A renewed NWI needs to build on the 2004 Agreement</w:t>
            </w:r>
          </w:p>
        </w:tc>
      </w:tr>
      <w:tr w:rsidR="001054C3" w14:paraId="705B7AF5"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44"/>
              <w:gridCol w:w="4260"/>
            </w:tblGrid>
            <w:tr w:rsidR="001054C3" w:rsidRPr="00141BA4" w14:paraId="39FF3DF2" w14:textId="77777777" w:rsidTr="00234FBE">
              <w:trPr>
                <w:tblHeader/>
                <w:jc w:val="center"/>
              </w:trPr>
              <w:tc>
                <w:tcPr>
                  <w:tcW w:w="2500" w:type="pct"/>
                  <w:tcBorders>
                    <w:top w:val="nil"/>
                    <w:bottom w:val="nil"/>
                  </w:tcBorders>
                </w:tcPr>
                <w:p w14:paraId="70315AD1" w14:textId="77777777" w:rsidR="001054C3" w:rsidRPr="00141BA4" w:rsidRDefault="001054C3" w:rsidP="00234FBE">
                  <w:pPr>
                    <w:pStyle w:val="Figure"/>
                    <w:spacing w:before="60" w:after="60"/>
                    <w:rPr>
                      <w:rFonts w:ascii="Arial" w:hAnsi="Arial" w:cs="Arial"/>
                      <w:b/>
                      <w:bCs/>
                      <w:noProof/>
                      <w:sz w:val="22"/>
                      <w:szCs w:val="22"/>
                    </w:rPr>
                  </w:pPr>
                  <w:r w:rsidRPr="00141BA4">
                    <w:rPr>
                      <w:rFonts w:ascii="Arial" w:hAnsi="Arial" w:cs="Arial"/>
                      <w:b/>
                      <w:bCs/>
                      <w:noProof/>
                      <w:sz w:val="22"/>
                      <w:szCs w:val="22"/>
                    </w:rPr>
                    <w:t>2004 NWI</w:t>
                  </w:r>
                </w:p>
              </w:tc>
              <w:tc>
                <w:tcPr>
                  <w:tcW w:w="2500" w:type="pct"/>
                  <w:tcBorders>
                    <w:top w:val="nil"/>
                    <w:bottom w:val="nil"/>
                  </w:tcBorders>
                </w:tcPr>
                <w:p w14:paraId="30760088" w14:textId="77777777" w:rsidR="001054C3" w:rsidRPr="00141BA4" w:rsidRDefault="001054C3" w:rsidP="00234FBE">
                  <w:pPr>
                    <w:pStyle w:val="Figure"/>
                    <w:spacing w:before="60" w:after="60"/>
                    <w:rPr>
                      <w:rFonts w:ascii="Arial" w:hAnsi="Arial" w:cs="Arial"/>
                      <w:b/>
                      <w:bCs/>
                      <w:sz w:val="22"/>
                      <w:szCs w:val="22"/>
                    </w:rPr>
                  </w:pPr>
                  <w:r w:rsidRPr="00141BA4">
                    <w:rPr>
                      <w:rFonts w:ascii="Arial" w:hAnsi="Arial" w:cs="Arial"/>
                      <w:b/>
                      <w:bCs/>
                      <w:sz w:val="22"/>
                      <w:szCs w:val="22"/>
                    </w:rPr>
                    <w:t>Renewed NWI</w:t>
                  </w:r>
                </w:p>
              </w:tc>
            </w:tr>
            <w:tr w:rsidR="001054C3" w:rsidRPr="00B1465D" w14:paraId="1E1AE322" w14:textId="77777777" w:rsidTr="00234FBE">
              <w:trPr>
                <w:tblHeader/>
                <w:jc w:val="center"/>
              </w:trPr>
              <w:tc>
                <w:tcPr>
                  <w:tcW w:w="2500" w:type="pct"/>
                  <w:tcBorders>
                    <w:top w:val="nil"/>
                    <w:bottom w:val="nil"/>
                  </w:tcBorders>
                </w:tcPr>
                <w:p w14:paraId="0FF82CE8" w14:textId="77777777" w:rsidR="001054C3" w:rsidRPr="00B1465D" w:rsidRDefault="001054C3" w:rsidP="00234FBE">
                  <w:pPr>
                    <w:pStyle w:val="Figure"/>
                    <w:spacing w:before="60" w:after="60"/>
                    <w:rPr>
                      <w:rFonts w:ascii="Arial" w:hAnsi="Arial" w:cs="Arial"/>
                      <w:sz w:val="18"/>
                      <w:szCs w:val="18"/>
                    </w:rPr>
                  </w:pPr>
                  <w:r w:rsidRPr="00BD177B">
                    <w:rPr>
                      <w:rFonts w:ascii="Arial" w:hAnsi="Arial" w:cs="Arial"/>
                      <w:noProof/>
                      <w:sz w:val="18"/>
                      <w:szCs w:val="18"/>
                    </w:rPr>
                    <w:drawing>
                      <wp:inline distT="0" distB="0" distL="0" distR="0" wp14:anchorId="2B6F0506" wp14:editId="0BFB17C2">
                        <wp:extent cx="2659380" cy="3665220"/>
                        <wp:effectExtent l="0" t="0" r="7620" b="0"/>
                        <wp:docPr id="7" name="Picture 7" descr="Figure 3.1. Left hand side. 2004 NWI. This figure shows key components of the 2004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1. Left hand side. 2004 NWI. This figure shows key components of the 2004 Agreement.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59380" cy="3665220"/>
                                </a:xfrm>
                                <a:prstGeom prst="rect">
                                  <a:avLst/>
                                </a:prstGeom>
                                <a:noFill/>
                                <a:ln>
                                  <a:noFill/>
                                </a:ln>
                              </pic:spPr>
                            </pic:pic>
                          </a:graphicData>
                        </a:graphic>
                      </wp:inline>
                    </w:drawing>
                  </w:r>
                </w:p>
              </w:tc>
              <w:tc>
                <w:tcPr>
                  <w:tcW w:w="2500" w:type="pct"/>
                  <w:tcBorders>
                    <w:top w:val="nil"/>
                    <w:bottom w:val="nil"/>
                  </w:tcBorders>
                </w:tcPr>
                <w:p w14:paraId="3EDF7867" w14:textId="77777777" w:rsidR="001054C3" w:rsidRPr="00B1465D" w:rsidRDefault="001054C3" w:rsidP="00234FBE">
                  <w:pPr>
                    <w:pStyle w:val="Figure"/>
                    <w:spacing w:before="60" w:after="60"/>
                    <w:rPr>
                      <w:rFonts w:ascii="Arial" w:hAnsi="Arial" w:cs="Arial"/>
                      <w:sz w:val="18"/>
                      <w:szCs w:val="18"/>
                    </w:rPr>
                  </w:pPr>
                  <w:r w:rsidRPr="009D1961">
                    <w:rPr>
                      <w:rFonts w:ascii="Arial" w:hAnsi="Arial" w:cs="Arial"/>
                      <w:noProof/>
                      <w:sz w:val="18"/>
                      <w:szCs w:val="18"/>
                    </w:rPr>
                    <w:drawing>
                      <wp:inline distT="0" distB="0" distL="0" distR="0" wp14:anchorId="4351968B" wp14:editId="2C092B23">
                        <wp:extent cx="2705100" cy="3665220"/>
                        <wp:effectExtent l="0" t="0" r="0" b="0"/>
                        <wp:docPr id="8" name="Picture 8" descr="Figure 3.1. Right hand. Renewed NWI. This figure shows key components that the Commission is suggesting for inclusion in a new Agreement, including the goal, overarching objective, 13 detailed objectives (with separate content for water resource management and water service provision), 8 elements and 6 overarch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1. Right hand. Renewed NWI. This figure shows key components that the Commission is suggesting for inclusion in a new Agreement, including the goal, overarching objective, 13 detailed objectives (with separate content for water resource management and water service provision), 8 elements and 6 overarching principl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05100" cy="3665220"/>
                                </a:xfrm>
                                <a:prstGeom prst="rect">
                                  <a:avLst/>
                                </a:prstGeom>
                                <a:noFill/>
                                <a:ln>
                                  <a:noFill/>
                                </a:ln>
                              </pic:spPr>
                            </pic:pic>
                          </a:graphicData>
                        </a:graphic>
                      </wp:inline>
                    </w:drawing>
                  </w:r>
                </w:p>
              </w:tc>
            </w:tr>
          </w:tbl>
          <w:p w14:paraId="08884F6B" w14:textId="77777777" w:rsidR="001054C3" w:rsidRDefault="001054C3" w:rsidP="00234FBE">
            <w:pPr>
              <w:pStyle w:val="Figure"/>
            </w:pPr>
          </w:p>
        </w:tc>
      </w:tr>
      <w:tr w:rsidR="001054C3" w14:paraId="23DCCBE2" w14:textId="77777777" w:rsidTr="00234FBE">
        <w:tc>
          <w:tcPr>
            <w:tcW w:w="5000" w:type="pct"/>
            <w:tcBorders>
              <w:top w:val="nil"/>
              <w:left w:val="nil"/>
              <w:bottom w:val="single" w:sz="6" w:space="0" w:color="78A22F"/>
              <w:right w:val="nil"/>
            </w:tcBorders>
            <w:shd w:val="clear" w:color="auto" w:fill="auto"/>
          </w:tcPr>
          <w:p w14:paraId="008906F6" w14:textId="77777777" w:rsidR="001054C3" w:rsidRDefault="001054C3" w:rsidP="00234FBE">
            <w:pPr>
              <w:pStyle w:val="Figurespace"/>
            </w:pPr>
          </w:p>
        </w:tc>
      </w:tr>
      <w:tr w:rsidR="001054C3" w:rsidRPr="000863A5" w14:paraId="060FE0F3" w14:textId="77777777" w:rsidTr="00234FBE">
        <w:tc>
          <w:tcPr>
            <w:tcW w:w="5000" w:type="pct"/>
            <w:tcBorders>
              <w:top w:val="single" w:sz="6" w:space="0" w:color="78A22F"/>
              <w:left w:val="nil"/>
              <w:bottom w:val="nil"/>
              <w:right w:val="nil"/>
            </w:tcBorders>
          </w:tcPr>
          <w:p w14:paraId="68865FA3" w14:textId="4042FB23" w:rsidR="001054C3" w:rsidRPr="00626D32" w:rsidRDefault="001054C3" w:rsidP="00234FBE">
            <w:pPr>
              <w:pStyle w:val="BoxSpaceBelow"/>
            </w:pPr>
          </w:p>
        </w:tc>
      </w:tr>
    </w:tbl>
    <w:p w14:paraId="2A35754A" w14:textId="5A6D072B" w:rsidR="001054C3" w:rsidRDefault="001054C3" w:rsidP="00234FBE">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825"/>
        </w:tabs>
      </w:pPr>
      <w:bookmarkStart w:id="58" w:name="_Toc72939491"/>
      <w:r>
        <w:lastRenderedPageBreak/>
        <w:t>3.</w:t>
      </w:r>
      <w:r>
        <w:rPr>
          <w:noProof/>
        </w:rPr>
        <w:t>1</w:t>
      </w:r>
      <w:bookmarkStart w:id="59" w:name="_Toc63112454"/>
      <w:r>
        <w:tab/>
        <w:t>Why a national approach to water reform?</w:t>
      </w:r>
      <w:bookmarkEnd w:id="58"/>
      <w:bookmarkEnd w:id="59"/>
    </w:p>
    <w:p w14:paraId="5FE15566" w14:textId="7B1F6962" w:rsidR="001054C3" w:rsidRPr="007B1BBD" w:rsidRDefault="001054C3" w:rsidP="00234FBE">
      <w:pPr>
        <w:pStyle w:val="BodyText"/>
      </w:pPr>
      <w:r w:rsidRPr="007B1BBD">
        <w:t xml:space="preserve">All governments need to collaborate to address major national challenges. In the case of </w:t>
      </w:r>
      <w:r>
        <w:t>water reform</w:t>
      </w:r>
      <w:r w:rsidRPr="007B1BBD">
        <w:t>, the benefits of a national approach are demonstrable (WSAA, sub. 88). The design and implementation of the agreement have contributed to its status, credibility and overall success (PC 2017b, p. 316). Similar benefits lie with renewed effort.</w:t>
      </w:r>
    </w:p>
    <w:p w14:paraId="629608C3" w14:textId="77777777" w:rsidR="001054C3" w:rsidRDefault="001054C3" w:rsidP="00234FBE">
      <w:pPr>
        <w:pStyle w:val="ListBullet"/>
      </w:pPr>
      <w:r>
        <w:t>The process of developing and committing to the agreement will enable governments to demonstrate leadership on a national priority issue — the management of water in Australia.</w:t>
      </w:r>
    </w:p>
    <w:p w14:paraId="30DB1175" w14:textId="77777777" w:rsidR="001054C3" w:rsidRDefault="001054C3" w:rsidP="00234FBE">
      <w:pPr>
        <w:pStyle w:val="ListBullet"/>
      </w:pPr>
      <w:r>
        <w:t>Identification of key national priorities and a long</w:t>
      </w:r>
      <w:r>
        <w:noBreakHyphen/>
        <w:t>term policy agenda would help to depoliticise sensitive issues and create greater certainty for water users.</w:t>
      </w:r>
    </w:p>
    <w:p w14:paraId="5F398F91" w14:textId="77777777" w:rsidR="001054C3" w:rsidRDefault="001054C3" w:rsidP="00234FBE">
      <w:pPr>
        <w:pStyle w:val="ListBullet"/>
      </w:pPr>
      <w:r>
        <w:t>Sharing of effort, information and knowledge of best practice stand to contribute to more effective and efficient policy design.</w:t>
      </w:r>
    </w:p>
    <w:p w14:paraId="3E459441" w14:textId="77777777" w:rsidR="001054C3" w:rsidRDefault="001054C3" w:rsidP="00234FBE">
      <w:pPr>
        <w:pStyle w:val="ListBullet"/>
      </w:pPr>
      <w:r>
        <w:t>Inclusion of clear objectives and outcomes, coupled with commitment to independent, publicly reported monitoring of progress against reform commitments would:</w:t>
      </w:r>
    </w:p>
    <w:p w14:paraId="0E554EA5" w14:textId="77777777" w:rsidR="001054C3" w:rsidRDefault="001054C3" w:rsidP="00234FBE">
      <w:pPr>
        <w:pStyle w:val="ListBullet2"/>
      </w:pPr>
      <w:r>
        <w:t xml:space="preserve">promote </w:t>
      </w:r>
      <w:r w:rsidRPr="002264F0">
        <w:t>transparency and accountability</w:t>
      </w:r>
    </w:p>
    <w:p w14:paraId="79B6B8ED" w14:textId="77777777" w:rsidR="001054C3" w:rsidRDefault="001054C3" w:rsidP="00234FBE">
      <w:pPr>
        <w:pStyle w:val="ListBullet2"/>
      </w:pPr>
      <w:r>
        <w:t>signal governments’ recognition of the importance of water reform</w:t>
      </w:r>
    </w:p>
    <w:p w14:paraId="71E143A5" w14:textId="77777777" w:rsidR="001054C3" w:rsidRDefault="001054C3" w:rsidP="00234FBE">
      <w:pPr>
        <w:pStyle w:val="ListBullet2"/>
      </w:pPr>
      <w:r>
        <w:t>establish a collectively endorsed policy platform to guide government consideration of investment opportunities to deliver high value reform outcomes.</w:t>
      </w:r>
    </w:p>
    <w:p w14:paraId="69ED1257" w14:textId="77777777" w:rsidR="001054C3" w:rsidRDefault="001054C3" w:rsidP="00234FBE">
      <w:pPr>
        <w:pStyle w:val="ListBullet"/>
      </w:pPr>
      <w:r>
        <w:t>Adoption of a</w:t>
      </w:r>
      <w:r w:rsidRPr="002264F0">
        <w:t xml:space="preserve"> principles</w:t>
      </w:r>
      <w:r w:rsidRPr="002264F0">
        <w:noBreakHyphen/>
        <w:t xml:space="preserve">based rather than </w:t>
      </w:r>
      <w:r>
        <w:t xml:space="preserve">an overly </w:t>
      </w:r>
      <w:r w:rsidRPr="002264F0">
        <w:t>pr</w:t>
      </w:r>
      <w:r w:rsidRPr="005367F2">
        <w:t>escriptive</w:t>
      </w:r>
      <w:r>
        <w:t xml:space="preserve"> approach</w:t>
      </w:r>
      <w:r w:rsidRPr="005367F2">
        <w:t xml:space="preserve"> </w:t>
      </w:r>
      <w:r>
        <w:t xml:space="preserve">would </w:t>
      </w:r>
      <w:r w:rsidRPr="005367F2">
        <w:t>provid</w:t>
      </w:r>
      <w:r>
        <w:t>e</w:t>
      </w:r>
      <w:r w:rsidRPr="005367F2">
        <w:t xml:space="preserve"> jurisdictions </w:t>
      </w:r>
      <w:r>
        <w:t xml:space="preserve">with </w:t>
      </w:r>
      <w:r w:rsidRPr="005367F2">
        <w:t>flexibility to ensure reforms suited local conditions</w:t>
      </w:r>
      <w:r>
        <w:t>.</w:t>
      </w:r>
    </w:p>
    <w:p w14:paraId="46E5881E" w14:textId="77777777" w:rsidR="001054C3" w:rsidRDefault="001054C3" w:rsidP="00234FBE">
      <w:pPr>
        <w:pStyle w:val="ListBullet"/>
      </w:pPr>
      <w:r>
        <w:t xml:space="preserve">Commitment to </w:t>
      </w:r>
      <w:r w:rsidRPr="005367F2">
        <w:t xml:space="preserve">community </w:t>
      </w:r>
      <w:r>
        <w:t>engagement would</w:t>
      </w:r>
      <w:r w:rsidRPr="005367F2">
        <w:t xml:space="preserve"> </w:t>
      </w:r>
      <w:r>
        <w:t>signal an intent to involve all water users, communities and environmental managers in decisions, and engender better outcomes from inevitable trade</w:t>
      </w:r>
      <w:r>
        <w:noBreakHyphen/>
        <w:t>offs involved in reform.</w:t>
      </w:r>
    </w:p>
    <w:p w14:paraId="6EA3D20B" w14:textId="4A122152" w:rsidR="001054C3" w:rsidRDefault="001054C3" w:rsidP="00234FBE">
      <w:pPr>
        <w:pStyle w:val="Heading2"/>
      </w:pPr>
      <w:bookmarkStart w:id="60" w:name="_Toc72939492"/>
      <w:r>
        <w:t>3.</w:t>
      </w:r>
      <w:r>
        <w:rPr>
          <w:noProof/>
        </w:rPr>
        <w:t>2</w:t>
      </w:r>
      <w:bookmarkStart w:id="61" w:name="_Toc63112455"/>
      <w:r>
        <w:tab/>
        <w:t>A modernised goal</w:t>
      </w:r>
      <w:bookmarkEnd w:id="60"/>
      <w:bookmarkEnd w:id="61"/>
    </w:p>
    <w:p w14:paraId="1DBDE676" w14:textId="77777777" w:rsidR="001054C3" w:rsidRPr="007B1BBD" w:rsidRDefault="001054C3" w:rsidP="00234FBE">
      <w:pPr>
        <w:pStyle w:val="BodyText"/>
      </w:pPr>
      <w:r w:rsidRPr="007B1BBD">
        <w:t>Paragraph 5 of the NWI sets out jurisdictions’ overarching goal for the agreement.</w:t>
      </w:r>
    </w:p>
    <w:p w14:paraId="193EF717" w14:textId="77777777" w:rsidR="001054C3" w:rsidRDefault="001054C3" w:rsidP="00234FBE">
      <w:pPr>
        <w:pStyle w:val="Quote"/>
      </w:pPr>
      <w:r w:rsidRPr="00610FA9">
        <w:t>The Parties agree to implement this National Water Initiative (NWI) in recognition of the continuing national imperative to increase the productivity and efficiency of Australia’s water use, the need to service rural and urban communities, and to ensure the health of river and groundwater systems by establishing clear pathways to return all systems to environmentally sustainable levels of extraction.</w:t>
      </w:r>
    </w:p>
    <w:p w14:paraId="1F99E601" w14:textId="77777777" w:rsidR="001054C3" w:rsidRPr="007B1BBD" w:rsidRDefault="001054C3" w:rsidP="00234FBE">
      <w:pPr>
        <w:pStyle w:val="BodyText"/>
      </w:pPr>
      <w:r w:rsidRPr="007B1BBD">
        <w:t>This goal remains sound, but merits two additions.</w:t>
      </w:r>
    </w:p>
    <w:p w14:paraId="6E197420" w14:textId="77777777" w:rsidR="001054C3" w:rsidRPr="007B1BBD" w:rsidRDefault="001054C3" w:rsidP="00234FBE">
      <w:pPr>
        <w:pStyle w:val="BodyText"/>
      </w:pPr>
      <w:r w:rsidRPr="007B1BBD">
        <w:t>Since the NWI was agreed, the potentially devastating impacts of climate change on Australia’s water resources have become clearer (chapter 2). Recognition that all aspects of water resource management and water service provision will need to adapt in the face of these challenges should be reflected in a renewed agreement.</w:t>
      </w:r>
      <w:r>
        <w:t xml:space="preserve"> </w:t>
      </w:r>
    </w:p>
    <w:p w14:paraId="6188DF91" w14:textId="77777777" w:rsidR="001054C3" w:rsidRDefault="001054C3" w:rsidP="00234FBE">
      <w:pPr>
        <w:pStyle w:val="BodyText"/>
      </w:pPr>
      <w:r w:rsidRPr="007B1BBD">
        <w:lastRenderedPageBreak/>
        <w:t xml:space="preserve">Similarly, understanding of and support for Aboriginal and Torres Strait Islander people’s aspirations </w:t>
      </w:r>
      <w:r w:rsidRPr="00CA1258">
        <w:t>for greater</w:t>
      </w:r>
      <w:r w:rsidRPr="007B1BBD">
        <w:t xml:space="preserve"> access to, and control over, water resources has grown (chapter 9), as has awareness of water service provision issues in remote communities (chapter 1</w:t>
      </w:r>
      <w:r>
        <w:t>2).</w:t>
      </w:r>
    </w:p>
    <w:p w14:paraId="5AF5A5E6" w14:textId="77777777" w:rsidR="001054C3" w:rsidRDefault="001054C3" w:rsidP="00234FBE">
      <w:pPr>
        <w:pStyle w:val="BodyText"/>
      </w:pPr>
      <w:r>
        <w:t>The 2004 NWI sought to recognise Aboriginal and Torres Strait Islander people’s needs in relation to water access and management. Commitments were made to consult with Traditional Owners in water planning and include cultural values in water plans. But progress against these commitments has been slow.</w:t>
      </w:r>
    </w:p>
    <w:p w14:paraId="1CEA5BCC" w14:textId="77777777" w:rsidR="001054C3" w:rsidRDefault="001054C3" w:rsidP="00234FBE">
      <w:pPr>
        <w:pStyle w:val="BodyText"/>
      </w:pPr>
      <w:r>
        <w:t>Since the NWI was agreed, Aboriginal and Torres Strait Islander people have made it clear that they aspire to much greater access to, and control over, water resources. Those aspirations have been clearly put, and supported, in submissions to this inquiry (chapter 9). Governments have also taken some steps to better recognise Aboriginal and Torres Strait Islander people’s water interests. In particular, Australia has endorsed the United Nations Declaration on the Rights of Indigenous People (UNDRIP) that states that Indigenous people have the right to own, use and develop waters that they traditionally owned. And</w:t>
      </w:r>
      <w:r w:rsidRPr="00C25CA5">
        <w:t xml:space="preserve"> </w:t>
      </w:r>
      <w:r w:rsidRPr="007B1BBD">
        <w:t>the 2020 National Agreement on Closing the Gap</w:t>
      </w:r>
      <w:r>
        <w:t xml:space="preserve"> includes the outcome that Aboriginal and Torres Strait Islander people maintain a distinctive cultural, spiritual, physical and economic relationship with their land and waters.</w:t>
      </w:r>
    </w:p>
    <w:p w14:paraId="65D06285" w14:textId="77777777" w:rsidR="001054C3" w:rsidRDefault="001054C3" w:rsidP="00234FBE">
      <w:pPr>
        <w:pStyle w:val="BodyText"/>
      </w:pPr>
      <w:r>
        <w:t>Given this background, i</w:t>
      </w:r>
      <w:r w:rsidRPr="007B1BBD">
        <w:t xml:space="preserve">t </w:t>
      </w:r>
      <w:r>
        <w:t xml:space="preserve">is desirable that Aboriginal and Torres Strait Islander people’s water interests are elevated in </w:t>
      </w:r>
      <w:r w:rsidRPr="007B1BBD">
        <w:t>a renewed NWI</w:t>
      </w:r>
      <w:r>
        <w:t>.</w:t>
      </w:r>
    </w:p>
    <w:p w14:paraId="0660781D" w14:textId="77777777" w:rsidR="001054C3" w:rsidRDefault="001054C3" w:rsidP="00234FBE">
      <w:pPr>
        <w:pStyle w:val="BodyText"/>
      </w:pPr>
      <w:r>
        <w:t>The draft report suggested inclusion of the following wording within the overarching goal: ‘</w:t>
      </w:r>
      <w:r w:rsidRPr="00C67C5B">
        <w:t>In continuing to implement this agreement, the Parties also acknowledge the importance of water to the lives of Aboriginal and Torres Strait Islander people</w:t>
      </w:r>
      <w:r>
        <w:t>’</w:t>
      </w:r>
      <w:r w:rsidRPr="00C67C5B">
        <w:t>.</w:t>
      </w:r>
    </w:p>
    <w:p w14:paraId="3DECA450" w14:textId="77777777" w:rsidR="001054C3" w:rsidRDefault="001054C3" w:rsidP="00234FBE">
      <w:pPr>
        <w:pStyle w:val="BodyText"/>
      </w:pPr>
      <w:r>
        <w:t>Many inquiry participants supported the Commission’s intent but some suggested the wording could be improved (for example, Lifeblood Alliance, sub. DR133; NLC, sub. DR134; WWF sub. DR139;</w:t>
      </w:r>
      <w:r w:rsidRPr="00373693">
        <w:t xml:space="preserve"> </w:t>
      </w:r>
      <w:r>
        <w:t>PIAC, sub. DR156; MLDRIN, sub. DR185). In particular, participants suggested wording that better recognised Aboriginal and Torres Strait Islander people’s relationship with water and enduring rights to manage and access water resources. Suggestions to include a reference to rights were associated with a call from some participants for the Commission to advise governments to directly address the loss of Aboriginal and Torres Strait Islander people’s traditional rights.</w:t>
      </w:r>
    </w:p>
    <w:p w14:paraId="3A68583F" w14:textId="77777777" w:rsidR="001054C3" w:rsidRDefault="001054C3" w:rsidP="00234FBE">
      <w:pPr>
        <w:pStyle w:val="BodyText"/>
      </w:pPr>
      <w:r>
        <w:t>The Commission has drawn on this feedback in revising its advice on a modernised NWI goal</w:t>
      </w:r>
      <w:r w:rsidRPr="003C3055">
        <w:t xml:space="preserve">. However, reference to Aboriginal and Torres Strait Islander people’s claims to enduring rights to manage and access water has not been included. </w:t>
      </w:r>
      <w:r>
        <w:t>Achieving the restoration of Aboriginal and Torres Strait Islander people’s traditional rights to water would require fundamental change to current property rights regimes and the way water is currently managed. This would have profound flow-on impacts on other entitlement holders, communities and individuals. Renewal of the National Water Initiative is not the appropriate vehicle for the Australian community to consider such far reaching changes.</w:t>
      </w:r>
    </w:p>
    <w:p w14:paraId="500E31CB"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48E6C79F" w14:textId="77777777" w:rsidTr="00234FBE">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4B990878" w14:textId="615D589D" w:rsidR="001054C3" w:rsidRPr="00CE4C64" w:rsidRDefault="001054C3" w:rsidP="00234FBE">
            <w:pPr>
              <w:pStyle w:val="RecTitle"/>
              <w:spacing w:before="120"/>
              <w:rPr>
                <w:noProof/>
              </w:rPr>
            </w:pPr>
            <w:r>
              <w:t>NWI renewal advice 3.</w:t>
            </w:r>
            <w:r>
              <w:rPr>
                <w:noProof/>
              </w:rPr>
              <w:t>1: a modernised goal</w:t>
            </w:r>
          </w:p>
        </w:tc>
      </w:tr>
      <w:tr w:rsidR="001054C3" w:rsidRPr="00750BE2" w14:paraId="4DBF0981"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58850B68" w14:textId="77777777" w:rsidR="001054C3" w:rsidRDefault="001054C3" w:rsidP="00234FBE">
            <w:pPr>
              <w:pStyle w:val="Rec"/>
              <w:keepNext/>
            </w:pPr>
            <w:r>
              <w:t>The overarching goal of the National Water Initiative remains sound but should be modernised through reference to adaptation to climate change and recognition of the importance of water in the lives of Aboriginal and Torres Strait Islander people. Suggested wording follows:</w:t>
            </w:r>
          </w:p>
          <w:p w14:paraId="03137D29" w14:textId="77777777" w:rsidR="001054C3" w:rsidRDefault="001054C3" w:rsidP="00234FBE">
            <w:pPr>
              <w:pStyle w:val="Rec"/>
              <w:ind w:left="340"/>
            </w:pPr>
            <w:r w:rsidRPr="00C67C5B">
              <w:t xml:space="preserve">The Parties commit to this </w:t>
            </w:r>
            <w:r>
              <w:t xml:space="preserve">renewed </w:t>
            </w:r>
            <w:r w:rsidRPr="00C67C5B">
              <w:t xml:space="preserve">National Water Initiative in recognition of the continuing national imperative to increase the productivity and efficiency of Australia’s water use, to service the changing needs of rural, urban and </w:t>
            </w:r>
            <w:r>
              <w:t xml:space="preserve">Aboriginal and Torres Strait Islander </w:t>
            </w:r>
            <w:r w:rsidRPr="00C67C5B">
              <w:t>communities and to ensure the health of river and groundwater systems and their surrounding landscapes whilst adapting to a changing climate.</w:t>
            </w:r>
          </w:p>
          <w:p w14:paraId="1DB54259" w14:textId="290CACAB" w:rsidR="001054C3" w:rsidRDefault="001054C3" w:rsidP="00234FBE">
            <w:pPr>
              <w:pStyle w:val="Rec"/>
              <w:ind w:left="340"/>
            </w:pPr>
            <w:r w:rsidRPr="00422D8A">
              <w:t xml:space="preserve">In committing to this </w:t>
            </w:r>
            <w:r>
              <w:t>a</w:t>
            </w:r>
            <w:r w:rsidRPr="00422D8A">
              <w:t xml:space="preserve">greement, the parties recognise </w:t>
            </w:r>
            <w:r>
              <w:t>Aboriginal and Torres Strait Islander</w:t>
            </w:r>
            <w:r w:rsidRPr="00422D8A">
              <w:t xml:space="preserve"> people</w:t>
            </w:r>
            <w:r>
              <w:t>’</w:t>
            </w:r>
            <w:r w:rsidRPr="00422D8A">
              <w:t xml:space="preserve">s reverence and </w:t>
            </w:r>
            <w:r>
              <w:t xml:space="preserve">cultural </w:t>
            </w:r>
            <w:r w:rsidRPr="00422D8A">
              <w:t xml:space="preserve">responsibility for rivers and groundwater systems and their </w:t>
            </w:r>
            <w:r w:rsidR="00787230">
              <w:t>desire</w:t>
            </w:r>
            <w:r w:rsidR="00787230" w:rsidRPr="00422D8A">
              <w:t xml:space="preserve"> </w:t>
            </w:r>
            <w:r w:rsidRPr="00422D8A">
              <w:t xml:space="preserve">to participate in all </w:t>
            </w:r>
            <w:r>
              <w:t xml:space="preserve">significant </w:t>
            </w:r>
            <w:r w:rsidRPr="00422D8A">
              <w:t xml:space="preserve">processes and decisions informed by this </w:t>
            </w:r>
            <w:r>
              <w:t>I</w:t>
            </w:r>
            <w:r w:rsidRPr="00422D8A">
              <w:t>nitiative.</w:t>
            </w:r>
          </w:p>
        </w:tc>
      </w:tr>
      <w:tr w:rsidR="001054C3" w14:paraId="09694564" w14:textId="77777777" w:rsidTr="00234FBE">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34DC7B0C" w14:textId="77777777" w:rsidR="001054C3" w:rsidRDefault="001054C3" w:rsidP="00234FBE">
            <w:pPr>
              <w:pStyle w:val="Space"/>
              <w:keepLines/>
            </w:pPr>
          </w:p>
        </w:tc>
      </w:tr>
      <w:tr w:rsidR="001054C3" w:rsidRPr="000863A5" w14:paraId="2972D1FD" w14:textId="77777777" w:rsidTr="00234FBE">
        <w:tc>
          <w:tcPr>
            <w:tcW w:w="5000" w:type="pct"/>
            <w:tcBorders>
              <w:top w:val="single" w:sz="6" w:space="0" w:color="265A9A" w:themeColor="background2"/>
              <w:left w:val="nil"/>
              <w:bottom w:val="nil"/>
              <w:right w:val="nil"/>
            </w:tcBorders>
            <w:tcMar>
              <w:left w:w="170" w:type="dxa"/>
              <w:right w:w="170" w:type="dxa"/>
            </w:tcMar>
          </w:tcPr>
          <w:p w14:paraId="2697D27D" w14:textId="77777777" w:rsidR="001054C3" w:rsidRPr="00626D32" w:rsidRDefault="001054C3" w:rsidP="00234FBE">
            <w:pPr>
              <w:pStyle w:val="BoxSpaceBelow"/>
              <w:keepLines/>
            </w:pPr>
          </w:p>
        </w:tc>
      </w:tr>
    </w:tbl>
    <w:p w14:paraId="34EEA2D0" w14:textId="3A38F1F3" w:rsidR="001054C3" w:rsidRDefault="001054C3" w:rsidP="00234FBE">
      <w:pPr>
        <w:pStyle w:val="Heading2"/>
      </w:pPr>
      <w:bookmarkStart w:id="62" w:name="_Toc72939493"/>
      <w:r>
        <w:t>3.</w:t>
      </w:r>
      <w:r>
        <w:rPr>
          <w:noProof/>
        </w:rPr>
        <w:t>3</w:t>
      </w:r>
      <w:bookmarkStart w:id="63" w:name="_Toc63112456"/>
      <w:r>
        <w:tab/>
        <w:t>Modernised overarching objectives</w:t>
      </w:r>
      <w:bookmarkEnd w:id="62"/>
      <w:bookmarkEnd w:id="63"/>
    </w:p>
    <w:p w14:paraId="41E8DF7A" w14:textId="77777777" w:rsidR="001054C3" w:rsidRPr="007B1BBD" w:rsidRDefault="001054C3" w:rsidP="00234FBE">
      <w:pPr>
        <w:pStyle w:val="BodyText"/>
      </w:pPr>
      <w:r w:rsidRPr="007B1BBD">
        <w:t>Paragraph 5 also sets out the overarching objective of the agreement.</w:t>
      </w:r>
    </w:p>
    <w:p w14:paraId="1DD223F7" w14:textId="77777777" w:rsidR="001054C3" w:rsidRDefault="001054C3" w:rsidP="00234FBE">
      <w:pPr>
        <w:pStyle w:val="Quote"/>
      </w:pPr>
      <w:r>
        <w:t>The objective of the Parties in implementing this Agreement is to provide greater certainty for investment and the environment, and underpin the capacity of Australia’s water management regimes to deal with change responsively and fairly.</w:t>
      </w:r>
    </w:p>
    <w:p w14:paraId="21BA69A3" w14:textId="77777777" w:rsidR="001054C3" w:rsidRPr="007B1BBD" w:rsidRDefault="001054C3" w:rsidP="00234FBE">
      <w:pPr>
        <w:pStyle w:val="BodyText"/>
      </w:pPr>
      <w:r w:rsidRPr="007B1BBD">
        <w:t>More detailed objectives are presented in paragraph 23, introduced by the message that:</w:t>
      </w:r>
    </w:p>
    <w:p w14:paraId="077360D2" w14:textId="77777777" w:rsidR="001054C3" w:rsidRDefault="001054C3" w:rsidP="00234FBE">
      <w:pPr>
        <w:pStyle w:val="Quote"/>
      </w:pPr>
      <w:r>
        <w:t>Full implementation of this Agreement will result in a nationally</w:t>
      </w:r>
      <w:r>
        <w:noBreakHyphen/>
        <w:t>compatible, market, regulatory and planning based system of managing surface and groundwater resources for rural and urban use that optimises economic, social and environmental outcomes …</w:t>
      </w:r>
    </w:p>
    <w:p w14:paraId="7055FA27" w14:textId="77777777" w:rsidR="001054C3" w:rsidRPr="007B1BBD" w:rsidRDefault="001054C3" w:rsidP="00234FBE">
      <w:pPr>
        <w:pStyle w:val="BodyText"/>
      </w:pPr>
      <w:r w:rsidRPr="007B1BBD">
        <w:t>Reflecting the emphasis of the NWI at the time, the statements focus on water resource management. Water service provision — which includes access to clean water, water for urban amenity and pricing rules among other features — receives relatively scant attention in the agreement. But reform in aspects of service provision will be equally important to successfully navigating the challenges ahead. The overarching objective should reflect this (and that navigation task). And, reflecting the arguments made above, it should also refer to cultural outcomes to reflect the aspirations of Aboriginal and Torres Strait Islander people.</w:t>
      </w:r>
    </w:p>
    <w:p w14:paraId="2D6AAE45" w14:textId="77777777" w:rsidR="001054C3" w:rsidRDefault="001054C3">
      <w:pPr>
        <w:rPr>
          <w:szCs w:val="20"/>
        </w:rPr>
      </w:pPr>
      <w:r>
        <w:br w:type="page"/>
      </w:r>
    </w:p>
    <w:p w14:paraId="70AC4988"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08707C0B" w14:textId="77777777" w:rsidTr="00234FBE">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1C8DD6A7" w14:textId="7BD0F268" w:rsidR="001054C3" w:rsidRPr="00CE4C64" w:rsidRDefault="001054C3" w:rsidP="00234FBE">
            <w:pPr>
              <w:pStyle w:val="RecTitle"/>
              <w:spacing w:before="120"/>
              <w:rPr>
                <w:noProof/>
              </w:rPr>
            </w:pPr>
            <w:r>
              <w:t>NWI renewal advice 3.</w:t>
            </w:r>
            <w:r>
              <w:rPr>
                <w:noProof/>
              </w:rPr>
              <w:t>2: modernised overarching objectives</w:t>
            </w:r>
          </w:p>
        </w:tc>
      </w:tr>
      <w:tr w:rsidR="001054C3" w:rsidRPr="00750BE2" w14:paraId="47DCDBE4"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5E536E63" w14:textId="77777777" w:rsidR="001054C3" w:rsidRDefault="001054C3" w:rsidP="00234FBE">
            <w:pPr>
              <w:pStyle w:val="Rec"/>
            </w:pPr>
            <w:r>
              <w:t>The National Water Initiative has a strong focus on water resource management. A renewed agreement should give greater emphasis to water service provision and this should be reflected in the overarching objective. The objective should also include reference to cultural outcomes to recognise the aspirations of Aboriginal and Torres Strait Islander people. Suggested wording follows.</w:t>
            </w:r>
          </w:p>
          <w:p w14:paraId="41BEB53D" w14:textId="77777777" w:rsidR="001054C3" w:rsidRDefault="001054C3" w:rsidP="00234FBE">
            <w:pPr>
              <w:pStyle w:val="Rec"/>
            </w:pPr>
            <w:r w:rsidRPr="00C67C5B">
              <w:t xml:space="preserve">The </w:t>
            </w:r>
            <w:r>
              <w:t xml:space="preserve">overarching </w:t>
            </w:r>
            <w:r w:rsidRPr="00C67C5B">
              <w:t>objective</w:t>
            </w:r>
            <w:r>
              <w:t>s</w:t>
            </w:r>
            <w:r w:rsidRPr="00C67C5B">
              <w:t xml:space="preserve"> of the Parties in implementing this </w:t>
            </w:r>
            <w:r>
              <w:t>a</w:t>
            </w:r>
            <w:r w:rsidRPr="00C67C5B">
              <w:t xml:space="preserve">greement </w:t>
            </w:r>
            <w:r>
              <w:t>are</w:t>
            </w:r>
            <w:r w:rsidRPr="00C67C5B">
              <w:t xml:space="preserve"> to</w:t>
            </w:r>
            <w:r>
              <w:t>:</w:t>
            </w:r>
          </w:p>
          <w:p w14:paraId="4C3BC6DE" w14:textId="77777777" w:rsidR="001054C3" w:rsidRPr="002125BF" w:rsidRDefault="001054C3" w:rsidP="00234FBE">
            <w:pPr>
              <w:pStyle w:val="RecBullet"/>
            </w:pPr>
            <w:r>
              <w:t>optimise economic, environme</w:t>
            </w:r>
            <w:r w:rsidRPr="002125BF">
              <w:t xml:space="preserve">ntal, social and </w:t>
            </w:r>
            <w:r>
              <w:t xml:space="preserve">Aboriginal and Torres Strait Islander people’s </w:t>
            </w:r>
            <w:r w:rsidRPr="002125BF">
              <w:t xml:space="preserve">cultural outcomes </w:t>
            </w:r>
            <w:r>
              <w:t>through best</w:t>
            </w:r>
            <w:r>
              <w:noBreakHyphen/>
              <w:t xml:space="preserve">practice management of </w:t>
            </w:r>
            <w:r w:rsidRPr="002125BF">
              <w:t>Australia’s water resources</w:t>
            </w:r>
            <w:r>
              <w:t>. In the process, this will provide certainty for investment, water users, the environment and Aboriginal and Torres Strait Islander people</w:t>
            </w:r>
          </w:p>
          <w:p w14:paraId="2C490718" w14:textId="77777777" w:rsidR="001054C3" w:rsidRPr="002125BF" w:rsidRDefault="001054C3" w:rsidP="00234FBE">
            <w:pPr>
              <w:pStyle w:val="RecBullet"/>
            </w:pPr>
            <w:r w:rsidRPr="002125BF">
              <w:t xml:space="preserve">enable entitlement holders, communities and the environment to </w:t>
            </w:r>
            <w:r>
              <w:t>contend</w:t>
            </w:r>
            <w:r w:rsidRPr="002125BF">
              <w:t xml:space="preserve"> with climate variability and adapt to a changing climate</w:t>
            </w:r>
          </w:p>
          <w:p w14:paraId="08A1F266" w14:textId="77777777" w:rsidR="001054C3" w:rsidRDefault="001054C3" w:rsidP="00234FBE">
            <w:pPr>
              <w:pStyle w:val="RecBullet"/>
            </w:pPr>
            <w:r w:rsidRPr="002125BF">
              <w:t>ensure effective, efficient and e</w:t>
            </w:r>
            <w:r>
              <w:t xml:space="preserve">quitable provision of water services </w:t>
            </w:r>
            <w:r w:rsidRPr="00585FA1">
              <w:t>that meet the needs of</w:t>
            </w:r>
            <w:r>
              <w:t xml:space="preserve"> customers and communities in a changing climate.</w:t>
            </w:r>
          </w:p>
        </w:tc>
      </w:tr>
      <w:tr w:rsidR="001054C3" w14:paraId="54E1392E" w14:textId="77777777" w:rsidTr="00234FBE">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7EEC9370" w14:textId="77777777" w:rsidR="001054C3" w:rsidRDefault="001054C3" w:rsidP="00234FBE">
            <w:pPr>
              <w:pStyle w:val="Space"/>
              <w:keepLines/>
            </w:pPr>
          </w:p>
        </w:tc>
      </w:tr>
      <w:tr w:rsidR="001054C3" w:rsidRPr="000863A5" w14:paraId="5438A534" w14:textId="77777777" w:rsidTr="00234FBE">
        <w:tc>
          <w:tcPr>
            <w:tcW w:w="5000" w:type="pct"/>
            <w:tcBorders>
              <w:top w:val="single" w:sz="6" w:space="0" w:color="265A9A" w:themeColor="background2"/>
              <w:left w:val="nil"/>
              <w:bottom w:val="nil"/>
              <w:right w:val="nil"/>
            </w:tcBorders>
            <w:tcMar>
              <w:left w:w="170" w:type="dxa"/>
              <w:right w:w="170" w:type="dxa"/>
            </w:tcMar>
          </w:tcPr>
          <w:p w14:paraId="5F5B7F89" w14:textId="77777777" w:rsidR="001054C3" w:rsidRPr="00626D32" w:rsidRDefault="001054C3" w:rsidP="00234FBE">
            <w:pPr>
              <w:pStyle w:val="BoxSpaceBelow"/>
              <w:keepLines/>
            </w:pPr>
          </w:p>
        </w:tc>
      </w:tr>
    </w:tbl>
    <w:p w14:paraId="1C268E17" w14:textId="5FF67DCA" w:rsidR="001054C3" w:rsidRDefault="001054C3" w:rsidP="00234FBE">
      <w:pPr>
        <w:pStyle w:val="Heading2"/>
      </w:pPr>
      <w:bookmarkStart w:id="64" w:name="_Toc72939494"/>
      <w:r>
        <w:t>3.</w:t>
      </w:r>
      <w:r>
        <w:rPr>
          <w:noProof/>
        </w:rPr>
        <w:t>4</w:t>
      </w:r>
      <w:bookmarkStart w:id="65" w:name="_Toc63112457"/>
      <w:r>
        <w:tab/>
        <w:t>Modernised detailed objectives</w:t>
      </w:r>
      <w:bookmarkEnd w:id="64"/>
      <w:bookmarkEnd w:id="65"/>
    </w:p>
    <w:p w14:paraId="0E25C5CD" w14:textId="77777777" w:rsidR="001054C3" w:rsidRPr="007B1BBD" w:rsidRDefault="001054C3" w:rsidP="00234FBE">
      <w:pPr>
        <w:pStyle w:val="BodyText"/>
      </w:pPr>
      <w:r w:rsidRPr="007B1BBD">
        <w:t>Reflecting the lessons from experiences since the NWI was agreed, a more detailed set of objectives for water resource management and a separate set for water service provision are proposed.</w:t>
      </w:r>
      <w:r>
        <w:t xml:space="preserve"> Feedback on the draft report indicated that inquiry participants broadly supported these objectives. Inquiry participants also suggested possible improvements to the wording of the objectives</w:t>
      </w:r>
      <w:r>
        <w:rPr>
          <w:rStyle w:val="FootnoteReference"/>
        </w:rPr>
        <w:footnoteReference w:id="11"/>
      </w:r>
      <w:r>
        <w:t>, and the Commission had drawn on this feedback in making amendments.</w:t>
      </w:r>
    </w:p>
    <w:p w14:paraId="5A21FAD9" w14:textId="77777777" w:rsidR="001054C3" w:rsidRPr="007B1BBD" w:rsidRDefault="001054C3" w:rsidP="00234FBE">
      <w:pPr>
        <w:pStyle w:val="BodyText"/>
      </w:pPr>
      <w:r w:rsidRPr="007B1BBD">
        <w:t>The suggested objectives for water resource management build on those in the NWI. In particular, more detail is proposed for water planning to reflect the need for:</w:t>
      </w:r>
    </w:p>
    <w:p w14:paraId="64A14B92" w14:textId="77777777" w:rsidR="001054C3" w:rsidRDefault="001054C3" w:rsidP="00234FBE">
      <w:pPr>
        <w:pStyle w:val="ListBullet"/>
      </w:pPr>
      <w:r w:rsidRPr="00C77329">
        <w:rPr>
          <w:i/>
        </w:rPr>
        <w:t>practices that better account for the diverse characteristics of water sources</w:t>
      </w:r>
      <w:r>
        <w:t>. Effective system management requires</w:t>
      </w:r>
      <w:r w:rsidRPr="00B852D3">
        <w:t xml:space="preserve"> governance, regulatory, operational and informational arrangements </w:t>
      </w:r>
      <w:r>
        <w:t>that are fit for purpose — </w:t>
      </w:r>
      <w:r w:rsidRPr="00B852D3">
        <w:t xml:space="preserve">across the diverse range of water systems, the level of effort should balance the expected costs and benefits of different </w:t>
      </w:r>
      <w:r>
        <w:t xml:space="preserve">management </w:t>
      </w:r>
      <w:r w:rsidRPr="00B852D3">
        <w:t>actions</w:t>
      </w:r>
      <w:r>
        <w:t xml:space="preserve"> (chapter 5)</w:t>
      </w:r>
    </w:p>
    <w:p w14:paraId="1ADCF9BB" w14:textId="77777777" w:rsidR="001054C3" w:rsidRDefault="001054C3" w:rsidP="00234FBE">
      <w:pPr>
        <w:pStyle w:val="ListBullet"/>
      </w:pPr>
      <w:r w:rsidRPr="00981D9E">
        <w:rPr>
          <w:i/>
        </w:rPr>
        <w:t>processes for water sharing and management during periods of water scarcity</w:t>
      </w:r>
      <w:r>
        <w:t>. Shortcomings in water management arrangements exposed during the Millennium Drought and more recent droughts point to a need for communities to be better supported through water planning to deal with drought (chapter 6)</w:t>
      </w:r>
    </w:p>
    <w:p w14:paraId="2A653EAC" w14:textId="77777777" w:rsidR="001054C3" w:rsidRPr="006F0B87" w:rsidRDefault="001054C3" w:rsidP="00234FBE">
      <w:pPr>
        <w:pStyle w:val="ListBullet"/>
      </w:pPr>
      <w:r w:rsidRPr="00981D9E">
        <w:rPr>
          <w:i/>
        </w:rPr>
        <w:lastRenderedPageBreak/>
        <w:t>triggers and processes for reviewing the balance</w:t>
      </w:r>
      <w:r>
        <w:t xml:space="preserve"> between water for the environment and consumptive use, such as in response to climate change (chapter 6)</w:t>
      </w:r>
    </w:p>
    <w:p w14:paraId="092207C2" w14:textId="77777777" w:rsidR="001054C3" w:rsidRDefault="001054C3" w:rsidP="00234FBE">
      <w:pPr>
        <w:pStyle w:val="ListBullet"/>
      </w:pPr>
      <w:r w:rsidRPr="00981D9E">
        <w:rPr>
          <w:i/>
        </w:rPr>
        <w:t>clear identification of the environmental, cultural and other public benefit outcomes to be met through planning processes</w:t>
      </w:r>
      <w:r>
        <w:t>. T</w:t>
      </w:r>
      <w:r w:rsidRPr="00DE2534">
        <w:t xml:space="preserve">he </w:t>
      </w:r>
      <w:r>
        <w:t xml:space="preserve">NWI has delivered more water to the environment and the benefits of rehabilitation are becoming evident. The focus of the next phase of reform should </w:t>
      </w:r>
      <w:r w:rsidRPr="00DE2534">
        <w:t>be to ensure that environmental water is managed efficiently and effectively to deliver agreed (and</w:t>
      </w:r>
      <w:r>
        <w:t>,</w:t>
      </w:r>
      <w:r w:rsidRPr="00DE2534">
        <w:t xml:space="preserve"> where possible, better) outcomes</w:t>
      </w:r>
      <w:r>
        <w:t>. For that aim to be achieved, desired outcomes must be clearly specified (chapter 8).</w:t>
      </w:r>
    </w:p>
    <w:p w14:paraId="79904496" w14:textId="77777777" w:rsidR="001054C3" w:rsidRPr="007B1BBD" w:rsidRDefault="001054C3" w:rsidP="00234FBE">
      <w:pPr>
        <w:pStyle w:val="BodyText"/>
      </w:pPr>
      <w:r w:rsidRPr="007B1BBD">
        <w:t>Further, the NWI objective:</w:t>
      </w:r>
    </w:p>
    <w:p w14:paraId="2EA427A7" w14:textId="77777777" w:rsidR="001054C3" w:rsidRDefault="001054C3" w:rsidP="00234FBE">
      <w:pPr>
        <w:pStyle w:val="ListBullet"/>
      </w:pPr>
      <w:r>
        <w:t>covering statutory provisions for the environment should be extended to recognise a need for integration with natural resource management and the potential to achieve cultural and social benefits (chapter 6)</w:t>
      </w:r>
    </w:p>
    <w:p w14:paraId="6A920091" w14:textId="77777777" w:rsidR="001054C3" w:rsidRDefault="001054C3" w:rsidP="00234FBE">
      <w:pPr>
        <w:pStyle w:val="ListBullet"/>
      </w:pPr>
      <w:r>
        <w:t>relating to trade should include reference to the constraints inherent in any water system and the need for fit</w:t>
      </w:r>
      <w:r>
        <w:noBreakHyphen/>
        <w:t>for</w:t>
      </w:r>
      <w:r>
        <w:noBreakHyphen/>
        <w:t>purpose market regulation (chapter 7)</w:t>
      </w:r>
    </w:p>
    <w:p w14:paraId="7E2C9EC7" w14:textId="77777777" w:rsidR="001054C3" w:rsidRDefault="001054C3" w:rsidP="00234FBE">
      <w:pPr>
        <w:pStyle w:val="ListBullet"/>
      </w:pPr>
      <w:r>
        <w:t>dealing with accounting should be augmented to cover compliance and system integrity (chapter 10).</w:t>
      </w:r>
    </w:p>
    <w:p w14:paraId="10D42BE9" w14:textId="77777777" w:rsidR="001054C3" w:rsidRPr="007B1BBD" w:rsidRDefault="001054C3" w:rsidP="00234FBE">
      <w:pPr>
        <w:pStyle w:val="BodyText"/>
      </w:pPr>
      <w:r w:rsidRPr="007B1BBD">
        <w:t xml:space="preserve">Enabling </w:t>
      </w:r>
      <w:r>
        <w:t>strengthened</w:t>
      </w:r>
      <w:r w:rsidRPr="007B1BBD">
        <w:t xml:space="preserve"> influence for Aboriginal and Torres Strait Islander people in water planning and natural resource management </w:t>
      </w:r>
      <w:r>
        <w:t xml:space="preserve">through effective and enduring pathways </w:t>
      </w:r>
      <w:r w:rsidRPr="007B1BBD">
        <w:t>should be an additional objective (chapter 9).</w:t>
      </w:r>
    </w:p>
    <w:p w14:paraId="36A5479C" w14:textId="77777777" w:rsidR="001054C3" w:rsidRPr="007B1BBD" w:rsidRDefault="001054C3" w:rsidP="00234FBE">
      <w:pPr>
        <w:pStyle w:val="BodyText"/>
      </w:pPr>
      <w:r w:rsidRPr="007B1BBD">
        <w:t xml:space="preserve">The NWI contains one objective relating to water service provision: ‘policy settings which facilitate water use efficiency and innovation in urban and rural areas’ (paragraph 23(viii)). Contemporary expectations of water service provision and the challenges facing providers (chapter 11) argue for a substantially expanded set of objectives. Suggested foci include: drinking water quality; integrated management of water supply, wastewater and stormwater services; and processes to ensure that investments in </w:t>
      </w:r>
      <w:r>
        <w:t xml:space="preserve">development and significant refurbishment of </w:t>
      </w:r>
      <w:r w:rsidRPr="007B1BBD">
        <w:t>major infrastructure clearly contribute to community wellbeing.</w:t>
      </w:r>
    </w:p>
    <w:p w14:paraId="7DB90DD3" w14:textId="77777777" w:rsidR="001054C3" w:rsidRDefault="001054C3" w:rsidP="00234FBE">
      <w:pPr>
        <w:pStyle w:val="BodyText"/>
      </w:pPr>
      <w:r w:rsidRPr="007B1BBD">
        <w:t>Figure 3.</w:t>
      </w:r>
      <w:r>
        <w:t>2</w:t>
      </w:r>
      <w:r w:rsidRPr="007B1BBD">
        <w:t xml:space="preserve"> summarises suggested new objectives for the NWI relative to current content.</w:t>
      </w:r>
    </w:p>
    <w:p w14:paraId="3F5455E8" w14:textId="77777777" w:rsidR="001054C3" w:rsidRPr="00A45307" w:rsidRDefault="001054C3" w:rsidP="00234FBE">
      <w:pPr>
        <w:rPr>
          <w:szCs w:val="20"/>
        </w:rPr>
      </w:pPr>
      <w:r>
        <w:br w:type="page"/>
      </w:r>
    </w:p>
    <w:p w14:paraId="217081AC"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3D7D4F7F" w14:textId="77777777" w:rsidTr="00234FBE">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742B5589" w14:textId="65CA2EB4" w:rsidR="001054C3" w:rsidRPr="00FD772E" w:rsidRDefault="001054C3" w:rsidP="00234FBE">
            <w:pPr>
              <w:pStyle w:val="RecTitle"/>
              <w:spacing w:before="120"/>
              <w:rPr>
                <w:noProof/>
                <w:spacing w:val="-2"/>
              </w:rPr>
            </w:pPr>
            <w:r w:rsidRPr="00FD772E">
              <w:rPr>
                <w:spacing w:val="-2"/>
              </w:rPr>
              <w:t xml:space="preserve">NWI renewal advice </w:t>
            </w:r>
            <w:r>
              <w:rPr>
                <w:spacing w:val="-2"/>
              </w:rPr>
              <w:t>3.</w:t>
            </w:r>
            <w:r>
              <w:rPr>
                <w:noProof/>
                <w:spacing w:val="-2"/>
              </w:rPr>
              <w:t>3</w:t>
            </w:r>
            <w:r w:rsidRPr="00FD772E">
              <w:rPr>
                <w:noProof/>
                <w:spacing w:val="-2"/>
              </w:rPr>
              <w:t xml:space="preserve">: </w:t>
            </w:r>
            <w:r>
              <w:rPr>
                <w:noProof/>
                <w:spacing w:val="-2"/>
              </w:rPr>
              <w:t>modernised</w:t>
            </w:r>
            <w:r w:rsidRPr="00FD772E">
              <w:rPr>
                <w:noProof/>
                <w:spacing w:val="-2"/>
              </w:rPr>
              <w:t xml:space="preserve"> objectives</w:t>
            </w:r>
          </w:p>
        </w:tc>
      </w:tr>
      <w:tr w:rsidR="001054C3" w:rsidRPr="00750BE2" w14:paraId="7E8F904F"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0B5F962E" w14:textId="77777777" w:rsidR="001054C3" w:rsidRDefault="001054C3" w:rsidP="00234FBE">
            <w:pPr>
              <w:pStyle w:val="Rec"/>
            </w:pPr>
            <w:r>
              <w:t>Full implementation of this agreement will result in:</w:t>
            </w:r>
          </w:p>
          <w:p w14:paraId="6D110A6C" w14:textId="28417C42" w:rsidR="001054C3" w:rsidRDefault="001054C3" w:rsidP="00234FBE">
            <w:pPr>
              <w:pStyle w:val="Rec"/>
            </w:pPr>
            <w:r w:rsidRPr="001B15AB">
              <w:rPr>
                <w:b/>
                <w:bCs/>
              </w:rPr>
              <w:t>A</w:t>
            </w:r>
            <w:r>
              <w:t xml:space="preserve"> — a nationally</w:t>
            </w:r>
            <w:r w:rsidR="0067452E">
              <w:t>-</w:t>
            </w:r>
            <w:r>
              <w:t xml:space="preserve">consistent planning, market and regulatory based system of </w:t>
            </w:r>
            <w:r w:rsidRPr="002A6CC8">
              <w:rPr>
                <w:b/>
                <w:bCs/>
              </w:rPr>
              <w:t>managing surface and groundwater resources</w:t>
            </w:r>
            <w:r>
              <w:t xml:space="preserve"> for rural, urban and remote use that:</w:t>
            </w:r>
          </w:p>
          <w:p w14:paraId="41C9B56A" w14:textId="77777777" w:rsidR="001054C3" w:rsidRDefault="001054C3" w:rsidP="00234FBE">
            <w:pPr>
              <w:pStyle w:val="RecBullet"/>
            </w:pPr>
            <w:r>
              <w:t xml:space="preserve">optimises economic, environmental, social and cultural </w:t>
            </w:r>
            <w:r w:rsidRPr="001B321D">
              <w:t>outcomes</w:t>
            </w:r>
          </w:p>
          <w:p w14:paraId="724177CD" w14:textId="77777777" w:rsidR="001054C3" w:rsidRDefault="001054C3" w:rsidP="00234FBE">
            <w:pPr>
              <w:pStyle w:val="RecBullet"/>
            </w:pPr>
            <w:r w:rsidRPr="001B321D">
              <w:t xml:space="preserve">enables entitlement holders, communities and the environment to </w:t>
            </w:r>
            <w:r>
              <w:t>contend</w:t>
            </w:r>
            <w:r w:rsidRPr="001B321D">
              <w:t xml:space="preserve"> with climate variability and adapt to a changing climate</w:t>
            </w:r>
          </w:p>
          <w:p w14:paraId="549DDA93" w14:textId="77777777" w:rsidR="001054C3" w:rsidRPr="001B321D" w:rsidRDefault="001054C3" w:rsidP="00234FBE">
            <w:pPr>
              <w:pStyle w:val="Rec"/>
            </w:pPr>
            <w:r w:rsidRPr="001B321D">
              <w:t>by achieving the following:</w:t>
            </w:r>
          </w:p>
          <w:p w14:paraId="46D710D8" w14:textId="0EF85779" w:rsidR="001054C3" w:rsidRDefault="001054C3" w:rsidP="008C565C">
            <w:pPr>
              <w:pStyle w:val="Rec"/>
              <w:numPr>
                <w:ilvl w:val="0"/>
                <w:numId w:val="22"/>
              </w:numPr>
              <w:spacing w:before="80"/>
              <w:ind w:left="357" w:hanging="357"/>
            </w:pPr>
            <w:r>
              <w:t>clear, nationally</w:t>
            </w:r>
            <w:r w:rsidR="00616ABA">
              <w:t>-</w:t>
            </w:r>
            <w:r>
              <w:t>consistent statutory systems for secure</w:t>
            </w:r>
            <w:r w:rsidRPr="00223B52">
              <w:t xml:space="preserve"> </w:t>
            </w:r>
            <w:r w:rsidRPr="00631F82">
              <w:t>water access entitlements</w:t>
            </w:r>
          </w:p>
          <w:p w14:paraId="43AE0755" w14:textId="129729D4" w:rsidR="001054C3" w:rsidRPr="008F039C" w:rsidRDefault="001054C3" w:rsidP="008C565C">
            <w:pPr>
              <w:pStyle w:val="Rec"/>
              <w:numPr>
                <w:ilvl w:val="0"/>
                <w:numId w:val="22"/>
              </w:numPr>
              <w:spacing w:before="80"/>
              <w:ind w:left="357" w:hanging="357"/>
            </w:pPr>
            <w:r>
              <w:t>transparent, statutory</w:t>
            </w:r>
            <w:r w:rsidR="00616ABA">
              <w:t>-</w:t>
            </w:r>
            <w:r>
              <w:t>based water planning that:</w:t>
            </w:r>
          </w:p>
          <w:p w14:paraId="065C320E" w14:textId="45C3107C" w:rsidR="001054C3" w:rsidRDefault="001054C3" w:rsidP="008C565C">
            <w:pPr>
              <w:pStyle w:val="Rec"/>
              <w:numPr>
                <w:ilvl w:val="0"/>
                <w:numId w:val="23"/>
              </w:numPr>
              <w:spacing w:before="60"/>
              <w:ind w:left="714" w:hanging="357"/>
            </w:pPr>
            <w:r>
              <w:t>is risk</w:t>
            </w:r>
            <w:r w:rsidDel="00616ABA">
              <w:t xml:space="preserve"> </w:t>
            </w:r>
            <w:r>
              <w:t xml:space="preserve">based, </w:t>
            </w:r>
            <w:r w:rsidRPr="002126FD">
              <w:t xml:space="preserve">matching the level of management with the level of water extraction </w:t>
            </w:r>
            <w:r>
              <w:t xml:space="preserve">and complexity </w:t>
            </w:r>
            <w:r w:rsidRPr="002126FD">
              <w:t>in a system</w:t>
            </w:r>
          </w:p>
          <w:p w14:paraId="19F90553" w14:textId="77777777" w:rsidR="001054C3" w:rsidRDefault="001054C3" w:rsidP="008C565C">
            <w:pPr>
              <w:pStyle w:val="Rec"/>
              <w:numPr>
                <w:ilvl w:val="0"/>
                <w:numId w:val="23"/>
              </w:numPr>
              <w:spacing w:before="60"/>
              <w:ind w:left="714" w:hanging="357"/>
            </w:pPr>
            <w:r>
              <w:t>includes all sources of water, recognises connectivity between surface and groundwater and takes into account water quality</w:t>
            </w:r>
          </w:p>
          <w:p w14:paraId="014E0A83" w14:textId="77777777" w:rsidR="001054C3" w:rsidRDefault="001054C3" w:rsidP="008C565C">
            <w:pPr>
              <w:pStyle w:val="Rec"/>
              <w:numPr>
                <w:ilvl w:val="0"/>
                <w:numId w:val="23"/>
              </w:numPr>
              <w:spacing w:before="60"/>
              <w:ind w:left="714" w:hanging="357"/>
            </w:pPr>
            <w:r>
              <w:t>clearly identifies the agreed environmental, cultural and other public benefit outcomes to be met through the water planning process</w:t>
            </w:r>
          </w:p>
          <w:p w14:paraId="29F5F066" w14:textId="77777777" w:rsidR="001054C3" w:rsidRDefault="001054C3" w:rsidP="008C565C">
            <w:pPr>
              <w:pStyle w:val="Rec"/>
              <w:numPr>
                <w:ilvl w:val="0"/>
                <w:numId w:val="23"/>
              </w:numPr>
              <w:spacing w:before="60"/>
              <w:ind w:left="714" w:hanging="357"/>
            </w:pPr>
            <w:r>
              <w:t>includes agreed processes for water sharing and management during periods of water scarcity</w:t>
            </w:r>
          </w:p>
          <w:p w14:paraId="5B14445C" w14:textId="77777777" w:rsidR="001054C3" w:rsidRDefault="001054C3" w:rsidP="008C565C">
            <w:pPr>
              <w:pStyle w:val="Rec"/>
              <w:numPr>
                <w:ilvl w:val="0"/>
                <w:numId w:val="23"/>
              </w:numPr>
              <w:spacing w:before="60"/>
              <w:ind w:left="714" w:hanging="357"/>
            </w:pPr>
            <w:r>
              <w:t>includes clear pathways to an agreed and improved balance between the environment and consumptive water use in overallocated or overused systems</w:t>
            </w:r>
          </w:p>
          <w:p w14:paraId="338F5174" w14:textId="77777777" w:rsidR="001054C3" w:rsidRDefault="001054C3" w:rsidP="008C565C">
            <w:pPr>
              <w:pStyle w:val="Rec"/>
              <w:numPr>
                <w:ilvl w:val="0"/>
                <w:numId w:val="23"/>
              </w:numPr>
              <w:spacing w:before="60"/>
              <w:ind w:left="714" w:hanging="357"/>
            </w:pPr>
            <w:r>
              <w:t>includes clear triggers and processes for reviewing the balance between water for the environment and consumptive use, such as in response to the effects of climate change</w:t>
            </w:r>
          </w:p>
          <w:p w14:paraId="1C34B100" w14:textId="77777777" w:rsidR="001054C3" w:rsidRPr="00C67C5B" w:rsidRDefault="001054C3" w:rsidP="008C565C">
            <w:pPr>
              <w:pStyle w:val="Rec"/>
              <w:numPr>
                <w:ilvl w:val="0"/>
                <w:numId w:val="22"/>
              </w:numPr>
              <w:spacing w:before="80"/>
              <w:ind w:left="357" w:hanging="357"/>
            </w:pPr>
            <w:r w:rsidRPr="00C67C5B">
              <w:t xml:space="preserve">statutory water provisions for </w:t>
            </w:r>
            <w:r>
              <w:t xml:space="preserve">the environment which are </w:t>
            </w:r>
            <w:r w:rsidRPr="00C67C5B">
              <w:t xml:space="preserve">integrated with complementary natural resource management to achieve agreed </w:t>
            </w:r>
            <w:r>
              <w:t xml:space="preserve">environmental </w:t>
            </w:r>
            <w:r w:rsidRPr="00C67C5B">
              <w:t>outcomes</w:t>
            </w:r>
            <w:r>
              <w:t xml:space="preserve"> and, where this does not compromise environmental outcomes, managed to also achieve cultural and social benefits</w:t>
            </w:r>
          </w:p>
          <w:p w14:paraId="2C770905" w14:textId="77777777" w:rsidR="001054C3" w:rsidRDefault="001054C3" w:rsidP="008C565C">
            <w:pPr>
              <w:pStyle w:val="Rec"/>
              <w:numPr>
                <w:ilvl w:val="0"/>
                <w:numId w:val="22"/>
              </w:numPr>
              <w:spacing w:before="80"/>
              <w:ind w:left="357" w:hanging="357"/>
            </w:pPr>
            <w:r>
              <w:t xml:space="preserve">effective and enduring pathways to enable Aboriginal and Torres Strait Islander people to strengthen their influence in water planning and natural resource management that affect Country and access to water </w:t>
            </w:r>
            <w:r w:rsidRPr="00F9481D">
              <w:t xml:space="preserve">consistent with the </w:t>
            </w:r>
            <w:r>
              <w:t xml:space="preserve">2020 </w:t>
            </w:r>
            <w:r w:rsidRPr="00F9481D">
              <w:t>National Agreement on Closing the Gap</w:t>
            </w:r>
          </w:p>
          <w:p w14:paraId="6DA1CB3F" w14:textId="77777777" w:rsidR="001054C3" w:rsidRDefault="001054C3" w:rsidP="008C565C">
            <w:pPr>
              <w:pStyle w:val="Rec"/>
              <w:numPr>
                <w:ilvl w:val="0"/>
                <w:numId w:val="22"/>
              </w:numPr>
              <w:spacing w:before="80"/>
              <w:ind w:left="357" w:hanging="357"/>
            </w:pPr>
            <w:r>
              <w:t>the capacity to trade water between uses to promote efficiency within the physical, ecological and social constraints of water systems in an open, transparent water market with a level of regulation that is proportional to the maturity of market development</w:t>
            </w:r>
          </w:p>
          <w:p w14:paraId="72FF2632" w14:textId="77777777" w:rsidR="001054C3" w:rsidRDefault="001054C3" w:rsidP="008C565C">
            <w:pPr>
              <w:pStyle w:val="Rec"/>
              <w:numPr>
                <w:ilvl w:val="0"/>
                <w:numId w:val="22"/>
              </w:numPr>
              <w:spacing w:before="80"/>
              <w:ind w:left="357" w:hanging="357"/>
            </w:pPr>
            <w:r>
              <w:t>a fit</w:t>
            </w:r>
            <w:r>
              <w:noBreakHyphen/>
              <w:t>for</w:t>
            </w:r>
            <w:r>
              <w:noBreakHyphen/>
              <w:t>purpose system of water metering, measurement and accounting, coupled with effective compliance, that promotes water user and community confidence in the integrity of water management and water markets</w:t>
            </w:r>
          </w:p>
          <w:p w14:paraId="4169452C" w14:textId="77777777" w:rsidR="001054C3" w:rsidRDefault="001054C3" w:rsidP="008C565C">
            <w:pPr>
              <w:pStyle w:val="Rec"/>
              <w:numPr>
                <w:ilvl w:val="0"/>
                <w:numId w:val="22"/>
              </w:numPr>
              <w:spacing w:before="80"/>
              <w:ind w:left="357" w:hanging="357"/>
            </w:pPr>
            <w:r>
              <w:t>clarity on the assignment of risk arising from future changes in the availability of water for the consumptive pool and how future adjustment should be managed.</w:t>
            </w:r>
          </w:p>
        </w:tc>
      </w:tr>
      <w:tr w:rsidR="001054C3" w14:paraId="6C078002" w14:textId="77777777" w:rsidTr="00234FBE">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4A0130B" w14:textId="77777777" w:rsidR="001054C3" w:rsidRDefault="001054C3" w:rsidP="00234FBE">
            <w:pPr>
              <w:pStyle w:val="Continued"/>
            </w:pPr>
            <w:r>
              <w:t>(continued next page)</w:t>
            </w:r>
          </w:p>
        </w:tc>
      </w:tr>
      <w:tr w:rsidR="001054C3" w:rsidRPr="000863A5" w14:paraId="42A5444F" w14:textId="77777777" w:rsidTr="00234FBE">
        <w:tc>
          <w:tcPr>
            <w:tcW w:w="5000" w:type="pct"/>
            <w:tcBorders>
              <w:top w:val="single" w:sz="6" w:space="0" w:color="265A9A" w:themeColor="background2"/>
              <w:left w:val="nil"/>
              <w:bottom w:val="nil"/>
              <w:right w:val="nil"/>
            </w:tcBorders>
            <w:tcMar>
              <w:left w:w="170" w:type="dxa"/>
              <w:right w:w="170" w:type="dxa"/>
            </w:tcMar>
          </w:tcPr>
          <w:p w14:paraId="76C6C5F5" w14:textId="77777777" w:rsidR="001054C3" w:rsidRPr="00626D32" w:rsidRDefault="001054C3" w:rsidP="00234FBE">
            <w:pPr>
              <w:pStyle w:val="BoxSpaceBelow"/>
              <w:keepLines/>
            </w:pPr>
          </w:p>
        </w:tc>
      </w:tr>
    </w:tbl>
    <w:p w14:paraId="593A71B9"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06462BFC" w14:textId="77777777" w:rsidTr="00234FBE">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3229BD0B" w14:textId="77777777" w:rsidR="001054C3" w:rsidRPr="00FD772E" w:rsidRDefault="001054C3" w:rsidP="00234FBE">
            <w:pPr>
              <w:pStyle w:val="RecTitle"/>
              <w:spacing w:before="120"/>
              <w:rPr>
                <w:noProof/>
                <w:spacing w:val="-2"/>
              </w:rPr>
            </w:pPr>
            <w:r w:rsidRPr="00FD772E">
              <w:rPr>
                <w:spacing w:val="-2"/>
              </w:rPr>
              <w:t xml:space="preserve">NWI renewal advice </w:t>
            </w:r>
            <w:r>
              <w:rPr>
                <w:spacing w:val="-2"/>
              </w:rPr>
              <w:t>3.3</w:t>
            </w:r>
            <w:r>
              <w:rPr>
                <w:spacing w:val="-2"/>
              </w:rPr>
              <w:tab/>
            </w:r>
            <w:r w:rsidRPr="00472781">
              <w:rPr>
                <w:rStyle w:val="Continuedintitle"/>
                <w:b w:val="0"/>
              </w:rPr>
              <w:t>(</w:t>
            </w:r>
            <w:r w:rsidRPr="00472781">
              <w:rPr>
                <w:rStyle w:val="Continuedintitle"/>
                <w:b w:val="0"/>
                <w:caps w:val="0"/>
              </w:rPr>
              <w:t>continued</w:t>
            </w:r>
            <w:r w:rsidRPr="00472781">
              <w:rPr>
                <w:rStyle w:val="Continuedintitle"/>
                <w:b w:val="0"/>
              </w:rPr>
              <w:t>)</w:t>
            </w:r>
          </w:p>
        </w:tc>
      </w:tr>
      <w:tr w:rsidR="001054C3" w:rsidRPr="00750BE2" w14:paraId="21701A74"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4D1225FB" w14:textId="77777777" w:rsidR="001054C3" w:rsidRDefault="001054C3" w:rsidP="00234FBE">
            <w:pPr>
              <w:pStyle w:val="Rec"/>
            </w:pPr>
            <w:r w:rsidRPr="00273202">
              <w:rPr>
                <w:b/>
                <w:bCs/>
              </w:rPr>
              <w:t>B</w:t>
            </w:r>
            <w:r>
              <w:t xml:space="preserve"> — effective, efficient and equitable </w:t>
            </w:r>
            <w:r w:rsidRPr="006A1020">
              <w:rPr>
                <w:b/>
                <w:bCs/>
              </w:rPr>
              <w:t>provision of water services</w:t>
            </w:r>
            <w:r>
              <w:t xml:space="preserve"> </w:t>
            </w:r>
            <w:r w:rsidRPr="00585FA1">
              <w:t>that meets the needs of</w:t>
            </w:r>
            <w:r>
              <w:t xml:space="preserve"> customers and communities in a changing climate by achieving the following:</w:t>
            </w:r>
          </w:p>
          <w:p w14:paraId="4C47FA4E" w14:textId="77777777" w:rsidR="001054C3" w:rsidRDefault="001054C3" w:rsidP="008C565C">
            <w:pPr>
              <w:pStyle w:val="Rec"/>
              <w:numPr>
                <w:ilvl w:val="0"/>
                <w:numId w:val="24"/>
              </w:numPr>
              <w:spacing w:before="80"/>
              <w:ind w:left="357" w:hanging="357"/>
            </w:pPr>
            <w:r>
              <w:t>access to safe and reliable drinking water, including in remote communities</w:t>
            </w:r>
          </w:p>
          <w:p w14:paraId="005A604D" w14:textId="77777777" w:rsidR="001054C3" w:rsidRDefault="001054C3" w:rsidP="008C565C">
            <w:pPr>
              <w:pStyle w:val="Rec"/>
              <w:numPr>
                <w:ilvl w:val="0"/>
                <w:numId w:val="24"/>
              </w:numPr>
              <w:spacing w:before="80"/>
              <w:ind w:left="357" w:hanging="357"/>
            </w:pPr>
            <w:r>
              <w:t>clear objectives for the level and quality of water services which reflect customer preferences</w:t>
            </w:r>
          </w:p>
          <w:p w14:paraId="262D14E9" w14:textId="77777777" w:rsidR="001054C3" w:rsidRDefault="001054C3" w:rsidP="008C565C">
            <w:pPr>
              <w:pStyle w:val="Rec"/>
              <w:numPr>
                <w:ilvl w:val="0"/>
                <w:numId w:val="24"/>
              </w:numPr>
              <w:spacing w:before="80"/>
              <w:ind w:left="357" w:hanging="357"/>
            </w:pPr>
            <w:r>
              <w:t>in cities and towns:</w:t>
            </w:r>
          </w:p>
          <w:p w14:paraId="2A87E532" w14:textId="77777777" w:rsidR="001054C3" w:rsidRDefault="001054C3" w:rsidP="008C565C">
            <w:pPr>
              <w:pStyle w:val="Rec"/>
              <w:numPr>
                <w:ilvl w:val="0"/>
                <w:numId w:val="25"/>
              </w:numPr>
              <w:spacing w:before="60"/>
              <w:ind w:left="714" w:hanging="357"/>
            </w:pPr>
            <w:r>
              <w:t>integrated planning and management of water supply, wastewater and stormwater services</w:t>
            </w:r>
          </w:p>
          <w:p w14:paraId="3A707A05" w14:textId="77777777" w:rsidR="001054C3" w:rsidRDefault="001054C3" w:rsidP="008C565C">
            <w:pPr>
              <w:pStyle w:val="Rec"/>
              <w:numPr>
                <w:ilvl w:val="0"/>
                <w:numId w:val="25"/>
              </w:numPr>
              <w:spacing w:before="60"/>
              <w:ind w:left="714" w:hanging="357"/>
            </w:pPr>
            <w:r>
              <w:t xml:space="preserve">efficient water services that </w:t>
            </w:r>
            <w:r w:rsidRPr="004F7920">
              <w:t>deliver</w:t>
            </w:r>
            <w:r>
              <w:t xml:space="preserve"> outcomes, including urban amenity and liveability, in line with customer preferences and willingness to pay</w:t>
            </w:r>
          </w:p>
          <w:p w14:paraId="0805D6E7" w14:textId="77777777" w:rsidR="001054C3" w:rsidRDefault="001054C3" w:rsidP="008C565C">
            <w:pPr>
              <w:pStyle w:val="Rec"/>
              <w:numPr>
                <w:ilvl w:val="0"/>
                <w:numId w:val="24"/>
              </w:numPr>
              <w:spacing w:before="80"/>
              <w:ind w:left="357" w:hanging="357"/>
            </w:pPr>
            <w:r>
              <w:t>cost</w:t>
            </w:r>
            <w:r>
              <w:noBreakHyphen/>
              <w:t xml:space="preserve">reflective pricing of water services (including water supply, wastewater disposal and stormwater management) wherever possible, with transparent funding support </w:t>
            </w:r>
            <w:r w:rsidRPr="00E10F43">
              <w:t xml:space="preserve">through community service obligation payments </w:t>
            </w:r>
            <w:r>
              <w:t xml:space="preserve">targeted at bridging the cost of providing </w:t>
            </w:r>
            <w:r w:rsidRPr="00652E6C">
              <w:t xml:space="preserve">safe and reliable drinking water </w:t>
            </w:r>
            <w:r>
              <w:t>and service affordability in regional and remote communities</w:t>
            </w:r>
          </w:p>
          <w:p w14:paraId="63122186" w14:textId="77777777" w:rsidR="001054C3" w:rsidRDefault="001054C3" w:rsidP="008C565C">
            <w:pPr>
              <w:pStyle w:val="Rec"/>
              <w:numPr>
                <w:ilvl w:val="0"/>
                <w:numId w:val="24"/>
              </w:numPr>
              <w:spacing w:before="80"/>
              <w:ind w:left="357" w:hanging="357"/>
            </w:pPr>
            <w:r>
              <w:t>institutional arrangements that:</w:t>
            </w:r>
          </w:p>
          <w:p w14:paraId="499D0811" w14:textId="77777777" w:rsidR="001054C3" w:rsidRDefault="001054C3" w:rsidP="008C565C">
            <w:pPr>
              <w:pStyle w:val="Rec"/>
              <w:numPr>
                <w:ilvl w:val="0"/>
                <w:numId w:val="26"/>
              </w:numPr>
              <w:spacing w:before="60"/>
              <w:ind w:left="714" w:hanging="357"/>
            </w:pPr>
            <w:r>
              <w:t>ensure the separation of policy setting, service delivery and regulation with clear roles for each</w:t>
            </w:r>
          </w:p>
          <w:p w14:paraId="284B4DB8" w14:textId="3A7978D4" w:rsidR="001054C3" w:rsidRDefault="001054C3" w:rsidP="008C565C">
            <w:pPr>
              <w:pStyle w:val="Rec"/>
              <w:numPr>
                <w:ilvl w:val="0"/>
                <w:numId w:val="26"/>
              </w:numPr>
              <w:spacing w:before="60"/>
              <w:ind w:left="714" w:hanging="357"/>
            </w:pPr>
            <w:r>
              <w:t xml:space="preserve">incentivise </w:t>
            </w:r>
            <w:r w:rsidR="00616ABA">
              <w:t xml:space="preserve">water </w:t>
            </w:r>
            <w:r>
              <w:t>service providers to be efficient and innovative, and to deliver services in ways that are cost</w:t>
            </w:r>
            <w:r>
              <w:noBreakHyphen/>
              <w:t>effective and in the interests of their customers</w:t>
            </w:r>
          </w:p>
          <w:p w14:paraId="6BF141A4" w14:textId="352B2921" w:rsidR="001054C3" w:rsidRPr="00FB49F4" w:rsidRDefault="001054C3" w:rsidP="008C565C">
            <w:pPr>
              <w:pStyle w:val="Rec"/>
              <w:numPr>
                <w:ilvl w:val="0"/>
                <w:numId w:val="24"/>
              </w:numPr>
              <w:spacing w:before="80"/>
              <w:ind w:left="357" w:hanging="357"/>
              <w:rPr>
                <w:spacing w:val="-2"/>
              </w:rPr>
            </w:pPr>
            <w:r w:rsidRPr="00FB49F4">
              <w:rPr>
                <w:spacing w:val="-2"/>
              </w:rPr>
              <w:t>processes that ensure that water infrastructure development</w:t>
            </w:r>
            <w:r w:rsidR="0088373D">
              <w:rPr>
                <w:spacing w:val="-2"/>
              </w:rPr>
              <w:t>s</w:t>
            </w:r>
            <w:r w:rsidRPr="00FB49F4">
              <w:rPr>
                <w:spacing w:val="-2"/>
              </w:rPr>
              <w:t xml:space="preserve"> and major refurbishment</w:t>
            </w:r>
            <w:r w:rsidR="0088373D">
              <w:rPr>
                <w:spacing w:val="-2"/>
              </w:rPr>
              <w:t>s</w:t>
            </w:r>
            <w:r w:rsidRPr="00FB49F4">
              <w:rPr>
                <w:spacing w:val="-2"/>
              </w:rPr>
              <w:t xml:space="preserve"> are ecologically sustainable, economically viable and culturally responsive.</w:t>
            </w:r>
          </w:p>
        </w:tc>
      </w:tr>
      <w:tr w:rsidR="001054C3" w14:paraId="5A321E5B" w14:textId="77777777" w:rsidTr="00234FBE">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4B3A0F1" w14:textId="77777777" w:rsidR="001054C3" w:rsidRDefault="001054C3" w:rsidP="00234FBE">
            <w:pPr>
              <w:pStyle w:val="Space"/>
            </w:pPr>
          </w:p>
        </w:tc>
      </w:tr>
      <w:tr w:rsidR="001054C3" w:rsidRPr="000863A5" w14:paraId="199E3639" w14:textId="77777777" w:rsidTr="00234FBE">
        <w:tc>
          <w:tcPr>
            <w:tcW w:w="5000" w:type="pct"/>
            <w:tcBorders>
              <w:top w:val="single" w:sz="6" w:space="0" w:color="265A9A" w:themeColor="background2"/>
              <w:left w:val="nil"/>
              <w:bottom w:val="nil"/>
              <w:right w:val="nil"/>
            </w:tcBorders>
            <w:tcMar>
              <w:left w:w="170" w:type="dxa"/>
              <w:right w:w="170" w:type="dxa"/>
            </w:tcMar>
          </w:tcPr>
          <w:p w14:paraId="4FC37CF9" w14:textId="77777777" w:rsidR="001054C3" w:rsidRPr="00626D32" w:rsidRDefault="001054C3" w:rsidP="00234FBE">
            <w:pPr>
              <w:pStyle w:val="BoxSpaceBelow"/>
              <w:keepLines/>
            </w:pPr>
          </w:p>
        </w:tc>
      </w:tr>
    </w:tbl>
    <w:p w14:paraId="6592F369" w14:textId="77777777" w:rsidR="001054C3" w:rsidRDefault="001054C3" w:rsidP="00DE301C">
      <w:pPr>
        <w:pStyle w:val="BoxSpaceAbove"/>
        <w:spacing w:before="120"/>
      </w:pPr>
    </w:p>
    <w:tbl>
      <w:tblPr>
        <w:tblW w:w="5000" w:type="pct"/>
        <w:tblBorders>
          <w:top w:val="single" w:sz="6" w:space="0" w:color="78A22F" w:themeColor="accent1"/>
          <w:bottom w:val="single" w:sz="6" w:space="0" w:color="78A22F" w:themeColor="accent1"/>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3E075AE2" w14:textId="77777777" w:rsidTr="00DE301C">
        <w:trPr>
          <w:tblHeader/>
        </w:trPr>
        <w:tc>
          <w:tcPr>
            <w:tcW w:w="5000" w:type="pct"/>
            <w:shd w:val="clear" w:color="auto" w:fill="auto"/>
          </w:tcPr>
          <w:p w14:paraId="5190E0A7" w14:textId="118ED1FF" w:rsidR="001054C3" w:rsidRPr="00176D3F" w:rsidRDefault="001054C3" w:rsidP="00234FBE">
            <w:pPr>
              <w:pStyle w:val="FigureTitle"/>
            </w:pPr>
            <w:r w:rsidRPr="00784A05">
              <w:rPr>
                <w:b w:val="0"/>
              </w:rPr>
              <w:t xml:space="preserve">Figure </w:t>
            </w:r>
            <w:r>
              <w:rPr>
                <w:b w:val="0"/>
              </w:rPr>
              <w:t>3.</w:t>
            </w:r>
            <w:r>
              <w:rPr>
                <w:b w:val="0"/>
                <w:noProof/>
              </w:rPr>
              <w:t>2</w:t>
            </w:r>
            <w:r>
              <w:tab/>
              <w:t>Summary view of suggested new NWI objectives</w:t>
            </w:r>
            <w:r w:rsidRPr="00F936E0">
              <w:rPr>
                <w:rStyle w:val="NoteLabel"/>
                <w:b/>
              </w:rPr>
              <w:t>a,b</w:t>
            </w:r>
          </w:p>
        </w:tc>
      </w:tr>
      <w:tr w:rsidR="001054C3" w14:paraId="046A246E" w14:textId="77777777" w:rsidTr="00DE301C">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04"/>
              <w:gridCol w:w="4401"/>
            </w:tblGrid>
            <w:tr w:rsidR="001054C3" w:rsidRPr="00B1465D" w14:paraId="02CB5584" w14:textId="77777777" w:rsidTr="00234FBE">
              <w:trPr>
                <w:tblHeader/>
                <w:jc w:val="center"/>
              </w:trPr>
              <w:tc>
                <w:tcPr>
                  <w:tcW w:w="2335" w:type="pct"/>
                  <w:tcBorders>
                    <w:top w:val="nil"/>
                    <w:bottom w:val="nil"/>
                  </w:tcBorders>
                </w:tcPr>
                <w:p w14:paraId="3B365F60" w14:textId="77777777" w:rsidR="001054C3" w:rsidRPr="00B1465D" w:rsidRDefault="001054C3" w:rsidP="00234FBE">
                  <w:pPr>
                    <w:pStyle w:val="Figure"/>
                    <w:spacing w:before="60" w:after="60"/>
                    <w:rPr>
                      <w:rFonts w:ascii="Arial" w:hAnsi="Arial" w:cs="Arial"/>
                      <w:sz w:val="18"/>
                      <w:szCs w:val="18"/>
                    </w:rPr>
                  </w:pPr>
                  <w:r w:rsidRPr="00886AC7">
                    <w:rPr>
                      <w:rFonts w:ascii="Arial" w:hAnsi="Arial" w:cs="Arial"/>
                      <w:noProof/>
                      <w:sz w:val="18"/>
                      <w:szCs w:val="18"/>
                    </w:rPr>
                    <w:drawing>
                      <wp:inline distT="0" distB="0" distL="0" distR="0" wp14:anchorId="76C8B2FB" wp14:editId="0C873C26">
                        <wp:extent cx="2628900" cy="2371725"/>
                        <wp:effectExtent l="0" t="0" r="0" b="9525"/>
                        <wp:docPr id="12" name="Picture 12" descr="Figure 3.2. Left-hand side: Resource Management. This figure shows the Commission’s suggested NWI objectives regarding resource management. These are: secure entitlements, transparent statutory-based planning, secure water for the environment, influence for Traditional Owners, water moves to its highest value through trading, integrity of water management, and appropriate responses to adjustment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2. Left-hand side: Resource Management. This figure shows the Commission’s suggested NWI objectives regarding resource management. These are: secure entitlements, transparent statutory-based planning, secure water for the environment, influence for Traditional Owners, water moves to its highest value through trading, integrity of water management, and appropriate responses to adjustment issu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8900" cy="2371725"/>
                                </a:xfrm>
                                <a:prstGeom prst="rect">
                                  <a:avLst/>
                                </a:prstGeom>
                                <a:noFill/>
                                <a:ln>
                                  <a:noFill/>
                                </a:ln>
                              </pic:spPr>
                            </pic:pic>
                          </a:graphicData>
                        </a:graphic>
                      </wp:inline>
                    </w:drawing>
                  </w:r>
                </w:p>
              </w:tc>
              <w:tc>
                <w:tcPr>
                  <w:tcW w:w="2665" w:type="pct"/>
                  <w:tcBorders>
                    <w:top w:val="nil"/>
                    <w:bottom w:val="nil"/>
                  </w:tcBorders>
                </w:tcPr>
                <w:p w14:paraId="2FF5C675" w14:textId="77777777" w:rsidR="001054C3" w:rsidRPr="00B1465D" w:rsidRDefault="001054C3" w:rsidP="00234FBE">
                  <w:pPr>
                    <w:pStyle w:val="Figure"/>
                    <w:spacing w:before="60" w:after="60"/>
                    <w:rPr>
                      <w:rFonts w:ascii="Arial" w:hAnsi="Arial" w:cs="Arial"/>
                      <w:sz w:val="18"/>
                      <w:szCs w:val="18"/>
                    </w:rPr>
                  </w:pPr>
                  <w:r w:rsidRPr="002703B8">
                    <w:rPr>
                      <w:rFonts w:ascii="Arial" w:hAnsi="Arial" w:cs="Arial"/>
                      <w:noProof/>
                      <w:sz w:val="18"/>
                      <w:szCs w:val="18"/>
                    </w:rPr>
                    <w:drawing>
                      <wp:inline distT="0" distB="0" distL="0" distR="0" wp14:anchorId="3B1B461C" wp14:editId="205D84E1">
                        <wp:extent cx="2809875" cy="2371725"/>
                        <wp:effectExtent l="0" t="0" r="9525" b="9525"/>
                        <wp:docPr id="10" name="Picture 10" descr="Figure 3.2. Right-hand side. Service provision. This figure shows the Commission’s suggested NWI objectives regarding service provision. These are: access to safe and reliable drinking water; integrated water supply, wastewater and stormwater planning and management in cities and towns; efficient services level, quality and cost, reflective of customer preferences; cost-reflective pricing (wherever possible); ecologically sustainable and economically viable new developments and best-practice governance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2. Right-hand side. Service provision. This figure shows the Commission’s suggested NWI objectives regarding service provision. These are: access to safe and reliable drinking water; integrated water supply, wastewater and stormwater planning and management in cities and towns; efficient services level, quality and cost, reflective of customer preferences; cost-reflective pricing (wherever possible); ecologically sustainable and economically viable new developments and best-practice governance and regulati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09875" cy="2371725"/>
                                </a:xfrm>
                                <a:prstGeom prst="rect">
                                  <a:avLst/>
                                </a:prstGeom>
                                <a:noFill/>
                                <a:ln>
                                  <a:noFill/>
                                </a:ln>
                              </pic:spPr>
                            </pic:pic>
                          </a:graphicData>
                        </a:graphic>
                      </wp:inline>
                    </w:drawing>
                  </w:r>
                </w:p>
              </w:tc>
            </w:tr>
          </w:tbl>
          <w:p w14:paraId="4D9C68B7" w14:textId="77777777" w:rsidR="001054C3" w:rsidRDefault="001054C3" w:rsidP="00234FBE">
            <w:pPr>
              <w:pStyle w:val="Figure"/>
            </w:pPr>
          </w:p>
        </w:tc>
      </w:tr>
      <w:tr w:rsidR="001054C3" w:rsidRPr="00176D3F" w14:paraId="7970D34C" w14:textId="77777777" w:rsidTr="00DE301C">
        <w:tc>
          <w:tcPr>
            <w:tcW w:w="5000" w:type="pct"/>
            <w:shd w:val="clear" w:color="auto" w:fill="auto"/>
          </w:tcPr>
          <w:p w14:paraId="524F6804" w14:textId="5C8941C0" w:rsidR="001054C3" w:rsidRDefault="001054C3" w:rsidP="00234FBE">
            <w:pPr>
              <w:pStyle w:val="Note"/>
            </w:pPr>
            <w:r>
              <w:rPr>
                <w:rStyle w:val="NoteLabel"/>
              </w:rPr>
              <w:t>a</w:t>
            </w:r>
            <w:r>
              <w:t xml:space="preserve"> </w:t>
            </w:r>
            <w:r w:rsidR="00EE5D62">
              <w:t>Highlighted areas</w:t>
            </w:r>
            <w:r w:rsidRPr="00AD31A2">
              <w:t xml:space="preserve"> represent new objectives</w:t>
            </w:r>
            <w:r>
              <w:t xml:space="preserve">. </w:t>
            </w:r>
            <w:r w:rsidRPr="00F936E0">
              <w:rPr>
                <w:rStyle w:val="NoteLabel"/>
              </w:rPr>
              <w:t>b</w:t>
            </w:r>
            <w:r>
              <w:t xml:space="preserve"> The Commission’s advice includes additional detail for most of the current NWI water resource management objectives.</w:t>
            </w:r>
          </w:p>
          <w:p w14:paraId="7704424F" w14:textId="13703289" w:rsidR="001054C3" w:rsidRPr="00176D3F" w:rsidRDefault="001054C3" w:rsidP="00DE301C">
            <w:pPr>
              <w:pStyle w:val="Figurespace"/>
            </w:pPr>
          </w:p>
        </w:tc>
      </w:tr>
    </w:tbl>
    <w:p w14:paraId="4D34ED54" w14:textId="157131BC" w:rsidR="001054C3" w:rsidRDefault="001054C3" w:rsidP="00234FBE">
      <w:pPr>
        <w:pStyle w:val="Heading2"/>
      </w:pPr>
      <w:bookmarkStart w:id="66" w:name="_Toc72939495"/>
      <w:r>
        <w:lastRenderedPageBreak/>
        <w:t>3.</w:t>
      </w:r>
      <w:r>
        <w:rPr>
          <w:noProof/>
        </w:rPr>
        <w:t>5</w:t>
      </w:r>
      <w:bookmarkStart w:id="67" w:name="_Toc63112458"/>
      <w:r>
        <w:tab/>
        <w:t>Foundations set in o</w:t>
      </w:r>
      <w:r w:rsidRPr="00F626AA">
        <w:t>verarching principles</w:t>
      </w:r>
      <w:bookmarkEnd w:id="66"/>
      <w:bookmarkEnd w:id="67"/>
    </w:p>
    <w:p w14:paraId="02818E3B" w14:textId="77777777" w:rsidR="001054C3" w:rsidRPr="007B1BBD" w:rsidRDefault="001054C3" w:rsidP="00234FBE">
      <w:pPr>
        <w:pStyle w:val="BodyText"/>
      </w:pPr>
      <w:r w:rsidRPr="007B1BBD">
        <w:t>The NWI recognised the importance of information (or knowledge) and community engagement to the successful design and implementation of reform (chapters 14 and 15). Successful reform is grounded in the best available evidence and the trade</w:t>
      </w:r>
      <w:r w:rsidRPr="007B1BBD">
        <w:noBreakHyphen/>
        <w:t>offs that have to be made around how limited water resources are used, which means that effective engagement is crucial. Principles capturing best practice for these foundational elements should be included in a renewed agreement and applied across all areas of water resource management and water service provision.</w:t>
      </w:r>
    </w:p>
    <w:p w14:paraId="3F3A1153" w14:textId="77777777" w:rsidR="001054C3" w:rsidRPr="007B1BBD" w:rsidRDefault="001054C3" w:rsidP="00234FBE">
      <w:pPr>
        <w:pStyle w:val="BodyText"/>
      </w:pPr>
      <w:r w:rsidRPr="007B1BBD">
        <w:t>Experiences since the NWI was crafted suggest additional foundations, reflected in the themes mentioned above — a strong capacity to contend with drought and adapt to a changing resource availability baseline, and fit</w:t>
      </w:r>
      <w:r w:rsidRPr="007B1BBD">
        <w:noBreakHyphen/>
        <w:t>for</w:t>
      </w:r>
      <w:r w:rsidRPr="007B1BBD">
        <w:noBreakHyphen/>
        <w:t>purpose arrangements. These too merit a place in the principles that underpin the agreement.</w:t>
      </w:r>
    </w:p>
    <w:p w14:paraId="31B77738" w14:textId="77777777" w:rsidR="001054C3" w:rsidRPr="007B1BBD" w:rsidRDefault="001054C3" w:rsidP="00234FBE">
      <w:pPr>
        <w:pStyle w:val="BodyText"/>
      </w:pPr>
      <w:r>
        <w:t>Feedback on the draft report indicated broad</w:t>
      </w:r>
      <w:r>
        <w:noBreakHyphen/>
        <w:t>based support for the proposed principles.</w:t>
      </w:r>
      <w:r>
        <w:rPr>
          <w:rStyle w:val="FootnoteReference"/>
        </w:rPr>
        <w:footnoteReference w:id="12"/>
      </w:r>
      <w:r>
        <w:t xml:space="preserve"> Some alternative wording to better reflect the intent of the principles has been implemented.</w:t>
      </w:r>
    </w:p>
    <w:p w14:paraId="6665768F"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6768EB9A" w14:textId="77777777" w:rsidTr="00234FBE">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5D823645" w14:textId="4112DE63" w:rsidR="001054C3" w:rsidRPr="00CE4C64" w:rsidRDefault="001054C3" w:rsidP="00234FBE">
            <w:pPr>
              <w:pStyle w:val="RecTitle"/>
              <w:spacing w:before="120"/>
              <w:rPr>
                <w:noProof/>
              </w:rPr>
            </w:pPr>
            <w:r w:rsidRPr="00FD772E">
              <w:rPr>
                <w:spacing w:val="-2"/>
              </w:rPr>
              <w:t xml:space="preserve">NWI renewal advice </w:t>
            </w:r>
            <w:r>
              <w:rPr>
                <w:spacing w:val="-2"/>
              </w:rPr>
              <w:t>3.</w:t>
            </w:r>
            <w:r>
              <w:rPr>
                <w:noProof/>
                <w:spacing w:val="-2"/>
              </w:rPr>
              <w:t>4</w:t>
            </w:r>
            <w:r w:rsidRPr="00FD772E">
              <w:rPr>
                <w:noProof/>
                <w:spacing w:val="-2"/>
              </w:rPr>
              <w:t xml:space="preserve">: </w:t>
            </w:r>
            <w:r>
              <w:rPr>
                <w:noProof/>
                <w:spacing w:val="-2"/>
              </w:rPr>
              <w:t>overarching principles</w:t>
            </w:r>
          </w:p>
        </w:tc>
      </w:tr>
      <w:tr w:rsidR="001054C3" w:rsidRPr="00750BE2" w14:paraId="5F2C70F9"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3F235A6C" w14:textId="77777777" w:rsidR="001054C3" w:rsidRDefault="001054C3" w:rsidP="00234FBE">
            <w:pPr>
              <w:pStyle w:val="Rec"/>
            </w:pPr>
            <w:r>
              <w:t>In achieving the objectives outlined in previous advice, governments should agree to the following principles and seek to apply them across all key areas of water policy, planning and operations.</w:t>
            </w:r>
          </w:p>
          <w:p w14:paraId="4A50B527" w14:textId="77777777" w:rsidR="001054C3" w:rsidRDefault="001054C3" w:rsidP="008C565C">
            <w:pPr>
              <w:pStyle w:val="Rec"/>
              <w:numPr>
                <w:ilvl w:val="0"/>
                <w:numId w:val="27"/>
              </w:numPr>
              <w:ind w:left="357" w:hanging="357"/>
            </w:pPr>
            <w:r>
              <w:t>Capacity to contend with droughts, floods and shocks, and to adapt to a changing climate, is strong.</w:t>
            </w:r>
          </w:p>
          <w:p w14:paraId="154283CB" w14:textId="77777777" w:rsidR="001054C3" w:rsidRDefault="001054C3" w:rsidP="008C565C">
            <w:pPr>
              <w:pStyle w:val="Rec"/>
              <w:numPr>
                <w:ilvl w:val="0"/>
                <w:numId w:val="27"/>
              </w:numPr>
              <w:ind w:left="357" w:hanging="357"/>
            </w:pPr>
            <w:r>
              <w:t>Regulation, governance and management are fit for purpose.</w:t>
            </w:r>
          </w:p>
          <w:p w14:paraId="33C6C86E" w14:textId="77777777" w:rsidR="001054C3" w:rsidRDefault="001054C3" w:rsidP="008C565C">
            <w:pPr>
              <w:pStyle w:val="Rec"/>
              <w:numPr>
                <w:ilvl w:val="0"/>
                <w:numId w:val="27"/>
              </w:numPr>
              <w:ind w:left="357" w:hanging="357"/>
            </w:pPr>
            <w:r>
              <w:t>All decisions are based on the best available evidence and information.</w:t>
            </w:r>
          </w:p>
          <w:p w14:paraId="6C03FAF3" w14:textId="77777777" w:rsidR="001054C3" w:rsidRDefault="001054C3" w:rsidP="008C565C">
            <w:pPr>
              <w:pStyle w:val="Rec"/>
              <w:numPr>
                <w:ilvl w:val="0"/>
                <w:numId w:val="27"/>
              </w:numPr>
              <w:ind w:left="357" w:hanging="357"/>
            </w:pPr>
            <w:r>
              <w:t>Innovation and continuous improvement are encouraged and adaptive management is required.</w:t>
            </w:r>
          </w:p>
          <w:p w14:paraId="6FBF380E" w14:textId="77777777" w:rsidR="001054C3" w:rsidRPr="002C71A5" w:rsidRDefault="001054C3" w:rsidP="008C565C">
            <w:pPr>
              <w:pStyle w:val="Rec"/>
              <w:numPr>
                <w:ilvl w:val="0"/>
                <w:numId w:val="27"/>
              </w:numPr>
              <w:ind w:left="357" w:hanging="357"/>
            </w:pPr>
            <w:r w:rsidRPr="002C71A5">
              <w:t xml:space="preserve">Communities are engaged effectively </w:t>
            </w:r>
            <w:r>
              <w:t>before decisions that impact them are made</w:t>
            </w:r>
            <w:r w:rsidRPr="002C71A5">
              <w:t>.</w:t>
            </w:r>
          </w:p>
          <w:p w14:paraId="15D673FD" w14:textId="77777777" w:rsidR="001054C3" w:rsidRDefault="001054C3" w:rsidP="008C565C">
            <w:pPr>
              <w:pStyle w:val="Rec"/>
              <w:numPr>
                <w:ilvl w:val="0"/>
                <w:numId w:val="27"/>
              </w:numPr>
              <w:ind w:left="357" w:hanging="357"/>
            </w:pPr>
            <w:r w:rsidRPr="002C71A5">
              <w:t xml:space="preserve">Communities </w:t>
            </w:r>
            <w:r>
              <w:t xml:space="preserve">are provided with </w:t>
            </w:r>
            <w:r w:rsidRPr="002C71A5">
              <w:t xml:space="preserve">sufficient </w:t>
            </w:r>
            <w:r>
              <w:t>information</w:t>
            </w:r>
            <w:r w:rsidRPr="002C71A5">
              <w:t xml:space="preserve"> to </w:t>
            </w:r>
            <w:r>
              <w:t xml:space="preserve">enable </w:t>
            </w:r>
            <w:r w:rsidRPr="002C71A5">
              <w:t>effective</w:t>
            </w:r>
            <w:r>
              <w:t xml:space="preserve"> engagement.</w:t>
            </w:r>
          </w:p>
        </w:tc>
      </w:tr>
      <w:tr w:rsidR="001054C3" w14:paraId="08DEF33D" w14:textId="77777777" w:rsidTr="00234FBE">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46F6E5E9" w14:textId="77777777" w:rsidR="001054C3" w:rsidRDefault="001054C3" w:rsidP="00234FBE">
            <w:pPr>
              <w:pStyle w:val="Space"/>
              <w:keepLines/>
            </w:pPr>
          </w:p>
        </w:tc>
      </w:tr>
      <w:tr w:rsidR="001054C3" w:rsidRPr="000863A5" w14:paraId="0F636E84" w14:textId="77777777" w:rsidTr="00234FBE">
        <w:tc>
          <w:tcPr>
            <w:tcW w:w="5000" w:type="pct"/>
            <w:tcBorders>
              <w:top w:val="single" w:sz="6" w:space="0" w:color="265A9A" w:themeColor="background2"/>
              <w:left w:val="nil"/>
              <w:bottom w:val="nil"/>
              <w:right w:val="nil"/>
            </w:tcBorders>
            <w:tcMar>
              <w:left w:w="170" w:type="dxa"/>
              <w:right w:w="170" w:type="dxa"/>
            </w:tcMar>
          </w:tcPr>
          <w:p w14:paraId="6C262B99" w14:textId="77777777" w:rsidR="001054C3" w:rsidRPr="00626D32" w:rsidRDefault="001054C3" w:rsidP="00234FBE">
            <w:pPr>
              <w:pStyle w:val="BoxSpaceBelow"/>
              <w:keepLines/>
            </w:pPr>
          </w:p>
        </w:tc>
      </w:tr>
    </w:tbl>
    <w:p w14:paraId="74938103" w14:textId="46F527CD" w:rsidR="001054C3" w:rsidRDefault="001054C3" w:rsidP="00234FBE">
      <w:pPr>
        <w:pStyle w:val="Heading2"/>
      </w:pPr>
      <w:bookmarkStart w:id="68" w:name="_Toc72939496"/>
      <w:r>
        <w:t>3.</w:t>
      </w:r>
      <w:r>
        <w:rPr>
          <w:noProof/>
        </w:rPr>
        <w:t>6</w:t>
      </w:r>
      <w:bookmarkStart w:id="69" w:name="_Toc63112459"/>
      <w:r>
        <w:tab/>
        <w:t>Key elements</w:t>
      </w:r>
      <w:bookmarkEnd w:id="68"/>
      <w:bookmarkEnd w:id="69"/>
    </w:p>
    <w:p w14:paraId="59C93FBB" w14:textId="77777777" w:rsidR="001054C3" w:rsidRPr="007B1BBD" w:rsidRDefault="001054C3" w:rsidP="00234FBE">
      <w:pPr>
        <w:pStyle w:val="BodyText"/>
      </w:pPr>
      <w:r w:rsidRPr="007B1BBD">
        <w:t>The goal and objectives of the NWI were to be achieved through action across eight key elements. All remain relevant to the task of managing Australia’s water resources to best effect and should be retained in a new agreement.</w:t>
      </w:r>
    </w:p>
    <w:p w14:paraId="189EDBA7" w14:textId="77777777" w:rsidR="001054C3" w:rsidRPr="007B1BBD" w:rsidRDefault="001054C3" w:rsidP="00234FBE">
      <w:pPr>
        <w:pStyle w:val="BodyText"/>
      </w:pPr>
      <w:r w:rsidRPr="007B1BBD">
        <w:lastRenderedPageBreak/>
        <w:t xml:space="preserve">However, </w:t>
      </w:r>
      <w:r>
        <w:t>significant enhancements should be made to a number of elements. R</w:t>
      </w:r>
      <w:r w:rsidRPr="007B1BBD">
        <w:t xml:space="preserve">ecent experiences highlight the need for a much stronger focus on compliance and enforcement (chapter 10). The water accounting element should be </w:t>
      </w:r>
      <w:r>
        <w:t>significantly</w:t>
      </w:r>
      <w:r w:rsidRPr="007B1BBD">
        <w:t xml:space="preserve"> expanded with content that will ensure trust and confidence in water management, or system integrity. And it should be renamed to reflect this broader coverage. </w:t>
      </w:r>
      <w:r>
        <w:t xml:space="preserve">Similarly, the recent drought experience highlighted concerns in water planning. The water planning framework should be enhanced to ensure changes in the availability of water due to climate change are adequately taken into account in water planning (chapter 6). Likewise, the environmental management element should be enhanced </w:t>
      </w:r>
      <w:r w:rsidRPr="00BC2813">
        <w:t>to respon</w:t>
      </w:r>
      <w:r>
        <w:t>d</w:t>
      </w:r>
      <w:r w:rsidRPr="00BC2813">
        <w:t xml:space="preserve"> to a drying and more variable climate</w:t>
      </w:r>
      <w:r>
        <w:t>,</w:t>
      </w:r>
      <w:r w:rsidRPr="00BC2813" w:rsidDel="0090400B">
        <w:t xml:space="preserve"> </w:t>
      </w:r>
      <w:r>
        <w:t xml:space="preserve">and </w:t>
      </w:r>
      <w:r w:rsidRPr="00BC2813" w:rsidDel="0090400B">
        <w:t xml:space="preserve">to </w:t>
      </w:r>
      <w:r>
        <w:t>address</w:t>
      </w:r>
      <w:r w:rsidRPr="00BC2813">
        <w:t xml:space="preserve"> the need for more adaptive management</w:t>
      </w:r>
      <w:r>
        <w:t xml:space="preserve"> and</w:t>
      </w:r>
      <w:r w:rsidRPr="00BC2813" w:rsidDel="00093761">
        <w:t xml:space="preserve"> </w:t>
      </w:r>
      <w:r w:rsidRPr="00BC2813">
        <w:t xml:space="preserve">integrated waterway and catchment management </w:t>
      </w:r>
      <w:r>
        <w:t>(chapter 8). Finally</w:t>
      </w:r>
      <w:r w:rsidRPr="007B1BBD">
        <w:t>, as argued above, the NWI has an emphasis on water resource management with relatively little attention given to the equally important task of water service provision. A renewed agreement should include a comprehensive treatment of urban water services (chapter 11).</w:t>
      </w:r>
    </w:p>
    <w:p w14:paraId="215D4CAB" w14:textId="77777777" w:rsidR="001054C3" w:rsidRDefault="001054C3" w:rsidP="00234FBE">
      <w:pPr>
        <w:pStyle w:val="BodyText"/>
      </w:pPr>
      <w:r w:rsidRPr="007B1BBD">
        <w:t>Two new elements are proposed: one to secure the interests of Aboriginal and Torres Strait Islander people in water resource management (chapter 9), and one to include principles for efficient investments in major water infrastructure. Arguments for the first addition are presented above. For investment, as noted in chapter 2, the challenges ahead mean that significant expenditure will likely be needed to safeguard the reliability and safety of supply. Experience suggests that the risks of rushed or ill</w:t>
      </w:r>
      <w:r w:rsidRPr="007B1BBD">
        <w:noBreakHyphen/>
        <w:t>considered investments that impose unnecessary burdens on communities (and the environment) are very real (chapter 13), justifying a dedicated reform focus for this aspect of water service provision.</w:t>
      </w:r>
    </w:p>
    <w:p w14:paraId="1352FC0A"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7EA64AD9" w14:textId="77777777" w:rsidTr="00234FBE">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719BBCC8" w14:textId="1108BC94" w:rsidR="001054C3" w:rsidRPr="00CE4C64" w:rsidRDefault="001054C3" w:rsidP="00234FBE">
            <w:pPr>
              <w:pStyle w:val="RecTitle"/>
              <w:spacing w:before="120"/>
              <w:rPr>
                <w:noProof/>
              </w:rPr>
            </w:pPr>
            <w:r w:rsidRPr="00FD772E">
              <w:rPr>
                <w:spacing w:val="-2"/>
              </w:rPr>
              <w:t xml:space="preserve">NWI renewal advice </w:t>
            </w:r>
            <w:r>
              <w:rPr>
                <w:spacing w:val="-2"/>
              </w:rPr>
              <w:t>3.</w:t>
            </w:r>
            <w:r>
              <w:rPr>
                <w:noProof/>
                <w:spacing w:val="-2"/>
              </w:rPr>
              <w:t>5</w:t>
            </w:r>
            <w:r w:rsidRPr="00FD772E">
              <w:rPr>
                <w:noProof/>
                <w:spacing w:val="-2"/>
              </w:rPr>
              <w:t xml:space="preserve">: </w:t>
            </w:r>
            <w:r>
              <w:rPr>
                <w:noProof/>
                <w:spacing w:val="-2"/>
              </w:rPr>
              <w:t>elements of a renewed agreement</w:t>
            </w:r>
          </w:p>
        </w:tc>
      </w:tr>
      <w:tr w:rsidR="001054C3" w:rsidRPr="00750BE2" w14:paraId="75FC8092"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4C927352" w14:textId="77777777" w:rsidR="001054C3" w:rsidRDefault="001054C3" w:rsidP="00234FBE">
            <w:pPr>
              <w:pStyle w:val="Rec"/>
            </w:pPr>
            <w:r>
              <w:t>The goal, objectives and principles should be delivered through the following elements:</w:t>
            </w:r>
          </w:p>
          <w:p w14:paraId="295F00CF" w14:textId="19B8CE88" w:rsidR="001054C3" w:rsidRPr="00C95B29" w:rsidRDefault="001054C3" w:rsidP="00234FBE">
            <w:pPr>
              <w:pStyle w:val="Rec"/>
              <w:rPr>
                <w:b/>
                <w:bCs/>
              </w:rPr>
            </w:pPr>
            <w:r w:rsidRPr="00C95B29">
              <w:rPr>
                <w:b/>
                <w:bCs/>
              </w:rPr>
              <w:t>Water resource management</w:t>
            </w:r>
          </w:p>
          <w:p w14:paraId="360F7D05" w14:textId="62F23FF4" w:rsidR="001054C3" w:rsidRDefault="001054C3" w:rsidP="008C565C">
            <w:pPr>
              <w:pStyle w:val="Rec"/>
              <w:numPr>
                <w:ilvl w:val="0"/>
                <w:numId w:val="32"/>
              </w:numPr>
              <w:spacing w:before="80"/>
              <w:ind w:left="357" w:hanging="357"/>
            </w:pPr>
            <w:r>
              <w:t>Water access entitlements and planning frameworks</w:t>
            </w:r>
          </w:p>
          <w:p w14:paraId="26FBB217" w14:textId="3A4A6A6A" w:rsidR="001054C3" w:rsidRDefault="001054C3" w:rsidP="008C565C">
            <w:pPr>
              <w:pStyle w:val="Rec"/>
              <w:numPr>
                <w:ilvl w:val="0"/>
                <w:numId w:val="32"/>
              </w:numPr>
              <w:spacing w:before="80"/>
              <w:ind w:left="357" w:hanging="357"/>
            </w:pPr>
            <w:r>
              <w:t>Water markets and trading</w:t>
            </w:r>
          </w:p>
          <w:p w14:paraId="0B4554C4" w14:textId="13EDDB1D" w:rsidR="001054C3" w:rsidRDefault="001054C3" w:rsidP="008C565C">
            <w:pPr>
              <w:pStyle w:val="Rec"/>
              <w:numPr>
                <w:ilvl w:val="0"/>
                <w:numId w:val="32"/>
              </w:numPr>
              <w:spacing w:before="80"/>
              <w:ind w:left="357" w:hanging="357"/>
            </w:pPr>
            <w:r>
              <w:t>Environmental management</w:t>
            </w:r>
          </w:p>
          <w:p w14:paraId="7DD1A85C" w14:textId="77777777" w:rsidR="001054C3" w:rsidRDefault="001054C3" w:rsidP="008C565C">
            <w:pPr>
              <w:pStyle w:val="Rec"/>
              <w:numPr>
                <w:ilvl w:val="0"/>
                <w:numId w:val="32"/>
              </w:numPr>
              <w:spacing w:before="80"/>
              <w:ind w:left="357" w:hanging="357"/>
            </w:pPr>
            <w:r>
              <w:t>Aboriginal and Torres Strait Islander people’s interests in water</w:t>
            </w:r>
          </w:p>
          <w:p w14:paraId="6F34C45C" w14:textId="77777777" w:rsidR="001054C3" w:rsidRDefault="001054C3" w:rsidP="008C565C">
            <w:pPr>
              <w:pStyle w:val="Rec"/>
              <w:numPr>
                <w:ilvl w:val="0"/>
                <w:numId w:val="32"/>
              </w:numPr>
              <w:spacing w:before="80"/>
              <w:ind w:left="357" w:hanging="357"/>
            </w:pPr>
            <w:r>
              <w:t>System integrity</w:t>
            </w:r>
          </w:p>
          <w:p w14:paraId="565DEFD6" w14:textId="77777777" w:rsidR="001054C3" w:rsidRPr="00C95B29" w:rsidRDefault="001054C3" w:rsidP="00234FBE">
            <w:pPr>
              <w:pStyle w:val="Rec"/>
              <w:rPr>
                <w:b/>
                <w:bCs/>
              </w:rPr>
            </w:pPr>
            <w:r w:rsidRPr="00C95B29">
              <w:rPr>
                <w:b/>
                <w:bCs/>
              </w:rPr>
              <w:t>Water services provision</w:t>
            </w:r>
          </w:p>
          <w:p w14:paraId="6CC6CCAA" w14:textId="77777777" w:rsidR="001054C3" w:rsidRDefault="001054C3" w:rsidP="008C565C">
            <w:pPr>
              <w:pStyle w:val="Rec"/>
              <w:numPr>
                <w:ilvl w:val="0"/>
                <w:numId w:val="32"/>
              </w:numPr>
              <w:spacing w:before="80"/>
              <w:ind w:left="357" w:hanging="357"/>
            </w:pPr>
            <w:r>
              <w:t>Pricing and institutional arrangements</w:t>
            </w:r>
          </w:p>
          <w:p w14:paraId="21A6937D" w14:textId="77777777" w:rsidR="001054C3" w:rsidRDefault="001054C3" w:rsidP="008C565C">
            <w:pPr>
              <w:pStyle w:val="Rec"/>
              <w:numPr>
                <w:ilvl w:val="0"/>
                <w:numId w:val="32"/>
              </w:numPr>
              <w:spacing w:before="80"/>
              <w:ind w:left="357" w:hanging="357"/>
            </w:pPr>
            <w:r>
              <w:t>Urban water services</w:t>
            </w:r>
          </w:p>
          <w:p w14:paraId="0E74F476" w14:textId="77777777" w:rsidR="001054C3" w:rsidRDefault="001054C3" w:rsidP="008C565C">
            <w:pPr>
              <w:pStyle w:val="Rec"/>
              <w:numPr>
                <w:ilvl w:val="0"/>
                <w:numId w:val="32"/>
              </w:numPr>
              <w:spacing w:before="80"/>
              <w:ind w:left="357" w:hanging="357"/>
            </w:pPr>
            <w:r>
              <w:t>Infrastructure development</w:t>
            </w:r>
          </w:p>
          <w:p w14:paraId="37D3025F" w14:textId="77777777" w:rsidR="001054C3" w:rsidRPr="00C95B29" w:rsidRDefault="001054C3" w:rsidP="00234FBE">
            <w:pPr>
              <w:pStyle w:val="Rec"/>
              <w:rPr>
                <w:b/>
                <w:bCs/>
              </w:rPr>
            </w:pPr>
            <w:r w:rsidRPr="00C95B29">
              <w:rPr>
                <w:b/>
                <w:bCs/>
              </w:rPr>
              <w:t>Supporting arrangements</w:t>
            </w:r>
          </w:p>
          <w:p w14:paraId="350ED67F" w14:textId="77777777" w:rsidR="001054C3" w:rsidRDefault="001054C3" w:rsidP="008C565C">
            <w:pPr>
              <w:pStyle w:val="Rec"/>
              <w:numPr>
                <w:ilvl w:val="0"/>
                <w:numId w:val="32"/>
              </w:numPr>
              <w:spacing w:before="80"/>
              <w:ind w:left="357" w:hanging="357"/>
            </w:pPr>
            <w:r>
              <w:t>Community engagement and adjustment</w:t>
            </w:r>
          </w:p>
          <w:p w14:paraId="154793C4" w14:textId="77777777" w:rsidR="001054C3" w:rsidRDefault="001054C3" w:rsidP="008C565C">
            <w:pPr>
              <w:pStyle w:val="Rec"/>
              <w:numPr>
                <w:ilvl w:val="0"/>
                <w:numId w:val="32"/>
              </w:numPr>
              <w:spacing w:before="80"/>
              <w:ind w:left="357" w:hanging="357"/>
            </w:pPr>
            <w:r>
              <w:t>Knowledge, capacity and capability building</w:t>
            </w:r>
          </w:p>
        </w:tc>
      </w:tr>
      <w:tr w:rsidR="001054C3" w14:paraId="2F059A95" w14:textId="77777777" w:rsidTr="00234FBE">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72DD4DFB" w14:textId="77777777" w:rsidR="001054C3" w:rsidRDefault="001054C3" w:rsidP="00234FBE">
            <w:pPr>
              <w:pStyle w:val="Space"/>
              <w:keepLines/>
            </w:pPr>
          </w:p>
        </w:tc>
      </w:tr>
      <w:tr w:rsidR="001054C3" w:rsidRPr="000863A5" w14:paraId="2385C15B" w14:textId="77777777" w:rsidTr="00234FBE">
        <w:tc>
          <w:tcPr>
            <w:tcW w:w="5000" w:type="pct"/>
            <w:tcBorders>
              <w:top w:val="single" w:sz="6" w:space="0" w:color="265A9A" w:themeColor="background2"/>
              <w:left w:val="nil"/>
              <w:bottom w:val="nil"/>
              <w:right w:val="nil"/>
            </w:tcBorders>
            <w:tcMar>
              <w:left w:w="170" w:type="dxa"/>
              <w:right w:w="170" w:type="dxa"/>
            </w:tcMar>
          </w:tcPr>
          <w:p w14:paraId="05081E79" w14:textId="77777777" w:rsidR="001054C3" w:rsidRPr="00626D32" w:rsidRDefault="001054C3" w:rsidP="00234FBE">
            <w:pPr>
              <w:pStyle w:val="BoxSpaceBelow"/>
              <w:keepLines/>
            </w:pPr>
          </w:p>
        </w:tc>
      </w:tr>
    </w:tbl>
    <w:p w14:paraId="5D5778C7" w14:textId="1850404A" w:rsidR="001054C3" w:rsidRPr="007B1BBD" w:rsidRDefault="001054C3" w:rsidP="00234FBE">
      <w:pPr>
        <w:pStyle w:val="BodyText"/>
      </w:pPr>
      <w:r w:rsidRPr="007B1BBD">
        <w:lastRenderedPageBreak/>
        <w:t>Figure </w:t>
      </w:r>
      <w:r>
        <w:t>3.3</w:t>
      </w:r>
      <w:r w:rsidRPr="007B1BBD">
        <w:t xml:space="preserve"> summarises suggested </w:t>
      </w:r>
      <w:r>
        <w:t>elements</w:t>
      </w:r>
      <w:r w:rsidRPr="007B1BBD">
        <w:t xml:space="preserve"> </w:t>
      </w:r>
      <w:r>
        <w:t>of</w:t>
      </w:r>
      <w:r w:rsidRPr="007B1BBD">
        <w:t xml:space="preserve"> </w:t>
      </w:r>
      <w:r>
        <w:t>a renewed</w:t>
      </w:r>
      <w:r w:rsidRPr="007B1BBD">
        <w:t xml:space="preserve"> NWI relative to current content.</w:t>
      </w:r>
    </w:p>
    <w:p w14:paraId="7FC15763" w14:textId="64A95198"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07EE738C" w14:textId="77777777" w:rsidTr="00234FBE">
        <w:trPr>
          <w:tblHeader/>
        </w:trPr>
        <w:tc>
          <w:tcPr>
            <w:tcW w:w="5000" w:type="pct"/>
            <w:tcBorders>
              <w:top w:val="single" w:sz="6" w:space="0" w:color="78A22F" w:themeColor="accent1"/>
              <w:left w:val="nil"/>
              <w:bottom w:val="nil"/>
              <w:right w:val="nil"/>
            </w:tcBorders>
            <w:shd w:val="clear" w:color="auto" w:fill="auto"/>
          </w:tcPr>
          <w:p w14:paraId="37425CCA" w14:textId="5AF7E79A" w:rsidR="001054C3" w:rsidRPr="00176D3F" w:rsidRDefault="001054C3" w:rsidP="00234FBE">
            <w:pPr>
              <w:pStyle w:val="FigureTitle"/>
            </w:pPr>
            <w:r w:rsidRPr="00784A05">
              <w:rPr>
                <w:b w:val="0"/>
              </w:rPr>
              <w:t xml:space="preserve">Figure </w:t>
            </w:r>
            <w:r>
              <w:rPr>
                <w:b w:val="0"/>
              </w:rPr>
              <w:t>3.</w:t>
            </w:r>
            <w:r>
              <w:rPr>
                <w:b w:val="0"/>
                <w:noProof/>
              </w:rPr>
              <w:t>3</w:t>
            </w:r>
            <w:r>
              <w:tab/>
              <w:t>Summary view of suggested elements for a renewed NWI</w:t>
            </w:r>
          </w:p>
        </w:tc>
      </w:tr>
      <w:tr w:rsidR="001054C3" w14:paraId="0A853C2F" w14:textId="77777777" w:rsidTr="00234FBE">
        <w:tc>
          <w:tcPr>
            <w:tcW w:w="5000" w:type="pct"/>
            <w:tcBorders>
              <w:top w:val="nil"/>
              <w:left w:val="nil"/>
              <w:bottom w:val="nil"/>
              <w:right w:val="nil"/>
            </w:tcBorders>
            <w:shd w:val="clear" w:color="auto" w:fill="auto"/>
            <w:tcMar>
              <w:top w:w="28" w:type="dxa"/>
              <w:bottom w:w="28" w:type="dxa"/>
            </w:tcMar>
          </w:tcPr>
          <w:p w14:paraId="61D3843E" w14:textId="09041549" w:rsidR="001054C3" w:rsidRDefault="00915EB9" w:rsidP="00234FBE">
            <w:pPr>
              <w:pStyle w:val="Figure"/>
            </w:pPr>
            <w:r w:rsidRPr="00915EB9">
              <w:rPr>
                <w:noProof/>
              </w:rPr>
              <w:drawing>
                <wp:inline distT="0" distB="0" distL="0" distR="0" wp14:anchorId="53A11E5F" wp14:editId="06ADA6C2">
                  <wp:extent cx="4731385" cy="3304540"/>
                  <wp:effectExtent l="0" t="0" r="0" b="0"/>
                  <wp:docPr id="31" name="Picture 31" descr="Figure 3.3. Left hand panel. Resource management. This figure shows the five resource management elements the Commission suggests should be included in a renewed NWI, covering: Entitlements and planning frameworks; Markets and trading; Environmental management; Traditional Owners’ interests’; and System integrity. Two underpinning elements, Community engagement and Knowledge and capacity building cut across all elements.&#10;Figure 3.3. Right hand panel. Service provision. This figure shows the three resource management element the Commission suggests should be included in a renewed NWI, covering: Infrastructure development, Pricing and institutional arrangements and Urban water services. Two underpinning elements, Community engagement and Knowledge and capacity building cut across al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3.3. Left hand panel. Resource management. This figure shows the five resource management elements the Commission suggests should be included in a renewed NWI, covering: Entitlements and planning frameworks; Markets and trading; Environmental management; Traditional Owners’ interests’; and System integrity. Two underpinning elements, Community engagement and Knowledge and capacity building cut across all elements.&#10;Figure 3.3. Right hand panel. Service provision. This figure shows the three resource management element the Commission suggests should be included in a renewed NWI, covering: Infrastructure development, Pricing and institutional arrangements and Urban water services. Two underpinning elements, Community engagement and Knowledge and capacity building cut across all element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31385" cy="3304540"/>
                          </a:xfrm>
                          <a:prstGeom prst="rect">
                            <a:avLst/>
                          </a:prstGeom>
                          <a:noFill/>
                          <a:ln>
                            <a:noFill/>
                          </a:ln>
                        </pic:spPr>
                      </pic:pic>
                    </a:graphicData>
                  </a:graphic>
                </wp:inline>
              </w:drawing>
            </w:r>
          </w:p>
        </w:tc>
      </w:tr>
      <w:tr w:rsidR="001054C3" w14:paraId="412E0EA1" w14:textId="77777777" w:rsidTr="00234FBE">
        <w:tc>
          <w:tcPr>
            <w:tcW w:w="5000" w:type="pct"/>
            <w:tcBorders>
              <w:top w:val="nil"/>
              <w:left w:val="nil"/>
              <w:bottom w:val="single" w:sz="6" w:space="0" w:color="78A22F" w:themeColor="accent1"/>
              <w:right w:val="nil"/>
            </w:tcBorders>
            <w:shd w:val="clear" w:color="auto" w:fill="auto"/>
          </w:tcPr>
          <w:p w14:paraId="34627BA4" w14:textId="77777777" w:rsidR="001054C3" w:rsidRDefault="001054C3" w:rsidP="00234FBE">
            <w:pPr>
              <w:pStyle w:val="Figurespace"/>
            </w:pPr>
          </w:p>
        </w:tc>
      </w:tr>
      <w:tr w:rsidR="001054C3" w:rsidRPr="000863A5" w14:paraId="163CC002" w14:textId="77777777" w:rsidTr="00234FBE">
        <w:tc>
          <w:tcPr>
            <w:tcW w:w="5000" w:type="pct"/>
            <w:tcBorders>
              <w:top w:val="single" w:sz="6" w:space="0" w:color="78A22F" w:themeColor="accent1"/>
              <w:left w:val="nil"/>
              <w:bottom w:val="nil"/>
              <w:right w:val="nil"/>
            </w:tcBorders>
          </w:tcPr>
          <w:p w14:paraId="1EF41E57" w14:textId="4EAC12ED" w:rsidR="001054C3" w:rsidRPr="00626D32" w:rsidRDefault="001054C3" w:rsidP="00234FBE">
            <w:pPr>
              <w:pStyle w:val="BoxSpaceBelow"/>
            </w:pPr>
          </w:p>
        </w:tc>
      </w:tr>
    </w:tbl>
    <w:p w14:paraId="339EBC62" w14:textId="77777777" w:rsidR="001054C3" w:rsidRDefault="001054C3" w:rsidP="00234FBE">
      <w:pPr>
        <w:pStyle w:val="BodyText"/>
      </w:pPr>
      <w:r w:rsidRPr="007B1BBD">
        <w:t>The following chapters outline the Commission’s more detailed advice on the significant policy directions for these proposed key elements, identifying the major issues to be considered in each area, best practice, lessons learnt and the potential policies to be pursued in a renewed NWI.</w:t>
      </w:r>
    </w:p>
    <w:p w14:paraId="6BADC328" w14:textId="23E4F9DC" w:rsidR="001054C3" w:rsidRDefault="001054C3" w:rsidP="00234FBE">
      <w:pPr>
        <w:pStyle w:val="Heading2"/>
      </w:pPr>
      <w:bookmarkStart w:id="70" w:name="_Toc72939497"/>
      <w:r>
        <w:t>3.</w:t>
      </w:r>
      <w:r>
        <w:rPr>
          <w:noProof/>
        </w:rPr>
        <w:t>7</w:t>
      </w:r>
      <w:bookmarkStart w:id="71" w:name="_Toc63112460"/>
      <w:r>
        <w:tab/>
        <w:t>Updated acknowledgement of other initiatives</w:t>
      </w:r>
      <w:bookmarkEnd w:id="70"/>
      <w:bookmarkEnd w:id="71"/>
    </w:p>
    <w:p w14:paraId="0424C148" w14:textId="77777777" w:rsidR="001054C3" w:rsidRDefault="001054C3" w:rsidP="00234FBE">
      <w:pPr>
        <w:pStyle w:val="BodyText"/>
      </w:pPr>
      <w:r w:rsidRPr="007B1BBD">
        <w:t xml:space="preserve">Paragraph 7 of the NWI sets out key national initiatives that interact with the agreement. Developments since 2004 that merit inclusion in a renewed agreement include the </w:t>
      </w:r>
      <w:r w:rsidRPr="006A7868">
        <w:rPr>
          <w:i/>
          <w:iCs/>
        </w:rPr>
        <w:t>Water Act 2007</w:t>
      </w:r>
      <w:r w:rsidRPr="007B1BBD">
        <w:t xml:space="preserve"> (Cth), the 2012 Murray–Darling Basin Plan</w:t>
      </w:r>
      <w:r>
        <w:t xml:space="preserve">, </w:t>
      </w:r>
      <w:r w:rsidRPr="007B1BBD">
        <w:t>and the 2020 National Agreement on Closing the Gap.</w:t>
      </w:r>
      <w:r>
        <w:t xml:space="preserve"> Moreover, a renewed NWI should be the major policy vehicle for pursuing the water</w:t>
      </w:r>
      <w:r>
        <w:noBreakHyphen/>
        <w:t>related goals that Australia endorsed as part of the United Nations 2030 Agenda for Sustainable Development in 2015.</w:t>
      </w:r>
    </w:p>
    <w:p w14:paraId="1117A26D" w14:textId="77777777" w:rsidR="001054C3" w:rsidRDefault="001054C3">
      <w:pPr>
        <w:rPr>
          <w:szCs w:val="20"/>
        </w:rPr>
      </w:pPr>
      <w:r>
        <w:br w:type="page"/>
      </w:r>
    </w:p>
    <w:p w14:paraId="52BEFD13"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7EF865D9" w14:textId="77777777" w:rsidTr="00234FBE">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03FF94B4" w14:textId="3A66FAE0" w:rsidR="001054C3" w:rsidRPr="00CE4C64" w:rsidRDefault="001054C3" w:rsidP="00234FBE">
            <w:pPr>
              <w:pStyle w:val="RecTitle"/>
              <w:spacing w:before="120"/>
              <w:rPr>
                <w:noProof/>
              </w:rPr>
            </w:pPr>
            <w:r>
              <w:t>NWI renewal advice 3.</w:t>
            </w:r>
            <w:r>
              <w:rPr>
                <w:noProof/>
              </w:rPr>
              <w:t>6: An updated statement of interactions</w:t>
            </w:r>
          </w:p>
        </w:tc>
      </w:tr>
      <w:tr w:rsidR="001054C3" w:rsidRPr="00750BE2" w14:paraId="735FB1FF"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1A683955" w14:textId="77777777" w:rsidR="001054C3" w:rsidRDefault="001054C3" w:rsidP="00234FBE">
            <w:pPr>
              <w:pStyle w:val="Rec"/>
            </w:pPr>
            <w:r>
              <w:t>The current paragraph of the National Water Initiative covering interactions with other key initiatives needs to be brought up to date. Suggested wording follows:</w:t>
            </w:r>
          </w:p>
          <w:p w14:paraId="2B6C4354" w14:textId="77777777" w:rsidR="001054C3" w:rsidRDefault="001054C3" w:rsidP="00234FBE">
            <w:pPr>
              <w:pStyle w:val="Rec"/>
              <w:ind w:left="340"/>
            </w:pPr>
            <w:r w:rsidRPr="00C47A6E">
              <w:t xml:space="preserve">Other </w:t>
            </w:r>
            <w:r w:rsidRPr="006B3064">
              <w:t xml:space="preserve">initiatives </w:t>
            </w:r>
            <w:r w:rsidRPr="00585FA1">
              <w:t>with</w:t>
            </w:r>
            <w:r w:rsidRPr="006B3064">
              <w:t xml:space="preserve"> a significant water focus, </w:t>
            </w:r>
            <w:r w:rsidRPr="002B30DC">
              <w:t xml:space="preserve">subject </w:t>
            </w:r>
            <w:r w:rsidRPr="00DE61CD">
              <w:t>to</w:t>
            </w:r>
            <w:r w:rsidRPr="006B3064">
              <w:t xml:space="preserve"> separate agreements by the Parties, </w:t>
            </w:r>
            <w:r w:rsidRPr="00585FA1">
              <w:t>includ</w:t>
            </w:r>
            <w:r w:rsidRPr="002B30DC">
              <w:t>e</w:t>
            </w:r>
            <w:r w:rsidRPr="006B3064">
              <w:t xml:space="preserve"> </w:t>
            </w:r>
            <w:r>
              <w:t xml:space="preserve">the </w:t>
            </w:r>
            <w:r w:rsidRPr="00C67C5B">
              <w:rPr>
                <w:i/>
                <w:iCs/>
              </w:rPr>
              <w:t>Water Act 2007</w:t>
            </w:r>
            <w:r w:rsidRPr="00C67C5B">
              <w:rPr>
                <w:iCs/>
              </w:rPr>
              <w:t xml:space="preserve"> (Cth)</w:t>
            </w:r>
            <w:r>
              <w:t xml:space="preserve">, </w:t>
            </w:r>
            <w:r w:rsidRPr="006B3064">
              <w:t xml:space="preserve">the </w:t>
            </w:r>
            <w:r>
              <w:t xml:space="preserve">2012 </w:t>
            </w:r>
            <w:r w:rsidRPr="006B3064">
              <w:t>Murray–Darling Basin Plan</w:t>
            </w:r>
            <w:r>
              <w:t>, the Murray</w:t>
            </w:r>
            <w:r>
              <w:rPr>
                <w:rFonts w:cs="Arial"/>
              </w:rPr>
              <w:t>–</w:t>
            </w:r>
            <w:r>
              <w:t>Darling Basin Agreement</w:t>
            </w:r>
            <w:r w:rsidRPr="006B3064">
              <w:t xml:space="preserve"> and the </w:t>
            </w:r>
            <w:r>
              <w:t xml:space="preserve">2020 </w:t>
            </w:r>
            <w:r w:rsidRPr="006B3064">
              <w:t>National Agreement on Closing the Gap. These play an important</w:t>
            </w:r>
            <w:r w:rsidRPr="00C47A6E">
              <w:t xml:space="preserve"> and complementary role in improving the management of water in Australia. </w:t>
            </w:r>
            <w:r>
              <w:t>Continued linkages</w:t>
            </w:r>
            <w:r w:rsidRPr="00D25C0D">
              <w:t xml:space="preserve"> </w:t>
            </w:r>
            <w:r>
              <w:t xml:space="preserve">to </w:t>
            </w:r>
            <w:r w:rsidRPr="00D25C0D">
              <w:t xml:space="preserve">the National Water Quality Management Strategy will also complement </w:t>
            </w:r>
            <w:r>
              <w:t xml:space="preserve">achievement of </w:t>
            </w:r>
            <w:r w:rsidRPr="00D25C0D">
              <w:t xml:space="preserve">the </w:t>
            </w:r>
            <w:r>
              <w:t>objectives</w:t>
            </w:r>
            <w:r w:rsidRPr="00D25C0D">
              <w:t xml:space="preserve"> of this </w:t>
            </w:r>
            <w:r>
              <w:t>a</w:t>
            </w:r>
            <w:r w:rsidRPr="00D25C0D">
              <w:t>greement.</w:t>
            </w:r>
            <w:r>
              <w:t xml:space="preserve"> And the agreement should be the major policy vehicle for pursuing the water</w:t>
            </w:r>
            <w:r>
              <w:noBreakHyphen/>
              <w:t>related goals endorsed as part of the United Nations 2030 Agenda for Sustainable Development.</w:t>
            </w:r>
          </w:p>
        </w:tc>
      </w:tr>
      <w:tr w:rsidR="001054C3" w14:paraId="61B75F8F" w14:textId="77777777" w:rsidTr="00234FBE">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393C8497" w14:textId="77777777" w:rsidR="001054C3" w:rsidRDefault="001054C3" w:rsidP="00234FBE">
            <w:pPr>
              <w:pStyle w:val="Space"/>
              <w:keepLines/>
            </w:pPr>
          </w:p>
        </w:tc>
      </w:tr>
      <w:tr w:rsidR="001054C3" w:rsidRPr="000863A5" w14:paraId="08D252B9" w14:textId="77777777" w:rsidTr="00234FBE">
        <w:tc>
          <w:tcPr>
            <w:tcW w:w="5000" w:type="pct"/>
            <w:tcBorders>
              <w:top w:val="single" w:sz="6" w:space="0" w:color="265A9A" w:themeColor="background2"/>
              <w:left w:val="nil"/>
              <w:bottom w:val="nil"/>
              <w:right w:val="nil"/>
            </w:tcBorders>
            <w:tcMar>
              <w:left w:w="170" w:type="dxa"/>
              <w:right w:w="170" w:type="dxa"/>
            </w:tcMar>
          </w:tcPr>
          <w:p w14:paraId="52D9CE75" w14:textId="77777777" w:rsidR="001054C3" w:rsidRPr="00626D32" w:rsidRDefault="001054C3" w:rsidP="00234FBE">
            <w:pPr>
              <w:pStyle w:val="BoxSpaceBelow"/>
              <w:keepLines/>
            </w:pPr>
          </w:p>
        </w:tc>
      </w:tr>
    </w:tbl>
    <w:p w14:paraId="58F55B7B" w14:textId="77777777" w:rsidR="001054C3" w:rsidRPr="007B1BBD" w:rsidRDefault="001054C3" w:rsidP="00234FBE">
      <w:pPr>
        <w:pStyle w:val="BodyText"/>
      </w:pPr>
    </w:p>
    <w:p w14:paraId="57C35CB1" w14:textId="77777777" w:rsidR="001054C3" w:rsidRDefault="001054C3" w:rsidP="001054C3">
      <w:pPr>
        <w:sectPr w:rsidR="001054C3" w:rsidSect="001054C3">
          <w:headerReference w:type="even" r:id="rId68"/>
          <w:headerReference w:type="default" r:id="rId69"/>
          <w:footerReference w:type="even" r:id="rId70"/>
          <w:footerReference w:type="default" r:id="rId71"/>
          <w:type w:val="oddPage"/>
          <w:pgSz w:w="11907" w:h="16840" w:code="9"/>
          <w:pgMar w:top="1985" w:right="1304" w:bottom="1247" w:left="1814" w:header="1701" w:footer="397" w:gutter="0"/>
          <w:pgNumType w:chapSep="period"/>
          <w:cols w:space="720"/>
          <w:docGrid w:linePitch="326"/>
        </w:sectPr>
      </w:pPr>
    </w:p>
    <w:p w14:paraId="7CC7D86D" w14:textId="1B1F6332" w:rsidR="001054C3" w:rsidRDefault="001054C3" w:rsidP="00234FBE">
      <w:pPr>
        <w:pStyle w:val="Heading1"/>
        <w:spacing w:before="0"/>
      </w:pPr>
      <w:bookmarkStart w:id="72" w:name="_Toc63112461"/>
      <w:bookmarkStart w:id="73" w:name="_Toc72939498"/>
      <w:r>
        <w:lastRenderedPageBreak/>
        <w:t>4</w:t>
      </w:r>
      <w:r>
        <w:tab/>
        <w:t>Building in good governance for a renewed NWI</w:t>
      </w:r>
      <w:bookmarkEnd w:id="72"/>
      <w:bookmarkEnd w:id="73"/>
    </w:p>
    <w:p w14:paraId="1E2D27E5" w14:textId="77777777" w:rsidR="00065089" w:rsidRPr="00065089" w:rsidRDefault="00065089" w:rsidP="0006508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78623F5B" w14:textId="77777777" w:rsidTr="00234FBE">
        <w:trPr>
          <w:tblHeader/>
        </w:trPr>
        <w:tc>
          <w:tcPr>
            <w:tcW w:w="5000" w:type="pct"/>
            <w:tcBorders>
              <w:top w:val="single" w:sz="6" w:space="0" w:color="78A22F"/>
              <w:left w:val="nil"/>
              <w:bottom w:val="nil"/>
              <w:right w:val="nil"/>
            </w:tcBorders>
            <w:shd w:val="clear" w:color="auto" w:fill="F2F2F2"/>
          </w:tcPr>
          <w:p w14:paraId="19C6BD8B" w14:textId="77777777" w:rsidR="001054C3" w:rsidRDefault="001054C3" w:rsidP="00234FBE">
            <w:pPr>
              <w:pStyle w:val="Caption"/>
              <w:spacing w:before="120"/>
            </w:pPr>
            <w:r>
              <w:t>Key points</w:t>
            </w:r>
          </w:p>
        </w:tc>
      </w:tr>
      <w:tr w:rsidR="001054C3" w14:paraId="20B1FAEE" w14:textId="77777777" w:rsidTr="00234FBE">
        <w:tc>
          <w:tcPr>
            <w:tcW w:w="5000" w:type="pct"/>
            <w:tcBorders>
              <w:top w:val="nil"/>
              <w:left w:val="nil"/>
              <w:bottom w:val="nil"/>
              <w:right w:val="nil"/>
            </w:tcBorders>
            <w:shd w:val="clear" w:color="auto" w:fill="F2F2F2"/>
          </w:tcPr>
          <w:p w14:paraId="6C25794C" w14:textId="77777777" w:rsidR="001054C3" w:rsidRDefault="001054C3" w:rsidP="00234FBE">
            <w:pPr>
              <w:pStyle w:val="KeyPointsListBullet"/>
            </w:pPr>
            <w:r>
              <w:t>Australians need to be assured that water is being stewarded to best effect.</w:t>
            </w:r>
          </w:p>
          <w:p w14:paraId="74AB4088" w14:textId="77777777" w:rsidR="001054C3" w:rsidRDefault="001054C3" w:rsidP="00234FBE">
            <w:pPr>
              <w:pStyle w:val="KeyPointsListBullet"/>
            </w:pPr>
            <w:r>
              <w:t>Governance arrangements established for the National Water Initiative (NWI) in 2004, whilst key to progress in the early years of the agreement, have been significantly eroded.</w:t>
            </w:r>
          </w:p>
          <w:p w14:paraId="68D79F35" w14:textId="77777777" w:rsidR="001054C3" w:rsidRDefault="001054C3" w:rsidP="00234FBE">
            <w:pPr>
              <w:pStyle w:val="KeyPointsListBullet"/>
            </w:pPr>
            <w:r>
              <w:t>A strengthened architecture is needed as part of NWI renewal to ensure that leadership on national water policy is evident and effective, and that water sector participants and the broader community can have confidence in activity within this critical policy sphere.</w:t>
            </w:r>
          </w:p>
          <w:p w14:paraId="3303B38F" w14:textId="77777777" w:rsidR="001054C3" w:rsidRDefault="001054C3" w:rsidP="00234FBE">
            <w:pPr>
              <w:pStyle w:val="KeyPointsListBullet"/>
            </w:pPr>
            <w:r>
              <w:t>NWI renewal is an opportunity for governments to adopt a modernised agreement structure. In particular, use of prescriptive one</w:t>
            </w:r>
            <w:r>
              <w:noBreakHyphen/>
              <w:t>size</w:t>
            </w:r>
            <w:r>
              <w:noBreakHyphen/>
              <w:t>fits</w:t>
            </w:r>
            <w:r>
              <w:noBreakHyphen/>
              <w:t xml:space="preserve">all actions should be </w:t>
            </w:r>
            <w:r w:rsidDel="0038704C">
              <w:t>limited</w:t>
            </w:r>
            <w:r>
              <w:t>, and parties should be afforded discretion to implement actions that suit conditions within their jurisdictions.</w:t>
            </w:r>
          </w:p>
          <w:p w14:paraId="300C3FBB" w14:textId="77777777" w:rsidR="001054C3" w:rsidRDefault="001054C3" w:rsidP="00234FBE">
            <w:pPr>
              <w:pStyle w:val="KeyPointsListBullet2"/>
            </w:pPr>
            <w:r>
              <w:t>To that end, jurisdictions should develop publicly available rolling implementation plans that reflect local conditions and government priorities.</w:t>
            </w:r>
          </w:p>
          <w:p w14:paraId="60F5A70C" w14:textId="77777777" w:rsidR="001054C3" w:rsidRDefault="001054C3" w:rsidP="00234FBE">
            <w:pPr>
              <w:pStyle w:val="KeyPointsListBullet"/>
            </w:pPr>
            <w:r>
              <w:t>Ownership of the renewed NWI should sit with a body which has a status that clearly conveys to water sector participants and the broader community that governments see water, and reforms to ensure it is used to best effect, as important. That ownership role is best played by water ministers.</w:t>
            </w:r>
          </w:p>
          <w:p w14:paraId="4B166774" w14:textId="77777777" w:rsidR="001054C3" w:rsidRDefault="001054C3" w:rsidP="00234FBE">
            <w:pPr>
              <w:pStyle w:val="KeyPointsListBullet2"/>
            </w:pPr>
            <w:r>
              <w:t xml:space="preserve">Water </w:t>
            </w:r>
            <w:r w:rsidRPr="00BA6320">
              <w:t xml:space="preserve">ministers </w:t>
            </w:r>
            <w:r>
              <w:t>should come together periodically to oversee development</w:t>
            </w:r>
            <w:r w:rsidDel="005E5637">
              <w:t xml:space="preserve"> of a renewed NWI</w:t>
            </w:r>
            <w:r>
              <w:t>, and to receive, consider and act upon advice that comes out of any periodic review of the new agreement.</w:t>
            </w:r>
          </w:p>
          <w:p w14:paraId="358B9CCA" w14:textId="77777777" w:rsidR="001054C3" w:rsidRDefault="001054C3" w:rsidP="00234FBE">
            <w:pPr>
              <w:pStyle w:val="KeyPointsListBullet2"/>
            </w:pPr>
            <w:r>
              <w:t xml:space="preserve">The National Water Reform </w:t>
            </w:r>
            <w:r w:rsidRPr="005675B9">
              <w:t xml:space="preserve">Committee </w:t>
            </w:r>
            <w:r>
              <w:t>on behalf of governments, should provide transparent on</w:t>
            </w:r>
            <w:r>
              <w:noBreakHyphen/>
              <w:t xml:space="preserve">going collective oversight of the agreement, initiating policy advice and guidance, if the need arises, and commission </w:t>
            </w:r>
            <w:r w:rsidRPr="00604C7C">
              <w:t>10</w:t>
            </w:r>
            <w:r w:rsidRPr="00604C7C">
              <w:noBreakHyphen/>
              <w:t xml:space="preserve">yearly reviews </w:t>
            </w:r>
            <w:r>
              <w:t>of the agreement.</w:t>
            </w:r>
          </w:p>
          <w:p w14:paraId="480ACE72" w14:textId="77777777" w:rsidR="001054C3" w:rsidRDefault="001054C3" w:rsidP="00234FBE">
            <w:pPr>
              <w:pStyle w:val="KeyPointsListBullet"/>
            </w:pPr>
            <w:r>
              <w:t>Periodic and independent assessment has been a crucial contributor to the continuity, effectiveness and longevity of the NWI, and should be retained in a renewed agreement. E</w:t>
            </w:r>
            <w:r w:rsidRPr="000E4D86">
              <w:t>ach jurisdiction</w:t>
            </w:r>
            <w:r>
              <w:t>’s</w:t>
            </w:r>
            <w:r w:rsidRPr="000E4D86">
              <w:t xml:space="preserve"> rolling implementation plan </w:t>
            </w:r>
            <w:r>
              <w:t>should form the assessment baseline.</w:t>
            </w:r>
          </w:p>
          <w:p w14:paraId="619EB5D1" w14:textId="77777777" w:rsidR="001054C3" w:rsidRDefault="001054C3" w:rsidP="00234FBE">
            <w:pPr>
              <w:pStyle w:val="KeyPointsListBullet2"/>
            </w:pPr>
            <w:r>
              <w:t xml:space="preserve">Under the </w:t>
            </w:r>
            <w:bookmarkStart w:id="74" w:name="_Hlk62208239"/>
            <w:r w:rsidRPr="008765C4">
              <w:rPr>
                <w:i/>
                <w:iCs/>
              </w:rPr>
              <w:t>Water Act 2007</w:t>
            </w:r>
            <w:r>
              <w:t xml:space="preserve"> (Cth)</w:t>
            </w:r>
            <w:bookmarkEnd w:id="74"/>
            <w:r>
              <w:t xml:space="preserve">, the Productivity Commission currently holds the function to assess and publicly report on the adequacy and </w:t>
            </w:r>
            <w:r w:rsidDel="00823AD1">
              <w:t xml:space="preserve">progress </w:t>
            </w:r>
            <w:r>
              <w:t>of jurisdictional efforts to achieve the NWI, and the broader effectiveness of the agreement every three years.</w:t>
            </w:r>
          </w:p>
        </w:tc>
      </w:tr>
      <w:tr w:rsidR="001054C3" w14:paraId="418C541A" w14:textId="77777777" w:rsidTr="00234FBE">
        <w:tc>
          <w:tcPr>
            <w:tcW w:w="5000" w:type="pct"/>
            <w:tcBorders>
              <w:top w:val="nil"/>
              <w:left w:val="nil"/>
              <w:bottom w:val="single" w:sz="6" w:space="0" w:color="78A22F"/>
              <w:right w:val="nil"/>
            </w:tcBorders>
            <w:shd w:val="clear" w:color="auto" w:fill="F2F2F2"/>
          </w:tcPr>
          <w:p w14:paraId="66F4346E" w14:textId="77777777" w:rsidR="001054C3" w:rsidRDefault="001054C3" w:rsidP="00234FBE">
            <w:pPr>
              <w:pStyle w:val="Box"/>
              <w:spacing w:before="0" w:line="120" w:lineRule="exact"/>
            </w:pPr>
          </w:p>
        </w:tc>
      </w:tr>
      <w:tr w:rsidR="001054C3" w:rsidRPr="000863A5" w14:paraId="27187775" w14:textId="77777777" w:rsidTr="00234FBE">
        <w:tc>
          <w:tcPr>
            <w:tcW w:w="5000" w:type="pct"/>
            <w:tcBorders>
              <w:top w:val="single" w:sz="6" w:space="0" w:color="78A22F"/>
              <w:left w:val="nil"/>
              <w:bottom w:val="nil"/>
              <w:right w:val="nil"/>
            </w:tcBorders>
          </w:tcPr>
          <w:p w14:paraId="3F8331C0" w14:textId="77777777" w:rsidR="001054C3" w:rsidRPr="00626D32" w:rsidRDefault="001054C3" w:rsidP="00234FBE">
            <w:pPr>
              <w:pStyle w:val="BoxSpaceBelow"/>
            </w:pPr>
          </w:p>
        </w:tc>
      </w:tr>
    </w:tbl>
    <w:p w14:paraId="70AB7BC6" w14:textId="77777777" w:rsidR="001054C3" w:rsidRDefault="001054C3" w:rsidP="00234FBE">
      <w:pPr>
        <w:pStyle w:val="BodyText"/>
      </w:pPr>
      <w:r>
        <w:t xml:space="preserve">Responsibility for water management rests with State and Territory Governments. Renewing the National Water Initiative (NWI) would signal that all governments are </w:t>
      </w:r>
      <w:r w:rsidRPr="0035210F">
        <w:rPr>
          <w:szCs w:val="24"/>
        </w:rPr>
        <w:t>committed</w:t>
      </w:r>
      <w:r>
        <w:rPr>
          <w:szCs w:val="24"/>
        </w:rPr>
        <w:t xml:space="preserve"> </w:t>
      </w:r>
      <w:r>
        <w:t xml:space="preserve">to working together towards the best possible water future for Australia. To that end, a renewed agreement should exemplify collective leadership on national water policy. It should also engender the trust and engagement of water sector participants and the broader community; </w:t>
      </w:r>
      <w:r>
        <w:lastRenderedPageBreak/>
        <w:t>develop a framework that encourages and enables best practice in all jurisdictions; and harness the benefits of interjurisdictional cooperation.</w:t>
      </w:r>
    </w:p>
    <w:p w14:paraId="7DB84493" w14:textId="77777777" w:rsidR="001054C3" w:rsidRDefault="001054C3" w:rsidP="00234FBE">
      <w:pPr>
        <w:pStyle w:val="BodyText"/>
      </w:pPr>
      <w:r>
        <w:t>Governance of the agreement needs to reflect this ambition and ensure that it delivers.</w:t>
      </w:r>
    </w:p>
    <w:p w14:paraId="212BC01A" w14:textId="5C2CA156" w:rsidR="001054C3" w:rsidRPr="009B7D34" w:rsidRDefault="001054C3" w:rsidP="00234FBE">
      <w:pPr>
        <w:pStyle w:val="Heading2"/>
      </w:pPr>
      <w:bookmarkStart w:id="75" w:name="_Toc72939499"/>
      <w:r>
        <w:t>4.</w:t>
      </w:r>
      <w:r>
        <w:rPr>
          <w:noProof/>
        </w:rPr>
        <w:t>1</w:t>
      </w:r>
      <w:bookmarkStart w:id="76" w:name="_Toc63112462"/>
      <w:r>
        <w:tab/>
      </w:r>
      <w:r w:rsidRPr="009B7D34">
        <w:t>The NWI’s governance architecture has been significantly eroded</w:t>
      </w:r>
      <w:bookmarkEnd w:id="75"/>
      <w:bookmarkEnd w:id="76"/>
    </w:p>
    <w:p w14:paraId="2675734C" w14:textId="446B3590" w:rsidR="001054C3" w:rsidRPr="00A57884" w:rsidRDefault="001054C3" w:rsidP="00234FBE">
      <w:pPr>
        <w:pStyle w:val="BodyText"/>
      </w:pPr>
      <w:r>
        <w:t xml:space="preserve">At inception in 2004, the NWI was overseen by a Ministerial Council and supporting committees of senior officials. </w:t>
      </w:r>
      <w:r w:rsidRPr="00DC486F">
        <w:t xml:space="preserve">Parties to the </w:t>
      </w:r>
      <w:r>
        <w:t xml:space="preserve">agreement </w:t>
      </w:r>
      <w:r w:rsidRPr="00DC486F">
        <w:t>committed to developing implementation plans and to establish</w:t>
      </w:r>
      <w:r>
        <w:t>ing</w:t>
      </w:r>
      <w:r w:rsidRPr="00DC486F">
        <w:t xml:space="preserve"> the National Water Commission </w:t>
      </w:r>
      <w:r>
        <w:t xml:space="preserve">(NWC) </w:t>
      </w:r>
      <w:r w:rsidRPr="00DC486F">
        <w:t xml:space="preserve">to accredit </w:t>
      </w:r>
      <w:r>
        <w:t xml:space="preserve">those </w:t>
      </w:r>
      <w:r w:rsidRPr="00DC486F">
        <w:t xml:space="preserve">plans, assess </w:t>
      </w:r>
      <w:r>
        <w:t xml:space="preserve">and publicly report on </w:t>
      </w:r>
      <w:r w:rsidRPr="00DC486F" w:rsidDel="004579DC">
        <w:t>progress</w:t>
      </w:r>
      <w:r>
        <w:t>,</w:t>
      </w:r>
      <w:r w:rsidRPr="00DC486F">
        <w:t xml:space="preserve"> provide advice to </w:t>
      </w:r>
      <w:r>
        <w:t>the Council of Australian Governments (</w:t>
      </w:r>
      <w:r w:rsidRPr="00DC486F">
        <w:t>COAG</w:t>
      </w:r>
      <w:r>
        <w:t>)</w:t>
      </w:r>
      <w:r w:rsidRPr="00DC486F">
        <w:t xml:space="preserve"> on </w:t>
      </w:r>
      <w:r>
        <w:t>actions to better realise the objectives of the agreement and assist in implementing the NWI</w:t>
      </w:r>
      <w:r w:rsidRPr="00DC486F">
        <w:t xml:space="preserve">. </w:t>
      </w:r>
      <w:r>
        <w:t xml:space="preserve">The </w:t>
      </w:r>
      <w:r w:rsidRPr="00DC486F">
        <w:t xml:space="preserve">NWC </w:t>
      </w:r>
      <w:r>
        <w:t xml:space="preserve">was also tasked with a comprehensive review of the agreement in 2010 </w:t>
      </w:r>
      <w:r w:rsidRPr="00CE32B7">
        <w:rPr>
          <w:szCs w:val="24"/>
        </w:rPr>
        <w:t>(NWC 2011)</w:t>
      </w:r>
      <w:r>
        <w:t xml:space="preserve"> and,</w:t>
      </w:r>
      <w:r w:rsidRPr="00DC486F">
        <w:t xml:space="preserve"> </w:t>
      </w:r>
      <w:r>
        <w:t xml:space="preserve">over its life, </w:t>
      </w:r>
      <w:r w:rsidRPr="00DC486F">
        <w:t>coordinated a large investment in knowledge creation</w:t>
      </w:r>
      <w:r>
        <w:t xml:space="preserve"> to support reform efforts.</w:t>
      </w:r>
    </w:p>
    <w:p w14:paraId="02D4F9E3" w14:textId="77777777" w:rsidR="001054C3" w:rsidRDefault="001054C3" w:rsidP="00234FBE">
      <w:pPr>
        <w:pStyle w:val="BodyText"/>
      </w:pPr>
      <w:r>
        <w:t xml:space="preserve">These governance arrangements were key to progress in the early years of the agreement, but much of this architecture has been eroded. In 2013 the Australian Government disbanded the responsible Ministerial Council and subsequently abolished the </w:t>
      </w:r>
      <w:r w:rsidRPr="001054E7">
        <w:t>NWC in 201</w:t>
      </w:r>
      <w:r>
        <w:t>5</w:t>
      </w:r>
      <w:r w:rsidRPr="001054E7">
        <w:t>.</w:t>
      </w:r>
      <w:r>
        <w:t xml:space="preserve"> Initial jurisdictional implementation plans lapsed many years ago and were never renewed.</w:t>
      </w:r>
    </w:p>
    <w:p w14:paraId="3F8333AF" w14:textId="77777777" w:rsidR="001054C3" w:rsidRDefault="001054C3" w:rsidP="00234FBE">
      <w:pPr>
        <w:pStyle w:val="BodyText"/>
      </w:pPr>
      <w:r w:rsidRPr="001054E7">
        <w:t xml:space="preserve">Today, a senior </w:t>
      </w:r>
      <w:r>
        <w:t xml:space="preserve">water </w:t>
      </w:r>
      <w:r w:rsidRPr="001054E7">
        <w:t>officials</w:t>
      </w:r>
      <w:r>
        <w:t xml:space="preserve">’ committee </w:t>
      </w:r>
      <w:r>
        <w:noBreakHyphen/>
        <w:t xml:space="preserve"> the National Water Reform Committee (NWRC) provides some oversight of the NWI on behalf of governments amongst other matters. The Committee may provide policy advice and guidance back to Australian governments individually on NWI matters, as the need arises. The function of </w:t>
      </w:r>
      <w:r w:rsidRPr="001054E7">
        <w:t>assess</w:t>
      </w:r>
      <w:r>
        <w:t>ing</w:t>
      </w:r>
      <w:r w:rsidRPr="001054E7">
        <w:t xml:space="preserve"> </w:t>
      </w:r>
      <w:r w:rsidRPr="001054E7" w:rsidDel="00683912">
        <w:t>progress</w:t>
      </w:r>
      <w:r w:rsidDel="00683912">
        <w:t xml:space="preserve"> </w:t>
      </w:r>
      <w:r>
        <w:t>against the objectives and intended outcomes of the NWI on a three</w:t>
      </w:r>
      <w:r>
        <w:noBreakHyphen/>
        <w:t>yearly cycle</w:t>
      </w:r>
      <w:r w:rsidRPr="001054E7">
        <w:t xml:space="preserve"> </w:t>
      </w:r>
      <w:r>
        <w:t>is held by t</w:t>
      </w:r>
      <w:r w:rsidRPr="001054E7">
        <w:t xml:space="preserve">he </w:t>
      </w:r>
      <w:r>
        <w:t xml:space="preserve">Productivity </w:t>
      </w:r>
      <w:r w:rsidRPr="001054E7">
        <w:t xml:space="preserve">Commission </w:t>
      </w:r>
      <w:r>
        <w:t xml:space="preserve">under the </w:t>
      </w:r>
      <w:r w:rsidRPr="000C6AB5">
        <w:rPr>
          <w:i/>
        </w:rPr>
        <w:t>Water Act 2007</w:t>
      </w:r>
      <w:r>
        <w:t xml:space="preserve"> (Cth).</w:t>
      </w:r>
      <w:r>
        <w:rPr>
          <w:rStyle w:val="FootnoteReference"/>
        </w:rPr>
        <w:footnoteReference w:id="13"/>
      </w:r>
      <w:r w:rsidRPr="001054E7">
        <w:t xml:space="preserve"> </w:t>
      </w:r>
      <w:r>
        <w:t xml:space="preserve">The </w:t>
      </w:r>
      <w:r w:rsidRPr="00D5501F">
        <w:t xml:space="preserve">Commission </w:t>
      </w:r>
      <w:r>
        <w:t>is also required to ‘make recommendations on actions that parties to the National Water Initiative might take to better achieve the objectives and outcomes’ of the agreement.</w:t>
      </w:r>
      <w:r>
        <w:rPr>
          <w:rStyle w:val="FootnoteReference"/>
        </w:rPr>
        <w:footnoteReference w:id="14"/>
      </w:r>
      <w:r w:rsidDel="000C6AB5">
        <w:t xml:space="preserve"> </w:t>
      </w:r>
    </w:p>
    <w:p w14:paraId="27629F96" w14:textId="77777777" w:rsidR="001054C3" w:rsidRDefault="001054C3" w:rsidP="00234FBE">
      <w:pPr>
        <w:pStyle w:val="BodyText"/>
      </w:pPr>
      <w:r>
        <w:t>These arrangements are inconsistent with the importance of national water policy to Australia — which will only increase in future years. A strengthened governance architecture is needed as part of NWI renewal to ensure that national water policy leadership is evident, effective and transparent, and that water sector participants and the broader community can have confidence in government action within this critical policy sphere.</w:t>
      </w:r>
    </w:p>
    <w:p w14:paraId="0D911443"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031DAA19" w14:textId="77777777" w:rsidTr="00234FB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1C30EDB" w14:textId="77777777" w:rsidR="001054C3" w:rsidRPr="00CE4C64" w:rsidRDefault="001054C3" w:rsidP="00234FBE">
            <w:pPr>
              <w:pStyle w:val="FindingTitle"/>
              <w:spacing w:before="120"/>
              <w:rPr>
                <w:noProof/>
              </w:rPr>
            </w:pPr>
            <w:r>
              <w:t>Finding 4.1</w:t>
            </w:r>
          </w:p>
        </w:tc>
      </w:tr>
      <w:tr w:rsidR="001054C3" w:rsidRPr="00750BE2" w14:paraId="11890FF8" w14:textId="77777777" w:rsidTr="00234FBE">
        <w:trPr>
          <w:cantSplit/>
        </w:trPr>
        <w:tc>
          <w:tcPr>
            <w:tcW w:w="5000" w:type="pct"/>
            <w:tcBorders>
              <w:top w:val="nil"/>
              <w:left w:val="nil"/>
              <w:bottom w:val="nil"/>
              <w:right w:val="nil"/>
            </w:tcBorders>
            <w:shd w:val="clear" w:color="auto" w:fill="F2F2F2"/>
            <w:tcMar>
              <w:left w:w="170" w:type="dxa"/>
              <w:right w:w="170" w:type="dxa"/>
            </w:tcMar>
          </w:tcPr>
          <w:p w14:paraId="24133FF3" w14:textId="77777777" w:rsidR="001054C3" w:rsidRDefault="001054C3" w:rsidP="00234FBE">
            <w:pPr>
              <w:pStyle w:val="Finding"/>
              <w:keepNext/>
            </w:pPr>
            <w:r>
              <w:t xml:space="preserve">Governance arrangements established for the National Water Initiative have been significantly eroded. A strengthened governance architecture that </w:t>
            </w:r>
            <w:r w:rsidRPr="00BC3720">
              <w:t xml:space="preserve">transparently </w:t>
            </w:r>
            <w:r>
              <w:t>reflects the presence of national water policy leadership and ensures confidence in reform effort needs to be included in a renewed agreement.</w:t>
            </w:r>
          </w:p>
        </w:tc>
      </w:tr>
      <w:tr w:rsidR="001054C3" w14:paraId="0A3C1184" w14:textId="77777777" w:rsidTr="00234FBE">
        <w:trPr>
          <w:cantSplit/>
        </w:trPr>
        <w:tc>
          <w:tcPr>
            <w:tcW w:w="5000" w:type="pct"/>
            <w:tcBorders>
              <w:top w:val="nil"/>
              <w:left w:val="nil"/>
              <w:bottom w:val="single" w:sz="6" w:space="0" w:color="78A22F"/>
              <w:right w:val="nil"/>
            </w:tcBorders>
            <w:shd w:val="clear" w:color="auto" w:fill="F2F2F2"/>
            <w:tcMar>
              <w:left w:w="170" w:type="dxa"/>
              <w:right w:w="170" w:type="dxa"/>
            </w:tcMar>
          </w:tcPr>
          <w:p w14:paraId="52365A89" w14:textId="77777777" w:rsidR="001054C3" w:rsidRDefault="001054C3" w:rsidP="00234FBE">
            <w:pPr>
              <w:pStyle w:val="Space"/>
              <w:keepLines/>
            </w:pPr>
          </w:p>
        </w:tc>
      </w:tr>
      <w:tr w:rsidR="001054C3" w:rsidRPr="000863A5" w14:paraId="572A896B" w14:textId="77777777" w:rsidTr="00234FBE">
        <w:trPr>
          <w:cantSplit/>
        </w:trPr>
        <w:tc>
          <w:tcPr>
            <w:tcW w:w="5000" w:type="pct"/>
            <w:tcBorders>
              <w:top w:val="single" w:sz="6" w:space="0" w:color="78A22F"/>
              <w:left w:val="nil"/>
              <w:bottom w:val="nil"/>
              <w:right w:val="nil"/>
            </w:tcBorders>
            <w:tcMar>
              <w:left w:w="170" w:type="dxa"/>
              <w:right w:w="170" w:type="dxa"/>
            </w:tcMar>
          </w:tcPr>
          <w:p w14:paraId="3D789CF7" w14:textId="77777777" w:rsidR="001054C3" w:rsidRPr="00626D32" w:rsidRDefault="001054C3" w:rsidP="00234FBE">
            <w:pPr>
              <w:pStyle w:val="BoxSpaceBelow"/>
              <w:keepLines/>
            </w:pPr>
          </w:p>
        </w:tc>
      </w:tr>
    </w:tbl>
    <w:p w14:paraId="15E6B7F9" w14:textId="6F5FF987" w:rsidR="001054C3" w:rsidRDefault="001054C3" w:rsidP="00234FBE">
      <w:pPr>
        <w:pStyle w:val="Heading2"/>
      </w:pPr>
      <w:bookmarkStart w:id="77" w:name="_Toc72939500"/>
      <w:r>
        <w:t>4.</w:t>
      </w:r>
      <w:r>
        <w:rPr>
          <w:noProof/>
        </w:rPr>
        <w:t>2</w:t>
      </w:r>
      <w:bookmarkStart w:id="78" w:name="_Toc63112463"/>
      <w:r>
        <w:tab/>
        <w:t>Characteristics of leading practice governance</w:t>
      </w:r>
      <w:bookmarkEnd w:id="77"/>
      <w:bookmarkEnd w:id="78"/>
    </w:p>
    <w:p w14:paraId="4F2C86BA" w14:textId="7DFC170A" w:rsidR="001054C3" w:rsidRDefault="001054C3" w:rsidP="00234FBE">
      <w:pPr>
        <w:pStyle w:val="BodyText"/>
      </w:pPr>
      <w:r>
        <w:t xml:space="preserve">In 2015, in recognition of the global pressures on water and related sectors, the OECD developed principles on water governance </w:t>
      </w:r>
      <w:r w:rsidRPr="0076664D">
        <w:rPr>
          <w:szCs w:val="24"/>
        </w:rPr>
        <w:t>(OECD 2015, p. 3)</w:t>
      </w:r>
      <w:r>
        <w:t xml:space="preserve"> As it noted:</w:t>
      </w:r>
    </w:p>
    <w:p w14:paraId="7A395B0B" w14:textId="77777777" w:rsidR="001054C3" w:rsidRPr="00FB030D" w:rsidRDefault="001054C3" w:rsidP="00234FBE">
      <w:pPr>
        <w:pStyle w:val="Quote"/>
        <w:rPr>
          <w:spacing w:val="-2"/>
        </w:rPr>
      </w:pPr>
      <w:r w:rsidRPr="00FB030D">
        <w:rPr>
          <w:spacing w:val="-2"/>
        </w:rPr>
        <w:t>Coping with current and future challenges requires robust public policies, targeting measurable objectives in pre</w:t>
      </w:r>
      <w:r>
        <w:rPr>
          <w:spacing w:val="-2"/>
        </w:rPr>
        <w:noBreakHyphen/>
      </w:r>
      <w:r w:rsidRPr="00FB030D">
        <w:rPr>
          <w:spacing w:val="-2"/>
        </w:rPr>
        <w:t>determined time</w:t>
      </w:r>
      <w:r>
        <w:rPr>
          <w:spacing w:val="-2"/>
        </w:rPr>
        <w:noBreakHyphen/>
      </w:r>
      <w:r w:rsidRPr="00FB030D">
        <w:rPr>
          <w:spacing w:val="-2"/>
        </w:rPr>
        <w:t>schedules at the appropriate scale, relying on a clear assignment of duties across responsible authorities and subject to regular monitoring and evaluation.</w:t>
      </w:r>
    </w:p>
    <w:p w14:paraId="0566AE29" w14:textId="77777777" w:rsidR="001054C3" w:rsidRDefault="001054C3" w:rsidP="00234FBE">
      <w:pPr>
        <w:pStyle w:val="BodyText"/>
      </w:pPr>
      <w:r>
        <w:t>While designed to cover all facets of water resource management and water service provision, and not specific to an intergovernmental agreement, these principles provide guidance on leading practice water governance. The Commission has drawn on them in proposing characteristics for NWI governance consistent with an agreement that demonstrates national water policy leadership, engenders trust and engagement, provides a framework to encourage best practice and manages interjurisdictional cooperation (box 4.1).</w:t>
      </w:r>
    </w:p>
    <w:p w14:paraId="4F34036E"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2408946E" w14:textId="77777777" w:rsidTr="00234FBE">
        <w:trPr>
          <w:tblHeader/>
        </w:trPr>
        <w:tc>
          <w:tcPr>
            <w:tcW w:w="5000" w:type="pct"/>
            <w:tcBorders>
              <w:top w:val="single" w:sz="6" w:space="0" w:color="78A22F"/>
              <w:left w:val="nil"/>
              <w:bottom w:val="nil"/>
              <w:right w:val="nil"/>
            </w:tcBorders>
            <w:shd w:val="clear" w:color="auto" w:fill="F2F2F2"/>
          </w:tcPr>
          <w:p w14:paraId="19747711" w14:textId="77777777" w:rsidR="001054C3" w:rsidRDefault="001054C3" w:rsidP="00234FBE">
            <w:pPr>
              <w:pStyle w:val="BoxTitle"/>
            </w:pPr>
            <w:r>
              <w:rPr>
                <w:b w:val="0"/>
              </w:rPr>
              <w:t>Box 4.1</w:t>
            </w:r>
            <w:r>
              <w:tab/>
              <w:t>Dimensions of leading practice water governance</w:t>
            </w:r>
          </w:p>
        </w:tc>
      </w:tr>
      <w:tr w:rsidR="001054C3" w14:paraId="0F9C5C2B" w14:textId="77777777" w:rsidTr="00234FBE">
        <w:tc>
          <w:tcPr>
            <w:tcW w:w="5000" w:type="pct"/>
            <w:tcBorders>
              <w:top w:val="nil"/>
              <w:left w:val="nil"/>
              <w:bottom w:val="nil"/>
              <w:right w:val="nil"/>
            </w:tcBorders>
            <w:shd w:val="clear" w:color="auto" w:fill="F2F2F2"/>
          </w:tcPr>
          <w:p w14:paraId="7832FDD9" w14:textId="567C7372" w:rsidR="001054C3" w:rsidRDefault="001054C3" w:rsidP="00234FBE">
            <w:pPr>
              <w:pStyle w:val="Box"/>
            </w:pPr>
            <w:r>
              <w:t xml:space="preserve">Drawing on the </w:t>
            </w:r>
            <w:r w:rsidRPr="008C69E9">
              <w:rPr>
                <w:i/>
                <w:iCs/>
              </w:rPr>
              <w:t>OECD Principles on Water Governance</w:t>
            </w:r>
            <w:r>
              <w:t xml:space="preserve"> </w:t>
            </w:r>
            <w:r w:rsidRPr="000853F4">
              <w:rPr>
                <w:rFonts w:cs="Arial"/>
                <w:szCs w:val="24"/>
              </w:rPr>
              <w:t>(OECD 2015)</w:t>
            </w:r>
            <w:r>
              <w:t xml:space="preserve"> the Commission has identified the following as desirable characteristics for governance of a renewed National Water Initiative:</w:t>
            </w:r>
          </w:p>
          <w:p w14:paraId="57416F62" w14:textId="77777777" w:rsidR="001054C3" w:rsidRDefault="001054C3" w:rsidP="00234FBE">
            <w:pPr>
              <w:pStyle w:val="BoxListBullet"/>
            </w:pPr>
            <w:r>
              <w:t>oversight and policy leadership commensurate with the complexity of the water policy challenges inherent in climate change, population growth and more frequent extreme events</w:t>
            </w:r>
          </w:p>
          <w:p w14:paraId="045ADEB1" w14:textId="77777777" w:rsidR="001054C3" w:rsidRDefault="001054C3" w:rsidP="00234FBE">
            <w:pPr>
              <w:pStyle w:val="BoxListBullet"/>
            </w:pPr>
            <w:r>
              <w:t xml:space="preserve">clear assignment of roles and responsibilities for implementation and </w:t>
            </w:r>
            <w:r w:rsidDel="00E667F7">
              <w:t>progress</w:t>
            </w:r>
          </w:p>
          <w:p w14:paraId="2D1DE8D8" w14:textId="77777777" w:rsidR="001054C3" w:rsidRDefault="001054C3" w:rsidP="00234FBE">
            <w:pPr>
              <w:pStyle w:val="BoxListBullet"/>
            </w:pPr>
            <w:r>
              <w:t>arrangements for interjurisdictional coordination and cooperation</w:t>
            </w:r>
          </w:p>
          <w:p w14:paraId="6F7A7750" w14:textId="77777777" w:rsidR="001054C3" w:rsidRDefault="001054C3" w:rsidP="00234FBE">
            <w:pPr>
              <w:pStyle w:val="BoxListBullet"/>
            </w:pPr>
            <w:r>
              <w:t>mechanisms to monitor and evaluate the policy context and enable adaptation of the agreement as conditions change</w:t>
            </w:r>
          </w:p>
          <w:p w14:paraId="484037E4" w14:textId="77777777" w:rsidR="001054C3" w:rsidRDefault="001054C3" w:rsidP="00234FBE">
            <w:pPr>
              <w:pStyle w:val="BoxListBullet"/>
            </w:pPr>
            <w:r>
              <w:t>frameworks and mechanisms that hold parties to the agreement accountable including:</w:t>
            </w:r>
          </w:p>
          <w:p w14:paraId="62ACFB2B" w14:textId="77777777" w:rsidR="001054C3" w:rsidRDefault="001054C3" w:rsidP="00234FBE">
            <w:pPr>
              <w:pStyle w:val="BoxListBullet2"/>
            </w:pPr>
            <w:r>
              <w:t>periodic independent assessment of implementation</w:t>
            </w:r>
          </w:p>
          <w:p w14:paraId="212C9C8E" w14:textId="77777777" w:rsidR="001054C3" w:rsidRDefault="001054C3" w:rsidP="00234FBE">
            <w:pPr>
              <w:pStyle w:val="BoxListBullet2"/>
            </w:pPr>
            <w:r>
              <w:t>implementation actions and outcomes to be described in rolling work plans</w:t>
            </w:r>
          </w:p>
          <w:p w14:paraId="477EB7B2" w14:textId="77777777" w:rsidR="001054C3" w:rsidRDefault="001054C3" w:rsidP="00234FBE">
            <w:pPr>
              <w:pStyle w:val="BoxListBullet2"/>
            </w:pPr>
            <w:r>
              <w:t>transparent performance reporting</w:t>
            </w:r>
          </w:p>
          <w:p w14:paraId="635A05C6" w14:textId="77777777" w:rsidR="001054C3" w:rsidRDefault="001054C3" w:rsidP="00234FBE">
            <w:pPr>
              <w:pStyle w:val="BoxListBullet"/>
            </w:pPr>
            <w:r>
              <w:t>promotion of regular, informed and outcome</w:t>
            </w:r>
            <w:r>
              <w:noBreakHyphen/>
              <w:t>oriented stakeholder engagement.</w:t>
            </w:r>
          </w:p>
        </w:tc>
      </w:tr>
      <w:tr w:rsidR="001054C3" w14:paraId="1D6CE6AE" w14:textId="77777777" w:rsidTr="00234FBE">
        <w:tc>
          <w:tcPr>
            <w:tcW w:w="5000" w:type="pct"/>
            <w:tcBorders>
              <w:top w:val="nil"/>
              <w:left w:val="nil"/>
              <w:bottom w:val="single" w:sz="6" w:space="0" w:color="78A22F"/>
              <w:right w:val="nil"/>
            </w:tcBorders>
            <w:shd w:val="clear" w:color="auto" w:fill="F2F2F2"/>
          </w:tcPr>
          <w:p w14:paraId="7C888BEC" w14:textId="77777777" w:rsidR="001054C3" w:rsidRDefault="001054C3" w:rsidP="00234FBE">
            <w:pPr>
              <w:pStyle w:val="Box"/>
              <w:spacing w:before="0" w:line="120" w:lineRule="exact"/>
            </w:pPr>
          </w:p>
        </w:tc>
      </w:tr>
      <w:tr w:rsidR="001054C3" w:rsidRPr="000863A5" w14:paraId="563FDAF8" w14:textId="77777777" w:rsidTr="00234FBE">
        <w:tc>
          <w:tcPr>
            <w:tcW w:w="5000" w:type="pct"/>
            <w:tcBorders>
              <w:top w:val="single" w:sz="6" w:space="0" w:color="78A22F"/>
              <w:left w:val="nil"/>
              <w:bottom w:val="nil"/>
              <w:right w:val="nil"/>
            </w:tcBorders>
          </w:tcPr>
          <w:p w14:paraId="75DA641E" w14:textId="77777777" w:rsidR="001054C3" w:rsidRPr="00626D32" w:rsidRDefault="001054C3" w:rsidP="00234FBE">
            <w:pPr>
              <w:pStyle w:val="BoxSpaceBelow"/>
            </w:pPr>
          </w:p>
        </w:tc>
      </w:tr>
    </w:tbl>
    <w:p w14:paraId="6AC03089" w14:textId="77777777" w:rsidR="001054C3" w:rsidRDefault="001054C3" w:rsidP="00234FBE">
      <w:pPr>
        <w:pStyle w:val="Heading3"/>
      </w:pPr>
      <w:r>
        <w:lastRenderedPageBreak/>
        <w:t>Governance functions for a renewed NWI</w:t>
      </w:r>
    </w:p>
    <w:p w14:paraId="6A12ECCE" w14:textId="77777777" w:rsidR="001054C3" w:rsidRDefault="001054C3" w:rsidP="00234FBE">
      <w:pPr>
        <w:pStyle w:val="BodyText"/>
      </w:pPr>
      <w:r>
        <w:t>The characteristics outlined in box 4.1 point to the essential governance functions needed for a renewed agreement:</w:t>
      </w:r>
    </w:p>
    <w:p w14:paraId="73139065" w14:textId="77777777" w:rsidR="001054C3" w:rsidRDefault="001054C3" w:rsidP="00234FBE">
      <w:pPr>
        <w:pStyle w:val="ListBullet"/>
      </w:pPr>
      <w:r>
        <w:t>policy leadership and collective ownership</w:t>
      </w:r>
      <w:r w:rsidRPr="00286D89">
        <w:t xml:space="preserve"> </w:t>
      </w:r>
      <w:r>
        <w:t>by all Australian governments</w:t>
      </w:r>
    </w:p>
    <w:p w14:paraId="509772AB" w14:textId="77777777" w:rsidR="001054C3" w:rsidRDefault="001054C3" w:rsidP="00234FBE">
      <w:pPr>
        <w:pStyle w:val="ListBullet"/>
      </w:pPr>
      <w:r>
        <w:t>transparent ongoing collective oversight of the agreement and its implementation</w:t>
      </w:r>
    </w:p>
    <w:p w14:paraId="5D16ED40" w14:textId="77777777" w:rsidR="001054C3" w:rsidRDefault="001054C3" w:rsidP="00234FBE">
      <w:pPr>
        <w:pStyle w:val="ListBullet"/>
      </w:pPr>
      <w:r>
        <w:t>rolling jurisdictional implementation plans that reflect local conditions and government priorities</w:t>
      </w:r>
    </w:p>
    <w:p w14:paraId="53989600" w14:textId="77777777" w:rsidR="001054C3" w:rsidRDefault="001054C3" w:rsidP="00234FBE">
      <w:pPr>
        <w:pStyle w:val="ListBullet"/>
      </w:pPr>
      <w:r>
        <w:t>periodic, independent and publicly communicated assessment of implementation</w:t>
      </w:r>
      <w:r w:rsidRPr="000E4D86">
        <w:t xml:space="preserve"> </w:t>
      </w:r>
      <w:r>
        <w:t>progress using</w:t>
      </w:r>
      <w:r w:rsidRPr="000E4D86">
        <w:t xml:space="preserve"> each jurisdiction</w:t>
      </w:r>
      <w:r>
        <w:t>’s</w:t>
      </w:r>
      <w:r w:rsidRPr="000E4D86">
        <w:t xml:space="preserve"> rolling implementation plan </w:t>
      </w:r>
      <w:r>
        <w:t>as the assessment baseline</w:t>
      </w:r>
    </w:p>
    <w:p w14:paraId="1FBF7177" w14:textId="77777777" w:rsidR="001054C3" w:rsidRDefault="001054C3" w:rsidP="00234FBE">
      <w:pPr>
        <w:pStyle w:val="ListBullet"/>
      </w:pPr>
      <w:r>
        <w:t>periodic independent policy review of the agreement</w:t>
      </w:r>
    </w:p>
    <w:p w14:paraId="0E70B88D" w14:textId="77777777" w:rsidR="001054C3" w:rsidRDefault="001054C3" w:rsidP="00234FBE">
      <w:pPr>
        <w:pStyle w:val="ListBullet"/>
      </w:pPr>
      <w:r>
        <w:t>capacity to coordinate and jointly work on issues of collective interest.</w:t>
      </w:r>
    </w:p>
    <w:p w14:paraId="1564B64B" w14:textId="77777777" w:rsidR="001054C3" w:rsidRDefault="001054C3" w:rsidP="00234FBE">
      <w:pPr>
        <w:pStyle w:val="BodyText"/>
      </w:pPr>
      <w:r>
        <w:t>These functions reflect those originally established for the NWI and align with broader practice (reflected in the 2011</w:t>
      </w:r>
      <w:r w:rsidRPr="00705BBE">
        <w:t xml:space="preserve"> </w:t>
      </w:r>
      <w:r w:rsidRPr="00CD69B6">
        <w:t>Intergovernmental Agreement on Federal Financial Relations</w:t>
      </w:r>
      <w:r>
        <w:t>) and other national agreements.</w:t>
      </w:r>
    </w:p>
    <w:p w14:paraId="53B21025" w14:textId="17845D24" w:rsidR="001054C3" w:rsidRDefault="001054C3" w:rsidP="00234FBE">
      <w:pPr>
        <w:pStyle w:val="Heading2"/>
      </w:pPr>
      <w:bookmarkStart w:id="79" w:name="_Toc72939501"/>
      <w:r>
        <w:t>4.</w:t>
      </w:r>
      <w:r>
        <w:rPr>
          <w:noProof/>
        </w:rPr>
        <w:t>3</w:t>
      </w:r>
      <w:bookmarkStart w:id="80" w:name="_Toc63112464"/>
      <w:r>
        <w:tab/>
        <w:t>A modernised agreement structure</w:t>
      </w:r>
      <w:bookmarkEnd w:id="79"/>
      <w:bookmarkEnd w:id="80"/>
    </w:p>
    <w:p w14:paraId="71223E6B" w14:textId="77777777" w:rsidR="001054C3" w:rsidRDefault="001054C3" w:rsidP="00234FBE">
      <w:pPr>
        <w:pStyle w:val="BodyText"/>
      </w:pPr>
      <w:r>
        <w:t>The format and content of the NWI reflect the approach taken by Australian governments to the preparation of intergovernmental agreements at the time it was drafted (across 2003 and 2004). The result is an agreement that captures the objectives and intended outcomes of the parties, and very clearly assigns the roles and responsibilities of the parties to the agreement or entities associated with its implementation.</w:t>
      </w:r>
    </w:p>
    <w:p w14:paraId="49C18D0D" w14:textId="27E8450A" w:rsidR="001054C3" w:rsidRDefault="001054C3" w:rsidP="00234FBE">
      <w:pPr>
        <w:pStyle w:val="BodyText"/>
      </w:pPr>
      <w:r>
        <w:t xml:space="preserve">However, the NWI now differs from the contemporary approach to intergovernmental agreements (set out in COAG </w:t>
      </w:r>
      <w:r w:rsidRPr="00BD3A18">
        <w:t>(2011)</w:t>
      </w:r>
      <w:r>
        <w:t>) in its very prescriptive detailing of actions to be implemented by the NWI parties. Two oft heard criticisms arise from this. First, that there is insufficient discretion to allow fit</w:t>
      </w:r>
      <w:r>
        <w:noBreakHyphen/>
        <w:t>for</w:t>
      </w:r>
      <w:r>
        <w:noBreakHyphen/>
        <w:t>purpose tailoring of actions to deal with water management particularities in the differing jurisdictions. As observed by Western Australia in its submission:</w:t>
      </w:r>
    </w:p>
    <w:p w14:paraId="214D0111" w14:textId="77777777" w:rsidR="001054C3" w:rsidRPr="00065089" w:rsidRDefault="001054C3" w:rsidP="00234FBE">
      <w:pPr>
        <w:pStyle w:val="Quote"/>
        <w:rPr>
          <w:spacing w:val="-2"/>
        </w:rPr>
      </w:pPr>
      <w:r w:rsidRPr="00065089">
        <w:rPr>
          <w:spacing w:val="-2"/>
        </w:rPr>
        <w:t>Western Australia’s experience of the National Water Initiative is that it does not adequately reflect or offer sufficient flexibility to account for the water resource management challenges and service delivery arrangements in the State … The prescriptive measures in the National Water Initiative for achieving water management outcomes are most appropriate for large interconnected surface water systems such as the Murray</w:t>
      </w:r>
      <w:r w:rsidRPr="00065089">
        <w:rPr>
          <w:spacing w:val="-2"/>
        </w:rPr>
        <w:noBreakHyphen/>
        <w:t>Darling Basin, and do not provide the tools required to meet the unique water management challenges in Western Australia. (</w:t>
      </w:r>
      <w:bookmarkStart w:id="81" w:name="_Hlk69285595"/>
      <w:r w:rsidRPr="00065089">
        <w:rPr>
          <w:spacing w:val="-2"/>
        </w:rPr>
        <w:t>sub. 62, p. 1</w:t>
      </w:r>
      <w:bookmarkEnd w:id="81"/>
      <w:r w:rsidRPr="00065089">
        <w:rPr>
          <w:spacing w:val="-2"/>
        </w:rPr>
        <w:t>)</w:t>
      </w:r>
    </w:p>
    <w:p w14:paraId="222EBEBF" w14:textId="77777777" w:rsidR="001054C3" w:rsidRDefault="001054C3" w:rsidP="00234FBE">
      <w:pPr>
        <w:pStyle w:val="BodyText"/>
      </w:pPr>
      <w:r>
        <w:t>Second, that once the vast majority of actions had been completed, the reform value of the NWI diminished considerably.</w:t>
      </w:r>
    </w:p>
    <w:p w14:paraId="7658697E" w14:textId="77777777" w:rsidR="001054C3" w:rsidRDefault="001054C3" w:rsidP="00234FBE">
      <w:pPr>
        <w:pStyle w:val="BodyText"/>
      </w:pPr>
      <w:r>
        <w:lastRenderedPageBreak/>
        <w:t>In renewing the NWI, there is an opportunity for governments to adopt a modernised governance structure for the agreement. In particular, a renewed NWI should:</w:t>
      </w:r>
    </w:p>
    <w:p w14:paraId="38D40B3F" w14:textId="77777777" w:rsidR="001054C3" w:rsidRDefault="001054C3" w:rsidP="00234FBE">
      <w:pPr>
        <w:pStyle w:val="ListBullet"/>
      </w:pPr>
      <w:r>
        <w:t>clearly link desired outcomes to the objectives for the agreement</w:t>
      </w:r>
    </w:p>
    <w:p w14:paraId="39C04F1F" w14:textId="77777777" w:rsidR="001054C3" w:rsidRDefault="001054C3" w:rsidP="00234FBE">
      <w:pPr>
        <w:pStyle w:val="ListBullet"/>
      </w:pPr>
      <w:r>
        <w:t>limit the use of prescriptive one</w:t>
      </w:r>
      <w:r>
        <w:noBreakHyphen/>
        <w:t>size</w:t>
      </w:r>
      <w:r>
        <w:noBreakHyphen/>
        <w:t>fits</w:t>
      </w:r>
      <w:r>
        <w:noBreakHyphen/>
        <w:t>all ‘implementation actions’, and instead set out principles for best</w:t>
      </w:r>
      <w:r>
        <w:noBreakHyphen/>
        <w:t>practice approaches to achieving desired outcomes</w:t>
      </w:r>
    </w:p>
    <w:p w14:paraId="21A82CEF" w14:textId="77777777" w:rsidR="001054C3" w:rsidRDefault="001054C3" w:rsidP="00234FBE">
      <w:pPr>
        <w:pStyle w:val="ListBullet"/>
      </w:pPr>
      <w:r>
        <w:t>provide all parties to the agreement with sufficient discretion to implement actions that are fit</w:t>
      </w:r>
      <w:r>
        <w:noBreakHyphen/>
        <w:t>for</w:t>
      </w:r>
      <w:r>
        <w:noBreakHyphen/>
        <w:t>purpose in delivering agreed outcomes within their jurisdiction</w:t>
      </w:r>
    </w:p>
    <w:p w14:paraId="4BD08A0A" w14:textId="77777777" w:rsidR="001054C3" w:rsidRDefault="001054C3" w:rsidP="00234FBE">
      <w:pPr>
        <w:pStyle w:val="ListBullet"/>
      </w:pPr>
      <w:r>
        <w:t>be drafted and communicated in a clear and transparent manner that builds community understanding of, and confidence in, its objectives and intended outcomes</w:t>
      </w:r>
    </w:p>
    <w:p w14:paraId="1A4C8AD6" w14:textId="77777777" w:rsidR="001054C3" w:rsidRDefault="001054C3" w:rsidP="00234FBE">
      <w:pPr>
        <w:pStyle w:val="ListBullet"/>
      </w:pPr>
      <w:r>
        <w:t>include a transparent performance reporting framework focused on public accountability for progress towards the achievement of its objectives and outcomes.</w:t>
      </w:r>
    </w:p>
    <w:p w14:paraId="0576E81F" w14:textId="77777777" w:rsidR="001054C3" w:rsidRDefault="001054C3" w:rsidP="00234FBE">
      <w:pPr>
        <w:pStyle w:val="BodyText"/>
      </w:pPr>
      <w:r>
        <w:t>To this end, the Commission suggests that:</w:t>
      </w:r>
    </w:p>
    <w:p w14:paraId="3DB39F77" w14:textId="77777777" w:rsidR="001054C3" w:rsidRDefault="001054C3" w:rsidP="00234FBE">
      <w:pPr>
        <w:pStyle w:val="ListBullet"/>
      </w:pPr>
      <w:r>
        <w:t>each jurisdiction commits to preparing publicly available three</w:t>
      </w:r>
      <w:r>
        <w:noBreakHyphen/>
        <w:t>year rolling work programs specifying how they aim to achieve the outcomes set out in the renewed NWI</w:t>
      </w:r>
    </w:p>
    <w:p w14:paraId="2EF96688" w14:textId="77777777" w:rsidR="001054C3" w:rsidRDefault="001054C3" w:rsidP="00234FBE">
      <w:pPr>
        <w:pStyle w:val="ListBullet"/>
      </w:pPr>
      <w:r>
        <w:t xml:space="preserve">the adequacy of, and </w:t>
      </w:r>
      <w:r w:rsidDel="00B345EA">
        <w:t xml:space="preserve">progress </w:t>
      </w:r>
      <w:r>
        <w:t>against, these plans is independently assessed on a triennial basis (in line with the length of the current review cycle and a sufficient period for substantive progress to be made)</w:t>
      </w:r>
    </w:p>
    <w:p w14:paraId="30DF4221" w14:textId="77777777" w:rsidR="001054C3" w:rsidRPr="00D3626C" w:rsidRDefault="001054C3" w:rsidP="00234FBE">
      <w:pPr>
        <w:pStyle w:val="ListBullet"/>
      </w:pPr>
      <w:r>
        <w:t>the independent assessment is published.</w:t>
      </w:r>
    </w:p>
    <w:p w14:paraId="7FF8B3D7" w14:textId="77777777" w:rsidR="001054C3" w:rsidRDefault="001054C3" w:rsidP="00234FBE">
      <w:pPr>
        <w:pStyle w:val="BodyText"/>
      </w:pPr>
      <w:r>
        <w:t xml:space="preserve">Consistent with current arrangements, the organisation undertaking the assessment could also make </w:t>
      </w:r>
      <w:r w:rsidRPr="00000516">
        <w:t>recommendations on</w:t>
      </w:r>
      <w:r>
        <w:t xml:space="preserve"> how to improve the agreement. And in line with good practice, a comprehensive review of the renewed agreement should be commissioned every 10 years.</w:t>
      </w:r>
    </w:p>
    <w:p w14:paraId="031846BB" w14:textId="2EA12424" w:rsidR="001054C3" w:rsidRDefault="001054C3" w:rsidP="00234FBE">
      <w:pPr>
        <w:pStyle w:val="Heading2"/>
      </w:pPr>
      <w:bookmarkStart w:id="82" w:name="_Toc72939502"/>
      <w:r>
        <w:t>4.</w:t>
      </w:r>
      <w:r>
        <w:rPr>
          <w:noProof/>
        </w:rPr>
        <w:t>4</w:t>
      </w:r>
      <w:bookmarkStart w:id="83" w:name="_Toc63112465"/>
      <w:r>
        <w:tab/>
        <w:t>Organisational ‘best-fit’ for governance functions</w:t>
      </w:r>
      <w:bookmarkEnd w:id="82"/>
      <w:bookmarkEnd w:id="83"/>
    </w:p>
    <w:p w14:paraId="555E1EB7" w14:textId="77777777" w:rsidR="001054C3" w:rsidRDefault="001054C3" w:rsidP="00234FBE">
      <w:pPr>
        <w:pStyle w:val="Heading3"/>
        <w:spacing w:before="280"/>
      </w:pPr>
      <w:r>
        <w:t>Policy leadership and collective ownership</w:t>
      </w:r>
    </w:p>
    <w:p w14:paraId="16CD47D3" w14:textId="77777777" w:rsidR="001054C3" w:rsidRDefault="001054C3" w:rsidP="00234FBE">
      <w:pPr>
        <w:pStyle w:val="BodyText"/>
      </w:pPr>
      <w:r>
        <w:t>No existing body exhibits the characteristics that should be held by the entity responsible for ownership of the agreement. While the NWRC is representative of governments, its members lack the authority to bind their governments as parties to an agreement. Long</w:t>
      </w:r>
      <w:r>
        <w:noBreakHyphen/>
        <w:t>standing practice in the conduct of Australian interjurisdictional affairs is that a Minister of the Crown can exercise such authority. Nor does the NWRC have the status or the operating remit that conveys to water sector participants and the broader community that governments see water, and reforms to ensure it is used to best effect, as important. That ownership role is best played by</w:t>
      </w:r>
      <w:r w:rsidRPr="00000516">
        <w:t xml:space="preserve"> </w:t>
      </w:r>
      <w:r>
        <w:t>w</w:t>
      </w:r>
      <w:r w:rsidRPr="00000516">
        <w:t xml:space="preserve">ater </w:t>
      </w:r>
      <w:r w:rsidRPr="00120DC6">
        <w:t>ministers</w:t>
      </w:r>
      <w:r w:rsidRPr="00000516">
        <w:t>.</w:t>
      </w:r>
    </w:p>
    <w:p w14:paraId="5C491F00" w14:textId="0DC147AC" w:rsidR="001054C3" w:rsidRDefault="001054C3" w:rsidP="00234FBE">
      <w:pPr>
        <w:pStyle w:val="BodyText"/>
      </w:pPr>
      <w:r>
        <w:t xml:space="preserve">A recent Australian Government review </w:t>
      </w:r>
      <w:r w:rsidRPr="005120DB">
        <w:rPr>
          <w:szCs w:val="24"/>
        </w:rPr>
        <w:t>(PM&amp;C 2020)</w:t>
      </w:r>
      <w:r>
        <w:t xml:space="preserve"> has led to a streamlined intergovernmental structure. Within this, groups of ministers can convene for specific tasks, with timeframes to be no longer than 12 months. The Productivity Commission recommends </w:t>
      </w:r>
      <w:r>
        <w:lastRenderedPageBreak/>
        <w:t xml:space="preserve">that water ministers come together at periodic intervals to oversee development </w:t>
      </w:r>
      <w:r w:rsidDel="00FC5E1D">
        <w:t>of a renewed NWI</w:t>
      </w:r>
      <w:r>
        <w:t>, and to receive, consider and act upon advice that comes out of any periodic review of the new agreement.</w:t>
      </w:r>
    </w:p>
    <w:p w14:paraId="7C37296C"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23036A77" w14:textId="77777777" w:rsidTr="00234FBE">
        <w:trPr>
          <w:tblHeader/>
        </w:trPr>
        <w:tc>
          <w:tcPr>
            <w:tcW w:w="5000" w:type="pct"/>
            <w:tcBorders>
              <w:top w:val="single" w:sz="6" w:space="0" w:color="78A22F"/>
              <w:left w:val="nil"/>
              <w:bottom w:val="nil"/>
              <w:right w:val="nil"/>
            </w:tcBorders>
            <w:shd w:val="clear" w:color="auto" w:fill="E5F1D0"/>
            <w:tcMar>
              <w:left w:w="170" w:type="dxa"/>
              <w:right w:w="170" w:type="dxa"/>
            </w:tcMar>
          </w:tcPr>
          <w:p w14:paraId="6B3D200C" w14:textId="18C28D1B" w:rsidR="001054C3" w:rsidRPr="00CE4C64" w:rsidRDefault="001054C3" w:rsidP="00234FBE">
            <w:pPr>
              <w:pStyle w:val="RecTitle"/>
              <w:spacing w:before="120"/>
              <w:rPr>
                <w:noProof/>
              </w:rPr>
            </w:pPr>
            <w:r>
              <w:t xml:space="preserve">Recommendation </w:t>
            </w:r>
            <w:r>
              <w:rPr>
                <w:noProof/>
              </w:rPr>
              <w:t>4.1: ROLE OF WATER MINISTERS</w:t>
            </w:r>
          </w:p>
        </w:tc>
      </w:tr>
      <w:tr w:rsidR="001054C3" w:rsidRPr="00750BE2" w14:paraId="1A6A64DF" w14:textId="77777777" w:rsidTr="00234FBE">
        <w:tc>
          <w:tcPr>
            <w:tcW w:w="5000" w:type="pct"/>
            <w:tcBorders>
              <w:top w:val="nil"/>
              <w:left w:val="nil"/>
              <w:bottom w:val="nil"/>
              <w:right w:val="nil"/>
            </w:tcBorders>
            <w:shd w:val="clear" w:color="auto" w:fill="E5F1D0"/>
            <w:tcMar>
              <w:left w:w="170" w:type="dxa"/>
              <w:right w:w="170" w:type="dxa"/>
            </w:tcMar>
          </w:tcPr>
          <w:p w14:paraId="551825AE" w14:textId="77777777" w:rsidR="001054C3" w:rsidRDefault="001054C3" w:rsidP="00234FBE">
            <w:pPr>
              <w:pStyle w:val="Rec"/>
              <w:keepNext/>
            </w:pPr>
            <w:r>
              <w:t xml:space="preserve">Water </w:t>
            </w:r>
            <w:r w:rsidRPr="0087593C">
              <w:t xml:space="preserve">ministers </w:t>
            </w:r>
            <w:r>
              <w:t>should come together periodically to oversee development</w:t>
            </w:r>
            <w:r w:rsidDel="005E5637">
              <w:t xml:space="preserve"> of a renewed N</w:t>
            </w:r>
            <w:r>
              <w:t xml:space="preserve">ational </w:t>
            </w:r>
            <w:r w:rsidDel="005E5637">
              <w:t>W</w:t>
            </w:r>
            <w:r>
              <w:t xml:space="preserve">ater </w:t>
            </w:r>
            <w:r w:rsidDel="005E5637">
              <w:t>I</w:t>
            </w:r>
            <w:r>
              <w:t>nitiative, and to receive, consider and act upon advice that comes out of any periodic review of the new agreement.</w:t>
            </w:r>
          </w:p>
        </w:tc>
      </w:tr>
      <w:tr w:rsidR="001054C3" w14:paraId="3A82A222" w14:textId="77777777" w:rsidTr="00234FBE">
        <w:tc>
          <w:tcPr>
            <w:tcW w:w="5000" w:type="pct"/>
            <w:tcBorders>
              <w:top w:val="nil"/>
              <w:left w:val="nil"/>
              <w:bottom w:val="single" w:sz="6" w:space="0" w:color="78A22F"/>
              <w:right w:val="nil"/>
            </w:tcBorders>
            <w:shd w:val="clear" w:color="auto" w:fill="E5F1D0"/>
            <w:tcMar>
              <w:left w:w="170" w:type="dxa"/>
              <w:right w:w="170" w:type="dxa"/>
            </w:tcMar>
          </w:tcPr>
          <w:p w14:paraId="7EAC7E9F" w14:textId="77777777" w:rsidR="001054C3" w:rsidRDefault="001054C3" w:rsidP="00234FBE">
            <w:pPr>
              <w:pStyle w:val="Space"/>
              <w:keepLines/>
            </w:pPr>
          </w:p>
        </w:tc>
      </w:tr>
      <w:tr w:rsidR="001054C3" w:rsidRPr="000863A5" w14:paraId="584EE0E3" w14:textId="77777777" w:rsidTr="00234FBE">
        <w:tc>
          <w:tcPr>
            <w:tcW w:w="5000" w:type="pct"/>
            <w:tcBorders>
              <w:top w:val="single" w:sz="6" w:space="0" w:color="78A22F"/>
              <w:left w:val="nil"/>
              <w:bottom w:val="nil"/>
              <w:right w:val="nil"/>
            </w:tcBorders>
            <w:tcMar>
              <w:left w:w="170" w:type="dxa"/>
              <w:right w:w="170" w:type="dxa"/>
            </w:tcMar>
          </w:tcPr>
          <w:p w14:paraId="4092BC4E" w14:textId="77777777" w:rsidR="001054C3" w:rsidRPr="00626D32" w:rsidRDefault="001054C3" w:rsidP="00234FBE">
            <w:pPr>
              <w:pStyle w:val="BoxSpaceBelow"/>
              <w:keepLines/>
            </w:pPr>
          </w:p>
        </w:tc>
      </w:tr>
    </w:tbl>
    <w:p w14:paraId="65165B86" w14:textId="77777777" w:rsidR="001054C3" w:rsidRDefault="001054C3" w:rsidP="00234FBE">
      <w:pPr>
        <w:pStyle w:val="Heading3"/>
      </w:pPr>
      <w:bookmarkStart w:id="84" w:name="_Hlk60925148"/>
      <w:r>
        <w:t xml:space="preserve">Periodic and independent assessment of </w:t>
      </w:r>
      <w:r w:rsidDel="008E0A0B">
        <w:t xml:space="preserve">progress </w:t>
      </w:r>
      <w:r>
        <w:t>and effectiveness reviews</w:t>
      </w:r>
    </w:p>
    <w:p w14:paraId="25C21593" w14:textId="77777777" w:rsidR="001054C3" w:rsidRDefault="001054C3" w:rsidP="00234FBE">
      <w:pPr>
        <w:pStyle w:val="BodyText"/>
      </w:pPr>
      <w:r>
        <w:t xml:space="preserve">Independent assessment of jurisdictional implementation </w:t>
      </w:r>
      <w:r w:rsidDel="008E0A0B">
        <w:t xml:space="preserve">progress </w:t>
      </w:r>
      <w:r>
        <w:t xml:space="preserve">is critical. A feature of the governance architecture of both the 1994 COAG Water Reform Framework and the NWI, </w:t>
      </w:r>
      <w:bookmarkEnd w:id="84"/>
      <w:r>
        <w:t>it plays a key role in holding governments to account for their performance (or lack thereof) against agreed commitments, including to their communities. Independent assessment has been a crucial contributor to the continuity, effectiveness and longevity of the NWI, and as such, should be retained in a renewed agreement.</w:t>
      </w:r>
    </w:p>
    <w:p w14:paraId="21C25F7A" w14:textId="77777777" w:rsidR="001054C3" w:rsidRDefault="001054C3" w:rsidP="00234FBE">
      <w:pPr>
        <w:pStyle w:val="BodyText"/>
      </w:pPr>
      <w:r>
        <w:t xml:space="preserve">The entity responsible for periodic assessment of the adequacy of jurisdictional plans, implementation </w:t>
      </w:r>
      <w:r w:rsidDel="00DE2872">
        <w:t xml:space="preserve">progress </w:t>
      </w:r>
      <w:r>
        <w:t xml:space="preserve">and the review of the broader effectiveness of the agreement needs to be independent of government and the water sector. It should also have both the capacity and capability to undertake public inquiries. The Productivity Commission currently holds the NWI assessment and review functions under the </w:t>
      </w:r>
      <w:r w:rsidRPr="00D21724">
        <w:rPr>
          <w:i/>
          <w:iCs/>
        </w:rPr>
        <w:t>Water Act 2007</w:t>
      </w:r>
      <w:r>
        <w:t xml:space="preserve"> (Cth).</w:t>
      </w:r>
    </w:p>
    <w:p w14:paraId="38D59234" w14:textId="77777777" w:rsidR="001054C3" w:rsidRDefault="001054C3" w:rsidP="00234FBE">
      <w:pPr>
        <w:pStyle w:val="Heading3"/>
      </w:pPr>
      <w:r>
        <w:t>Ongoing collective oversight of the agreement and its implementation</w:t>
      </w:r>
    </w:p>
    <w:p w14:paraId="7456A848" w14:textId="77777777" w:rsidR="001054C3" w:rsidRDefault="001054C3" w:rsidP="00234FBE">
      <w:pPr>
        <w:pStyle w:val="BodyText"/>
      </w:pPr>
      <w:r>
        <w:t>An entity needs to be assigned responsibility for the oversight of the agreement and its implementation. The Commission received a number of submissions in response to its draft report suggesting that an independent statutory agency be established to undertake this function (</w:t>
      </w:r>
      <w:bookmarkStart w:id="85" w:name="_Hlk69285968"/>
      <w:r>
        <w:t>for example, IWF, sub. DR120, p. 5</w:t>
      </w:r>
      <w:bookmarkEnd w:id="85"/>
      <w:r>
        <w:t>, LBA, sub. DR133, p. 7, WSAA, sub. DR187, pp. 6–7).</w:t>
      </w:r>
    </w:p>
    <w:p w14:paraId="3B82D8BA" w14:textId="77777777" w:rsidR="001054C3" w:rsidRDefault="001054C3" w:rsidP="00234FBE">
      <w:pPr>
        <w:pStyle w:val="BodyText"/>
      </w:pPr>
      <w:r>
        <w:t>Whilst noting that the choice of entity to oversight a renewed NWI is ultimately one for the parties to the Agreement, the Commission does not see a compelling need for an independent entity to take on this function. As the NWI is an interjurisdictional agreement, the entity given responsibility for this function should be authorised by, and representative of, the parties to the agreement. The flow</w:t>
      </w:r>
      <w:r>
        <w:noBreakHyphen/>
        <w:t>on benefit from such an arrangement is an enhanced capacity for the parties to coordinate and jointly work on issues of collective interest.</w:t>
      </w:r>
    </w:p>
    <w:p w14:paraId="25C13A1A" w14:textId="77777777" w:rsidR="001054C3" w:rsidRDefault="001054C3" w:rsidP="00234FBE">
      <w:pPr>
        <w:pStyle w:val="BodyText"/>
      </w:pPr>
      <w:r>
        <w:lastRenderedPageBreak/>
        <w:t>The NWRC is the logical entity to perform this role on behalf of water ministers. Where issues requiring ministerial leadership emerge, the NWRC is best placed to raise them. The NWRC is also best placed to initiate policy advice and guidance, and to commission a 10</w:t>
      </w:r>
      <w:r>
        <w:noBreakHyphen/>
        <w:t>year review of the agreement.</w:t>
      </w:r>
    </w:p>
    <w:p w14:paraId="00DECBD2" w14:textId="42F9A1A7" w:rsidR="001054C3" w:rsidRDefault="001054C3" w:rsidP="00234FBE">
      <w:pPr>
        <w:pStyle w:val="Heading2"/>
      </w:pPr>
      <w:bookmarkStart w:id="86" w:name="_Toc72939503"/>
      <w:bookmarkStart w:id="87" w:name="_Hlk68879856"/>
      <w:r>
        <w:t>4.</w:t>
      </w:r>
      <w:r>
        <w:rPr>
          <w:noProof/>
        </w:rPr>
        <w:t>5</w:t>
      </w:r>
      <w:bookmarkStart w:id="88" w:name="_Toc63112466"/>
      <w:r>
        <w:tab/>
        <w:t>Incentivising reform</w:t>
      </w:r>
      <w:bookmarkEnd w:id="86"/>
      <w:bookmarkEnd w:id="88"/>
    </w:p>
    <w:p w14:paraId="7E3DD8A1" w14:textId="77777777" w:rsidR="001054C3" w:rsidRDefault="001054C3" w:rsidP="00234FBE">
      <w:pPr>
        <w:pStyle w:val="BodyText"/>
      </w:pPr>
      <w:r>
        <w:t xml:space="preserve">A key feature of the 1994 COAG Water Reform Framework were National Competition Policy payments from the Australian Government to State and Territory Governments for </w:t>
      </w:r>
      <w:bookmarkEnd w:id="87"/>
      <w:r>
        <w:t>making satisfactory progress on the uptake and implementation of water reforms. Eligibility for these payments was assessed annually by the National Competition Council, which made recommendations to the Australian Government. This approach was not continued in the 2004 NWI; though significant funding from the subsequent 2006 Australian Government Water Fund was directed to a range of state and territory projects, which as part of their business case, sought to implement particular NWI outcomes (for example the establishment of a state water register).</w:t>
      </w:r>
    </w:p>
    <w:p w14:paraId="25AC922D" w14:textId="77777777" w:rsidR="001054C3" w:rsidRPr="00065089" w:rsidRDefault="001054C3" w:rsidP="00234FBE">
      <w:pPr>
        <w:pStyle w:val="BodyText"/>
        <w:rPr>
          <w:spacing w:val="-2"/>
        </w:rPr>
      </w:pPr>
      <w:r w:rsidRPr="00065089">
        <w:rPr>
          <w:spacing w:val="-2"/>
        </w:rPr>
        <w:t>A number of inquiry participants have suggested that some form of incentive mechanism should be attached to a renewed NWI agreement to encourage timely and consistent uptake of its agreed commitments. Given the likely scale and impacts of the water management challenges facing Australian governments, the Commission considers that there is an opportunity for the Australian Government to use its substantial water and natural resource management investments to encourage state and territory uptake and implementation of the reform commitments in a renewed NWI agreement. Indeed, such an approach would enable the Australian Government to gain greater benefit from these investments than would otherwise be the case. Such an approach could be applied in the first instance through appropriately conditioning the provision of Australian Government water</w:t>
      </w:r>
      <w:r w:rsidRPr="00065089">
        <w:rPr>
          <w:spacing w:val="-2"/>
        </w:rPr>
        <w:noBreakHyphen/>
        <w:t>related infrastructure and program investments. This could be supported by on</w:t>
      </w:r>
      <w:r w:rsidRPr="00065089">
        <w:rPr>
          <w:spacing w:val="-2"/>
        </w:rPr>
        <w:noBreakHyphen/>
        <w:t>going effort to identify further areas of the Australian Government’s Water, Natural Resource Management and Smart Cities investment portfolio that are capable of, and well suited for, similar conditioning.</w:t>
      </w:r>
    </w:p>
    <w:p w14:paraId="687086C3" w14:textId="18C03853" w:rsidR="001054C3" w:rsidRDefault="001054C3" w:rsidP="00234FBE">
      <w:pPr>
        <w:pStyle w:val="Heading2"/>
      </w:pPr>
      <w:bookmarkStart w:id="89" w:name="_Toc72939504"/>
      <w:r>
        <w:t>4.</w:t>
      </w:r>
      <w:r>
        <w:rPr>
          <w:noProof/>
        </w:rPr>
        <w:t>6</w:t>
      </w:r>
      <w:r>
        <w:tab/>
        <w:t>Greater transparency in NWI governance</w:t>
      </w:r>
      <w:bookmarkEnd w:id="89"/>
    </w:p>
    <w:p w14:paraId="3FEECC71" w14:textId="77777777" w:rsidR="001054C3" w:rsidRPr="00065089" w:rsidRDefault="001054C3" w:rsidP="00234FBE">
      <w:pPr>
        <w:pStyle w:val="BodyText"/>
        <w:rPr>
          <w:spacing w:val="-2"/>
        </w:rPr>
      </w:pPr>
      <w:r w:rsidRPr="00065089">
        <w:rPr>
          <w:spacing w:val="-2"/>
        </w:rPr>
        <w:t>Some inquiry participants (for example, IWF, sub. DR120, p. 5</w:t>
      </w:r>
      <w:r w:rsidRPr="00065089">
        <w:rPr>
          <w:spacing w:val="-2"/>
          <w:lang w:val="en-GB"/>
        </w:rPr>
        <w:t xml:space="preserve">, ATSE, </w:t>
      </w:r>
      <w:r w:rsidRPr="00065089">
        <w:rPr>
          <w:spacing w:val="-2"/>
        </w:rPr>
        <w:t>sub. DR144, pp. 1–2, NIC, sub. DR174, p. 12, NFF, sub. DR178, p. 22) expressed the view that transparency around the operation of the NWI’s current governance arrangements is quite limited. They suggested that, in renewing the NWI, Australian governments actively look for ways to raise the visibility and profile of the renewed Agreement and the operations of its governance mechanisms.</w:t>
      </w:r>
    </w:p>
    <w:p w14:paraId="4725F094" w14:textId="77777777" w:rsidR="001054C3" w:rsidRDefault="001054C3" w:rsidP="00234FBE">
      <w:pPr>
        <w:pStyle w:val="BodyText"/>
      </w:pPr>
      <w:r>
        <w:t xml:space="preserve">There would be substantial benefit in terms of building greater understanding, trust and support, to be gained in exposing national water reform thinking and progress to a wider public gaze. To that end, the Commission encourages Australian governments to investigate cost effective options to build greater transparency around the operation of governance </w:t>
      </w:r>
      <w:r>
        <w:lastRenderedPageBreak/>
        <w:t>arrangements that are put in place to support a renewed NWI.</w:t>
      </w:r>
      <w:r w:rsidDel="00953121">
        <w:t xml:space="preserve"> </w:t>
      </w:r>
      <w:r>
        <w:t>Options suggested through consultation broadly fall into three categories:</w:t>
      </w:r>
    </w:p>
    <w:p w14:paraId="158B3C54" w14:textId="77777777" w:rsidR="001054C3" w:rsidRDefault="001054C3" w:rsidP="00234FBE">
      <w:pPr>
        <w:pStyle w:val="ListBullet"/>
      </w:pPr>
      <w:r>
        <w:t>stakeholder connection mechanisms (for example, a stakeholder reference group attached to the NWRC could offer the Committee an additional source of information on water matters)</w:t>
      </w:r>
    </w:p>
    <w:p w14:paraId="19961ED6" w14:textId="77777777" w:rsidR="001054C3" w:rsidRPr="001465B0" w:rsidRDefault="001054C3" w:rsidP="00234FBE">
      <w:pPr>
        <w:pStyle w:val="ListBullet"/>
      </w:pPr>
      <w:r>
        <w:t>public communication mechanisms (for example, an NWRC Annual Report)</w:t>
      </w:r>
    </w:p>
    <w:p w14:paraId="2F29B3B0" w14:textId="77777777" w:rsidR="001054C3" w:rsidRDefault="001054C3" w:rsidP="00234FBE">
      <w:pPr>
        <w:pStyle w:val="ListBullet"/>
      </w:pPr>
      <w:r>
        <w:t>independent members to be appointed to the NWRC (in particular, Aboriginal and Torres Strait Islander People representatives).</w:t>
      </w:r>
    </w:p>
    <w:p w14:paraId="6DDF2666" w14:textId="77777777" w:rsidR="001054C3" w:rsidRPr="001465B0" w:rsidRDefault="001054C3" w:rsidP="00234FBE">
      <w:pPr>
        <w:pStyle w:val="BodyText"/>
      </w:pPr>
      <w:r>
        <w:t>Of these options, the Commission believes that the options of stakeholder connection and public communication mechanisms warrant further consideration by the parties to a renewed NWI. However, the option of appointing independent members to the NWRC is not supported; because in essence, such an arrangement would run counter to the long accepted governance principle that responsibility for policy sits with governments.</w:t>
      </w:r>
    </w:p>
    <w:p w14:paraId="24D1117D"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15416FDB" w14:textId="77777777" w:rsidTr="00234FBE">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0398BAC3" w14:textId="77777777" w:rsidR="001054C3" w:rsidRPr="00CE4C64" w:rsidRDefault="001054C3" w:rsidP="00234FBE">
            <w:pPr>
              <w:pStyle w:val="RecTitle"/>
              <w:spacing w:before="120"/>
              <w:rPr>
                <w:noProof/>
              </w:rPr>
            </w:pPr>
            <w:r>
              <w:t xml:space="preserve">NWI renewal advice 4.1: </w:t>
            </w:r>
            <w:r w:rsidRPr="0076664D">
              <w:t>governance arrangements for a renewed NWI</w:t>
            </w:r>
          </w:p>
        </w:tc>
      </w:tr>
      <w:tr w:rsidR="001054C3" w:rsidRPr="00750BE2" w14:paraId="1C9EF27A"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0A6CF410" w14:textId="77777777" w:rsidR="001054C3" w:rsidRDefault="001054C3" w:rsidP="00234FBE">
            <w:pPr>
              <w:pStyle w:val="Rec"/>
            </w:pPr>
            <w:r w:rsidRPr="009945B6">
              <w:t xml:space="preserve">A strengthened governance architecture that </w:t>
            </w:r>
            <w:r>
              <w:t xml:space="preserve">transparently </w:t>
            </w:r>
            <w:r w:rsidRPr="009945B6">
              <w:t>reflects the presence of national water policy leadership and ensures confidence in reform effort, needs to be included in a renewed agreement.</w:t>
            </w:r>
          </w:p>
          <w:p w14:paraId="10DBB294" w14:textId="77777777" w:rsidR="001054C3" w:rsidRDefault="001054C3" w:rsidP="00234FBE">
            <w:pPr>
              <w:pStyle w:val="Rec"/>
            </w:pPr>
            <w:r>
              <w:t>To that end, the Commission advises that:</w:t>
            </w:r>
          </w:p>
          <w:p w14:paraId="575E840C" w14:textId="77777777" w:rsidR="001054C3" w:rsidRDefault="001054C3" w:rsidP="00234FBE">
            <w:pPr>
              <w:pStyle w:val="RecBullet"/>
            </w:pPr>
            <w:r>
              <w:t xml:space="preserve">water ministers should convene periodically to oversee development </w:t>
            </w:r>
            <w:r w:rsidDel="008365DE">
              <w:t>of a renewed National Water Initiative</w:t>
            </w:r>
            <w:r>
              <w:t>, and to receive, consider and act upon advice that comes out of any periodic review of the new agreement</w:t>
            </w:r>
          </w:p>
          <w:p w14:paraId="5FFCA79C" w14:textId="77777777" w:rsidR="001054C3" w:rsidRDefault="001054C3" w:rsidP="00234FBE">
            <w:pPr>
              <w:pStyle w:val="RecBullet"/>
            </w:pPr>
            <w:r>
              <w:t>the new agreement should clearly link desired outcomes to its objectives and limit prescriptive actions, instead setting out principles for best practice, and fit</w:t>
            </w:r>
            <w:r>
              <w:noBreakHyphen/>
              <w:t>for</w:t>
            </w:r>
            <w:r>
              <w:noBreakHyphen/>
              <w:t>purpose policy approaches to achieving outcomes</w:t>
            </w:r>
          </w:p>
          <w:p w14:paraId="7AB6F10C" w14:textId="77777777" w:rsidR="001054C3" w:rsidRDefault="001054C3" w:rsidP="00234FBE">
            <w:pPr>
              <w:pStyle w:val="RecBullet"/>
            </w:pPr>
            <w:r>
              <w:t>each jurisdiction should commit to preparing publicly available three</w:t>
            </w:r>
            <w:r>
              <w:noBreakHyphen/>
              <w:t>year rolling work programs setting out how they aim to achieve the outcomes set out in the renewed agreement</w:t>
            </w:r>
          </w:p>
          <w:p w14:paraId="574A5058" w14:textId="77777777" w:rsidR="001054C3" w:rsidRDefault="001054C3" w:rsidP="00234FBE">
            <w:pPr>
              <w:pStyle w:val="RecBullet"/>
            </w:pPr>
            <w:r>
              <w:t>there continue to be three</w:t>
            </w:r>
            <w:r>
              <w:noBreakHyphen/>
              <w:t xml:space="preserve">yearly assessment of the adequacy of these work programs, with public reporting on jurisdictional </w:t>
            </w:r>
            <w:r w:rsidDel="00C36062">
              <w:t xml:space="preserve">progress </w:t>
            </w:r>
            <w:r>
              <w:t xml:space="preserve">against them, and the effectiveness of the agreement, as per the functions the Productivity Commission currently performs under the </w:t>
            </w:r>
            <w:r w:rsidRPr="0044703F">
              <w:rPr>
                <w:i/>
                <w:iCs/>
              </w:rPr>
              <w:t>Water Act 2007</w:t>
            </w:r>
            <w:r>
              <w:t xml:space="preserve"> (Cth)</w:t>
            </w:r>
          </w:p>
          <w:p w14:paraId="58F92AE4" w14:textId="77777777" w:rsidR="001054C3" w:rsidRDefault="001054C3" w:rsidP="00234FBE">
            <w:pPr>
              <w:pStyle w:val="RecBullet"/>
            </w:pPr>
            <w:r>
              <w:t>a requirement for a comprehensive review of national water policy every 10 years should be written into the agreement</w:t>
            </w:r>
          </w:p>
          <w:p w14:paraId="69EF4E62" w14:textId="77777777" w:rsidR="001054C3" w:rsidRDefault="001054C3" w:rsidP="00234FBE">
            <w:pPr>
              <w:pStyle w:val="RecBullet"/>
            </w:pPr>
            <w:r>
              <w:t>the National Water Reform Committee should provide transparent ongoing collective oversight of the agreement, initiating policy advice and guidance, if need arises, and commission the 10 yearly reviews of the agreement.</w:t>
            </w:r>
          </w:p>
        </w:tc>
      </w:tr>
      <w:tr w:rsidR="001054C3" w14:paraId="6DB479D3" w14:textId="77777777" w:rsidTr="00234FBE">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18C8E2E0" w14:textId="77777777" w:rsidR="001054C3" w:rsidRDefault="001054C3" w:rsidP="00234FBE">
            <w:pPr>
              <w:pStyle w:val="Space"/>
              <w:keepLines/>
            </w:pPr>
          </w:p>
        </w:tc>
      </w:tr>
      <w:tr w:rsidR="001054C3" w:rsidRPr="000863A5" w14:paraId="3C24E0D4" w14:textId="77777777" w:rsidTr="00234FBE">
        <w:tc>
          <w:tcPr>
            <w:tcW w:w="5000" w:type="pct"/>
            <w:tcBorders>
              <w:top w:val="single" w:sz="4" w:space="0" w:color="265A9A" w:themeColor="background2"/>
              <w:left w:val="nil"/>
              <w:bottom w:val="nil"/>
              <w:right w:val="nil"/>
            </w:tcBorders>
            <w:tcMar>
              <w:left w:w="170" w:type="dxa"/>
              <w:right w:w="170" w:type="dxa"/>
            </w:tcMar>
          </w:tcPr>
          <w:p w14:paraId="3FB2744F" w14:textId="77777777" w:rsidR="001054C3" w:rsidRPr="00626D32" w:rsidRDefault="001054C3" w:rsidP="00234FBE">
            <w:pPr>
              <w:pStyle w:val="BoxSpaceBelow"/>
              <w:keepLines/>
            </w:pPr>
          </w:p>
        </w:tc>
      </w:tr>
    </w:tbl>
    <w:p w14:paraId="14E68AA0" w14:textId="77777777" w:rsidR="00C40AF3" w:rsidRPr="00C40AF3" w:rsidRDefault="00C40AF3" w:rsidP="00C40AF3">
      <w:pPr>
        <w:pStyle w:val="BodyText"/>
      </w:pPr>
    </w:p>
    <w:p w14:paraId="29BB254C" w14:textId="77777777" w:rsidR="001054C3" w:rsidRDefault="001054C3" w:rsidP="001054C3">
      <w:pPr>
        <w:sectPr w:rsidR="001054C3" w:rsidSect="001054C3">
          <w:headerReference w:type="even" r:id="rId72"/>
          <w:headerReference w:type="default" r:id="rId73"/>
          <w:footerReference w:type="even" r:id="rId74"/>
          <w:footerReference w:type="default" r:id="rId75"/>
          <w:type w:val="oddPage"/>
          <w:pgSz w:w="11907" w:h="16840" w:code="9"/>
          <w:pgMar w:top="1985" w:right="1304" w:bottom="1247" w:left="1814" w:header="1701" w:footer="397" w:gutter="0"/>
          <w:pgNumType w:chapSep="period"/>
          <w:cols w:space="720"/>
          <w:docGrid w:linePitch="326"/>
        </w:sectPr>
      </w:pPr>
    </w:p>
    <w:p w14:paraId="0B9293A1" w14:textId="61D7FF43" w:rsidR="001054C3" w:rsidRDefault="001054C3" w:rsidP="00234FBE">
      <w:pPr>
        <w:pStyle w:val="Heading1"/>
        <w:spacing w:before="0"/>
      </w:pPr>
      <w:bookmarkStart w:id="90" w:name="_Toc72939505"/>
      <w:r>
        <w:lastRenderedPageBreak/>
        <w:t>5</w:t>
      </w:r>
      <w:r>
        <w:tab/>
        <w:t>Water resource management — a fit</w:t>
      </w:r>
      <w:r>
        <w:noBreakHyphen/>
        <w:t>for</w:t>
      </w:r>
      <w:r>
        <w:noBreakHyphen/>
        <w:t>purpose framework</w:t>
      </w:r>
      <w:bookmarkEnd w:id="90"/>
    </w:p>
    <w:p w14:paraId="113631C0" w14:textId="3A5EFEB7" w:rsidR="001054C3" w:rsidRDefault="001054C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38655342" w14:textId="77777777" w:rsidTr="00234FBE">
        <w:trPr>
          <w:tblHeader/>
        </w:trPr>
        <w:tc>
          <w:tcPr>
            <w:tcW w:w="5000" w:type="pct"/>
            <w:tcBorders>
              <w:top w:val="single" w:sz="6" w:space="0" w:color="78A22F"/>
              <w:left w:val="nil"/>
              <w:bottom w:val="nil"/>
              <w:right w:val="nil"/>
            </w:tcBorders>
            <w:shd w:val="clear" w:color="auto" w:fill="F2F2F2"/>
          </w:tcPr>
          <w:p w14:paraId="671F574F" w14:textId="77777777" w:rsidR="001054C3" w:rsidRDefault="001054C3">
            <w:pPr>
              <w:pStyle w:val="BoxTitle"/>
            </w:pPr>
            <w:r>
              <w:t>Key points</w:t>
            </w:r>
          </w:p>
        </w:tc>
      </w:tr>
      <w:tr w:rsidR="001054C3" w14:paraId="3722D8A2" w14:textId="77777777" w:rsidTr="00234FBE">
        <w:tc>
          <w:tcPr>
            <w:tcW w:w="5000" w:type="pct"/>
            <w:tcBorders>
              <w:top w:val="nil"/>
              <w:left w:val="nil"/>
              <w:bottom w:val="nil"/>
              <w:right w:val="nil"/>
            </w:tcBorders>
            <w:shd w:val="clear" w:color="auto" w:fill="F2F2F2"/>
          </w:tcPr>
          <w:p w14:paraId="2237D17C" w14:textId="77777777" w:rsidR="001054C3" w:rsidRDefault="001054C3" w:rsidP="00234FBE">
            <w:pPr>
              <w:pStyle w:val="BoxListBullet"/>
            </w:pPr>
            <w:r>
              <w:t>Fit</w:t>
            </w:r>
            <w:r>
              <w:noBreakHyphen/>
              <w:t>for</w:t>
            </w:r>
            <w:r>
              <w:noBreakHyphen/>
              <w:t>purpose water resource management should be elevated in a renewed National Water Initiative.</w:t>
            </w:r>
          </w:p>
          <w:p w14:paraId="526C58F7" w14:textId="77777777" w:rsidR="001054C3" w:rsidRDefault="001054C3" w:rsidP="00234FBE">
            <w:pPr>
              <w:pStyle w:val="BoxListBullet"/>
            </w:pPr>
            <w:r>
              <w:t>For water resource management in a system to be effective, governance, regulatory, operational and informational arrangements need to be fit</w:t>
            </w:r>
            <w:r>
              <w:noBreakHyphen/>
              <w:t>for</w:t>
            </w:r>
            <w:r>
              <w:noBreakHyphen/>
              <w:t>purpose — across the diverse range of water systems, the level of effort should balance the expected costs and benefits of different management actions.</w:t>
            </w:r>
          </w:p>
          <w:p w14:paraId="219DCA2F" w14:textId="77777777" w:rsidR="001054C3" w:rsidRDefault="001054C3" w:rsidP="00234FBE">
            <w:pPr>
              <w:pStyle w:val="BoxListBullet2"/>
            </w:pPr>
            <w:r>
              <w:t>Risks to the environment, water users and public confidence in water resource management should guide effort. Where risks and potential costs are higher, more effort should be invested in management.</w:t>
            </w:r>
          </w:p>
          <w:p w14:paraId="3D62275E" w14:textId="77777777" w:rsidR="001054C3" w:rsidRDefault="001054C3" w:rsidP="00234FBE">
            <w:pPr>
              <w:pStyle w:val="BoxListBullet"/>
            </w:pPr>
            <w:r>
              <w:t>For the purpose of framing the Commission’s National Water Initiative renewal advice, a fit</w:t>
            </w:r>
            <w:r>
              <w:noBreakHyphen/>
              <w:t>for</w:t>
            </w:r>
            <w:r>
              <w:noBreakHyphen/>
              <w:t>purpose framework is applied across the different areas of water resource management including entitlements and other consumptive access rights, interception, water planning, water trading, environmental water and ensuring system integrity.</w:t>
            </w:r>
          </w:p>
          <w:p w14:paraId="798D271F" w14:textId="77777777" w:rsidR="001054C3" w:rsidRDefault="001054C3" w:rsidP="00234FBE">
            <w:pPr>
              <w:pStyle w:val="BoxListBullet"/>
            </w:pPr>
            <w:r w:rsidRPr="00B40778">
              <w:t>Fit</w:t>
            </w:r>
            <w:r>
              <w:noBreakHyphen/>
            </w:r>
            <w:r w:rsidRPr="00B40778">
              <w:t>for</w:t>
            </w:r>
            <w:r>
              <w:noBreakHyphen/>
            </w:r>
            <w:r w:rsidRPr="00B40778">
              <w:t xml:space="preserve">purpose management arrangements also </w:t>
            </w:r>
            <w:r>
              <w:t>include</w:t>
            </w:r>
            <w:r w:rsidRPr="00B40778">
              <w:t xml:space="preserve"> consideration of factors beyond the level of development of the water system</w:t>
            </w:r>
            <w:r>
              <w:t xml:space="preserve">, such as context specific </w:t>
            </w:r>
            <w:r w:rsidRPr="00B40778">
              <w:t>engagemen</w:t>
            </w:r>
            <w:r>
              <w:t>t</w:t>
            </w:r>
            <w:r w:rsidRPr="00B40778">
              <w:t>.</w:t>
            </w:r>
          </w:p>
        </w:tc>
      </w:tr>
      <w:tr w:rsidR="001054C3" w14:paraId="23D62B64" w14:textId="77777777" w:rsidTr="00234FBE">
        <w:tc>
          <w:tcPr>
            <w:tcW w:w="5000" w:type="pct"/>
            <w:tcBorders>
              <w:top w:val="nil"/>
              <w:left w:val="nil"/>
              <w:bottom w:val="single" w:sz="6" w:space="0" w:color="78A22F"/>
              <w:right w:val="nil"/>
            </w:tcBorders>
            <w:shd w:val="clear" w:color="auto" w:fill="F2F2F2"/>
          </w:tcPr>
          <w:p w14:paraId="4EDD88CE" w14:textId="77777777" w:rsidR="001054C3" w:rsidRDefault="001054C3">
            <w:pPr>
              <w:pStyle w:val="Box"/>
              <w:spacing w:before="0" w:line="120" w:lineRule="exact"/>
            </w:pPr>
          </w:p>
        </w:tc>
      </w:tr>
      <w:tr w:rsidR="001054C3" w:rsidRPr="000863A5" w14:paraId="6A7C1412" w14:textId="77777777" w:rsidTr="00234FBE">
        <w:tc>
          <w:tcPr>
            <w:tcW w:w="5000" w:type="pct"/>
            <w:tcBorders>
              <w:top w:val="single" w:sz="6" w:space="0" w:color="78A22F"/>
              <w:left w:val="nil"/>
              <w:bottom w:val="nil"/>
              <w:right w:val="nil"/>
            </w:tcBorders>
          </w:tcPr>
          <w:p w14:paraId="6A4B6C06" w14:textId="695E8C8B" w:rsidR="001054C3" w:rsidRPr="00626D32" w:rsidRDefault="001054C3" w:rsidP="00234FBE">
            <w:pPr>
              <w:pStyle w:val="BoxSpaceBelow"/>
            </w:pPr>
          </w:p>
        </w:tc>
      </w:tr>
    </w:tbl>
    <w:p w14:paraId="351AD3FA" w14:textId="77777777" w:rsidR="001054C3" w:rsidRDefault="001054C3" w:rsidP="00234FBE">
      <w:pPr>
        <w:pStyle w:val="BodyText"/>
      </w:pPr>
      <w:r>
        <w:t>Water systems are diverse. For example, surface water systems include: heavily regulated and highly developed rivers used for irrigated agriculture; unregulated rivers; large storages and interconnected infrastructure that supply urban areas; and heritage listed unregulated rivers with high conservation value. Rivers can have highly variable flow, with extreme droughts and floods a regular occurrence in some parts of the country. And groundwater resources range from localised aquifers to the Great Artesian Basin.</w:t>
      </w:r>
    </w:p>
    <w:p w14:paraId="6142E4B3" w14:textId="77777777" w:rsidR="001054C3" w:rsidRDefault="001054C3" w:rsidP="00234FBE">
      <w:pPr>
        <w:pStyle w:val="BodyText"/>
      </w:pPr>
      <w:r>
        <w:t>Efficient water resource management accounts for this diversity, with the scope and scale of management effort varying with a water system’s characteristics.</w:t>
      </w:r>
    </w:p>
    <w:p w14:paraId="5E4CA0C9" w14:textId="77777777" w:rsidR="001054C3" w:rsidRDefault="001054C3" w:rsidP="00234FBE">
      <w:pPr>
        <w:pStyle w:val="BodyText"/>
        <w:keepNext/>
      </w:pPr>
      <w:r>
        <w:t>Existing guidelines and frameworks support fit</w:t>
      </w:r>
      <w:r>
        <w:noBreakHyphen/>
        <w:t>for</w:t>
      </w:r>
      <w:r>
        <w:noBreakHyphen/>
        <w:t>purpose approaches for some elements of water resource management. For example, under the National Water Initiative (NWI), jurisdictions determine whether a water plan is prepared and the level of detail and resources committed ‘based on an assessment of the level of development of water systems, projected future consumptive demand and the risks of not having a detailed plan’.</w:t>
      </w:r>
      <w:r>
        <w:rPr>
          <w:rStyle w:val="FootnoteReference"/>
        </w:rPr>
        <w:footnoteReference w:id="15"/>
      </w:r>
      <w:r>
        <w:t xml:space="preserve"> The </w:t>
      </w:r>
      <w:r w:rsidRPr="00AB128C">
        <w:rPr>
          <w:i/>
          <w:iCs/>
        </w:rPr>
        <w:t xml:space="preserve">NWI Policy </w:t>
      </w:r>
      <w:r w:rsidRPr="00AB128C">
        <w:rPr>
          <w:i/>
          <w:iCs/>
        </w:rPr>
        <w:lastRenderedPageBreak/>
        <w:t>Guidelines for Water Planning and Management</w:t>
      </w:r>
      <w:r>
        <w:t xml:space="preserve"> provide more detail, setting out three broad classes of water systems for planning and management.</w:t>
      </w:r>
    </w:p>
    <w:p w14:paraId="3CC11F3A" w14:textId="77777777" w:rsidR="001054C3" w:rsidRDefault="001054C3" w:rsidP="00234FBE">
      <w:pPr>
        <w:pStyle w:val="ListBullet"/>
      </w:pPr>
      <w:r>
        <w:t>Conservation water systems have little or no water resources development, retain a high degree of naturalness and are designed for protection.</w:t>
      </w:r>
    </w:p>
    <w:p w14:paraId="57D7D69A" w14:textId="77777777" w:rsidR="001054C3" w:rsidRDefault="001054C3" w:rsidP="00234FBE">
      <w:pPr>
        <w:pStyle w:val="ListBullet"/>
      </w:pPr>
      <w:r>
        <w:t>Low development water systems have low levels of demand for water supply and low risks to ecosystems.</w:t>
      </w:r>
    </w:p>
    <w:p w14:paraId="0E50A651" w14:textId="4F3447B0" w:rsidR="001054C3" w:rsidRDefault="001054C3" w:rsidP="00234FBE">
      <w:pPr>
        <w:pStyle w:val="ListBullet"/>
      </w:pPr>
      <w:r>
        <w:t xml:space="preserve">High development water systems are those where current or projected future demand for water is high, or the system is close to or overallocated </w:t>
      </w:r>
      <w:r w:rsidRPr="00CA79C4">
        <w:rPr>
          <w:szCs w:val="24"/>
        </w:rPr>
        <w:t>(COAG 2010)</w:t>
      </w:r>
      <w:r w:rsidRPr="008350D0">
        <w:t>.</w:t>
      </w:r>
    </w:p>
    <w:p w14:paraId="47093922" w14:textId="492DD70B" w:rsidR="001054C3" w:rsidRDefault="001054C3" w:rsidP="00234FBE">
      <w:pPr>
        <w:pStyle w:val="BodyText"/>
      </w:pPr>
      <w:r>
        <w:t xml:space="preserve">Similarly, the </w:t>
      </w:r>
      <w:r w:rsidRPr="00633B91">
        <w:rPr>
          <w:i/>
          <w:iCs/>
        </w:rPr>
        <w:t>National Framework for Compliance and Enforcement Systems for Water Resource Management</w:t>
      </w:r>
      <w:r>
        <w:t xml:space="preserve"> sets out risk</w:t>
      </w:r>
      <w:r>
        <w:noBreakHyphen/>
        <w:t>based categories for compliance and enforcement. It describes a risk</w:t>
      </w:r>
      <w:r>
        <w:noBreakHyphen/>
        <w:t xml:space="preserve">based compliance strategy as ‘one that identifies “at risk” water resources and targets breaches of water resources legislation most likely to further stress the resource or which undermine the public’s confidence in effective water resource management’ </w:t>
      </w:r>
      <w:r w:rsidRPr="008350D0">
        <w:rPr>
          <w:szCs w:val="24"/>
        </w:rPr>
        <w:t>(COAG 2012, p. 5)</w:t>
      </w:r>
      <w:r w:rsidRPr="008350D0">
        <w:t>.</w:t>
      </w:r>
    </w:p>
    <w:p w14:paraId="47E1A0AC" w14:textId="77777777" w:rsidR="001054C3" w:rsidRDefault="001054C3" w:rsidP="00234FBE">
      <w:pPr>
        <w:pStyle w:val="BodyText"/>
      </w:pPr>
      <w:r>
        <w:t>The benefits of adopting a fit</w:t>
      </w:r>
      <w:r>
        <w:noBreakHyphen/>
        <w:t>for</w:t>
      </w:r>
      <w:r>
        <w:noBreakHyphen/>
        <w:t>purpose approach for ensuring the integrity of water resource management have been observed by participants to the inquiry.</w:t>
      </w:r>
    </w:p>
    <w:p w14:paraId="35DDBFBA" w14:textId="77777777" w:rsidR="001054C3" w:rsidRDefault="001054C3" w:rsidP="00234FBE">
      <w:pPr>
        <w:pStyle w:val="Quote"/>
      </w:pPr>
      <w:r>
        <w:t>It is recognised that the standard for compliance, metering and monitoring is higher in a system like the Murray–Darling Basin than it would be in some smaller irrigation areas, such as some coastal rivers, where the irrigation take is generally supplementary and relatively small scale. (NIC, sub. 13, p. 13)</w:t>
      </w:r>
    </w:p>
    <w:p w14:paraId="171102DD" w14:textId="77777777" w:rsidR="001054C3" w:rsidRDefault="001054C3" w:rsidP="00234FBE">
      <w:pPr>
        <w:pStyle w:val="BodyText"/>
      </w:pPr>
      <w:r>
        <w:t>The importance of integrating local knowledge into the decision</w:t>
      </w:r>
      <w:r>
        <w:noBreakHyphen/>
        <w:t>making process has also been acknowledged.</w:t>
      </w:r>
    </w:p>
    <w:p w14:paraId="02A785EC" w14:textId="77777777" w:rsidR="001054C3" w:rsidRDefault="001054C3" w:rsidP="00234FBE">
      <w:pPr>
        <w:pStyle w:val="Quote"/>
      </w:pPr>
      <w:r>
        <w:t>Australia is a continent with many different climate zones and many different irrigation water use profiles … In the case of water measurement and monitoring, because one size does not fit all, governments must have appropriate governance frameworks in place to ensure scheme</w:t>
      </w:r>
      <w:r>
        <w:noBreakHyphen/>
        <w:t>specific local knowledge is integrated into decision making processes. (Canegrowers, sub. 72, p. 2)</w:t>
      </w:r>
    </w:p>
    <w:p w14:paraId="6FC95399" w14:textId="77777777" w:rsidR="001054C3" w:rsidRDefault="001054C3" w:rsidP="00234FBE">
      <w:pPr>
        <w:pStyle w:val="BodyText"/>
      </w:pPr>
      <w:r>
        <w:t>However, the existing guidelines only target specific areas of water resource management, and it is not always clear how they have been applied.</w:t>
      </w:r>
    </w:p>
    <w:p w14:paraId="1998FC83" w14:textId="77777777" w:rsidR="001054C3" w:rsidRDefault="001054C3" w:rsidP="00234FBE">
      <w:pPr>
        <w:pStyle w:val="BodyText"/>
      </w:pPr>
      <w:r>
        <w:t>There is scope to elevate the concept of fit</w:t>
      </w:r>
      <w:r>
        <w:noBreakHyphen/>
        <w:t>for</w:t>
      </w:r>
      <w:r>
        <w:noBreakHyphen/>
        <w:t>purpose water resource management in a renewed NWI (with guidelines updated to reflect the agreed approach).</w:t>
      </w:r>
    </w:p>
    <w:p w14:paraId="1D1BF599" w14:textId="77777777" w:rsidR="001054C3" w:rsidRDefault="001054C3" w:rsidP="00234FBE">
      <w:pPr>
        <w:pStyle w:val="BodyText"/>
      </w:pPr>
      <w:r>
        <w:t>Water resource management can only function efficiently when there are effective governance, regulatory, operational and informational arrangements. And the implementation of these arrangements should be fit</w:t>
      </w:r>
      <w:r>
        <w:noBreakHyphen/>
        <w:t>for</w:t>
      </w:r>
      <w:r>
        <w:noBreakHyphen/>
        <w:t>purpose — across the diverse range of water systems, the level of effort should balance the expected costs and benefits of different actions.</w:t>
      </w:r>
    </w:p>
    <w:p w14:paraId="54A9B769" w14:textId="77777777" w:rsidR="001054C3" w:rsidRDefault="001054C3" w:rsidP="00234FBE">
      <w:pPr>
        <w:pStyle w:val="BodyText"/>
      </w:pPr>
      <w:r>
        <w:t xml:space="preserve">A conceptual framework capturing changing levels of effort as surface and groundwater system characteristics differ is set out below (figure 5.1). It is intended to apply broadly </w:t>
      </w:r>
      <w:r>
        <w:lastRenderedPageBreak/>
        <w:t>across all areas of water resource</w:t>
      </w:r>
      <w:r w:rsidRPr="00AB128C">
        <w:t xml:space="preserve"> management and can be used to guide thinking about when an action is justified and how much effort should be put into it. For example, when is a water plan needed and what level of detail is required? When should interception be included in the entitlement framework? What level of management is required for the system? What market arrangements are required to facilitate efficient trade of water? What compliance and enforcement </w:t>
      </w:r>
      <w:r>
        <w:t>activities</w:t>
      </w:r>
      <w:r w:rsidRPr="00AB128C">
        <w:t xml:space="preserve"> should be undertaken?</w:t>
      </w:r>
    </w:p>
    <w:p w14:paraId="0DEE2644" w14:textId="6B429712"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766B67AE" w14:textId="77777777" w:rsidTr="00234FBE">
        <w:trPr>
          <w:tblHeader/>
        </w:trPr>
        <w:tc>
          <w:tcPr>
            <w:tcW w:w="5000" w:type="pct"/>
            <w:tcBorders>
              <w:top w:val="single" w:sz="6" w:space="0" w:color="78A22F"/>
              <w:left w:val="nil"/>
              <w:bottom w:val="nil"/>
              <w:right w:val="nil"/>
            </w:tcBorders>
            <w:shd w:val="clear" w:color="auto" w:fill="auto"/>
          </w:tcPr>
          <w:p w14:paraId="043EC07F" w14:textId="1DCE5E8D" w:rsidR="001054C3" w:rsidRPr="00176D3F" w:rsidRDefault="001054C3" w:rsidP="00234FBE">
            <w:pPr>
              <w:pStyle w:val="FigureTitle"/>
            </w:pPr>
            <w:r w:rsidRPr="00784A05">
              <w:rPr>
                <w:b w:val="0"/>
              </w:rPr>
              <w:t xml:space="preserve">Figure </w:t>
            </w:r>
            <w:r>
              <w:rPr>
                <w:b w:val="0"/>
              </w:rPr>
              <w:t>5.</w:t>
            </w:r>
            <w:r>
              <w:rPr>
                <w:b w:val="0"/>
                <w:noProof/>
              </w:rPr>
              <w:t>1</w:t>
            </w:r>
            <w:r>
              <w:tab/>
              <w:t>A conceptual framework for fit</w:t>
            </w:r>
            <w:r>
              <w:noBreakHyphen/>
              <w:t>for</w:t>
            </w:r>
            <w:r>
              <w:noBreakHyphen/>
              <w:t>purpose water resource management</w:t>
            </w:r>
            <w:r w:rsidRPr="00AB128C">
              <w:rPr>
                <w:rStyle w:val="NoteLabel"/>
              </w:rPr>
              <w:t>a</w:t>
            </w:r>
          </w:p>
        </w:tc>
      </w:tr>
      <w:tr w:rsidR="001054C3" w14:paraId="23D09CB9"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B1465D" w14:paraId="60747D3A" w14:textId="77777777" w:rsidTr="00234FBE">
              <w:trPr>
                <w:tblHeader/>
                <w:jc w:val="center"/>
              </w:trPr>
              <w:tc>
                <w:tcPr>
                  <w:tcW w:w="5000" w:type="pct"/>
                  <w:tcBorders>
                    <w:top w:val="nil"/>
                    <w:bottom w:val="nil"/>
                  </w:tcBorders>
                </w:tcPr>
                <w:p w14:paraId="11756A1C" w14:textId="77777777" w:rsidR="001054C3" w:rsidRPr="00B1465D" w:rsidRDefault="001054C3" w:rsidP="00234FBE">
                  <w:pPr>
                    <w:pStyle w:val="Figure"/>
                    <w:spacing w:before="60" w:after="60"/>
                    <w:rPr>
                      <w:rFonts w:ascii="Arial" w:hAnsi="Arial" w:cs="Arial"/>
                      <w:sz w:val="18"/>
                      <w:szCs w:val="18"/>
                    </w:rPr>
                  </w:pPr>
                  <w:r w:rsidRPr="000E0B1B">
                    <w:rPr>
                      <w:rFonts w:ascii="Arial" w:hAnsi="Arial" w:cs="Arial"/>
                      <w:noProof/>
                      <w:sz w:val="18"/>
                      <w:szCs w:val="18"/>
                    </w:rPr>
                    <w:drawing>
                      <wp:inline distT="0" distB="0" distL="0" distR="0" wp14:anchorId="12056310" wp14:editId="73B61CA6">
                        <wp:extent cx="5384800" cy="4933950"/>
                        <wp:effectExtent l="0" t="0" r="6350" b="0"/>
                        <wp:docPr id="17" name="Picture 17" descr="Figure 5.1. The figure depicts an indicative framework for fit-for-purpose water resource management. It has four water system classifications with increasing consumptive use of water across the classifications. They are: relatively undeveloped, developing, fully developed and over allocated. The level of effort and resources for water resource management (including across entitlements, interception, water planning, water trading, environmental water management and ensuring system integrity) should increase with the level of competition fo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1. The figure depicts an indicative framework for fit-for-purpose water resource management. It has four water system classifications with increasing consumptive use of water across the classifications. They are: relatively undeveloped, developing, fully developed and over allocated. The level of effort and resources for water resource management (including across entitlements, interception, water planning, water trading, environmental water management and ensuring system integrity) should increase with the level of competition for wate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84800" cy="4933950"/>
                                </a:xfrm>
                                <a:prstGeom prst="rect">
                                  <a:avLst/>
                                </a:prstGeom>
                                <a:noFill/>
                                <a:ln>
                                  <a:noFill/>
                                </a:ln>
                              </pic:spPr>
                            </pic:pic>
                          </a:graphicData>
                        </a:graphic>
                      </wp:inline>
                    </w:drawing>
                  </w:r>
                </w:p>
              </w:tc>
            </w:tr>
          </w:tbl>
          <w:p w14:paraId="6FF4F7BA" w14:textId="77777777" w:rsidR="001054C3" w:rsidRDefault="001054C3" w:rsidP="00234FBE">
            <w:pPr>
              <w:pStyle w:val="Figure"/>
            </w:pPr>
          </w:p>
        </w:tc>
      </w:tr>
      <w:tr w:rsidR="001054C3" w:rsidRPr="00176D3F" w14:paraId="01C5E15E" w14:textId="77777777" w:rsidTr="00234FBE">
        <w:tc>
          <w:tcPr>
            <w:tcW w:w="5000" w:type="pct"/>
            <w:tcBorders>
              <w:top w:val="nil"/>
              <w:left w:val="nil"/>
              <w:bottom w:val="nil"/>
              <w:right w:val="nil"/>
            </w:tcBorders>
            <w:shd w:val="clear" w:color="auto" w:fill="auto"/>
          </w:tcPr>
          <w:p w14:paraId="15192C51" w14:textId="77777777" w:rsidR="001054C3" w:rsidRPr="00176D3F" w:rsidRDefault="001054C3" w:rsidP="00234FBE">
            <w:pPr>
              <w:pStyle w:val="Note"/>
            </w:pPr>
            <w:r>
              <w:rPr>
                <w:rStyle w:val="NoteLabel"/>
              </w:rPr>
              <w:t>a</w:t>
            </w:r>
            <w:r>
              <w:t xml:space="preserve"> e</w:t>
            </w:r>
            <w:r>
              <w:noBreakHyphen/>
              <w:t>assets refers to environmental assets, e</w:t>
            </w:r>
            <w:r>
              <w:noBreakHyphen/>
              <w:t>water refers to environmental water, and WRM refers to water resource management.</w:t>
            </w:r>
          </w:p>
        </w:tc>
      </w:tr>
      <w:tr w:rsidR="001054C3" w14:paraId="474A8425" w14:textId="77777777" w:rsidTr="00234FBE">
        <w:tc>
          <w:tcPr>
            <w:tcW w:w="5000" w:type="pct"/>
            <w:tcBorders>
              <w:top w:val="nil"/>
              <w:left w:val="nil"/>
              <w:bottom w:val="single" w:sz="6" w:space="0" w:color="78A22F"/>
              <w:right w:val="nil"/>
            </w:tcBorders>
            <w:shd w:val="clear" w:color="auto" w:fill="auto"/>
          </w:tcPr>
          <w:p w14:paraId="1F6380A2" w14:textId="77777777" w:rsidR="001054C3" w:rsidRDefault="001054C3" w:rsidP="00234FBE">
            <w:pPr>
              <w:pStyle w:val="Figurespace"/>
            </w:pPr>
          </w:p>
        </w:tc>
      </w:tr>
      <w:tr w:rsidR="001054C3" w:rsidRPr="000863A5" w14:paraId="25C544CD" w14:textId="77777777" w:rsidTr="00234FBE">
        <w:tc>
          <w:tcPr>
            <w:tcW w:w="5000" w:type="pct"/>
            <w:tcBorders>
              <w:top w:val="single" w:sz="6" w:space="0" w:color="78A22F"/>
              <w:left w:val="nil"/>
              <w:bottom w:val="nil"/>
              <w:right w:val="nil"/>
            </w:tcBorders>
          </w:tcPr>
          <w:p w14:paraId="10BC6041" w14:textId="74AA80ED" w:rsidR="001054C3" w:rsidRPr="00626D32" w:rsidRDefault="001054C3" w:rsidP="00234FBE">
            <w:pPr>
              <w:pStyle w:val="BoxSpaceBelow"/>
            </w:pPr>
          </w:p>
        </w:tc>
      </w:tr>
    </w:tbl>
    <w:p w14:paraId="1BED463D" w14:textId="77777777" w:rsidR="001054C3" w:rsidRDefault="001054C3" w:rsidP="00234FBE">
      <w:pPr>
        <w:pStyle w:val="BodyText"/>
        <w:keepNext/>
      </w:pPr>
      <w:r>
        <w:t>The framework identifies four indicative water system classifications.</w:t>
      </w:r>
    </w:p>
    <w:p w14:paraId="78AC5CDC" w14:textId="77777777" w:rsidR="001054C3" w:rsidRDefault="001054C3" w:rsidP="00234FBE">
      <w:pPr>
        <w:pStyle w:val="ListBullet"/>
      </w:pPr>
      <w:r>
        <w:t>Relatively undeveloped systems have low demand for water resources and low risks to ecosystems.</w:t>
      </w:r>
    </w:p>
    <w:p w14:paraId="077367CD" w14:textId="77777777" w:rsidR="001054C3" w:rsidRDefault="001054C3" w:rsidP="00234FBE">
      <w:pPr>
        <w:pStyle w:val="ListBullet"/>
      </w:pPr>
      <w:r>
        <w:lastRenderedPageBreak/>
        <w:t>Developing systems show increasing demand for their water resources and may include sites with proposed development potential. There is a trend of increasing trade</w:t>
      </w:r>
      <w:r>
        <w:noBreakHyphen/>
        <w:t>offs in these systems between consumptive users and the environment. In these systems, the rules should be clear and enabling, that is establishing the frameworks necessary to transition to a fully developed system.</w:t>
      </w:r>
    </w:p>
    <w:p w14:paraId="7161CAF5" w14:textId="77777777" w:rsidR="001054C3" w:rsidRDefault="001054C3" w:rsidP="00234FBE">
      <w:pPr>
        <w:pStyle w:val="ListBullet"/>
      </w:pPr>
      <w:r>
        <w:t>Fully developed systems are characterised by water resources being fully allocated between consumptive users and the environment, with effective sharing arrangements, market rules and system operating rules. Key environmental assets are maintained at the agreed level (although climate change predictions may indicate a future risk to key environmental assets).</w:t>
      </w:r>
    </w:p>
    <w:p w14:paraId="4FB40EA4" w14:textId="77777777" w:rsidR="001054C3" w:rsidRDefault="001054C3" w:rsidP="00234FBE">
      <w:pPr>
        <w:pStyle w:val="ListBullet"/>
      </w:pPr>
      <w:r>
        <w:t>Overallocated systems have high levels of demand for water, and the level of water allocations and associated development compromise key environmental assets. Under the NWI, water plans must define pathways for returning overallocated systems back to a sustainable level of water extraction that will protect agreed environmental assets (as determined in the water plan).</w:t>
      </w:r>
    </w:p>
    <w:p w14:paraId="49A28A4F" w14:textId="77777777" w:rsidR="001054C3" w:rsidRDefault="001054C3" w:rsidP="00234FBE">
      <w:pPr>
        <w:pStyle w:val="BodyText"/>
      </w:pPr>
      <w:r>
        <w:t>The level of management effort should increase as the level of development and consequent competition for the resource increases. It should take into account the risks to the environment, water users and the public’s confidence in water resource management. The actions taken should aim to balance their expected costs and benefits. For each water system, analysis should be done to evaluate its unique characteristics and risk context, and the subsequent management regime should be tailored based on this assessment.</w:t>
      </w:r>
    </w:p>
    <w:p w14:paraId="7BA0E5A4" w14:textId="77777777" w:rsidR="001054C3" w:rsidRDefault="001054C3" w:rsidP="00234FBE">
      <w:pPr>
        <w:pStyle w:val="BodyText"/>
        <w:keepNext/>
      </w:pPr>
      <w:r>
        <w:t>For the purpose of framing the Commission’s NWI renewal advice, this fit</w:t>
      </w:r>
      <w:r>
        <w:noBreakHyphen/>
        <w:t>for</w:t>
      </w:r>
      <w:r>
        <w:noBreakHyphen/>
        <w:t>purpose framework is applied across the different areas of water resource management.</w:t>
      </w:r>
    </w:p>
    <w:p w14:paraId="6696C8D3" w14:textId="77777777" w:rsidR="001054C3" w:rsidRDefault="001054C3" w:rsidP="00234FBE">
      <w:pPr>
        <w:pStyle w:val="ListBullet"/>
      </w:pPr>
      <w:r>
        <w:t>Entitlements and other consumptive access rights — in relatively undeveloped systems, fully NWI</w:t>
      </w:r>
      <w:r>
        <w:noBreakHyphen/>
        <w:t xml:space="preserve">consistent entitlements (that are, for example separate from land and perpetual) may not be necessary as demand for the resource is low, and water sources may be poorly understood. In these cases, all extractions should be either controlled under statutory access rights (such as stock and domestic) or licensed appropriately under the relevant jurisdictional water act (such as remote mining operations) and </w:t>
      </w:r>
      <w:r w:rsidRPr="00DD147F">
        <w:t xml:space="preserve">monitoring processes should be developed to assess associated risks expected with </w:t>
      </w:r>
      <w:r>
        <w:t xml:space="preserve">water take and any further </w:t>
      </w:r>
      <w:r w:rsidRPr="00DD147F">
        <w:t>development</w:t>
      </w:r>
      <w:r>
        <w:t xml:space="preserve"> (chapter 6). However, as systems are being developed, fully NWI</w:t>
      </w:r>
      <w:r>
        <w:noBreakHyphen/>
        <w:t>consistent entitlement systems should be put in place.</w:t>
      </w:r>
    </w:p>
    <w:p w14:paraId="41A3376B" w14:textId="77777777" w:rsidR="001054C3" w:rsidRDefault="001054C3" w:rsidP="00234FBE">
      <w:pPr>
        <w:pStyle w:val="ListBullet2"/>
      </w:pPr>
      <w:r>
        <w:t>For interception activities, the cumulative impacts on water availability can be significant, and if unaccounted for and unlicensed, can undermine the integrity of the entitlement system. As water systems approach full allocation, interception activities should be increasingly monitored and regulated, and incorporated into entitlement frameworks (chapter 6).</w:t>
      </w:r>
    </w:p>
    <w:p w14:paraId="2D91EBDF" w14:textId="77777777" w:rsidR="001054C3" w:rsidRDefault="001054C3" w:rsidP="00234FBE">
      <w:pPr>
        <w:pStyle w:val="ListBullet"/>
      </w:pPr>
      <w:r>
        <w:t xml:space="preserve">Water planning — in relatively undeveloped systems there is less pressure on the resource and a simplified approach may be adopted, with some basic precautionary measures in place. This could include setting a precautionary interim limit which, when reached, would trigger a more formal planning process. As the level of development </w:t>
      </w:r>
      <w:r>
        <w:lastRenderedPageBreak/>
        <w:t>increases, more effort and resources will be required for water planning, including understanding any interconnections between surface and groundwater systems and the spatial and temporal implications of further development. In fully developed areas, a statutory water plan should identify the trade</w:t>
      </w:r>
      <w:r>
        <w:noBreakHyphen/>
        <w:t>offs between competing outcomes, the consequential balance between environmental and consumptive use, the system operating rules to deliver this balance, the entitlement regime for the consumptive pool and trading rules. More accurate and detailed information is required to define the appropriate water management arrangements. In overallocated systems, water plans must also define pathways for returning to a sustainable level of water extraction that will protect agreed environmental assets (chapter 6).</w:t>
      </w:r>
    </w:p>
    <w:p w14:paraId="5212A858" w14:textId="77777777" w:rsidR="001054C3" w:rsidRDefault="001054C3" w:rsidP="00234FBE">
      <w:pPr>
        <w:pStyle w:val="ListBullet2"/>
      </w:pPr>
      <w:r>
        <w:t>Effective water planning processes also need to consider climate change. In undeveloped and developing areas, there is an opportunity to set the consumptive and environmental shares by using the best available suite of regional climate change projections (over a period of at least 20 to 30 years) in a way that balances risks to the reliability of consumptive entitlements and the ability to maintain environmental objectives over that period. In contrast, all water is currently allocated either to consumptive users or the environment in highly developed systems. In the event of significant reductions in the available resource, decisions will have to be made to determine if, when and how the balance between environmental and consumptive uses should be reviewed and new objectives set (chapter 6).</w:t>
      </w:r>
    </w:p>
    <w:p w14:paraId="30D12C1C" w14:textId="77777777" w:rsidR="001054C3" w:rsidRDefault="001054C3" w:rsidP="00234FBE">
      <w:pPr>
        <w:pStyle w:val="ListBullet2"/>
      </w:pPr>
      <w:r>
        <w:t xml:space="preserve">Cultural values of Traditional Owners need to be incorporated into water planning for all systems. The level of development will influence how access may be facilitated. </w:t>
      </w:r>
      <w:r w:rsidRPr="00A369B4">
        <w:t>Where the consumptive pool is fully allocated, water should be bought from entitlement holders on the market to retain system integrity. And reserves for exclusive use can be created in systems where the consumptive pool has not been fully allocated</w:t>
      </w:r>
      <w:r>
        <w:t xml:space="preserve"> (chapter 6 and chapter 9).</w:t>
      </w:r>
    </w:p>
    <w:p w14:paraId="6395F67A" w14:textId="77777777" w:rsidR="001054C3" w:rsidRDefault="001054C3" w:rsidP="00234FBE">
      <w:pPr>
        <w:pStyle w:val="ListBullet"/>
      </w:pPr>
      <w:r>
        <w:t>Water trading — in relatively undeveloped systems, sophisticated market arrangements are not required as new water needs can be met through new access rights. In this case, entitlements held and/or demand for trading them will be low. In contrast, the potential benefits from trade are more significant in fully developed and overallocated systems and more detailed trading rules and arrangements may be justified (chapter 7).</w:t>
      </w:r>
    </w:p>
    <w:p w14:paraId="0B1D8B07" w14:textId="77777777" w:rsidR="001054C3" w:rsidRDefault="001054C3" w:rsidP="00234FBE">
      <w:pPr>
        <w:pStyle w:val="ListBullet"/>
      </w:pPr>
      <w:r>
        <w:t>Environmental water management — in relatively undeveloped systems, environmental values can be protected through precautionary interim consumptive limits. As consumptive water use and competition for the resource increase, there is a need to clearly specify agreed environmental outcomes through planning processes. In complex, fully developed and overallocated systems, planned environmental water can be supplemented with held environmental water, to achieve agreed (and where possible, better) environmental outcomes (chapter 8).</w:t>
      </w:r>
    </w:p>
    <w:p w14:paraId="076B43D1" w14:textId="77777777" w:rsidR="001054C3" w:rsidRDefault="001054C3" w:rsidP="00234FBE">
      <w:pPr>
        <w:pStyle w:val="ListBullet"/>
      </w:pPr>
      <w:r>
        <w:t xml:space="preserve">Ensuring integrity of water resource management — as the level of development in a system increases, more effort and resources will be required for measuring and monitoring, compliance and engagement with water users and the broader community. In addition, more information will need to be collected and provided by water system </w:t>
      </w:r>
      <w:r>
        <w:lastRenderedPageBreak/>
        <w:t>managers to sufficiently demonstrate that they are maximising benefits for water users and the environment (chapter 10).</w:t>
      </w:r>
    </w:p>
    <w:p w14:paraId="39156C36" w14:textId="77777777" w:rsidR="001054C3" w:rsidRDefault="001054C3" w:rsidP="00234FBE">
      <w:pPr>
        <w:pStyle w:val="ListBullet2"/>
      </w:pPr>
      <w:r>
        <w:t>In fully developed water systems for example, where costs of mismanagement are high both for the environment and for consumptive users, telemetry could be used to submit water take data in real</w:t>
      </w:r>
      <w:r>
        <w:noBreakHyphen/>
        <w:t>time to enable effective water accounting and compliance and enforcement by the responsible agencies. In contrast, in developing systems where perpetual entitlements may have been established but there is no trading yet, annual reporting of metered use may be sufficient for effective management.</w:t>
      </w:r>
    </w:p>
    <w:p w14:paraId="05E531CE" w14:textId="77777777" w:rsidR="001054C3" w:rsidRDefault="001054C3" w:rsidP="00234FBE">
      <w:pPr>
        <w:pStyle w:val="ListBullet2"/>
      </w:pPr>
      <w:r>
        <w:t>Quality assurance processes to enhance the credibility of water information for systems that are fully developed and face higher risks should include independent audits. In water systems that are less developed or face lower risks a review of the water information may be sufficient.</w:t>
      </w:r>
    </w:p>
    <w:p w14:paraId="44B46BAD" w14:textId="77777777" w:rsidR="001054C3" w:rsidRPr="00065089" w:rsidRDefault="001054C3" w:rsidP="00234FBE">
      <w:pPr>
        <w:pStyle w:val="BodyText"/>
        <w:rPr>
          <w:spacing w:val="-2"/>
        </w:rPr>
      </w:pPr>
      <w:r w:rsidRPr="00065089">
        <w:rPr>
          <w:spacing w:val="-2"/>
        </w:rPr>
        <w:t>Although there are differences in how the fit</w:t>
      </w:r>
      <w:r w:rsidRPr="00065089">
        <w:rPr>
          <w:spacing w:val="-2"/>
        </w:rPr>
        <w:noBreakHyphen/>
        <w:t>for</w:t>
      </w:r>
      <w:r w:rsidRPr="00065089">
        <w:rPr>
          <w:spacing w:val="-2"/>
        </w:rPr>
        <w:noBreakHyphen/>
        <w:t>purpose framework is applied across the above areas of water resource management, they share two key similarities — as consumptive use increases, the value of the remaining available water to meet those uses increases as does the level of environmental risk. Accordingly, the level of management effort will need to increase to ensure agreed outcomes can be achieved, provide assurance in the integrity of system management and enable community and investor trust in water resource management. A number of inquiry participants have expressed support for a renewed NWI to include a fit</w:t>
      </w:r>
      <w:r w:rsidRPr="00065089">
        <w:rPr>
          <w:spacing w:val="-2"/>
        </w:rPr>
        <w:noBreakHyphen/>
        <w:t>for</w:t>
      </w:r>
      <w:r w:rsidRPr="00065089">
        <w:rPr>
          <w:spacing w:val="-2"/>
        </w:rPr>
        <w:noBreakHyphen/>
        <w:t>purpose water resource management framework (NFF, sub. DR178; CNSWJO, sub. DR164; LGNSW, sub. DR147; Sunrice and RGA, sub. DR181; QFF, sub. DR161; Mackay Conservation Group, sub. DR150; AgForce, sub. DR143; NSW Government, sub. DR138; Canegrowers, sub. 167; LBA, sub. DR133).</w:t>
      </w:r>
    </w:p>
    <w:p w14:paraId="58939C65" w14:textId="77777777" w:rsidR="001054C3" w:rsidRDefault="001054C3" w:rsidP="00234FBE">
      <w:pPr>
        <w:pStyle w:val="BodyText"/>
      </w:pPr>
      <w:r>
        <w:t>Fit</w:t>
      </w:r>
      <w:r>
        <w:noBreakHyphen/>
        <w:t>for</w:t>
      </w:r>
      <w:r>
        <w:noBreakHyphen/>
        <w:t>purpose management arrangements can also require consideration of factors beyond the level of development of the water system. This is particularly the case with the level of engagement, where the most appropriate approach will be context specific, as discussed in chapter 15. The decision</w:t>
      </w:r>
      <w:r>
        <w:noBreakHyphen/>
        <w:t>making process needs to consider the positions of those who will be affected. For example, despite being in relatively undeveloped areas, significant licencing decisions in some areas of the Northern Territory can affect the cultural and economic aspirations of Aboriginal and Torres Strait Islander people and they should therefore be empowered through the decision</w:t>
      </w:r>
      <w:r>
        <w:noBreakHyphen/>
        <w:t>making process (NLC, sub. DR134, p. 12).</w:t>
      </w:r>
    </w:p>
    <w:p w14:paraId="31E3B2A6" w14:textId="77777777" w:rsidR="001054C3" w:rsidRPr="00F94210"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F94210" w14:paraId="30A011A2"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749499F" w14:textId="77777777" w:rsidR="001054C3" w:rsidRPr="00F94210" w:rsidRDefault="001054C3" w:rsidP="00234FBE">
            <w:pPr>
              <w:keepNext/>
              <w:keepLines/>
              <w:spacing w:before="120" w:line="280" w:lineRule="atLeast"/>
              <w:jc w:val="both"/>
              <w:rPr>
                <w:rFonts w:ascii="Arial" w:hAnsi="Arial"/>
                <w:caps/>
                <w:noProof/>
                <w:sz w:val="18"/>
                <w:szCs w:val="20"/>
              </w:rPr>
            </w:pPr>
            <w:r>
              <w:rPr>
                <w:rFonts w:ascii="Arial" w:hAnsi="Arial"/>
                <w:caps/>
                <w:sz w:val="18"/>
                <w:szCs w:val="20"/>
              </w:rPr>
              <w:t xml:space="preserve">NWI RENEWAL advice 5.1: </w:t>
            </w:r>
            <w:r w:rsidRPr="003C11EB">
              <w:rPr>
                <w:rFonts w:ascii="Arial" w:hAnsi="Arial"/>
                <w:caps/>
                <w:sz w:val="18"/>
                <w:szCs w:val="20"/>
              </w:rPr>
              <w:t>fit</w:t>
            </w:r>
            <w:r>
              <w:rPr>
                <w:rFonts w:ascii="Arial" w:hAnsi="Arial"/>
                <w:caps/>
                <w:sz w:val="18"/>
                <w:szCs w:val="20"/>
              </w:rPr>
              <w:noBreakHyphen/>
            </w:r>
            <w:r w:rsidRPr="003C11EB">
              <w:rPr>
                <w:rFonts w:ascii="Arial" w:hAnsi="Arial"/>
                <w:caps/>
                <w:sz w:val="18"/>
                <w:szCs w:val="20"/>
              </w:rPr>
              <w:t>for</w:t>
            </w:r>
            <w:r>
              <w:rPr>
                <w:rFonts w:ascii="Arial" w:hAnsi="Arial"/>
                <w:caps/>
                <w:sz w:val="18"/>
                <w:szCs w:val="20"/>
              </w:rPr>
              <w:noBreakHyphen/>
            </w:r>
            <w:r w:rsidRPr="003C11EB">
              <w:rPr>
                <w:rFonts w:ascii="Arial" w:hAnsi="Arial"/>
                <w:caps/>
                <w:sz w:val="18"/>
                <w:szCs w:val="20"/>
              </w:rPr>
              <w:t>purpose water resource</w:t>
            </w:r>
            <w:r>
              <w:rPr>
                <w:rFonts w:ascii="Arial" w:hAnsi="Arial"/>
                <w:caps/>
                <w:sz w:val="18"/>
                <w:szCs w:val="20"/>
              </w:rPr>
              <w:t xml:space="preserve"> management</w:t>
            </w:r>
          </w:p>
          <w:p w14:paraId="219A1EE6" w14:textId="77777777" w:rsidR="001054C3" w:rsidRPr="00301D93" w:rsidRDefault="001054C3" w:rsidP="00234FBE">
            <w:pPr>
              <w:pStyle w:val="Rec"/>
            </w:pPr>
            <w:r w:rsidRPr="00C2183D">
              <w:t>Embedding the concept of fit</w:t>
            </w:r>
            <w:r>
              <w:noBreakHyphen/>
            </w:r>
            <w:r w:rsidRPr="00C2183D">
              <w:t>for</w:t>
            </w:r>
            <w:r>
              <w:noBreakHyphen/>
            </w:r>
            <w:r w:rsidRPr="00C2183D">
              <w:t>purpose water resource management in a renewed N</w:t>
            </w:r>
            <w:r>
              <w:t xml:space="preserve">ational </w:t>
            </w:r>
            <w:r w:rsidRPr="00C2183D">
              <w:t>W</w:t>
            </w:r>
            <w:r>
              <w:t xml:space="preserve">ater </w:t>
            </w:r>
            <w:r w:rsidRPr="00C2183D">
              <w:t>I</w:t>
            </w:r>
            <w:r>
              <w:t>nitiative</w:t>
            </w:r>
            <w:r w:rsidRPr="00C2183D">
              <w:t xml:space="preserve"> would support governments in thinking about the level of effort and resources to devote to the different facets of water resource management across different water systems and across time.</w:t>
            </w:r>
          </w:p>
        </w:tc>
      </w:tr>
      <w:tr w:rsidR="001054C3" w:rsidRPr="00F94210" w14:paraId="7F402347"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7D1308C" w14:textId="77777777" w:rsidR="001054C3" w:rsidRPr="00F94210" w:rsidRDefault="001054C3" w:rsidP="00234FBE">
            <w:pPr>
              <w:keepNext/>
              <w:keepLines/>
              <w:spacing w:line="120" w:lineRule="exact"/>
              <w:jc w:val="both"/>
              <w:rPr>
                <w:rFonts w:ascii="Arial" w:hAnsi="Arial"/>
                <w:sz w:val="20"/>
                <w:szCs w:val="20"/>
              </w:rPr>
            </w:pPr>
          </w:p>
        </w:tc>
      </w:tr>
      <w:tr w:rsidR="001054C3" w:rsidRPr="00F94210" w14:paraId="53E3292E" w14:textId="77777777" w:rsidTr="00234FBE">
        <w:tc>
          <w:tcPr>
            <w:tcW w:w="5000" w:type="pct"/>
            <w:tcBorders>
              <w:top w:val="single" w:sz="6" w:space="0" w:color="0070C0"/>
              <w:left w:val="nil"/>
              <w:bottom w:val="nil"/>
              <w:right w:val="nil"/>
            </w:tcBorders>
            <w:tcMar>
              <w:left w:w="170" w:type="dxa"/>
              <w:right w:w="170" w:type="dxa"/>
            </w:tcMar>
          </w:tcPr>
          <w:p w14:paraId="5A965261" w14:textId="77777777" w:rsidR="001054C3" w:rsidRPr="00F94210" w:rsidRDefault="001054C3" w:rsidP="00234FBE">
            <w:pPr>
              <w:keepLines/>
              <w:spacing w:before="60" w:after="60" w:line="80" w:lineRule="exact"/>
              <w:jc w:val="both"/>
              <w:rPr>
                <w:rFonts w:ascii="Arial" w:hAnsi="Arial"/>
                <w:sz w:val="14"/>
                <w:szCs w:val="20"/>
              </w:rPr>
            </w:pPr>
          </w:p>
        </w:tc>
      </w:tr>
    </w:tbl>
    <w:p w14:paraId="4CAFB0A9" w14:textId="77777777" w:rsidR="001054C3" w:rsidRDefault="001054C3" w:rsidP="00234FBE">
      <w:pPr>
        <w:pStyle w:val="BodyText"/>
      </w:pPr>
    </w:p>
    <w:p w14:paraId="0B193344" w14:textId="77777777" w:rsidR="001054C3" w:rsidRDefault="001054C3" w:rsidP="001054C3">
      <w:pPr>
        <w:sectPr w:rsidR="001054C3" w:rsidSect="001054C3">
          <w:headerReference w:type="even" r:id="rId77"/>
          <w:headerReference w:type="default" r:id="rId78"/>
          <w:footerReference w:type="even" r:id="rId79"/>
          <w:footerReference w:type="default" r:id="rId80"/>
          <w:type w:val="oddPage"/>
          <w:pgSz w:w="11907" w:h="16840" w:code="9"/>
          <w:pgMar w:top="1985" w:right="1304" w:bottom="1247" w:left="1814" w:header="1701" w:footer="397" w:gutter="0"/>
          <w:pgNumType w:chapSep="period"/>
          <w:cols w:space="720"/>
          <w:docGrid w:linePitch="326"/>
        </w:sectPr>
      </w:pPr>
    </w:p>
    <w:p w14:paraId="60D07272" w14:textId="77777777" w:rsidR="001054C3" w:rsidRDefault="001054C3" w:rsidP="00234FBE">
      <w:pPr>
        <w:pStyle w:val="Heading1"/>
        <w:spacing w:before="0"/>
      </w:pPr>
      <w:bookmarkStart w:id="91" w:name="_Toc72939506"/>
      <w:r>
        <w:lastRenderedPageBreak/>
        <w:t>6</w:t>
      </w:r>
      <w:r>
        <w:tab/>
        <w:t>Water entitlements and planning</w:t>
      </w:r>
      <w:bookmarkEnd w:id="91"/>
    </w:p>
    <w:p w14:paraId="37C368D7"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4CCFA72B" w14:textId="77777777" w:rsidTr="00234FBE">
        <w:trPr>
          <w:tblHeader/>
        </w:trPr>
        <w:tc>
          <w:tcPr>
            <w:tcW w:w="5000" w:type="pct"/>
            <w:tcBorders>
              <w:top w:val="single" w:sz="6" w:space="0" w:color="78A22F"/>
              <w:left w:val="nil"/>
              <w:bottom w:val="nil"/>
              <w:right w:val="nil"/>
            </w:tcBorders>
            <w:shd w:val="clear" w:color="auto" w:fill="F2F2F2"/>
          </w:tcPr>
          <w:p w14:paraId="5E99C962" w14:textId="77777777" w:rsidR="001054C3" w:rsidRDefault="001054C3" w:rsidP="00234FBE">
            <w:pPr>
              <w:pStyle w:val="BoxTitle"/>
            </w:pPr>
            <w:r>
              <w:t>Key points</w:t>
            </w:r>
          </w:p>
        </w:tc>
      </w:tr>
      <w:tr w:rsidR="001054C3" w14:paraId="70C29151" w14:textId="77777777" w:rsidTr="00234FBE">
        <w:tc>
          <w:tcPr>
            <w:tcW w:w="5000" w:type="pct"/>
            <w:tcBorders>
              <w:top w:val="nil"/>
              <w:left w:val="nil"/>
              <w:bottom w:val="nil"/>
              <w:right w:val="nil"/>
            </w:tcBorders>
            <w:shd w:val="clear" w:color="auto" w:fill="F2F2F2"/>
          </w:tcPr>
          <w:p w14:paraId="554CEC0B" w14:textId="77777777" w:rsidR="001054C3" w:rsidRDefault="001054C3" w:rsidP="00234FBE">
            <w:pPr>
              <w:pStyle w:val="KeyPointsListBullet"/>
            </w:pPr>
            <w:r w:rsidRPr="007E546C">
              <w:t>Water</w:t>
            </w:r>
            <w:r>
              <w:t xml:space="preserve"> </w:t>
            </w:r>
            <w:r w:rsidRPr="007E546C">
              <w:t>entitlement</w:t>
            </w:r>
            <w:r>
              <w:t xml:space="preserve">s (and other access rights) </w:t>
            </w:r>
            <w:r w:rsidRPr="007E546C">
              <w:t>and</w:t>
            </w:r>
            <w:r>
              <w:t xml:space="preserve"> </w:t>
            </w:r>
            <w:r w:rsidRPr="007E546C">
              <w:t>planning</w:t>
            </w:r>
            <w:r>
              <w:t xml:space="preserve"> </w:t>
            </w:r>
            <w:r w:rsidRPr="007E546C">
              <w:t>arrangements</w:t>
            </w:r>
            <w:r>
              <w:t xml:space="preserve"> </w:t>
            </w:r>
            <w:r w:rsidRPr="007E546C">
              <w:t>are</w:t>
            </w:r>
            <w:r>
              <w:t xml:space="preserve"> </w:t>
            </w:r>
            <w:r w:rsidRPr="007E546C">
              <w:t>the</w:t>
            </w:r>
            <w:r>
              <w:t xml:space="preserve"> </w:t>
            </w:r>
            <w:r w:rsidRPr="007E546C">
              <w:t>basis</w:t>
            </w:r>
            <w:r>
              <w:t xml:space="preserve"> </w:t>
            </w:r>
            <w:r w:rsidRPr="007E546C">
              <w:t>for</w:t>
            </w:r>
            <w:r>
              <w:t xml:space="preserve"> </w:t>
            </w:r>
            <w:r w:rsidRPr="007E546C">
              <w:t>allocating</w:t>
            </w:r>
            <w:r>
              <w:t xml:space="preserve"> </w:t>
            </w:r>
            <w:r w:rsidRPr="007E546C">
              <w:t>water</w:t>
            </w:r>
            <w:r>
              <w:t xml:space="preserve"> </w:t>
            </w:r>
            <w:r w:rsidRPr="007E546C">
              <w:t>resources</w:t>
            </w:r>
            <w:r>
              <w:t xml:space="preserve"> </w:t>
            </w:r>
            <w:r w:rsidRPr="007E546C">
              <w:t>among</w:t>
            </w:r>
            <w:r>
              <w:t xml:space="preserve"> </w:t>
            </w:r>
            <w:r w:rsidRPr="007E546C">
              <w:t>consumptive</w:t>
            </w:r>
            <w:r>
              <w:t xml:space="preserve"> </w:t>
            </w:r>
            <w:r w:rsidRPr="007E546C">
              <w:t>water</w:t>
            </w:r>
            <w:r>
              <w:t xml:space="preserve"> </w:t>
            </w:r>
            <w:r w:rsidRPr="007E546C">
              <w:t>uses</w:t>
            </w:r>
            <w:r>
              <w:t xml:space="preserve"> </w:t>
            </w:r>
            <w:r w:rsidRPr="007E546C">
              <w:t>(such</w:t>
            </w:r>
            <w:r>
              <w:t xml:space="preserve"> </w:t>
            </w:r>
            <w:r w:rsidRPr="007E546C">
              <w:t>as</w:t>
            </w:r>
            <w:r>
              <w:t xml:space="preserve"> </w:t>
            </w:r>
            <w:r w:rsidRPr="007E546C">
              <w:t>irrigation,</w:t>
            </w:r>
            <w:r>
              <w:t xml:space="preserve"> </w:t>
            </w:r>
            <w:r w:rsidRPr="007E546C">
              <w:t>industry,</w:t>
            </w:r>
            <w:r>
              <w:t xml:space="preserve"> </w:t>
            </w:r>
            <w:r w:rsidRPr="007E546C">
              <w:t>urban,</w:t>
            </w:r>
            <w:r>
              <w:t xml:space="preserve"> </w:t>
            </w:r>
            <w:r w:rsidRPr="007E546C">
              <w:t>stock</w:t>
            </w:r>
            <w:r>
              <w:t xml:space="preserve"> </w:t>
            </w:r>
            <w:r w:rsidRPr="007E546C">
              <w:t>and</w:t>
            </w:r>
            <w:r>
              <w:t xml:space="preserve"> </w:t>
            </w:r>
            <w:r w:rsidRPr="007E546C">
              <w:t>domestic)</w:t>
            </w:r>
            <w:r>
              <w:t xml:space="preserve">, </w:t>
            </w:r>
            <w:r w:rsidRPr="007E546C">
              <w:t>and</w:t>
            </w:r>
            <w:r>
              <w:t xml:space="preserve"> </w:t>
            </w:r>
            <w:r w:rsidRPr="007E546C">
              <w:t>the</w:t>
            </w:r>
            <w:r>
              <w:t xml:space="preserve"> </w:t>
            </w:r>
            <w:r w:rsidRPr="007E546C">
              <w:t>environment.</w:t>
            </w:r>
            <w:r>
              <w:t xml:space="preserve"> </w:t>
            </w:r>
            <w:r w:rsidRPr="007E546C">
              <w:t>They</w:t>
            </w:r>
            <w:r>
              <w:t xml:space="preserve"> </w:t>
            </w:r>
            <w:r w:rsidRPr="007E546C">
              <w:t>aim</w:t>
            </w:r>
            <w:r>
              <w:t xml:space="preserve"> </w:t>
            </w:r>
            <w:r w:rsidRPr="007E546C">
              <w:t>to</w:t>
            </w:r>
            <w:r>
              <w:t xml:space="preserve"> </w:t>
            </w:r>
            <w:r w:rsidRPr="007E546C">
              <w:t>promote</w:t>
            </w:r>
            <w:r>
              <w:t xml:space="preserve"> </w:t>
            </w:r>
            <w:r w:rsidRPr="007E546C">
              <w:t>water</w:t>
            </w:r>
            <w:r>
              <w:t xml:space="preserve"> </w:t>
            </w:r>
            <w:r w:rsidRPr="007E546C">
              <w:t>supply</w:t>
            </w:r>
            <w:r>
              <w:t xml:space="preserve"> </w:t>
            </w:r>
            <w:r w:rsidRPr="007E546C">
              <w:t>security,</w:t>
            </w:r>
            <w:r>
              <w:t xml:space="preserve"> </w:t>
            </w:r>
            <w:r w:rsidRPr="007E546C">
              <w:t>investment</w:t>
            </w:r>
            <w:r>
              <w:t xml:space="preserve"> </w:t>
            </w:r>
            <w:r w:rsidRPr="007E546C">
              <w:t>confidence and sustainable and efficient water use.</w:t>
            </w:r>
          </w:p>
          <w:p w14:paraId="03085085" w14:textId="77777777" w:rsidR="001054C3" w:rsidRDefault="001054C3" w:rsidP="00234FBE">
            <w:pPr>
              <w:pStyle w:val="KeyPointsListBullet2"/>
            </w:pPr>
            <w:r w:rsidRPr="007E546C">
              <w:t>Under the National Water Initiative (NWI), States and Territories committed to establish</w:t>
            </w:r>
            <w:r>
              <w:t xml:space="preserve"> </w:t>
            </w:r>
            <w:r w:rsidRPr="007E546C">
              <w:t>water</w:t>
            </w:r>
            <w:r>
              <w:t xml:space="preserve"> </w:t>
            </w:r>
            <w:r w:rsidRPr="007E546C">
              <w:t>access</w:t>
            </w:r>
            <w:r>
              <w:t xml:space="preserve"> </w:t>
            </w:r>
            <w:r w:rsidRPr="007E546C">
              <w:t>entitlements</w:t>
            </w:r>
            <w:r>
              <w:t xml:space="preserve"> </w:t>
            </w:r>
            <w:r w:rsidRPr="007E546C">
              <w:t>and</w:t>
            </w:r>
            <w:r>
              <w:t xml:space="preserve"> </w:t>
            </w:r>
            <w:r w:rsidRPr="007E546C">
              <w:t>planning</w:t>
            </w:r>
            <w:r>
              <w:t xml:space="preserve"> </w:t>
            </w:r>
            <w:r w:rsidRPr="007E546C">
              <w:t>frameworks</w:t>
            </w:r>
            <w:r>
              <w:t xml:space="preserve"> </w:t>
            </w:r>
            <w:r w:rsidRPr="007E546C">
              <w:t>that</w:t>
            </w:r>
            <w:r>
              <w:t xml:space="preserve"> </w:t>
            </w:r>
            <w:r w:rsidRPr="007E546C">
              <w:t>adhere</w:t>
            </w:r>
            <w:r>
              <w:t xml:space="preserve"> </w:t>
            </w:r>
            <w:r w:rsidRPr="007E546C">
              <w:t>to specific principles on the basis this would optimise economic, social and environmental outcomes.</w:t>
            </w:r>
          </w:p>
          <w:p w14:paraId="7105AEB8" w14:textId="77777777" w:rsidR="001054C3" w:rsidRDefault="001054C3" w:rsidP="00234FBE">
            <w:pPr>
              <w:pStyle w:val="KeyPointsListBullet"/>
            </w:pPr>
            <w:r w:rsidRPr="007E546C">
              <w:t xml:space="preserve">The fundamental elements of the </w:t>
            </w:r>
            <w:r>
              <w:t>NWI</w:t>
            </w:r>
            <w:r w:rsidRPr="007E546C">
              <w:t xml:space="preserve"> framework are largely in place.</w:t>
            </w:r>
          </w:p>
          <w:p w14:paraId="020CAFBA" w14:textId="77777777" w:rsidR="001054C3" w:rsidRDefault="001054C3" w:rsidP="00234FBE">
            <w:pPr>
              <w:pStyle w:val="KeyPointsListBullet"/>
            </w:pPr>
            <w:r>
              <w:t>Reforms to w</w:t>
            </w:r>
            <w:r w:rsidRPr="007E546C">
              <w:t>ater access entitlement</w:t>
            </w:r>
            <w:r>
              <w:t>s</w:t>
            </w:r>
            <w:r w:rsidRPr="007E546C">
              <w:t xml:space="preserve"> and planning should be maintained and </w:t>
            </w:r>
            <w:r>
              <w:t>enhanced</w:t>
            </w:r>
            <w:r w:rsidRPr="007E546C">
              <w:t>.</w:t>
            </w:r>
            <w:r>
              <w:rPr>
                <w:rFonts w:ascii="Times New Roman" w:hAnsi="Times New Roman"/>
              </w:rPr>
              <w:t xml:space="preserve"> </w:t>
            </w:r>
            <w:r w:rsidRPr="007E546C">
              <w:t xml:space="preserve">Key areas that warrant further attention </w:t>
            </w:r>
            <w:r>
              <w:t xml:space="preserve">in a renewed NWI </w:t>
            </w:r>
            <w:r w:rsidRPr="007E546C">
              <w:t>include</w:t>
            </w:r>
            <w:r>
              <w:t>:</w:t>
            </w:r>
          </w:p>
          <w:p w14:paraId="3BBE25BF" w14:textId="77777777" w:rsidR="001054C3" w:rsidRDefault="001054C3" w:rsidP="00234FBE">
            <w:pPr>
              <w:pStyle w:val="KeyPointsListBullet2"/>
            </w:pPr>
            <w:r>
              <w:t>ensuring water entitlements frameworks consider all key water uses, including those by minerals and petroleum industries and interception activities, and all water sources (including alternative water sources such as stormwater). A fit</w:t>
            </w:r>
            <w:r>
              <w:noBreakHyphen/>
              <w:t>for</w:t>
            </w:r>
            <w:r>
              <w:noBreakHyphen/>
              <w:t>purpose accounting and measurement regime and risk</w:t>
            </w:r>
            <w:r>
              <w:noBreakHyphen/>
              <w:t>based decision making are required to better manage water use under entitlements frameworks, particularly for interception activities</w:t>
            </w:r>
          </w:p>
          <w:p w14:paraId="08BAEC8E" w14:textId="77777777" w:rsidR="001054C3" w:rsidRDefault="001054C3" w:rsidP="00234FBE">
            <w:pPr>
              <w:pStyle w:val="KeyPointsListBullet2"/>
            </w:pPr>
            <w:r>
              <w:t>ensuring that water planning adopts best</w:t>
            </w:r>
            <w:r>
              <w:noBreakHyphen/>
              <w:t xml:space="preserve">practice principles, including that it is fit for purpose, recognises the needs of </w:t>
            </w:r>
            <w:r w:rsidRPr="007D6538">
              <w:t>Aboriginal</w:t>
            </w:r>
            <w:r>
              <w:t xml:space="preserve"> and Torres Strait Islander people, clearly specifies environmental objectives and outcomes, is based on an assessment of the trade</w:t>
            </w:r>
            <w:r>
              <w:noBreakHyphen/>
              <w:t>offs between environmental, social and economic outcomes, involves appropriate engagement with stakeholders and communities, and is independently reviewed</w:t>
            </w:r>
          </w:p>
          <w:p w14:paraId="0611B7BD" w14:textId="77777777" w:rsidR="001054C3" w:rsidRDefault="001054C3" w:rsidP="00234FBE">
            <w:pPr>
              <w:pStyle w:val="KeyPointsListBullet2"/>
            </w:pPr>
            <w:r>
              <w:t xml:space="preserve">establishing </w:t>
            </w:r>
            <w:r w:rsidRPr="004E25BD">
              <w:t>contemporary water plan processes that account for climate change</w:t>
            </w:r>
            <w:r>
              <w:t xml:space="preserve">. This should include provisions in water plans to deal with water scarcity arising from drought, including priorities for water sharing and actions relating to meeting critical human and environmental needs. In relatively undeveloped and developing areas, there is an opportunity to set consumptive and environmental shares in ways that manage the risk of future resource reductions. And, in fully developed systems, triggers could be identified that indicate the </w:t>
            </w:r>
            <w:r w:rsidRPr="00752F6B">
              <w:rPr>
                <w:lang w:val="en-GB"/>
              </w:rPr>
              <w:t>need to rebalance environmental and consumptive uses and reset the objectives from time to time.</w:t>
            </w:r>
          </w:p>
        </w:tc>
      </w:tr>
      <w:tr w:rsidR="001054C3" w14:paraId="0B6920E4" w14:textId="77777777" w:rsidTr="00234FBE">
        <w:tc>
          <w:tcPr>
            <w:tcW w:w="5000" w:type="pct"/>
            <w:tcBorders>
              <w:top w:val="nil"/>
              <w:left w:val="nil"/>
              <w:bottom w:val="single" w:sz="6" w:space="0" w:color="78A22F"/>
              <w:right w:val="nil"/>
            </w:tcBorders>
            <w:shd w:val="clear" w:color="auto" w:fill="F2F2F2"/>
          </w:tcPr>
          <w:p w14:paraId="734DD173" w14:textId="77777777" w:rsidR="001054C3" w:rsidRDefault="001054C3" w:rsidP="00234FBE">
            <w:pPr>
              <w:pStyle w:val="Box"/>
              <w:spacing w:before="0" w:line="120" w:lineRule="exact"/>
            </w:pPr>
          </w:p>
        </w:tc>
      </w:tr>
      <w:tr w:rsidR="001054C3" w:rsidRPr="000863A5" w14:paraId="633A3CA0" w14:textId="77777777" w:rsidTr="00234FBE">
        <w:tc>
          <w:tcPr>
            <w:tcW w:w="5000" w:type="pct"/>
            <w:tcBorders>
              <w:top w:val="single" w:sz="6" w:space="0" w:color="78A22F"/>
              <w:left w:val="nil"/>
              <w:bottom w:val="nil"/>
              <w:right w:val="nil"/>
            </w:tcBorders>
          </w:tcPr>
          <w:p w14:paraId="5B1F84E5" w14:textId="77777777" w:rsidR="001054C3" w:rsidRPr="00626D32" w:rsidRDefault="001054C3" w:rsidP="00234FBE">
            <w:pPr>
              <w:pStyle w:val="BoxSpaceBelow"/>
            </w:pPr>
          </w:p>
        </w:tc>
      </w:tr>
    </w:tbl>
    <w:p w14:paraId="4C34B47E" w14:textId="77777777" w:rsidR="001054C3" w:rsidRPr="006F630C" w:rsidRDefault="001054C3" w:rsidP="00234FBE">
      <w:pPr>
        <w:pStyle w:val="BodyText"/>
        <w:rPr>
          <w:i/>
          <w:iCs/>
        </w:rPr>
      </w:pPr>
      <w:r w:rsidRPr="006F630C">
        <w:rPr>
          <w:i/>
          <w:iCs/>
        </w:rPr>
        <w:t>This chapter summarises Supporting Paper A: Water entitlements and planning (SP</w:t>
      </w:r>
      <w:r>
        <w:rPr>
          <w:i/>
          <w:iCs/>
        </w:rPr>
        <w:t> </w:t>
      </w:r>
      <w:r w:rsidRPr="006F630C">
        <w:rPr>
          <w:i/>
          <w:iCs/>
        </w:rPr>
        <w:t xml:space="preserve">A Entitlements and </w:t>
      </w:r>
      <w:r>
        <w:rPr>
          <w:i/>
          <w:iCs/>
        </w:rPr>
        <w:t>p</w:t>
      </w:r>
      <w:r w:rsidRPr="006F630C">
        <w:rPr>
          <w:i/>
          <w:iCs/>
        </w:rPr>
        <w:t>lanning). Further detail and analysis can be found in that paper.</w:t>
      </w:r>
    </w:p>
    <w:p w14:paraId="1CFD34F8" w14:textId="3BFBE69C" w:rsidR="001054C3" w:rsidRPr="00EE2B63" w:rsidRDefault="001054C3" w:rsidP="00065089">
      <w:pPr>
        <w:pStyle w:val="Heading2"/>
        <w:keepLines/>
      </w:pPr>
      <w:bookmarkStart w:id="92" w:name="_Toc72939507"/>
      <w:r w:rsidRPr="006F630C">
        <w:lastRenderedPageBreak/>
        <w:t>6.</w:t>
      </w:r>
      <w:r w:rsidRPr="006F630C">
        <w:rPr>
          <w:noProof/>
        </w:rPr>
        <w:t>1</w:t>
      </w:r>
      <w:bookmarkStart w:id="93" w:name="_Toc63112469"/>
      <w:r w:rsidRPr="00CE11DB">
        <w:tab/>
      </w:r>
      <w:r>
        <w:t>Room for improvement in entitlements regimes</w:t>
      </w:r>
      <w:bookmarkEnd w:id="92"/>
      <w:bookmarkEnd w:id="93"/>
    </w:p>
    <w:p w14:paraId="38E5D6DA" w14:textId="77777777" w:rsidR="001054C3" w:rsidRDefault="001054C3" w:rsidP="00065089">
      <w:pPr>
        <w:pStyle w:val="BodyText"/>
        <w:keepNext/>
        <w:keepLines/>
      </w:pPr>
      <w:r>
        <w:t xml:space="preserve">Under the National Water Initiative (NWI), statutory water entitlements establish a property right to water — effectively as a share of the available resource. This is intended to deliver investment confidence and security of water access for the environment and consumptive users. All jurisdictions (except </w:t>
      </w:r>
      <w:r w:rsidRPr="002E711B">
        <w:t>Western</w:t>
      </w:r>
      <w:r>
        <w:t xml:space="preserve"> </w:t>
      </w:r>
      <w:r w:rsidRPr="002E711B">
        <w:t>Australia</w:t>
      </w:r>
      <w:r>
        <w:t xml:space="preserve"> and the Northern Territory) have </w:t>
      </w:r>
      <w:r w:rsidRPr="002E711B">
        <w:t>establish</w:t>
      </w:r>
      <w:r>
        <w:t xml:space="preserve">ed </w:t>
      </w:r>
      <w:r w:rsidRPr="002E711B">
        <w:t>statutory</w:t>
      </w:r>
      <w:r>
        <w:noBreakHyphen/>
      </w:r>
      <w:r w:rsidRPr="002E711B">
        <w:t>based entitlement</w:t>
      </w:r>
      <w:r>
        <w:t>s</w:t>
      </w:r>
      <w:r w:rsidRPr="002E711B">
        <w:t xml:space="preserve"> </w:t>
      </w:r>
      <w:r>
        <w:t>that are fully consistent with the NWI (</w:t>
      </w:r>
      <w:r w:rsidRPr="00953681">
        <w:rPr>
          <w:i/>
          <w:iCs/>
        </w:rPr>
        <w:t>Assessment</w:t>
      </w:r>
      <w:r>
        <w:t>).</w:t>
      </w:r>
    </w:p>
    <w:p w14:paraId="64702AFB" w14:textId="1DA94815" w:rsidR="001054C3" w:rsidRDefault="001054C3" w:rsidP="00234FBE">
      <w:pPr>
        <w:pStyle w:val="BodyText"/>
        <w:tabs>
          <w:tab w:val="left" w:pos="7008"/>
        </w:tabs>
      </w:pPr>
      <w:r>
        <w:t>Secure property rights to water are a prerequisite to efficient water markets and trading. Entitlement holders such as irrigators can trade or borrow against them, giving them more choice and flexibility in managing their businesses and enabling them to plan longer</w:t>
      </w:r>
      <w:r>
        <w:noBreakHyphen/>
        <w:t xml:space="preserve">term investments with greater certainty </w:t>
      </w:r>
      <w:r w:rsidR="00C67DB3" w:rsidRPr="00C67DB3">
        <w:rPr>
          <w:szCs w:val="24"/>
        </w:rPr>
        <w:t>(PC 2017b, p. 74)</w:t>
      </w:r>
      <w:r>
        <w:t>.</w:t>
      </w:r>
      <w:r w:rsidRPr="00E97F2A">
        <w:t xml:space="preserve"> </w:t>
      </w:r>
      <w:r>
        <w:t>At a sector</w:t>
      </w:r>
      <w:r>
        <w:noBreakHyphen/>
        <w:t xml:space="preserve">wide level, entitlements have enabled water trading that generates hundreds of millions of dollars in economic benefits each year </w:t>
      </w:r>
      <w:r w:rsidRPr="00FA0011">
        <w:rPr>
          <w:szCs w:val="24"/>
        </w:rPr>
        <w:t>(NWC 2010, p. v)</w:t>
      </w:r>
      <w:r>
        <w:t>.</w:t>
      </w:r>
    </w:p>
    <w:p w14:paraId="3E2DCB75" w14:textId="77777777" w:rsidR="001054C3" w:rsidRDefault="001054C3" w:rsidP="00234FBE">
      <w:pPr>
        <w:pStyle w:val="BodyText"/>
        <w:tabs>
          <w:tab w:val="left" w:pos="7008"/>
        </w:tabs>
      </w:pPr>
      <w:r>
        <w:t xml:space="preserve">In renewing the NWI, the Commission advises that </w:t>
      </w:r>
      <w:r w:rsidRPr="007E2AC6">
        <w:t xml:space="preserve">jurisdictions recommit to the </w:t>
      </w:r>
      <w:r>
        <w:t xml:space="preserve">key NWI </w:t>
      </w:r>
      <w:r w:rsidRPr="007E2AC6">
        <w:t>outcomes related to water access entitlements, includ</w:t>
      </w:r>
      <w:r>
        <w:t>ing</w:t>
      </w:r>
      <w:r w:rsidRPr="007E2AC6">
        <w:t xml:space="preserve"> ensuring that entitlements are statutory</w:t>
      </w:r>
      <w:r>
        <w:noBreakHyphen/>
      </w:r>
      <w:r w:rsidRPr="007E2AC6">
        <w:t>based,</w:t>
      </w:r>
      <w:r>
        <w:t xml:space="preserve"> that they</w:t>
      </w:r>
      <w:r w:rsidRPr="007E2AC6">
        <w:t xml:space="preserve"> provide a perpetual or an open</w:t>
      </w:r>
      <w:r>
        <w:noBreakHyphen/>
      </w:r>
      <w:r w:rsidRPr="007E2AC6">
        <w:t xml:space="preserve">ended share of the consumptive pool, </w:t>
      </w:r>
      <w:r>
        <w:t>and that they are</w:t>
      </w:r>
      <w:r w:rsidRPr="007E2AC6">
        <w:t xml:space="preserve"> separate from land</w:t>
      </w:r>
      <w:r>
        <w:t>. Potential enhancements to the current agreement include: supporting an entitlements and access rights framework that is fit for purpose; better incorporation of minerals and petroleum industries, and alternative water sources; and guidance for managing interception.</w:t>
      </w:r>
    </w:p>
    <w:p w14:paraId="7DE30D09" w14:textId="77777777" w:rsidR="001054C3" w:rsidRPr="008D0FE7" w:rsidRDefault="001054C3" w:rsidP="00234FBE">
      <w:pPr>
        <w:pStyle w:val="Heading3"/>
      </w:pPr>
      <w:r>
        <w:t>An entitlements and access rights framework that is fit for purpose</w:t>
      </w:r>
    </w:p>
    <w:p w14:paraId="0A7801B1" w14:textId="77777777" w:rsidR="001054C3" w:rsidRDefault="001054C3" w:rsidP="00234FBE">
      <w:pPr>
        <w:pStyle w:val="BodyText"/>
      </w:pPr>
      <w:r>
        <w:t>The NWI recognises that in some instances, differences in entitlement provisions may be justifiable. There are provisions that allow for ‘</w:t>
      </w:r>
      <w:r w:rsidRPr="00A66C67">
        <w:t xml:space="preserve">fixed term or other types of entitlements </w:t>
      </w:r>
      <w:r>
        <w:t>where demonstrably necessary’</w:t>
      </w:r>
      <w:r w:rsidRPr="002E108D">
        <w:rPr>
          <w:rStyle w:val="FootnoteReference"/>
        </w:rPr>
        <w:footnoteReference w:id="16"/>
      </w:r>
      <w:r>
        <w:t>, with ongoing monitoring processes to assess associated risks expected with development and increased demand on resources</w:t>
      </w:r>
      <w:r w:rsidRPr="005762F5">
        <w:t>, including moving towards fully NWI</w:t>
      </w:r>
      <w:r>
        <w:noBreakHyphen/>
      </w:r>
      <w:r w:rsidRPr="005762F5">
        <w:t>consistent entitlements if necessary.</w:t>
      </w:r>
      <w:r w:rsidRPr="002E108D">
        <w:rPr>
          <w:rStyle w:val="FootnoteReference"/>
        </w:rPr>
        <w:footnoteReference w:id="17"/>
      </w:r>
    </w:p>
    <w:p w14:paraId="38E59AAC" w14:textId="77777777" w:rsidR="001054C3" w:rsidRDefault="001054C3" w:rsidP="00234FBE">
      <w:pPr>
        <w:pStyle w:val="BodyText"/>
      </w:pPr>
      <w:r>
        <w:t>Entitlements and access rights can differ across (and within) jurisdictions, reflecting differences in the level of development and complexity of water systems and varying levels of associated risks.</w:t>
      </w:r>
    </w:p>
    <w:p w14:paraId="5B6B9B3D" w14:textId="77777777" w:rsidR="001054C3" w:rsidRDefault="001054C3" w:rsidP="00234FBE">
      <w:pPr>
        <w:pStyle w:val="BodyText"/>
      </w:pPr>
      <w:r>
        <w:t>Given that there are many remote areas in Australia where there is little current development, the Commission considers that jurisdictions should have some flexibility in how they implement their regimes in these areas and that entitlement and access rights frameworks should be fit for purpose to achieve this (</w:t>
      </w:r>
      <w:r w:rsidRPr="000D23AD">
        <w:t>chapter</w:t>
      </w:r>
      <w:r>
        <w:t> </w:t>
      </w:r>
      <w:r w:rsidRPr="000D23AD">
        <w:t>5</w:t>
      </w:r>
      <w:r>
        <w:t>). It is possible that, in relatively undeveloped systems, fully NWI</w:t>
      </w:r>
      <w:r>
        <w:noBreakHyphen/>
        <w:t xml:space="preserve">consistent entitlements that are, for example, separate from land and perpetual may not be necessary as demand for the resource is low, and water sources </w:t>
      </w:r>
      <w:r>
        <w:lastRenderedPageBreak/>
        <w:t xml:space="preserve">may be poorly understood. In these cases, all extractions should be either managed under statutory access rights (such as stock and domestic) or licensed appropriately under relevant water legislation. And </w:t>
      </w:r>
      <w:r w:rsidRPr="00DD147F">
        <w:t xml:space="preserve">monitoring processes should be developed to assess associated risks expected with </w:t>
      </w:r>
      <w:r>
        <w:t xml:space="preserve">water take and any further </w:t>
      </w:r>
      <w:r w:rsidRPr="00DD147F">
        <w:t>development</w:t>
      </w:r>
      <w:r>
        <w:t>. However, a</w:t>
      </w:r>
      <w:r w:rsidRPr="00E33545">
        <w:t xml:space="preserve">s </w:t>
      </w:r>
      <w:r>
        <w:t xml:space="preserve">governments allow </w:t>
      </w:r>
      <w:r w:rsidRPr="00E33545">
        <w:t xml:space="preserve">systems </w:t>
      </w:r>
      <w:r>
        <w:t xml:space="preserve">to be </w:t>
      </w:r>
      <w:r w:rsidRPr="00E33545">
        <w:t>develop</w:t>
      </w:r>
      <w:r>
        <w:t>ed, fully NWI</w:t>
      </w:r>
      <w:r>
        <w:noBreakHyphen/>
        <w:t>consistent entitlement systems should be implemented</w:t>
      </w:r>
      <w:r w:rsidRPr="00C438E1" w:rsidDel="008B6F90">
        <w:t>.</w:t>
      </w:r>
    </w:p>
    <w:p w14:paraId="4A2F5C6F" w14:textId="77777777" w:rsidR="001054C3" w:rsidRPr="008D0FE7" w:rsidRDefault="001054C3" w:rsidP="00234FBE">
      <w:pPr>
        <w:pStyle w:val="BodyText"/>
      </w:pPr>
      <w:r>
        <w:t>To support t</w:t>
      </w:r>
      <w:r w:rsidRPr="00C438E1">
        <w:t>his</w:t>
      </w:r>
      <w:r>
        <w:t>,</w:t>
      </w:r>
      <w:r w:rsidRPr="00C438E1">
        <w:t xml:space="preserve"> a fit</w:t>
      </w:r>
      <w:r>
        <w:noBreakHyphen/>
      </w:r>
      <w:r w:rsidRPr="00C438E1">
        <w:t>for</w:t>
      </w:r>
      <w:r>
        <w:noBreakHyphen/>
      </w:r>
      <w:r w:rsidRPr="00C438E1">
        <w:t xml:space="preserve">purpose water accounting and measurement regime </w:t>
      </w:r>
      <w:r>
        <w:t xml:space="preserve">is required </w:t>
      </w:r>
      <w:r w:rsidRPr="00C438E1">
        <w:t>(</w:t>
      </w:r>
      <w:r w:rsidRPr="005904E2">
        <w:t>SP</w:t>
      </w:r>
      <w:r>
        <w:t> </w:t>
      </w:r>
      <w:r w:rsidRPr="005904E2">
        <w:t>E </w:t>
      </w:r>
      <w:r w:rsidRPr="005904E2">
        <w:rPr>
          <w:i/>
          <w:iCs/>
        </w:rPr>
        <w:t>Integrity</w:t>
      </w:r>
      <w:r w:rsidRPr="00C438E1">
        <w:t>).</w:t>
      </w:r>
    </w:p>
    <w:p w14:paraId="15F9F009" w14:textId="77777777" w:rsidR="001054C3" w:rsidRDefault="001054C3" w:rsidP="00234FBE">
      <w:pPr>
        <w:pStyle w:val="Heading3"/>
      </w:pPr>
      <w:r>
        <w:t>Incorporating water use by minerals and petroleum industries</w:t>
      </w:r>
    </w:p>
    <w:p w14:paraId="307A375A" w14:textId="77777777" w:rsidR="001054C3" w:rsidRDefault="001054C3" w:rsidP="00234FBE">
      <w:pPr>
        <w:pStyle w:val="BodyText"/>
        <w:keepNext/>
      </w:pPr>
      <w:r w:rsidRPr="00B15DB1">
        <w:t>The NWI</w:t>
      </w:r>
      <w:r>
        <w:t xml:space="preserve"> includes a special provision for minerals and petroleum industries. It states that ‘factors specific to </w:t>
      </w:r>
      <w:r w:rsidRPr="00100E74">
        <w:t xml:space="preserve">resource development </w:t>
      </w:r>
      <w:r>
        <w:t>projects, such as isolation, relatively short project duration, water quality issues, and obligations to remediate and offset impacts, may require specific management arrangements’ that are outside the scope of the agreement.</w:t>
      </w:r>
      <w:r w:rsidRPr="00310F08">
        <w:rPr>
          <w:rStyle w:val="FootnoteReference"/>
        </w:rPr>
        <w:footnoteReference w:id="18"/>
      </w:r>
      <w:r w:rsidRPr="00F64A60">
        <w:t xml:space="preserve"> </w:t>
      </w:r>
      <w:r>
        <w:t>This provision was intended to provide flexibility, given the nature of minerals and petroleum industries’ water extraction requirements. Inquiry participants</w:t>
      </w:r>
      <w:r w:rsidRPr="00B71246" w:rsidDel="00203D16">
        <w:t xml:space="preserve"> </w:t>
      </w:r>
      <w:r>
        <w:t xml:space="preserve">provided </w:t>
      </w:r>
      <w:r w:rsidRPr="00B71246" w:rsidDel="00CF1813">
        <w:rPr>
          <w:spacing w:val="-2"/>
        </w:rPr>
        <w:t xml:space="preserve">several </w:t>
      </w:r>
      <w:r>
        <w:rPr>
          <w:spacing w:val="-2"/>
        </w:rPr>
        <w:t>examples of how water use by the minerals industry can be unusual</w:t>
      </w:r>
      <w:r>
        <w:t>:</w:t>
      </w:r>
    </w:p>
    <w:p w14:paraId="5BAA465E" w14:textId="77777777" w:rsidR="001054C3" w:rsidRDefault="001054C3" w:rsidP="00234FBE">
      <w:pPr>
        <w:pStyle w:val="ListBullet"/>
      </w:pPr>
      <w:r>
        <w:t>the industry can use saline or hypersaline water, which is not fit for any purpose other than industrial applications (MCA, sub. 102, p. 8)</w:t>
      </w:r>
    </w:p>
    <w:p w14:paraId="2E5A79B6" w14:textId="77777777" w:rsidR="001054C3" w:rsidRDefault="001054C3" w:rsidP="00234FBE">
      <w:pPr>
        <w:pStyle w:val="ListBullet"/>
      </w:pPr>
      <w:r>
        <w:t>water can be accessed for safe operation but not consumed, leading to water take that can be ‘incidental’ — that is, water take is not within the control of the mining operations and is not used or consumed (MCA, sub. 102, p. 8)</w:t>
      </w:r>
    </w:p>
    <w:p w14:paraId="5FFC14BB" w14:textId="77777777" w:rsidR="001054C3" w:rsidRDefault="001054C3">
      <w:pPr>
        <w:pStyle w:val="ListBullet"/>
      </w:pPr>
      <w:r w:rsidRPr="00960988">
        <w:t xml:space="preserve">many operations are located in remote areas where water systems are </w:t>
      </w:r>
      <w:r>
        <w:t xml:space="preserve">relatively </w:t>
      </w:r>
      <w:r w:rsidRPr="00960988">
        <w:t>undeveloped</w:t>
      </w:r>
      <w:r>
        <w:t xml:space="preserve"> and there are few other water users. In many these systems, knowledge is poor and water markets cannot operate (MCA, sub. 102, pp. 8–9, AMEC, sub. DR119, p. 3; MCA, sub. DR193, p. 7).</w:t>
      </w:r>
    </w:p>
    <w:p w14:paraId="64B42D10" w14:textId="77777777" w:rsidR="001054C3" w:rsidRDefault="001054C3" w:rsidP="00234FBE">
      <w:pPr>
        <w:pStyle w:val="BodyText"/>
      </w:pPr>
      <w:r>
        <w:t>Regardless, most jurisdictions have incorporated the industries into their entitlements and planning frameworks. Where this has occurred, jurisdictions have taken different approaches, and the extent of incorporation varies. In Queensland, however, alternative arrangements remain where resource tenure holders may be granted rights to take ‘associated water’</w:t>
      </w:r>
      <w:r>
        <w:rPr>
          <w:rStyle w:val="FootnoteReference"/>
        </w:rPr>
        <w:footnoteReference w:id="19"/>
      </w:r>
      <w:r>
        <w:t>, with the amount of water take permitted not determined by water plans and allocations. (N</w:t>
      </w:r>
      <w:r w:rsidRPr="000B51C4">
        <w:t>on</w:t>
      </w:r>
      <w:r>
        <w:noBreakHyphen/>
      </w:r>
      <w:r w:rsidRPr="000B51C4">
        <w:t xml:space="preserve">associated water </w:t>
      </w:r>
      <w:r>
        <w:t xml:space="preserve">take, for example for consumptive use, requires a </w:t>
      </w:r>
      <w:r w:rsidRPr="000B51C4">
        <w:t>licen</w:t>
      </w:r>
      <w:r>
        <w:t xml:space="preserve">ce and a specified water allocation under the </w:t>
      </w:r>
      <w:r>
        <w:rPr>
          <w:i/>
          <w:iCs/>
        </w:rPr>
        <w:t xml:space="preserve">Water Act 2000 </w:t>
      </w:r>
      <w:r>
        <w:t>(Qld)). Some participants noted that there is a robust regulatory framework that monitors and assesses the environmental impacts of associated water take (for example, QRC, sub. DR145, pp. 2–3). And that tenure holders have responsibilities to make good for impacts on other water users and to appropriately treat the water used (APPEA, sub. DR127, p. 3).</w:t>
      </w:r>
    </w:p>
    <w:p w14:paraId="6F31A490" w14:textId="77777777" w:rsidR="001054C3" w:rsidRDefault="001054C3" w:rsidP="00234FBE">
      <w:pPr>
        <w:pStyle w:val="BodyText"/>
      </w:pPr>
      <w:r>
        <w:lastRenderedPageBreak/>
        <w:t>Other inquiry p</w:t>
      </w:r>
      <w:r w:rsidRPr="00A06861">
        <w:t xml:space="preserve">articipants raised concerns about the special </w:t>
      </w:r>
      <w:r>
        <w:t xml:space="preserve">NWI </w:t>
      </w:r>
      <w:r w:rsidRPr="00A06861">
        <w:t>provision for mineral</w:t>
      </w:r>
      <w:r w:rsidRPr="00A06861" w:rsidDel="00C934C1">
        <w:t>s</w:t>
      </w:r>
      <w:r w:rsidRPr="00A06861">
        <w:t xml:space="preserve"> and petroleum industries</w:t>
      </w:r>
      <w:r>
        <w:t>. For example, the National Farmers’ Federation (sub. 42, pp. 14–15) noted that the current approach leaves the NWI ‘exposed to criticisms that there are “two sets of rules” — one for farmers and the other for the resources industry’. The contrast between the two industries has become more apparent in light of increased resources development over the past few decades.</w:t>
      </w:r>
    </w:p>
    <w:p w14:paraId="5E831BC7" w14:textId="37B6E5DA" w:rsidR="001054C3" w:rsidRDefault="001054C3" w:rsidP="00234FBE">
      <w:pPr>
        <w:pStyle w:val="BodyText"/>
      </w:pPr>
      <w:r>
        <w:t>Bringing the minerals and petroleum industries within entitlements and planning arrangements would promote greater transparency and confidence in water rights, and incentivise trades to higher</w:t>
      </w:r>
      <w:r>
        <w:noBreakHyphen/>
        <w:t>value uses. And t</w:t>
      </w:r>
      <w:r w:rsidRPr="00D26BC5">
        <w:t xml:space="preserve">he potential to realise these benefits has increased </w:t>
      </w:r>
      <w:r>
        <w:t>since the time</w:t>
      </w:r>
      <w:r w:rsidRPr="00D26BC5">
        <w:t xml:space="preserve"> the NWI was agreed, as </w:t>
      </w:r>
      <w:r>
        <w:t>these</w:t>
      </w:r>
      <w:r w:rsidRPr="00D26BC5">
        <w:t xml:space="preserve"> industries have grown, leading to increased coexistence with other water users </w:t>
      </w:r>
      <w:r w:rsidR="00C67DB3" w:rsidRPr="00C67DB3">
        <w:rPr>
          <w:szCs w:val="24"/>
        </w:rPr>
        <w:t>(NWC 2014, p. 2; PC 2017b, p. 81)</w:t>
      </w:r>
      <w:r w:rsidRPr="00D26BC5">
        <w:t>.</w:t>
      </w:r>
    </w:p>
    <w:p w14:paraId="66CD77AF" w14:textId="0C73F58F" w:rsidR="001054C3" w:rsidRDefault="001054C3" w:rsidP="00234FBE">
      <w:pPr>
        <w:pStyle w:val="BodyText"/>
      </w:pPr>
      <w:r>
        <w:t>While there may be challenges to incorporating the minerals and petroleum industries into entitlements and access rights frameworks, these could be overcome with a fit</w:t>
      </w:r>
      <w:r>
        <w:noBreakHyphen/>
        <w:t>for</w:t>
      </w:r>
      <w:r>
        <w:noBreakHyphen/>
        <w:t>purpose approach. For example, operations in remote areas (where water systems are relatively undeveloped) would not require fully NWI</w:t>
      </w:r>
      <w:r>
        <w:noBreakHyphen/>
        <w:t xml:space="preserve">consistent entitlements; and water users in those systems would not necessarily be subject to a full entitlements regime. This approach is already in place in some jurisdictions. </w:t>
      </w:r>
      <w:r w:rsidRPr="00BD3A7C">
        <w:t>For example, the Association of Mining and Exploration Companies (sub.</w:t>
      </w:r>
      <w:r>
        <w:t> </w:t>
      </w:r>
      <w:r w:rsidRPr="00BD3A7C">
        <w:t>DR119, p.</w:t>
      </w:r>
      <w:r>
        <w:t> </w:t>
      </w:r>
      <w:r w:rsidRPr="00BD3A7C">
        <w:t>2) noted that ‘Western Australia’s current water licensing framework is able to achieve the intended outcomes of the NWI, and provide water security to minerals projects’.</w:t>
      </w:r>
      <w:r>
        <w:t xml:space="preserve"> Water take by minerals and petroleum industries is included in the Western Australian water allocation and licensing framework </w:t>
      </w:r>
      <w:r w:rsidR="00C67DB3" w:rsidRPr="00C67DB3">
        <w:rPr>
          <w:szCs w:val="24"/>
        </w:rPr>
        <w:t>(PC 2017b, p. 83)</w:t>
      </w:r>
      <w:r>
        <w:rPr>
          <w:szCs w:val="24"/>
        </w:rPr>
        <w:t>. And the State takes a risk</w:t>
      </w:r>
      <w:r>
        <w:rPr>
          <w:szCs w:val="24"/>
        </w:rPr>
        <w:noBreakHyphen/>
        <w:t xml:space="preserve">based approach to licensing </w:t>
      </w:r>
      <w:r w:rsidRPr="00B8086B">
        <w:rPr>
          <w:szCs w:val="24"/>
        </w:rPr>
        <w:t>(DWER (WA) 2019, p. 11)</w:t>
      </w:r>
      <w:r>
        <w:rPr>
          <w:szCs w:val="24"/>
        </w:rPr>
        <w:t>.</w:t>
      </w:r>
    </w:p>
    <w:p w14:paraId="73755EF8" w14:textId="77777777" w:rsidR="001054C3" w:rsidRPr="000F5B2E" w:rsidRDefault="001054C3" w:rsidP="00234FBE">
      <w:pPr>
        <w:pStyle w:val="BodyText"/>
      </w:pPr>
      <w:r>
        <w:t>The Commission has considered all arguments and retains its view that the special provision for minerals and petroleum industries should be removed. A fit</w:t>
      </w:r>
      <w:r>
        <w:noBreakHyphen/>
        <w:t>for</w:t>
      </w:r>
      <w:r>
        <w:noBreakHyphen/>
        <w:t>purpose entitlements and access rights regime would consider special circumstances for water use on the basis of the context of that use; it would not be industry</w:t>
      </w:r>
      <w:r>
        <w:noBreakHyphen/>
        <w:t xml:space="preserve"> or user</w:t>
      </w:r>
      <w:r>
        <w:noBreakHyphen/>
        <w:t>based. M</w:t>
      </w:r>
      <w:r w:rsidRPr="00E6141A">
        <w:t xml:space="preserve">anagement of water use through </w:t>
      </w:r>
      <w:r>
        <w:t xml:space="preserve">such arrangements would be more </w:t>
      </w:r>
      <w:r w:rsidRPr="00E6141A">
        <w:t>effective than relying on separate, and in some cases non</w:t>
      </w:r>
      <w:r>
        <w:noBreakHyphen/>
      </w:r>
      <w:r w:rsidRPr="00E6141A">
        <w:t>tran</w:t>
      </w:r>
      <w:r>
        <w:t>sparent, arrangements. A renewed NWI should not include special provisions for the minerals and petroleum sectors and paragraph 34 of the current agreement should be removed in the development of a renewed NWI.</w:t>
      </w:r>
    </w:p>
    <w:p w14:paraId="78C94D98" w14:textId="77777777" w:rsidR="001054C3" w:rsidRDefault="001054C3" w:rsidP="00234FBE">
      <w:pPr>
        <w:pStyle w:val="Heading3"/>
      </w:pPr>
      <w:r>
        <w:t>Incorporation of alternative water sources</w:t>
      </w:r>
    </w:p>
    <w:p w14:paraId="5DB2CA03" w14:textId="77777777" w:rsidR="001054C3" w:rsidRDefault="001054C3" w:rsidP="00234FBE">
      <w:pPr>
        <w:pStyle w:val="BodyText"/>
        <w:keepNext/>
      </w:pPr>
      <w:r>
        <w:t>Entitlements arrangements under the NWI focus on surface water and groundwater, and there is a lack of clarity about how alternative water sources (such as stormwater and wastewater) fit within the entitlements system — potentially impeding investment. For example, property rights for alternative sources are poorly defined.</w:t>
      </w:r>
    </w:p>
    <w:p w14:paraId="2EFCB06E" w14:textId="77777777" w:rsidR="001054C3" w:rsidRDefault="001054C3" w:rsidP="00234FBE">
      <w:pPr>
        <w:pStyle w:val="ListBullet"/>
      </w:pPr>
      <w:r>
        <w:t>In the case of managed aquifer recharge — where stormwater or treated wastewater is injected into a groundwater aquifer for storage — the injected water may mix with existing groundwater, risking extraction by other groundwater users and reducing the attractiveness of investment in alternative sources.</w:t>
      </w:r>
    </w:p>
    <w:p w14:paraId="2F092F8C" w14:textId="77777777" w:rsidR="001054C3" w:rsidRDefault="001054C3" w:rsidP="00234FBE">
      <w:pPr>
        <w:pStyle w:val="ListBullet"/>
      </w:pPr>
      <w:r>
        <w:rPr>
          <w:spacing w:val="-2"/>
        </w:rPr>
        <w:lastRenderedPageBreak/>
        <w:t>I</w:t>
      </w:r>
      <w:r w:rsidRPr="00A85F3E">
        <w:rPr>
          <w:spacing w:val="-2"/>
        </w:rPr>
        <w:t xml:space="preserve">n the case of stormwater, capture by upstream </w:t>
      </w:r>
      <w:r>
        <w:rPr>
          <w:spacing w:val="-2"/>
        </w:rPr>
        <w:t xml:space="preserve">local governments </w:t>
      </w:r>
      <w:r w:rsidRPr="00A85F3E">
        <w:rPr>
          <w:spacing w:val="-2"/>
        </w:rPr>
        <w:t xml:space="preserve">can affect availability </w:t>
      </w:r>
      <w:r w:rsidRPr="00B71246">
        <w:rPr>
          <w:spacing w:val="-2"/>
        </w:rPr>
        <w:t>downstream</w:t>
      </w:r>
      <w:r>
        <w:rPr>
          <w:spacing w:val="-2"/>
        </w:rPr>
        <w:t>,</w:t>
      </w:r>
      <w:r>
        <w:t xml:space="preserve"> reducing the incentive for downstream users to invest in stormwater harvesting.</w:t>
      </w:r>
    </w:p>
    <w:p w14:paraId="0E71E18F" w14:textId="48B44D5F" w:rsidR="001054C3" w:rsidRDefault="001054C3" w:rsidP="00234FBE">
      <w:pPr>
        <w:pStyle w:val="BodyText"/>
      </w:pPr>
      <w:r>
        <w:t xml:space="preserve">There is also a lack of clarity about how alternative water sources — particularly stormwater — are managed within entitlements and planning frameworks. Frontier Economics </w:t>
      </w:r>
      <w:r w:rsidRPr="00081373">
        <w:rPr>
          <w:szCs w:val="24"/>
        </w:rPr>
        <w:t>(2008, p. 65)</w:t>
      </w:r>
      <w:r>
        <w:t xml:space="preserve"> found that management roles and obligations were unclear, and the relevant legislation was complex. The Commission recently found that stormwater management in Australia needs urgent review, and that the scope of this review should encompass an examination of the environmental objectives of stormwater management, the development of a framework for pricing, and an exposition about the role of regulation in stormwater management </w:t>
      </w:r>
      <w:r w:rsidR="00C67DB3" w:rsidRPr="00C67DB3">
        <w:rPr>
          <w:szCs w:val="24"/>
        </w:rPr>
        <w:t>(PC 2020b, pp. 50–51)</w:t>
      </w:r>
      <w:r>
        <w:t>.</w:t>
      </w:r>
    </w:p>
    <w:p w14:paraId="41E6DA4E" w14:textId="420CDB6E" w:rsidR="001054C3" w:rsidRPr="00300C60" w:rsidRDefault="001054C3" w:rsidP="00234FBE">
      <w:pPr>
        <w:pStyle w:val="BodyText"/>
      </w:pPr>
      <w:r>
        <w:t xml:space="preserve">Growing interest in and support for water recycling and integrated water cycle management </w:t>
      </w:r>
      <w:r w:rsidR="00C67DB3" w:rsidRPr="00C67DB3">
        <w:rPr>
          <w:szCs w:val="24"/>
        </w:rPr>
        <w:t>(PC 2020b, p. 1)</w:t>
      </w:r>
      <w:r>
        <w:t xml:space="preserve"> argues for addressing issues associated with alternative water sources in the course of NWI renewal.</w:t>
      </w:r>
    </w:p>
    <w:p w14:paraId="5051B462" w14:textId="77777777" w:rsidR="001054C3" w:rsidRDefault="001054C3" w:rsidP="00234FBE">
      <w:pPr>
        <w:pStyle w:val="Heading3"/>
      </w:pPr>
      <w:r>
        <w:t>Recommitment to a risk-based approach to managing interception</w:t>
      </w:r>
    </w:p>
    <w:p w14:paraId="6981E978" w14:textId="77777777" w:rsidR="001054C3" w:rsidRDefault="001054C3" w:rsidP="00234FBE">
      <w:pPr>
        <w:pStyle w:val="BodyText"/>
      </w:pPr>
      <w:r>
        <w:t xml:space="preserve">Interception refers to the </w:t>
      </w:r>
      <w:r w:rsidRPr="00D504AE">
        <w:t>capture of surface water or groundwater that would otherwise flow, directly or indirectly, into a waterway, lake, wetland, aquifer, dam or reservoir.</w:t>
      </w:r>
      <w:r>
        <w:t xml:space="preserve"> Interception may occur because of farm dams and/or bores, overland flows (or floodplain harvesting), or plantation forestry. Interception (along with large</w:t>
      </w:r>
      <w:r>
        <w:noBreakHyphen/>
        <w:t>scale land use change that affects interception) can have a material effect on the amount of water available to entitlement holders and the environment. This</w:t>
      </w:r>
      <w:r w:rsidDel="00C628D9">
        <w:t xml:space="preserve"> </w:t>
      </w:r>
      <w:r>
        <w:t>can compromise the integrity of entitlements frameworks.</w:t>
      </w:r>
    </w:p>
    <w:p w14:paraId="37E68094" w14:textId="77777777" w:rsidR="001054C3" w:rsidRDefault="001054C3" w:rsidP="00234FBE">
      <w:pPr>
        <w:pStyle w:val="BodyText"/>
      </w:pPr>
      <w:r>
        <w:t>The NWI takes a risk</w:t>
      </w:r>
      <w:r>
        <w:noBreakHyphen/>
        <w:t>based approach to interception activities. An entitlement is required for activities that occur in water systems that are fully allocated, overallocated or approaching full allocation above an agreed threshold. In other systems, jurisdictions must: identify significant activities and estimate the amount of water likely to be intercepted; calculate a threshold below which an entitlement is not required; and monitor and report publicly on progress towards either full allocation or the identified threshold.</w:t>
      </w:r>
    </w:p>
    <w:p w14:paraId="20DF7B65" w14:textId="77777777" w:rsidR="001054C3" w:rsidRDefault="001054C3" w:rsidP="00234FBE">
      <w:pPr>
        <w:pStyle w:val="BodyText"/>
      </w:pPr>
      <w:r>
        <w:t>Jurisdictions have made progress in ensuring that interception is considered in water management and planning, but have not fully met the interception</w:t>
      </w:r>
      <w:r>
        <w:noBreakHyphen/>
        <w:t>related objectives of the NWI (</w:t>
      </w:r>
      <w:r w:rsidRPr="00B22BC7">
        <w:rPr>
          <w:i/>
          <w:iCs/>
        </w:rPr>
        <w:t>Assessment</w:t>
      </w:r>
      <w:r>
        <w:t>). For example, Lifeblood Alliance (sub. 70, p. 3) noted that interception activities are not adequately incorporated into entitlements frameworks, even in water systems that are fully allocated or overallocated.</w:t>
      </w:r>
    </w:p>
    <w:p w14:paraId="388D8C10" w14:textId="77777777" w:rsidR="001054C3" w:rsidRDefault="001054C3" w:rsidP="00234FBE">
      <w:pPr>
        <w:pStyle w:val="BodyText"/>
      </w:pPr>
      <w:r>
        <w:t>Among the improvements required is the need for more accurate estimates of, and information about, interception activities to support the implementation of entitlements arrangements (</w:t>
      </w:r>
      <w:r w:rsidRPr="00B22BC7">
        <w:t>SP</w:t>
      </w:r>
      <w:r>
        <w:t> </w:t>
      </w:r>
      <w:r w:rsidRPr="00B22BC7">
        <w:t>E </w:t>
      </w:r>
      <w:r w:rsidRPr="00B22BC7">
        <w:rPr>
          <w:i/>
          <w:iCs/>
        </w:rPr>
        <w:t>Integrity</w:t>
      </w:r>
      <w:r>
        <w:t>). Interim measures may be needed while this work takes place (SP A </w:t>
      </w:r>
      <w:r w:rsidRPr="00A203DF">
        <w:rPr>
          <w:i/>
          <w:iCs/>
        </w:rPr>
        <w:t xml:space="preserve">Entitlements and </w:t>
      </w:r>
      <w:r>
        <w:rPr>
          <w:i/>
          <w:iCs/>
        </w:rPr>
        <w:t>p</w:t>
      </w:r>
      <w:r w:rsidRPr="00A203DF">
        <w:rPr>
          <w:i/>
          <w:iCs/>
        </w:rPr>
        <w:t>lanning</w:t>
      </w:r>
      <w:r>
        <w:rPr>
          <w:i/>
          <w:iCs/>
        </w:rPr>
        <w:t>)</w:t>
      </w:r>
      <w:r>
        <w:t>.</w:t>
      </w:r>
    </w:p>
    <w:p w14:paraId="29430866" w14:textId="77777777" w:rsidR="001054C3" w:rsidRDefault="001054C3" w:rsidP="00234FBE">
      <w:pPr>
        <w:pStyle w:val="BodyText"/>
      </w:pPr>
      <w:r>
        <w:lastRenderedPageBreak/>
        <w:t>Effective management of interception activities will become more important as Australia’s climate changes, particularly for systems that are expected to have less water. While the risk</w:t>
      </w:r>
      <w:r>
        <w:noBreakHyphen/>
        <w:t>based approach outlined in the NWI is sound, more needs to be done to ensure that it can be effectively applied in practice. In renewing the NWI, jurisdictions should recommit to</w:t>
      </w:r>
      <w:r w:rsidDel="00E8345C">
        <w:t xml:space="preserve"> </w:t>
      </w:r>
      <w:r>
        <w:t>a risk</w:t>
      </w:r>
      <w:r>
        <w:noBreakHyphen/>
        <w:t>based approach to managing interception and its effects, and improve measurement and accounting of interception activities to support the implementation of entitlements arrangements for these activities</w:t>
      </w:r>
      <w:r w:rsidRPr="001C07B8">
        <w:t>.</w:t>
      </w:r>
      <w:r>
        <w:t xml:space="preserve"> A number of inquiry participants supported this advice (for example, IWF, sub. DR120, p. 5; AgForce, sub. DR143, p. 2; Mackay Conservation Group, sub. DR150, p. 3; </w:t>
      </w:r>
      <w:r w:rsidRPr="003304CF">
        <w:t>Wentworth Group of Concerned Scientists</w:t>
      </w:r>
      <w:r>
        <w:t>, sub. DR152, p. 2; NFF, sub. DR178, p. 23; SunRice and RGA, sub. DR181, p. 10).</w:t>
      </w:r>
    </w:p>
    <w:p w14:paraId="0BA5E894" w14:textId="77777777" w:rsidR="001054C3" w:rsidRPr="00F94210" w:rsidRDefault="001054C3" w:rsidP="00234FBE">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F94210" w14:paraId="1178F9F3"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6D84017" w14:textId="77777777" w:rsidR="001054C3" w:rsidRPr="00F94210" w:rsidRDefault="001054C3" w:rsidP="00234FBE">
            <w:pPr>
              <w:keepNext/>
              <w:keepLines/>
              <w:spacing w:before="120" w:line="280" w:lineRule="atLeast"/>
              <w:jc w:val="both"/>
              <w:rPr>
                <w:rFonts w:ascii="Arial" w:hAnsi="Arial"/>
                <w:caps/>
                <w:noProof/>
                <w:sz w:val="18"/>
                <w:szCs w:val="20"/>
              </w:rPr>
            </w:pPr>
            <w:r>
              <w:rPr>
                <w:rFonts w:ascii="Arial" w:hAnsi="Arial"/>
                <w:caps/>
                <w:sz w:val="18"/>
                <w:szCs w:val="20"/>
              </w:rPr>
              <w:t>NWI RENEWAL advice 6.1:</w:t>
            </w:r>
            <w:r w:rsidDel="00886094">
              <w:rPr>
                <w:rFonts w:ascii="Arial" w:hAnsi="Arial"/>
                <w:caps/>
                <w:sz w:val="18"/>
                <w:szCs w:val="20"/>
              </w:rPr>
              <w:t xml:space="preserve"> </w:t>
            </w:r>
            <w:r>
              <w:rPr>
                <w:rFonts w:ascii="Arial" w:hAnsi="Arial"/>
                <w:caps/>
                <w:sz w:val="18"/>
                <w:szCs w:val="20"/>
              </w:rPr>
              <w:t>managing water use under the entitlements framework</w:t>
            </w:r>
          </w:p>
          <w:p w14:paraId="611FB9C0" w14:textId="77777777" w:rsidR="001054C3" w:rsidRDefault="001054C3" w:rsidP="00234FBE">
            <w:pPr>
              <w:pStyle w:val="Rec"/>
            </w:pPr>
            <w:r>
              <w:t xml:space="preserve">In renegotiating the National Water Initiative, jurisdictions should recommit to the key outcomes and actions related to water access entitlements, which have been fundamental to the integrity of water management and a necessary prerequisite for water trading and markets. This includes </w:t>
            </w:r>
            <w:r w:rsidRPr="004E10BD">
              <w:t>ensuring that entitlements are statutory</w:t>
            </w:r>
            <w:r>
              <w:noBreakHyphen/>
            </w:r>
            <w:r w:rsidRPr="004E10BD">
              <w:t>based,</w:t>
            </w:r>
            <w:r>
              <w:t xml:space="preserve"> that they</w:t>
            </w:r>
            <w:r w:rsidRPr="004E10BD">
              <w:t xml:space="preserve"> provide a perpetual or </w:t>
            </w:r>
            <w:r>
              <w:t xml:space="preserve">an </w:t>
            </w:r>
            <w:r w:rsidRPr="004E10BD">
              <w:t>open</w:t>
            </w:r>
            <w:r>
              <w:noBreakHyphen/>
            </w:r>
            <w:r w:rsidRPr="004E10BD">
              <w:t>ended share of the consumptive pool</w:t>
            </w:r>
            <w:r>
              <w:t>, and that they are</w:t>
            </w:r>
            <w:r w:rsidRPr="004E10BD">
              <w:t xml:space="preserve"> separate from land</w:t>
            </w:r>
            <w:r>
              <w:t>.</w:t>
            </w:r>
          </w:p>
          <w:p w14:paraId="1925DD49" w14:textId="77777777" w:rsidR="001054C3" w:rsidRDefault="001054C3" w:rsidP="00234FBE">
            <w:pPr>
              <w:pStyle w:val="Rec"/>
            </w:pPr>
            <w:r>
              <w:t>Entitlements and access rights frameworks should be fit for purpose — acknowledging that fixed</w:t>
            </w:r>
            <w:r>
              <w:noBreakHyphen/>
              <w:t>term or other types of entitlements may be appropriate in some relatively undeveloped systems. However, as systems are being developed, fully NWI</w:t>
            </w:r>
            <w:r>
              <w:noBreakHyphen/>
              <w:t>consistent entitlements frameworks should be put in place.</w:t>
            </w:r>
          </w:p>
          <w:p w14:paraId="5CA6E786" w14:textId="77777777" w:rsidR="001054C3" w:rsidRDefault="001054C3" w:rsidP="00234FBE">
            <w:pPr>
              <w:keepLines/>
              <w:spacing w:before="120" w:line="280" w:lineRule="atLeast"/>
              <w:jc w:val="both"/>
              <w:rPr>
                <w:rFonts w:ascii="Arial" w:hAnsi="Arial"/>
                <w:sz w:val="22"/>
                <w:szCs w:val="20"/>
              </w:rPr>
            </w:pPr>
            <w:r>
              <w:rPr>
                <w:rFonts w:ascii="Arial" w:hAnsi="Arial"/>
                <w:sz w:val="22"/>
                <w:szCs w:val="20"/>
              </w:rPr>
              <w:t xml:space="preserve">To improve on the entitlements and access rights framework, jurisdictions </w:t>
            </w:r>
            <w:r w:rsidRPr="00B41453">
              <w:rPr>
                <w:rFonts w:ascii="Arial" w:hAnsi="Arial"/>
                <w:sz w:val="22"/>
                <w:szCs w:val="20"/>
              </w:rPr>
              <w:t>should</w:t>
            </w:r>
            <w:r>
              <w:rPr>
                <w:rFonts w:ascii="Arial" w:hAnsi="Arial"/>
                <w:sz w:val="22"/>
                <w:szCs w:val="20"/>
              </w:rPr>
              <w:t>:</w:t>
            </w:r>
          </w:p>
          <w:p w14:paraId="0A0CEDC1" w14:textId="77777777" w:rsidR="001054C3" w:rsidRDefault="001054C3" w:rsidP="00234FBE">
            <w:pPr>
              <w:pStyle w:val="RecBullet"/>
            </w:pPr>
            <w:r>
              <w:t>remove</w:t>
            </w:r>
            <w:r w:rsidRPr="00B41453">
              <w:t xml:space="preserve"> </w:t>
            </w:r>
            <w:r>
              <w:t xml:space="preserve">the special provision </w:t>
            </w:r>
            <w:r w:rsidRPr="00B41453">
              <w:t>for mineral</w:t>
            </w:r>
            <w:r>
              <w:t>s</w:t>
            </w:r>
            <w:r w:rsidRPr="00B41453">
              <w:t xml:space="preserve"> and petroleum </w:t>
            </w:r>
            <w:r>
              <w:t xml:space="preserve">industries in </w:t>
            </w:r>
            <w:r w:rsidRPr="00B41453">
              <w:t xml:space="preserve">water </w:t>
            </w:r>
            <w:r>
              <w:t xml:space="preserve">access and planning arrangements to support better incorporation of these </w:t>
            </w:r>
            <w:r w:rsidRPr="00B41453">
              <w:t xml:space="preserve">industries </w:t>
            </w:r>
            <w:r>
              <w:t xml:space="preserve">into water access entitlements </w:t>
            </w:r>
            <w:r w:rsidRPr="00B41453">
              <w:t>framework</w:t>
            </w:r>
            <w:r>
              <w:t>s</w:t>
            </w:r>
            <w:r w:rsidRPr="00B41453">
              <w:t xml:space="preserve"> that appl</w:t>
            </w:r>
            <w:r>
              <w:t>y</w:t>
            </w:r>
            <w:r w:rsidRPr="00B41453">
              <w:t xml:space="preserve"> to other consumptive users</w:t>
            </w:r>
          </w:p>
          <w:p w14:paraId="2D09B212" w14:textId="77777777" w:rsidR="001054C3" w:rsidRDefault="001054C3" w:rsidP="00234FBE">
            <w:pPr>
              <w:pStyle w:val="RecBullet"/>
            </w:pPr>
            <w:r w:rsidRPr="00EF287D">
              <w:t>establish a process to determine whether alternative water sources</w:t>
            </w:r>
            <w:r>
              <w:t xml:space="preserve"> (including stormwater and recycled water)</w:t>
            </w:r>
            <w:r w:rsidRPr="00EF287D">
              <w:t xml:space="preserve"> can be incorporated into water access entitlement</w:t>
            </w:r>
            <w:r>
              <w:t>s</w:t>
            </w:r>
            <w:r w:rsidRPr="00EF287D">
              <w:t xml:space="preserve"> frameworks, and the extent to which current </w:t>
            </w:r>
            <w:r>
              <w:t xml:space="preserve">management </w:t>
            </w:r>
            <w:r w:rsidRPr="00EF287D">
              <w:t>arrangements</w:t>
            </w:r>
            <w:r>
              <w:t xml:space="preserve"> for alternative water sources</w:t>
            </w:r>
            <w:r w:rsidRPr="00EF287D">
              <w:t xml:space="preserve"> create barriers to investme</w:t>
            </w:r>
            <w:r>
              <w:t>nt</w:t>
            </w:r>
          </w:p>
          <w:p w14:paraId="680135C7" w14:textId="77777777" w:rsidR="001054C3" w:rsidRPr="00301D93" w:rsidRDefault="001054C3" w:rsidP="00234FBE">
            <w:pPr>
              <w:pStyle w:val="RecBullet"/>
            </w:pPr>
            <w:r>
              <w:t>adopt a risk</w:t>
            </w:r>
            <w:r>
              <w:noBreakHyphen/>
              <w:t>based approach to managing significant interception activities under water access entitlements frameworks with the expectation that these activities would be fully incorporated into entitlements frameworks in at least all fully and overallocated systems. In developing systems, a risk</w:t>
            </w:r>
            <w:r>
              <w:noBreakHyphen/>
              <w:t>based approach would include fit</w:t>
            </w:r>
            <w:r>
              <w:noBreakHyphen/>
              <w:t>for</w:t>
            </w:r>
            <w:r>
              <w:noBreakHyphen/>
              <w:t>purpose measurement and accounting of interception activities, and monitoring of the ongoing efficacy of the use of interim measures.</w:t>
            </w:r>
          </w:p>
        </w:tc>
      </w:tr>
      <w:tr w:rsidR="001054C3" w:rsidRPr="00F94210" w14:paraId="143F91E0"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9198CE8" w14:textId="77777777" w:rsidR="001054C3" w:rsidRPr="00F94210" w:rsidRDefault="001054C3" w:rsidP="00234FBE">
            <w:pPr>
              <w:keepNext/>
              <w:keepLines/>
              <w:spacing w:line="120" w:lineRule="exact"/>
              <w:jc w:val="both"/>
              <w:rPr>
                <w:rFonts w:ascii="Arial" w:hAnsi="Arial"/>
                <w:sz w:val="20"/>
                <w:szCs w:val="20"/>
              </w:rPr>
            </w:pPr>
          </w:p>
        </w:tc>
      </w:tr>
      <w:tr w:rsidR="001054C3" w:rsidRPr="00F94210" w14:paraId="5E26718D" w14:textId="77777777" w:rsidTr="00234FBE">
        <w:tc>
          <w:tcPr>
            <w:tcW w:w="5000" w:type="pct"/>
            <w:tcBorders>
              <w:top w:val="single" w:sz="6" w:space="0" w:color="0070C0"/>
              <w:left w:val="nil"/>
              <w:bottom w:val="nil"/>
              <w:right w:val="nil"/>
            </w:tcBorders>
            <w:tcMar>
              <w:left w:w="170" w:type="dxa"/>
              <w:right w:w="170" w:type="dxa"/>
            </w:tcMar>
          </w:tcPr>
          <w:p w14:paraId="65CBFFEF" w14:textId="77777777" w:rsidR="001054C3" w:rsidRPr="00F94210" w:rsidRDefault="001054C3" w:rsidP="00234FBE">
            <w:pPr>
              <w:keepLines/>
              <w:spacing w:before="60" w:after="60" w:line="80" w:lineRule="exact"/>
              <w:jc w:val="both"/>
              <w:rPr>
                <w:rFonts w:ascii="Arial" w:hAnsi="Arial"/>
                <w:sz w:val="14"/>
                <w:szCs w:val="20"/>
              </w:rPr>
            </w:pPr>
          </w:p>
        </w:tc>
      </w:tr>
    </w:tbl>
    <w:p w14:paraId="03DF267D" w14:textId="4D3A3DF4" w:rsidR="001054C3" w:rsidRPr="00EE2B63" w:rsidRDefault="001054C3" w:rsidP="00234FBE">
      <w:pPr>
        <w:pStyle w:val="Heading2"/>
      </w:pPr>
      <w:bookmarkStart w:id="94" w:name="_Toc72939508"/>
      <w:r>
        <w:t>6.</w:t>
      </w:r>
      <w:r>
        <w:rPr>
          <w:noProof/>
        </w:rPr>
        <w:t>2</w:t>
      </w:r>
      <w:bookmarkStart w:id="95" w:name="_Toc63112470"/>
      <w:r>
        <w:tab/>
        <w:t>Improvement in water planning</w:t>
      </w:r>
      <w:bookmarkEnd w:id="94"/>
      <w:bookmarkEnd w:id="95"/>
    </w:p>
    <w:p w14:paraId="22D42AFB" w14:textId="77777777" w:rsidR="001054C3" w:rsidRDefault="001054C3" w:rsidP="00234FBE">
      <w:pPr>
        <w:pStyle w:val="BodyText"/>
      </w:pPr>
      <w:r>
        <w:t xml:space="preserve">Parties to the NWI </w:t>
      </w:r>
      <w:r w:rsidRPr="00AA5352">
        <w:t>agreed to prepare statutory water plans for surface water and groundwater management</w:t>
      </w:r>
      <w:r>
        <w:t xml:space="preserve"> systems which govern the management of entitlements. The water </w:t>
      </w:r>
      <w:r w:rsidRPr="00012830">
        <w:t xml:space="preserve">planning </w:t>
      </w:r>
      <w:r w:rsidRPr="00012830">
        <w:lastRenderedPageBreak/>
        <w:t xml:space="preserve">process establishes the shares of water available for consumptive </w:t>
      </w:r>
      <w:r>
        <w:rPr>
          <w:spacing w:val="-2"/>
        </w:rPr>
        <w:t xml:space="preserve">uses </w:t>
      </w:r>
      <w:r w:rsidRPr="009F2E71">
        <w:t>(such as irrigation, industry, urban, stock and domestic)</w:t>
      </w:r>
      <w:r>
        <w:t xml:space="preserve"> </w:t>
      </w:r>
      <w:r w:rsidRPr="00012830">
        <w:rPr>
          <w:spacing w:val="-2"/>
        </w:rPr>
        <w:t xml:space="preserve">and </w:t>
      </w:r>
      <w:r>
        <w:rPr>
          <w:spacing w:val="-2"/>
        </w:rPr>
        <w:t xml:space="preserve">the </w:t>
      </w:r>
      <w:r w:rsidRPr="00012830">
        <w:rPr>
          <w:spacing w:val="-2"/>
        </w:rPr>
        <w:t>environment</w:t>
      </w:r>
      <w:r>
        <w:rPr>
          <w:spacing w:val="-2"/>
        </w:rPr>
        <w:t>,</w:t>
      </w:r>
      <w:r>
        <w:t xml:space="preserve"> along with the rules for system management and trading. Water plans have been established for the majority of areas of intensive water use, although coverage varies by jurisdiction (</w:t>
      </w:r>
      <w:r w:rsidRPr="00A203DF">
        <w:rPr>
          <w:i/>
          <w:iCs/>
        </w:rPr>
        <w:t>Assessment</w:t>
      </w:r>
      <w:r>
        <w:t>).</w:t>
      </w:r>
    </w:p>
    <w:p w14:paraId="4081A10C" w14:textId="77777777" w:rsidR="001054C3" w:rsidRDefault="001054C3" w:rsidP="00234FBE">
      <w:pPr>
        <w:pStyle w:val="Heading3"/>
      </w:pPr>
      <w:r>
        <w:t>Embedding best-practice planning in a renewed NWI</w:t>
      </w:r>
    </w:p>
    <w:p w14:paraId="480C163C" w14:textId="77777777" w:rsidR="001054C3" w:rsidRDefault="001054C3" w:rsidP="00234FBE">
      <w:pPr>
        <w:pStyle w:val="BodyText"/>
      </w:pPr>
      <w:bookmarkStart w:id="96" w:name="_Hlk58576698"/>
      <w:r>
        <w:t>Water planning reforms have provided significant benefits (chapter 2). To ensure these continue, State and Territory Governments should</w:t>
      </w:r>
      <w:r w:rsidRPr="003B190F">
        <w:t xml:space="preserve"> recommit to existing planning frameworks </w:t>
      </w:r>
      <w:r>
        <w:t>through a renewed NWI. However, there has been considerable experience in water planning since the NWI was agreed in 2004 — not least in the Murray–Darling Basin and as a consequence of severe droughts. As a result, there is now a body of contemporary best practice that should be drawn on in a renewed NWI (and reflected in updated guidelines) to enable fit</w:t>
      </w:r>
      <w:r>
        <w:noBreakHyphen/>
        <w:t>for</w:t>
      </w:r>
      <w:r>
        <w:noBreakHyphen/>
        <w:t xml:space="preserve">purpose water planning in the future. </w:t>
      </w:r>
      <w:bookmarkEnd w:id="96"/>
      <w:r>
        <w:t>Best practice can be captured in five key principles:</w:t>
      </w:r>
    </w:p>
    <w:p w14:paraId="12BDE393" w14:textId="77777777" w:rsidR="001054C3" w:rsidRDefault="001054C3" w:rsidP="00234FBE">
      <w:pPr>
        <w:pStyle w:val="ListBullet"/>
      </w:pPr>
      <w:r>
        <w:t>water planning is fit for purpose</w:t>
      </w:r>
    </w:p>
    <w:p w14:paraId="19D047D6" w14:textId="77777777" w:rsidR="001054C3" w:rsidRDefault="001054C3" w:rsidP="00234FBE">
      <w:pPr>
        <w:pStyle w:val="ListBullet"/>
      </w:pPr>
      <w:bookmarkStart w:id="97" w:name="_Hlk62462036"/>
      <w:r>
        <w:t>the needs of Aboriginal and Torres Strait Islander people are better recognised</w:t>
      </w:r>
      <w:bookmarkEnd w:id="97"/>
    </w:p>
    <w:p w14:paraId="66609084" w14:textId="77777777" w:rsidR="001054C3" w:rsidRDefault="001054C3" w:rsidP="00234FBE">
      <w:pPr>
        <w:pStyle w:val="ListBullet"/>
      </w:pPr>
      <w:r>
        <w:t>environmental objectives and outcomes are clearly specified</w:t>
      </w:r>
    </w:p>
    <w:p w14:paraId="21950580" w14:textId="77777777" w:rsidR="001054C3" w:rsidRDefault="001054C3" w:rsidP="00234FBE">
      <w:pPr>
        <w:pStyle w:val="ListBullet"/>
      </w:pPr>
      <w:r>
        <w:t>trade</w:t>
      </w:r>
      <w:r>
        <w:noBreakHyphen/>
        <w:t>offs are made in line with community values</w:t>
      </w:r>
    </w:p>
    <w:p w14:paraId="6D00C867" w14:textId="77777777" w:rsidR="001054C3" w:rsidRDefault="001054C3" w:rsidP="00234FBE">
      <w:pPr>
        <w:pStyle w:val="ListBullet"/>
      </w:pPr>
      <w:r>
        <w:t>planning processes include independent review.</w:t>
      </w:r>
    </w:p>
    <w:p w14:paraId="52150D81" w14:textId="77777777" w:rsidR="001054C3" w:rsidRPr="00A030A3" w:rsidRDefault="001054C3" w:rsidP="00234FBE">
      <w:pPr>
        <w:pStyle w:val="BodyText"/>
      </w:pPr>
      <w:r>
        <w:t>Each of these are discussed briefly below. Reflecting overlap between planning and other aspects of water resource management, detailed discussion of some of these principles is also contained in other chapters.</w:t>
      </w:r>
    </w:p>
    <w:p w14:paraId="0CB3F1E5" w14:textId="77777777" w:rsidR="001054C3" w:rsidRDefault="001054C3" w:rsidP="00234FBE">
      <w:pPr>
        <w:pStyle w:val="Heading4"/>
      </w:pPr>
      <w:r>
        <w:t>Water planning is fit for purpose</w:t>
      </w:r>
    </w:p>
    <w:p w14:paraId="6E53A479" w14:textId="77777777" w:rsidR="001054C3" w:rsidRDefault="001054C3" w:rsidP="00234FBE">
      <w:pPr>
        <w:pStyle w:val="BodyText"/>
      </w:pPr>
      <w:r>
        <w:t>NWI planning frameworks require that jurisdictions:</w:t>
      </w:r>
    </w:p>
    <w:p w14:paraId="19D99E56" w14:textId="77777777" w:rsidR="001054C3" w:rsidRDefault="001054C3" w:rsidP="00234FBE">
      <w:pPr>
        <w:pStyle w:val="Quote"/>
      </w:pPr>
      <w:r>
        <w:t xml:space="preserve">… determine </w:t>
      </w:r>
      <w:r w:rsidRPr="00B32089">
        <w:t>whether a plan is prepared, what area it should cover, the level of detail required, its duration or frequency of review, and the amount of resources devoted to its preparation based on an assessment of the level of development of water systems, projected future consumptive demand and the risks of not having a detailed plan</w:t>
      </w:r>
      <w:r>
        <w:t>.</w:t>
      </w:r>
      <w:r w:rsidRPr="00310F08">
        <w:rPr>
          <w:rStyle w:val="FootnoteReference"/>
        </w:rPr>
        <w:footnoteReference w:id="20"/>
      </w:r>
      <w:r>
        <w:t xml:space="preserve"> </w:t>
      </w:r>
    </w:p>
    <w:p w14:paraId="4C9BFDC4" w14:textId="77777777" w:rsidR="001054C3" w:rsidRPr="00C40AF3" w:rsidRDefault="001054C3" w:rsidP="00234FBE">
      <w:pPr>
        <w:pStyle w:val="BodyText"/>
        <w:rPr>
          <w:spacing w:val="-2"/>
        </w:rPr>
      </w:pPr>
      <w:r w:rsidRPr="00C40AF3">
        <w:rPr>
          <w:spacing w:val="-2"/>
        </w:rPr>
        <w:t>In relatively undeveloped systems, only a simple approach may be required (albeit with precautionary interim limits which, when reached, would trigger more formal planning processes), whereas in developing, fully developed and overallocated systems, more sophisticated arrangements may be required to balance competing needs, including those of the environment. The NWI also requires that plans for overallocated systems define pathways for returning to sustainable levels of water extraction that will protect agreed environmental assets. These fit</w:t>
      </w:r>
      <w:r w:rsidRPr="00C40AF3">
        <w:rPr>
          <w:spacing w:val="-2"/>
        </w:rPr>
        <w:noBreakHyphen/>
        <w:t>for</w:t>
      </w:r>
      <w:r w:rsidRPr="00C40AF3">
        <w:rPr>
          <w:spacing w:val="-2"/>
        </w:rPr>
        <w:noBreakHyphen/>
        <w:t>purpose approaches should be retained and made more explicit.</w:t>
      </w:r>
    </w:p>
    <w:p w14:paraId="17632EB5" w14:textId="77777777" w:rsidR="001054C3" w:rsidRDefault="001054C3" w:rsidP="00234FBE">
      <w:pPr>
        <w:pStyle w:val="Heading4"/>
      </w:pPr>
      <w:r>
        <w:lastRenderedPageBreak/>
        <w:t>The needs of Aboriginal and Torres Strait Islander people are better recognised</w:t>
      </w:r>
    </w:p>
    <w:p w14:paraId="53039BD0" w14:textId="77777777" w:rsidR="001054C3" w:rsidRDefault="001054C3" w:rsidP="00234FBE">
      <w:pPr>
        <w:pStyle w:val="BodyText"/>
        <w:keepNext/>
      </w:pPr>
      <w:r>
        <w:t xml:space="preserve">Under the NWI, jurisdictions agreed that water access entitlements and planning frameworks would recognise the cultural needs of Aboriginal and Torres Strait Islander people in relation to water access and management through engagement. However, progress has been slow, and more can be done to achieve NWI outcomes (chapter 9). </w:t>
      </w:r>
      <w:bookmarkStart w:id="98" w:name="_Hlk62462113"/>
      <w:r>
        <w:t>In terms of water planning, achieving NWI outcomes requires:</w:t>
      </w:r>
    </w:p>
    <w:p w14:paraId="4C7D4E08" w14:textId="77777777" w:rsidR="001054C3" w:rsidRDefault="001054C3" w:rsidP="00234FBE">
      <w:pPr>
        <w:pStyle w:val="ListBullet"/>
      </w:pPr>
      <w:r>
        <w:t>good engagement with Traditional Owners (chapter 9)</w:t>
      </w:r>
    </w:p>
    <w:p w14:paraId="7E277014" w14:textId="77777777" w:rsidR="001054C3" w:rsidRDefault="001054C3" w:rsidP="00234FBE">
      <w:pPr>
        <w:pStyle w:val="ListBullet"/>
      </w:pPr>
      <w:r>
        <w:t>incorporating cultural values into water plans, and including clear, measurable and well</w:t>
      </w:r>
      <w:r>
        <w:noBreakHyphen/>
        <w:t>informed cultural objectives and outcomes. These should be specified in a way that can be monitored and reported against.</w:t>
      </w:r>
    </w:p>
    <w:bookmarkEnd w:id="98"/>
    <w:p w14:paraId="4A03B40A" w14:textId="77777777" w:rsidR="001054C3" w:rsidRDefault="001054C3" w:rsidP="00234FBE">
      <w:pPr>
        <w:pStyle w:val="BodyText"/>
      </w:pPr>
      <w:r>
        <w:t xml:space="preserve">Further, </w:t>
      </w:r>
      <w:r w:rsidRPr="00BE5B1A">
        <w:t xml:space="preserve">many Aboriginal and Torres Strait Islander communities </w:t>
      </w:r>
      <w:r>
        <w:t xml:space="preserve">have articulated their aspirations for unconstrained water use (that is, for both cultural and economic purposes). As discussed in chapter 9, where there is agreement between governments and Aboriginal and Torres Strait Islander communities that consumptive access to water is the best way to support Aboriginal and Torres Strait Islander economic development, that access should be facilitated as efficiently and transparently as possible within existing water entitlements frameworks. </w:t>
      </w:r>
      <w:r w:rsidRPr="00A369B4">
        <w:t xml:space="preserve">Where the consumptive pool is fully allocated, water should be bought from entitlement holders on the market to retain system integrity. </w:t>
      </w:r>
      <w:r>
        <w:t xml:space="preserve">In relatively undeveloped and developing water systems, where the consumptive pool has not been fully allocated, governments should consider if </w:t>
      </w:r>
      <w:r w:rsidRPr="00A369B4">
        <w:t xml:space="preserve">reserves for exclusive use </w:t>
      </w:r>
      <w:r>
        <w:t>are appropriate as part of the water planning process.</w:t>
      </w:r>
    </w:p>
    <w:p w14:paraId="0B1EB861" w14:textId="77777777" w:rsidR="001054C3" w:rsidRDefault="001054C3" w:rsidP="00234FBE">
      <w:pPr>
        <w:pStyle w:val="Heading4"/>
        <w:rPr>
          <w:rStyle w:val="BodyTextChar"/>
        </w:rPr>
      </w:pPr>
      <w:r>
        <w:t>Environmental objectives and outcomes are clearly specified</w:t>
      </w:r>
    </w:p>
    <w:p w14:paraId="3494256D" w14:textId="77777777" w:rsidR="001054C3" w:rsidRDefault="001054C3" w:rsidP="00234FBE">
      <w:pPr>
        <w:pStyle w:val="BodyText"/>
        <w:rPr>
          <w:rStyle w:val="BodyTextChar"/>
        </w:rPr>
      </w:pPr>
      <w:r>
        <w:rPr>
          <w:rStyle w:val="BodyTextChar"/>
        </w:rPr>
        <w:t>Under the water planning process, t</w:t>
      </w:r>
      <w:r w:rsidRPr="00054B3D">
        <w:rPr>
          <w:rStyle w:val="BodyTextChar"/>
        </w:rPr>
        <w:t>he goal is to protect the key environmental assets and functions agreed by stakeholders</w:t>
      </w:r>
      <w:r>
        <w:rPr>
          <w:rStyle w:val="BodyTextChar"/>
        </w:rPr>
        <w:t>. To that end, e</w:t>
      </w:r>
      <w:r w:rsidRPr="003E4F50">
        <w:rPr>
          <w:rStyle w:val="BodyTextChar"/>
        </w:rPr>
        <w:t xml:space="preserve">nvironmental outcomes should be specific and well defined, </w:t>
      </w:r>
      <w:r>
        <w:rPr>
          <w:rStyle w:val="BodyTextChar"/>
        </w:rPr>
        <w:t>with</w:t>
      </w:r>
      <w:r w:rsidRPr="003E4F50">
        <w:rPr>
          <w:rStyle w:val="BodyTextChar"/>
        </w:rPr>
        <w:t xml:space="preserve"> clear long</w:t>
      </w:r>
      <w:r>
        <w:rPr>
          <w:rStyle w:val="BodyTextChar"/>
        </w:rPr>
        <w:noBreakHyphen/>
      </w:r>
      <w:r w:rsidRPr="003E4F50">
        <w:rPr>
          <w:rStyle w:val="BodyTextChar"/>
        </w:rPr>
        <w:t xml:space="preserve">term performance indicators to </w:t>
      </w:r>
      <w:r>
        <w:rPr>
          <w:rStyle w:val="BodyTextChar"/>
        </w:rPr>
        <w:t>enable monitoring of outcomes and objectives. Environmental objectives and outcomes should also be well</w:t>
      </w:r>
      <w:r>
        <w:rPr>
          <w:rStyle w:val="BodyTextChar"/>
        </w:rPr>
        <w:noBreakHyphen/>
        <w:t xml:space="preserve">informed, transparent, logical and easily understood by stakeholders. </w:t>
      </w:r>
    </w:p>
    <w:p w14:paraId="326C8550" w14:textId="77777777" w:rsidR="001054C3" w:rsidRDefault="001054C3" w:rsidP="00234FBE">
      <w:pPr>
        <w:pStyle w:val="BodyText"/>
        <w:rPr>
          <w:rStyle w:val="BodyTextChar"/>
        </w:rPr>
      </w:pPr>
      <w:r>
        <w:rPr>
          <w:rStyle w:val="BodyTextChar"/>
        </w:rPr>
        <w:t>But, as noted in chapter 8, reaching agreement on environmental objectives can be very difficult. Moreover, experience during recent dry conditions calls into question whether planning has adequately taken extreme scarcity into account. Chapter 8 details the Commission’s advice for improving this aspect of planning.</w:t>
      </w:r>
    </w:p>
    <w:p w14:paraId="0843292E" w14:textId="77777777" w:rsidR="001054C3" w:rsidRDefault="001054C3" w:rsidP="00234FBE">
      <w:pPr>
        <w:pStyle w:val="Heading4"/>
      </w:pPr>
      <w:r>
        <w:t>Trade</w:t>
      </w:r>
      <w:r>
        <w:noBreakHyphen/>
        <w:t>offs are made in line with community values</w:t>
      </w:r>
    </w:p>
    <w:p w14:paraId="138F7865" w14:textId="77777777" w:rsidR="001054C3" w:rsidRDefault="001054C3" w:rsidP="00234FBE">
      <w:pPr>
        <w:pStyle w:val="BodyText"/>
        <w:keepNext/>
      </w:pPr>
      <w:r>
        <w:t>Water planning inevitably requires trade</w:t>
      </w:r>
      <w:r>
        <w:noBreakHyphen/>
        <w:t xml:space="preserve">offs between environmental, social and economic outcomes, especially in fully developed or overallocated systems. Assessing and taking account of the relative values that a community places on these outcomes in decision making </w:t>
      </w:r>
      <w:r>
        <w:lastRenderedPageBreak/>
        <w:t>will maximise the overall benefits provided by a water resource. Several principles should frame the decision</w:t>
      </w:r>
      <w:r>
        <w:noBreakHyphen/>
        <w:t>making process including:</w:t>
      </w:r>
    </w:p>
    <w:p w14:paraId="020A7464" w14:textId="77777777" w:rsidR="001054C3" w:rsidRDefault="001054C3" w:rsidP="00234FBE">
      <w:pPr>
        <w:pStyle w:val="ListBullet"/>
      </w:pPr>
      <w:r>
        <w:t>effective community engagement (chapter 15)</w:t>
      </w:r>
    </w:p>
    <w:p w14:paraId="661FCE8F" w14:textId="77777777" w:rsidR="001054C3" w:rsidRDefault="001054C3" w:rsidP="00234FBE">
      <w:pPr>
        <w:pStyle w:val="ListBullet"/>
      </w:pPr>
      <w:r>
        <w:t>use of the best available scientific, social and economic data to inform decisions (chapter 16)</w:t>
      </w:r>
    </w:p>
    <w:p w14:paraId="6D44208F" w14:textId="77777777" w:rsidR="001054C3" w:rsidRDefault="001054C3" w:rsidP="00234FBE">
      <w:pPr>
        <w:pStyle w:val="ListBullet"/>
      </w:pPr>
      <w:r>
        <w:t>consideration of all economic, social and environmental values associated with the system, including dependent downstream environments and industries (for example, estuaries and nearshore marine environments and associated fisheries (CSIRO, sub. DR149))</w:t>
      </w:r>
    </w:p>
    <w:p w14:paraId="69A21245" w14:textId="77777777" w:rsidR="001054C3" w:rsidRDefault="001054C3" w:rsidP="00234FBE">
      <w:pPr>
        <w:pStyle w:val="ListBullet"/>
      </w:pPr>
      <w:r>
        <w:t>transparency about all aspects of decision making (chapter 10).</w:t>
      </w:r>
    </w:p>
    <w:p w14:paraId="09A3D8E1" w14:textId="77777777" w:rsidR="001054C3" w:rsidRDefault="001054C3" w:rsidP="00234FBE">
      <w:pPr>
        <w:pStyle w:val="Heading4"/>
      </w:pPr>
      <w:r>
        <w:t>Planning processes include independent review</w:t>
      </w:r>
    </w:p>
    <w:p w14:paraId="6DC3F438" w14:textId="77777777" w:rsidR="001054C3" w:rsidRDefault="001054C3" w:rsidP="00234FBE">
      <w:pPr>
        <w:pStyle w:val="BodyText"/>
      </w:pPr>
      <w:r>
        <w:t xml:space="preserve">Independent reviews of water plans improve transparency, hold governments to account and identify areas for improvement. Review processes may also provide opportunities to involve communities and to access more (and more diverse sources of) information, for example, through community submissions. </w:t>
      </w:r>
      <w:r w:rsidRPr="00A50BEA">
        <w:t>Some inquiry participants highlighted the importance of independent reviews of water plans</w:t>
      </w:r>
      <w:r>
        <w:t>,</w:t>
      </w:r>
      <w:r w:rsidRPr="00A50BEA">
        <w:t xml:space="preserve"> </w:t>
      </w:r>
      <w:r>
        <w:t>f</w:t>
      </w:r>
      <w:r w:rsidRPr="00A50BEA">
        <w:t>or example, the Inland Rivers Network</w:t>
      </w:r>
      <w:r>
        <w:t xml:space="preserve"> (sub. 86, p. 6).</w:t>
      </w:r>
    </w:p>
    <w:p w14:paraId="117D094C" w14:textId="430FA0AC" w:rsidR="001054C3" w:rsidRDefault="001054C3" w:rsidP="00234FBE">
      <w:pPr>
        <w:pStyle w:val="BodyText"/>
      </w:pPr>
      <w:r>
        <w:t xml:space="preserve">Some jurisdictions undertake independent reviews of water plans. For example, in New South Wales, the Natural Resources Commission reviews plans to determine if environmental, social and economic outcomes have been achieved, and recommends improvements </w:t>
      </w:r>
      <w:r w:rsidRPr="006537B2">
        <w:rPr>
          <w:szCs w:val="24"/>
        </w:rPr>
        <w:t>(NRC (NSW) 2020)</w:t>
      </w:r>
      <w:r>
        <w:t xml:space="preserve">. In the </w:t>
      </w:r>
      <w:r w:rsidRPr="00F44297">
        <w:t>Murray–Darling Basin</w:t>
      </w:r>
      <w:r>
        <w:t xml:space="preserve">, water resource plans are </w:t>
      </w:r>
      <w:r w:rsidRPr="00F44297">
        <w:t>independently assessed by the Murray–Darling Basin Authority and accredited by the Commonwealth minister responsible for water</w:t>
      </w:r>
      <w:r>
        <w:t xml:space="preserve"> (although the Productivity Commission </w:t>
      </w:r>
      <w:r w:rsidRPr="000D218F">
        <w:rPr>
          <w:szCs w:val="24"/>
        </w:rPr>
        <w:t>(2018, p. 193)</w:t>
      </w:r>
      <w:r>
        <w:t xml:space="preserve"> found that the accreditation process resulted in unnecessary costs).</w:t>
      </w:r>
    </w:p>
    <w:p w14:paraId="04DA7351" w14:textId="77777777" w:rsidR="001054C3" w:rsidRDefault="001054C3" w:rsidP="00234FBE">
      <w:pPr>
        <w:pStyle w:val="BodyText"/>
      </w:pPr>
      <w:r>
        <w:t>The NWI could set out principles for independent reviews, promoting their need to: be robust and fit for purpose, focused on achieving net benefits and involve community participation.</w:t>
      </w:r>
    </w:p>
    <w:p w14:paraId="4B86A193" w14:textId="77777777" w:rsidR="001054C3" w:rsidRDefault="001054C3" w:rsidP="00234FBE">
      <w:pPr>
        <w:pStyle w:val="Heading3"/>
      </w:pPr>
      <w:r>
        <w:t>Ensuring climate change is taken into account in water planning</w:t>
      </w:r>
    </w:p>
    <w:p w14:paraId="06F15242" w14:textId="77777777" w:rsidR="001054C3" w:rsidRPr="00C40AF3" w:rsidRDefault="001054C3" w:rsidP="00234FBE">
      <w:pPr>
        <w:pStyle w:val="BodyText"/>
        <w:rPr>
          <w:spacing w:val="-2"/>
        </w:rPr>
      </w:pPr>
      <w:r w:rsidRPr="00C40AF3">
        <w:rPr>
          <w:spacing w:val="-2"/>
        </w:rPr>
        <w:t xml:space="preserve">Water planning processes will be challenged by climate change. Climate change for most of Australia is likely to mean reduced catchment inflows and more frequent, longer and more severe droughts. While all users will be affected, these changes will, in general, disproportionately affect the environment by reducing key aspects of planned environmental water (for example, spills and unregulated flows) (LBA, sub. DR133, pp. 10–11; NSW Government, sub. DR138, p. 16). Over time, the balance between environmental and consumptive uses agreed at the outset of a plan may no longer be appropriate, or environmental, economic and cultural objectives may no longer be able to be achieved. This will be of particular concern in fully developed catchments where water is fully allocated, there </w:t>
      </w:r>
      <w:r w:rsidRPr="00C40AF3">
        <w:rPr>
          <w:spacing w:val="-2"/>
        </w:rPr>
        <w:lastRenderedPageBreak/>
        <w:t>is significant competition for water and markets operate. Water planning will need to be able to account for and incorporate changes in the availability of water due to climate change.</w:t>
      </w:r>
    </w:p>
    <w:p w14:paraId="72ED56E2" w14:textId="77777777" w:rsidR="001054C3" w:rsidRPr="00C40AF3" w:rsidRDefault="001054C3" w:rsidP="00234FBE">
      <w:pPr>
        <w:pStyle w:val="BodyText"/>
        <w:rPr>
          <w:spacing w:val="-2"/>
        </w:rPr>
      </w:pPr>
      <w:r w:rsidRPr="00C40AF3">
        <w:rPr>
          <w:spacing w:val="-2"/>
        </w:rPr>
        <w:t xml:space="preserve">A module to the NWI, </w:t>
      </w:r>
      <w:r w:rsidRPr="00C40AF3">
        <w:rPr>
          <w:i/>
          <w:spacing w:val="-2"/>
        </w:rPr>
        <w:t>Considering Climate Change and Extreme Events in Water Planning and Management</w:t>
      </w:r>
      <w:r w:rsidRPr="00C40AF3">
        <w:rPr>
          <w:spacing w:val="-2"/>
        </w:rPr>
        <w:t>, aims to provide information about regional climate projections and includes tools that can assist planners to understand risks and ways of incorporating climate change into water planning. However, the Commission’s 2017 assessment found that the module does not go far enough in ensuring water planning adequately accounts for climate change. Similarly, participants to the Commission’s 2018 inquiry into the implementation of the Murray–Darling Basin Plan, as well as those to the current inquiry, have raised concerns about how climate change is accounted for in water planning (IAH, sub. 15, p. 2; MDBA, sub. 23, p. 8; IWF, sub. 30, pp. 12–13; EDO, pp. 15–16, sub. 54; IRN, sub. 86, p. 4).</w:t>
      </w:r>
    </w:p>
    <w:p w14:paraId="162B230D" w14:textId="77777777" w:rsidR="001054C3" w:rsidRDefault="001054C3" w:rsidP="00234FBE">
      <w:pPr>
        <w:pStyle w:val="BodyText"/>
      </w:pPr>
      <w:r>
        <w:t xml:space="preserve">A number of enhancements to the NWI would enable entitlement holders and the environment to better contend with drought within the term of a water plan, and, over the longer term, support adaptation of a water plan to a changing climate. The approach to the latter is different in water systems that are relatively undeveloped or still developing. </w:t>
      </w:r>
      <w:bookmarkStart w:id="99" w:name="_Hlk59185630"/>
      <w:r>
        <w:t>These systems are not yet at full allocation and there is currently opportunity to set the consumptive and environmental shares in ways that manage the risk of future resource reductions</w:t>
      </w:r>
      <w:bookmarkEnd w:id="99"/>
      <w:r>
        <w:t xml:space="preserve">. </w:t>
      </w:r>
      <w:bookmarkStart w:id="100" w:name="_Hlk59186250"/>
      <w:r>
        <w:t xml:space="preserve">In fully developed systems, all water is currently allocated either to consumptive users or the environment and, in the event of significant reductions in the available resource, decisions will have to made about if, when and how the balance should be reviewed and new objectives set. </w:t>
      </w:r>
      <w:bookmarkEnd w:id="100"/>
      <w:r>
        <w:t>The following discussion focusses on three key additions to existing water plan processes to deal with climate change. These are:</w:t>
      </w:r>
    </w:p>
    <w:p w14:paraId="0FEC6272" w14:textId="77777777" w:rsidR="001054C3" w:rsidRDefault="001054C3" w:rsidP="00234FBE">
      <w:pPr>
        <w:pStyle w:val="ListBullet"/>
      </w:pPr>
      <w:r>
        <w:t>clear and robust provisions to contend with drought</w:t>
      </w:r>
    </w:p>
    <w:p w14:paraId="7A897625" w14:textId="77777777" w:rsidR="001054C3" w:rsidRDefault="001054C3" w:rsidP="00234FBE">
      <w:pPr>
        <w:pStyle w:val="ListBullet"/>
      </w:pPr>
      <w:r>
        <w:t>setting consumptive shares in relatively undeveloped and developing areas</w:t>
      </w:r>
    </w:p>
    <w:p w14:paraId="06865544" w14:textId="77777777" w:rsidR="001054C3" w:rsidRPr="00C40AF3" w:rsidRDefault="001054C3" w:rsidP="00234FBE">
      <w:pPr>
        <w:pStyle w:val="ListBullet"/>
        <w:rPr>
          <w:spacing w:val="-2"/>
        </w:rPr>
      </w:pPr>
      <w:r w:rsidRPr="00C40AF3">
        <w:rPr>
          <w:spacing w:val="-2"/>
        </w:rPr>
        <w:t>water plan reviews and changing the balance between consumptive use and environmental use in response to climate change in highly developed systems.</w:t>
      </w:r>
    </w:p>
    <w:p w14:paraId="6A81D3DD" w14:textId="77777777" w:rsidR="001054C3" w:rsidRDefault="001054C3" w:rsidP="00234FBE">
      <w:pPr>
        <w:pStyle w:val="BodyText"/>
      </w:pPr>
      <w:r>
        <w:t xml:space="preserve">Principles for climate change modelling and information that underpin these processes are also discussed. </w:t>
      </w:r>
    </w:p>
    <w:p w14:paraId="11A9AE0A" w14:textId="77777777" w:rsidR="001054C3" w:rsidRDefault="001054C3" w:rsidP="00234FBE">
      <w:pPr>
        <w:pStyle w:val="Heading4"/>
      </w:pPr>
      <w:r>
        <w:t>Including provisions to contend with drought</w:t>
      </w:r>
    </w:p>
    <w:p w14:paraId="35866690" w14:textId="77777777" w:rsidR="001054C3" w:rsidRDefault="001054C3" w:rsidP="00234FBE">
      <w:pPr>
        <w:pStyle w:val="BodyText"/>
        <w:rPr>
          <w:lang w:val="en-GB"/>
        </w:rPr>
      </w:pPr>
      <w:r>
        <w:t xml:space="preserve">The Millennium Drought and recent drought in New South Wales and Queensland revealed a number of shortcomings </w:t>
      </w:r>
      <w:r w:rsidRPr="005773C8">
        <w:t xml:space="preserve">in </w:t>
      </w:r>
      <w:r>
        <w:t xml:space="preserve">current water management arrangements </w:t>
      </w:r>
      <w:r w:rsidRPr="005773C8">
        <w:t xml:space="preserve">in information, planning </w:t>
      </w:r>
      <w:r>
        <w:t>and</w:t>
      </w:r>
      <w:r w:rsidRPr="005773C8">
        <w:t xml:space="preserve"> compliance</w:t>
      </w:r>
      <w:r w:rsidRPr="00DD7E12">
        <w:t xml:space="preserve"> </w:t>
      </w:r>
      <w:r>
        <w:t xml:space="preserve">that exacerbated the impact of these droughts on environmental assets and other water users. The clear lesson is that future water plans must include </w:t>
      </w:r>
      <w:r>
        <w:rPr>
          <w:lang w:val="en-GB"/>
        </w:rPr>
        <w:t xml:space="preserve">very well defined provisions to support communities in contending with </w:t>
      </w:r>
      <w:r>
        <w:t xml:space="preserve">drought, </w:t>
      </w:r>
      <w:r>
        <w:rPr>
          <w:lang w:val="en-GB"/>
        </w:rPr>
        <w:t>ensuring they have been negotiated and clearly understood by both entitlement holders and communities.</w:t>
      </w:r>
    </w:p>
    <w:p w14:paraId="00196D3F" w14:textId="77777777" w:rsidR="001054C3" w:rsidRDefault="001054C3" w:rsidP="00234FBE">
      <w:pPr>
        <w:pStyle w:val="BodyText"/>
      </w:pPr>
      <w:r>
        <w:t xml:space="preserve">Plans should include provisions to deal with periods of water scarcity, priorities for water sharing and actions relating to meeting critical human and environmental needs. Provisions could also include rules in some rivers for limiting water extraction during critically low </w:t>
      </w:r>
      <w:r>
        <w:lastRenderedPageBreak/>
        <w:t>flows to protect ecologically important refuges, protecting the resumption of flows and managing connectivity across the landscape.</w:t>
      </w:r>
    </w:p>
    <w:p w14:paraId="6A80AF93" w14:textId="77777777" w:rsidR="001054C3" w:rsidRDefault="001054C3" w:rsidP="00234FBE">
      <w:pPr>
        <w:pStyle w:val="BodyText"/>
      </w:pPr>
      <w:r>
        <w:t xml:space="preserve">Water plans should also include clear roles and responsibilities for extreme scenarios where water sharing arrangements have not been detailed in the water plan, including clear processes and triggers for when ministerial intervention may be warranted. In addition, there needs to be a </w:t>
      </w:r>
      <w:r w:rsidRPr="00EC3B6A">
        <w:t xml:space="preserve">clear hierarchy of </w:t>
      </w:r>
      <w:r>
        <w:t xml:space="preserve">water </w:t>
      </w:r>
      <w:r w:rsidRPr="00EC3B6A">
        <w:t>use</w:t>
      </w:r>
      <w:r>
        <w:t xml:space="preserve">s, prioritising </w:t>
      </w:r>
      <w:r w:rsidRPr="00EC3B6A">
        <w:t>critical human</w:t>
      </w:r>
      <w:r>
        <w:t xml:space="preserve"> needs</w:t>
      </w:r>
      <w:r w:rsidRPr="00EC3B6A">
        <w:t xml:space="preserve">, </w:t>
      </w:r>
      <w:r>
        <w:t xml:space="preserve">then </w:t>
      </w:r>
      <w:r w:rsidRPr="00EC3B6A">
        <w:t>critical environmental needs</w:t>
      </w:r>
      <w:r>
        <w:t>.</w:t>
      </w:r>
    </w:p>
    <w:p w14:paraId="65DC8241" w14:textId="77777777" w:rsidR="001054C3" w:rsidRDefault="001054C3" w:rsidP="00234FBE">
      <w:pPr>
        <w:pStyle w:val="BodyText"/>
      </w:pPr>
      <w:r>
        <w:t xml:space="preserve">Consideration must also be given to water quality, in addition to quantity. In times of drought, the lack of available water can affect water quality — for example, by </w:t>
      </w:r>
      <w:r>
        <w:rPr>
          <w:lang w:val="en-GB"/>
        </w:rPr>
        <w:t>creating the conditions for algal blooms or high salinity levels and low dissolved oxygen. This will affect all users of the systems, not only the environment. Changes in the quality of water due to drought can also affect stock and domestic supply and town water supplies that are the main or emergency water source for communities</w:t>
      </w:r>
      <w:r>
        <w:t>.</w:t>
      </w:r>
    </w:p>
    <w:p w14:paraId="577DD5A6" w14:textId="77777777" w:rsidR="001054C3" w:rsidRDefault="001054C3" w:rsidP="00234FBE">
      <w:pPr>
        <w:pStyle w:val="BodyText"/>
      </w:pPr>
      <w:r>
        <w:t>Risks to</w:t>
      </w:r>
      <w:r w:rsidRPr="00901C47">
        <w:t xml:space="preserve"> water quality </w:t>
      </w:r>
      <w:r>
        <w:t xml:space="preserve">need to be considered </w:t>
      </w:r>
      <w:r w:rsidRPr="00901C47">
        <w:t>during</w:t>
      </w:r>
      <w:r>
        <w:t xml:space="preserve"> </w:t>
      </w:r>
      <w:r w:rsidRPr="00901C47">
        <w:t>the</w:t>
      </w:r>
      <w:r>
        <w:t xml:space="preserve"> </w:t>
      </w:r>
      <w:r w:rsidRPr="00901C47">
        <w:t>planning</w:t>
      </w:r>
      <w:r>
        <w:t xml:space="preserve"> process, </w:t>
      </w:r>
      <w:r w:rsidRPr="00901C47">
        <w:t>and</w:t>
      </w:r>
      <w:r>
        <w:t xml:space="preserve"> </w:t>
      </w:r>
      <w:r w:rsidRPr="00901C47">
        <w:t>any</w:t>
      </w:r>
      <w:r>
        <w:t xml:space="preserve"> </w:t>
      </w:r>
      <w:r w:rsidRPr="00901C47">
        <w:t>necessary</w:t>
      </w:r>
      <w:r>
        <w:t xml:space="preserve"> </w:t>
      </w:r>
      <w:r w:rsidRPr="00901C47">
        <w:t>linkages</w:t>
      </w:r>
      <w:r>
        <w:t xml:space="preserve"> made </w:t>
      </w:r>
      <w:r w:rsidRPr="00901C47">
        <w:t>with</w:t>
      </w:r>
      <w:r>
        <w:t xml:space="preserve"> </w:t>
      </w:r>
      <w:r w:rsidRPr="00901C47">
        <w:t>plans,</w:t>
      </w:r>
      <w:r>
        <w:t xml:space="preserve"> </w:t>
      </w:r>
      <w:r w:rsidRPr="00901C47">
        <w:t>actions and regulatory requirements undertaken through natural resource management and environmental protection frameworks</w:t>
      </w:r>
      <w:r>
        <w:t xml:space="preserve"> (chapter 8). In particular, water planners should include water quality provisions in drought scenarios. </w:t>
      </w:r>
    </w:p>
    <w:p w14:paraId="117A1993" w14:textId="77777777" w:rsidR="001054C3" w:rsidRDefault="001054C3" w:rsidP="00234FBE">
      <w:pPr>
        <w:pStyle w:val="Heading4"/>
      </w:pPr>
      <w:r>
        <w:t>Addressing climate change in relatively undeveloped and developing areas</w:t>
      </w:r>
    </w:p>
    <w:p w14:paraId="1433CED5" w14:textId="77777777" w:rsidR="001054C3" w:rsidRDefault="001054C3" w:rsidP="00234FBE">
      <w:pPr>
        <w:pStyle w:val="BodyText"/>
      </w:pPr>
      <w:r>
        <w:t>Effective water planning processes in relatively undeveloped and developing areas need to consider climate change, and the likely reduction in future surface water and groundwater availability. This will increase transparency of planning decisions, reduce the risks of future overallocation, help to maintain the reliability of entitlements and allow water users to better manage their risks.</w:t>
      </w:r>
    </w:p>
    <w:p w14:paraId="22927E39" w14:textId="77777777" w:rsidR="001054C3" w:rsidRDefault="001054C3" w:rsidP="00234FBE">
      <w:pPr>
        <w:pStyle w:val="BodyText"/>
      </w:pPr>
      <w:r>
        <w:t>There is an opportunity in these systems to set the consumptive and environmental shares in ways that manage the risk of future resource reductions. This can be done by using the best available suite of regional climate change projections (over a period of at least 20 to 30 years) to set consumptive and environmental shares in a way that balances risks to the reliability of consumptive entitlements and the ability to maintain environmental objectives over that period, and to provide for carryover where possible.</w:t>
      </w:r>
    </w:p>
    <w:p w14:paraId="69011710" w14:textId="77777777" w:rsidR="001054C3" w:rsidRDefault="001054C3" w:rsidP="00234FBE">
      <w:pPr>
        <w:pStyle w:val="BodyText"/>
      </w:pPr>
      <w:r>
        <w:t>If this approach is implemented, it is possible that in the short term, there may be water that is neither part of the formal consumptive pool nor the formal environmental share required to achieve agreed outcomes. This water would be expected to diminish over time, but, while available, could be either reserved (which benefits the environment), or made available for short</w:t>
      </w:r>
      <w:r>
        <w:noBreakHyphen/>
        <w:t xml:space="preserve">term consumptive use subject to user demand. </w:t>
      </w:r>
      <w:r w:rsidRPr="00592AE8">
        <w:t xml:space="preserve">In areas where </w:t>
      </w:r>
      <w:r>
        <w:t xml:space="preserve">there is </w:t>
      </w:r>
      <w:r w:rsidRPr="00592AE8">
        <w:t xml:space="preserve">a high degree of uncertainty </w:t>
      </w:r>
      <w:r>
        <w:t xml:space="preserve">as to </w:t>
      </w:r>
      <w:r w:rsidRPr="00592AE8">
        <w:t xml:space="preserve">climate change </w:t>
      </w:r>
      <w:r>
        <w:t>impacts</w:t>
      </w:r>
      <w:r w:rsidRPr="00592AE8">
        <w:t xml:space="preserve"> or </w:t>
      </w:r>
      <w:r>
        <w:t>the extent of</w:t>
      </w:r>
      <w:r w:rsidRPr="00592AE8">
        <w:t xml:space="preserve"> surface water and groundwater systems</w:t>
      </w:r>
      <w:r>
        <w:t>, a risk</w:t>
      </w:r>
      <w:r>
        <w:noBreakHyphen/>
        <w:t>based approach would be conservative in providing access to unallocated water resources.</w:t>
      </w:r>
    </w:p>
    <w:p w14:paraId="69DEB027" w14:textId="77777777" w:rsidR="001054C3" w:rsidRDefault="001054C3" w:rsidP="00234FBE">
      <w:pPr>
        <w:pStyle w:val="Heading4"/>
        <w:rPr>
          <w:lang w:val="en-GB"/>
        </w:rPr>
      </w:pPr>
      <w:r>
        <w:rPr>
          <w:lang w:val="en-GB"/>
        </w:rPr>
        <w:lastRenderedPageBreak/>
        <w:t>Reviewing water plans and rebalancing uses in fully developed systems</w:t>
      </w:r>
    </w:p>
    <w:p w14:paraId="1F18C53A" w14:textId="77777777" w:rsidR="001054C3" w:rsidRDefault="001054C3" w:rsidP="00234FBE">
      <w:pPr>
        <w:pStyle w:val="BodyText"/>
      </w:pPr>
      <w:r>
        <w:t>In fully developed systems, all water is currently allocated either to consumptive users or the environment and, in the event of significant reductions in the available resource, decisions will have to be made to determine if, when and how the balance between environmental and consumptive uses should be reviewed and new objectives set.</w:t>
      </w:r>
    </w:p>
    <w:p w14:paraId="1452FB9E" w14:textId="77777777" w:rsidR="001054C3" w:rsidRPr="000A52F0" w:rsidRDefault="001054C3" w:rsidP="00234FBE">
      <w:pPr>
        <w:pStyle w:val="BodyText"/>
      </w:pPr>
      <w:r>
        <w:t xml:space="preserve">Water plans are subject to review processes, often every 10 years, with the national policy guidelines suggesting that this would include reviewing the balance between environmental and consumptive uses. </w:t>
      </w:r>
      <w:r>
        <w:rPr>
          <w:lang w:val="en-GB"/>
        </w:rPr>
        <w:t xml:space="preserve">However, </w:t>
      </w:r>
      <w:r>
        <w:t xml:space="preserve">reviews of the relative shares every 10 years </w:t>
      </w:r>
      <w:r w:rsidRPr="009C7D0B">
        <w:t>could</w:t>
      </w:r>
      <w:r>
        <w:t xml:space="preserve"> </w:t>
      </w:r>
      <w:r w:rsidRPr="009C7D0B">
        <w:t>create</w:t>
      </w:r>
      <w:r>
        <w:t xml:space="preserve"> unnecessary costs and controversy where no changes are needed. </w:t>
      </w:r>
      <w:r>
        <w:rPr>
          <w:lang w:val="en-GB"/>
        </w:rPr>
        <w:t xml:space="preserve">The focus of regular reviews of water plans should be on ensuring that water use and system operation are optimised to best meet the agreed environmental and consumptive objectives within the agreed allocation. </w:t>
      </w:r>
      <w:r>
        <w:t>The scope of reviews should be clear — in particular, that they are not addressing the balance between environmental and consumptive uses each time. Rather, the focus is on improved operations within the current balance.</w:t>
      </w:r>
    </w:p>
    <w:p w14:paraId="4E8BA30E" w14:textId="77777777" w:rsidR="001054C3" w:rsidRDefault="001054C3" w:rsidP="00234FBE">
      <w:pPr>
        <w:pStyle w:val="BodyText"/>
        <w:keepNext/>
      </w:pPr>
      <w:r>
        <w:rPr>
          <w:lang w:val="en-GB"/>
        </w:rPr>
        <w:t xml:space="preserve">There then needs to be a mechanism to reassess the balance between environmental and consumptive uses when it is clear that this is required — for example, if climate change means that the previously </w:t>
      </w:r>
      <w:r w:rsidRPr="0084001B">
        <w:rPr>
          <w:lang w:val="en-GB"/>
        </w:rPr>
        <w:t>agreed balance no longer meet</w:t>
      </w:r>
      <w:r>
        <w:rPr>
          <w:lang w:val="en-GB"/>
        </w:rPr>
        <w:t>s</w:t>
      </w:r>
      <w:r w:rsidRPr="0084001B">
        <w:rPr>
          <w:lang w:val="en-GB"/>
        </w:rPr>
        <w:t xml:space="preserve"> the </w:t>
      </w:r>
      <w:r w:rsidRPr="0084001B" w:rsidDel="00EF0CAA">
        <w:rPr>
          <w:lang w:val="en-GB"/>
        </w:rPr>
        <w:t xml:space="preserve">objectives for </w:t>
      </w:r>
      <w:r w:rsidRPr="0084001B">
        <w:rPr>
          <w:lang w:val="en-GB"/>
        </w:rPr>
        <w:t>either the environment</w:t>
      </w:r>
      <w:r>
        <w:rPr>
          <w:lang w:val="en-GB"/>
        </w:rPr>
        <w:t>,</w:t>
      </w:r>
      <w:r w:rsidRPr="0084001B">
        <w:rPr>
          <w:lang w:val="en-GB"/>
        </w:rPr>
        <w:t xml:space="preserve"> consumptive users</w:t>
      </w:r>
      <w:r>
        <w:rPr>
          <w:lang w:val="en-GB"/>
        </w:rPr>
        <w:t xml:space="preserve"> or cultural outcomes. </w:t>
      </w:r>
      <w:r w:rsidRPr="004B638D">
        <w:rPr>
          <w:lang w:val="en-GB"/>
        </w:rPr>
        <w:t>Failure to do this would risk the balance becoming out of step with what is in the best interests of the community overall</w:t>
      </w:r>
      <w:r>
        <w:rPr>
          <w:lang w:val="en-GB"/>
        </w:rPr>
        <w:t xml:space="preserve">, and embed unrealistic expectations about what objectives can be met with reduced water availability. Water planning decisions would likely become more contested, </w:t>
      </w:r>
      <w:r>
        <w:t>particularly where the process is unclear.</w:t>
      </w:r>
    </w:p>
    <w:p w14:paraId="5DFB34F0" w14:textId="77777777" w:rsidR="001054C3" w:rsidRDefault="001054C3" w:rsidP="00234FBE">
      <w:pPr>
        <w:pStyle w:val="BodyText"/>
        <w:rPr>
          <w:lang w:val="en-GB"/>
        </w:rPr>
      </w:pPr>
      <w:r w:rsidRPr="00DC27C3">
        <w:rPr>
          <w:lang w:val="en-GB"/>
        </w:rPr>
        <w:t>Any rebalancing due to climate change should occur only when there is sufficient evidence to support the change</w:t>
      </w:r>
      <w:r>
        <w:rPr>
          <w:lang w:val="en-GB"/>
        </w:rPr>
        <w:t xml:space="preserve"> — that is,</w:t>
      </w:r>
      <w:r w:rsidRPr="00DC27C3">
        <w:rPr>
          <w:lang w:val="en-GB"/>
        </w:rPr>
        <w:t xml:space="preserve"> the benefits of rebalancing </w:t>
      </w:r>
      <w:r>
        <w:rPr>
          <w:lang w:val="en-GB"/>
        </w:rPr>
        <w:t>are</w:t>
      </w:r>
      <w:r w:rsidRPr="00DC27C3">
        <w:rPr>
          <w:lang w:val="en-GB"/>
        </w:rPr>
        <w:t xml:space="preserve"> expected to outweigh the costs.</w:t>
      </w:r>
      <w:r>
        <w:rPr>
          <w:lang w:val="en-GB"/>
        </w:rPr>
        <w:t xml:space="preserve"> The Commission suggests that the need for change could be indicated by a trigger (more information on potential triggers is included in SP A </w:t>
      </w:r>
      <w:r w:rsidRPr="001B2440">
        <w:rPr>
          <w:i/>
          <w:iCs/>
          <w:lang w:val="en-GB"/>
        </w:rPr>
        <w:t>Entitlements and planning</w:t>
      </w:r>
      <w:r>
        <w:rPr>
          <w:lang w:val="en-GB"/>
        </w:rPr>
        <w:t>).</w:t>
      </w:r>
    </w:p>
    <w:p w14:paraId="092AC7C3" w14:textId="77777777" w:rsidR="001054C3" w:rsidRPr="00C40AF3" w:rsidRDefault="001054C3" w:rsidP="00234FBE">
      <w:pPr>
        <w:pStyle w:val="BodyText"/>
        <w:rPr>
          <w:spacing w:val="-4"/>
          <w:lang w:val="en-GB"/>
        </w:rPr>
      </w:pPr>
      <w:r w:rsidRPr="00C40AF3">
        <w:rPr>
          <w:spacing w:val="-4"/>
          <w:lang w:val="en-GB"/>
        </w:rPr>
        <w:t>In developing triggers, it is important that they are ‘scientifically robust, evidence based, transparent and provide certainty for communities and water users’ (MDBA, sub. DR186, p. 2)</w:t>
      </w:r>
      <w:r w:rsidRPr="00C40AF3">
        <w:rPr>
          <w:spacing w:val="-4"/>
        </w:rPr>
        <w:t>.</w:t>
      </w:r>
      <w:r w:rsidRPr="00C40AF3">
        <w:rPr>
          <w:spacing w:val="-4"/>
          <w:lang w:val="en-GB"/>
        </w:rPr>
        <w:t xml:space="preserve"> </w:t>
      </w:r>
      <w:r w:rsidRPr="00C40AF3">
        <w:rPr>
          <w:rStyle w:val="normaltextrun"/>
          <w:spacing w:val="-4"/>
        </w:rPr>
        <w:t>F</w:t>
      </w:r>
      <w:r w:rsidRPr="00C40AF3">
        <w:rPr>
          <w:spacing w:val="-4"/>
          <w:lang w:val="en-GB"/>
        </w:rPr>
        <w:t xml:space="preserve">or connected systems, </w:t>
      </w:r>
      <w:r w:rsidRPr="00C40AF3">
        <w:rPr>
          <w:spacing w:val="-4"/>
        </w:rPr>
        <w:t xml:space="preserve">triggers should be integrated across jurisdictions. </w:t>
      </w:r>
      <w:r w:rsidRPr="00C40AF3">
        <w:rPr>
          <w:spacing w:val="-4"/>
          <w:lang w:val="en-GB"/>
        </w:rPr>
        <w:t>The following principles (adapted from MDBA, sub. DR186) should be considered in establishing a trigger:</w:t>
      </w:r>
    </w:p>
    <w:p w14:paraId="493E3EE2" w14:textId="77777777" w:rsidR="001054C3" w:rsidRPr="009D049E" w:rsidRDefault="001054C3" w:rsidP="00234FBE">
      <w:pPr>
        <w:pStyle w:val="ListBullet"/>
      </w:pPr>
      <w:r w:rsidRPr="009D049E">
        <w:t xml:space="preserve">The evidence for any trigger needs to be robust to </w:t>
      </w:r>
      <w:r>
        <w:t xml:space="preserve">engender </w:t>
      </w:r>
      <w:r w:rsidRPr="009D049E">
        <w:t xml:space="preserve">stakeholder trust in the management system. </w:t>
      </w:r>
      <w:r>
        <w:t>A trigger should indicate that there has been sufficient long</w:t>
      </w:r>
      <w:r>
        <w:noBreakHyphen/>
        <w:t>term change such that rebalancing</w:t>
      </w:r>
      <w:r w:rsidRPr="0030499C">
        <w:t xml:space="preserve"> </w:t>
      </w:r>
      <w:r>
        <w:t xml:space="preserve">is agreed to be </w:t>
      </w:r>
      <w:r w:rsidRPr="0030499C">
        <w:t>necessary</w:t>
      </w:r>
      <w:r>
        <w:t>.</w:t>
      </w:r>
    </w:p>
    <w:p w14:paraId="73FF4308" w14:textId="77777777" w:rsidR="001054C3" w:rsidRPr="009D049E" w:rsidRDefault="001054C3" w:rsidP="00234FBE">
      <w:pPr>
        <w:pStyle w:val="ListBullet"/>
      </w:pPr>
      <w:r w:rsidRPr="009D049E">
        <w:t xml:space="preserve">For </w:t>
      </w:r>
      <w:r>
        <w:t>inter</w:t>
      </w:r>
      <w:r w:rsidRPr="009D049E">
        <w:t>connected systems, triggers should take into consideration the impact on other users.</w:t>
      </w:r>
    </w:p>
    <w:p w14:paraId="22BB8F6E" w14:textId="77777777" w:rsidR="001054C3" w:rsidRPr="009D049E" w:rsidRDefault="001054C3" w:rsidP="00234FBE">
      <w:pPr>
        <w:pStyle w:val="ListBullet"/>
      </w:pPr>
      <w:r w:rsidRPr="009D049E">
        <w:t xml:space="preserve">Water users require </w:t>
      </w:r>
      <w:r>
        <w:t xml:space="preserve">certainty </w:t>
      </w:r>
      <w:r w:rsidRPr="009D049E">
        <w:t>and transparency to enable them to make business decisions.</w:t>
      </w:r>
      <w:r>
        <w:t xml:space="preserve"> </w:t>
      </w:r>
      <w:r w:rsidRPr="009D049E">
        <w:t>Triggers should not require frequent rebalancing and should enable certainty for water users.</w:t>
      </w:r>
      <w:r>
        <w:t xml:space="preserve"> </w:t>
      </w:r>
    </w:p>
    <w:p w14:paraId="107A3CD1" w14:textId="77777777" w:rsidR="001054C3" w:rsidRPr="009D049E" w:rsidRDefault="001054C3" w:rsidP="00234FBE">
      <w:pPr>
        <w:pStyle w:val="ListBullet"/>
      </w:pPr>
      <w:r w:rsidRPr="009D049E">
        <w:lastRenderedPageBreak/>
        <w:t xml:space="preserve">The process for determining the trigger should </w:t>
      </w:r>
      <w:r>
        <w:t xml:space="preserve">include </w:t>
      </w:r>
      <w:r w:rsidRPr="009D049E">
        <w:t>consultation with stakeholders prior to the trigger</w:t>
      </w:r>
      <w:r>
        <w:t xml:space="preserve"> being established</w:t>
      </w:r>
      <w:r w:rsidRPr="009D049E">
        <w:t>.</w:t>
      </w:r>
    </w:p>
    <w:p w14:paraId="3C7BC6D6" w14:textId="77777777" w:rsidR="001054C3" w:rsidRPr="0077608B" w:rsidRDefault="001054C3" w:rsidP="00234FBE">
      <w:pPr>
        <w:pStyle w:val="BodyText"/>
        <w:rPr>
          <w:rStyle w:val="normaltextrun"/>
        </w:rPr>
      </w:pPr>
      <w:r w:rsidRPr="009D049E">
        <w:t xml:space="preserve">Overall, Governments will </w:t>
      </w:r>
      <w:r w:rsidRPr="001A25AD">
        <w:rPr>
          <w:rStyle w:val="normaltextrun"/>
        </w:rPr>
        <w:t xml:space="preserve">need to consider </w:t>
      </w:r>
      <w:r w:rsidRPr="00AB7CBC">
        <w:rPr>
          <w:rStyle w:val="normaltextrun"/>
        </w:rPr>
        <w:t xml:space="preserve">the options for determining when </w:t>
      </w:r>
      <w:r>
        <w:rPr>
          <w:rStyle w:val="normaltextrun"/>
        </w:rPr>
        <w:t>rebalancing may be required</w:t>
      </w:r>
      <w:r w:rsidRPr="00A85F03">
        <w:rPr>
          <w:rStyle w:val="normaltextrun"/>
        </w:rPr>
        <w:t xml:space="preserve"> and decide what is suitable for the</w:t>
      </w:r>
      <w:r>
        <w:rPr>
          <w:rStyle w:val="normaltextrun"/>
        </w:rPr>
        <w:t>ir communities.</w:t>
      </w:r>
    </w:p>
    <w:p w14:paraId="7387E052" w14:textId="77777777" w:rsidR="001054C3" w:rsidRDefault="001054C3" w:rsidP="00234FBE">
      <w:pPr>
        <w:pStyle w:val="BodyText"/>
        <w:rPr>
          <w:lang w:val="en-GB"/>
        </w:rPr>
      </w:pPr>
      <w:r w:rsidRPr="009D049E">
        <w:t xml:space="preserve">Decisions on rebalancing </w:t>
      </w:r>
      <w:r>
        <w:t xml:space="preserve">are likely to </w:t>
      </w:r>
      <w:r w:rsidRPr="009D049E">
        <w:t xml:space="preserve">be highly contested. Decision making processes need to be timely and </w:t>
      </w:r>
      <w:r>
        <w:t xml:space="preserve">outcomes should be </w:t>
      </w:r>
      <w:r w:rsidRPr="009D049E">
        <w:t>definitive to enable decisions to be taken in this context</w:t>
      </w:r>
      <w:r>
        <w:t>.</w:t>
      </w:r>
    </w:p>
    <w:p w14:paraId="3EB5AF29" w14:textId="77777777" w:rsidR="001054C3" w:rsidRPr="00482A0E" w:rsidRDefault="001054C3" w:rsidP="00234FBE">
      <w:pPr>
        <w:pStyle w:val="BodyText"/>
        <w:keepNext/>
        <w:rPr>
          <w:lang w:val="en-GB"/>
        </w:rPr>
      </w:pPr>
      <w:r>
        <w:rPr>
          <w:lang w:val="en-GB"/>
        </w:rPr>
        <w:t>When the trigger is reached, it should set in train a</w:t>
      </w:r>
      <w:r w:rsidRPr="00482A0E">
        <w:rPr>
          <w:lang w:val="en-GB"/>
        </w:rPr>
        <w:t xml:space="preserve"> process </w:t>
      </w:r>
      <w:r>
        <w:rPr>
          <w:lang w:val="en-GB"/>
        </w:rPr>
        <w:t>that includes:</w:t>
      </w:r>
    </w:p>
    <w:p w14:paraId="5B0D9E05" w14:textId="77777777" w:rsidR="001054C3" w:rsidRPr="00482A0E" w:rsidRDefault="001054C3" w:rsidP="00234FBE">
      <w:pPr>
        <w:pStyle w:val="ListBullet"/>
        <w:rPr>
          <w:lang w:val="en-GB"/>
        </w:rPr>
      </w:pPr>
      <w:r>
        <w:rPr>
          <w:lang w:val="en-GB"/>
        </w:rPr>
        <w:t>reviewing the</w:t>
      </w:r>
      <w:r w:rsidRPr="00482A0E">
        <w:rPr>
          <w:lang w:val="en-GB"/>
        </w:rPr>
        <w:t xml:space="preserve"> plan</w:t>
      </w:r>
      <w:r>
        <w:rPr>
          <w:lang w:val="en-GB"/>
        </w:rPr>
        <w:t>’s</w:t>
      </w:r>
      <w:r w:rsidRPr="00482A0E">
        <w:rPr>
          <w:lang w:val="en-GB"/>
        </w:rPr>
        <w:t xml:space="preserve"> objectives and outcomes</w:t>
      </w:r>
      <w:r>
        <w:rPr>
          <w:lang w:val="en-GB"/>
        </w:rPr>
        <w:t xml:space="preserve"> (including environment, economic and social) </w:t>
      </w:r>
      <w:r w:rsidRPr="00482A0E">
        <w:rPr>
          <w:lang w:val="en-GB"/>
        </w:rPr>
        <w:t xml:space="preserve">and </w:t>
      </w:r>
      <w:r>
        <w:rPr>
          <w:lang w:val="en-GB"/>
        </w:rPr>
        <w:t>reaching agreement</w:t>
      </w:r>
      <w:r w:rsidRPr="00482A0E">
        <w:rPr>
          <w:lang w:val="en-GB"/>
        </w:rPr>
        <w:t xml:space="preserve"> to either retain or change</w:t>
      </w:r>
      <w:r>
        <w:rPr>
          <w:lang w:val="en-GB"/>
        </w:rPr>
        <w:t xml:space="preserve"> them based on community engagement and </w:t>
      </w:r>
      <w:r w:rsidRPr="00E772DF">
        <w:rPr>
          <w:lang w:val="en-GB"/>
        </w:rPr>
        <w:t>a clear cost</w:t>
      </w:r>
      <w:r>
        <w:rPr>
          <w:lang w:val="en-GB"/>
        </w:rPr>
        <w:t>–</w:t>
      </w:r>
      <w:r w:rsidRPr="00E772DF">
        <w:rPr>
          <w:lang w:val="en-GB"/>
        </w:rPr>
        <w:t>benefit analysis</w:t>
      </w:r>
    </w:p>
    <w:p w14:paraId="347415C3" w14:textId="77777777" w:rsidR="001054C3" w:rsidRDefault="001054C3" w:rsidP="00234FBE">
      <w:pPr>
        <w:pStyle w:val="ListBullet"/>
        <w:rPr>
          <w:lang w:val="en-GB"/>
        </w:rPr>
      </w:pPr>
      <w:r>
        <w:rPr>
          <w:lang w:val="en-GB"/>
        </w:rPr>
        <w:t>identifying options</w:t>
      </w:r>
      <w:r w:rsidDel="005F3F52">
        <w:rPr>
          <w:lang w:val="en-GB"/>
        </w:rPr>
        <w:t xml:space="preserve"> </w:t>
      </w:r>
      <w:r>
        <w:rPr>
          <w:lang w:val="en-GB"/>
        </w:rPr>
        <w:t xml:space="preserve">to </w:t>
      </w:r>
      <w:r w:rsidRPr="00482A0E">
        <w:rPr>
          <w:lang w:val="en-GB"/>
        </w:rPr>
        <w:t xml:space="preserve">meet the new objectives and </w:t>
      </w:r>
      <w:r>
        <w:rPr>
          <w:lang w:val="en-GB"/>
        </w:rPr>
        <w:t xml:space="preserve">agreed </w:t>
      </w:r>
      <w:r w:rsidRPr="00482A0E">
        <w:rPr>
          <w:lang w:val="en-GB"/>
        </w:rPr>
        <w:t>outcomes</w:t>
      </w:r>
      <w:r>
        <w:rPr>
          <w:lang w:val="en-GB"/>
        </w:rPr>
        <w:t>, and selecting the option that achieves this most cost</w:t>
      </w:r>
      <w:r>
        <w:rPr>
          <w:lang w:val="en-GB"/>
        </w:rPr>
        <w:noBreakHyphen/>
        <w:t>effectively. This needs to consider all options across all user groups. For example, in addition to changes to environmental and consumptive shares, it could include</w:t>
      </w:r>
      <w:r w:rsidRPr="0066694C">
        <w:rPr>
          <w:lang w:val="en-GB"/>
        </w:rPr>
        <w:t xml:space="preserve"> </w:t>
      </w:r>
      <w:r>
        <w:rPr>
          <w:lang w:val="en-GB"/>
        </w:rPr>
        <w:t xml:space="preserve">investments in </w:t>
      </w:r>
      <w:r w:rsidRPr="0066694C">
        <w:rPr>
          <w:lang w:val="en-GB"/>
        </w:rPr>
        <w:t>innovations and efficiencies</w:t>
      </w:r>
      <w:r>
        <w:rPr>
          <w:lang w:val="en-GB"/>
        </w:rPr>
        <w:t xml:space="preserve"> to reduce water use, </w:t>
      </w:r>
      <w:r w:rsidRPr="000A02D3">
        <w:rPr>
          <w:lang w:val="en-GB"/>
        </w:rPr>
        <w:t xml:space="preserve">increasing </w:t>
      </w:r>
      <w:r>
        <w:rPr>
          <w:lang w:val="en-GB"/>
        </w:rPr>
        <w:t xml:space="preserve">use of alternative </w:t>
      </w:r>
      <w:r w:rsidRPr="000A02D3">
        <w:rPr>
          <w:lang w:val="en-GB"/>
        </w:rPr>
        <w:t>water supplies</w:t>
      </w:r>
      <w:r>
        <w:rPr>
          <w:lang w:val="en-GB"/>
        </w:rPr>
        <w:t xml:space="preserve"> and </w:t>
      </w:r>
      <w:r w:rsidRPr="0066694C">
        <w:rPr>
          <w:lang w:val="en-GB"/>
        </w:rPr>
        <w:t>changes in passing flows</w:t>
      </w:r>
      <w:r>
        <w:rPr>
          <w:lang w:val="en-GB"/>
        </w:rPr>
        <w:t xml:space="preserve"> and environmental works</w:t>
      </w:r>
    </w:p>
    <w:p w14:paraId="64739B8D" w14:textId="77777777" w:rsidR="001054C3" w:rsidRDefault="001054C3" w:rsidP="00234FBE">
      <w:pPr>
        <w:pStyle w:val="ListBullet"/>
        <w:rPr>
          <w:lang w:val="en-GB"/>
        </w:rPr>
      </w:pPr>
      <w:r w:rsidRPr="0084655A">
        <w:rPr>
          <w:lang w:val="en-GB"/>
        </w:rPr>
        <w:t>agreeing a mechanism to transition to the new balance</w:t>
      </w:r>
      <w:r>
        <w:rPr>
          <w:lang w:val="en-GB"/>
        </w:rPr>
        <w:t>.</w:t>
      </w:r>
    </w:p>
    <w:p w14:paraId="42235587" w14:textId="77777777" w:rsidR="001054C3" w:rsidRPr="00C40AF3" w:rsidRDefault="001054C3" w:rsidP="00234FBE">
      <w:pPr>
        <w:pStyle w:val="BodyText"/>
        <w:rPr>
          <w:spacing w:val="-2"/>
          <w:lang w:val="en-GB"/>
        </w:rPr>
      </w:pPr>
      <w:r w:rsidRPr="00C40AF3">
        <w:rPr>
          <w:spacing w:val="-2"/>
          <w:lang w:val="en-GB"/>
        </w:rPr>
        <w:t>In making these trade</w:t>
      </w:r>
      <w:r w:rsidRPr="00C40AF3">
        <w:rPr>
          <w:spacing w:val="-2"/>
          <w:lang w:val="en-GB"/>
        </w:rPr>
        <w:noBreakHyphen/>
        <w:t xml:space="preserve">offs, it should not be assumed that the consumptive or environmental objectives that were originally set in water plans remain appropriate for a drier climate. The feasibility of achieving any specific past objective could be significantly reduced under a drier climate and the cost of addressing this, if possible at all, may be high. </w:t>
      </w:r>
      <w:r w:rsidRPr="00C40AF3">
        <w:rPr>
          <w:spacing w:val="-2"/>
        </w:rPr>
        <w:t xml:space="preserve">Accordingly, managing the water resource in the best interests of the community overall might entail revising environmental objectives, for example, by accepting that some wetlands and streams will transition to a different flow regime under a drier climate. An ongoing reduction in water availability will also have consequences for consumptive uses, with some potentially no longer able to be met. </w:t>
      </w:r>
      <w:r w:rsidRPr="00C40AF3">
        <w:rPr>
          <w:spacing w:val="-2"/>
          <w:lang w:val="en-GB"/>
        </w:rPr>
        <w:t>The rebalanced plan could also identify some agreed contingency actions to be taken in the event that climate change impacts materialise faster than predicted. This would enable communities to avoid frequent major rebalancing exercises.</w:t>
      </w:r>
    </w:p>
    <w:p w14:paraId="6094E5B2" w14:textId="77777777" w:rsidR="001054C3" w:rsidRDefault="001054C3" w:rsidP="00234FBE">
      <w:pPr>
        <w:pStyle w:val="BodyText"/>
      </w:pPr>
      <w:r w:rsidRPr="00E07F97">
        <w:rPr>
          <w:lang w:val="en-GB"/>
        </w:rPr>
        <w:t xml:space="preserve">The process </w:t>
      </w:r>
      <w:r>
        <w:rPr>
          <w:lang w:val="en-GB"/>
        </w:rPr>
        <w:t>for a rebalancing review should adopt the same best</w:t>
      </w:r>
      <w:r>
        <w:rPr>
          <w:lang w:val="en-GB"/>
        </w:rPr>
        <w:noBreakHyphen/>
        <w:t>practice principles as for any water planning process (discussed above). In particular, it requires e</w:t>
      </w:r>
      <w:r w:rsidRPr="0051397B">
        <w:rPr>
          <w:lang w:val="en-GB"/>
        </w:rPr>
        <w:t xml:space="preserve">ffective community partnerships and engagement processes </w:t>
      </w:r>
      <w:r>
        <w:rPr>
          <w:lang w:val="en-GB"/>
        </w:rPr>
        <w:t>(</w:t>
      </w:r>
      <w:r w:rsidRPr="0051397B">
        <w:rPr>
          <w:lang w:val="en-GB"/>
        </w:rPr>
        <w:t>particularly with communities that will be affected</w:t>
      </w:r>
      <w:r>
        <w:rPr>
          <w:lang w:val="en-GB"/>
        </w:rPr>
        <w:t>) (</w:t>
      </w:r>
      <w:r>
        <w:t>SP </w:t>
      </w:r>
      <w:r w:rsidRPr="00FB07A4">
        <w:t>J </w:t>
      </w:r>
      <w:r>
        <w:rPr>
          <w:i/>
          <w:iCs/>
        </w:rPr>
        <w:t>Engagement</w:t>
      </w:r>
      <w:r w:rsidRPr="00514901">
        <w:t>)</w:t>
      </w:r>
      <w:r>
        <w:rPr>
          <w:lang w:val="en-GB"/>
        </w:rPr>
        <w:t xml:space="preserve">, must recognise the needs of Aboriginal and Torres Strait Islander people, </w:t>
      </w:r>
      <w:r>
        <w:t>must be i</w:t>
      </w:r>
      <w:r w:rsidRPr="00DE3F3F">
        <w:t xml:space="preserve">nformed by </w:t>
      </w:r>
      <w:r>
        <w:t xml:space="preserve">the best available environmental, social and economic </w:t>
      </w:r>
      <w:r w:rsidRPr="00DE3F3F">
        <w:t>dat</w:t>
      </w:r>
      <w:r>
        <w:t>a and should be transparent. Importantly, entitlements must be respected in the process.</w:t>
      </w:r>
    </w:p>
    <w:p w14:paraId="4B3CCCB5" w14:textId="77777777" w:rsidR="001054C3" w:rsidRPr="0084655A" w:rsidRDefault="001054C3" w:rsidP="00234FBE">
      <w:pPr>
        <w:pStyle w:val="BodyText"/>
        <w:rPr>
          <w:lang w:val="en-GB"/>
        </w:rPr>
      </w:pPr>
      <w:r>
        <w:t>A more detailed discussion of rebalancing environmental and consumptive shares in the context of structural change in water availability, and potential triggers for rebalancing, is provided in SP A </w:t>
      </w:r>
      <w:r w:rsidRPr="00A203DF">
        <w:rPr>
          <w:i/>
          <w:iCs/>
        </w:rPr>
        <w:t xml:space="preserve">Entitlements and </w:t>
      </w:r>
      <w:r>
        <w:rPr>
          <w:i/>
          <w:iCs/>
        </w:rPr>
        <w:t>p</w:t>
      </w:r>
      <w:r w:rsidRPr="00A203DF">
        <w:rPr>
          <w:i/>
          <w:iCs/>
        </w:rPr>
        <w:t>lanning</w:t>
      </w:r>
      <w:r>
        <w:t xml:space="preserve">. </w:t>
      </w:r>
    </w:p>
    <w:p w14:paraId="76861CEF" w14:textId="77777777" w:rsidR="001054C3" w:rsidRDefault="001054C3" w:rsidP="00234FBE">
      <w:pPr>
        <w:pStyle w:val="BodyText"/>
        <w:rPr>
          <w:spacing w:val="-2"/>
        </w:rPr>
      </w:pPr>
      <w:r w:rsidRPr="007B0267">
        <w:rPr>
          <w:spacing w:val="-2"/>
          <w:lang w:val="en-GB"/>
        </w:rPr>
        <w:lastRenderedPageBreak/>
        <w:t xml:space="preserve">Finally, there needs to be clarity about who bears the risks of any future declines in water availability for consumptive use due to </w:t>
      </w:r>
      <w:r>
        <w:rPr>
          <w:spacing w:val="-2"/>
          <w:lang w:val="en-GB"/>
        </w:rPr>
        <w:t>revisions</w:t>
      </w:r>
      <w:r w:rsidRPr="007B0267">
        <w:rPr>
          <w:spacing w:val="-2"/>
          <w:lang w:val="en-GB"/>
        </w:rPr>
        <w:t xml:space="preserve"> </w:t>
      </w:r>
      <w:r>
        <w:rPr>
          <w:spacing w:val="-2"/>
          <w:lang w:val="en-GB"/>
        </w:rPr>
        <w:t>to</w:t>
      </w:r>
      <w:r w:rsidRPr="007B0267">
        <w:rPr>
          <w:spacing w:val="-2"/>
          <w:lang w:val="en-GB"/>
        </w:rPr>
        <w:t xml:space="preserve"> the balance set in water plans. </w:t>
      </w:r>
      <w:r>
        <w:t>T</w:t>
      </w:r>
      <w:r w:rsidRPr="00D814EC">
        <w:t>he NWI expects that entitlement holders bear the risks of changes to the quantity or reliability of water allocations as a result of seasonal or long</w:t>
      </w:r>
      <w:r>
        <w:noBreakHyphen/>
      </w:r>
      <w:r w:rsidRPr="00D814EC">
        <w:t>term changes in climate, and natural events such as bushfire and drought.</w:t>
      </w:r>
      <w:r>
        <w:t xml:space="preserve"> However, participants have raised concerns about a lack of clarity in the risk assignment framework. </w:t>
      </w:r>
      <w:r>
        <w:rPr>
          <w:spacing w:val="-2"/>
        </w:rPr>
        <w:t>The Commission considers that the</w:t>
      </w:r>
      <w:r w:rsidRPr="007B0267" w:rsidDel="009E5102">
        <w:rPr>
          <w:spacing w:val="-2"/>
        </w:rPr>
        <w:t xml:space="preserve"> </w:t>
      </w:r>
      <w:r w:rsidRPr="007B0267">
        <w:rPr>
          <w:spacing w:val="-2"/>
        </w:rPr>
        <w:t xml:space="preserve">renewed NWI should have clear provisions for assigning these risks, with water access entitlement holders continuing to bear the risks to the consumptive pool arising from climate change and periodic natural events (as reflected in paragraph 48 of the NWI). There is also a need to clarify how the risk provisions would interact with the adopted rebalancing approach, and to provide additional guidance on transitioning to the new balance when rebalancing is required. </w:t>
      </w:r>
    </w:p>
    <w:p w14:paraId="1210ED38" w14:textId="77777777" w:rsidR="001054C3" w:rsidRDefault="001054C3" w:rsidP="00883577">
      <w:pPr>
        <w:pStyle w:val="Heading4"/>
      </w:pPr>
      <w:r>
        <w:t>Principles for climate data and modelling</w:t>
      </w:r>
    </w:p>
    <w:p w14:paraId="2E694281" w14:textId="77777777" w:rsidR="001054C3" w:rsidRDefault="001054C3" w:rsidP="00234FBE">
      <w:pPr>
        <w:pStyle w:val="BodyText"/>
      </w:pPr>
      <w:r>
        <w:t>Analysis of climate change data and modelling will underpin the above processes for dealing with climate change through water planning. States are adopting various approaches to climate modelling. Whilst different approaches will be appropriate in different water systems, there is merit in including a consistent set of principles in a renewed NWI to ensure all jurisdictions are held to the same standard of information. Importantly, modelling should be undertaken at the water system scale; where a system is across multiple jurisdictions, a consistent approach is required. In addition, climate modelling and information is most valued when its quality is assured (chapter 10). A number of factors can help to build credibility, including ensuring that:</w:t>
      </w:r>
    </w:p>
    <w:p w14:paraId="17291B71" w14:textId="77777777" w:rsidR="001054C3" w:rsidRDefault="001054C3" w:rsidP="00234FBE">
      <w:pPr>
        <w:pStyle w:val="ListBullet"/>
      </w:pPr>
      <w:r>
        <w:t>climate models are regularly tested, evaluated and updated to encourage ongoing improvement, ensure that they are fit for purpose and are using the most appropriate and up to date scientific knowledge</w:t>
      </w:r>
    </w:p>
    <w:p w14:paraId="1F0E89F5" w14:textId="77777777" w:rsidR="001054C3" w:rsidRPr="00864202" w:rsidRDefault="001054C3" w:rsidP="00234FBE">
      <w:pPr>
        <w:pStyle w:val="ListBullet"/>
        <w:rPr>
          <w:szCs w:val="24"/>
        </w:rPr>
      </w:pPr>
      <w:r>
        <w:t>t</w:t>
      </w:r>
      <w:r w:rsidRPr="00864202">
        <w:t>he</w:t>
      </w:r>
      <w:r w:rsidRPr="00864202">
        <w:rPr>
          <w:szCs w:val="24"/>
        </w:rPr>
        <w:t xml:space="preserve"> best available data are used to establish, calibrate and validate models and methods</w:t>
      </w:r>
    </w:p>
    <w:p w14:paraId="0BCF2F8F" w14:textId="77777777" w:rsidR="001054C3" w:rsidRPr="00864202" w:rsidRDefault="001054C3" w:rsidP="00234FBE">
      <w:pPr>
        <w:pStyle w:val="ListBullet"/>
        <w:rPr>
          <w:szCs w:val="24"/>
        </w:rPr>
      </w:pPr>
      <w:r>
        <w:t>m</w:t>
      </w:r>
      <w:r w:rsidRPr="00864202">
        <w:t>odel</w:t>
      </w:r>
      <w:r w:rsidRPr="00864202">
        <w:rPr>
          <w:szCs w:val="24"/>
        </w:rPr>
        <w:t xml:space="preserve"> methodologies are documented and made publicly available</w:t>
      </w:r>
    </w:p>
    <w:p w14:paraId="2660333A" w14:textId="77777777" w:rsidR="001054C3" w:rsidRPr="00864202" w:rsidRDefault="001054C3" w:rsidP="00234FBE">
      <w:pPr>
        <w:pStyle w:val="ListBullet"/>
      </w:pPr>
      <w:r>
        <w:t>m</w:t>
      </w:r>
      <w:r w:rsidRPr="00864202">
        <w:t>odels</w:t>
      </w:r>
      <w:r>
        <w:t xml:space="preserve"> and methods are subject to independent peer review or accreditation (SP E </w:t>
      </w:r>
      <w:r w:rsidRPr="005D1107">
        <w:rPr>
          <w:i/>
          <w:iCs/>
        </w:rPr>
        <w:t>Integrity</w:t>
      </w:r>
      <w:r>
        <w:t>, box 9).</w:t>
      </w:r>
    </w:p>
    <w:p w14:paraId="539A0D56" w14:textId="77777777" w:rsidR="001054C3" w:rsidRPr="007B0267" w:rsidRDefault="001054C3" w:rsidP="00234FBE">
      <w:pPr>
        <w:pStyle w:val="BodyText"/>
        <w:rPr>
          <w:spacing w:val="-2"/>
          <w:lang w:val="en-GB"/>
        </w:rPr>
      </w:pPr>
    </w:p>
    <w:p w14:paraId="57FE9134" w14:textId="77777777" w:rsidR="001054C3" w:rsidRDefault="001054C3" w:rsidP="00234FBE">
      <w:pPr>
        <w:keepNext/>
        <w:keepLines/>
        <w:spacing w:before="24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F94210" w14:paraId="4EA3F905"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C15667C" w14:textId="77777777" w:rsidR="001054C3" w:rsidRPr="00F94210" w:rsidRDefault="001054C3" w:rsidP="00234FBE">
            <w:pPr>
              <w:keepNext/>
              <w:keepLines/>
              <w:spacing w:before="120" w:line="280" w:lineRule="atLeast"/>
              <w:jc w:val="both"/>
              <w:rPr>
                <w:rFonts w:ascii="Arial" w:hAnsi="Arial"/>
                <w:caps/>
                <w:noProof/>
                <w:sz w:val="18"/>
                <w:szCs w:val="20"/>
              </w:rPr>
            </w:pPr>
            <w:r>
              <w:rPr>
                <w:rFonts w:ascii="Arial" w:hAnsi="Arial"/>
                <w:caps/>
                <w:sz w:val="18"/>
                <w:szCs w:val="20"/>
              </w:rPr>
              <w:t>NWI RENEWAL advice 6.2: WAter planning</w:t>
            </w:r>
          </w:p>
          <w:p w14:paraId="3C0980C8" w14:textId="77777777" w:rsidR="001054C3" w:rsidRPr="0014769A" w:rsidRDefault="001054C3" w:rsidP="00234FBE">
            <w:pPr>
              <w:pStyle w:val="Rec"/>
            </w:pPr>
            <w:r w:rsidRPr="0014769A">
              <w:t xml:space="preserve">In renegotiating the </w:t>
            </w:r>
            <w:r>
              <w:t>National Water Initiative (NWI)</w:t>
            </w:r>
            <w:r w:rsidRPr="0014769A">
              <w:t xml:space="preserve">, State and Territory Governments should ensure that </w:t>
            </w:r>
            <w:r>
              <w:t xml:space="preserve">water </w:t>
            </w:r>
            <w:r w:rsidRPr="0014769A">
              <w:t xml:space="preserve">planning </w:t>
            </w:r>
            <w:r>
              <w:t>provisions</w:t>
            </w:r>
            <w:r w:rsidRPr="0014769A">
              <w:t xml:space="preserve"> are maintained and </w:t>
            </w:r>
            <w:r>
              <w:t>enhanced</w:t>
            </w:r>
            <w:r w:rsidRPr="0014769A">
              <w:t>.</w:t>
            </w:r>
          </w:p>
          <w:p w14:paraId="539E5B69" w14:textId="77777777" w:rsidR="001054C3" w:rsidRDefault="001054C3" w:rsidP="00234FBE">
            <w:pPr>
              <w:pStyle w:val="Rec"/>
            </w:pPr>
            <w:r>
              <w:t>P</w:t>
            </w:r>
            <w:r w:rsidRPr="0014769A">
              <w:t xml:space="preserve">riorities </w:t>
            </w:r>
            <w:r>
              <w:t xml:space="preserve">to improve water planning </w:t>
            </w:r>
            <w:r w:rsidRPr="0014769A">
              <w:t>are</w:t>
            </w:r>
            <w:r>
              <w:t xml:space="preserve"> to</w:t>
            </w:r>
            <w:r w:rsidRPr="0014769A">
              <w:t>:</w:t>
            </w:r>
          </w:p>
          <w:p w14:paraId="7D25B46A" w14:textId="77777777" w:rsidR="001054C3" w:rsidRDefault="001054C3" w:rsidP="00234FBE">
            <w:pPr>
              <w:pStyle w:val="RecBullet"/>
            </w:pPr>
            <w:r>
              <w:t>better specify measurable and well</w:t>
            </w:r>
            <w:r>
              <w:noBreakHyphen/>
              <w:t>informed cultural and environmental outcomes and improve engagement with Traditional Owners</w:t>
            </w:r>
          </w:p>
          <w:p w14:paraId="2A874E94" w14:textId="77777777" w:rsidR="001054C3" w:rsidRPr="00317E89" w:rsidRDefault="001054C3" w:rsidP="00234FBE">
            <w:pPr>
              <w:pStyle w:val="RecBullet"/>
            </w:pPr>
            <w:r>
              <w:t>i</w:t>
            </w:r>
            <w:r w:rsidRPr="00317E89">
              <w:t>nclud</w:t>
            </w:r>
            <w:r>
              <w:t>e</w:t>
            </w:r>
            <w:r w:rsidRPr="00317E89">
              <w:t xml:space="preserve"> </w:t>
            </w:r>
            <w:r>
              <w:t>principles</w:t>
            </w:r>
            <w:r w:rsidRPr="00317E89">
              <w:t xml:space="preserve"> </w:t>
            </w:r>
            <w:r>
              <w:t xml:space="preserve">to frame the process for </w:t>
            </w:r>
            <w:r w:rsidRPr="00317E89">
              <w:t xml:space="preserve">assessing </w:t>
            </w:r>
            <w:r>
              <w:t xml:space="preserve">and reflecting </w:t>
            </w:r>
            <w:r w:rsidRPr="00317E89">
              <w:t xml:space="preserve">the </w:t>
            </w:r>
            <w:r>
              <w:t xml:space="preserve">relative values placed by communities on </w:t>
            </w:r>
            <w:r w:rsidRPr="00317E89">
              <w:t>environmental, social and economic outcomes</w:t>
            </w:r>
            <w:r>
              <w:t xml:space="preserve"> to inform the trade</w:t>
            </w:r>
            <w:r>
              <w:noBreakHyphen/>
              <w:t>offs that have to be made in water planning</w:t>
            </w:r>
            <w:r w:rsidRPr="00317E89">
              <w:t>. This process should be transparent</w:t>
            </w:r>
            <w:r>
              <w:t>,</w:t>
            </w:r>
            <w:r w:rsidRPr="00317E89">
              <w:t xml:space="preserve"> evidence</w:t>
            </w:r>
            <w:r>
              <w:noBreakHyphen/>
            </w:r>
            <w:r w:rsidRPr="00317E89">
              <w:t xml:space="preserve">based and </w:t>
            </w:r>
            <w:r>
              <w:t>involve</w:t>
            </w:r>
            <w:r w:rsidRPr="00317E89">
              <w:t xml:space="preserve"> </w:t>
            </w:r>
            <w:r>
              <w:t>effective</w:t>
            </w:r>
            <w:r w:rsidRPr="00317E89">
              <w:t xml:space="preserve"> engagement with stakeholders</w:t>
            </w:r>
          </w:p>
          <w:p w14:paraId="23DE5836" w14:textId="77777777" w:rsidR="001054C3" w:rsidRDefault="001054C3" w:rsidP="00234FBE">
            <w:pPr>
              <w:pStyle w:val="RecBullet"/>
            </w:pPr>
            <w:r>
              <w:t>i</w:t>
            </w:r>
            <w:r w:rsidRPr="00875A0F">
              <w:t>nclud</w:t>
            </w:r>
            <w:r>
              <w:t>e</w:t>
            </w:r>
            <w:r w:rsidRPr="00875A0F">
              <w:t xml:space="preserve"> principles for independent review of water plans. While the review processes would be determined by jurisdictions, the NWI could set out principles for reviews to promote their need to be robust and fit</w:t>
            </w:r>
            <w:r>
              <w:t xml:space="preserve"> </w:t>
            </w:r>
            <w:r w:rsidRPr="00875A0F">
              <w:t>for</w:t>
            </w:r>
            <w:r>
              <w:t xml:space="preserve"> </w:t>
            </w:r>
            <w:r w:rsidRPr="00875A0F">
              <w:t xml:space="preserve">purpose, focused on achieving </w:t>
            </w:r>
            <w:r>
              <w:t xml:space="preserve">the greatest </w:t>
            </w:r>
            <w:r w:rsidRPr="00875A0F">
              <w:t>net benefit and</w:t>
            </w:r>
            <w:r>
              <w:t xml:space="preserve"> to</w:t>
            </w:r>
            <w:r w:rsidRPr="00875A0F">
              <w:t xml:space="preserve"> involve community participation.</w:t>
            </w:r>
          </w:p>
          <w:p w14:paraId="23EADE4B" w14:textId="77777777" w:rsidR="001054C3" w:rsidRDefault="001054C3" w:rsidP="00234FBE">
            <w:pPr>
              <w:pStyle w:val="Rec"/>
            </w:pPr>
            <w:r>
              <w:t>Processes to better</w:t>
            </w:r>
            <w:r w:rsidRPr="004E25BD">
              <w:t xml:space="preserve"> account for climate change</w:t>
            </w:r>
            <w:r>
              <w:t xml:space="preserve"> are also required, including that:</w:t>
            </w:r>
          </w:p>
          <w:p w14:paraId="045EB273" w14:textId="77777777" w:rsidR="001054C3" w:rsidRDefault="001054C3" w:rsidP="00234FBE">
            <w:pPr>
              <w:pStyle w:val="RecBullet"/>
            </w:pPr>
            <w:r>
              <w:t>water plans include priorities, actions and</w:t>
            </w:r>
            <w:r w:rsidRPr="008E778E">
              <w:t xml:space="preserve"> rules </w:t>
            </w:r>
            <w:r>
              <w:t>that cover drought conditions, as well as</w:t>
            </w:r>
            <w:r w:rsidRPr="008E778E">
              <w:t xml:space="preserve"> mechanisms for de</w:t>
            </w:r>
            <w:r>
              <w:t>aling with more extreme scenarios, including clear triggers, roles and responsibilities for actions and a hierarchy of uses</w:t>
            </w:r>
          </w:p>
          <w:p w14:paraId="3FF09907" w14:textId="77777777" w:rsidR="001054C3" w:rsidRDefault="001054C3" w:rsidP="00234FBE">
            <w:pPr>
              <w:pStyle w:val="RecBullet"/>
            </w:pPr>
            <w:r>
              <w:t xml:space="preserve">water quality issues are better incorporated into water planning, particularly in drought scenarios </w:t>
            </w:r>
          </w:p>
          <w:p w14:paraId="0C2B84AD" w14:textId="77777777" w:rsidR="001054C3" w:rsidRDefault="001054C3" w:rsidP="00234FBE">
            <w:pPr>
              <w:pStyle w:val="RecBullet"/>
            </w:pPr>
            <w:r>
              <w:t xml:space="preserve">water planning processes in relatively undeveloped and developing water systems take </w:t>
            </w:r>
            <w:r w:rsidRPr="0014769A">
              <w:t>climate change</w:t>
            </w:r>
            <w:r>
              <w:t xml:space="preserve"> into account in ways that manage the risk of less water</w:t>
            </w:r>
          </w:p>
          <w:p w14:paraId="7C8DA03C" w14:textId="77777777" w:rsidR="001054C3" w:rsidRDefault="001054C3" w:rsidP="00234FBE">
            <w:pPr>
              <w:pStyle w:val="RecBullet"/>
            </w:pPr>
            <w:r w:rsidRPr="00BE3CA8">
              <w:t xml:space="preserve">as water plans reach the end of their planning cycle, review processes </w:t>
            </w:r>
            <w:r>
              <w:t>promote improved</w:t>
            </w:r>
            <w:r w:rsidRPr="00BE3CA8">
              <w:t xml:space="preserve"> water use and system </w:t>
            </w:r>
            <w:r>
              <w:t>operation to lessen risks in meeting the agreed environmental and consumptive objectives</w:t>
            </w:r>
          </w:p>
          <w:p w14:paraId="60491142" w14:textId="77777777" w:rsidR="001054C3" w:rsidRPr="00317E89" w:rsidRDefault="001054C3" w:rsidP="00234FBE">
            <w:pPr>
              <w:pStyle w:val="RecBullet"/>
            </w:pPr>
            <w:r w:rsidRPr="00317E89">
              <w:t>a process for rebalancing between environmental and consumptive uses as a result of climate change</w:t>
            </w:r>
            <w:r>
              <w:t xml:space="preserve"> is developed</w:t>
            </w:r>
            <w:r w:rsidRPr="00317E89">
              <w:t xml:space="preserve">. Rebalancing due to climate change should occur when there is sufficient evidence that the expected benefits will outweigh the likely costs. Where this occurs, </w:t>
            </w:r>
            <w:r>
              <w:t>g</w:t>
            </w:r>
            <w:r w:rsidRPr="00317E89">
              <w:t xml:space="preserve">overnments should ensure </w:t>
            </w:r>
            <w:r>
              <w:t>that a</w:t>
            </w:r>
            <w:r w:rsidRPr="00317E89">
              <w:t xml:space="preserve"> water plan </w:t>
            </w:r>
            <w:r w:rsidRPr="00D56BC5">
              <w:t xml:space="preserve">review </w:t>
            </w:r>
            <w:r w:rsidRPr="00317E89">
              <w:t xml:space="preserve">assesses the </w:t>
            </w:r>
            <w:r>
              <w:t xml:space="preserve">feasibility of the </w:t>
            </w:r>
            <w:r w:rsidRPr="00317E89">
              <w:t>objectives of the plan</w:t>
            </w:r>
            <w:r>
              <w:t>, sets new objectives that are realistic under climate change (including environmental, cultural and consumptive objectives), selects the most cost</w:t>
            </w:r>
            <w:r>
              <w:noBreakHyphen/>
              <w:t>effective option for meeting them</w:t>
            </w:r>
            <w:r w:rsidRPr="00317E89">
              <w:t xml:space="preserve"> and </w:t>
            </w:r>
            <w:r>
              <w:t>agrees a pathway to transition to the new balance. The process</w:t>
            </w:r>
            <w:r w:rsidRPr="00241C02">
              <w:t xml:space="preserve"> requires effective community partnerships and engagement, must be informed by the best available environmental, social and economic data and should be transparent</w:t>
            </w:r>
          </w:p>
          <w:p w14:paraId="6E280DBB" w14:textId="77777777" w:rsidR="001054C3" w:rsidRDefault="001054C3" w:rsidP="00234FBE">
            <w:pPr>
              <w:pStyle w:val="RecBullet"/>
            </w:pPr>
            <w:r>
              <w:t>there are clear provisions for allocating risk, with water access entitlement holders continuing to bear the risks to the consumptive pool arising from climate change and periodic natural events (as reflected in paragraph 48 of the NWI)</w:t>
            </w:r>
          </w:p>
          <w:p w14:paraId="11A3A956" w14:textId="77777777" w:rsidR="001054C3" w:rsidRPr="00B41453" w:rsidRDefault="001054C3" w:rsidP="00234FBE">
            <w:pPr>
              <w:pStyle w:val="RecBullet"/>
            </w:pPr>
            <w:r>
              <w:t>climate modelling is undertaken at the system</w:t>
            </w:r>
            <w:r w:rsidDel="008E4755">
              <w:t xml:space="preserve"> </w:t>
            </w:r>
            <w:r>
              <w:t>scale, based on the best available data and subject to on</w:t>
            </w:r>
            <w:r>
              <w:noBreakHyphen/>
              <w:t>going reviews and refinements. The models and information should be made publicly available and be subject to independent peer review or accreditation.</w:t>
            </w:r>
          </w:p>
        </w:tc>
      </w:tr>
      <w:tr w:rsidR="001054C3" w:rsidRPr="00F94210" w14:paraId="09CD2448"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395182D" w14:textId="77777777" w:rsidR="001054C3" w:rsidRPr="00F94210" w:rsidRDefault="001054C3" w:rsidP="00234FBE">
            <w:pPr>
              <w:keepNext/>
              <w:keepLines/>
              <w:spacing w:line="120" w:lineRule="exact"/>
              <w:jc w:val="both"/>
              <w:rPr>
                <w:rFonts w:ascii="Arial" w:hAnsi="Arial"/>
                <w:sz w:val="20"/>
                <w:szCs w:val="20"/>
              </w:rPr>
            </w:pPr>
          </w:p>
        </w:tc>
      </w:tr>
      <w:tr w:rsidR="001054C3" w:rsidRPr="00F94210" w14:paraId="72DD8EA1" w14:textId="77777777" w:rsidTr="00234FBE">
        <w:tc>
          <w:tcPr>
            <w:tcW w:w="5000" w:type="pct"/>
            <w:tcBorders>
              <w:top w:val="single" w:sz="6" w:space="0" w:color="0070C0"/>
              <w:left w:val="nil"/>
              <w:bottom w:val="nil"/>
              <w:right w:val="nil"/>
            </w:tcBorders>
            <w:tcMar>
              <w:left w:w="170" w:type="dxa"/>
              <w:right w:w="170" w:type="dxa"/>
            </w:tcMar>
          </w:tcPr>
          <w:p w14:paraId="1DF59EE6" w14:textId="77777777" w:rsidR="001054C3" w:rsidRPr="00F94210" w:rsidRDefault="001054C3" w:rsidP="00234FBE">
            <w:pPr>
              <w:keepLines/>
              <w:spacing w:before="60" w:after="60" w:line="80" w:lineRule="exact"/>
              <w:jc w:val="both"/>
              <w:rPr>
                <w:rFonts w:ascii="Arial" w:hAnsi="Arial"/>
                <w:sz w:val="14"/>
                <w:szCs w:val="20"/>
              </w:rPr>
            </w:pPr>
          </w:p>
        </w:tc>
      </w:tr>
    </w:tbl>
    <w:p w14:paraId="38B5B5B8" w14:textId="77777777" w:rsidR="001054C3" w:rsidRPr="00E71AFC" w:rsidRDefault="001054C3" w:rsidP="00234FBE">
      <w:pPr>
        <w:pStyle w:val="BodyText"/>
        <w:spacing w:before="0" w:line="40" w:lineRule="exact"/>
        <w:rPr>
          <w:sz w:val="12"/>
        </w:rPr>
      </w:pPr>
    </w:p>
    <w:p w14:paraId="2E0917CE" w14:textId="77777777" w:rsidR="001054C3" w:rsidRDefault="001054C3" w:rsidP="001054C3">
      <w:pPr>
        <w:sectPr w:rsidR="001054C3" w:rsidSect="001054C3">
          <w:headerReference w:type="even" r:id="rId81"/>
          <w:headerReference w:type="default" r:id="rId82"/>
          <w:footerReference w:type="even" r:id="rId83"/>
          <w:footerReference w:type="default" r:id="rId84"/>
          <w:type w:val="oddPage"/>
          <w:pgSz w:w="11907" w:h="16840" w:code="9"/>
          <w:pgMar w:top="1985" w:right="1304" w:bottom="1247" w:left="1814" w:header="1701" w:footer="397" w:gutter="0"/>
          <w:pgNumType w:chapSep="period"/>
          <w:cols w:space="720"/>
          <w:docGrid w:linePitch="326"/>
        </w:sectPr>
      </w:pPr>
    </w:p>
    <w:p w14:paraId="2DE30A03" w14:textId="77777777" w:rsidR="001054C3" w:rsidRDefault="001054C3" w:rsidP="00234FBE">
      <w:pPr>
        <w:pStyle w:val="Heading1"/>
        <w:spacing w:before="0"/>
      </w:pPr>
      <w:bookmarkStart w:id="101" w:name="_Toc55806496"/>
      <w:bookmarkStart w:id="102" w:name="_Toc55890190"/>
      <w:bookmarkStart w:id="103" w:name="_Toc63112471"/>
      <w:bookmarkStart w:id="104" w:name="_Toc72939509"/>
      <w:r>
        <w:lastRenderedPageBreak/>
        <w:t>7</w:t>
      </w:r>
      <w:r>
        <w:tab/>
        <w:t xml:space="preserve">Water trading </w:t>
      </w:r>
      <w:bookmarkEnd w:id="101"/>
      <w:bookmarkEnd w:id="102"/>
      <w:r>
        <w:t>and markets</w:t>
      </w:r>
      <w:bookmarkEnd w:id="103"/>
      <w:bookmarkEnd w:id="104"/>
    </w:p>
    <w:p w14:paraId="7A03D633" w14:textId="77777777" w:rsidR="001054C3" w:rsidRPr="00C30F77" w:rsidRDefault="001054C3" w:rsidP="00234FBE">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C30F77" w14:paraId="4D1E5BD2" w14:textId="77777777" w:rsidTr="00234FBE">
        <w:trPr>
          <w:tblHeader/>
        </w:trPr>
        <w:tc>
          <w:tcPr>
            <w:tcW w:w="5000" w:type="pct"/>
            <w:tcBorders>
              <w:top w:val="single" w:sz="6" w:space="0" w:color="78A22F"/>
              <w:left w:val="nil"/>
              <w:bottom w:val="nil"/>
              <w:right w:val="nil"/>
            </w:tcBorders>
            <w:shd w:val="clear" w:color="auto" w:fill="F2F2F2"/>
          </w:tcPr>
          <w:p w14:paraId="003D5CD1" w14:textId="77777777" w:rsidR="001054C3" w:rsidRPr="00C30F77" w:rsidRDefault="001054C3" w:rsidP="00234FBE">
            <w:pPr>
              <w:keepNext/>
              <w:keepLines/>
              <w:spacing w:before="120" w:line="280" w:lineRule="exact"/>
              <w:ind w:left="1474" w:hanging="1474"/>
              <w:rPr>
                <w:rFonts w:ascii="Arial" w:hAnsi="Arial"/>
                <w:b/>
                <w:sz w:val="22"/>
                <w:szCs w:val="22"/>
                <w:lang w:eastAsia="en-US"/>
              </w:rPr>
            </w:pPr>
            <w:r w:rsidRPr="00C30F77">
              <w:rPr>
                <w:rFonts w:ascii="Arial" w:hAnsi="Arial"/>
                <w:b/>
                <w:sz w:val="22"/>
                <w:szCs w:val="22"/>
                <w:lang w:eastAsia="en-US"/>
              </w:rPr>
              <w:t>Key points</w:t>
            </w:r>
          </w:p>
        </w:tc>
      </w:tr>
      <w:tr w:rsidR="001054C3" w:rsidRPr="00C30F77" w14:paraId="4F694C24" w14:textId="77777777" w:rsidTr="00234FBE">
        <w:tc>
          <w:tcPr>
            <w:tcW w:w="5000" w:type="pct"/>
            <w:tcBorders>
              <w:top w:val="nil"/>
              <w:left w:val="nil"/>
              <w:bottom w:val="nil"/>
              <w:right w:val="nil"/>
            </w:tcBorders>
            <w:shd w:val="clear" w:color="auto" w:fill="F2F2F2"/>
          </w:tcPr>
          <w:p w14:paraId="20B57357" w14:textId="77777777" w:rsidR="001054C3" w:rsidRPr="00C30F77" w:rsidRDefault="001054C3" w:rsidP="00234FBE">
            <w:pPr>
              <w:pStyle w:val="KeyPointsListBullet"/>
            </w:pPr>
            <w:r>
              <w:t xml:space="preserve">Reforms have </w:t>
            </w:r>
            <w:r w:rsidRPr="00C30F77">
              <w:t>facilitate</w:t>
            </w:r>
            <w:r>
              <w:t>d</w:t>
            </w:r>
            <w:r w:rsidRPr="00C30F77">
              <w:t xml:space="preserve"> the development of </w:t>
            </w:r>
            <w:r>
              <w:t xml:space="preserve">water </w:t>
            </w:r>
            <w:r w:rsidRPr="00C30F77">
              <w:t>markets</w:t>
            </w:r>
            <w:r>
              <w:t>, which in turn have allowed a significant growth in trade and development of irrigation industries over the past 30 years</w:t>
            </w:r>
            <w:r w:rsidRPr="00C30F77">
              <w:t>.</w:t>
            </w:r>
          </w:p>
          <w:p w14:paraId="6C168F9E" w14:textId="77777777" w:rsidR="001054C3" w:rsidRPr="00C30F77" w:rsidRDefault="001054C3" w:rsidP="00234FBE">
            <w:pPr>
              <w:pStyle w:val="KeyPointsListBullet"/>
            </w:pPr>
            <w:r w:rsidRPr="00C30F77">
              <w:t xml:space="preserve">A large majority of trade occurs </w:t>
            </w:r>
            <w:r>
              <w:t xml:space="preserve">in the southern </w:t>
            </w:r>
            <w:r w:rsidRPr="00C30F77">
              <w:t>Murray–Darling Basin (MDB)</w:t>
            </w:r>
            <w:r>
              <w:t xml:space="preserve"> where hydrological connections and a large number of users create the key pre</w:t>
            </w:r>
            <w:r>
              <w:noBreakHyphen/>
              <w:t>conditions</w:t>
            </w:r>
            <w:r w:rsidRPr="00C30F77">
              <w:t xml:space="preserve">. Outside of the MDB, trade has increased gradually in </w:t>
            </w:r>
            <w:r>
              <w:t xml:space="preserve">some </w:t>
            </w:r>
            <w:r w:rsidRPr="00C30F77">
              <w:t>water systems</w:t>
            </w:r>
            <w:r>
              <w:t xml:space="preserve"> where characteristics permit</w:t>
            </w:r>
            <w:r w:rsidRPr="00C30F77">
              <w:t>.</w:t>
            </w:r>
          </w:p>
          <w:p w14:paraId="38909763" w14:textId="77777777" w:rsidR="001054C3" w:rsidRDefault="001054C3" w:rsidP="00234FBE">
            <w:pPr>
              <w:pStyle w:val="KeyPointsListBullet2"/>
            </w:pPr>
            <w:r w:rsidRPr="004578AE">
              <w:t>Queensland surface water markets and South Australian groundwater markets have seen particularly strong growth in entitlement trade volumes.</w:t>
            </w:r>
            <w:r w:rsidRPr="00F75D9D">
              <w:t xml:space="preserve"> </w:t>
            </w:r>
          </w:p>
          <w:p w14:paraId="1E0C7587" w14:textId="77777777" w:rsidR="001054C3" w:rsidRPr="00F75D9D" w:rsidRDefault="001054C3" w:rsidP="00234FBE">
            <w:pPr>
              <w:pStyle w:val="KeyPointsListBullet2"/>
            </w:pPr>
            <w:r w:rsidRPr="00F75D9D">
              <w:t xml:space="preserve">Development of Northern Australia could </w:t>
            </w:r>
            <w:r>
              <w:t>see</w:t>
            </w:r>
            <w:r w:rsidRPr="004578AE">
              <w:t xml:space="preserve"> the fut</w:t>
            </w:r>
            <w:r w:rsidRPr="00F75D9D">
              <w:t>ure development of trading</w:t>
            </w:r>
            <w:r>
              <w:t xml:space="preserve"> in that region</w:t>
            </w:r>
            <w:r w:rsidRPr="004578AE">
              <w:t>.</w:t>
            </w:r>
          </w:p>
          <w:p w14:paraId="5F05773C" w14:textId="77777777" w:rsidR="001054C3" w:rsidRPr="00C30F77" w:rsidRDefault="001054C3" w:rsidP="00234FBE">
            <w:pPr>
              <w:pStyle w:val="KeyPointsListBullet"/>
            </w:pPr>
            <w:r w:rsidRPr="00C30F77">
              <w:t xml:space="preserve">Although relevant </w:t>
            </w:r>
            <w:r>
              <w:t>National Water Initiative (</w:t>
            </w:r>
            <w:r w:rsidRPr="00C30F77">
              <w:t>NWI</w:t>
            </w:r>
            <w:r>
              <w:t>)</w:t>
            </w:r>
            <w:r w:rsidRPr="00C30F77">
              <w:t xml:space="preserve"> commitments have been achieved or largely achieved there is scope </w:t>
            </w:r>
            <w:r>
              <w:t>to build on these foundations</w:t>
            </w:r>
            <w:r w:rsidRPr="00C30F77" w:rsidDel="00B13D70">
              <w:t>.</w:t>
            </w:r>
          </w:p>
          <w:p w14:paraId="6FBC25AA" w14:textId="77777777" w:rsidR="001054C3" w:rsidRPr="00C30F77" w:rsidRDefault="001054C3" w:rsidP="00234FBE">
            <w:pPr>
              <w:pStyle w:val="KeyPointsListBullet"/>
            </w:pPr>
            <w:r w:rsidRPr="00C30F77">
              <w:t xml:space="preserve">Recommitting to the original NWI water </w:t>
            </w:r>
            <w:r>
              <w:t xml:space="preserve">markets and </w:t>
            </w:r>
            <w:r w:rsidRPr="00C30F77">
              <w:t xml:space="preserve">trading principles would support the objective that arrangements facilitate the efficient </w:t>
            </w:r>
            <w:r>
              <w:t xml:space="preserve">development and </w:t>
            </w:r>
            <w:r w:rsidRPr="00C30F77">
              <w:t>operation of markets</w:t>
            </w:r>
            <w:r>
              <w:t>,</w:t>
            </w:r>
            <w:r w:rsidRPr="008923E8">
              <w:t xml:space="preserve"> where system and water supply considerations permit</w:t>
            </w:r>
            <w:r>
              <w:t xml:space="preserve">. </w:t>
            </w:r>
            <w:r w:rsidRPr="00AE25C4">
              <w:t>These principles</w:t>
            </w:r>
            <w:r>
              <w:t xml:space="preserve"> </w:t>
            </w:r>
            <w:r w:rsidRPr="00573884">
              <w:t xml:space="preserve">will become </w:t>
            </w:r>
            <w:r>
              <w:t>increasingly</w:t>
            </w:r>
            <w:r w:rsidRPr="00573884">
              <w:t xml:space="preserve"> important</w:t>
            </w:r>
            <w:r>
              <w:t xml:space="preserve"> </w:t>
            </w:r>
            <w:r w:rsidRPr="00573884">
              <w:t>in enabling irrigators,</w:t>
            </w:r>
            <w:r>
              <w:t xml:space="preserve"> in particular,</w:t>
            </w:r>
            <w:r w:rsidRPr="00573884">
              <w:t xml:space="preserve"> to manage through drought and </w:t>
            </w:r>
            <w:r>
              <w:t>adapt</w:t>
            </w:r>
            <w:r w:rsidRPr="00573884">
              <w:t xml:space="preserve"> to a changing climate.</w:t>
            </w:r>
          </w:p>
          <w:p w14:paraId="1FFDE80A" w14:textId="77777777" w:rsidR="001054C3" w:rsidRPr="00F75D9D" w:rsidRDefault="001054C3" w:rsidP="00234FBE">
            <w:pPr>
              <w:pStyle w:val="KeyPointsListBullet"/>
            </w:pPr>
            <w:r w:rsidRPr="004578AE">
              <w:t>T</w:t>
            </w:r>
            <w:r w:rsidRPr="00F75D9D">
              <w:t xml:space="preserve">he addition of principles to </w:t>
            </w:r>
            <w:r>
              <w:t>support best</w:t>
            </w:r>
            <w:r>
              <w:noBreakHyphen/>
              <w:t xml:space="preserve">practice </w:t>
            </w:r>
            <w:r w:rsidRPr="005159EC">
              <w:t>governance, regulatory, operational and informational arrangements</w:t>
            </w:r>
            <w:r w:rsidRPr="004578AE">
              <w:t xml:space="preserve"> would </w:t>
            </w:r>
            <w:r>
              <w:t>enhance possible gains from trade in the diverse range of Australian water systems as they develop </w:t>
            </w:r>
            <w:r w:rsidRPr="004578AE">
              <w:t>—</w:t>
            </w:r>
            <w:r>
              <w:t> drawing</w:t>
            </w:r>
            <w:r w:rsidRPr="004578AE">
              <w:t xml:space="preserve"> on the lessons from 30</w:t>
            </w:r>
            <w:r>
              <w:t> </w:t>
            </w:r>
            <w:r w:rsidRPr="004578AE">
              <w:t>years of trading</w:t>
            </w:r>
            <w:r>
              <w:t xml:space="preserve"> and recent reviews</w:t>
            </w:r>
            <w:r w:rsidRPr="004578AE">
              <w:t xml:space="preserve"> in the MDB.</w:t>
            </w:r>
          </w:p>
          <w:p w14:paraId="6ABB9615" w14:textId="77777777" w:rsidR="001054C3" w:rsidRPr="004544A3" w:rsidRDefault="001054C3" w:rsidP="00234FBE">
            <w:pPr>
              <w:pStyle w:val="KeyPointsListBullet"/>
            </w:pPr>
            <w:r>
              <w:t>There is a gap at the system level in the proactive monitoring of water trading (particularly long</w:t>
            </w:r>
            <w:r>
              <w:noBreakHyphen/>
              <w:t>term market dynamics), and its interaction with resource availability and system constraints. No entity is currently responsible for overseeing trade operations within the broader, long</w:t>
            </w:r>
            <w:r>
              <w:noBreakHyphen/>
              <w:t>term water resource management and system operation context.</w:t>
            </w:r>
          </w:p>
          <w:p w14:paraId="3979844A" w14:textId="77777777" w:rsidR="001054C3" w:rsidRPr="00C30F77" w:rsidRDefault="001054C3" w:rsidP="00234FBE">
            <w:pPr>
              <w:pStyle w:val="KeyPointsListBullet2"/>
            </w:pPr>
            <w:r w:rsidRPr="00C30F77">
              <w:t xml:space="preserve">Where appropriate, jurisdictions could consider </w:t>
            </w:r>
            <w:r>
              <w:t>establishing such a function</w:t>
            </w:r>
            <w:r w:rsidRPr="00C30F77">
              <w:t>, distinct from the existing</w:t>
            </w:r>
            <w:r>
              <w:t xml:space="preserve"> oversight,</w:t>
            </w:r>
            <w:r w:rsidRPr="00C30F77">
              <w:t xml:space="preserve"> regulatory and compliance functions performed by various entities</w:t>
            </w:r>
            <w:r>
              <w:t xml:space="preserve"> to address this gap.</w:t>
            </w:r>
          </w:p>
          <w:p w14:paraId="05D4CA80" w14:textId="77777777" w:rsidR="001054C3" w:rsidRPr="00C30F77" w:rsidRDefault="001054C3" w:rsidP="00234FBE">
            <w:pPr>
              <w:pStyle w:val="KeyPointsListBullet"/>
            </w:pPr>
            <w:r w:rsidRPr="00C30F77">
              <w:t xml:space="preserve">A renewed NWI should </w:t>
            </w:r>
            <w:r>
              <w:t xml:space="preserve">also </w:t>
            </w:r>
            <w:r w:rsidRPr="00C30F77">
              <w:t>continue to provide principles on water registers to support jurisdictions’ decision making</w:t>
            </w:r>
            <w:r>
              <w:t xml:space="preserve"> </w:t>
            </w:r>
            <w:r w:rsidRPr="00D251B1">
              <w:t>about the provision of basic entitlements and trade data</w:t>
            </w:r>
            <w:r>
              <w:t>.</w:t>
            </w:r>
          </w:p>
        </w:tc>
      </w:tr>
      <w:tr w:rsidR="001054C3" w:rsidRPr="00C30F77" w14:paraId="742B943E" w14:textId="77777777" w:rsidTr="00234FBE">
        <w:tc>
          <w:tcPr>
            <w:tcW w:w="5000" w:type="pct"/>
            <w:tcBorders>
              <w:top w:val="nil"/>
              <w:left w:val="nil"/>
              <w:bottom w:val="single" w:sz="6" w:space="0" w:color="78A22F"/>
              <w:right w:val="nil"/>
            </w:tcBorders>
            <w:shd w:val="clear" w:color="auto" w:fill="F2F2F2"/>
          </w:tcPr>
          <w:p w14:paraId="159AF166" w14:textId="77777777" w:rsidR="001054C3" w:rsidRPr="00C30F77" w:rsidRDefault="001054C3" w:rsidP="00234FBE">
            <w:pPr>
              <w:keepNext/>
              <w:spacing w:line="120" w:lineRule="exact"/>
              <w:jc w:val="both"/>
              <w:rPr>
                <w:rFonts w:ascii="Arial" w:hAnsi="Arial"/>
                <w:sz w:val="20"/>
                <w:szCs w:val="20"/>
              </w:rPr>
            </w:pPr>
          </w:p>
        </w:tc>
      </w:tr>
      <w:tr w:rsidR="001054C3" w:rsidRPr="00C30F77" w14:paraId="0E5A1719" w14:textId="77777777" w:rsidTr="00234FBE">
        <w:tc>
          <w:tcPr>
            <w:tcW w:w="5000" w:type="pct"/>
            <w:tcBorders>
              <w:top w:val="single" w:sz="6" w:space="0" w:color="78A22F"/>
              <w:left w:val="nil"/>
              <w:bottom w:val="nil"/>
              <w:right w:val="nil"/>
            </w:tcBorders>
          </w:tcPr>
          <w:p w14:paraId="46E30596" w14:textId="77777777" w:rsidR="001054C3" w:rsidRPr="00C30F77" w:rsidRDefault="001054C3" w:rsidP="00234FBE">
            <w:pPr>
              <w:spacing w:before="60" w:after="60" w:line="80" w:lineRule="exact"/>
              <w:jc w:val="both"/>
              <w:rPr>
                <w:rFonts w:ascii="Arial" w:hAnsi="Arial"/>
                <w:sz w:val="14"/>
                <w:szCs w:val="20"/>
              </w:rPr>
            </w:pPr>
          </w:p>
        </w:tc>
      </w:tr>
    </w:tbl>
    <w:p w14:paraId="3134D820" w14:textId="77777777" w:rsidR="001054C3" w:rsidRPr="007F37A8" w:rsidRDefault="001054C3" w:rsidP="00234FBE">
      <w:pPr>
        <w:pStyle w:val="BodyText"/>
        <w:rPr>
          <w:i/>
          <w:iCs/>
        </w:rPr>
      </w:pPr>
      <w:r w:rsidRPr="007F37A8">
        <w:rPr>
          <w:i/>
          <w:iCs/>
        </w:rPr>
        <w:t>This chapter summarises Supporting Paper B: Water trading and markets (SP</w:t>
      </w:r>
      <w:r>
        <w:rPr>
          <w:i/>
          <w:iCs/>
        </w:rPr>
        <w:t> </w:t>
      </w:r>
      <w:r w:rsidRPr="007F37A8">
        <w:rPr>
          <w:i/>
          <w:iCs/>
        </w:rPr>
        <w:t>B Trading). Further detail and analysis can be found in that paper.</w:t>
      </w:r>
    </w:p>
    <w:p w14:paraId="53540663" w14:textId="77777777" w:rsidR="001054C3" w:rsidRDefault="001054C3" w:rsidP="00234FBE">
      <w:pPr>
        <w:pStyle w:val="BodyText"/>
      </w:pPr>
      <w:r>
        <w:t xml:space="preserve">Reforms over the past 30 years including the creation of water rights separate from land, and caps on consumptive use, have supported the growth of water markets. Entitlement holders </w:t>
      </w:r>
      <w:r>
        <w:lastRenderedPageBreak/>
        <w:t>can now trade their rights for a seaso</w:t>
      </w:r>
      <w:r w:rsidRPr="0078354A">
        <w:t>n (allocation trade) or permanently transfer them (entitlement trade)</w:t>
      </w:r>
      <w:r>
        <w:t>. A</w:t>
      </w:r>
      <w:r>
        <w:rPr>
          <w:spacing w:val="-2"/>
        </w:rPr>
        <w:t xml:space="preserve"> </w:t>
      </w:r>
      <w:r w:rsidRPr="0078354A">
        <w:t xml:space="preserve">growing range of diversified tradeable products </w:t>
      </w:r>
      <w:r>
        <w:t xml:space="preserve">enable </w:t>
      </w:r>
      <w:r w:rsidRPr="0078354A">
        <w:t>the transfer of water acce</w:t>
      </w:r>
      <w:r>
        <w:t>ss and use rights across space and time.</w:t>
      </w:r>
    </w:p>
    <w:p w14:paraId="5985D7BC" w14:textId="2667C92D" w:rsidR="001054C3" w:rsidRDefault="001054C3" w:rsidP="00234FBE">
      <w:pPr>
        <w:pStyle w:val="BodyText"/>
      </w:pPr>
      <w:r>
        <w:t>Trading volumes have grown markedly from small beginnings 30 years ago, primarily in the southern Murray–Darling Basin (MDB) where the key pre</w:t>
      </w:r>
      <w:r>
        <w:noBreakHyphen/>
        <w:t xml:space="preserve">conditions — extensive hydrological connections and a large number of users with heterogenous water demands — are met. </w:t>
      </w:r>
      <w:r w:rsidRPr="00B90341">
        <w:t>In 2018</w:t>
      </w:r>
      <w:r>
        <w:noBreakHyphen/>
      </w:r>
      <w:r w:rsidRPr="00B90341">
        <w:t xml:space="preserve">19, Australia’s water markets </w:t>
      </w:r>
      <w:r>
        <w:t>we</w:t>
      </w:r>
      <w:r w:rsidRPr="00B90341">
        <w:t>re estimated to have generated $5.2</w:t>
      </w:r>
      <w:r>
        <w:t> </w:t>
      </w:r>
      <w:r w:rsidRPr="00B90341">
        <w:t>billion in turnover</w:t>
      </w:r>
      <w:r>
        <w:t xml:space="preserve"> </w:t>
      </w:r>
      <w:r w:rsidR="00C67DB3" w:rsidRPr="00C67DB3">
        <w:rPr>
          <w:szCs w:val="24"/>
        </w:rPr>
        <w:t>(BOM 2020a, p. 7)</w:t>
      </w:r>
      <w:r w:rsidRPr="00B90341">
        <w:t xml:space="preserve">. </w:t>
      </w:r>
      <w:r>
        <w:t xml:space="preserve">Outside the MDB, trade has been gradually increasing where the characteristics of water systems permit and is likely to grow in the future. Some trade occurs in all States, and Queensland surface water markets and South Australian groundwater markets have seen particularly strong growth in recent years. Creation of secure water rights as </w:t>
      </w:r>
      <w:r w:rsidRPr="003E2CB5">
        <w:t>northern Australia</w:t>
      </w:r>
      <w:r>
        <w:t xml:space="preserve"> develops </w:t>
      </w:r>
      <w:r w:rsidRPr="003E2CB5">
        <w:t xml:space="preserve">could </w:t>
      </w:r>
      <w:r>
        <w:t>see</w:t>
      </w:r>
      <w:r w:rsidRPr="003E2CB5">
        <w:t xml:space="preserve"> the </w:t>
      </w:r>
      <w:r>
        <w:t>rise</w:t>
      </w:r>
      <w:r w:rsidRPr="003E2CB5">
        <w:t xml:space="preserve"> of </w:t>
      </w:r>
      <w:r>
        <w:t xml:space="preserve">new markets </w:t>
      </w:r>
      <w:r w:rsidRPr="00D21C03">
        <w:rPr>
          <w:szCs w:val="24"/>
        </w:rPr>
        <w:t>(IA 2016, p. 114)</w:t>
      </w:r>
      <w:r w:rsidRPr="003E2CB5">
        <w:t>.</w:t>
      </w:r>
    </w:p>
    <w:p w14:paraId="7EB223FB" w14:textId="78D6BF13" w:rsidR="001054C3" w:rsidRDefault="001054C3" w:rsidP="00234FBE">
      <w:pPr>
        <w:pStyle w:val="Heading2"/>
      </w:pPr>
      <w:bookmarkStart w:id="105" w:name="_Toc72939510"/>
      <w:r>
        <w:t>7.</w:t>
      </w:r>
      <w:r>
        <w:rPr>
          <w:noProof/>
        </w:rPr>
        <w:t>1</w:t>
      </w:r>
      <w:bookmarkStart w:id="106" w:name="_Toc63112472"/>
      <w:r>
        <w:tab/>
        <w:t>Trading has delivered significant net benefits</w:t>
      </w:r>
      <w:bookmarkEnd w:id="105"/>
      <w:bookmarkEnd w:id="106"/>
    </w:p>
    <w:p w14:paraId="131B487A" w14:textId="6757514C" w:rsidR="001054C3" w:rsidRPr="00C40AF3" w:rsidRDefault="001054C3" w:rsidP="00234FBE">
      <w:pPr>
        <w:pStyle w:val="BodyText"/>
        <w:rPr>
          <w:spacing w:val="-2"/>
        </w:rPr>
      </w:pPr>
      <w:r w:rsidRPr="00C40AF3">
        <w:rPr>
          <w:spacing w:val="-2"/>
        </w:rPr>
        <w:t>Overall, the development and operation of water trading have been a success and have delivered substantial net benefits. For many farming businesses, water is not only an input to production but also a significant asset — for example, comprising between 35 and 41 per cent of capital assets of irrigated farms in the southern MDB</w:t>
      </w:r>
      <w:r w:rsidRPr="00C40AF3" w:rsidDel="009F21E7">
        <w:rPr>
          <w:spacing w:val="-2"/>
        </w:rPr>
        <w:t xml:space="preserve"> </w:t>
      </w:r>
      <w:r w:rsidR="00C67DB3" w:rsidRPr="00C40AF3">
        <w:rPr>
          <w:spacing w:val="-2"/>
          <w:szCs w:val="24"/>
        </w:rPr>
        <w:t>(ACCC 2020, p. 7)</w:t>
      </w:r>
      <w:r w:rsidRPr="00C40AF3">
        <w:rPr>
          <w:spacing w:val="-2"/>
        </w:rPr>
        <w:t>. Trading enables scarce water resources to move between uses, promoting efficiency</w:t>
      </w:r>
      <w:r w:rsidRPr="00C40AF3" w:rsidDel="00825042">
        <w:rPr>
          <w:spacing w:val="-2"/>
        </w:rPr>
        <w:t xml:space="preserve"> </w:t>
      </w:r>
      <w:r w:rsidRPr="00C40AF3">
        <w:rPr>
          <w:spacing w:val="-2"/>
        </w:rPr>
        <w:t>and supporting risk management. Markets provide short</w:t>
      </w:r>
      <w:r w:rsidRPr="00C40AF3">
        <w:rPr>
          <w:spacing w:val="-2"/>
        </w:rPr>
        <w:noBreakHyphen/>
        <w:t>term access to water, enhancing water users’ capacity to manage through drought and weather shocks. And prices transmit information supporting adjustment of business models and practices to changing circumstances.</w:t>
      </w:r>
    </w:p>
    <w:p w14:paraId="18B82034" w14:textId="2166BDDE" w:rsidR="001054C3" w:rsidRDefault="001054C3" w:rsidP="00234FBE">
      <w:pPr>
        <w:pStyle w:val="BodyText"/>
      </w:pPr>
      <w:r w:rsidRPr="00472034">
        <w:t xml:space="preserve">While benefits </w:t>
      </w:r>
      <w:r>
        <w:t xml:space="preserve">have </w:t>
      </w:r>
      <w:r w:rsidRPr="00472034">
        <w:t>accrued mainly to consumptive users</w:t>
      </w:r>
      <w:r>
        <w:t xml:space="preserve"> </w:t>
      </w:r>
      <w:r w:rsidRPr="006E6118">
        <w:rPr>
          <w:szCs w:val="24"/>
        </w:rPr>
        <w:t>(Hughes et al. 2021)</w:t>
      </w:r>
      <w:r w:rsidRPr="00472034">
        <w:t xml:space="preserve">, </w:t>
      </w:r>
      <w:r>
        <w:t>markets have also provided an efficient mechanism to rebalance water shares between the consumptive pool and the environment.</w:t>
      </w:r>
      <w:r w:rsidRPr="00472034">
        <w:t xml:space="preserve"> </w:t>
      </w:r>
      <w:r>
        <w:t>In the MDB, g</w:t>
      </w:r>
      <w:r w:rsidRPr="00472034">
        <w:t xml:space="preserve">overnments </w:t>
      </w:r>
      <w:r>
        <w:t xml:space="preserve">have been able to </w:t>
      </w:r>
      <w:r w:rsidRPr="00472034">
        <w:t>recover water from private water users at market rates.</w:t>
      </w:r>
    </w:p>
    <w:p w14:paraId="6AB820FD" w14:textId="765744A5" w:rsidR="001054C3" w:rsidRDefault="001054C3" w:rsidP="00234FBE">
      <w:pPr>
        <w:pStyle w:val="BodyText"/>
      </w:pPr>
      <w:r>
        <w:t xml:space="preserve">Looking ahead, </w:t>
      </w:r>
      <w:r w:rsidRPr="00AD3A82">
        <w:t>climate change</w:t>
      </w:r>
      <w:r>
        <w:t xml:space="preserve"> is likely to cause a long</w:t>
      </w:r>
      <w:r>
        <w:noBreakHyphen/>
        <w:t>term decline in water availability in many regions, as well as</w:t>
      </w:r>
      <w:r w:rsidRPr="00AD3A82">
        <w:t xml:space="preserve"> more frequent and intense periods of water scarcity</w:t>
      </w:r>
      <w:r>
        <w:t>.</w:t>
      </w:r>
      <w:r w:rsidRPr="00AD3A82">
        <w:t xml:space="preserve"> </w:t>
      </w:r>
      <w:r>
        <w:t xml:space="preserve">This </w:t>
      </w:r>
      <w:r w:rsidRPr="00AD3A82">
        <w:t xml:space="preserve">will </w:t>
      </w:r>
      <w:r>
        <w:t>prompt</w:t>
      </w:r>
      <w:r w:rsidRPr="00AD3A82">
        <w:t xml:space="preserve"> adaptation </w:t>
      </w:r>
      <w:r>
        <w:t>within and between</w:t>
      </w:r>
      <w:r w:rsidRPr="00AD3A82">
        <w:t xml:space="preserve"> water user groups</w:t>
      </w:r>
      <w:r>
        <w:t>.</w:t>
      </w:r>
      <w:r w:rsidRPr="00AD3A82">
        <w:t xml:space="preserve"> </w:t>
      </w:r>
      <w:r>
        <w:t>W</w:t>
      </w:r>
      <w:r w:rsidRPr="00AD3A82">
        <w:t xml:space="preserve">ater trading </w:t>
      </w:r>
      <w:r>
        <w:t>will be</w:t>
      </w:r>
      <w:r w:rsidRPr="00AD3A82">
        <w:t xml:space="preserve"> an important and cost</w:t>
      </w:r>
      <w:r>
        <w:noBreakHyphen/>
      </w:r>
      <w:r w:rsidRPr="00AD3A82">
        <w:t>effective part of a suite of adaptation strategies</w:t>
      </w:r>
      <w:r>
        <w:t xml:space="preserve"> </w:t>
      </w:r>
      <w:r w:rsidRPr="00CF261C">
        <w:rPr>
          <w:szCs w:val="24"/>
        </w:rPr>
        <w:t>(Loch et al. 2013)</w:t>
      </w:r>
      <w:r w:rsidRPr="00AD3A82">
        <w:t>.</w:t>
      </w:r>
    </w:p>
    <w:p w14:paraId="34D6694B" w14:textId="77777777" w:rsidR="001054C3" w:rsidRDefault="001054C3" w:rsidP="00234FBE">
      <w:pPr>
        <w:pStyle w:val="BodyText"/>
      </w:pPr>
      <w:r w:rsidRPr="00881F36">
        <w:t>Increased trade</w:t>
      </w:r>
      <w:r>
        <w:t xml:space="preserve"> volumes</w:t>
      </w:r>
      <w:r w:rsidRPr="005143F0" w:rsidDel="00BA1ED1">
        <w:t xml:space="preserve"> </w:t>
      </w:r>
      <w:r>
        <w:t>in the MDB have also had</w:t>
      </w:r>
      <w:r w:rsidRPr="005143F0">
        <w:t xml:space="preserve"> some downsides</w:t>
      </w:r>
      <w:r>
        <w:t xml:space="preserve"> including: increasing risk of </w:t>
      </w:r>
      <w:r w:rsidRPr="003632F1">
        <w:t>delivery shortfalls</w:t>
      </w:r>
      <w:r>
        <w:t>,</w:t>
      </w:r>
      <w:r w:rsidRPr="003632F1">
        <w:t xml:space="preserve"> unintended </w:t>
      </w:r>
      <w:r>
        <w:t xml:space="preserve">unseasonal flows </w:t>
      </w:r>
      <w:r w:rsidRPr="003632F1">
        <w:t>and erosion caused by poorly coordinated movements of regulated surface water (Murray Irrigation, sub.</w:t>
      </w:r>
      <w:r>
        <w:t> </w:t>
      </w:r>
      <w:r w:rsidRPr="003632F1">
        <w:t>69, p.</w:t>
      </w:r>
      <w:r>
        <w:t> </w:t>
      </w:r>
      <w:r w:rsidRPr="003632F1">
        <w:t xml:space="preserve">8; </w:t>
      </w:r>
      <w:r>
        <w:t>SRI</w:t>
      </w:r>
      <w:r w:rsidRPr="003632F1">
        <w:t>, sub.</w:t>
      </w:r>
      <w:r>
        <w:t> </w:t>
      </w:r>
      <w:r w:rsidRPr="003632F1">
        <w:t>77, p.</w:t>
      </w:r>
      <w:r>
        <w:t> </w:t>
      </w:r>
      <w:r w:rsidRPr="003632F1">
        <w:t xml:space="preserve">9; </w:t>
      </w:r>
      <w:r>
        <w:t>MVPD</w:t>
      </w:r>
      <w:r w:rsidRPr="003632F1">
        <w:t>, sub.</w:t>
      </w:r>
      <w:r>
        <w:t> </w:t>
      </w:r>
      <w:r w:rsidRPr="003632F1">
        <w:t>101, p.</w:t>
      </w:r>
      <w:r>
        <w:t> </w:t>
      </w:r>
      <w:r w:rsidRPr="003632F1">
        <w:t>2)</w:t>
      </w:r>
      <w:r>
        <w:t>.</w:t>
      </w:r>
    </w:p>
    <w:p w14:paraId="209244DB" w14:textId="4741B0C2" w:rsidR="001054C3" w:rsidRDefault="001054C3" w:rsidP="00234FBE">
      <w:pPr>
        <w:pStyle w:val="BodyText"/>
      </w:pPr>
      <w:r>
        <w:t>Trade has also had</w:t>
      </w:r>
      <w:r w:rsidRPr="008E40CD">
        <w:t xml:space="preserve"> complex flow</w:t>
      </w:r>
      <w:r>
        <w:noBreakHyphen/>
      </w:r>
      <w:r w:rsidRPr="008E40CD">
        <w:t>on impacts on other irrigators and adjacent industries</w:t>
      </w:r>
      <w:r>
        <w:t xml:space="preserve"> </w:t>
      </w:r>
      <w:r w:rsidRPr="00D21C03">
        <w:rPr>
          <w:szCs w:val="24"/>
        </w:rPr>
        <w:t>(Whittle et al. 2020, p. 6)</w:t>
      </w:r>
      <w:r w:rsidRPr="008E40CD">
        <w:t xml:space="preserve">. For example, where irrigators sell entitlements </w:t>
      </w:r>
      <w:r>
        <w:t xml:space="preserve">out of </w:t>
      </w:r>
      <w:r w:rsidRPr="008E40CD">
        <w:t xml:space="preserve">shared water distribution systems, delivery costs for other irrigators in the system increase. </w:t>
      </w:r>
      <w:r>
        <w:t xml:space="preserve">And </w:t>
      </w:r>
      <w:r>
        <w:lastRenderedPageBreak/>
        <w:t>businesses i</w:t>
      </w:r>
      <w:r w:rsidRPr="008E40CD">
        <w:t>n smaller, irrigation</w:t>
      </w:r>
      <w:r>
        <w:noBreakHyphen/>
      </w:r>
      <w:r w:rsidRPr="008E40CD">
        <w:t>dependent communities</w:t>
      </w:r>
      <w:r>
        <w:t>,</w:t>
      </w:r>
      <w:r w:rsidRPr="008E40CD">
        <w:t xml:space="preserve"> can experience flow</w:t>
      </w:r>
      <w:r>
        <w:noBreakHyphen/>
      </w:r>
      <w:r w:rsidRPr="008E40CD">
        <w:t xml:space="preserve">on demand impacts where </w:t>
      </w:r>
      <w:r>
        <w:t>declining regional water use</w:t>
      </w:r>
      <w:r w:rsidRPr="008E40CD">
        <w:t xml:space="preserve"> result</w:t>
      </w:r>
      <w:r>
        <w:t>s</w:t>
      </w:r>
      <w:r w:rsidRPr="008E40CD">
        <w:t xml:space="preserve"> in </w:t>
      </w:r>
      <w:r>
        <w:t>falls</w:t>
      </w:r>
      <w:r w:rsidRPr="008E40CD">
        <w:t xml:space="preserve"> in agricultural output</w:t>
      </w:r>
      <w:r>
        <w:t>, regional processing and jobs. While a number of inquiry participants</w:t>
      </w:r>
      <w:r w:rsidRPr="00136E6D">
        <w:t xml:space="preserve"> reaffirmed support for water markets (</w:t>
      </w:r>
      <w:r>
        <w:t>for example, CICL</w:t>
      </w:r>
      <w:r w:rsidRPr="00136E6D">
        <w:t>, sub.</w:t>
      </w:r>
      <w:r>
        <w:t> </w:t>
      </w:r>
      <w:r w:rsidRPr="00136E6D">
        <w:t>7, p.</w:t>
      </w:r>
      <w:r>
        <w:t> </w:t>
      </w:r>
      <w:r w:rsidRPr="00136E6D">
        <w:t>6;</w:t>
      </w:r>
      <w:r w:rsidRPr="003178D0">
        <w:t xml:space="preserve"> </w:t>
      </w:r>
      <w:r w:rsidRPr="00136E6D">
        <w:t>AgForce, sub.</w:t>
      </w:r>
      <w:r>
        <w:t> </w:t>
      </w:r>
      <w:r w:rsidRPr="00136E6D">
        <w:t>24, p.</w:t>
      </w:r>
      <w:r>
        <w:t> </w:t>
      </w:r>
      <w:r w:rsidRPr="00136E6D">
        <w:t>5</w:t>
      </w:r>
      <w:r>
        <w:t>; NIC, sub. DR174, p. 18</w:t>
      </w:r>
      <w:r w:rsidRPr="00136E6D">
        <w:t xml:space="preserve">), there </w:t>
      </w:r>
      <w:r>
        <w:t xml:space="preserve">is also </w:t>
      </w:r>
      <w:r w:rsidRPr="00136E6D">
        <w:t xml:space="preserve">evidence of </w:t>
      </w:r>
      <w:r>
        <w:t>declining</w:t>
      </w:r>
      <w:r w:rsidRPr="00136E6D">
        <w:t xml:space="preserve"> confidence in water markets among some groups and communities</w:t>
      </w:r>
      <w:r>
        <w:t xml:space="preserve"> </w:t>
      </w:r>
      <w:r w:rsidRPr="00B424CA">
        <w:rPr>
          <w:szCs w:val="24"/>
        </w:rPr>
        <w:t>(Wheeler et al. 2020, p. 150)</w:t>
      </w:r>
      <w:r w:rsidRPr="00136E6D">
        <w:t>.</w:t>
      </w:r>
    </w:p>
    <w:p w14:paraId="26683A89" w14:textId="18582A32" w:rsidR="001054C3" w:rsidRDefault="001054C3" w:rsidP="00234FBE">
      <w:pPr>
        <w:pStyle w:val="Heading2"/>
      </w:pPr>
      <w:bookmarkStart w:id="107" w:name="_Toc72939511"/>
      <w:r>
        <w:t>7.</w:t>
      </w:r>
      <w:r>
        <w:rPr>
          <w:noProof/>
        </w:rPr>
        <w:t>2</w:t>
      </w:r>
      <w:bookmarkStart w:id="108" w:name="_Toc63112473"/>
      <w:r>
        <w:tab/>
        <w:t>More detailed principles for stronger markets</w:t>
      </w:r>
      <w:bookmarkEnd w:id="107"/>
      <w:bookmarkEnd w:id="108"/>
    </w:p>
    <w:p w14:paraId="079A5D5C" w14:textId="77777777" w:rsidR="001054C3" w:rsidRDefault="001054C3" w:rsidP="00234FBE">
      <w:pPr>
        <w:pStyle w:val="BodyText"/>
      </w:pPr>
      <w:r>
        <w:t xml:space="preserve">The original National Water Initiative (NWI) </w:t>
      </w:r>
      <w:r w:rsidRPr="0046219E">
        <w:t xml:space="preserve">objective </w:t>
      </w:r>
      <w:r>
        <w:t>for water markets and trading — an open trading market — </w:t>
      </w:r>
      <w:r w:rsidRPr="0046219E">
        <w:t>remain</w:t>
      </w:r>
      <w:r>
        <w:t>s</w:t>
      </w:r>
      <w:r w:rsidRPr="0046219E">
        <w:t xml:space="preserve"> relevant</w:t>
      </w:r>
      <w:r>
        <w:t xml:space="preserve">. However, the specific actions </w:t>
      </w:r>
      <w:r w:rsidRPr="00D307C1">
        <w:t xml:space="preserve">have </w:t>
      </w:r>
      <w:r>
        <w:t xml:space="preserve">largely been achieved and are therefore no longer driving reform. Moreover, many of those actions were focused on liberalising trade in the MDB. Since the NWI came into effect, a range of legislative instruments and agreements, including the </w:t>
      </w:r>
      <w:r w:rsidRPr="00017988">
        <w:rPr>
          <w:i/>
          <w:iCs/>
        </w:rPr>
        <w:t>Water Act 2007</w:t>
      </w:r>
      <w:r>
        <w:t xml:space="preserve"> (Cth) and the Murray–Darling Basin Plan, have been developed specifically to govern MDB water markets. A renewed NWI will drive further reform, although it will not be the policy lead in the MDB (that said, r</w:t>
      </w:r>
      <w:r w:rsidRPr="009E1D44">
        <w:t>eform of the MDB water market arrangements will</w:t>
      </w:r>
      <w:r>
        <w:t xml:space="preserve"> </w:t>
      </w:r>
      <w:r w:rsidRPr="009E1D44">
        <w:t>need to be consistent with NWI principles</w:t>
      </w:r>
      <w:r>
        <w:t>).</w:t>
      </w:r>
    </w:p>
    <w:p w14:paraId="47FC3FC1" w14:textId="77777777" w:rsidR="001054C3" w:rsidRDefault="001054C3" w:rsidP="00234FBE">
      <w:pPr>
        <w:pStyle w:val="BodyText"/>
      </w:pPr>
      <w:r>
        <w:t>Water markets outside of the MDB are not as sophisticated, but lessons from the MDB experience provide valuable pointers for NWI renewal.</w:t>
      </w:r>
    </w:p>
    <w:p w14:paraId="3326A4D5" w14:textId="77777777" w:rsidR="001054C3" w:rsidRDefault="001054C3" w:rsidP="00234FBE">
      <w:pPr>
        <w:pStyle w:val="BodyText"/>
      </w:pPr>
      <w:r>
        <w:t>The NWI provides solid foundations for markets and trading. The intent of the relevant principles should be retained — arrangements should facilitate the efficient operation of markets, where system and water supply considerations permit. They should also: minimise transaction costs through good information flows; enable the development of an appropriate mix of products; recognise and protect the needs of the environment; and provide appropriate protection for third</w:t>
      </w:r>
      <w:r>
        <w:noBreakHyphen/>
        <w:t>party interests.</w:t>
      </w:r>
    </w:p>
    <w:p w14:paraId="6C8E516C" w14:textId="77777777" w:rsidR="001054C3" w:rsidRDefault="001054C3" w:rsidP="00234FBE">
      <w:pPr>
        <w:pStyle w:val="BodyText"/>
      </w:pPr>
      <w:r>
        <w:t xml:space="preserve">But a more detailed set of principles building on this foundation would better underpin the development of markets and trading in other parts of the country — and help to avoid the problems that have emerged in the MDB (SP B </w:t>
      </w:r>
      <w:r>
        <w:rPr>
          <w:i/>
          <w:iCs/>
        </w:rPr>
        <w:t>Trading</w:t>
      </w:r>
      <w:r>
        <w:t>). The principles outlined below reflect the fact that</w:t>
      </w:r>
      <w:r w:rsidRPr="00873D6B">
        <w:t xml:space="preserve"> water trading and markets </w:t>
      </w:r>
      <w:r>
        <w:t>are a</w:t>
      </w:r>
      <w:r w:rsidRPr="00873D6B">
        <w:t xml:space="preserve"> tool to increase efficiency</w:t>
      </w:r>
      <w:r>
        <w:t> — </w:t>
      </w:r>
      <w:r w:rsidRPr="00873D6B">
        <w:t>not an end in themselves.</w:t>
      </w:r>
      <w:r>
        <w:t xml:space="preserve"> And they are applicable to diverse systems. That said, their application will vary with context and the level of development of a system (chapter 5).</w:t>
      </w:r>
    </w:p>
    <w:p w14:paraId="2AD69878" w14:textId="77777777" w:rsidR="001054C3" w:rsidRDefault="001054C3" w:rsidP="00234FBE">
      <w:pPr>
        <w:pStyle w:val="BodyText"/>
      </w:pPr>
      <w:r>
        <w:t>Costs of t</w:t>
      </w:r>
      <w:r w:rsidRPr="006870A1">
        <w:t xml:space="preserve">he complex regime </w:t>
      </w:r>
      <w:r>
        <w:t xml:space="preserve">seen in the MDB </w:t>
      </w:r>
      <w:r w:rsidRPr="006870A1">
        <w:t>(</w:t>
      </w:r>
      <w:r>
        <w:t xml:space="preserve">from </w:t>
      </w:r>
      <w:r w:rsidRPr="006870A1">
        <w:t>well</w:t>
      </w:r>
      <w:r>
        <w:noBreakHyphen/>
      </w:r>
      <w:r w:rsidRPr="006870A1">
        <w:t>resourced regulators, water registry services, trading rule enforcement, compliance activities, water market intermediaries</w:t>
      </w:r>
      <w:r>
        <w:t xml:space="preserve"> </w:t>
      </w:r>
      <w:r w:rsidRPr="006870A1">
        <w:t xml:space="preserve">and exchanges) are </w:t>
      </w:r>
      <w:r w:rsidRPr="000C5D0D">
        <w:t>justified due to</w:t>
      </w:r>
      <w:r>
        <w:t>:</w:t>
      </w:r>
    </w:p>
    <w:p w14:paraId="05A3ED5E" w14:textId="77777777" w:rsidR="001054C3" w:rsidRDefault="001054C3" w:rsidP="00234FBE">
      <w:pPr>
        <w:pStyle w:val="ListBullet"/>
      </w:pPr>
      <w:r w:rsidRPr="000C5D0D">
        <w:t>the large volumes of trade</w:t>
      </w:r>
    </w:p>
    <w:p w14:paraId="7CD5E458" w14:textId="77777777" w:rsidR="001054C3" w:rsidRDefault="001054C3" w:rsidP="00234FBE">
      <w:pPr>
        <w:pStyle w:val="ListBullet"/>
      </w:pPr>
      <w:r w:rsidRPr="000C5D0D">
        <w:t>the number of entitlement holders, the possibility of interstate trade (and associated regulatory differences)</w:t>
      </w:r>
    </w:p>
    <w:p w14:paraId="34A602D3" w14:textId="77777777" w:rsidR="001054C3" w:rsidRDefault="001054C3" w:rsidP="00234FBE">
      <w:pPr>
        <w:pStyle w:val="ListBullet"/>
      </w:pPr>
      <w:r>
        <w:t xml:space="preserve">the value of entitlements, </w:t>
      </w:r>
      <w:r w:rsidRPr="000C5D0D">
        <w:t>the water delivery distances (and managing associated losses)</w:t>
      </w:r>
    </w:p>
    <w:p w14:paraId="5FC7200F" w14:textId="77777777" w:rsidR="001054C3" w:rsidRPr="00994C0C" w:rsidRDefault="001054C3" w:rsidP="00234FBE">
      <w:pPr>
        <w:pStyle w:val="ListBullet"/>
      </w:pPr>
      <w:r w:rsidRPr="000C5D0D">
        <w:lastRenderedPageBreak/>
        <w:t>the level of investment and the significance of environmental assets.</w:t>
      </w:r>
    </w:p>
    <w:p w14:paraId="7525BD42" w14:textId="77777777" w:rsidR="001054C3" w:rsidRDefault="001054C3" w:rsidP="00234FBE">
      <w:pPr>
        <w:pStyle w:val="BodyText"/>
      </w:pPr>
      <w:r w:rsidRPr="00255B35">
        <w:t xml:space="preserve">Simpler arrangements </w:t>
      </w:r>
      <w:r>
        <w:t xml:space="preserve">that </w:t>
      </w:r>
      <w:r w:rsidRPr="00255B35">
        <w:t>cost</w:t>
      </w:r>
      <w:r w:rsidRPr="00255B35">
        <w:noBreakHyphen/>
        <w:t xml:space="preserve">effectively support efficient outcomes </w:t>
      </w:r>
      <w:r>
        <w:t>will be a better fit for less complex markets</w:t>
      </w:r>
      <w:r w:rsidRPr="00255B35">
        <w:t>.</w:t>
      </w:r>
    </w:p>
    <w:p w14:paraId="43DA76B3"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777924A9" w14:textId="77777777" w:rsidTr="00234FBE">
        <w:trPr>
          <w:tblHeader/>
        </w:trPr>
        <w:tc>
          <w:tcPr>
            <w:tcW w:w="5000" w:type="pct"/>
            <w:tcBorders>
              <w:top w:val="single" w:sz="4" w:space="0" w:color="0070C0"/>
              <w:left w:val="nil"/>
              <w:bottom w:val="nil"/>
              <w:right w:val="nil"/>
            </w:tcBorders>
            <w:shd w:val="clear" w:color="auto" w:fill="CBDDF2" w:themeFill="background2" w:themeFillTint="33"/>
            <w:tcMar>
              <w:left w:w="170" w:type="dxa"/>
              <w:right w:w="170" w:type="dxa"/>
            </w:tcMar>
          </w:tcPr>
          <w:p w14:paraId="2F089642" w14:textId="77777777" w:rsidR="001054C3" w:rsidRPr="00CE4C64" w:rsidRDefault="001054C3" w:rsidP="00234FBE">
            <w:pPr>
              <w:pStyle w:val="RecTitle"/>
              <w:spacing w:before="120"/>
              <w:rPr>
                <w:noProof/>
              </w:rPr>
            </w:pPr>
            <w:r>
              <w:t>NWI renewal advice 7.1: the role and application of water trading and markets</w:t>
            </w:r>
          </w:p>
        </w:tc>
      </w:tr>
      <w:tr w:rsidR="001054C3" w:rsidRPr="00750BE2" w14:paraId="5A249011"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7D805A8E" w14:textId="77777777" w:rsidR="001054C3" w:rsidRDefault="001054C3" w:rsidP="00234FBE">
            <w:pPr>
              <w:pStyle w:val="Rec"/>
              <w:keepNext/>
            </w:pPr>
            <w:r w:rsidRPr="003908C6">
              <w:t xml:space="preserve">A renewed </w:t>
            </w:r>
            <w:r w:rsidRPr="00EA1350">
              <w:t xml:space="preserve">National Water Initiative </w:t>
            </w:r>
            <w:r w:rsidRPr="003908C6">
              <w:t>should emphasise that the purpose of water trading and markets is as a tool within a water resource management framework to increase efficiency.</w:t>
            </w:r>
          </w:p>
          <w:p w14:paraId="401F00D5" w14:textId="77777777" w:rsidR="001054C3" w:rsidRDefault="001054C3" w:rsidP="00234FBE">
            <w:pPr>
              <w:pStyle w:val="Rec"/>
              <w:keepNext/>
            </w:pPr>
            <w:r w:rsidRPr="00601D23">
              <w:rPr>
                <w:lang w:val="en-GB"/>
              </w:rPr>
              <w:t>There is no guaranteed supply of water by location, time</w:t>
            </w:r>
            <w:r>
              <w:rPr>
                <w:lang w:val="en-GB"/>
              </w:rPr>
              <w:t xml:space="preserve"> and</w:t>
            </w:r>
            <w:r w:rsidRPr="00601D23">
              <w:rPr>
                <w:lang w:val="en-GB"/>
              </w:rPr>
              <w:t xml:space="preserve"> quality</w:t>
            </w:r>
            <w:r>
              <w:rPr>
                <w:lang w:val="en-GB"/>
              </w:rPr>
              <w:t>. F</w:t>
            </w:r>
            <w:r w:rsidRPr="00601D23">
              <w:rPr>
                <w:lang w:val="en-GB"/>
              </w:rPr>
              <w:t>or given users, and trade</w:t>
            </w:r>
            <w:r>
              <w:rPr>
                <w:lang w:val="en-GB"/>
              </w:rPr>
              <w:noBreakHyphen/>
            </w:r>
            <w:r w:rsidRPr="00601D23">
              <w:rPr>
                <w:lang w:val="en-GB"/>
              </w:rPr>
              <w:t>offs in the values people place on availability, markets can play a</w:t>
            </w:r>
            <w:r>
              <w:rPr>
                <w:lang w:val="en-GB"/>
              </w:rPr>
              <w:t xml:space="preserve">n important </w:t>
            </w:r>
            <w:r w:rsidRPr="00601D23">
              <w:rPr>
                <w:lang w:val="en-GB"/>
              </w:rPr>
              <w:t>role in allocating water efficiently</w:t>
            </w:r>
            <w:r>
              <w:rPr>
                <w:lang w:val="en-GB"/>
              </w:rPr>
              <w:t>.</w:t>
            </w:r>
          </w:p>
          <w:p w14:paraId="006FBFFA" w14:textId="77777777" w:rsidR="001054C3" w:rsidRPr="00C4163C" w:rsidRDefault="001054C3" w:rsidP="00234FBE">
            <w:pPr>
              <w:pStyle w:val="Rec"/>
              <w:keepNext/>
              <w:rPr>
                <w:lang w:val="en-GB"/>
              </w:rPr>
            </w:pPr>
            <w:r>
              <w:t>The diversity of water system hydrology — regulated and unregulated surface water, groundwater and conjunctive (surface and groundwater) systems </w:t>
            </w:r>
            <w:r>
              <w:rPr>
                <w:lang w:val="en-GB"/>
              </w:rPr>
              <w:t>— coupled with other economic and institutional pre</w:t>
            </w:r>
            <w:r>
              <w:rPr>
                <w:lang w:val="en-GB"/>
              </w:rPr>
              <w:noBreakHyphen/>
              <w:t>conditions mean that the establishment of market arrangements need to suit their context. They need to be fit for purpose.</w:t>
            </w:r>
          </w:p>
        </w:tc>
      </w:tr>
      <w:tr w:rsidR="001054C3" w14:paraId="70B9F2F6" w14:textId="77777777" w:rsidTr="00234FBE">
        <w:trPr>
          <w:trHeight w:val="57"/>
        </w:trPr>
        <w:tc>
          <w:tcPr>
            <w:tcW w:w="5000" w:type="pct"/>
            <w:tcBorders>
              <w:top w:val="nil"/>
              <w:left w:val="nil"/>
              <w:bottom w:val="single" w:sz="4" w:space="0" w:color="0070C0"/>
              <w:right w:val="nil"/>
            </w:tcBorders>
            <w:shd w:val="clear" w:color="auto" w:fill="CBDDF2" w:themeFill="background2" w:themeFillTint="33"/>
            <w:tcMar>
              <w:left w:w="170" w:type="dxa"/>
              <w:right w:w="170" w:type="dxa"/>
            </w:tcMar>
          </w:tcPr>
          <w:p w14:paraId="47B7C97F" w14:textId="77777777" w:rsidR="001054C3" w:rsidRPr="00970813" w:rsidRDefault="001054C3" w:rsidP="00234FBE">
            <w:pPr>
              <w:pStyle w:val="Space"/>
            </w:pPr>
          </w:p>
        </w:tc>
      </w:tr>
      <w:tr w:rsidR="001054C3" w:rsidRPr="000863A5" w14:paraId="39D9A7D2" w14:textId="77777777" w:rsidTr="00234FBE">
        <w:tc>
          <w:tcPr>
            <w:tcW w:w="5000" w:type="pct"/>
            <w:tcBorders>
              <w:top w:val="single" w:sz="4" w:space="0" w:color="0070C0"/>
              <w:left w:val="nil"/>
              <w:bottom w:val="nil"/>
              <w:right w:val="nil"/>
            </w:tcBorders>
            <w:tcMar>
              <w:left w:w="170" w:type="dxa"/>
              <w:right w:w="170" w:type="dxa"/>
            </w:tcMar>
          </w:tcPr>
          <w:p w14:paraId="28AAC1CD" w14:textId="77777777" w:rsidR="001054C3" w:rsidRPr="00626D32" w:rsidRDefault="001054C3" w:rsidP="00234FBE">
            <w:pPr>
              <w:pStyle w:val="BoxSpaceBelow"/>
              <w:keepLines/>
            </w:pPr>
          </w:p>
        </w:tc>
      </w:tr>
    </w:tbl>
    <w:p w14:paraId="6E07EEAA" w14:textId="1230F8A5" w:rsidR="001054C3" w:rsidRDefault="001054C3" w:rsidP="00234FBE">
      <w:pPr>
        <w:pStyle w:val="Heading2"/>
      </w:pPr>
      <w:bookmarkStart w:id="109" w:name="_Toc72939512"/>
      <w:r>
        <w:t>7.</w:t>
      </w:r>
      <w:r>
        <w:rPr>
          <w:noProof/>
        </w:rPr>
        <w:t>3</w:t>
      </w:r>
      <w:bookmarkStart w:id="110" w:name="_Toc63112474"/>
      <w:r>
        <w:tab/>
        <w:t>Creating the foundations for leading practice</w:t>
      </w:r>
      <w:bookmarkEnd w:id="109"/>
      <w:bookmarkEnd w:id="110"/>
    </w:p>
    <w:p w14:paraId="415BE59F" w14:textId="77777777" w:rsidR="001054C3" w:rsidRDefault="001054C3" w:rsidP="00234FBE">
      <w:pPr>
        <w:pStyle w:val="BodyText"/>
      </w:pPr>
      <w:r>
        <w:t>A</w:t>
      </w:r>
      <w:r w:rsidRPr="008A3D00">
        <w:t xml:space="preserve">fter </w:t>
      </w:r>
      <w:r>
        <w:t>almost 3</w:t>
      </w:r>
      <w:r w:rsidRPr="008A3D00">
        <w:t>0</w:t>
      </w:r>
      <w:r>
        <w:t> </w:t>
      </w:r>
      <w:r w:rsidRPr="008A3D00">
        <w:t>years of operation</w:t>
      </w:r>
      <w:r>
        <w:t>,</w:t>
      </w:r>
      <w:r w:rsidRPr="008A3D00">
        <w:t xml:space="preserve"> </w:t>
      </w:r>
      <w:r>
        <w:t>the MDB provides nationally</w:t>
      </w:r>
      <w:r>
        <w:noBreakHyphen/>
        <w:t>relevant lessons in the management and future development of water markets. The Australian Competition and Consumer Commission (</w:t>
      </w:r>
      <w:r w:rsidRPr="004E6088">
        <w:t>ACCC</w:t>
      </w:r>
      <w:r>
        <w:t>)</w:t>
      </w:r>
      <w:r w:rsidRPr="004E6088">
        <w:t xml:space="preserve"> Murray–Darling Basin Water Markets </w:t>
      </w:r>
      <w:r>
        <w:t>i</w:t>
      </w:r>
      <w:r w:rsidRPr="004E6088">
        <w:t>nquiry</w:t>
      </w:r>
      <w:r>
        <w:t xml:space="preserve"> found that</w:t>
      </w:r>
      <w:r w:rsidDel="009714CE">
        <w:t xml:space="preserve"> </w:t>
      </w:r>
      <w:r>
        <w:t>l</w:t>
      </w:r>
      <w:r w:rsidRPr="00E63176">
        <w:t>eading practice governance, regulatory</w:t>
      </w:r>
      <w:r>
        <w:t xml:space="preserve"> and</w:t>
      </w:r>
      <w:r w:rsidRPr="00E63176">
        <w:t xml:space="preserve"> operational arrangements</w:t>
      </w:r>
      <w:r>
        <w:t xml:space="preserve"> that are supported by </w:t>
      </w:r>
      <w:r w:rsidRPr="0010127C">
        <w:rPr>
          <w:spacing w:val="-2"/>
        </w:rPr>
        <w:t>sufficient and credible information, are key to ensuring that water markets operate efficiently.</w:t>
      </w:r>
    </w:p>
    <w:p w14:paraId="7D84D3F5" w14:textId="77777777" w:rsidR="001054C3" w:rsidRDefault="001054C3" w:rsidP="00234FBE">
      <w:pPr>
        <w:pStyle w:val="Heading3"/>
      </w:pPr>
      <w:r>
        <w:t>Governance — who sets the rules and how</w:t>
      </w:r>
    </w:p>
    <w:p w14:paraId="6BC45DFB" w14:textId="12EFA048" w:rsidR="001054C3" w:rsidRDefault="001054C3" w:rsidP="00234FBE">
      <w:pPr>
        <w:pStyle w:val="BodyText"/>
      </w:pPr>
      <w:r w:rsidRPr="00EE7763">
        <w:t xml:space="preserve">Market governance identifies the decision makers who shape the rules and processes for </w:t>
      </w:r>
      <w:r>
        <w:t xml:space="preserve">the </w:t>
      </w:r>
      <w:r w:rsidRPr="00EE7763">
        <w:t>trade of water products and associated services</w:t>
      </w:r>
      <w:r>
        <w:t>;</w:t>
      </w:r>
      <w:r w:rsidRPr="00EE7763">
        <w:t xml:space="preserve"> and describes the processes by which decisions are taken and accountability mechanisms for those decisions</w:t>
      </w:r>
      <w:r>
        <w:t xml:space="preserve"> </w:t>
      </w:r>
      <w:r w:rsidRPr="00D21C03">
        <w:rPr>
          <w:szCs w:val="24"/>
        </w:rPr>
        <w:t>(OECD 2015)</w:t>
      </w:r>
      <w:r w:rsidRPr="00EE7763">
        <w:t>.</w:t>
      </w:r>
      <w:r>
        <w:t xml:space="preserve"> Leading practice has a number of characteristics.</w:t>
      </w:r>
    </w:p>
    <w:p w14:paraId="67564950" w14:textId="18A4E219" w:rsidR="001054C3" w:rsidRDefault="001054C3" w:rsidP="00234FBE">
      <w:pPr>
        <w:pStyle w:val="BodyText"/>
        <w:rPr>
          <w:spacing w:val="-2"/>
        </w:rPr>
      </w:pPr>
      <w:r w:rsidRPr="004578AE">
        <w:rPr>
          <w:b/>
          <w:i/>
          <w:iCs/>
        </w:rPr>
        <w:t>Roles and responsibilities of key parties are clearly defined.</w:t>
      </w:r>
      <w:r>
        <w:t xml:space="preserve"> </w:t>
      </w:r>
      <w:r w:rsidRPr="00C84261">
        <w:t>Core roles include policy design and implementation</w:t>
      </w:r>
      <w:r>
        <w:t>, and market regulation and operation</w:t>
      </w:r>
      <w:r w:rsidRPr="00C84261">
        <w:t>.</w:t>
      </w:r>
      <w:r>
        <w:t xml:space="preserve"> Clear assignment of roles and of the responsibilities of entities that hold them: provides clarity to market participants; prevents potentially wasteful </w:t>
      </w:r>
      <w:r w:rsidRPr="0021028B">
        <w:rPr>
          <w:spacing w:val="-2"/>
        </w:rPr>
        <w:t>duplication of effort</w:t>
      </w:r>
      <w:r>
        <w:rPr>
          <w:spacing w:val="-2"/>
        </w:rPr>
        <w:t>;</w:t>
      </w:r>
      <w:r w:rsidRPr="0021028B">
        <w:rPr>
          <w:spacing w:val="-2"/>
        </w:rPr>
        <w:t xml:space="preserve"> and </w:t>
      </w:r>
      <w:r>
        <w:rPr>
          <w:spacing w:val="-2"/>
        </w:rPr>
        <w:t>avoids the risk of tasks ‘</w:t>
      </w:r>
      <w:r w:rsidRPr="0021028B">
        <w:rPr>
          <w:spacing w:val="-2"/>
        </w:rPr>
        <w:t>falling between the cracks</w:t>
      </w:r>
      <w:r>
        <w:rPr>
          <w:spacing w:val="-2"/>
        </w:rPr>
        <w:t xml:space="preserve">’. </w:t>
      </w:r>
      <w:r w:rsidRPr="0021028B">
        <w:rPr>
          <w:spacing w:val="-2"/>
        </w:rPr>
        <w:t xml:space="preserve">Significant </w:t>
      </w:r>
      <w:r>
        <w:rPr>
          <w:spacing w:val="-2"/>
        </w:rPr>
        <w:t xml:space="preserve">role fragmentation and </w:t>
      </w:r>
      <w:r w:rsidRPr="0021028B">
        <w:rPr>
          <w:spacing w:val="-2"/>
        </w:rPr>
        <w:t xml:space="preserve">overlap has been </w:t>
      </w:r>
      <w:r>
        <w:rPr>
          <w:spacing w:val="-2"/>
        </w:rPr>
        <w:t>a</w:t>
      </w:r>
      <w:r w:rsidRPr="0021028B">
        <w:rPr>
          <w:spacing w:val="-2"/>
        </w:rPr>
        <w:t xml:space="preserve"> critici</w:t>
      </w:r>
      <w:r>
        <w:rPr>
          <w:spacing w:val="-2"/>
        </w:rPr>
        <w:t>sm</w:t>
      </w:r>
      <w:r w:rsidRPr="0021028B">
        <w:rPr>
          <w:spacing w:val="-2"/>
        </w:rPr>
        <w:t xml:space="preserve"> </w:t>
      </w:r>
      <w:r>
        <w:rPr>
          <w:spacing w:val="-2"/>
        </w:rPr>
        <w:t>of arrangements in</w:t>
      </w:r>
      <w:r w:rsidRPr="0021028B">
        <w:rPr>
          <w:spacing w:val="-2"/>
        </w:rPr>
        <w:t xml:space="preserve"> the MDB</w:t>
      </w:r>
      <w:r>
        <w:rPr>
          <w:spacing w:val="-2"/>
        </w:rPr>
        <w:t xml:space="preserve"> </w:t>
      </w:r>
      <w:r w:rsidR="00C67DB3" w:rsidRPr="00C67DB3">
        <w:rPr>
          <w:szCs w:val="24"/>
        </w:rPr>
        <w:t>(ACCC 2020; PC 2018)</w:t>
      </w:r>
      <w:r w:rsidRPr="0021028B">
        <w:rPr>
          <w:spacing w:val="-2"/>
        </w:rPr>
        <w:t>.</w:t>
      </w:r>
    </w:p>
    <w:p w14:paraId="744767E3" w14:textId="77777777" w:rsidR="001054C3" w:rsidRPr="00B56983" w:rsidRDefault="001054C3" w:rsidP="00234FBE">
      <w:pPr>
        <w:pStyle w:val="BodyText"/>
      </w:pPr>
      <w:r>
        <w:rPr>
          <w:spacing w:val="-2"/>
        </w:rPr>
        <w:t xml:space="preserve">Effective governance also ensures that </w:t>
      </w:r>
      <w:r w:rsidRPr="004578AE">
        <w:rPr>
          <w:b/>
          <w:i/>
          <w:iCs/>
          <w:spacing w:val="-2"/>
        </w:rPr>
        <w:t>relevant</w:t>
      </w:r>
      <w:r w:rsidRPr="004578AE">
        <w:rPr>
          <w:b/>
          <w:spacing w:val="-2"/>
        </w:rPr>
        <w:t xml:space="preserve"> </w:t>
      </w:r>
      <w:r w:rsidRPr="004578AE">
        <w:rPr>
          <w:b/>
          <w:i/>
          <w:iCs/>
          <w:spacing w:val="-2"/>
        </w:rPr>
        <w:t>p</w:t>
      </w:r>
      <w:r w:rsidRPr="004578AE">
        <w:rPr>
          <w:b/>
          <w:i/>
          <w:iCs/>
        </w:rPr>
        <w:t>arties’ activities are coordinated effectively</w:t>
      </w:r>
      <w:r>
        <w:rPr>
          <w:i/>
          <w:iCs/>
        </w:rPr>
        <w:t>.</w:t>
      </w:r>
      <w:r>
        <w:t xml:space="preserve"> </w:t>
      </w:r>
      <w:r w:rsidRPr="00510991">
        <w:t xml:space="preserve">Coordination </w:t>
      </w:r>
      <w:r>
        <w:t>may need to</w:t>
      </w:r>
      <w:r w:rsidRPr="00510991">
        <w:t xml:space="preserve"> </w:t>
      </w:r>
      <w:r>
        <w:t>span</w:t>
      </w:r>
      <w:r w:rsidRPr="00510991">
        <w:t xml:space="preserve"> authorities</w:t>
      </w:r>
      <w:r>
        <w:t xml:space="preserve"> within the water sector</w:t>
      </w:r>
      <w:r w:rsidRPr="00510991">
        <w:t xml:space="preserve">, jurisdictions, scales (for </w:t>
      </w:r>
      <w:r w:rsidRPr="00510991">
        <w:lastRenderedPageBreak/>
        <w:t>example, water infrastructure, system</w:t>
      </w:r>
      <w:r>
        <w:t xml:space="preserve"> and</w:t>
      </w:r>
      <w:r w:rsidRPr="00510991">
        <w:t xml:space="preserve"> catchment), and adjacent sectors (for example, environment, agriculture</w:t>
      </w:r>
      <w:r>
        <w:t xml:space="preserve"> and health</w:t>
      </w:r>
      <w:r w:rsidRPr="00510991">
        <w:t>).</w:t>
      </w:r>
    </w:p>
    <w:p w14:paraId="726969E5" w14:textId="28FEA96E" w:rsidR="001054C3" w:rsidRDefault="001054C3" w:rsidP="00234FBE">
      <w:pPr>
        <w:pStyle w:val="BodyText"/>
      </w:pPr>
      <w:r w:rsidRPr="004578AE">
        <w:rPr>
          <w:b/>
          <w:i/>
          <w:iCs/>
        </w:rPr>
        <w:t>Institutional arrangements remain in step with the level of market development</w:t>
      </w:r>
      <w:r w:rsidRPr="00293FAE">
        <w:rPr>
          <w:i/>
          <w:iCs/>
        </w:rPr>
        <w:t>.</w:t>
      </w:r>
      <w:r>
        <w:t xml:space="preserve"> </w:t>
      </w:r>
      <w:r w:rsidRPr="001D1ADE">
        <w:t>Changes in water availability</w:t>
      </w:r>
      <w:r>
        <w:t>,</w:t>
      </w:r>
      <w:r w:rsidRPr="001D1ADE">
        <w:t xml:space="preserve"> economic </w:t>
      </w:r>
      <w:r>
        <w:t>activity</w:t>
      </w:r>
      <w:r w:rsidRPr="001D1ADE">
        <w:t xml:space="preserve"> </w:t>
      </w:r>
      <w:r>
        <w:t>and</w:t>
      </w:r>
      <w:r w:rsidRPr="001D1ADE">
        <w:t xml:space="preserve"> information about system hydrology </w:t>
      </w:r>
      <w:r>
        <w:t>can</w:t>
      </w:r>
      <w:r w:rsidRPr="001D1ADE">
        <w:t xml:space="preserve"> </w:t>
      </w:r>
      <w:r>
        <w:t>lead to shifts in</w:t>
      </w:r>
      <w:r w:rsidRPr="001D1ADE">
        <w:t xml:space="preserve"> demand for water trading</w:t>
      </w:r>
      <w:r>
        <w:t xml:space="preserve">. These need to be monitored and evaluated to determine whether </w:t>
      </w:r>
      <w:r w:rsidRPr="001D1ADE">
        <w:t>governance arrangements</w:t>
      </w:r>
      <w:r>
        <w:t xml:space="preserve"> remain fit for purpose. In the MDB, the ACCC </w:t>
      </w:r>
      <w:r w:rsidR="00C67DB3" w:rsidRPr="00C67DB3">
        <w:rPr>
          <w:szCs w:val="24"/>
        </w:rPr>
        <w:t>(2020, p. 3)</w:t>
      </w:r>
      <w:r>
        <w:t xml:space="preserve"> has found that ‘the settings for the markets for tradeable water rights need to change’, proposing a comprehensive reform package to bring arrangements in line with the level of development in this system.</w:t>
      </w:r>
    </w:p>
    <w:p w14:paraId="51106EE6" w14:textId="77777777" w:rsidR="001054C3" w:rsidRDefault="001054C3" w:rsidP="00234FBE">
      <w:pPr>
        <w:pStyle w:val="Heading4"/>
      </w:pPr>
      <w:r>
        <w:t>Integrate trade monitoring with system management</w:t>
      </w:r>
      <w:r w:rsidRPr="00F0475B">
        <w:t xml:space="preserve"> in </w:t>
      </w:r>
      <w:r>
        <w:t>developed</w:t>
      </w:r>
      <w:r w:rsidRPr="00F0475B">
        <w:t xml:space="preserve"> systems</w:t>
      </w:r>
    </w:p>
    <w:p w14:paraId="7E7B5F5E" w14:textId="4C09A275" w:rsidR="001054C3" w:rsidRDefault="001054C3" w:rsidP="00234FBE">
      <w:pPr>
        <w:pStyle w:val="BodyText"/>
      </w:pPr>
      <w:r w:rsidRPr="003632F1">
        <w:t>While the NWI recognises and protects the environment and third</w:t>
      </w:r>
      <w:r>
        <w:noBreakHyphen/>
      </w:r>
      <w:r w:rsidRPr="003632F1">
        <w:t xml:space="preserve">party interests, </w:t>
      </w:r>
      <w:r>
        <w:t xml:space="preserve">as noted above, </w:t>
      </w:r>
      <w:r w:rsidRPr="003632F1">
        <w:t>greater trade has seen issues emerge in the MDB</w:t>
      </w:r>
      <w:r>
        <w:t xml:space="preserve"> </w:t>
      </w:r>
      <w:r w:rsidRPr="00D21C03">
        <w:rPr>
          <w:szCs w:val="24"/>
        </w:rPr>
        <w:t>(PC 2018, p.</w:t>
      </w:r>
      <w:r w:rsidRPr="00B02835">
        <w:rPr>
          <w:szCs w:val="24"/>
        </w:rPr>
        <w:t> 261)</w:t>
      </w:r>
      <w:r>
        <w:t>.</w:t>
      </w:r>
    </w:p>
    <w:p w14:paraId="5E0695FA" w14:textId="77777777" w:rsidR="001054C3" w:rsidRDefault="001054C3" w:rsidP="00234FBE">
      <w:pPr>
        <w:pStyle w:val="BodyText"/>
      </w:pPr>
      <w:r>
        <w:t>These issues reflect the fact that there is no entity with responsibility for overseeing</w:t>
      </w:r>
      <w:r w:rsidRPr="004E24AE">
        <w:t xml:space="preserve"> trade operations</w:t>
      </w:r>
      <w:r>
        <w:t xml:space="preserve"> within the broader, long</w:t>
      </w:r>
      <w:r>
        <w:noBreakHyphen/>
        <w:t xml:space="preserve">term water resource management and system operation context. </w:t>
      </w:r>
      <w:r w:rsidRPr="004E24AE">
        <w:t xml:space="preserve">While delivery risk is managed by river operators, their objective is to manage </w:t>
      </w:r>
      <w:r>
        <w:t>short</w:t>
      </w:r>
      <w:r>
        <w:noBreakHyphen/>
        <w:t xml:space="preserve">term </w:t>
      </w:r>
      <w:r w:rsidRPr="004E24AE">
        <w:t>competing demands on their constrained infrastructure.</w:t>
      </w:r>
    </w:p>
    <w:p w14:paraId="3DB48956" w14:textId="77777777" w:rsidR="001054C3" w:rsidRPr="00C40AF3" w:rsidRDefault="001054C3" w:rsidP="00234FBE">
      <w:pPr>
        <w:pStyle w:val="BodyText"/>
        <w:rPr>
          <w:spacing w:val="2"/>
        </w:rPr>
      </w:pPr>
      <w:r w:rsidRPr="00C40AF3">
        <w:rPr>
          <w:spacing w:val="2"/>
        </w:rPr>
        <w:t>In developed systems, this gap in responsibility could be filled by creating a monitoring role to:</w:t>
      </w:r>
    </w:p>
    <w:p w14:paraId="52058933" w14:textId="77777777" w:rsidR="001054C3" w:rsidRPr="00C21584" w:rsidRDefault="001054C3" w:rsidP="00234FBE">
      <w:pPr>
        <w:pStyle w:val="ListBullet"/>
      </w:pPr>
      <w:r w:rsidRPr="00C21584">
        <w:t xml:space="preserve">proactively anticipate, identify and </w:t>
      </w:r>
      <w:r>
        <w:t>advise on</w:t>
      </w:r>
      <w:r w:rsidRPr="00C21584">
        <w:t xml:space="preserve"> </w:t>
      </w:r>
      <w:r>
        <w:t xml:space="preserve">responses to </w:t>
      </w:r>
      <w:r w:rsidRPr="00C21584">
        <w:t>emerging risks</w:t>
      </w:r>
      <w:r>
        <w:t xml:space="preserve"> in the context of third</w:t>
      </w:r>
      <w:r>
        <w:noBreakHyphen/>
        <w:t>party and environmental impacts of trading</w:t>
      </w:r>
    </w:p>
    <w:p w14:paraId="396D4504" w14:textId="77777777" w:rsidR="001054C3" w:rsidRDefault="001054C3" w:rsidP="00234FBE">
      <w:pPr>
        <w:pStyle w:val="ListBullet"/>
      </w:pPr>
      <w:r w:rsidRPr="00C21584">
        <w:t>provide transparent reporting</w:t>
      </w:r>
    </w:p>
    <w:p w14:paraId="2FFD7BFA" w14:textId="77777777" w:rsidR="001054C3" w:rsidRDefault="001054C3" w:rsidP="00234FBE">
      <w:pPr>
        <w:pStyle w:val="ListBullet"/>
      </w:pPr>
      <w:r>
        <w:t>coordinate with other bodies in supporting trade.</w:t>
      </w:r>
    </w:p>
    <w:p w14:paraId="2A89F146" w14:textId="77777777" w:rsidR="001054C3" w:rsidRPr="00C21584" w:rsidRDefault="001054C3" w:rsidP="00234FBE">
      <w:pPr>
        <w:pStyle w:val="BodyText"/>
      </w:pPr>
      <w:r w:rsidRPr="003C23C9">
        <w:t>Ideally the role would be undertaken by existing agencies</w:t>
      </w:r>
      <w:r>
        <w:t> </w:t>
      </w:r>
      <w:r w:rsidRPr="003C23C9">
        <w:t>—</w:t>
      </w:r>
      <w:r>
        <w:t> </w:t>
      </w:r>
      <w:r w:rsidRPr="003C23C9">
        <w:t>its similarity to existing functions in many jurisdictions would preclude the need to establish a new entity.</w:t>
      </w:r>
    </w:p>
    <w:p w14:paraId="08F9E0E7"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25AA1AF9" w14:textId="77777777" w:rsidTr="00234FB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535A28E" w14:textId="1D4F5982" w:rsidR="001054C3" w:rsidRPr="00CE4C64" w:rsidRDefault="001054C3" w:rsidP="00234FBE">
            <w:pPr>
              <w:pStyle w:val="FindingTitle"/>
              <w:spacing w:before="120"/>
              <w:rPr>
                <w:noProof/>
              </w:rPr>
            </w:pPr>
            <w:r>
              <w:t>Finding 7.</w:t>
            </w:r>
            <w:r>
              <w:rPr>
                <w:noProof/>
              </w:rPr>
              <w:t>1</w:t>
            </w:r>
          </w:p>
        </w:tc>
      </w:tr>
      <w:tr w:rsidR="001054C3" w:rsidRPr="00750BE2" w14:paraId="7809926C" w14:textId="77777777" w:rsidTr="00234FBE">
        <w:trPr>
          <w:cantSplit/>
        </w:trPr>
        <w:tc>
          <w:tcPr>
            <w:tcW w:w="5000" w:type="pct"/>
            <w:tcBorders>
              <w:top w:val="nil"/>
              <w:left w:val="nil"/>
              <w:bottom w:val="nil"/>
              <w:right w:val="nil"/>
            </w:tcBorders>
            <w:shd w:val="clear" w:color="auto" w:fill="F2F2F2"/>
            <w:tcMar>
              <w:left w:w="170" w:type="dxa"/>
              <w:right w:w="170" w:type="dxa"/>
            </w:tcMar>
          </w:tcPr>
          <w:p w14:paraId="09D97FD4" w14:textId="77777777" w:rsidR="001054C3" w:rsidRDefault="001054C3" w:rsidP="00234FBE">
            <w:pPr>
              <w:pStyle w:val="Finding"/>
              <w:keepNext/>
            </w:pPr>
            <w:r w:rsidRPr="0070014F">
              <w:t xml:space="preserve">The </w:t>
            </w:r>
            <w:r>
              <w:t>Murray–Darling Basin</w:t>
            </w:r>
            <w:r w:rsidRPr="0070014F">
              <w:t xml:space="preserve"> demonstrates that, in highly developed systems, </w:t>
            </w:r>
            <w:r>
              <w:t>water trade monitoring ought to be integrated into system</w:t>
            </w:r>
            <w:r>
              <w:noBreakHyphen/>
              <w:t>level resource management</w:t>
            </w:r>
            <w:r w:rsidRPr="0070014F">
              <w:t xml:space="preserve">. </w:t>
            </w:r>
            <w:r>
              <w:t>By taking</w:t>
            </w:r>
            <w:r w:rsidRPr="0070014F">
              <w:t xml:space="preserve"> a broader and longer</w:t>
            </w:r>
            <w:r>
              <w:noBreakHyphen/>
            </w:r>
            <w:r w:rsidRPr="0070014F">
              <w:t>term system</w:t>
            </w:r>
            <w:r>
              <w:noBreakHyphen/>
            </w:r>
            <w:r w:rsidRPr="0070014F">
              <w:t xml:space="preserve">level view of </w:t>
            </w:r>
            <w:r>
              <w:t xml:space="preserve">water trade and </w:t>
            </w:r>
            <w:r w:rsidRPr="0070014F">
              <w:t xml:space="preserve">operational risk </w:t>
            </w:r>
            <w:r w:rsidRPr="007B2BAF">
              <w:t>within the water resource management context</w:t>
            </w:r>
            <w:r>
              <w:t>, jurisdictions can more</w:t>
            </w:r>
            <w:r w:rsidRPr="0070014F">
              <w:t xml:space="preserve"> proactively anticipate and identify emerging issues and </w:t>
            </w:r>
            <w:r>
              <w:t xml:space="preserve">be </w:t>
            </w:r>
            <w:r w:rsidRPr="0070014F">
              <w:t>advise</w:t>
            </w:r>
            <w:r>
              <w:t>d</w:t>
            </w:r>
            <w:r w:rsidRPr="0070014F">
              <w:t xml:space="preserve"> on regulatory responses where warranted</w:t>
            </w:r>
            <w:r>
              <w:t>.</w:t>
            </w:r>
          </w:p>
        </w:tc>
      </w:tr>
      <w:tr w:rsidR="001054C3" w14:paraId="06E59C1D" w14:textId="77777777" w:rsidTr="00234FBE">
        <w:trPr>
          <w:cantSplit/>
        </w:trPr>
        <w:tc>
          <w:tcPr>
            <w:tcW w:w="5000" w:type="pct"/>
            <w:tcBorders>
              <w:top w:val="nil"/>
              <w:left w:val="nil"/>
              <w:bottom w:val="single" w:sz="6" w:space="0" w:color="78A22F"/>
              <w:right w:val="nil"/>
            </w:tcBorders>
            <w:shd w:val="clear" w:color="auto" w:fill="F2F2F2"/>
            <w:tcMar>
              <w:left w:w="170" w:type="dxa"/>
              <w:right w:w="170" w:type="dxa"/>
            </w:tcMar>
          </w:tcPr>
          <w:p w14:paraId="22433219" w14:textId="77777777" w:rsidR="001054C3" w:rsidRDefault="001054C3" w:rsidP="00234FBE">
            <w:pPr>
              <w:pStyle w:val="Space"/>
              <w:keepLines/>
            </w:pPr>
          </w:p>
        </w:tc>
      </w:tr>
      <w:tr w:rsidR="001054C3" w:rsidRPr="000863A5" w14:paraId="48BC90CF" w14:textId="77777777" w:rsidTr="00234FBE">
        <w:trPr>
          <w:cantSplit/>
        </w:trPr>
        <w:tc>
          <w:tcPr>
            <w:tcW w:w="5000" w:type="pct"/>
            <w:tcBorders>
              <w:top w:val="single" w:sz="6" w:space="0" w:color="78A22F"/>
              <w:left w:val="nil"/>
              <w:bottom w:val="nil"/>
              <w:right w:val="nil"/>
            </w:tcBorders>
            <w:tcMar>
              <w:left w:w="170" w:type="dxa"/>
              <w:right w:w="170" w:type="dxa"/>
            </w:tcMar>
          </w:tcPr>
          <w:p w14:paraId="31A2AC66" w14:textId="77777777" w:rsidR="001054C3" w:rsidRPr="00626D32" w:rsidRDefault="001054C3" w:rsidP="00234FBE">
            <w:pPr>
              <w:pStyle w:val="BoxSpaceBelow"/>
              <w:keepLines/>
            </w:pPr>
          </w:p>
        </w:tc>
      </w:tr>
    </w:tbl>
    <w:p w14:paraId="050C212E" w14:textId="77777777" w:rsidR="001054C3" w:rsidRDefault="001054C3" w:rsidP="00234FBE">
      <w:pPr>
        <w:pStyle w:val="Heading3"/>
      </w:pPr>
      <w:r w:rsidRPr="00425DDF">
        <w:lastRenderedPageBreak/>
        <w:t>Regulation</w:t>
      </w:r>
      <w:r>
        <w:t> — </w:t>
      </w:r>
      <w:r w:rsidRPr="00425DDF">
        <w:t xml:space="preserve">the rules </w:t>
      </w:r>
      <w:r>
        <w:t>and their administration</w:t>
      </w:r>
    </w:p>
    <w:p w14:paraId="3D619C3B" w14:textId="77777777" w:rsidR="001054C3" w:rsidRDefault="001054C3" w:rsidP="00234FBE">
      <w:pPr>
        <w:pStyle w:val="BodyText"/>
      </w:pPr>
      <w:r w:rsidRPr="00841E10">
        <w:t xml:space="preserve">Water trade regulation describes the rules within which trade can occur and the processes by which these regulations are implemented. </w:t>
      </w:r>
      <w:r>
        <w:t>Leading practice has a number of characteristics.</w:t>
      </w:r>
    </w:p>
    <w:p w14:paraId="64B357F3" w14:textId="77777777" w:rsidR="001054C3" w:rsidRDefault="001054C3" w:rsidP="00234FBE">
      <w:pPr>
        <w:pStyle w:val="BodyText"/>
      </w:pPr>
      <w:r w:rsidRPr="004578AE">
        <w:rPr>
          <w:b/>
          <w:i/>
          <w:iCs/>
        </w:rPr>
        <w:t>Regulation maximises overall community benefits</w:t>
      </w:r>
      <w:r w:rsidRPr="001317C7">
        <w:t>.</w:t>
      </w:r>
      <w:r w:rsidRPr="00FE4FBC">
        <w:t xml:space="preserve"> </w:t>
      </w:r>
      <w:r>
        <w:t xml:space="preserve">While the NWI targeted progressive removal of barriers to trade (where hydrology permits), some restrictions are likely to be needed. For example, they are warranted where trade results in negative impacts on </w:t>
      </w:r>
      <w:r w:rsidRPr="00D86B23">
        <w:t>other water users and the environment</w:t>
      </w:r>
      <w:r>
        <w:t xml:space="preserve">. Examples </w:t>
      </w:r>
      <w:r w:rsidRPr="00D86B23">
        <w:t>include conveyance losses (for example, evaporation and spillage during delivery), pumping impacts on water quality and flooding in constrained river segments.</w:t>
      </w:r>
      <w:r>
        <w:t xml:space="preserve"> </w:t>
      </w:r>
      <w:r w:rsidRPr="00B70639">
        <w:t>In most systems, third</w:t>
      </w:r>
      <w:r>
        <w:noBreakHyphen/>
      </w:r>
      <w:r w:rsidRPr="00B70639">
        <w:t>party protections are provided by trade rules and approval processes.</w:t>
      </w:r>
      <w:r>
        <w:t xml:space="preserve"> In some instances, markets can and have been developed to effectively price these impacts and internalise them into trading decisions. Ensuring restrictions are warranted and appropriate will maximise overall community benefits.</w:t>
      </w:r>
    </w:p>
    <w:p w14:paraId="4F420148" w14:textId="77777777" w:rsidR="001054C3" w:rsidRPr="00983F69" w:rsidRDefault="001054C3" w:rsidP="00234FBE">
      <w:pPr>
        <w:pStyle w:val="BodyText"/>
        <w:rPr>
          <w:spacing w:val="-2"/>
        </w:rPr>
      </w:pPr>
      <w:r>
        <w:rPr>
          <w:lang w:val="en-GB"/>
        </w:rPr>
        <w:t>There are a number of considerations for water trade r</w:t>
      </w:r>
      <w:r w:rsidRPr="00C16F28">
        <w:rPr>
          <w:lang w:val="en-GB"/>
        </w:rPr>
        <w:t xml:space="preserve">egulation that maximise </w:t>
      </w:r>
      <w:r>
        <w:rPr>
          <w:lang w:val="en-GB"/>
        </w:rPr>
        <w:t>overall</w:t>
      </w:r>
      <w:r w:rsidRPr="00C16F28">
        <w:rPr>
          <w:lang w:val="en-GB"/>
        </w:rPr>
        <w:t xml:space="preserve"> community benefits</w:t>
      </w:r>
      <w:r>
        <w:rPr>
          <w:lang w:val="en-GB"/>
        </w:rPr>
        <w:t>.</w:t>
      </w:r>
    </w:p>
    <w:p w14:paraId="32381899" w14:textId="77777777" w:rsidR="001054C3" w:rsidRDefault="001054C3" w:rsidP="00234FBE">
      <w:pPr>
        <w:pStyle w:val="ListBullet"/>
      </w:pPr>
      <w:r w:rsidRPr="003B2080">
        <w:t xml:space="preserve">Trade between locations, whether between states and territories, valleys, or management zones, should </w:t>
      </w:r>
      <w:r>
        <w:t xml:space="preserve">facilitate the movement of water within hydrological and environmental constraints and </w:t>
      </w:r>
      <w:r w:rsidRPr="003B2080">
        <w:t>not be limited by artificial administrative impediments.</w:t>
      </w:r>
      <w:r>
        <w:t xml:space="preserve"> Water trading zones and groundwater management units should be defined in terms of the ability to transfer water physically from one area to another, environmental requirements and other third</w:t>
      </w:r>
      <w:r>
        <w:noBreakHyphen/>
        <w:t>party considerations, rather than historical administrative boundaries.</w:t>
      </w:r>
    </w:p>
    <w:p w14:paraId="2D147F93" w14:textId="77777777" w:rsidR="001054C3" w:rsidRDefault="001054C3" w:rsidP="00234FBE">
      <w:pPr>
        <w:pStyle w:val="ListBullet2"/>
      </w:pPr>
      <w:r>
        <w:t>Consistent and compatible regulatory regimes would facilitate interstate trade where it is hydrologically feasible.</w:t>
      </w:r>
    </w:p>
    <w:p w14:paraId="066EE3A7" w14:textId="77777777" w:rsidR="001054C3" w:rsidRDefault="001054C3" w:rsidP="00234FBE">
      <w:pPr>
        <w:pStyle w:val="ListBullet"/>
      </w:pPr>
      <w:r>
        <w:t>C</w:t>
      </w:r>
      <w:r w:rsidRPr="001832A8">
        <w:t xml:space="preserve">lear and timely communication of </w:t>
      </w:r>
      <w:r>
        <w:t>trading rule</w:t>
      </w:r>
      <w:r w:rsidRPr="001832A8">
        <w:t xml:space="preserve"> changes </w:t>
      </w:r>
      <w:r>
        <w:t>(where changes are necessary and well</w:t>
      </w:r>
      <w:r>
        <w:noBreakHyphen/>
        <w:t xml:space="preserve">justified) </w:t>
      </w:r>
      <w:r w:rsidRPr="001832A8">
        <w:t xml:space="preserve">should seek to avoid disadvantaging market participants. </w:t>
      </w:r>
      <w:r w:rsidRPr="00B262C8">
        <w:t xml:space="preserve">The regulatory impact assessment </w:t>
      </w:r>
      <w:r>
        <w:t xml:space="preserve">and consultation process </w:t>
      </w:r>
      <w:r w:rsidRPr="00B262C8">
        <w:t xml:space="preserve">that has been conducted by Victoria into the Goulburn </w:t>
      </w:r>
      <w:r>
        <w:t>to Murray</w:t>
      </w:r>
      <w:r w:rsidRPr="00B262C8">
        <w:t xml:space="preserve"> </w:t>
      </w:r>
      <w:r>
        <w:t>trade</w:t>
      </w:r>
      <w:r w:rsidRPr="00B262C8">
        <w:t xml:space="preserve"> rule </w:t>
      </w:r>
      <w:r>
        <w:t xml:space="preserve">review </w:t>
      </w:r>
      <w:r w:rsidRPr="00B262C8">
        <w:t>is an example of best practice</w:t>
      </w:r>
      <w:r>
        <w:t xml:space="preserve"> (</w:t>
      </w:r>
      <w:r>
        <w:rPr>
          <w:i/>
          <w:iCs/>
        </w:rPr>
        <w:t>Assessment</w:t>
      </w:r>
      <w:r>
        <w:t>: section 2.1</w:t>
      </w:r>
      <w:r w:rsidRPr="00DE301C">
        <w:t>)</w:t>
      </w:r>
      <w:r>
        <w:t>.</w:t>
      </w:r>
    </w:p>
    <w:p w14:paraId="67202873" w14:textId="77777777" w:rsidR="001054C3" w:rsidRDefault="001054C3" w:rsidP="00234FBE">
      <w:pPr>
        <w:pStyle w:val="ListBullet2"/>
      </w:pPr>
      <w:r w:rsidRPr="005B7D64">
        <w:t>Beyond trade rules, administrative processes and decisions that affect water availability, and therefore market dynamics, would benefit from increased transparency. Examples of these processes include seasonal announcements around water allocations, information on carryover policies, reporting on conveyance losses and delivery impacts.</w:t>
      </w:r>
    </w:p>
    <w:p w14:paraId="57BCB91D" w14:textId="2BE461E0" w:rsidR="001054C3" w:rsidRPr="004C6746" w:rsidRDefault="001054C3" w:rsidP="00234FBE">
      <w:pPr>
        <w:pStyle w:val="BodyText"/>
        <w:rPr>
          <w:rStyle w:val="DraftingNote"/>
          <w:b w:val="0"/>
          <w:color w:val="auto"/>
          <w:u w:val="none"/>
        </w:rPr>
      </w:pPr>
      <w:r w:rsidRPr="00B43BC5">
        <w:rPr>
          <w:b/>
          <w:bCs/>
          <w:i/>
          <w:iCs/>
        </w:rPr>
        <w:t>Market access is open to all participants.</w:t>
      </w:r>
      <w:r w:rsidRPr="004C6746">
        <w:rPr>
          <w:rStyle w:val="DraftingNote"/>
          <w:b w:val="0"/>
          <w:color w:val="auto"/>
          <w:u w:val="none"/>
        </w:rPr>
        <w:t xml:space="preserve"> The diversity of market participants in the MDB has grown as more brokers, domestic and foreign investors and other non</w:t>
      </w:r>
      <w:r>
        <w:rPr>
          <w:rStyle w:val="DraftingNote"/>
          <w:b w:val="0"/>
          <w:color w:val="auto"/>
          <w:u w:val="none"/>
        </w:rPr>
        <w:noBreakHyphen/>
      </w:r>
      <w:r w:rsidRPr="004C6746">
        <w:rPr>
          <w:rStyle w:val="DraftingNote"/>
          <w:b w:val="0"/>
          <w:color w:val="auto"/>
          <w:u w:val="none"/>
        </w:rPr>
        <w:t>user participants have entered these water markets. Some</w:t>
      </w:r>
      <w:r>
        <w:rPr>
          <w:rStyle w:val="DraftingNote"/>
          <w:b w:val="0"/>
          <w:color w:val="auto"/>
          <w:u w:val="none"/>
        </w:rPr>
        <w:t xml:space="preserve"> </w:t>
      </w:r>
      <w:r>
        <w:t xml:space="preserve">(including participants to other inquiries) </w:t>
      </w:r>
      <w:r w:rsidRPr="00B43BC5">
        <w:t>have argued that access for some should be restricted because, in the case of non</w:t>
      </w:r>
      <w:r w:rsidRPr="00B43BC5">
        <w:noBreakHyphen/>
        <w:t>users (for example, participants from the financial services sector), it reduces the volume of water available for use and drives up the price</w:t>
      </w:r>
      <w:r w:rsidRPr="00B43BC5" w:rsidDel="003179B3">
        <w:t xml:space="preserve"> </w:t>
      </w:r>
      <w:r w:rsidR="00C67DB3" w:rsidRPr="00C67DB3">
        <w:rPr>
          <w:szCs w:val="24"/>
        </w:rPr>
        <w:t>(ACCC 2020, pp. 276–278; DPIPWE (Tas) 2020a, p. 24; RAMJO, sub. 28, attachment, p. 2; PIAC, sub. DR156, p. 7)</w:t>
      </w:r>
      <w:r w:rsidRPr="004C6746">
        <w:rPr>
          <w:rStyle w:val="DraftingNote"/>
          <w:b w:val="0"/>
          <w:color w:val="auto"/>
          <w:u w:val="none"/>
        </w:rPr>
        <w:t>.</w:t>
      </w:r>
    </w:p>
    <w:p w14:paraId="7E16789B" w14:textId="77777777" w:rsidR="001054C3" w:rsidRPr="004C6746" w:rsidRDefault="001054C3" w:rsidP="00234FBE">
      <w:pPr>
        <w:pStyle w:val="BodyText"/>
      </w:pPr>
      <w:r w:rsidRPr="004C6746">
        <w:rPr>
          <w:rStyle w:val="DraftingNote"/>
          <w:b w:val="0"/>
          <w:color w:val="auto"/>
          <w:u w:val="none"/>
        </w:rPr>
        <w:lastRenderedPageBreak/>
        <w:t xml:space="preserve">The Commission shares the conclusion reached by the ACCC that, while there may be a case for increased regulation of certain market behaviours, particularly </w:t>
      </w:r>
      <w:r>
        <w:t>those of</w:t>
      </w:r>
      <w:r w:rsidRPr="004C6746">
        <w:rPr>
          <w:rStyle w:val="DraftingNote"/>
          <w:b w:val="0"/>
          <w:color w:val="auto"/>
          <w:u w:val="none"/>
        </w:rPr>
        <w:t xml:space="preserve"> market intermediaries, this should not preclude entire groups of participants from water markets. These participants offer several benefits, particularly in increasing the numbers of buyers and sellers, reducing transaction costs and providing a risk management function. Unfettered market access — particularly to investors and other financial sector participants — also provides a more diverse range of demands and products that support </w:t>
      </w:r>
      <w:r w:rsidRPr="004C6746">
        <w:t>the management of access, delivery, storage, and risk across space and time.</w:t>
      </w:r>
    </w:p>
    <w:p w14:paraId="3F1DC1CD" w14:textId="77777777" w:rsidR="001054C3" w:rsidRDefault="001054C3" w:rsidP="00234FBE">
      <w:pPr>
        <w:pStyle w:val="BodyText"/>
      </w:pPr>
      <w:r w:rsidRPr="00BA0A71">
        <w:t>Limits to intersectoral trade represent another potential barrier to market access to certain participants. Various State Governments continue to provide implicit or explicit direction to water utilities not to purchase or transfer rural water for urban use (effectively placing a policy ban on this supply option).</w:t>
      </w:r>
    </w:p>
    <w:p w14:paraId="73A0BA19" w14:textId="77777777" w:rsidR="001054C3" w:rsidRDefault="001054C3" w:rsidP="00234FBE">
      <w:pPr>
        <w:pStyle w:val="Heading3"/>
      </w:pPr>
      <w:r>
        <w:t>Operation — how trades happen</w:t>
      </w:r>
    </w:p>
    <w:p w14:paraId="78104F1C" w14:textId="77777777" w:rsidR="001054C3" w:rsidRDefault="001054C3" w:rsidP="00234FBE">
      <w:pPr>
        <w:pStyle w:val="BodyText"/>
      </w:pPr>
      <w:r w:rsidRPr="00F205BF">
        <w:t>Operation</w:t>
      </w:r>
      <w:r>
        <w:t>al</w:t>
      </w:r>
      <w:r w:rsidRPr="00F205BF">
        <w:t xml:space="preserve"> arrangements facilitate the buying and selling of water rights and related products. </w:t>
      </w:r>
      <w:r>
        <w:t xml:space="preserve">Leading practice requires that </w:t>
      </w:r>
      <w:r>
        <w:rPr>
          <w:b/>
          <w:i/>
          <w:iCs/>
        </w:rPr>
        <w:t>e</w:t>
      </w:r>
      <w:r w:rsidRPr="004578AE">
        <w:rPr>
          <w:b/>
          <w:i/>
          <w:iCs/>
        </w:rPr>
        <w:t>fficient arrangements optimise transaction costs</w:t>
      </w:r>
      <w:r w:rsidRPr="006325E2">
        <w:t>.</w:t>
      </w:r>
    </w:p>
    <w:p w14:paraId="24B7D318" w14:textId="23666BB7" w:rsidR="001054C3" w:rsidRDefault="001054C3" w:rsidP="00234FBE">
      <w:pPr>
        <w:pStyle w:val="BodyText"/>
      </w:pPr>
      <w:r w:rsidRPr="006325E2">
        <w:t xml:space="preserve">A minimum </w:t>
      </w:r>
      <w:r>
        <w:t xml:space="preserve">set of tasks is required to </w:t>
      </w:r>
      <w:r w:rsidRPr="006325E2">
        <w:t>give effect to water trades</w:t>
      </w:r>
      <w:r>
        <w:t xml:space="preserve"> including: checks of sellers (for example, water holdings and delivery capacity); checks of buyers (for example, compliance with relevant environmental criteria and management plans); assurance to potential traders that payment and water transfer undertakings will be honoured; and minimum standard documentation setting out the obligations of buyers and sellers </w:t>
      </w:r>
      <w:r w:rsidRPr="00141597">
        <w:rPr>
          <w:szCs w:val="24"/>
        </w:rPr>
        <w:t>(NRMSC 2002, paragraph 29)</w:t>
      </w:r>
      <w:r>
        <w:t>.</w:t>
      </w:r>
    </w:p>
    <w:p w14:paraId="3B2A052E" w14:textId="77777777" w:rsidR="001054C3" w:rsidRDefault="001054C3" w:rsidP="00234FBE">
      <w:pPr>
        <w:pStyle w:val="BodyText"/>
      </w:pPr>
      <w:r>
        <w:t xml:space="preserve">Irrespective of the level of development of a system and, therefore, the effort invested in these tasks, they will always involve some costs. Other things being equal, </w:t>
      </w:r>
      <w:r w:rsidRPr="00077A64">
        <w:t xml:space="preserve">higher fees </w:t>
      </w:r>
      <w:r>
        <w:t xml:space="preserve">for trade applications </w:t>
      </w:r>
      <w:r w:rsidRPr="00077A64">
        <w:t>will increase transaction costs, lowering the gains from trade. Effective pricin</w:t>
      </w:r>
      <w:r>
        <w:t>g</w:t>
      </w:r>
      <w:r w:rsidRPr="00077A64">
        <w:t xml:space="preserve"> oversight is needed </w:t>
      </w:r>
      <w:r>
        <w:t xml:space="preserve">to </w:t>
      </w:r>
      <w:r w:rsidRPr="00077A64">
        <w:t xml:space="preserve">ensure that cost recovery </w:t>
      </w:r>
      <w:r>
        <w:t>is efficient</w:t>
      </w:r>
      <w:r w:rsidRPr="00077A64">
        <w:t>, and that approval fees are not imposing unnecessary transaction costs</w:t>
      </w:r>
      <w:r>
        <w:t>.</w:t>
      </w:r>
    </w:p>
    <w:p w14:paraId="561577CC" w14:textId="51E1F676" w:rsidR="001054C3" w:rsidRPr="004442B2" w:rsidRDefault="001054C3" w:rsidP="00234FBE">
      <w:pPr>
        <w:pStyle w:val="BodyText"/>
      </w:pPr>
      <w:r>
        <w:t>Similarly, transaction costs rise with lengthier trade processing times. S</w:t>
      </w:r>
      <w:r w:rsidRPr="00A419C9">
        <w:t>ome jurisdictions have implemented service standards and targets to incentivise better performance</w:t>
      </w:r>
      <w:r>
        <w:t xml:space="preserve">. As the Commission </w:t>
      </w:r>
      <w:r w:rsidR="00C67DB3" w:rsidRPr="00C67DB3">
        <w:rPr>
          <w:szCs w:val="24"/>
        </w:rPr>
        <w:t>(2017b, p. 128)</w:t>
      </w:r>
      <w:r>
        <w:t xml:space="preserve"> has previously </w:t>
      </w:r>
      <w:r w:rsidRPr="00141597">
        <w:t>noted</w:t>
      </w:r>
      <w:r>
        <w:t>, ‘</w:t>
      </w:r>
      <w:r w:rsidRPr="00B0082E">
        <w:t>there would be merit in reviewing service standards for trade approval processing times, with a view to tightening them</w:t>
      </w:r>
      <w:r>
        <w:t>’.</w:t>
      </w:r>
    </w:p>
    <w:p w14:paraId="10A1AEE5" w14:textId="0A3E579D" w:rsidR="001054C3" w:rsidRDefault="001054C3" w:rsidP="00234FBE">
      <w:pPr>
        <w:pStyle w:val="BodyText"/>
      </w:pPr>
      <w:r w:rsidRPr="00F760D3">
        <w:t>Trade</w:t>
      </w:r>
      <w:r>
        <w:noBreakHyphen/>
      </w:r>
      <w:r w:rsidRPr="00F760D3">
        <w:t>related services, provided by third parties, can</w:t>
      </w:r>
      <w:r>
        <w:t xml:space="preserve"> also</w:t>
      </w:r>
      <w:r w:rsidRPr="00F760D3">
        <w:t xml:space="preserve"> help to lower transaction costs. Exchanges, brokers and other water market intermediaries can assist sellers in finding buyers </w:t>
      </w:r>
      <w:r>
        <w:t>for</w:t>
      </w:r>
      <w:r w:rsidRPr="00F760D3">
        <w:t xml:space="preserve"> their entitlements</w:t>
      </w:r>
      <w:r>
        <w:t>,</w:t>
      </w:r>
      <w:r w:rsidRPr="00F760D3">
        <w:t xml:space="preserve"> lower costs of compliance and provide tailored information to participants.</w:t>
      </w:r>
      <w:r>
        <w:t xml:space="preserve"> </w:t>
      </w:r>
      <w:r w:rsidRPr="00973344">
        <w:t>As trade</w:t>
      </w:r>
      <w:r>
        <w:noBreakHyphen/>
      </w:r>
      <w:r w:rsidRPr="00973344">
        <w:t xml:space="preserve">related services are increasingly provided outside of the MDB, </w:t>
      </w:r>
      <w:r>
        <w:t>proposals for regulation should consider whether the potential costs might outweigh the</w:t>
      </w:r>
      <w:r w:rsidRPr="00973344">
        <w:t xml:space="preserve"> benefits (for example, greater customer protections and lower rates of market misconduct by brokers)</w:t>
      </w:r>
      <w:r>
        <w:t>. The ACCC has recently proposed a range of regulatory reforms to water trade</w:t>
      </w:r>
      <w:r>
        <w:noBreakHyphen/>
        <w:t xml:space="preserve">related services in the MDB </w:t>
      </w:r>
      <w:r w:rsidR="00C67DB3" w:rsidRPr="00C67DB3">
        <w:rPr>
          <w:szCs w:val="24"/>
        </w:rPr>
        <w:t>(2020, p. 26)</w:t>
      </w:r>
      <w:r w:rsidRPr="00973344">
        <w:t>.</w:t>
      </w:r>
    </w:p>
    <w:p w14:paraId="25BF3C3E"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4FA58BD7"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476E114" w14:textId="77777777" w:rsidR="001054C3" w:rsidRPr="00C40AF3" w:rsidRDefault="001054C3" w:rsidP="00234FBE">
            <w:pPr>
              <w:pStyle w:val="RecTitle"/>
              <w:spacing w:before="120"/>
              <w:rPr>
                <w:noProof/>
                <w:spacing w:val="-2"/>
              </w:rPr>
            </w:pPr>
            <w:r w:rsidRPr="00C40AF3">
              <w:rPr>
                <w:spacing w:val="-2"/>
              </w:rPr>
              <w:t>NWI renewal advice 7.2: Leading practice governance, regulatory and operational arrangements</w:t>
            </w:r>
          </w:p>
        </w:tc>
      </w:tr>
      <w:tr w:rsidR="001054C3" w:rsidRPr="00750BE2" w14:paraId="1598B2AC"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1CF28D33" w14:textId="77777777" w:rsidR="001054C3" w:rsidRPr="001F1BC3" w:rsidRDefault="001054C3" w:rsidP="00234FBE">
            <w:pPr>
              <w:pStyle w:val="Rec"/>
            </w:pPr>
            <w:r w:rsidRPr="001F1BC3">
              <w:t xml:space="preserve">Recommitting to the original </w:t>
            </w:r>
            <w:r>
              <w:t>National Water Initiative</w:t>
            </w:r>
            <w:r w:rsidRPr="001F1BC3">
              <w:t xml:space="preserve"> water trading and market principles would support the objective that arrangements facilitate the efficient operation of markets, where system and water supply considerations permit.</w:t>
            </w:r>
          </w:p>
          <w:p w14:paraId="201FAC0E" w14:textId="77777777" w:rsidR="001054C3" w:rsidRPr="001F1BC3" w:rsidRDefault="001054C3" w:rsidP="00234FBE">
            <w:pPr>
              <w:pStyle w:val="Rec"/>
            </w:pPr>
            <w:r w:rsidRPr="001F1BC3">
              <w:t>Reshaped principles covering governance, regulatory and operational arrangements for water markets and trading would provide stronger foundations for developing markets.</w:t>
            </w:r>
          </w:p>
          <w:p w14:paraId="7A185658" w14:textId="77777777" w:rsidR="001054C3" w:rsidRPr="00E71452" w:rsidRDefault="001054C3" w:rsidP="001C0463">
            <w:pPr>
              <w:pStyle w:val="RecBullet"/>
            </w:pPr>
            <w:r w:rsidRPr="001C0463">
              <w:t xml:space="preserve">Roles and responsibilities of key parties involved in governance are clearly defined, and the </w:t>
            </w:r>
            <w:r w:rsidRPr="00E71452">
              <w:t>parties’ activities are effectively coordinated.</w:t>
            </w:r>
          </w:p>
          <w:p w14:paraId="12B57631" w14:textId="77777777" w:rsidR="001054C3" w:rsidRPr="00345A86" w:rsidRDefault="001054C3" w:rsidP="00E71452">
            <w:pPr>
              <w:pStyle w:val="RecBullet"/>
            </w:pPr>
            <w:r w:rsidRPr="008B20F5">
              <w:t>Institutional arrangements are monitored and evaluated to ensure they remain in step with the level of a market’s development.</w:t>
            </w:r>
          </w:p>
          <w:p w14:paraId="5683F1F8" w14:textId="77777777" w:rsidR="001054C3" w:rsidRPr="00345A86" w:rsidRDefault="001054C3" w:rsidP="00E71452">
            <w:pPr>
              <w:pStyle w:val="RecBullet"/>
            </w:pPr>
            <w:r w:rsidRPr="00345A86">
              <w:t>Trade is regulated to maximise overall community benefit (efficiency).</w:t>
            </w:r>
          </w:p>
          <w:p w14:paraId="1EE68B77" w14:textId="77777777" w:rsidR="001054C3" w:rsidRPr="00345A86" w:rsidRDefault="001054C3" w:rsidP="008C565C">
            <w:pPr>
              <w:pStyle w:val="RecBullet2"/>
              <w:numPr>
                <w:ilvl w:val="0"/>
                <w:numId w:val="29"/>
              </w:numPr>
            </w:pPr>
            <w:r w:rsidRPr="00345A86">
              <w:t>Arrangements protect against negative third</w:t>
            </w:r>
            <w:r w:rsidRPr="00345A86">
              <w:noBreakHyphen/>
              <w:t>party impacts of water trades on other water users and the environment.</w:t>
            </w:r>
          </w:p>
          <w:p w14:paraId="0D811BF1" w14:textId="77777777" w:rsidR="001054C3" w:rsidRPr="008B20F5" w:rsidRDefault="001054C3" w:rsidP="008C565C">
            <w:pPr>
              <w:pStyle w:val="RecBullet2"/>
              <w:numPr>
                <w:ilvl w:val="0"/>
                <w:numId w:val="29"/>
              </w:numPr>
            </w:pPr>
            <w:r w:rsidRPr="00C92225">
              <w:t>The boundaries of water markets should be shaped by hydrology; trade between locations or sectors should not be limited by artificial administrative impediments.</w:t>
            </w:r>
          </w:p>
          <w:p w14:paraId="2D199982" w14:textId="77777777" w:rsidR="001054C3" w:rsidRPr="00A37372" w:rsidRDefault="001054C3" w:rsidP="008C565C">
            <w:pPr>
              <w:pStyle w:val="RecBullet2"/>
              <w:numPr>
                <w:ilvl w:val="0"/>
                <w:numId w:val="29"/>
              </w:numPr>
            </w:pPr>
            <w:r w:rsidRPr="00345A86">
              <w:t>Regulatory consistency and compatibility apply where it is hydrologically feasible for interstate trade to occur.</w:t>
            </w:r>
          </w:p>
          <w:p w14:paraId="4A22E977" w14:textId="77777777" w:rsidR="001054C3" w:rsidRPr="001C0463" w:rsidRDefault="001054C3" w:rsidP="008C565C">
            <w:pPr>
              <w:pStyle w:val="RecBullet2"/>
              <w:numPr>
                <w:ilvl w:val="0"/>
                <w:numId w:val="29"/>
              </w:numPr>
            </w:pPr>
            <w:r w:rsidRPr="001C0463">
              <w:t>Where the changing of trading rules is necessary and well justified, the communication of these changes should be clear, timely and accessible to the market.</w:t>
            </w:r>
          </w:p>
          <w:p w14:paraId="386360E2" w14:textId="77777777" w:rsidR="001054C3" w:rsidRPr="008B20F5" w:rsidRDefault="001054C3" w:rsidP="00345A86">
            <w:pPr>
              <w:pStyle w:val="RecBullet2"/>
            </w:pPr>
            <w:r w:rsidRPr="00E71452">
              <w:t>Where broader management and administrative decisions (such as processes for determining seasonal allocations) impact on water availability and therefore market dynamics, these processes should be transparent and their impacts well understood.</w:t>
            </w:r>
          </w:p>
          <w:p w14:paraId="57889218" w14:textId="77777777" w:rsidR="001054C3" w:rsidRPr="001F1BC3" w:rsidRDefault="001054C3" w:rsidP="00234FBE">
            <w:pPr>
              <w:pStyle w:val="RecBullet"/>
            </w:pPr>
            <w:r w:rsidRPr="001F1BC3">
              <w:t>Market access is open to all participants</w:t>
            </w:r>
            <w:r>
              <w:t>.</w:t>
            </w:r>
          </w:p>
          <w:p w14:paraId="2D599450" w14:textId="77777777" w:rsidR="001054C3" w:rsidRPr="00CE4630" w:rsidRDefault="001054C3" w:rsidP="00234FBE">
            <w:pPr>
              <w:pStyle w:val="RecBullet2"/>
              <w:rPr>
                <w:sz w:val="24"/>
              </w:rPr>
            </w:pPr>
            <w:r w:rsidRPr="00CE4630">
              <w:t>Development of an appropriate mix of tradeable water products is enabled.</w:t>
            </w:r>
          </w:p>
          <w:p w14:paraId="609B82A0" w14:textId="77777777" w:rsidR="001054C3" w:rsidRPr="001F1BC3" w:rsidRDefault="001054C3" w:rsidP="00234FBE">
            <w:pPr>
              <w:pStyle w:val="RecBullet"/>
            </w:pPr>
            <w:r w:rsidRPr="001F1BC3">
              <w:t>Water market operations optimise transaction costs, including both monetary (for example, trade approval fees) and non</w:t>
            </w:r>
            <w:r>
              <w:noBreakHyphen/>
            </w:r>
            <w:r w:rsidRPr="001F1BC3">
              <w:t>monetary (for example, from trade approval processing times and regulation of trade related services).</w:t>
            </w:r>
          </w:p>
          <w:p w14:paraId="48EF0B7E" w14:textId="77777777" w:rsidR="001054C3" w:rsidRDefault="001054C3" w:rsidP="00234FBE">
            <w:pPr>
              <w:pStyle w:val="Rec"/>
            </w:pPr>
            <w:r w:rsidRPr="00A436FA">
              <w:t xml:space="preserve">Jurisdictions could also consider </w:t>
            </w:r>
            <w:r>
              <w:t>integrating water trade monitoring with system management</w:t>
            </w:r>
            <w:r w:rsidRPr="00A436FA">
              <w:t xml:space="preserve"> in highly developed systems. </w:t>
            </w:r>
            <w:r>
              <w:t>Such a role</w:t>
            </w:r>
            <w:r w:rsidRPr="00A436FA">
              <w:t xml:space="preserve"> could focus on the </w:t>
            </w:r>
            <w:r>
              <w:t>long</w:t>
            </w:r>
            <w:r>
              <w:noBreakHyphen/>
              <w:t xml:space="preserve">term </w:t>
            </w:r>
            <w:r w:rsidRPr="00A436FA">
              <w:t>operation of the market</w:t>
            </w:r>
            <w:r>
              <w:t xml:space="preserve"> within the water resource management system.</w:t>
            </w:r>
            <w:r w:rsidRPr="00A436FA">
              <w:t xml:space="preserve"> </w:t>
            </w:r>
            <w:r>
              <w:t>I</w:t>
            </w:r>
            <w:r w:rsidRPr="00A436FA">
              <w:t>n a changing climate</w:t>
            </w:r>
            <w:r>
              <w:t>,</w:t>
            </w:r>
            <w:r w:rsidRPr="00A436FA">
              <w:t xml:space="preserve"> shared resources and connected systems</w:t>
            </w:r>
            <w:r>
              <w:t xml:space="preserve"> will require consideration of </w:t>
            </w:r>
            <w:r w:rsidRPr="00B82944">
              <w:t>the interaction between resource availability, system constraints and water trade</w:t>
            </w:r>
            <w:r>
              <w:t>;</w:t>
            </w:r>
            <w:r w:rsidRPr="00B82944">
              <w:t xml:space="preserve"> </w:t>
            </w:r>
            <w:r>
              <w:t>and the identification of</w:t>
            </w:r>
            <w:r w:rsidRPr="00A436FA">
              <w:t xml:space="preserve"> risks </w:t>
            </w:r>
            <w:r>
              <w:t xml:space="preserve">as these interactions </w:t>
            </w:r>
            <w:r w:rsidRPr="00A436FA">
              <w:t>change</w:t>
            </w:r>
            <w:r>
              <w:t>.</w:t>
            </w:r>
          </w:p>
        </w:tc>
      </w:tr>
      <w:tr w:rsidR="001054C3" w14:paraId="2F8022BC"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E0B386B" w14:textId="77777777" w:rsidR="001054C3" w:rsidRDefault="001054C3" w:rsidP="00234FBE">
            <w:pPr>
              <w:pStyle w:val="Space"/>
              <w:keepLines/>
            </w:pPr>
          </w:p>
        </w:tc>
      </w:tr>
      <w:tr w:rsidR="001054C3" w:rsidRPr="000863A5" w14:paraId="50A0A6C2" w14:textId="77777777" w:rsidTr="00234FBE">
        <w:tc>
          <w:tcPr>
            <w:tcW w:w="5000" w:type="pct"/>
            <w:tcBorders>
              <w:top w:val="single" w:sz="6" w:space="0" w:color="0070C0"/>
              <w:left w:val="nil"/>
              <w:bottom w:val="nil"/>
              <w:right w:val="nil"/>
            </w:tcBorders>
            <w:tcMar>
              <w:left w:w="170" w:type="dxa"/>
              <w:right w:w="170" w:type="dxa"/>
            </w:tcMar>
          </w:tcPr>
          <w:p w14:paraId="61C1532C" w14:textId="77777777" w:rsidR="001054C3" w:rsidRPr="00626D32" w:rsidRDefault="001054C3" w:rsidP="00234FBE">
            <w:pPr>
              <w:pStyle w:val="BoxSpaceBelow"/>
              <w:keepLines/>
            </w:pPr>
          </w:p>
        </w:tc>
      </w:tr>
    </w:tbl>
    <w:p w14:paraId="3E2A5045" w14:textId="77777777" w:rsidR="001054C3" w:rsidRDefault="001054C3" w:rsidP="00234FBE">
      <w:pPr>
        <w:pStyle w:val="Heading3"/>
      </w:pPr>
      <w:r>
        <w:lastRenderedPageBreak/>
        <w:t>Information provision — roles and responsibilities</w:t>
      </w:r>
    </w:p>
    <w:p w14:paraId="78564134" w14:textId="77777777" w:rsidR="001054C3" w:rsidRPr="00122E9C" w:rsidRDefault="001054C3" w:rsidP="00234FBE">
      <w:pPr>
        <w:pStyle w:val="BodyText"/>
      </w:pPr>
      <w:r w:rsidRPr="00122E9C">
        <w:t>The NWI supports efficient water trading through ‘good information flows’.</w:t>
      </w:r>
      <w:r w:rsidRPr="00FB548A">
        <w:rPr>
          <w:rStyle w:val="FootnoteReference"/>
        </w:rPr>
        <w:footnoteReference w:id="21"/>
      </w:r>
      <w:r w:rsidRPr="00122E9C">
        <w:t xml:space="preserve"> Water registers</w:t>
      </w:r>
      <w:r>
        <w:t>, provided by State and Territory Governments,</w:t>
      </w:r>
      <w:r w:rsidRPr="00122E9C">
        <w:t xml:space="preserve"> are </w:t>
      </w:r>
      <w:r>
        <w:t>the foundation of these</w:t>
      </w:r>
      <w:r w:rsidRPr="00122E9C">
        <w:t xml:space="preserve"> information flows, as a transparent record of water right ownership and trades. </w:t>
      </w:r>
      <w:r>
        <w:t>Beyond water registers, t</w:t>
      </w:r>
      <w:r w:rsidRPr="00122E9C">
        <w:t>he public and private sector each have roles to play in collating and communicating market</w:t>
      </w:r>
      <w:r>
        <w:noBreakHyphen/>
      </w:r>
      <w:r w:rsidRPr="00122E9C">
        <w:t>relevant information to meet different user needs.</w:t>
      </w:r>
    </w:p>
    <w:p w14:paraId="20105570" w14:textId="77777777" w:rsidR="001054C3" w:rsidRPr="00C40AF3" w:rsidRDefault="001054C3" w:rsidP="00234FBE">
      <w:pPr>
        <w:pStyle w:val="Heading4"/>
        <w:spacing w:before="240"/>
        <w:rPr>
          <w:spacing w:val="-4"/>
        </w:rPr>
      </w:pPr>
      <w:r w:rsidRPr="00C40AF3">
        <w:rPr>
          <w:spacing w:val="-4"/>
        </w:rPr>
        <w:t>Water registers are critical in defining water ownership and provide basic trade data</w:t>
      </w:r>
    </w:p>
    <w:p w14:paraId="2DAA72BE" w14:textId="77777777" w:rsidR="001054C3" w:rsidRDefault="001054C3" w:rsidP="00234FBE">
      <w:pPr>
        <w:pStyle w:val="BodyText"/>
      </w:pPr>
      <w:r w:rsidRPr="003C28CD">
        <w:t>Under the NWI, jurisdictions agreed to implement ‘compatible, publicly accessible and reliable’ water registers.</w:t>
      </w:r>
      <w:r>
        <w:t xml:space="preserve"> G</w:t>
      </w:r>
      <w:r w:rsidRPr="003C28CD">
        <w:t xml:space="preserve">uidelines </w:t>
      </w:r>
      <w:r>
        <w:t>included in</w:t>
      </w:r>
      <w:r w:rsidRPr="003C28CD">
        <w:t xml:space="preserve"> the </w:t>
      </w:r>
      <w:r>
        <w:t>agreement</w:t>
      </w:r>
      <w:r w:rsidRPr="003C28CD">
        <w:t xml:space="preserve"> remain relevant</w:t>
      </w:r>
      <w:r>
        <w:t xml:space="preserve"> — for trading purposes, registers should </w:t>
      </w:r>
      <w:r w:rsidRPr="003C28CD">
        <w:t>captur</w:t>
      </w:r>
      <w:r>
        <w:t xml:space="preserve">e the identity of </w:t>
      </w:r>
      <w:r w:rsidRPr="003C28CD">
        <w:t xml:space="preserve">all water access entitlement </w:t>
      </w:r>
      <w:r>
        <w:t xml:space="preserve">holders </w:t>
      </w:r>
      <w:r w:rsidRPr="003C28CD">
        <w:t xml:space="preserve">and </w:t>
      </w:r>
      <w:r>
        <w:t xml:space="preserve">the price and location of </w:t>
      </w:r>
      <w:r w:rsidRPr="003C28CD">
        <w:t>trades.</w:t>
      </w:r>
    </w:p>
    <w:p w14:paraId="7F00C0AE" w14:textId="2A795818" w:rsidR="001054C3" w:rsidRPr="00690B25" w:rsidRDefault="001054C3" w:rsidP="00234FBE">
      <w:pPr>
        <w:pStyle w:val="BodyText"/>
        <w:rPr>
          <w:spacing w:val="-2"/>
        </w:rPr>
      </w:pPr>
      <w:r w:rsidRPr="00690B25">
        <w:rPr>
          <w:spacing w:val="-2"/>
        </w:rPr>
        <w:t>Victoria, South Australia and the Northern Territory have significantly improved their water registers since 2017 (</w:t>
      </w:r>
      <w:r w:rsidRPr="00690B25">
        <w:rPr>
          <w:i/>
          <w:iCs/>
          <w:spacing w:val="-2"/>
        </w:rPr>
        <w:t>Assessment</w:t>
      </w:r>
      <w:r w:rsidRPr="00690B25">
        <w:rPr>
          <w:spacing w:val="-2"/>
        </w:rPr>
        <w:t xml:space="preserve">: section 2.2). Queensland has made progress in improving access to its water market information, however, its registers do not meet all NWI standards. And New South Wales is currently consulting on possible reforms to increase transparency. However, there remains opposition from irrigators in Victoria and New South Wales to making personal information available and/or searchable </w:t>
      </w:r>
      <w:r w:rsidR="00C67DB3" w:rsidRPr="00690B25">
        <w:rPr>
          <w:spacing w:val="-2"/>
          <w:szCs w:val="24"/>
        </w:rPr>
        <w:t>(DELWP (Vic) 2019; NIC, sub.</w:t>
      </w:r>
      <w:r w:rsidR="00690B25" w:rsidRPr="00690B25">
        <w:rPr>
          <w:spacing w:val="-2"/>
          <w:szCs w:val="24"/>
        </w:rPr>
        <w:t> </w:t>
      </w:r>
      <w:r w:rsidR="00C67DB3" w:rsidRPr="00690B25">
        <w:rPr>
          <w:spacing w:val="-2"/>
          <w:szCs w:val="24"/>
        </w:rPr>
        <w:t>27, p. 19)</w:t>
      </w:r>
      <w:r w:rsidRPr="00690B25">
        <w:rPr>
          <w:spacing w:val="-2"/>
        </w:rPr>
        <w:t>.</w:t>
      </w:r>
    </w:p>
    <w:p w14:paraId="5AECD55C" w14:textId="77777777" w:rsidR="001054C3" w:rsidRDefault="001054C3" w:rsidP="00234FBE">
      <w:pPr>
        <w:pStyle w:val="BodyText"/>
      </w:pPr>
      <w:r>
        <w:t>Inquiry participants are divided on whether water registers meet user needs. The NSW Irrigators’ Council observed that, ‘the National Water Initiative requirements are largely satisfied’ given the current information available on New South Wales water registers (sub. 27, p 19). The Southern Riverina Irrigators, in contrast, argue that water registers are ‘grossly inadequate’ (sub. 77, p. 9).</w:t>
      </w:r>
    </w:p>
    <w:p w14:paraId="4AC217E4" w14:textId="77777777" w:rsidR="001054C3" w:rsidRDefault="001054C3" w:rsidP="00234FBE">
      <w:pPr>
        <w:pStyle w:val="BodyText"/>
      </w:pPr>
      <w:r>
        <w:t xml:space="preserve">A renewed NWI </w:t>
      </w:r>
      <w:r w:rsidRPr="00E8295F">
        <w:t>should continue to include principles and guidelines on water registers</w:t>
      </w:r>
      <w:r>
        <w:t xml:space="preserve"> </w:t>
      </w:r>
      <w:r w:rsidRPr="00E8295F">
        <w:t xml:space="preserve">to </w:t>
      </w:r>
      <w:r>
        <w:t xml:space="preserve">ensure that </w:t>
      </w:r>
      <w:r w:rsidRPr="00E8295F">
        <w:t xml:space="preserve">register information </w:t>
      </w:r>
      <w:r>
        <w:t xml:space="preserve">is made </w:t>
      </w:r>
      <w:r w:rsidRPr="00E8295F">
        <w:t>available in a timely manner</w:t>
      </w:r>
      <w:r>
        <w:t>.</w:t>
      </w:r>
      <w:r w:rsidRPr="00E8295F">
        <w:t xml:space="preserve"> </w:t>
      </w:r>
      <w:r>
        <w:t>It should also provide guidance to support</w:t>
      </w:r>
      <w:r w:rsidRPr="00DE3969">
        <w:t xml:space="preserve"> jurisdictions’ decision making about the provision of basic entitlements and trade data</w:t>
      </w:r>
      <w:r>
        <w:t xml:space="preserve"> (including balancing transparency and integrity with privacy concerns). </w:t>
      </w:r>
      <w:r w:rsidRPr="00C54CF2">
        <w:t>At a minimum, basic trade information, including prices, volumes, dates, locations and product types, should be publicly available. In some systems, water registers may play a role in communicating this information, but need not be the only mode of doing so (</w:t>
      </w:r>
      <w:r w:rsidRPr="007A2533">
        <w:rPr>
          <w:i/>
          <w:iCs/>
        </w:rPr>
        <w:t>Assessment</w:t>
      </w:r>
      <w:r>
        <w:t>: section 2.2</w:t>
      </w:r>
      <w:r w:rsidRPr="00C54CF2">
        <w:t>). Government provision of basic trade data beyond registers should be guided by user needs and by a consideration of the benefits and costs related to government provision of that information (relative to private provision).</w:t>
      </w:r>
    </w:p>
    <w:p w14:paraId="131B6E22" w14:textId="77777777" w:rsidR="001054C3" w:rsidRDefault="001054C3" w:rsidP="00234FBE">
      <w:pPr>
        <w:pStyle w:val="BodyText"/>
      </w:pPr>
      <w:r w:rsidRPr="00354B8E">
        <w:t>Water registers also support a range of other water management objectives, which are discussed in chapter</w:t>
      </w:r>
      <w:r>
        <w:t> </w:t>
      </w:r>
      <w:r w:rsidRPr="00354B8E">
        <w:t>10.</w:t>
      </w:r>
    </w:p>
    <w:p w14:paraId="1E5CBBD6" w14:textId="77777777" w:rsidR="001054C3" w:rsidRDefault="001054C3" w:rsidP="00234FBE">
      <w:pPr>
        <w:pStyle w:val="BodyText"/>
      </w:pPr>
      <w:r>
        <w:t xml:space="preserve">In addition to these water register arrangements, the Australian Tax Office currently administers the </w:t>
      </w:r>
      <w:r w:rsidRPr="008427BC">
        <w:rPr>
          <w:i/>
        </w:rPr>
        <w:t>Register of Foreign Ownership of Water Entitlements</w:t>
      </w:r>
      <w:r>
        <w:t xml:space="preserve">. The effectiveness, </w:t>
      </w:r>
      <w:r>
        <w:lastRenderedPageBreak/>
        <w:t>costs and benefits of this register are being examined separately by the Productivity Commission as part of a concurrent inquiry.</w:t>
      </w:r>
    </w:p>
    <w:p w14:paraId="669EBE08" w14:textId="77777777" w:rsidR="001054C3" w:rsidRDefault="001054C3" w:rsidP="00234FBE">
      <w:pPr>
        <w:pStyle w:val="Heading4"/>
      </w:pPr>
      <w:r>
        <w:t>Beyond registers, g</w:t>
      </w:r>
      <w:r w:rsidRPr="00D156B4">
        <w:t>overnments</w:t>
      </w:r>
      <w:r>
        <w:t>’</w:t>
      </w:r>
      <w:r w:rsidRPr="00D156B4">
        <w:t xml:space="preserve"> role </w:t>
      </w:r>
      <w:r>
        <w:t>in ensuring information flows</w:t>
      </w:r>
      <w:r w:rsidRPr="00D156B4">
        <w:t xml:space="preserve"> </w:t>
      </w:r>
      <w:r>
        <w:t>should be clear</w:t>
      </w:r>
    </w:p>
    <w:p w14:paraId="72ED2912" w14:textId="77777777" w:rsidR="001054C3" w:rsidRDefault="001054C3" w:rsidP="00234FBE">
      <w:pPr>
        <w:pStyle w:val="BodyText"/>
      </w:pPr>
      <w:r>
        <w:t>G</w:t>
      </w:r>
      <w:r w:rsidRPr="00595E37">
        <w:t>overnment</w:t>
      </w:r>
      <w:r>
        <w:t>s</w:t>
      </w:r>
      <w:r w:rsidRPr="00595E37">
        <w:t xml:space="preserve"> </w:t>
      </w:r>
      <w:r>
        <w:t xml:space="preserve">have a clear role in communicating </w:t>
      </w:r>
      <w:r w:rsidRPr="00595E37">
        <w:t>market rules</w:t>
      </w:r>
      <w:r>
        <w:t xml:space="preserve"> to participants — including</w:t>
      </w:r>
      <w:r w:rsidRPr="00595E37">
        <w:t xml:space="preserve"> </w:t>
      </w:r>
      <w:r>
        <w:t xml:space="preserve">providing </w:t>
      </w:r>
      <w:r w:rsidRPr="00595E37">
        <w:t xml:space="preserve">a transparent rationale for their imposition. </w:t>
      </w:r>
      <w:r>
        <w:t>I</w:t>
      </w:r>
      <w:r w:rsidRPr="00595E37">
        <w:t xml:space="preserve">nformation </w:t>
      </w:r>
      <w:r>
        <w:t>about</w:t>
      </w:r>
      <w:r w:rsidRPr="00595E37">
        <w:t xml:space="preserve"> water resource quality and accessibility </w:t>
      </w:r>
      <w:r>
        <w:t xml:space="preserve">of value to groups of market participants </w:t>
      </w:r>
      <w:r w:rsidRPr="00595E37">
        <w:t>is another area where government has a role in provision.</w:t>
      </w:r>
    </w:p>
    <w:p w14:paraId="0F4D9486" w14:textId="0AAD843E" w:rsidR="001054C3" w:rsidRDefault="001054C3" w:rsidP="00234FBE">
      <w:pPr>
        <w:pStyle w:val="BodyText"/>
      </w:pPr>
      <w:r w:rsidRPr="00414D64">
        <w:t>Evidence from the MDB suggests that the effectiveness of government</w:t>
      </w:r>
      <w:r>
        <w:noBreakHyphen/>
      </w:r>
      <w:r w:rsidRPr="00414D64">
        <w:t xml:space="preserve">provided information on water markets and resources could be improved. </w:t>
      </w:r>
      <w:r>
        <w:t>A</w:t>
      </w:r>
      <w:r w:rsidRPr="00414D64">
        <w:t xml:space="preserve"> common theme </w:t>
      </w:r>
      <w:r>
        <w:t>from participants in</w:t>
      </w:r>
      <w:r w:rsidRPr="00414D64">
        <w:t xml:space="preserve"> the ACCC</w:t>
      </w:r>
      <w:r>
        <w:t xml:space="preserve">’s </w:t>
      </w:r>
      <w:r w:rsidRPr="00141597">
        <w:rPr>
          <w:szCs w:val="24"/>
        </w:rPr>
        <w:t>(2020, p. 24)</w:t>
      </w:r>
      <w:r>
        <w:t xml:space="preserve"> water markets inquiry</w:t>
      </w:r>
      <w:r w:rsidRPr="00414D64">
        <w:t xml:space="preserve"> </w:t>
      </w:r>
      <w:r>
        <w:t>was t</w:t>
      </w:r>
      <w:r w:rsidRPr="00414D64">
        <w:t>hat MDB water markets were ‘not well</w:t>
      </w:r>
      <w:r>
        <w:noBreakHyphen/>
      </w:r>
      <w:r w:rsidRPr="00414D64">
        <w:t>understood by users’.</w:t>
      </w:r>
      <w:r>
        <w:t xml:space="preserve"> </w:t>
      </w:r>
      <w:r w:rsidRPr="00453F53">
        <w:t xml:space="preserve">As markets </w:t>
      </w:r>
      <w:r>
        <w:t>and trade develop</w:t>
      </w:r>
      <w:r w:rsidRPr="00453F53">
        <w:t xml:space="preserve"> in other water systems, the effectiveness of government</w:t>
      </w:r>
      <w:r>
        <w:noBreakHyphen/>
      </w:r>
      <w:r w:rsidRPr="00453F53">
        <w:t>provided information should be monitored and improved where necessary.</w:t>
      </w:r>
    </w:p>
    <w:p w14:paraId="2E478B42" w14:textId="77777777" w:rsidR="001054C3" w:rsidRPr="00C40AF3" w:rsidRDefault="001054C3" w:rsidP="00234FBE">
      <w:pPr>
        <w:pStyle w:val="BodyText"/>
        <w:rPr>
          <w:spacing w:val="-2"/>
        </w:rPr>
      </w:pPr>
      <w:r w:rsidRPr="00C40AF3">
        <w:rPr>
          <w:spacing w:val="-2"/>
        </w:rPr>
        <w:t>Private providers play an important role and are often able to lower transaction costs to market participants by providing tailored information. Where this applies, the case for government intervention is weak. Several brokers and exchanges are now providing these services in regions outside the MDB, in Queensland and in groundwater systems in South Australia.</w:t>
      </w:r>
    </w:p>
    <w:p w14:paraId="09B62DC2"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607675F2"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D062998" w14:textId="77777777" w:rsidR="001054C3" w:rsidRPr="00CE4C64" w:rsidRDefault="001054C3" w:rsidP="00234FBE">
            <w:pPr>
              <w:pStyle w:val="RecTitle"/>
              <w:spacing w:before="120"/>
              <w:rPr>
                <w:noProof/>
              </w:rPr>
            </w:pPr>
            <w:r>
              <w:t>NWI RENEWAL ADVICE 7.3: information to support efficient water markets</w:t>
            </w:r>
          </w:p>
        </w:tc>
      </w:tr>
      <w:tr w:rsidR="001054C3" w:rsidRPr="00750BE2" w14:paraId="54D8E401"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3B97BAED" w14:textId="77777777" w:rsidR="001054C3" w:rsidRDefault="001054C3" w:rsidP="00234FBE">
            <w:pPr>
              <w:pStyle w:val="Rec"/>
            </w:pPr>
            <w:r>
              <w:t>In efficient water markets:</w:t>
            </w:r>
          </w:p>
          <w:p w14:paraId="46EAF329" w14:textId="77777777" w:rsidR="001054C3" w:rsidRDefault="001054C3" w:rsidP="00234FBE">
            <w:pPr>
              <w:pStyle w:val="RecBullet"/>
            </w:pPr>
            <w:r>
              <w:t>registers of all water access entitlements and trades</w:t>
            </w:r>
            <w:r w:rsidDel="00054867">
              <w:t xml:space="preserve"> </w:t>
            </w:r>
            <w:r>
              <w:t>are publicly</w:t>
            </w:r>
            <w:r>
              <w:noBreakHyphen/>
              <w:t>accessible, timely and reliable</w:t>
            </w:r>
          </w:p>
          <w:p w14:paraId="3E7F364C" w14:textId="77777777" w:rsidR="001054C3" w:rsidRDefault="001054C3" w:rsidP="00234FBE">
            <w:pPr>
              <w:pStyle w:val="RecBullet"/>
            </w:pPr>
            <w:r>
              <w:t>basic trade data — including on prices (clearly specifying reasons for zero</w:t>
            </w:r>
            <w:r>
              <w:noBreakHyphen/>
              <w:t xml:space="preserve">price trades), volumes, dates, locations and </w:t>
            </w:r>
            <w:r w:rsidRPr="007B7962">
              <w:t>product types</w:t>
            </w:r>
            <w:r>
              <w:t> — are publicly available</w:t>
            </w:r>
          </w:p>
          <w:p w14:paraId="3152E99C" w14:textId="77777777" w:rsidR="001054C3" w:rsidRDefault="001054C3" w:rsidP="00234FBE">
            <w:pPr>
              <w:pStyle w:val="RecBullet"/>
            </w:pPr>
            <w:r>
              <w:t>p</w:t>
            </w:r>
            <w:r w:rsidRPr="00370151">
              <w:t>ublicly</w:t>
            </w:r>
            <w:r w:rsidRPr="00370151">
              <w:noBreakHyphen/>
              <w:t>provided non</w:t>
            </w:r>
            <w:r>
              <w:noBreakHyphen/>
            </w:r>
            <w:r w:rsidRPr="00370151">
              <w:t xml:space="preserve">trade information </w:t>
            </w:r>
            <w:r>
              <w:t>covers</w:t>
            </w:r>
            <w:r w:rsidRPr="00370151">
              <w:t xml:space="preserve"> </w:t>
            </w:r>
            <w:r>
              <w:t xml:space="preserve">market rules and </w:t>
            </w:r>
            <w:r w:rsidRPr="00370151">
              <w:t>the quality and accessibility of water resource</w:t>
            </w:r>
            <w:r>
              <w:t>s</w:t>
            </w:r>
            <w:r w:rsidRPr="00370151">
              <w:t>.</w:t>
            </w:r>
          </w:p>
        </w:tc>
      </w:tr>
      <w:tr w:rsidR="001054C3" w14:paraId="3B5D932B"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FAFEE81" w14:textId="77777777" w:rsidR="001054C3" w:rsidRDefault="001054C3" w:rsidP="00234FBE">
            <w:pPr>
              <w:pStyle w:val="Space"/>
              <w:keepLines/>
            </w:pPr>
          </w:p>
        </w:tc>
      </w:tr>
      <w:tr w:rsidR="001054C3" w:rsidRPr="000863A5" w14:paraId="2EE2F7CA" w14:textId="77777777" w:rsidTr="00234FBE">
        <w:tc>
          <w:tcPr>
            <w:tcW w:w="5000" w:type="pct"/>
            <w:tcBorders>
              <w:top w:val="single" w:sz="6" w:space="0" w:color="0070C0"/>
              <w:left w:val="nil"/>
              <w:bottom w:val="nil"/>
              <w:right w:val="nil"/>
            </w:tcBorders>
            <w:tcMar>
              <w:left w:w="170" w:type="dxa"/>
              <w:right w:w="170" w:type="dxa"/>
            </w:tcMar>
          </w:tcPr>
          <w:p w14:paraId="0FE3BD54" w14:textId="77777777" w:rsidR="001054C3" w:rsidRPr="00626D32" w:rsidRDefault="001054C3" w:rsidP="00234FBE">
            <w:pPr>
              <w:pStyle w:val="BoxSpaceBelow"/>
              <w:keepLines/>
            </w:pPr>
          </w:p>
        </w:tc>
      </w:tr>
    </w:tbl>
    <w:p w14:paraId="5448C3AB" w14:textId="77777777" w:rsidR="001054C3" w:rsidRDefault="001054C3" w:rsidP="00234FBE">
      <w:pPr>
        <w:pStyle w:val="BodyText"/>
      </w:pPr>
    </w:p>
    <w:p w14:paraId="0687554F" w14:textId="77777777" w:rsidR="001054C3" w:rsidRDefault="001054C3" w:rsidP="001054C3">
      <w:pPr>
        <w:sectPr w:rsidR="001054C3" w:rsidSect="001054C3">
          <w:headerReference w:type="even" r:id="rId85"/>
          <w:headerReference w:type="default" r:id="rId86"/>
          <w:footerReference w:type="even" r:id="rId87"/>
          <w:footerReference w:type="default" r:id="rId88"/>
          <w:type w:val="oddPage"/>
          <w:pgSz w:w="11907" w:h="16840" w:code="9"/>
          <w:pgMar w:top="1985" w:right="1304" w:bottom="1247" w:left="1814" w:header="1701" w:footer="397" w:gutter="0"/>
          <w:pgNumType w:chapSep="period"/>
          <w:cols w:space="720"/>
          <w:docGrid w:linePitch="326"/>
        </w:sectPr>
      </w:pPr>
    </w:p>
    <w:p w14:paraId="10E0778B" w14:textId="77777777" w:rsidR="001054C3" w:rsidRDefault="001054C3" w:rsidP="00234FBE">
      <w:pPr>
        <w:pStyle w:val="Heading1"/>
        <w:spacing w:before="0"/>
      </w:pPr>
      <w:bookmarkStart w:id="111" w:name="_Toc72939513"/>
      <w:r>
        <w:lastRenderedPageBreak/>
        <w:t>8</w:t>
      </w:r>
      <w:r>
        <w:tab/>
        <w:t>Environmental management</w:t>
      </w:r>
      <w:bookmarkEnd w:id="11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301E2C2B" w14:textId="77777777" w:rsidTr="00234FBE">
        <w:trPr>
          <w:tblHeader/>
        </w:trPr>
        <w:tc>
          <w:tcPr>
            <w:tcW w:w="5000" w:type="pct"/>
            <w:tcBorders>
              <w:top w:val="single" w:sz="6" w:space="0" w:color="78A22F"/>
              <w:left w:val="nil"/>
              <w:bottom w:val="nil"/>
              <w:right w:val="nil"/>
            </w:tcBorders>
            <w:shd w:val="clear" w:color="auto" w:fill="F2F2F2" w:themeFill="background1" w:themeFillShade="F2"/>
          </w:tcPr>
          <w:p w14:paraId="0E56B9AF" w14:textId="77777777" w:rsidR="001054C3" w:rsidRDefault="001054C3" w:rsidP="00234FBE">
            <w:pPr>
              <w:pStyle w:val="BoxTitle"/>
            </w:pPr>
            <w:r>
              <w:t>Key points</w:t>
            </w:r>
          </w:p>
        </w:tc>
      </w:tr>
      <w:tr w:rsidR="001054C3" w14:paraId="797F99E4" w14:textId="77777777" w:rsidTr="00234FBE">
        <w:tc>
          <w:tcPr>
            <w:tcW w:w="5000" w:type="pct"/>
            <w:tcBorders>
              <w:top w:val="nil"/>
              <w:left w:val="nil"/>
              <w:bottom w:val="nil"/>
              <w:right w:val="nil"/>
            </w:tcBorders>
            <w:shd w:val="clear" w:color="auto" w:fill="F2F2F2" w:themeFill="background1" w:themeFillShade="F2"/>
          </w:tcPr>
          <w:p w14:paraId="10912CF0" w14:textId="77777777" w:rsidR="001054C3" w:rsidRPr="00886958" w:rsidRDefault="001054C3" w:rsidP="00234FBE">
            <w:pPr>
              <w:pStyle w:val="BoxListBullet"/>
              <w:spacing w:before="76"/>
            </w:pPr>
            <w:r w:rsidRPr="00886958">
              <w:t>Environmental water provision and management have delivered benefits to the environment, particularly at the local level, and these have yielded direct and consequential cultural, economic and social benefits.</w:t>
            </w:r>
          </w:p>
          <w:p w14:paraId="2C75B952" w14:textId="77777777" w:rsidR="001054C3" w:rsidRDefault="001054C3" w:rsidP="00234FBE">
            <w:pPr>
              <w:pStyle w:val="BoxListBullet"/>
              <w:spacing w:before="76" w:line="240" w:lineRule="atLeast"/>
            </w:pPr>
            <w:r w:rsidRPr="00886958">
              <w:t>But, recent challenges have hindered progress. Drought, incomplete water recoveries</w:t>
            </w:r>
            <w:r>
              <w:t>,</w:t>
            </w:r>
            <w:r w:rsidRPr="00886958">
              <w:t xml:space="preserve"> and governance and compliance failures in some Murray–Darling Basin jurisdictions have</w:t>
            </w:r>
            <w:r>
              <w:t xml:space="preserve"> failed to arrest ecological decline in some riverine environments</w:t>
            </w:r>
            <w:r w:rsidRPr="00D57E7B">
              <w:t>.</w:t>
            </w:r>
            <w:r>
              <w:t xml:space="preserve"> </w:t>
            </w:r>
            <w:r w:rsidRPr="00E85CCB">
              <w:t xml:space="preserve">However, </w:t>
            </w:r>
            <w:r>
              <w:t>w</w:t>
            </w:r>
            <w:r w:rsidRPr="00E85CCB">
              <w:t xml:space="preserve">ithout the commitment to national water reform and provisions of water for the </w:t>
            </w:r>
            <w:r>
              <w:t xml:space="preserve">environment it is likely that </w:t>
            </w:r>
            <w:r w:rsidRPr="00E85CCB">
              <w:t>th</w:t>
            </w:r>
            <w:r>
              <w:t>is</w:t>
            </w:r>
            <w:r w:rsidRPr="00E85CCB">
              <w:t xml:space="preserve"> decline </w:t>
            </w:r>
            <w:r>
              <w:t>would have</w:t>
            </w:r>
            <w:r w:rsidRPr="00E85CCB">
              <w:t xml:space="preserve"> been significantly worse.</w:t>
            </w:r>
          </w:p>
          <w:p w14:paraId="3B53593A" w14:textId="77777777" w:rsidR="001054C3" w:rsidRPr="00886958" w:rsidRDefault="001054C3" w:rsidP="00234FBE">
            <w:pPr>
              <w:pStyle w:val="BoxListBullet"/>
              <w:spacing w:before="76" w:line="240" w:lineRule="atLeast"/>
            </w:pPr>
            <w:r w:rsidRPr="00886958">
              <w:t>Planning reforms and adaptive management are required, particularly in light of a changing climate and the likelihood of more frequent droughts.</w:t>
            </w:r>
          </w:p>
          <w:p w14:paraId="0792E921" w14:textId="77777777" w:rsidR="001054C3" w:rsidRPr="00150A7F" w:rsidRDefault="001054C3" w:rsidP="00234FBE">
            <w:pPr>
              <w:pStyle w:val="BoxListBullet"/>
              <w:spacing w:before="76" w:line="240" w:lineRule="atLeast"/>
            </w:pPr>
            <w:r w:rsidRPr="00886958">
              <w:t xml:space="preserve">Whether environmental water is planned or held, the focus for the next phase of reform should </w:t>
            </w:r>
            <w:r w:rsidRPr="005A5FAE">
              <w:t xml:space="preserve">be to ensure that environmental water is managed efficiently and effectively to deliver agreed (and where possible, better) </w:t>
            </w:r>
            <w:r>
              <w:t xml:space="preserve">environmental </w:t>
            </w:r>
            <w:r w:rsidRPr="005A5FAE">
              <w:t>outcomes. Principles reflecting current best</w:t>
            </w:r>
            <w:r w:rsidRPr="009D634F">
              <w:t xml:space="preserve"> practice should be embedded in a renewed </w:t>
            </w:r>
            <w:r>
              <w:t>National Water Initiative</w:t>
            </w:r>
            <w:r w:rsidRPr="009D634F">
              <w:t>.</w:t>
            </w:r>
          </w:p>
          <w:p w14:paraId="2A064F69" w14:textId="77777777" w:rsidR="001054C3" w:rsidRPr="00150A7F" w:rsidRDefault="001054C3" w:rsidP="00234FBE">
            <w:pPr>
              <w:pStyle w:val="BoxListBullet"/>
              <w:spacing w:before="80" w:line="240" w:lineRule="atLeast"/>
            </w:pPr>
            <w:r w:rsidRPr="00150A7F">
              <w:t>In all systems (whether a simple unregulated river or a complex water system) management requirements that are important to achieve agreed outcomes include:</w:t>
            </w:r>
          </w:p>
          <w:p w14:paraId="4F21405E" w14:textId="77777777" w:rsidR="001054C3" w:rsidRPr="00AF53EA" w:rsidRDefault="001054C3" w:rsidP="00234FBE">
            <w:pPr>
              <w:pStyle w:val="BoxListBullet2"/>
              <w:spacing w:line="220" w:lineRule="atLeast"/>
            </w:pPr>
            <w:r w:rsidRPr="00AF53EA">
              <w:t>clearly specified environmental objectives and outcomes</w:t>
            </w:r>
          </w:p>
          <w:p w14:paraId="49AF2C17" w14:textId="77777777" w:rsidR="001054C3" w:rsidRPr="00AF53EA" w:rsidRDefault="001054C3" w:rsidP="00234FBE">
            <w:pPr>
              <w:pStyle w:val="BoxListBullet2"/>
              <w:spacing w:line="220" w:lineRule="atLeast"/>
            </w:pPr>
            <w:r w:rsidRPr="00AF53EA">
              <w:t>adequate low</w:t>
            </w:r>
            <w:r>
              <w:noBreakHyphen/>
            </w:r>
            <w:r w:rsidRPr="00AF53EA">
              <w:t>flow provisions</w:t>
            </w:r>
          </w:p>
          <w:p w14:paraId="603B554E" w14:textId="77777777" w:rsidR="001054C3" w:rsidRPr="00AF53EA" w:rsidRDefault="001054C3" w:rsidP="00234FBE">
            <w:pPr>
              <w:pStyle w:val="BoxListBullet2"/>
              <w:spacing w:line="220" w:lineRule="atLeast"/>
            </w:pPr>
            <w:r w:rsidRPr="00AF53EA">
              <w:t>integration of environmental water, waterway and catchment management</w:t>
            </w:r>
          </w:p>
          <w:p w14:paraId="5F448134" w14:textId="77777777" w:rsidR="001054C3" w:rsidRPr="00AF53EA" w:rsidRDefault="001054C3" w:rsidP="00234FBE">
            <w:pPr>
              <w:pStyle w:val="BoxListBullet2"/>
              <w:spacing w:line="220" w:lineRule="atLeast"/>
            </w:pPr>
            <w:r w:rsidRPr="00AF53EA">
              <w:t>effective compliance regimes (chapter 10)</w:t>
            </w:r>
          </w:p>
          <w:p w14:paraId="621D88FF" w14:textId="77777777" w:rsidR="001054C3" w:rsidRPr="00AF53EA" w:rsidRDefault="001054C3" w:rsidP="00234FBE">
            <w:pPr>
              <w:pStyle w:val="BoxListBullet2"/>
              <w:spacing w:line="220" w:lineRule="atLeast"/>
            </w:pPr>
            <w:r w:rsidRPr="00AF53EA">
              <w:t>clearly identified institutional responsibility for waterway management</w:t>
            </w:r>
          </w:p>
          <w:p w14:paraId="221D8810" w14:textId="77777777" w:rsidR="001054C3" w:rsidRPr="00A459AF" w:rsidRDefault="001054C3" w:rsidP="00234FBE">
            <w:pPr>
              <w:pStyle w:val="BoxListBullet2"/>
              <w:spacing w:line="220" w:lineRule="atLeast"/>
            </w:pPr>
            <w:r w:rsidRPr="00A459AF">
              <w:t>processes to adapt environmental management objectives, in a changing climate.</w:t>
            </w:r>
          </w:p>
          <w:p w14:paraId="61F99717" w14:textId="77777777" w:rsidR="001054C3" w:rsidRPr="00AF53EA" w:rsidRDefault="001054C3" w:rsidP="00234FBE">
            <w:pPr>
              <w:pStyle w:val="BoxListBullet"/>
              <w:spacing w:before="80" w:line="240" w:lineRule="atLeast"/>
            </w:pPr>
            <w:r w:rsidRPr="00AF53EA">
              <w:t>In addition, in complex, highly developed regulated systems (with held environmental water), further requirements to achieve the best outcomes from the management of environmental water entitlements include:</w:t>
            </w:r>
          </w:p>
          <w:p w14:paraId="3F263FEC" w14:textId="77777777" w:rsidR="001054C3" w:rsidRPr="00AF53EA" w:rsidRDefault="001054C3" w:rsidP="00234FBE">
            <w:pPr>
              <w:pStyle w:val="BoxListBullet2"/>
              <w:spacing w:line="220" w:lineRule="atLeast"/>
            </w:pPr>
            <w:r w:rsidRPr="00AF53EA">
              <w:t>effective outcomes</w:t>
            </w:r>
            <w:r w:rsidRPr="00AF53EA">
              <w:noBreakHyphen/>
              <w:t>based planning and priority setting processes</w:t>
            </w:r>
          </w:p>
          <w:p w14:paraId="396F1029" w14:textId="77777777" w:rsidR="001054C3" w:rsidRPr="00AF53EA" w:rsidRDefault="001054C3" w:rsidP="00234FBE">
            <w:pPr>
              <w:pStyle w:val="BoxListBullet2"/>
              <w:spacing w:line="220" w:lineRule="atLeast"/>
            </w:pPr>
            <w:r w:rsidRPr="00AF53EA">
              <w:t xml:space="preserve">coordinated water delivery in shared water systems </w:t>
            </w:r>
            <w:bookmarkStart w:id="112" w:name="_Hlk61336796"/>
            <w:r w:rsidRPr="00AF53EA">
              <w:t>(SP C </w:t>
            </w:r>
            <w:r w:rsidRPr="00AF53EA">
              <w:rPr>
                <w:i/>
                <w:iCs/>
              </w:rPr>
              <w:t>Environment</w:t>
            </w:r>
            <w:r w:rsidRPr="00AF53EA">
              <w:t>)</w:t>
            </w:r>
            <w:bookmarkEnd w:id="112"/>
          </w:p>
          <w:p w14:paraId="74CBBD0C" w14:textId="77777777" w:rsidR="001054C3" w:rsidRPr="00AF53EA" w:rsidRDefault="001054C3" w:rsidP="00234FBE">
            <w:pPr>
              <w:pStyle w:val="BoxListBullet2"/>
              <w:spacing w:line="220" w:lineRule="atLeast"/>
            </w:pPr>
            <w:r w:rsidRPr="00AF53EA">
              <w:t>capacity to actively trade environmental water allocations, including between years</w:t>
            </w:r>
          </w:p>
          <w:p w14:paraId="4720727D" w14:textId="77777777" w:rsidR="001054C3" w:rsidRPr="00AF53EA" w:rsidRDefault="001054C3" w:rsidP="00234FBE">
            <w:pPr>
              <w:pStyle w:val="BoxListBullet2"/>
              <w:spacing w:line="220" w:lineRule="atLeast"/>
            </w:pPr>
            <w:r w:rsidRPr="00AF53EA">
              <w:t>innovative market approaches</w:t>
            </w:r>
          </w:p>
          <w:p w14:paraId="42D50C70" w14:textId="77777777" w:rsidR="001054C3" w:rsidRPr="00AF53EA" w:rsidRDefault="001054C3" w:rsidP="00234FBE">
            <w:pPr>
              <w:pStyle w:val="BoxListBullet2"/>
              <w:spacing w:line="220" w:lineRule="atLeast"/>
            </w:pPr>
            <w:r w:rsidRPr="00AF53EA">
              <w:t>capacity to vary the entitlement portfolio to match ecological requirements</w:t>
            </w:r>
          </w:p>
          <w:p w14:paraId="024AF52A" w14:textId="77777777" w:rsidR="001054C3" w:rsidRPr="00AF53EA" w:rsidRDefault="001054C3" w:rsidP="00234FBE">
            <w:pPr>
              <w:pStyle w:val="BoxListBullet2"/>
              <w:spacing w:line="220" w:lineRule="atLeast"/>
            </w:pPr>
            <w:r w:rsidRPr="00AF53EA">
              <w:t>delivery of shared community benefits wherever compatible with achieving environmental outcomes</w:t>
            </w:r>
          </w:p>
          <w:p w14:paraId="10AC02E2" w14:textId="77777777" w:rsidR="001054C3" w:rsidRPr="00AF53EA" w:rsidRDefault="001054C3" w:rsidP="00234FBE">
            <w:pPr>
              <w:pStyle w:val="BoxListBullet2"/>
              <w:spacing w:line="220" w:lineRule="atLeast"/>
            </w:pPr>
            <w:bookmarkStart w:id="113" w:name="_Hlk50995124"/>
            <w:r w:rsidRPr="00AF53EA">
              <w:t>good governance, including the independence of environmental water holders</w:t>
            </w:r>
            <w:bookmarkEnd w:id="113"/>
            <w:r w:rsidRPr="00AF53EA">
              <w:t xml:space="preserve"> and independent audit.</w:t>
            </w:r>
          </w:p>
          <w:p w14:paraId="31F75B8A" w14:textId="77777777" w:rsidR="001054C3" w:rsidRPr="00AF53EA" w:rsidRDefault="001054C3" w:rsidP="00234FBE">
            <w:pPr>
              <w:pStyle w:val="BoxListBullet"/>
              <w:spacing w:before="76" w:line="240" w:lineRule="atLeast"/>
            </w:pPr>
            <w:r w:rsidRPr="00AF53EA">
              <w:t>Environmental management is a young discipline but is evolving rapidly. Effective risk</w:t>
            </w:r>
            <w:r w:rsidRPr="00AF53EA">
              <w:noBreakHyphen/>
              <w:t>based monitoring, evaluation and reporting arrangements and a commitment to adaptive management are crucial, especially in the context of a drying and more variable climate.</w:t>
            </w:r>
          </w:p>
        </w:tc>
      </w:tr>
      <w:tr w:rsidR="001054C3" w14:paraId="3AF90D30" w14:textId="77777777" w:rsidTr="00234FBE">
        <w:tc>
          <w:tcPr>
            <w:tcW w:w="5000" w:type="pct"/>
            <w:tcBorders>
              <w:top w:val="nil"/>
              <w:left w:val="nil"/>
              <w:bottom w:val="single" w:sz="6" w:space="0" w:color="78A22F"/>
              <w:right w:val="nil"/>
            </w:tcBorders>
            <w:shd w:val="clear" w:color="auto" w:fill="F2F2F2" w:themeFill="background1" w:themeFillShade="F2"/>
          </w:tcPr>
          <w:p w14:paraId="2F3FBB16" w14:textId="77777777" w:rsidR="001054C3" w:rsidRDefault="001054C3" w:rsidP="00234FBE">
            <w:pPr>
              <w:pStyle w:val="Box"/>
              <w:spacing w:before="0" w:line="120" w:lineRule="exact"/>
            </w:pPr>
          </w:p>
        </w:tc>
      </w:tr>
    </w:tbl>
    <w:p w14:paraId="7F7BCE3D" w14:textId="77777777" w:rsidR="001054C3" w:rsidRPr="001B3182" w:rsidRDefault="001054C3" w:rsidP="00234FBE">
      <w:pPr>
        <w:pStyle w:val="BodyText"/>
        <w:rPr>
          <w:i/>
          <w:iCs/>
        </w:rPr>
      </w:pPr>
      <w:r w:rsidRPr="001B3182">
        <w:rPr>
          <w:i/>
          <w:iCs/>
        </w:rPr>
        <w:lastRenderedPageBreak/>
        <w:t>This chapter summarises S</w:t>
      </w:r>
      <w:r>
        <w:rPr>
          <w:i/>
          <w:iCs/>
        </w:rPr>
        <w:t xml:space="preserve">upporting </w:t>
      </w:r>
      <w:r w:rsidRPr="001B3182">
        <w:rPr>
          <w:i/>
          <w:iCs/>
        </w:rPr>
        <w:t>P</w:t>
      </w:r>
      <w:r>
        <w:rPr>
          <w:i/>
          <w:iCs/>
        </w:rPr>
        <w:t xml:space="preserve">aper </w:t>
      </w:r>
      <w:r w:rsidRPr="001B3182">
        <w:rPr>
          <w:i/>
          <w:iCs/>
        </w:rPr>
        <w:t>C</w:t>
      </w:r>
      <w:r>
        <w:rPr>
          <w:i/>
          <w:iCs/>
        </w:rPr>
        <w:t xml:space="preserve">: </w:t>
      </w:r>
      <w:r w:rsidRPr="001B3182">
        <w:rPr>
          <w:i/>
          <w:iCs/>
        </w:rPr>
        <w:t>Environment</w:t>
      </w:r>
      <w:r>
        <w:rPr>
          <w:i/>
          <w:iCs/>
        </w:rPr>
        <w:t>al management (SP C Environment)</w:t>
      </w:r>
      <w:r w:rsidRPr="001B3182">
        <w:rPr>
          <w:i/>
          <w:iCs/>
        </w:rPr>
        <w:t>. Further detail and analysis can be found in that paper.</w:t>
      </w:r>
    </w:p>
    <w:p w14:paraId="4BA3F844" w14:textId="77777777" w:rsidR="001054C3" w:rsidRDefault="001054C3" w:rsidP="00234FBE">
      <w:pPr>
        <w:pStyle w:val="BodyText"/>
        <w:rPr>
          <w:rStyle w:val="BodyTextChar"/>
        </w:rPr>
      </w:pPr>
      <w:r>
        <w:t xml:space="preserve">As Australian cities, agriculture and industry grew </w:t>
      </w:r>
      <w:r w:rsidRPr="00B63BE7">
        <w:t xml:space="preserve">during </w:t>
      </w:r>
      <w:r>
        <w:t>the late 1800s and</w:t>
      </w:r>
      <w:r w:rsidRPr="00B63BE7">
        <w:t xml:space="preserve"> 1900s</w:t>
      </w:r>
      <w:r>
        <w:t xml:space="preserve">, floodplains and river banks were progressively cleared, rivers were increasingly regulated and water extraction for consumptive use rose. Environmental degradation </w:t>
      </w:r>
      <w:r>
        <w:rPr>
          <w:rStyle w:val="BodyTextChar"/>
        </w:rPr>
        <w:t xml:space="preserve">(erosion, sedimentation, salinity, toxic algal blooms </w:t>
      </w:r>
      <w:r w:rsidRPr="00063CC4">
        <w:rPr>
          <w:rStyle w:val="BodyTextChar"/>
        </w:rPr>
        <w:t xml:space="preserve">and </w:t>
      </w:r>
      <w:r>
        <w:rPr>
          <w:rStyle w:val="BodyTextChar"/>
        </w:rPr>
        <w:t xml:space="preserve">generally </w:t>
      </w:r>
      <w:r w:rsidRPr="00063CC4">
        <w:rPr>
          <w:rStyle w:val="BodyTextChar"/>
        </w:rPr>
        <w:t>poor river and wetland health</w:t>
      </w:r>
      <w:r>
        <w:rPr>
          <w:rStyle w:val="BodyTextChar"/>
        </w:rPr>
        <w:t xml:space="preserve">) </w:t>
      </w:r>
      <w:r>
        <w:t xml:space="preserve">followed </w:t>
      </w:r>
      <w:r w:rsidRPr="0050773A">
        <w:t>(SP</w:t>
      </w:r>
      <w:r>
        <w:t> </w:t>
      </w:r>
      <w:r w:rsidRPr="0050773A">
        <w:t>C</w:t>
      </w:r>
      <w:r>
        <w:t> </w:t>
      </w:r>
      <w:r w:rsidRPr="001B3182">
        <w:rPr>
          <w:i/>
          <w:iCs/>
        </w:rPr>
        <w:t>Environment</w:t>
      </w:r>
      <w:r w:rsidRPr="0050773A">
        <w:t>)</w:t>
      </w:r>
      <w:r>
        <w:t>.</w:t>
      </w:r>
    </w:p>
    <w:p w14:paraId="6C781727" w14:textId="77777777" w:rsidR="001054C3" w:rsidRDefault="001054C3" w:rsidP="00234FBE">
      <w:pPr>
        <w:pStyle w:val="BodyText"/>
      </w:pPr>
      <w:r>
        <w:t xml:space="preserve">Governments started to concertedly tackle these issues from the 1980s, leading to a national approach from 1994. This COAG reform agenda sought to establish the environment as a legitimate water user, </w:t>
      </w:r>
      <w:r w:rsidRPr="00CE1C6F">
        <w:t>deliver legally</w:t>
      </w:r>
      <w:r>
        <w:noBreakHyphen/>
      </w:r>
      <w:r w:rsidRPr="00CE1C6F">
        <w:t>recognised provisions of water for the environment</w:t>
      </w:r>
      <w:r>
        <w:t>, and achieve a better balance in overallocated systems (that is, systems where allocation levels exceed an environmentally sustainable level of extraction). The National Water Initiative (NWI)</w:t>
      </w:r>
      <w:r w:rsidRPr="00CE1C6F">
        <w:t xml:space="preserve"> continued and extended these policy directions</w:t>
      </w:r>
      <w:r>
        <w:t>,</w:t>
      </w:r>
      <w:r w:rsidRPr="00CE1C6F">
        <w:t xml:space="preserve"> requiring</w:t>
      </w:r>
      <w:r>
        <w:t xml:space="preserve"> </w:t>
      </w:r>
      <w:r w:rsidRPr="00CE1C6F">
        <w:t>governments to</w:t>
      </w:r>
      <w:r>
        <w:t>:</w:t>
      </w:r>
    </w:p>
    <w:p w14:paraId="561D13D3" w14:textId="77777777" w:rsidR="001054C3" w:rsidRDefault="001054C3" w:rsidP="00234FBE">
      <w:pPr>
        <w:pStyle w:val="ListBullet"/>
      </w:pPr>
      <w:r w:rsidRPr="00CE1C6F">
        <w:t>identify the share of water for the environment in water planning</w:t>
      </w:r>
    </w:p>
    <w:p w14:paraId="348E6BC8" w14:textId="77777777" w:rsidR="001054C3" w:rsidRDefault="001054C3" w:rsidP="00234FBE">
      <w:pPr>
        <w:pStyle w:val="ListBullet"/>
      </w:pPr>
      <w:r w:rsidRPr="00CE1C6F">
        <w:t>return overallocated and overused surface water and groundwater systems to environmentally sustainable levels of extraction</w:t>
      </w:r>
    </w:p>
    <w:p w14:paraId="56C9A13C" w14:textId="77777777" w:rsidR="001054C3" w:rsidRDefault="001054C3" w:rsidP="00234FBE">
      <w:pPr>
        <w:pStyle w:val="ListBullet"/>
      </w:pPr>
      <w:r w:rsidRPr="00AA70B6">
        <w:t>establish effective and efficient management and institutional arrangements to ensure the achievement of environmental and other public benefit outcomes</w:t>
      </w:r>
      <w:r>
        <w:t>.</w:t>
      </w:r>
    </w:p>
    <w:p w14:paraId="103B62E0" w14:textId="4244249A" w:rsidR="001054C3" w:rsidRDefault="001054C3" w:rsidP="00234FBE">
      <w:pPr>
        <w:pStyle w:val="Heading2"/>
      </w:pPr>
      <w:bookmarkStart w:id="114" w:name="_Toc72939514"/>
      <w:r>
        <w:t>8.</w:t>
      </w:r>
      <w:r>
        <w:rPr>
          <w:noProof/>
        </w:rPr>
        <w:t>1</w:t>
      </w:r>
      <w:r>
        <w:tab/>
        <w:t>Progress on providing water for the environment</w:t>
      </w:r>
      <w:bookmarkEnd w:id="114"/>
    </w:p>
    <w:p w14:paraId="514CEA50" w14:textId="77777777" w:rsidR="001054C3" w:rsidRDefault="001054C3" w:rsidP="00234FBE">
      <w:pPr>
        <w:pStyle w:val="BodyText"/>
      </w:pPr>
      <w:r w:rsidRPr="00F31F52">
        <w:t xml:space="preserve">All jurisdictions (except Western Australia) recognise </w:t>
      </w:r>
      <w:r>
        <w:t xml:space="preserve">provisions </w:t>
      </w:r>
      <w:r w:rsidRPr="0089119E">
        <w:rPr>
          <w:spacing w:val="-2"/>
        </w:rPr>
        <w:t xml:space="preserve">for the environment </w:t>
      </w:r>
      <w:r>
        <w:rPr>
          <w:spacing w:val="-2"/>
        </w:rPr>
        <w:t>in</w:t>
      </w:r>
      <w:r w:rsidRPr="0089119E">
        <w:rPr>
          <w:spacing w:val="-2"/>
        </w:rPr>
        <w:t xml:space="preserve"> legislation </w:t>
      </w:r>
      <w:r>
        <w:rPr>
          <w:spacing w:val="-2"/>
        </w:rPr>
        <w:t>covering</w:t>
      </w:r>
      <w:r w:rsidRPr="0089119E">
        <w:rPr>
          <w:spacing w:val="-2"/>
        </w:rPr>
        <w:t xml:space="preserve"> water plans or equivalent instruments.</w:t>
      </w:r>
      <w:r w:rsidRPr="00813988">
        <w:rPr>
          <w:rStyle w:val="FootnoteReference"/>
        </w:rPr>
        <w:footnoteReference w:id="22"/>
      </w:r>
    </w:p>
    <w:p w14:paraId="0EC5EF15" w14:textId="77777777" w:rsidR="001054C3" w:rsidRDefault="001054C3" w:rsidP="00234FBE">
      <w:pPr>
        <w:pStyle w:val="BodyText"/>
        <w:tabs>
          <w:tab w:val="left" w:pos="938"/>
        </w:tabs>
      </w:pPr>
      <w:r>
        <w:t xml:space="preserve">Water planning aims to set the balance between environmental and consumptive use at an environmentally sustainable level — that is, </w:t>
      </w:r>
      <w:r w:rsidRPr="002832C6">
        <w:t xml:space="preserve">a </w:t>
      </w:r>
      <w:r>
        <w:t>level</w:t>
      </w:r>
      <w:r w:rsidRPr="002832C6">
        <w:t xml:space="preserve"> that maintain</w:t>
      </w:r>
      <w:r>
        <w:t>s</w:t>
      </w:r>
      <w:r w:rsidRPr="002832C6">
        <w:t xml:space="preserve"> key environmental assets and ecosystem functions while accepting a degree of ecological risk.</w:t>
      </w:r>
      <w:r>
        <w:t xml:space="preserve"> Environmental water provisions in water plans provide for the needs of both surface water and groundwater dependent ecosystems. Jurisdictions generally set allocation limits and access rules to ‘leave behind’ water to meet environmental outcomes (‘planned’ environmental water). These provisions do not require any active decision making on their use, but water managers must ensure consumptive users comply with the rules to ensure environmental outcomes are not jeopardised. Rules</w:t>
      </w:r>
      <w:r>
        <w:noBreakHyphen/>
        <w:t>based provision is the primary means of implementing environmental water objectives across Australia</w:t>
      </w:r>
      <w:r w:rsidRPr="00C33247">
        <w:t xml:space="preserve"> (figure</w:t>
      </w:r>
      <w:r>
        <w:t> 8.1</w:t>
      </w:r>
      <w:r w:rsidRPr="00C33247">
        <w:t>).</w:t>
      </w:r>
    </w:p>
    <w:p w14:paraId="5A71C14F" w14:textId="77777777" w:rsidR="001054C3" w:rsidRDefault="001054C3" w:rsidP="00234FBE">
      <w:pPr>
        <w:pStyle w:val="BodyText"/>
      </w:pPr>
      <w:r>
        <w:t>In the Murray–Darling Basin (MDB) and Victoria, planned water is supplemented with environmental entitlements (‘held’ environmental water),</w:t>
      </w:r>
      <w:r w:rsidRPr="00CB0FCC">
        <w:t xml:space="preserve"> </w:t>
      </w:r>
      <w:r w:rsidRPr="00AA37AA">
        <w:t xml:space="preserve">established through </w:t>
      </w:r>
      <w:r>
        <w:t xml:space="preserve">provision of </w:t>
      </w:r>
      <w:r w:rsidRPr="00AA37AA">
        <w:t xml:space="preserve">water access entitlements for environmental </w:t>
      </w:r>
      <w:r>
        <w:t>use</w:t>
      </w:r>
      <w:r w:rsidRPr="00AA37AA">
        <w:t xml:space="preserve">. </w:t>
      </w:r>
      <w:r>
        <w:t>These</w:t>
      </w:r>
      <w:r w:rsidRPr="00AA37AA">
        <w:t xml:space="preserve"> generally </w:t>
      </w:r>
      <w:r>
        <w:t>have</w:t>
      </w:r>
      <w:r w:rsidRPr="00AA37AA">
        <w:t xml:space="preserve"> the same rights and </w:t>
      </w:r>
      <w:r w:rsidRPr="00AA37AA">
        <w:lastRenderedPageBreak/>
        <w:t xml:space="preserve">conditions as </w:t>
      </w:r>
      <w:r>
        <w:t>entitlements</w:t>
      </w:r>
      <w:r w:rsidRPr="00AA37AA">
        <w:t xml:space="preserve"> owned by irrigators and other consumptive users</w:t>
      </w:r>
      <w:r>
        <w:t xml:space="preserve">, and are owned by the </w:t>
      </w:r>
      <w:r w:rsidRPr="00C22BCB">
        <w:t>Australian, New South Wales, Victorian and South Australian</w:t>
      </w:r>
      <w:r>
        <w:t xml:space="preserve"> Governments. In these cases, environmental water managers must make decisions on where and when to use water, and on whether to trade it or make use of ‘carryover’ provisions to keep it for use in subsequent years.</w:t>
      </w:r>
    </w:p>
    <w:p w14:paraId="5911D4E1"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2C785983" w14:textId="77777777" w:rsidTr="00234FBE">
        <w:trPr>
          <w:tblHeader/>
        </w:trPr>
        <w:tc>
          <w:tcPr>
            <w:tcW w:w="5000" w:type="pct"/>
            <w:tcBorders>
              <w:top w:val="single" w:sz="6" w:space="0" w:color="78A22F" w:themeColor="accent1"/>
              <w:left w:val="nil"/>
              <w:bottom w:val="nil"/>
              <w:right w:val="nil"/>
            </w:tcBorders>
            <w:shd w:val="clear" w:color="auto" w:fill="auto"/>
          </w:tcPr>
          <w:p w14:paraId="1C20AC22" w14:textId="64A91916" w:rsidR="001054C3" w:rsidRPr="00176D3F" w:rsidRDefault="001054C3" w:rsidP="00234FBE">
            <w:pPr>
              <w:pStyle w:val="FigureTitle"/>
            </w:pPr>
            <w:r w:rsidRPr="00784A05">
              <w:rPr>
                <w:b w:val="0"/>
              </w:rPr>
              <w:t xml:space="preserve">Figure </w:t>
            </w:r>
            <w:r>
              <w:rPr>
                <w:b w:val="0"/>
              </w:rPr>
              <w:t>8.</w:t>
            </w:r>
            <w:r>
              <w:rPr>
                <w:b w:val="0"/>
                <w:noProof/>
              </w:rPr>
              <w:t>1</w:t>
            </w:r>
            <w:r>
              <w:tab/>
              <w:t>Most environmental water is ‘planned’</w:t>
            </w:r>
          </w:p>
        </w:tc>
      </w:tr>
      <w:tr w:rsidR="001054C3" w14:paraId="71621485" w14:textId="77777777" w:rsidTr="00234FBE">
        <w:tc>
          <w:tcPr>
            <w:tcW w:w="5000" w:type="pct"/>
            <w:tcBorders>
              <w:top w:val="nil"/>
              <w:left w:val="nil"/>
              <w:bottom w:val="nil"/>
              <w:right w:val="nil"/>
            </w:tcBorders>
            <w:shd w:val="clear" w:color="auto" w:fill="auto"/>
            <w:tcMar>
              <w:top w:w="28" w:type="dxa"/>
              <w:bottom w:w="28" w:type="dxa"/>
            </w:tcMar>
          </w:tcPr>
          <w:p w14:paraId="200EC32B" w14:textId="77777777" w:rsidR="001054C3" w:rsidRDefault="001054C3" w:rsidP="00234FBE">
            <w:pPr>
              <w:pStyle w:val="Subtitle"/>
              <w:spacing w:before="80"/>
            </w:pPr>
            <w:r w:rsidRPr="001F1B75">
              <w:t>Systems with planned environmental water</w:t>
            </w:r>
            <w:r w:rsidRPr="000E0399">
              <w:rPr>
                <w:b/>
                <w:bCs/>
                <w:position w:val="6"/>
                <w:sz w:val="18"/>
              </w:rPr>
              <w:t>a</w:t>
            </w:r>
          </w:p>
        </w:tc>
      </w:tr>
      <w:tr w:rsidR="001054C3" w:rsidRPr="00176D3F" w14:paraId="76337066" w14:textId="77777777" w:rsidTr="00234FBE">
        <w:tc>
          <w:tcPr>
            <w:tcW w:w="5000" w:type="pct"/>
            <w:tcBorders>
              <w:top w:val="nil"/>
              <w:left w:val="nil"/>
              <w:bottom w:val="nil"/>
              <w:right w:val="nil"/>
            </w:tcBorders>
            <w:shd w:val="clear" w:color="auto" w:fill="auto"/>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1F1B75" w14:paraId="3433C9DC" w14:textId="77777777" w:rsidTr="00234FBE">
              <w:trPr>
                <w:tblHeader/>
                <w:jc w:val="center"/>
              </w:trPr>
              <w:tc>
                <w:tcPr>
                  <w:tcW w:w="5000" w:type="pct"/>
                  <w:tcBorders>
                    <w:top w:val="nil"/>
                    <w:bottom w:val="nil"/>
                  </w:tcBorders>
                </w:tcPr>
                <w:p w14:paraId="5ABA3298" w14:textId="77777777" w:rsidR="001054C3" w:rsidRPr="006B2259" w:rsidRDefault="001054C3" w:rsidP="00234FBE">
                  <w:pPr>
                    <w:keepNext/>
                    <w:spacing w:line="240" w:lineRule="atLeast"/>
                    <w:jc w:val="center"/>
                    <w:rPr>
                      <w:b/>
                      <w:szCs w:val="20"/>
                      <w:u w:val="dotted"/>
                    </w:rPr>
                  </w:pPr>
                  <w:r w:rsidRPr="7B5BAFE1">
                    <w:rPr>
                      <w:b/>
                      <w:bCs/>
                      <w:u w:val="dotted"/>
                    </w:rPr>
                    <w:t xml:space="preserve"> </w:t>
                  </w:r>
                  <w:r w:rsidRPr="00EA165E">
                    <w:rPr>
                      <w:rFonts w:ascii="Arial" w:hAnsi="Arial" w:cs="Arial"/>
                      <w:noProof/>
                      <w:sz w:val="18"/>
                      <w:szCs w:val="18"/>
                    </w:rPr>
                    <w:drawing>
                      <wp:inline distT="0" distB="0" distL="0" distR="0" wp14:anchorId="2C760338" wp14:editId="00F6DEFB">
                        <wp:extent cx="4503420" cy="2171700"/>
                        <wp:effectExtent l="0" t="0" r="0" b="0"/>
                        <wp:docPr id="20" name="Picture 20" descr="Figure 8.1 a. A map of Australia with the geographical coverage of state level planning arrangements highlighted. These planning arrangements place caps on water consumption to protect environmental water. Each state manages environmental water through different planning mechanisms. For example, Victoria has a state wide entitlement licencing system, and New South Wales manages planned water through valley level water sharing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8.1 a. A map of Australia with the geographical coverage of state level planning arrangements highlighted. These planning arrangements place caps on water consumption to protect environmental water. Each state manages environmental water through different planning mechanisms. For example, Victoria has a state wide entitlement licencing system, and New South Wales manages planned water through valley level water sharing plan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03420" cy="2171700"/>
                                </a:xfrm>
                                <a:prstGeom prst="rect">
                                  <a:avLst/>
                                </a:prstGeom>
                                <a:noFill/>
                                <a:ln>
                                  <a:noFill/>
                                </a:ln>
                              </pic:spPr>
                            </pic:pic>
                          </a:graphicData>
                        </a:graphic>
                      </wp:inline>
                    </w:drawing>
                  </w:r>
                </w:p>
              </w:tc>
            </w:tr>
          </w:tbl>
          <w:p w14:paraId="41D3D231" w14:textId="77777777" w:rsidR="001054C3" w:rsidRPr="00176D3F" w:rsidRDefault="001054C3" w:rsidP="00234FBE">
            <w:pPr>
              <w:pStyle w:val="Note"/>
            </w:pPr>
          </w:p>
        </w:tc>
      </w:tr>
      <w:tr w:rsidR="001054C3" w:rsidRPr="00176D3F" w14:paraId="7CA2A909" w14:textId="77777777" w:rsidTr="00884779">
        <w:tc>
          <w:tcPr>
            <w:tcW w:w="5000" w:type="pct"/>
            <w:tcBorders>
              <w:top w:val="nil"/>
              <w:left w:val="nil"/>
              <w:bottom w:val="nil"/>
              <w:right w:val="nil"/>
            </w:tcBorders>
            <w:shd w:val="clear" w:color="auto" w:fill="auto"/>
          </w:tcPr>
          <w:p w14:paraId="2E6BE7A6" w14:textId="77777777" w:rsidR="001054C3" w:rsidRPr="00176D3F" w:rsidRDefault="001054C3" w:rsidP="00234FBE">
            <w:pPr>
              <w:pStyle w:val="Subtitle"/>
              <w:spacing w:before="80"/>
            </w:pPr>
            <w:r w:rsidRPr="001F1B75">
              <w:t>Systems with held environmental water</w:t>
            </w:r>
            <w:r w:rsidRPr="000E0399">
              <w:rPr>
                <w:b/>
                <w:bCs/>
                <w:position w:val="6"/>
                <w:sz w:val="18"/>
              </w:rPr>
              <w:t>b,c</w:t>
            </w:r>
          </w:p>
        </w:tc>
      </w:tr>
      <w:tr w:rsidR="001054C3" w14:paraId="35E797E0" w14:textId="77777777" w:rsidTr="00884779">
        <w:tc>
          <w:tcPr>
            <w:tcW w:w="5000" w:type="pct"/>
            <w:tcBorders>
              <w:top w:val="nil"/>
              <w:left w:val="nil"/>
              <w:bottom w:val="nil"/>
              <w:right w:val="nil"/>
            </w:tcBorders>
            <w:shd w:val="clear" w:color="auto" w:fill="auto"/>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1F1B75" w14:paraId="1B5D0A64" w14:textId="77777777" w:rsidTr="00234FBE">
              <w:trPr>
                <w:tblHeader/>
                <w:jc w:val="center"/>
              </w:trPr>
              <w:tc>
                <w:tcPr>
                  <w:tcW w:w="5000" w:type="pct"/>
                  <w:tcBorders>
                    <w:top w:val="nil"/>
                    <w:bottom w:val="nil"/>
                  </w:tcBorders>
                </w:tcPr>
                <w:p w14:paraId="073BC764" w14:textId="77777777" w:rsidR="001054C3" w:rsidRPr="001F1B75" w:rsidRDefault="001054C3" w:rsidP="00234FBE">
                  <w:pPr>
                    <w:keepNext/>
                    <w:spacing w:line="240" w:lineRule="atLeast"/>
                    <w:jc w:val="center"/>
                    <w:rPr>
                      <w:rFonts w:ascii="Arial" w:hAnsi="Arial" w:cs="Arial"/>
                      <w:sz w:val="18"/>
                      <w:szCs w:val="18"/>
                    </w:rPr>
                  </w:pPr>
                  <w:r w:rsidRPr="006575DA">
                    <w:rPr>
                      <w:rFonts w:ascii="Arial" w:hAnsi="Arial" w:cs="Arial"/>
                      <w:sz w:val="18"/>
                      <w:szCs w:val="18"/>
                    </w:rPr>
                    <w:t xml:space="preserve"> </w:t>
                  </w:r>
                  <w:r w:rsidRPr="00EA165E">
                    <w:rPr>
                      <w:rFonts w:ascii="Arial" w:hAnsi="Arial" w:cs="Arial"/>
                      <w:noProof/>
                      <w:sz w:val="18"/>
                      <w:szCs w:val="18"/>
                    </w:rPr>
                    <w:drawing>
                      <wp:inline distT="0" distB="0" distL="0" distR="0" wp14:anchorId="5AA5EE5F" wp14:editId="170AE579">
                        <wp:extent cx="4693920" cy="2057400"/>
                        <wp:effectExtent l="0" t="0" r="0" b="0"/>
                        <wp:docPr id="21" name="Picture 21" descr="Figure 8.1 b. A map of Australia with areas that contain held environmental water entitlements highlighted (the Murray-Darling Basin and non- Murray-Darling Basin Victoria). The shaded areas illustrate the ownership of held environmental water by region but do not provide a precise spatial representation of enti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8.1 b. A map of Australia with areas that contain held environmental water entitlements highlighted (the Murray-Darling Basin and non- Murray-Darling Basin Victoria). The shaded areas illustrate the ownership of held environmental water by region but do not provide a precise spatial representation of entitlement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3920" cy="2057400"/>
                                </a:xfrm>
                                <a:prstGeom prst="rect">
                                  <a:avLst/>
                                </a:prstGeom>
                                <a:noFill/>
                                <a:ln>
                                  <a:noFill/>
                                </a:ln>
                              </pic:spPr>
                            </pic:pic>
                          </a:graphicData>
                        </a:graphic>
                      </wp:inline>
                    </w:drawing>
                  </w:r>
                </w:p>
              </w:tc>
            </w:tr>
          </w:tbl>
          <w:p w14:paraId="5B64679B" w14:textId="77777777" w:rsidR="001054C3" w:rsidRDefault="001054C3" w:rsidP="00234FBE">
            <w:pPr>
              <w:pStyle w:val="Figurespace"/>
            </w:pPr>
          </w:p>
        </w:tc>
      </w:tr>
      <w:tr w:rsidR="001054C3" w:rsidRPr="00176D3F" w14:paraId="5394EFA1" w14:textId="77777777" w:rsidTr="00884779">
        <w:tc>
          <w:tcPr>
            <w:tcW w:w="5000" w:type="pct"/>
            <w:tcBorders>
              <w:top w:val="nil"/>
              <w:left w:val="nil"/>
              <w:bottom w:val="nil"/>
              <w:right w:val="nil"/>
            </w:tcBorders>
            <w:shd w:val="clear" w:color="auto" w:fill="auto"/>
          </w:tcPr>
          <w:p w14:paraId="10BA3BCD" w14:textId="77777777" w:rsidR="001054C3" w:rsidRPr="00176D3F" w:rsidRDefault="001054C3" w:rsidP="00234FBE">
            <w:pPr>
              <w:pStyle w:val="Note"/>
            </w:pPr>
            <w:r w:rsidRPr="00B92F79">
              <w:rPr>
                <w:b/>
                <w:position w:val="6"/>
              </w:rPr>
              <w:t>a</w:t>
            </w:r>
            <w:r w:rsidRPr="001F1B75">
              <w:t xml:space="preserve"> Each state manages environmental water through different planning mechanisms. For example, Victoria has a state</w:t>
            </w:r>
            <w:r w:rsidRPr="001F1B75">
              <w:noBreakHyphen/>
              <w:t>wide entitlement licen</w:t>
            </w:r>
            <w:r>
              <w:t>s</w:t>
            </w:r>
            <w:r w:rsidRPr="001F1B75">
              <w:t xml:space="preserve">ing system, </w:t>
            </w:r>
            <w:r>
              <w:t>and</w:t>
            </w:r>
            <w:r w:rsidRPr="001F1B75">
              <w:t xml:space="preserve"> N</w:t>
            </w:r>
            <w:r>
              <w:t xml:space="preserve">ew </w:t>
            </w:r>
            <w:r w:rsidRPr="001F1B75">
              <w:t>S</w:t>
            </w:r>
            <w:r>
              <w:t xml:space="preserve">outh </w:t>
            </w:r>
            <w:r w:rsidRPr="001F1B75">
              <w:t>W</w:t>
            </w:r>
            <w:r>
              <w:t>ales</w:t>
            </w:r>
            <w:r w:rsidRPr="001F1B75">
              <w:t xml:space="preserve"> manages planned water through valley</w:t>
            </w:r>
            <w:r w:rsidRPr="001F1B75">
              <w:noBreakHyphen/>
              <w:t xml:space="preserve">level water sharing plans. </w:t>
            </w:r>
            <w:r>
              <w:t>T</w:t>
            </w:r>
            <w:r w:rsidRPr="001F1B75">
              <w:t>he map illustrates the geographical coverage of state</w:t>
            </w:r>
            <w:r w:rsidRPr="001F1B75">
              <w:noBreakHyphen/>
              <w:t>level planning that caps consumption to protect environmental water.</w:t>
            </w:r>
            <w:r>
              <w:t xml:space="preserve"> </w:t>
            </w:r>
            <w:r w:rsidRPr="00FF3DDF">
              <w:t xml:space="preserve">In some cases, water plans do not cover all water sources within a geographic area. </w:t>
            </w:r>
            <w:r w:rsidRPr="001F1B75">
              <w:rPr>
                <w:b/>
                <w:position w:val="6"/>
              </w:rPr>
              <w:t>b</w:t>
            </w:r>
            <w:r>
              <w:rPr>
                <w:b/>
                <w:position w:val="6"/>
              </w:rPr>
              <w:t> </w:t>
            </w:r>
            <w:r w:rsidRPr="001F1B75">
              <w:t xml:space="preserve">The shaded areas illustrate the ownership of held environmental water by region </w:t>
            </w:r>
            <w:r>
              <w:t>but</w:t>
            </w:r>
            <w:r w:rsidRPr="001F1B75">
              <w:t xml:space="preserve"> do not provide a precise spatial representation of entitlements. </w:t>
            </w:r>
            <w:r w:rsidRPr="00B92F79">
              <w:rPr>
                <w:b/>
                <w:position w:val="6"/>
              </w:rPr>
              <w:t>c</w:t>
            </w:r>
            <w:r w:rsidRPr="001F1B75">
              <w:t xml:space="preserve"> Commonwealth holdings are as at 31 May 2020, Department of </w:t>
            </w:r>
            <w:r w:rsidRPr="003B795F">
              <w:t>Planning, Industry and Environment</w:t>
            </w:r>
            <w:r w:rsidRPr="001F1B75" w:rsidDel="001547AD">
              <w:t xml:space="preserve"> </w:t>
            </w:r>
            <w:r w:rsidRPr="001F1B75">
              <w:t>(NSW) holdings are as at 30 June 2017, Victorian Environmental Water Holder holdings are as at 6 May 2020, Department of Environment and Water (SA) holdings are as at 29 June 2020.</w:t>
            </w:r>
          </w:p>
        </w:tc>
      </w:tr>
      <w:tr w:rsidR="001054C3" w:rsidRPr="00176D3F" w14:paraId="5991067D" w14:textId="77777777" w:rsidTr="00234FBE">
        <w:tc>
          <w:tcPr>
            <w:tcW w:w="5000" w:type="pct"/>
            <w:tcBorders>
              <w:top w:val="nil"/>
              <w:left w:val="nil"/>
              <w:bottom w:val="nil"/>
              <w:right w:val="nil"/>
            </w:tcBorders>
            <w:shd w:val="clear" w:color="auto" w:fill="auto"/>
          </w:tcPr>
          <w:p w14:paraId="13B9CA42" w14:textId="77503BBD" w:rsidR="001054C3" w:rsidRPr="00176D3F" w:rsidRDefault="001054C3" w:rsidP="00234FBE">
            <w:pPr>
              <w:pStyle w:val="Source"/>
            </w:pPr>
            <w:r w:rsidRPr="00BA2A8C">
              <w:rPr>
                <w:i/>
                <w:lang w:val="fr-FR"/>
              </w:rPr>
              <w:t>Sources</w:t>
            </w:r>
            <w:r w:rsidRPr="00BA2A8C">
              <w:rPr>
                <w:lang w:val="fr-FR"/>
              </w:rPr>
              <w:t xml:space="preserve">: ABS </w:t>
            </w:r>
            <w:r w:rsidRPr="00BA2A8C">
              <w:rPr>
                <w:rFonts w:cs="Arial"/>
                <w:lang w:val="fr-FR"/>
              </w:rPr>
              <w:t>(2016)</w:t>
            </w:r>
            <w:r w:rsidRPr="00BA2A8C">
              <w:rPr>
                <w:lang w:val="fr-FR"/>
              </w:rPr>
              <w:t xml:space="preserve">, CEWO </w:t>
            </w:r>
            <w:r w:rsidRPr="001E6F1F">
              <w:rPr>
                <w:rFonts w:cs="Arial"/>
              </w:rPr>
              <w:t>(2020a)</w:t>
            </w:r>
            <w:r w:rsidRPr="00BA2A8C">
              <w:rPr>
                <w:lang w:val="fr-FR"/>
              </w:rPr>
              <w:t xml:space="preserve">, DENR (NT) </w:t>
            </w:r>
            <w:r w:rsidRPr="00BA2A8C">
              <w:rPr>
                <w:rFonts w:cs="Arial"/>
                <w:lang w:val="fr-FR"/>
              </w:rPr>
              <w:t>(2020)</w:t>
            </w:r>
            <w:r w:rsidRPr="00BA2A8C">
              <w:rPr>
                <w:lang w:val="fr-FR"/>
              </w:rPr>
              <w:t xml:space="preserve">, DEW (SA) </w:t>
            </w:r>
            <w:r w:rsidRPr="00BA2A8C">
              <w:rPr>
                <w:rFonts w:cs="Arial"/>
                <w:lang w:val="fr-FR"/>
              </w:rPr>
              <w:t>(2020)</w:t>
            </w:r>
            <w:r w:rsidRPr="00BA2A8C">
              <w:rPr>
                <w:lang w:val="fr-FR"/>
              </w:rPr>
              <w:t xml:space="preserve">, DNRME (Qld) </w:t>
            </w:r>
            <w:r w:rsidRPr="00BA2A8C">
              <w:rPr>
                <w:rFonts w:cs="Arial"/>
                <w:lang w:val="fr-FR"/>
              </w:rPr>
              <w:t>(2020)</w:t>
            </w:r>
            <w:r w:rsidRPr="00BA2A8C">
              <w:rPr>
                <w:lang w:val="fr-FR"/>
              </w:rPr>
              <w:t xml:space="preserve">, DPIE (NSW) </w:t>
            </w:r>
            <w:r w:rsidR="00C67DB3" w:rsidRPr="00C67DB3">
              <w:rPr>
                <w:rFonts w:cs="Arial"/>
              </w:rPr>
              <w:t>(2019a)</w:t>
            </w:r>
            <w:r w:rsidRPr="00BA2A8C">
              <w:rPr>
                <w:lang w:val="fr-FR"/>
              </w:rPr>
              <w:t xml:space="preserve">, DPIPWE (Tas) </w:t>
            </w:r>
            <w:r w:rsidR="00C67DB3" w:rsidRPr="00C67DB3">
              <w:rPr>
                <w:rFonts w:cs="Arial"/>
              </w:rPr>
              <w:t>(2020b)</w:t>
            </w:r>
            <w:r w:rsidRPr="00BA2A8C">
              <w:rPr>
                <w:lang w:val="fr-FR"/>
              </w:rPr>
              <w:t xml:space="preserve">, DWER (WA) </w:t>
            </w:r>
            <w:r w:rsidRPr="001F1B75">
              <w:rPr>
                <w:rFonts w:cs="Arial"/>
              </w:rPr>
              <w:t>(2020)</w:t>
            </w:r>
            <w:r w:rsidRPr="001F1B75">
              <w:t xml:space="preserve">, VEWH </w:t>
            </w:r>
            <w:r w:rsidRPr="00F66AAA">
              <w:rPr>
                <w:rFonts w:cs="Arial"/>
              </w:rPr>
              <w:t>(2020)</w:t>
            </w:r>
            <w:r>
              <w:t>.</w:t>
            </w:r>
          </w:p>
        </w:tc>
      </w:tr>
      <w:tr w:rsidR="001054C3" w14:paraId="063B05EE" w14:textId="77777777" w:rsidTr="00234FBE">
        <w:tc>
          <w:tcPr>
            <w:tcW w:w="5000" w:type="pct"/>
            <w:tcBorders>
              <w:top w:val="nil"/>
              <w:left w:val="nil"/>
              <w:bottom w:val="single" w:sz="6" w:space="0" w:color="78A22F" w:themeColor="accent1"/>
              <w:right w:val="nil"/>
            </w:tcBorders>
            <w:shd w:val="clear" w:color="auto" w:fill="auto"/>
          </w:tcPr>
          <w:p w14:paraId="2BB2D250" w14:textId="77777777" w:rsidR="001054C3" w:rsidRDefault="001054C3" w:rsidP="00234FBE">
            <w:pPr>
              <w:pStyle w:val="Figurespace"/>
            </w:pPr>
          </w:p>
        </w:tc>
      </w:tr>
      <w:tr w:rsidR="001054C3" w:rsidRPr="000863A5" w14:paraId="5DE0049B" w14:textId="77777777" w:rsidTr="00234FBE">
        <w:tc>
          <w:tcPr>
            <w:tcW w:w="5000" w:type="pct"/>
            <w:tcBorders>
              <w:top w:val="single" w:sz="6" w:space="0" w:color="78A22F" w:themeColor="accent1"/>
              <w:left w:val="nil"/>
              <w:bottom w:val="nil"/>
              <w:right w:val="nil"/>
            </w:tcBorders>
          </w:tcPr>
          <w:p w14:paraId="215F3E26" w14:textId="77777777" w:rsidR="001054C3" w:rsidRPr="00626D32" w:rsidRDefault="001054C3" w:rsidP="00234FBE">
            <w:pPr>
              <w:pStyle w:val="BoxSpaceBelow"/>
            </w:pPr>
          </w:p>
        </w:tc>
      </w:tr>
    </w:tbl>
    <w:p w14:paraId="761D8F1D" w14:textId="77777777" w:rsidR="001054C3" w:rsidRDefault="001054C3" w:rsidP="00234FBE">
      <w:pPr>
        <w:pStyle w:val="BodyText"/>
      </w:pPr>
      <w:r>
        <w:lastRenderedPageBreak/>
        <w:t xml:space="preserve">Overallocation and environmental degradation have been particularly pronounced in the MDB, prompting a major Australian Government initiative to rebalance environmental and consumptive use (the 2012 </w:t>
      </w:r>
      <w:bookmarkStart w:id="115" w:name="_Hlk71789246"/>
      <w:r>
        <w:t>Murray–Darling Basin Plan</w:t>
      </w:r>
      <w:bookmarkEnd w:id="115"/>
      <w:r>
        <w:t xml:space="preserve"> (Basin Plan)) and to recover 2750 GL of water entitlements (or equivalent environmental outcomes) by 2024. Recovery rates have slowed in recent years, but significant progress has been made (figure 8.2).</w:t>
      </w:r>
    </w:p>
    <w:p w14:paraId="67083F72" w14:textId="119CDD21" w:rsidR="001054C3" w:rsidRDefault="001054C3" w:rsidP="00234FBE">
      <w:pPr>
        <w:pStyle w:val="BodyText"/>
      </w:pPr>
      <w:r>
        <w:t>The provision of water for the environment is starting to yield benefits, particularly at the local scale.</w:t>
      </w:r>
      <w:r>
        <w:rPr>
          <w:rStyle w:val="FootnoteReference"/>
        </w:rPr>
        <w:footnoteReference w:id="23"/>
      </w:r>
      <w:r>
        <w:t xml:space="preserve"> Positive </w:t>
      </w:r>
      <w:r w:rsidRPr="00C90099">
        <w:t xml:space="preserve">ecological outcomes </w:t>
      </w:r>
      <w:r>
        <w:t>include</w:t>
      </w:r>
      <w:r w:rsidRPr="00C90099">
        <w:t>: improved native vegetation</w:t>
      </w:r>
      <w:r>
        <w:t xml:space="preserve"> and wetland</w:t>
      </w:r>
      <w:r w:rsidRPr="00C90099">
        <w:t xml:space="preserve"> condition</w:t>
      </w:r>
      <w:r>
        <w:t>; protection of rare and threatened biodiversity such as in groundwater</w:t>
      </w:r>
      <w:r>
        <w:noBreakHyphen/>
        <w:t xml:space="preserve">dependent ecosystems; and the migration and </w:t>
      </w:r>
      <w:r w:rsidRPr="00C90099">
        <w:t xml:space="preserve">breeding of native fish, frogs and waterbirds </w:t>
      </w:r>
      <w:r w:rsidRPr="001E6F1F">
        <w:rPr>
          <w:szCs w:val="24"/>
        </w:rPr>
        <w:t>(CEWO 2020b; Hart and Butcher 2018, p. 2; Thurgate et al. 2019)</w:t>
      </w:r>
      <w:r w:rsidRPr="00C90099">
        <w:t>.</w:t>
      </w:r>
      <w:r>
        <w:t xml:space="preserve"> Provision of refuges has been particularly important in maintaining breeding grounds during drought </w:t>
      </w:r>
      <w:r w:rsidRPr="00B533B3">
        <w:t>(MDBA</w:t>
      </w:r>
      <w:r>
        <w:t>,</w:t>
      </w:r>
      <w:r w:rsidRPr="00B533B3">
        <w:t xml:space="preserve"> sub.</w:t>
      </w:r>
      <w:r>
        <w:t> </w:t>
      </w:r>
      <w:r w:rsidRPr="00B533B3">
        <w:t>23, pp.</w:t>
      </w:r>
      <w:r>
        <w:t> </w:t>
      </w:r>
      <w:r w:rsidRPr="00B533B3">
        <w:t>13–14)</w:t>
      </w:r>
      <w:r>
        <w:t>, supporting ecosystem resilience until rain returned.</w:t>
      </w:r>
    </w:p>
    <w:p w14:paraId="4276F89E" w14:textId="77777777" w:rsidR="001054C3" w:rsidRDefault="001054C3" w:rsidP="00234FBE">
      <w:pPr>
        <w:pStyle w:val="BodyText"/>
      </w:pPr>
      <w:r w:rsidRPr="00035823">
        <w:t xml:space="preserve">In addition to environmental benefits, environmental water </w:t>
      </w:r>
      <w:r>
        <w:t>has</w:t>
      </w:r>
      <w:r w:rsidRPr="00035823">
        <w:t xml:space="preserve"> provide</w:t>
      </w:r>
      <w:r>
        <w:t>d</w:t>
      </w:r>
      <w:r w:rsidRPr="00035823">
        <w:t xml:space="preserve"> other </w:t>
      </w:r>
      <w:r>
        <w:t xml:space="preserve">direct and consequential </w:t>
      </w:r>
      <w:r w:rsidRPr="00035823">
        <w:t>complementary benefits to a range of water users</w:t>
      </w:r>
      <w:r>
        <w:t xml:space="preserve"> </w:t>
      </w:r>
      <w:r w:rsidRPr="001D19CE">
        <w:t>that contribute to cultural, social and economic outcome</w:t>
      </w:r>
      <w:r>
        <w:t>s</w:t>
      </w:r>
      <w:r w:rsidRPr="00035823">
        <w:t xml:space="preserve">. In particular, the delivery of watering events is increasingly integrating Aboriginal and Torres Strait Islander </w:t>
      </w:r>
      <w:r>
        <w:t xml:space="preserve">peoples’ </w:t>
      </w:r>
      <w:r w:rsidRPr="00035823">
        <w:t>knowledges to improve the delivery of environmental outcomes and to achieve distinct cultural and spiritual outcomes</w:t>
      </w:r>
      <w:r>
        <w:t xml:space="preserve"> </w:t>
      </w:r>
      <w:r w:rsidRPr="0050773A">
        <w:t>(SP</w:t>
      </w:r>
      <w:r>
        <w:t> </w:t>
      </w:r>
      <w:r w:rsidRPr="0050773A">
        <w:t>C</w:t>
      </w:r>
      <w:r>
        <w:t> </w:t>
      </w:r>
      <w:r w:rsidRPr="001B3182">
        <w:rPr>
          <w:i/>
          <w:iCs/>
        </w:rPr>
        <w:t>Environment</w:t>
      </w:r>
      <w:r w:rsidRPr="0050773A">
        <w:t>)</w:t>
      </w:r>
      <w:r>
        <w:t>.</w:t>
      </w:r>
    </w:p>
    <w:p w14:paraId="692C9711"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66F586AF" w14:textId="77777777" w:rsidTr="00234FBE">
        <w:trPr>
          <w:tblHeader/>
        </w:trPr>
        <w:tc>
          <w:tcPr>
            <w:tcW w:w="5000" w:type="pct"/>
            <w:tcBorders>
              <w:top w:val="single" w:sz="6" w:space="0" w:color="78A22F" w:themeColor="accent1"/>
              <w:left w:val="nil"/>
              <w:bottom w:val="nil"/>
              <w:right w:val="nil"/>
            </w:tcBorders>
            <w:shd w:val="clear" w:color="auto" w:fill="auto"/>
          </w:tcPr>
          <w:p w14:paraId="6EAC66ED" w14:textId="5BCA1C5D" w:rsidR="001054C3" w:rsidRPr="00176D3F" w:rsidRDefault="001054C3" w:rsidP="00234FBE">
            <w:pPr>
              <w:pStyle w:val="FigureTitle"/>
            </w:pPr>
            <w:r w:rsidRPr="00784A05">
              <w:rPr>
                <w:b w:val="0"/>
              </w:rPr>
              <w:t xml:space="preserve">Figure </w:t>
            </w:r>
            <w:r>
              <w:rPr>
                <w:b w:val="0"/>
              </w:rPr>
              <w:t>8.</w:t>
            </w:r>
            <w:r>
              <w:rPr>
                <w:b w:val="0"/>
                <w:noProof/>
              </w:rPr>
              <w:t>2</w:t>
            </w:r>
            <w:r>
              <w:tab/>
            </w:r>
            <w:r w:rsidRPr="00311A8F">
              <w:t>Held environmental water recovery in the M</w:t>
            </w:r>
            <w:r>
              <w:t>urray</w:t>
            </w:r>
            <w:r>
              <w:rPr>
                <w:rFonts w:cs="Arial"/>
              </w:rPr>
              <w:t>–</w:t>
            </w:r>
            <w:r w:rsidRPr="00311A8F">
              <w:t>D</w:t>
            </w:r>
            <w:r>
              <w:t xml:space="preserve">arling </w:t>
            </w:r>
            <w:r w:rsidRPr="00311A8F">
              <w:t>B</w:t>
            </w:r>
            <w:r>
              <w:t>asin</w:t>
            </w:r>
            <w:r w:rsidRPr="000E0399">
              <w:rPr>
                <w:rStyle w:val="NoteLabel"/>
                <w:b/>
                <w:bCs/>
              </w:rPr>
              <w:t>a,b</w:t>
            </w:r>
          </w:p>
        </w:tc>
      </w:tr>
      <w:tr w:rsidR="001054C3" w14:paraId="2171141C"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B1465D" w14:paraId="5D782747" w14:textId="77777777" w:rsidTr="00234FBE">
              <w:trPr>
                <w:tblHeader/>
                <w:jc w:val="center"/>
              </w:trPr>
              <w:tc>
                <w:tcPr>
                  <w:tcW w:w="5000" w:type="pct"/>
                  <w:tcBorders>
                    <w:top w:val="nil"/>
                    <w:bottom w:val="nil"/>
                  </w:tcBorders>
                </w:tcPr>
                <w:p w14:paraId="743CD9B0" w14:textId="77777777" w:rsidR="001054C3" w:rsidRPr="00B1465D" w:rsidRDefault="001054C3" w:rsidP="00234FBE">
                  <w:pPr>
                    <w:pStyle w:val="Figure"/>
                    <w:spacing w:before="60" w:after="60"/>
                    <w:rPr>
                      <w:rFonts w:ascii="Arial" w:hAnsi="Arial" w:cs="Arial"/>
                      <w:sz w:val="18"/>
                      <w:szCs w:val="18"/>
                    </w:rPr>
                  </w:pPr>
                  <w:r w:rsidRPr="00FE5AB4">
                    <w:rPr>
                      <w:rFonts w:ascii="Arial" w:hAnsi="Arial" w:cs="Arial"/>
                      <w:noProof/>
                      <w:sz w:val="18"/>
                      <w:szCs w:val="18"/>
                    </w:rPr>
                    <w:drawing>
                      <wp:inline distT="0" distB="0" distL="0" distR="0" wp14:anchorId="3A60D147" wp14:editId="2F497054">
                        <wp:extent cx="5351780" cy="2233295"/>
                        <wp:effectExtent l="0" t="0" r="1270" b="0"/>
                        <wp:docPr id="22" name="Picture 22" descr="Figure 8.2. This figure plots the cumulative volume of water recovered in the Murray-Darling Basin between 2005 and 2019. There are five programs/measures that are distinguished in the chart to show the source of the water recovery. The largest source of recovery is Australian Government water purchases. Since 2012 and the establishment of the Basin Plan (indicated on the chart), Australian Government infrastructure investment has been a growing source of water recovery. The volumes are expressed in terms of long term average annual 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2. This figure plots the cumulative volume of water recovered in the Murray-Darling Basin between 2005 and 2019. There are five programs/measures that are distinguished in the chart to show the source of the water recovery. The largest source of recovery is Australian Government water purchases. Since 2012 and the establishment of the Basin Plan (indicated on the chart), Australian Government infrastructure investment has been a growing source of water recovery. The volumes are expressed in terms of long term average annual yiel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51780" cy="2233295"/>
                                </a:xfrm>
                                <a:prstGeom prst="rect">
                                  <a:avLst/>
                                </a:prstGeom>
                                <a:noFill/>
                                <a:ln>
                                  <a:noFill/>
                                </a:ln>
                              </pic:spPr>
                            </pic:pic>
                          </a:graphicData>
                        </a:graphic>
                      </wp:inline>
                    </w:drawing>
                  </w:r>
                </w:p>
              </w:tc>
            </w:tr>
          </w:tbl>
          <w:p w14:paraId="6587AFD3" w14:textId="77777777" w:rsidR="001054C3" w:rsidRDefault="001054C3" w:rsidP="00234FBE">
            <w:pPr>
              <w:pStyle w:val="Figure"/>
            </w:pPr>
          </w:p>
        </w:tc>
      </w:tr>
      <w:tr w:rsidR="001054C3" w:rsidRPr="00176D3F" w14:paraId="1FB62A3B" w14:textId="77777777" w:rsidTr="00234FBE">
        <w:tc>
          <w:tcPr>
            <w:tcW w:w="5000" w:type="pct"/>
            <w:tcBorders>
              <w:top w:val="nil"/>
              <w:left w:val="nil"/>
              <w:bottom w:val="nil"/>
              <w:right w:val="nil"/>
            </w:tcBorders>
            <w:shd w:val="clear" w:color="auto" w:fill="auto"/>
          </w:tcPr>
          <w:p w14:paraId="0A1D4394" w14:textId="77777777" w:rsidR="001054C3" w:rsidRPr="00176D3F" w:rsidRDefault="001054C3" w:rsidP="00234FBE">
            <w:pPr>
              <w:pStyle w:val="Note"/>
            </w:pPr>
            <w:r>
              <w:rPr>
                <w:rStyle w:val="NoteLabel"/>
              </w:rPr>
              <w:t>a</w:t>
            </w:r>
            <w:r>
              <w:t xml:space="preserve"> </w:t>
            </w:r>
            <w:r w:rsidRPr="00311A8F">
              <w:t xml:space="preserve">Volumes recovered to </w:t>
            </w:r>
            <w:r w:rsidRPr="00806B1E">
              <w:t>30</w:t>
            </w:r>
            <w:r>
              <w:t> </w:t>
            </w:r>
            <w:r w:rsidRPr="00806B1E">
              <w:t>June 2019</w:t>
            </w:r>
            <w:r w:rsidRPr="00311A8F">
              <w:t xml:space="preserve"> in terms of long</w:t>
            </w:r>
            <w:r>
              <w:noBreakHyphen/>
            </w:r>
            <w:r w:rsidRPr="00311A8F">
              <w:t>term average annual yield</w:t>
            </w:r>
            <w:r>
              <w:t xml:space="preserve">. </w:t>
            </w:r>
            <w:r>
              <w:rPr>
                <w:rStyle w:val="NoteLabel"/>
              </w:rPr>
              <w:t>b</w:t>
            </w:r>
            <w:r>
              <w:t xml:space="preserve"> </w:t>
            </w:r>
            <w:r w:rsidRPr="00311A8F">
              <w:t>State recoveries include programs such as New South Wales Riverbank and other small recoveries.</w:t>
            </w:r>
          </w:p>
        </w:tc>
      </w:tr>
      <w:tr w:rsidR="001054C3" w:rsidRPr="00176D3F" w14:paraId="623F21FF" w14:textId="77777777" w:rsidTr="00234FBE">
        <w:tc>
          <w:tcPr>
            <w:tcW w:w="5000" w:type="pct"/>
            <w:tcBorders>
              <w:top w:val="nil"/>
              <w:left w:val="nil"/>
              <w:bottom w:val="nil"/>
              <w:right w:val="nil"/>
            </w:tcBorders>
            <w:shd w:val="clear" w:color="auto" w:fill="auto"/>
          </w:tcPr>
          <w:p w14:paraId="2A7EEC61" w14:textId="77777777" w:rsidR="001054C3" w:rsidRPr="00176D3F" w:rsidRDefault="001054C3" w:rsidP="00234FBE">
            <w:pPr>
              <w:pStyle w:val="Source"/>
              <w:spacing w:after="80"/>
            </w:pPr>
            <w:r>
              <w:rPr>
                <w:i/>
              </w:rPr>
              <w:t>S</w:t>
            </w:r>
            <w:r w:rsidRPr="00784A05">
              <w:rPr>
                <w:i/>
              </w:rPr>
              <w:t>ource</w:t>
            </w:r>
            <w:r w:rsidRPr="00176D3F">
              <w:t xml:space="preserve">: </w:t>
            </w:r>
            <w:r>
              <w:t>Murray–Darling Basin Authority (pers. comm., 30 September 2020).</w:t>
            </w:r>
          </w:p>
        </w:tc>
      </w:tr>
      <w:tr w:rsidR="001054C3" w:rsidRPr="000863A5" w14:paraId="73FBD94F" w14:textId="77777777" w:rsidTr="00234FBE">
        <w:tc>
          <w:tcPr>
            <w:tcW w:w="5000" w:type="pct"/>
            <w:tcBorders>
              <w:top w:val="single" w:sz="6" w:space="0" w:color="78A22F" w:themeColor="accent1"/>
              <w:left w:val="nil"/>
              <w:bottom w:val="nil"/>
              <w:right w:val="nil"/>
            </w:tcBorders>
          </w:tcPr>
          <w:p w14:paraId="2B082EE5" w14:textId="77777777" w:rsidR="001054C3" w:rsidRPr="00626D32" w:rsidRDefault="001054C3" w:rsidP="00234FBE">
            <w:pPr>
              <w:pStyle w:val="BoxSpaceBelow"/>
            </w:pPr>
          </w:p>
        </w:tc>
      </w:tr>
    </w:tbl>
    <w:p w14:paraId="1FCCAEE7" w14:textId="478BE529" w:rsidR="001054C3" w:rsidRPr="00C40AF3" w:rsidRDefault="001054C3" w:rsidP="00234FBE">
      <w:pPr>
        <w:pStyle w:val="BodyText"/>
        <w:rPr>
          <w:spacing w:val="2"/>
        </w:rPr>
      </w:pPr>
      <w:r w:rsidRPr="00C40AF3">
        <w:rPr>
          <w:spacing w:val="2"/>
        </w:rPr>
        <w:t xml:space="preserve">But, recent challenges have hindered progress in achieving environmental and other public benefit outcomes. Drought, incomplete water recoveries, and governance and compliance </w:t>
      </w:r>
      <w:r w:rsidRPr="00C40AF3">
        <w:rPr>
          <w:spacing w:val="2"/>
        </w:rPr>
        <w:lastRenderedPageBreak/>
        <w:t>failures in some MDB jurisdictions have contributed to environmental stress. Fish deaths in the Lower Darling are the most prominent example. Others include the loss of Macquarie perch populations as ash and mud washed into the Snowy Mountains river system after the 2019</w:t>
      </w:r>
      <w:r w:rsidRPr="00C40AF3">
        <w:rPr>
          <w:spacing w:val="2"/>
        </w:rPr>
        <w:noBreakHyphen/>
        <w:t>20 bushfires. And an evaluation of environmental watering over recent (drought) years in the MDB by Chen et al (2020) indicated limited outcomes for wetland conservation across the MDB.</w:t>
      </w:r>
    </w:p>
    <w:p w14:paraId="0A5E897F" w14:textId="4B2EBBAD" w:rsidR="001054C3" w:rsidRPr="005902FC" w:rsidRDefault="001054C3" w:rsidP="00234FBE">
      <w:pPr>
        <w:pStyle w:val="BodyText"/>
      </w:pPr>
      <w:r>
        <w:t>T</w:t>
      </w:r>
      <w:r w:rsidRPr="00547027">
        <w:t>he provision of water for the environment</w:t>
      </w:r>
      <w:r>
        <w:t xml:space="preserve">, both planned and held, </w:t>
      </w:r>
      <w:r w:rsidRPr="00547027">
        <w:t xml:space="preserve">has </w:t>
      </w:r>
      <w:r>
        <w:t xml:space="preserve">been a major national reform effort that has </w:t>
      </w:r>
      <w:r w:rsidRPr="00547027">
        <w:t>helped to avoid environmental degradation that would have otherwise occurred through unconstrained water access</w:t>
      </w:r>
      <w:r>
        <w:t xml:space="preserve">. For example, </w:t>
      </w:r>
      <w:r w:rsidRPr="00B61C5A">
        <w:rPr>
          <w:rStyle w:val="BodyTextChar"/>
        </w:rPr>
        <w:t xml:space="preserve">water </w:t>
      </w:r>
      <w:r>
        <w:rPr>
          <w:rStyle w:val="BodyTextChar"/>
        </w:rPr>
        <w:t xml:space="preserve">delivered </w:t>
      </w:r>
      <w:r w:rsidRPr="00B61C5A">
        <w:rPr>
          <w:rStyle w:val="BodyTextChar"/>
        </w:rPr>
        <w:t xml:space="preserve">for the environment to support the Coorong, Lower Lakes and Murray Mouth </w:t>
      </w:r>
      <w:r>
        <w:rPr>
          <w:rStyle w:val="BodyTextChar"/>
        </w:rPr>
        <w:t>during</w:t>
      </w:r>
      <w:r w:rsidRPr="00B61C5A">
        <w:rPr>
          <w:rStyle w:val="BodyTextChar"/>
        </w:rPr>
        <w:t xml:space="preserve"> the </w:t>
      </w:r>
      <w:r>
        <w:rPr>
          <w:rStyle w:val="BodyTextChar"/>
        </w:rPr>
        <w:t xml:space="preserve">recent </w:t>
      </w:r>
      <w:r w:rsidRPr="00B61C5A">
        <w:rPr>
          <w:rStyle w:val="BodyTextChar"/>
        </w:rPr>
        <w:t xml:space="preserve">drought </w:t>
      </w:r>
      <w:r>
        <w:rPr>
          <w:rStyle w:val="BodyTextChar"/>
        </w:rPr>
        <w:t>prevented</w:t>
      </w:r>
      <w:r w:rsidRPr="00B61C5A">
        <w:rPr>
          <w:rStyle w:val="BodyTextChar"/>
        </w:rPr>
        <w:t xml:space="preserve"> environmental degradation </w:t>
      </w:r>
      <w:r>
        <w:rPr>
          <w:rStyle w:val="BodyTextChar"/>
        </w:rPr>
        <w:t xml:space="preserve">of the extent observed </w:t>
      </w:r>
      <w:r w:rsidRPr="00B61C5A">
        <w:rPr>
          <w:rStyle w:val="BodyTextChar"/>
        </w:rPr>
        <w:t xml:space="preserve">during the Millennium </w:t>
      </w:r>
      <w:r>
        <w:rPr>
          <w:rStyle w:val="BodyTextChar"/>
        </w:rPr>
        <w:t>D</w:t>
      </w:r>
      <w:r w:rsidRPr="00B61C5A">
        <w:rPr>
          <w:rStyle w:val="BodyTextChar"/>
        </w:rPr>
        <w:t>rought</w:t>
      </w:r>
      <w:r>
        <w:rPr>
          <w:rStyle w:val="BodyTextChar"/>
        </w:rPr>
        <w:t xml:space="preserve"> </w:t>
      </w:r>
      <w:r w:rsidR="00C67DB3" w:rsidRPr="00C67DB3">
        <w:rPr>
          <w:szCs w:val="24"/>
        </w:rPr>
        <w:t>(MDBA 2020b, p. xiii)</w:t>
      </w:r>
      <w:r>
        <w:rPr>
          <w:rStyle w:val="BodyTextChar"/>
        </w:rPr>
        <w:t>. And</w:t>
      </w:r>
      <w:r w:rsidRPr="005902FC">
        <w:rPr>
          <w:rStyle w:val="BodyTextChar"/>
        </w:rPr>
        <w:t>, i</w:t>
      </w:r>
      <w:r w:rsidRPr="003F009C">
        <w:rPr>
          <w:rStyle w:val="BodyTextChar"/>
        </w:rPr>
        <w:t>n some waterways,</w:t>
      </w:r>
      <w:r w:rsidRPr="00D139B8">
        <w:rPr>
          <w:rStyle w:val="BodyTextChar"/>
        </w:rPr>
        <w:t xml:space="preserve"> water provided for the environment has slowed the rate of environmental decline</w:t>
      </w:r>
      <w:r w:rsidRPr="00F33DBA">
        <w:rPr>
          <w:rStyle w:val="BodyTextChar"/>
        </w:rPr>
        <w:t>.</w:t>
      </w:r>
      <w:r w:rsidRPr="001E6F1F">
        <w:rPr>
          <w:rStyle w:val="BodyTextChar"/>
        </w:rPr>
        <w:t xml:space="preserve"> For example</w:t>
      </w:r>
      <w:r>
        <w:rPr>
          <w:rStyle w:val="BodyTextChar"/>
        </w:rPr>
        <w:t>,</w:t>
      </w:r>
      <w:r w:rsidRPr="001E6F1F">
        <w:rPr>
          <w:rStyle w:val="BodyTextChar"/>
        </w:rPr>
        <w:t xml:space="preserve"> without environmental flows </w:t>
      </w:r>
      <w:r>
        <w:rPr>
          <w:rStyle w:val="BodyTextChar"/>
        </w:rPr>
        <w:t>‘</w:t>
      </w:r>
      <w:r w:rsidRPr="001E6F1F">
        <w:rPr>
          <w:rStyle w:val="BodyTextChar"/>
        </w:rPr>
        <w:t>the already devastating environmental impacts, such as the Lower Darling fish deaths, would have been worse’</w:t>
      </w:r>
      <w:r>
        <w:rPr>
          <w:rStyle w:val="BodyTextChar"/>
        </w:rPr>
        <w:t xml:space="preserve"> </w:t>
      </w:r>
      <w:r w:rsidR="00C67DB3" w:rsidRPr="00C67DB3">
        <w:rPr>
          <w:szCs w:val="24"/>
        </w:rPr>
        <w:t>(MDBA 2020b, p. ix)</w:t>
      </w:r>
      <w:r>
        <w:rPr>
          <w:rStyle w:val="BodyTextChar"/>
        </w:rPr>
        <w:t>.</w:t>
      </w:r>
    </w:p>
    <w:p w14:paraId="67CD7BBD" w14:textId="77777777" w:rsidR="001054C3" w:rsidRDefault="001054C3" w:rsidP="00234FBE">
      <w:pPr>
        <w:pStyle w:val="BodyText"/>
      </w:pPr>
      <w:r w:rsidRPr="009C7414">
        <w:t xml:space="preserve">Moving forward, it is important for environmental water managers to understand the extent to which environmental decline in some </w:t>
      </w:r>
      <w:r>
        <w:t>systems</w:t>
      </w:r>
      <w:r w:rsidRPr="009C7414">
        <w:t xml:space="preserve"> (</w:t>
      </w:r>
      <w:r>
        <w:t xml:space="preserve">the MDB </w:t>
      </w:r>
      <w:r w:rsidRPr="009C7414">
        <w:t>in particular) was</w:t>
      </w:r>
      <w:r>
        <w:t>:</w:t>
      </w:r>
      <w:r w:rsidRPr="009C7414">
        <w:t xml:space="preserve"> an inevitable consequence of the severity and longevity of the recent drought (and outside the bounds of planning)</w:t>
      </w:r>
      <w:r>
        <w:t>;</w:t>
      </w:r>
      <w:r w:rsidRPr="009C7414">
        <w:t xml:space="preserve"> a failure of environmental management</w:t>
      </w:r>
      <w:r>
        <w:t>;</w:t>
      </w:r>
      <w:r w:rsidRPr="009C7414">
        <w:t xml:space="preserve"> or an indication that current environmental water provisions are inadequate.</w:t>
      </w:r>
      <w:r w:rsidRPr="00A85137">
        <w:t xml:space="preserve"> </w:t>
      </w:r>
      <w:bookmarkStart w:id="116" w:name="_Hlk70418952"/>
      <w:bookmarkStart w:id="117" w:name="_Hlk70419941"/>
      <w:r>
        <w:t xml:space="preserve">However, it is also important to recognise that </w:t>
      </w:r>
      <w:r w:rsidRPr="008061FC">
        <w:t xml:space="preserve">without </w:t>
      </w:r>
      <w:r>
        <w:t xml:space="preserve">the commitment to national water reform and </w:t>
      </w:r>
      <w:r w:rsidRPr="008061FC">
        <w:t>provision</w:t>
      </w:r>
      <w:r>
        <w:t>s</w:t>
      </w:r>
      <w:r w:rsidRPr="008061FC">
        <w:t xml:space="preserve"> of water for the environment</w:t>
      </w:r>
      <w:r>
        <w:t>,</w:t>
      </w:r>
      <w:r w:rsidRPr="008061FC">
        <w:t xml:space="preserve"> </w:t>
      </w:r>
      <w:r>
        <w:t>that</w:t>
      </w:r>
      <w:r w:rsidRPr="008061FC">
        <w:t xml:space="preserve"> </w:t>
      </w:r>
      <w:r>
        <w:t xml:space="preserve">environmental </w:t>
      </w:r>
      <w:r w:rsidRPr="008061FC">
        <w:t>decline</w:t>
      </w:r>
      <w:r>
        <w:t xml:space="preserve"> is likely to</w:t>
      </w:r>
      <w:r w:rsidRPr="008061FC">
        <w:t xml:space="preserve"> have </w:t>
      </w:r>
      <w:r>
        <w:t>been significantly worse</w:t>
      </w:r>
      <w:r w:rsidRPr="008061FC">
        <w:t>.</w:t>
      </w:r>
      <w:bookmarkEnd w:id="116"/>
    </w:p>
    <w:p w14:paraId="5111011D" w14:textId="099E7219" w:rsidR="001054C3" w:rsidRPr="00265738" w:rsidRDefault="001054C3" w:rsidP="00234FBE">
      <w:pPr>
        <w:pStyle w:val="Heading2"/>
      </w:pPr>
      <w:bookmarkStart w:id="118" w:name="_Toc72939515"/>
      <w:bookmarkEnd w:id="117"/>
      <w:r>
        <w:t>8.</w:t>
      </w:r>
      <w:r>
        <w:rPr>
          <w:noProof/>
        </w:rPr>
        <w:t>2</w:t>
      </w:r>
      <w:r>
        <w:tab/>
        <w:t>Requirements for achieving agreed o</w:t>
      </w:r>
      <w:r w:rsidRPr="00DA141B">
        <w:t>utcomes</w:t>
      </w:r>
      <w:r>
        <w:t xml:space="preserve"> in all systems</w:t>
      </w:r>
      <w:bookmarkEnd w:id="118"/>
    </w:p>
    <w:p w14:paraId="14648E41" w14:textId="77777777" w:rsidR="001054C3" w:rsidRDefault="001054C3" w:rsidP="00234FBE">
      <w:pPr>
        <w:pStyle w:val="BodyText"/>
      </w:pPr>
      <w:r w:rsidRPr="00460443">
        <w:t xml:space="preserve">The ultimate objective of </w:t>
      </w:r>
      <w:r>
        <w:t xml:space="preserve">providing water for the environment </w:t>
      </w:r>
      <w:r w:rsidRPr="00460443">
        <w:t xml:space="preserve">is </w:t>
      </w:r>
      <w:r>
        <w:t xml:space="preserve">to improve </w:t>
      </w:r>
      <w:r w:rsidRPr="00460443">
        <w:t xml:space="preserve">the health of </w:t>
      </w:r>
      <w:r w:rsidRPr="00E37793">
        <w:rPr>
          <w:rStyle w:val="BodyTextChar"/>
        </w:rPr>
        <w:t>river</w:t>
      </w:r>
      <w:r>
        <w:rPr>
          <w:rStyle w:val="BodyTextChar"/>
        </w:rPr>
        <w:t xml:space="preserve">s, </w:t>
      </w:r>
      <w:r w:rsidRPr="00E37793">
        <w:rPr>
          <w:rStyle w:val="BodyTextChar"/>
        </w:rPr>
        <w:t>wetland</w:t>
      </w:r>
      <w:r>
        <w:rPr>
          <w:rStyle w:val="BodyTextChar"/>
        </w:rPr>
        <w:t>s and other water</w:t>
      </w:r>
      <w:r>
        <w:rPr>
          <w:rStyle w:val="BodyTextChar"/>
        </w:rPr>
        <w:noBreakHyphen/>
        <w:t>dependent</w:t>
      </w:r>
      <w:r w:rsidRPr="00E37793">
        <w:rPr>
          <w:rStyle w:val="BodyTextChar"/>
        </w:rPr>
        <w:t xml:space="preserve"> </w:t>
      </w:r>
      <w:r>
        <w:rPr>
          <w:rStyle w:val="BodyTextChar"/>
        </w:rPr>
        <w:t>eco</w:t>
      </w:r>
      <w:r w:rsidRPr="00E37793">
        <w:rPr>
          <w:rStyle w:val="BodyTextChar"/>
        </w:rPr>
        <w:t>systems</w:t>
      </w:r>
      <w:r>
        <w:t> </w:t>
      </w:r>
      <w:r w:rsidRPr="00460443">
        <w:t>—</w:t>
      </w:r>
      <w:r>
        <w:t> </w:t>
      </w:r>
      <w:r w:rsidRPr="00460443">
        <w:t>not simply a volume of water</w:t>
      </w:r>
      <w:r w:rsidRPr="00CD230E">
        <w:t>.</w:t>
      </w:r>
    </w:p>
    <w:p w14:paraId="70B2097C" w14:textId="77777777" w:rsidR="001054C3" w:rsidDel="00EC58C2" w:rsidRDefault="001054C3" w:rsidP="00234FBE">
      <w:pPr>
        <w:pStyle w:val="BodyText"/>
      </w:pPr>
      <w:r w:rsidRPr="00CD230E" w:rsidDel="00EC58C2">
        <w:t xml:space="preserve">Whether environmental water is planned or held, the focus for the next phase of reform should be to ensure that environmental water is managed efficiently and effectively to deliver agreed (and where possible, better) </w:t>
      </w:r>
      <w:r>
        <w:t xml:space="preserve">environmental </w:t>
      </w:r>
      <w:r w:rsidRPr="00CD230E" w:rsidDel="00EC58C2">
        <w:t>outcomes.</w:t>
      </w:r>
    </w:p>
    <w:p w14:paraId="7922CAE3" w14:textId="77777777" w:rsidR="001054C3" w:rsidRDefault="001054C3" w:rsidP="00234FBE">
      <w:pPr>
        <w:pStyle w:val="BodyText"/>
      </w:pPr>
      <w:r>
        <w:t>I</w:t>
      </w:r>
      <w:r w:rsidRPr="00A20D14">
        <w:t>n the 1</w:t>
      </w:r>
      <w:r>
        <w:t>7 </w:t>
      </w:r>
      <w:r w:rsidRPr="00A20D14">
        <w:t>years since the NWI was agreed</w:t>
      </w:r>
      <w:r>
        <w:t>,</w:t>
      </w:r>
      <w:r w:rsidRPr="00A20D14">
        <w:t xml:space="preserve"> environmental management has evolved rapidly </w:t>
      </w:r>
      <w:r>
        <w:t>and</w:t>
      </w:r>
      <w:r w:rsidRPr="00A20D14">
        <w:t xml:space="preserve"> </w:t>
      </w:r>
      <w:r>
        <w:t xml:space="preserve">a </w:t>
      </w:r>
      <w:r w:rsidRPr="00A20D14">
        <w:t xml:space="preserve">disconnect between the </w:t>
      </w:r>
      <w:r>
        <w:t>agreement</w:t>
      </w:r>
      <w:r w:rsidRPr="00A20D14">
        <w:t xml:space="preserve"> and current management practices has emerged.</w:t>
      </w:r>
      <w:r w:rsidRPr="00692EF8">
        <w:t xml:space="preserve"> </w:t>
      </w:r>
      <w:r>
        <w:t>Embedding</w:t>
      </w:r>
      <w:r w:rsidRPr="00692EF8">
        <w:t xml:space="preserve"> current best</w:t>
      </w:r>
      <w:r>
        <w:noBreakHyphen/>
      </w:r>
      <w:r w:rsidRPr="00692EF8">
        <w:t>use pr</w:t>
      </w:r>
      <w:r>
        <w:t>inciples</w:t>
      </w:r>
      <w:r w:rsidRPr="00692EF8">
        <w:t xml:space="preserve"> in </w:t>
      </w:r>
      <w:r>
        <w:t>a renewed</w:t>
      </w:r>
      <w:r w:rsidRPr="00692EF8">
        <w:t xml:space="preserve"> NWI</w:t>
      </w:r>
      <w:r>
        <w:t>,</w:t>
      </w:r>
      <w:r w:rsidRPr="00692EF8">
        <w:t xml:space="preserve"> and </w:t>
      </w:r>
      <w:r>
        <w:t xml:space="preserve">ensuring </w:t>
      </w:r>
      <w:r w:rsidRPr="00692EF8">
        <w:t xml:space="preserve">that environmental water managers </w:t>
      </w:r>
      <w:r>
        <w:t xml:space="preserve">can </w:t>
      </w:r>
      <w:r w:rsidRPr="00692EF8">
        <w:t xml:space="preserve">continue to evolve </w:t>
      </w:r>
      <w:r>
        <w:t xml:space="preserve">their frameworks and practices </w:t>
      </w:r>
      <w:r w:rsidRPr="00692EF8">
        <w:t>through experience and adapt</w:t>
      </w:r>
      <w:r>
        <w:t>ation</w:t>
      </w:r>
      <w:r w:rsidRPr="00692EF8">
        <w:t xml:space="preserve"> to new knowledge</w:t>
      </w:r>
      <w:r>
        <w:t>, would provide a stronger platform for achieving agreed environmental outcomes.</w:t>
      </w:r>
    </w:p>
    <w:p w14:paraId="46CE5595" w14:textId="77777777" w:rsidR="001054C3" w:rsidRDefault="001054C3" w:rsidP="00234FBE">
      <w:pPr>
        <w:pStyle w:val="BodyText"/>
      </w:pPr>
      <w:r>
        <w:t>Moreover, t</w:t>
      </w:r>
      <w:r w:rsidRPr="00565C7F">
        <w:t xml:space="preserve">he recent drought has exposed weaknesses in environmental management policy principles, frameworks and practices. </w:t>
      </w:r>
      <w:r>
        <w:t>N</w:t>
      </w:r>
      <w:r w:rsidRPr="00565C7F">
        <w:t xml:space="preserve">ational principles for environmental management </w:t>
      </w:r>
      <w:r w:rsidRPr="00565C7F">
        <w:lastRenderedPageBreak/>
        <w:t xml:space="preserve">and </w:t>
      </w:r>
      <w:r>
        <w:t>underlying</w:t>
      </w:r>
      <w:r w:rsidRPr="00565C7F">
        <w:t xml:space="preserve"> jurisdictional management frameworks and practices must </w:t>
      </w:r>
      <w:r>
        <w:t xml:space="preserve">also </w:t>
      </w:r>
      <w:r w:rsidRPr="00565C7F">
        <w:t>evolve and transform to enable the environment to best weather shocks such as drought, floods</w:t>
      </w:r>
      <w:r>
        <w:t xml:space="preserve"> and</w:t>
      </w:r>
      <w:r w:rsidRPr="00565C7F">
        <w:t xml:space="preserve"> bushfire</w:t>
      </w:r>
      <w:r>
        <w:t>s</w:t>
      </w:r>
      <w:r w:rsidRPr="00565C7F">
        <w:t xml:space="preserve"> and adapt to a changing climatic baseline.</w:t>
      </w:r>
    </w:p>
    <w:p w14:paraId="74B61D5A" w14:textId="77777777" w:rsidR="001054C3" w:rsidRDefault="001054C3" w:rsidP="00234FBE">
      <w:pPr>
        <w:pStyle w:val="BodyText"/>
      </w:pPr>
      <w:r>
        <w:t>The Commission’s advice for NWI renewal follows.</w:t>
      </w:r>
    </w:p>
    <w:p w14:paraId="0990F8F0" w14:textId="77777777" w:rsidR="001054C3" w:rsidRPr="0050184C" w:rsidRDefault="001054C3" w:rsidP="00234FBE">
      <w:pPr>
        <w:pStyle w:val="Heading3"/>
      </w:pPr>
      <w:r>
        <w:t>Clearly specified e</w:t>
      </w:r>
      <w:r w:rsidRPr="0050184C">
        <w:t>nvironmental objectives and outcomes</w:t>
      </w:r>
    </w:p>
    <w:p w14:paraId="19AAD0C1" w14:textId="77777777" w:rsidR="001054C3" w:rsidRDefault="001054C3" w:rsidP="00234FBE">
      <w:pPr>
        <w:pStyle w:val="BodyText"/>
      </w:pPr>
      <w:r>
        <w:t>Water planning processes should involve effective stakeholder engagement to identify</w:t>
      </w:r>
      <w:r w:rsidRPr="00790131">
        <w:t xml:space="preserve"> the </w:t>
      </w:r>
      <w:r>
        <w:t xml:space="preserve">key </w:t>
      </w:r>
      <w:r w:rsidRPr="00790131">
        <w:t xml:space="preserve">assets and ecosystem functions that </w:t>
      </w:r>
      <w:r>
        <w:t>communities</w:t>
      </w:r>
      <w:r w:rsidRPr="00790131">
        <w:t xml:space="preserve"> would like to protect</w:t>
      </w:r>
      <w:r>
        <w:t>, and any risks and potential trade</w:t>
      </w:r>
      <w:r>
        <w:noBreakHyphen/>
        <w:t xml:space="preserve">offs they are willing to tolerate in achieving those outcomes. Any discussions should be informed by science to ensure identified outcomes are objective and achievable. And, agreed outcomes should </w:t>
      </w:r>
      <w:r w:rsidRPr="006C50A0">
        <w:t xml:space="preserve">be </w:t>
      </w:r>
      <w:r>
        <w:t xml:space="preserve">clear, </w:t>
      </w:r>
      <w:r w:rsidRPr="006C50A0">
        <w:t>easily understood by stakeholders</w:t>
      </w:r>
      <w:r>
        <w:t xml:space="preserve"> and defined in a way that </w:t>
      </w:r>
      <w:r w:rsidRPr="00EB4E97">
        <w:t>enabl</w:t>
      </w:r>
      <w:r>
        <w:t>es</w:t>
      </w:r>
      <w:r w:rsidRPr="00EB4E97">
        <w:t xml:space="preserve"> clear long</w:t>
      </w:r>
      <w:r>
        <w:noBreakHyphen/>
      </w:r>
      <w:r w:rsidRPr="00EB4E97">
        <w:t>term performance indicators to be set and monitored</w:t>
      </w:r>
      <w:r>
        <w:t>. Overall, the process should include</w:t>
      </w:r>
      <w:r w:rsidRPr="00790131">
        <w:t xml:space="preserve"> the prioritisation of </w:t>
      </w:r>
      <w:r>
        <w:t xml:space="preserve">environmental </w:t>
      </w:r>
      <w:r w:rsidRPr="00790131">
        <w:t xml:space="preserve">assets </w:t>
      </w:r>
      <w:r>
        <w:t>to guide planning and active management.</w:t>
      </w:r>
    </w:p>
    <w:p w14:paraId="49172D1E" w14:textId="77777777" w:rsidR="001054C3" w:rsidRDefault="001054C3" w:rsidP="00234FBE">
      <w:pPr>
        <w:pStyle w:val="BodyText"/>
      </w:pPr>
      <w:r>
        <w:rPr>
          <w:rFonts w:eastAsia="DengXian"/>
        </w:rPr>
        <w:t>In practice, r</w:t>
      </w:r>
      <w:r w:rsidRPr="00F47AE8">
        <w:rPr>
          <w:rFonts w:eastAsia="DengXian"/>
        </w:rPr>
        <w:t xml:space="preserve">eaching agreement </w:t>
      </w:r>
      <w:r>
        <w:rPr>
          <w:rFonts w:eastAsia="DengXian"/>
        </w:rPr>
        <w:t xml:space="preserve">on objectives for environmental watering and associated outcomes </w:t>
      </w:r>
      <w:r w:rsidRPr="00F47AE8">
        <w:rPr>
          <w:rFonts w:eastAsia="DengXian"/>
        </w:rPr>
        <w:t>can be very difficult</w:t>
      </w:r>
      <w:r>
        <w:rPr>
          <w:rFonts w:eastAsia="DengXian"/>
        </w:rPr>
        <w:t>, even if good collaborative processes are in place.</w:t>
      </w:r>
    </w:p>
    <w:p w14:paraId="192AA9CC" w14:textId="0E4A552F" w:rsidR="001054C3" w:rsidRDefault="001054C3" w:rsidP="00234FBE">
      <w:pPr>
        <w:pStyle w:val="Quote"/>
      </w:pPr>
      <w:r w:rsidRPr="00221986">
        <w:rPr>
          <w:rFonts w:eastAsia="DengXian"/>
        </w:rPr>
        <w:t>Given the high demand for water in many river basins it is often impossible to meet everyone’s needs, and compromises are required. Reaching agreement can be very difficult if expectations are unrealistic, for example, if the river has been heavily managed and will continue to be so for local or national economic prosperity. Setting objectives for environmental water through stakeholder engagement is thus a socio</w:t>
      </w:r>
      <w:r>
        <w:rPr>
          <w:rFonts w:eastAsia="DengXian"/>
        </w:rPr>
        <w:noBreakHyphen/>
      </w:r>
      <w:r w:rsidRPr="00221986">
        <w:rPr>
          <w:rFonts w:eastAsia="DengXian"/>
        </w:rPr>
        <w:t>political process rather than a solely scientific procedure</w:t>
      </w:r>
      <w:r>
        <w:rPr>
          <w:rFonts w:eastAsia="DengXian"/>
        </w:rPr>
        <w:t xml:space="preserve">. </w:t>
      </w:r>
      <w:r w:rsidRPr="00305F06">
        <w:rPr>
          <w:szCs w:val="24"/>
        </w:rPr>
        <w:t>(Acreman et al. 2017, p. 23)</w:t>
      </w:r>
    </w:p>
    <w:p w14:paraId="14C0BF0B" w14:textId="77777777" w:rsidR="001054C3" w:rsidRDefault="001054C3" w:rsidP="00234FBE">
      <w:pPr>
        <w:pStyle w:val="BodyText"/>
      </w:pPr>
      <w:r w:rsidRPr="00061545">
        <w:t>To ensure some consistency of approach</w:t>
      </w:r>
      <w:r>
        <w:t xml:space="preserve"> in </w:t>
      </w:r>
      <w:r w:rsidRPr="00061545">
        <w:t>the identification of key environmental assets</w:t>
      </w:r>
      <w:r>
        <w:t xml:space="preserve">, criteria for the prioritisation of environmental assets </w:t>
      </w:r>
      <w:r w:rsidRPr="00061545">
        <w:t>should be embedded in the NWI</w:t>
      </w:r>
      <w:r>
        <w:t>. Current practice in some jurisdictions provides guidance on a potential approach (incorporated in NWI renewal advice 8.1)</w:t>
      </w:r>
      <w:r w:rsidRPr="00061545">
        <w:t>.</w:t>
      </w:r>
    </w:p>
    <w:p w14:paraId="416DCADC" w14:textId="77777777" w:rsidR="001054C3" w:rsidRPr="00C40AF3" w:rsidRDefault="001054C3" w:rsidP="00234FBE">
      <w:pPr>
        <w:pStyle w:val="BodyText"/>
        <w:rPr>
          <w:spacing w:val="-4"/>
        </w:rPr>
      </w:pPr>
      <w:r w:rsidRPr="00C40AF3">
        <w:rPr>
          <w:spacing w:val="-4"/>
        </w:rPr>
        <w:t xml:space="preserve">Moreover, recent dry conditions have called into question whether water planning has adequately considered the impacts of extreme water scarcity when establishing agreed environmental outcomes and objectives. </w:t>
      </w:r>
      <w:r w:rsidRPr="00C40AF3">
        <w:rPr>
          <w:rStyle w:val="BodyTextChar"/>
          <w:spacing w:val="-4"/>
        </w:rPr>
        <w:t>Water p</w:t>
      </w:r>
      <w:r w:rsidRPr="00C40AF3">
        <w:rPr>
          <w:spacing w:val="-4"/>
        </w:rPr>
        <w:t>lanning should consider environmental objectives and agreed outcomes under different climate conditions (wet, average and dry years).</w:t>
      </w:r>
    </w:p>
    <w:p w14:paraId="2C0C26CD" w14:textId="77777777" w:rsidR="001054C3" w:rsidRDefault="001054C3" w:rsidP="00234FBE">
      <w:pPr>
        <w:pStyle w:val="BodyText"/>
      </w:pPr>
      <w:r w:rsidRPr="000D7C09">
        <w:t>Best</w:t>
      </w:r>
      <w:r>
        <w:noBreakHyphen/>
      </w:r>
      <w:r w:rsidRPr="000D7C09">
        <w:t xml:space="preserve">practice principles to </w:t>
      </w:r>
      <w:r>
        <w:t>establish environmental objectives and agreed outcomes</w:t>
      </w:r>
      <w:r w:rsidRPr="000D7C09">
        <w:t xml:space="preserve">, including </w:t>
      </w:r>
      <w:r>
        <w:t>understanding any environmental trade</w:t>
      </w:r>
      <w:r>
        <w:noBreakHyphen/>
        <w:t>offs during dry climate scenarios,</w:t>
      </w:r>
      <w:r w:rsidRPr="000D7C09">
        <w:t xml:space="preserve"> should be embedded in the NWI</w:t>
      </w:r>
      <w:r>
        <w:t xml:space="preserve"> (NWI renewal advice 8.1)</w:t>
      </w:r>
      <w:r w:rsidRPr="000D7C09">
        <w:t>.</w:t>
      </w:r>
    </w:p>
    <w:p w14:paraId="693947E2" w14:textId="77777777" w:rsidR="001054C3" w:rsidRPr="004E3B94" w:rsidRDefault="001054C3" w:rsidP="00A37372">
      <w:pPr>
        <w:pStyle w:val="BoxSpaceAboveElemen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4E016354"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58798E5" w14:textId="650D56E7" w:rsidR="001054C3" w:rsidRPr="00CE4C64" w:rsidRDefault="001054C3" w:rsidP="00234FBE">
            <w:pPr>
              <w:pStyle w:val="FindingTitle"/>
              <w:spacing w:before="120"/>
              <w:rPr>
                <w:noProof/>
              </w:rPr>
            </w:pPr>
            <w:r>
              <w:t xml:space="preserve">NWI </w:t>
            </w:r>
            <w:r w:rsidRPr="00D36640">
              <w:t>RE</w:t>
            </w:r>
            <w:r>
              <w:t>newal advice 8.</w:t>
            </w:r>
            <w:r>
              <w:rPr>
                <w:noProof/>
              </w:rPr>
              <w:t>1:</w:t>
            </w:r>
            <w:r w:rsidRPr="001E18DB">
              <w:rPr>
                <w:noProof/>
              </w:rPr>
              <w:t xml:space="preserve"> Best</w:t>
            </w:r>
            <w:r>
              <w:rPr>
                <w:noProof/>
              </w:rPr>
              <w:noBreakHyphen/>
            </w:r>
            <w:r w:rsidRPr="001E18DB">
              <w:rPr>
                <w:noProof/>
              </w:rPr>
              <w:t>practice environmental objectives and outcomes</w:t>
            </w:r>
          </w:p>
        </w:tc>
      </w:tr>
      <w:tr w:rsidR="001054C3" w:rsidRPr="00750BE2" w14:paraId="14799CAE"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64C7B10" w14:textId="77777777" w:rsidR="001054C3" w:rsidRPr="00D74003" w:rsidRDefault="001054C3" w:rsidP="00234FBE">
            <w:pPr>
              <w:pStyle w:val="Rec"/>
            </w:pPr>
            <w:r w:rsidRPr="00D74003">
              <w:t xml:space="preserve">Environmental objectives and outcomes agreed in water plans should be guided by criteria on the identification of key environmental assets </w:t>
            </w:r>
            <w:r>
              <w:t>(including dependent downstream estuaries and near</w:t>
            </w:r>
            <w:r>
              <w:noBreakHyphen/>
              <w:t xml:space="preserve">shore marine environments) </w:t>
            </w:r>
            <w:r w:rsidRPr="00D74003">
              <w:t>and the values communities place on those assets.</w:t>
            </w:r>
          </w:p>
          <w:p w14:paraId="5F19DDB7" w14:textId="77777777" w:rsidR="001054C3" w:rsidRPr="00D74003" w:rsidRDefault="001054C3" w:rsidP="00234FBE">
            <w:pPr>
              <w:pStyle w:val="RecBullet"/>
            </w:pPr>
            <w:r w:rsidRPr="00D74003">
              <w:t>Waterways or water</w:t>
            </w:r>
            <w:r w:rsidRPr="00D74003">
              <w:noBreakHyphen/>
              <w:t>dependent ecosystems should be considered high environmental priority if they have one, or more, of the following characteristics</w:t>
            </w:r>
            <w:r>
              <w:t>:</w:t>
            </w:r>
          </w:p>
          <w:p w14:paraId="7E5BAB90" w14:textId="77777777" w:rsidR="001054C3" w:rsidRPr="00D74003" w:rsidRDefault="001054C3" w:rsidP="008C565C">
            <w:pPr>
              <w:pStyle w:val="RecBullet2"/>
              <w:numPr>
                <w:ilvl w:val="0"/>
                <w:numId w:val="29"/>
              </w:numPr>
            </w:pPr>
            <w:r>
              <w:t>f</w:t>
            </w:r>
            <w:r w:rsidRPr="00D74003">
              <w:t>ormally recognised significance (under Australian or State Government legislation</w:t>
            </w:r>
            <w:r>
              <w:t>)</w:t>
            </w:r>
          </w:p>
          <w:p w14:paraId="1DD1BDB5" w14:textId="77777777" w:rsidR="001054C3" w:rsidRPr="00D74003" w:rsidRDefault="001054C3" w:rsidP="008C565C">
            <w:pPr>
              <w:pStyle w:val="RecBullet2"/>
              <w:numPr>
                <w:ilvl w:val="0"/>
                <w:numId w:val="29"/>
              </w:numPr>
            </w:pPr>
            <w:r>
              <w:t>t</w:t>
            </w:r>
            <w:r w:rsidRPr="00D74003">
              <w:t>he presence of highly threatened or rare species and ecological communities (under Australian or State Government legislation</w:t>
            </w:r>
            <w:r>
              <w:t>)</w:t>
            </w:r>
          </w:p>
          <w:p w14:paraId="12678F1D" w14:textId="77777777" w:rsidR="001054C3" w:rsidRPr="00D74003" w:rsidRDefault="001054C3" w:rsidP="008C565C">
            <w:pPr>
              <w:pStyle w:val="RecBullet2"/>
              <w:numPr>
                <w:ilvl w:val="0"/>
                <w:numId w:val="29"/>
              </w:numPr>
            </w:pPr>
            <w:r>
              <w:t>h</w:t>
            </w:r>
            <w:r w:rsidRPr="00D74003">
              <w:t>igh naturalness values (for example, aquatic invertebrate communities or riparian vegetation</w:t>
            </w:r>
            <w:r>
              <w:t>)</w:t>
            </w:r>
          </w:p>
          <w:p w14:paraId="29EA1484" w14:textId="77777777" w:rsidR="001054C3" w:rsidRPr="00D74003" w:rsidRDefault="001054C3" w:rsidP="008C565C">
            <w:pPr>
              <w:pStyle w:val="RecBullet2"/>
              <w:numPr>
                <w:ilvl w:val="0"/>
                <w:numId w:val="29"/>
              </w:numPr>
            </w:pPr>
            <w:r>
              <w:t>v</w:t>
            </w:r>
            <w:r w:rsidRPr="003877AE">
              <w:t>ital habitat (for example, drought refuges or important bird habitats and key sites for connectivity).</w:t>
            </w:r>
          </w:p>
          <w:p w14:paraId="1421E2A6" w14:textId="77777777" w:rsidR="001054C3" w:rsidRPr="00D74003" w:rsidRDefault="001054C3" w:rsidP="00234FBE">
            <w:pPr>
              <w:pStyle w:val="RecBullet"/>
            </w:pPr>
            <w:r w:rsidRPr="00D74003">
              <w:t>Environmental objectives and agreed environmental outcomes should then:</w:t>
            </w:r>
          </w:p>
          <w:p w14:paraId="7300B3D9" w14:textId="77777777" w:rsidR="001054C3" w:rsidRPr="00D74003" w:rsidRDefault="001054C3" w:rsidP="008C565C">
            <w:pPr>
              <w:pStyle w:val="RecBullet2"/>
              <w:numPr>
                <w:ilvl w:val="0"/>
                <w:numId w:val="29"/>
              </w:numPr>
            </w:pPr>
            <w:r w:rsidRPr="00D74003">
              <w:t>be set through a collaborative, stakeholder and community process that considers the relative community value of outcomes</w:t>
            </w:r>
          </w:p>
          <w:p w14:paraId="7D0078D9" w14:textId="77777777" w:rsidR="001054C3" w:rsidRPr="00D74003" w:rsidRDefault="001054C3" w:rsidP="008C565C">
            <w:pPr>
              <w:pStyle w:val="RecBullet2"/>
              <w:numPr>
                <w:ilvl w:val="0"/>
                <w:numId w:val="29"/>
              </w:numPr>
            </w:pPr>
            <w:r w:rsidRPr="00D74003">
              <w:t>be based on good scientific, objective and on</w:t>
            </w:r>
            <w:r w:rsidRPr="00D74003">
              <w:noBreakHyphen/>
              <w:t>the</w:t>
            </w:r>
            <w:r w:rsidRPr="00D74003">
              <w:noBreakHyphen/>
              <w:t>ground knowledge</w:t>
            </w:r>
          </w:p>
          <w:p w14:paraId="16292820" w14:textId="77777777" w:rsidR="001054C3" w:rsidRPr="00D74003" w:rsidRDefault="001054C3" w:rsidP="008C565C">
            <w:pPr>
              <w:pStyle w:val="RecBullet2"/>
              <w:numPr>
                <w:ilvl w:val="0"/>
                <w:numId w:val="29"/>
              </w:numPr>
            </w:pPr>
            <w:r w:rsidRPr="00D74003">
              <w:t>clearly identify any risks and potential environmental trade</w:t>
            </w:r>
            <w:r w:rsidRPr="00D74003">
              <w:noBreakHyphen/>
              <w:t>offs under different climate scenarios (including average and dry years)</w:t>
            </w:r>
          </w:p>
          <w:p w14:paraId="43F520E0" w14:textId="77777777" w:rsidR="001054C3" w:rsidRPr="00D74003" w:rsidRDefault="001054C3" w:rsidP="008C565C">
            <w:pPr>
              <w:pStyle w:val="RecBullet2"/>
              <w:numPr>
                <w:ilvl w:val="0"/>
                <w:numId w:val="29"/>
              </w:numPr>
            </w:pPr>
            <w:r w:rsidRPr="00D74003">
              <w:t>be transparent, logical and easily understood by stakeholders</w:t>
            </w:r>
          </w:p>
          <w:p w14:paraId="2DFB15A1" w14:textId="77777777" w:rsidR="001054C3" w:rsidRDefault="001054C3" w:rsidP="008C565C">
            <w:pPr>
              <w:pStyle w:val="RecBullet2"/>
              <w:numPr>
                <w:ilvl w:val="0"/>
                <w:numId w:val="29"/>
              </w:numPr>
              <w:spacing w:after="120"/>
              <w:ind w:left="714" w:hanging="357"/>
            </w:pPr>
            <w:r w:rsidRPr="00D74003">
              <w:t>be specific and defined well, enabling clear long</w:t>
            </w:r>
            <w:r w:rsidRPr="00D74003">
              <w:noBreakHyphen/>
              <w:t>term performance indicators to be set and monitored.</w:t>
            </w:r>
          </w:p>
        </w:tc>
      </w:tr>
      <w:tr w:rsidR="001054C3" w:rsidRPr="000863A5" w14:paraId="799BF7DB" w14:textId="77777777" w:rsidTr="00234FBE">
        <w:trPr>
          <w:cantSplit/>
        </w:trPr>
        <w:tc>
          <w:tcPr>
            <w:tcW w:w="5000" w:type="pct"/>
            <w:tcBorders>
              <w:top w:val="single" w:sz="6" w:space="0" w:color="0070C0"/>
              <w:left w:val="nil"/>
              <w:bottom w:val="nil"/>
              <w:right w:val="nil"/>
            </w:tcBorders>
            <w:tcMar>
              <w:left w:w="170" w:type="dxa"/>
              <w:right w:w="170" w:type="dxa"/>
            </w:tcMar>
          </w:tcPr>
          <w:p w14:paraId="187C74DD" w14:textId="77777777" w:rsidR="001054C3" w:rsidRPr="00626D32" w:rsidRDefault="001054C3" w:rsidP="00234FBE">
            <w:pPr>
              <w:pStyle w:val="BoxSpaceBelow"/>
              <w:keepLines/>
            </w:pPr>
          </w:p>
        </w:tc>
      </w:tr>
    </w:tbl>
    <w:p w14:paraId="6F8087E3" w14:textId="77777777" w:rsidR="001054C3" w:rsidRDefault="001054C3" w:rsidP="00234FBE">
      <w:pPr>
        <w:pStyle w:val="Heading3"/>
      </w:pPr>
      <w:r>
        <w:t>Adequate low</w:t>
      </w:r>
      <w:r>
        <w:noBreakHyphen/>
        <w:t>flow provisions</w:t>
      </w:r>
    </w:p>
    <w:p w14:paraId="30EA0F12" w14:textId="77777777" w:rsidR="001054C3" w:rsidRDefault="001054C3" w:rsidP="00234FBE">
      <w:pPr>
        <w:pStyle w:val="BodyText"/>
      </w:pPr>
      <w:r>
        <w:t>E</w:t>
      </w:r>
      <w:r w:rsidRPr="00C1404C">
        <w:t>nvironmental impact</w:t>
      </w:r>
      <w:r>
        <w:t>s</w:t>
      </w:r>
      <w:r w:rsidRPr="00C1404C">
        <w:t xml:space="preserve"> of the recent drought in New South Wales ha</w:t>
      </w:r>
      <w:r>
        <w:t>ve</w:t>
      </w:r>
      <w:r w:rsidRPr="00C1404C">
        <w:t xml:space="preserve"> </w:t>
      </w:r>
      <w:r>
        <w:t>revealed</w:t>
      </w:r>
      <w:r w:rsidRPr="00C1404C">
        <w:t xml:space="preserve"> an inadequate understanding of the importance of low</w:t>
      </w:r>
      <w:r>
        <w:noBreakHyphen/>
      </w:r>
      <w:r w:rsidRPr="00C1404C">
        <w:t xml:space="preserve">flow </w:t>
      </w:r>
      <w:r>
        <w:t>provisions</w:t>
      </w:r>
      <w:r w:rsidRPr="00C1404C">
        <w:t xml:space="preserve"> to achiev</w:t>
      </w:r>
      <w:r>
        <w:t>ing</w:t>
      </w:r>
      <w:r w:rsidRPr="00C1404C">
        <w:t xml:space="preserve"> environmental outcomes during periods of water scarcity.</w:t>
      </w:r>
    </w:p>
    <w:p w14:paraId="1E50E5E8" w14:textId="77777777" w:rsidR="001054C3" w:rsidRDefault="001054C3" w:rsidP="00234FBE">
      <w:pPr>
        <w:pStyle w:val="BodyText"/>
      </w:pPr>
      <w:r>
        <w:t>F</w:t>
      </w:r>
      <w:r w:rsidRPr="007B5FC5">
        <w:t>low targets to protect critical ecosystems and river health need to be managed not just for long</w:t>
      </w:r>
      <w:r>
        <w:noBreakHyphen/>
      </w:r>
      <w:r w:rsidRPr="007B5FC5">
        <w:t>term averages</w:t>
      </w:r>
      <w:r>
        <w:t>,</w:t>
      </w:r>
      <w:r w:rsidRPr="007B5FC5">
        <w:t xml:space="preserve"> but for </w:t>
      </w:r>
      <w:r>
        <w:t xml:space="preserve">a range of climatic conditions including the very dry </w:t>
      </w:r>
      <w:r w:rsidRPr="007B5FC5">
        <w:t>extremes. This includes managing water extraction during critically low flows</w:t>
      </w:r>
      <w:r>
        <w:t xml:space="preserve"> to protect ecologically important refuges,</w:t>
      </w:r>
      <w:r w:rsidRPr="007B5FC5">
        <w:t xml:space="preserve"> protecting the resumption of flows</w:t>
      </w:r>
      <w:r>
        <w:t xml:space="preserve">, enabling small flushes at appropriate frequencies </w:t>
      </w:r>
      <w:r w:rsidRPr="007B5FC5">
        <w:t>and managing connectivity across the landscape.</w:t>
      </w:r>
      <w:r>
        <w:t xml:space="preserve"> The process for achieving this is through water planning. Future water plans and water reviews need to ensure that water sharing arrangements during low flow and prolonged dry periods are explicitly considered and clearly described. Best practice is considered in </w:t>
      </w:r>
      <w:r w:rsidRPr="000E53CC">
        <w:t>SP</w:t>
      </w:r>
      <w:r>
        <w:t> </w:t>
      </w:r>
      <w:r w:rsidRPr="000E53CC">
        <w:t>A </w:t>
      </w:r>
      <w:r w:rsidRPr="003D1C66">
        <w:rPr>
          <w:i/>
          <w:iCs/>
        </w:rPr>
        <w:t>Entitlements</w:t>
      </w:r>
      <w:r>
        <w:rPr>
          <w:i/>
          <w:iCs/>
        </w:rPr>
        <w:t xml:space="preserve"> and planning</w:t>
      </w:r>
      <w:r>
        <w:t>.</w:t>
      </w:r>
    </w:p>
    <w:p w14:paraId="2090A9E2" w14:textId="77777777" w:rsidR="001054C3" w:rsidRDefault="001054C3" w:rsidP="00234FBE">
      <w:pPr>
        <w:pStyle w:val="Heading3"/>
      </w:pPr>
      <w:r>
        <w:lastRenderedPageBreak/>
        <w:t>Integrated e</w:t>
      </w:r>
      <w:r w:rsidRPr="00ED3808">
        <w:t>nvironmental water</w:t>
      </w:r>
      <w:r>
        <w:t>,</w:t>
      </w:r>
      <w:r w:rsidRPr="00ED3808">
        <w:t xml:space="preserve"> waterway and catchment management</w:t>
      </w:r>
    </w:p>
    <w:p w14:paraId="68D20A35" w14:textId="77777777" w:rsidR="001054C3" w:rsidRDefault="001054C3" w:rsidP="00234FBE">
      <w:pPr>
        <w:pStyle w:val="BodyText"/>
      </w:pPr>
      <w:r>
        <w:t xml:space="preserve">The environmental condition of waterways </w:t>
      </w:r>
      <w:r w:rsidRPr="003F6B42">
        <w:t xml:space="preserve">— such as rivers, wetlands, floodplains and estuaries — </w:t>
      </w:r>
      <w:r>
        <w:t xml:space="preserve">is dependent on a range of factors in addition to water extraction including land use and management within the catchment and riparian zone. </w:t>
      </w:r>
      <w:r w:rsidRPr="003F6B42">
        <w:t>Waterways face threats like nutrient pollution, salinity, increased sedimentation, habitat degradation and invasive species.</w:t>
      </w:r>
      <w:r>
        <w:t xml:space="preserve"> </w:t>
      </w:r>
      <w:r w:rsidRPr="00E26B0C">
        <w:t>No</w:t>
      </w:r>
      <w:r>
        <w:t>n</w:t>
      </w:r>
      <w:r>
        <w:noBreakHyphen/>
      </w:r>
      <w:r w:rsidRPr="00E26B0C">
        <w:t>flow waterway management activities (such as water quality improvement, restoration of habitat and connectivity</w:t>
      </w:r>
      <w:r>
        <w:t>,</w:t>
      </w:r>
      <w:r w:rsidRPr="00E26B0C">
        <w:t xml:space="preserve"> and the management of pest species) will have a critical impact on the achievement of environmental outcomes.</w:t>
      </w:r>
    </w:p>
    <w:p w14:paraId="5CDE7B8D" w14:textId="77777777" w:rsidR="001054C3" w:rsidRDefault="001054C3" w:rsidP="00234FBE">
      <w:pPr>
        <w:pStyle w:val="BodyText"/>
      </w:pPr>
      <w:r>
        <w:t xml:space="preserve">Environmental water management therefore </w:t>
      </w:r>
      <w:r w:rsidRPr="00BB6E56">
        <w:t xml:space="preserve">needs to be part of an integrated river or wetland management program </w:t>
      </w:r>
      <w:r>
        <w:t>that</w:t>
      </w:r>
      <w:r w:rsidRPr="00BB6E56">
        <w:t xml:space="preserve"> includes complementary habitat and water quality management</w:t>
      </w:r>
      <w:r>
        <w:t xml:space="preserve"> (figure 8.3)</w:t>
      </w:r>
      <w:r w:rsidRPr="00BB6E56">
        <w:t>.</w:t>
      </w:r>
      <w:r>
        <w:t xml:space="preserve"> This is not adequately covered in the NWI.</w:t>
      </w:r>
    </w:p>
    <w:p w14:paraId="5E36CA6E" w14:textId="77777777" w:rsidR="001054C3" w:rsidRDefault="001054C3" w:rsidP="00234FBE">
      <w:pPr>
        <w:pStyle w:val="BodyText"/>
      </w:pPr>
      <w:r>
        <w:t>In the absence of integration, the long</w:t>
      </w:r>
      <w:r>
        <w:noBreakHyphen/>
        <w:t>term benefits of environmental water (including environmental rehabilitation and resilience) may be eroded or not realised. Pr</w:t>
      </w:r>
      <w:r w:rsidRPr="00C2528E">
        <w:t xml:space="preserve">oviding environmental water to a particular wetland is likely to be more effective in increasing native fish populations if waterway managers maintain wetland vegetation, reduce weeds and install screens to exclude </w:t>
      </w:r>
      <w:r>
        <w:t xml:space="preserve">invasive species such as </w:t>
      </w:r>
      <w:r w:rsidRPr="00C2528E">
        <w:t>carp. Similarly, the benefits of providing water to stimulate regeneration of red gum forests may be completely eroded if grazing then eliminates the seedlings.</w:t>
      </w:r>
    </w:p>
    <w:p w14:paraId="7700C19D" w14:textId="77777777" w:rsidR="001054C3" w:rsidRDefault="001054C3" w:rsidP="00234FBE">
      <w:pPr>
        <w:pStyle w:val="BodyText"/>
      </w:pPr>
      <w:r w:rsidRPr="00C640FC">
        <w:t xml:space="preserve">Complementary </w:t>
      </w:r>
      <w:r>
        <w:t>waterway management is</w:t>
      </w:r>
      <w:r w:rsidRPr="00C640FC">
        <w:t xml:space="preserve"> also important </w:t>
      </w:r>
      <w:r>
        <w:t>for</w:t>
      </w:r>
      <w:r w:rsidRPr="00C640FC">
        <w:t xml:space="preserve"> manag</w:t>
      </w:r>
      <w:r>
        <w:t>ing</w:t>
      </w:r>
      <w:r w:rsidRPr="00C640FC">
        <w:t xml:space="preserve"> </w:t>
      </w:r>
      <w:r>
        <w:t xml:space="preserve">the effects of changing </w:t>
      </w:r>
      <w:r w:rsidRPr="00C640FC">
        <w:t>conditions. During periods of water scarcity</w:t>
      </w:r>
      <w:r>
        <w:t>,</w:t>
      </w:r>
      <w:r w:rsidRPr="00C640FC">
        <w:t xml:space="preserve"> </w:t>
      </w:r>
      <w:r>
        <w:t xml:space="preserve">natural resource programs (NRM) </w:t>
      </w:r>
      <w:r w:rsidRPr="00C640FC">
        <w:t xml:space="preserve">should focus on the protection of reserves, refuges and making sure </w:t>
      </w:r>
      <w:r>
        <w:t xml:space="preserve">that </w:t>
      </w:r>
      <w:r w:rsidRPr="00C640FC">
        <w:t xml:space="preserve">the regenerative capacity </w:t>
      </w:r>
      <w:r>
        <w:t>of water</w:t>
      </w:r>
      <w:r>
        <w:noBreakHyphen/>
        <w:t xml:space="preserve">dependent ecosystems </w:t>
      </w:r>
      <w:r w:rsidRPr="00C640FC">
        <w:t>is protected</w:t>
      </w:r>
      <w:r>
        <w:t xml:space="preserve">. Actions can include </w:t>
      </w:r>
      <w:r w:rsidRPr="00C640FC">
        <w:t>banning of fishing in fish refuge pools, fencing of key refuge areas, captive breeding programs and increased compliance monitoring and enforcement.</w:t>
      </w:r>
    </w:p>
    <w:p w14:paraId="73109433" w14:textId="77777777" w:rsidR="001054C3" w:rsidRDefault="001054C3" w:rsidP="00234FBE">
      <w:pPr>
        <w:pStyle w:val="BodyText"/>
      </w:pPr>
      <w:r w:rsidRPr="000C36F4">
        <w:t>Waterway managers are generally responsible</w:t>
      </w:r>
      <w:r>
        <w:t xml:space="preserve"> for</w:t>
      </w:r>
      <w:r w:rsidRPr="000C36F4">
        <w:t xml:space="preserve"> waterway and catchment management</w:t>
      </w:r>
      <w:r>
        <w:t xml:space="preserve"> activities</w:t>
      </w:r>
      <w:r w:rsidRPr="000C36F4">
        <w:t xml:space="preserve"> under State and Territory NRM frameworks</w:t>
      </w:r>
      <w:r>
        <w:t xml:space="preserve"> but, except for Victoria, may not be involved in environmental water management.</w:t>
      </w:r>
    </w:p>
    <w:p w14:paraId="5E126595" w14:textId="77777777" w:rsidR="001054C3" w:rsidRPr="00DB328F" w:rsidRDefault="001054C3" w:rsidP="00234FBE">
      <w:pPr>
        <w:spacing w:before="240" w:line="300" w:lineRule="atLeast"/>
        <w:jc w:val="both"/>
        <w:rPr>
          <w:szCs w:val="20"/>
        </w:rPr>
      </w:pPr>
      <w:r w:rsidRPr="00DB328F">
        <w:rPr>
          <w:szCs w:val="20"/>
        </w:rPr>
        <w:br w:type="page"/>
      </w:r>
    </w:p>
    <w:p w14:paraId="02CFE51E" w14:textId="77777777" w:rsidR="001054C3" w:rsidRPr="00DB328F" w:rsidRDefault="001054C3" w:rsidP="00234FBE">
      <w:pPr>
        <w:spacing w:before="240" w:line="300" w:lineRule="atLeast"/>
        <w:jc w:val="both"/>
        <w:rPr>
          <w:szCs w:val="20"/>
        </w:rPr>
        <w:sectPr w:rsidR="001054C3" w:rsidRPr="00DB328F" w:rsidSect="001054C3">
          <w:headerReference w:type="even" r:id="rId92"/>
          <w:headerReference w:type="default" r:id="rId93"/>
          <w:footerReference w:type="even" r:id="rId94"/>
          <w:footerReference w:type="default" r:id="rId95"/>
          <w:type w:val="oddPage"/>
          <w:pgSz w:w="11907" w:h="16840" w:code="9"/>
          <w:pgMar w:top="1985" w:right="1304" w:bottom="1247" w:left="1814" w:header="1701" w:footer="397" w:gutter="0"/>
          <w:pgNumType w:chapSep="period"/>
          <w:cols w:space="720"/>
          <w:docGrid w:linePitch="326"/>
        </w:sect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1054C3" w:rsidRPr="00DB328F" w14:paraId="4CB693B9" w14:textId="77777777" w:rsidTr="00234FBE">
        <w:trPr>
          <w:tblHeader/>
        </w:trPr>
        <w:tc>
          <w:tcPr>
            <w:tcW w:w="5000" w:type="pct"/>
            <w:tcBorders>
              <w:top w:val="single" w:sz="6" w:space="0" w:color="78A22F"/>
              <w:left w:val="nil"/>
              <w:bottom w:val="nil"/>
              <w:right w:val="nil"/>
            </w:tcBorders>
            <w:shd w:val="clear" w:color="auto" w:fill="auto"/>
          </w:tcPr>
          <w:p w14:paraId="7C955728" w14:textId="77777777" w:rsidR="001054C3" w:rsidRPr="00DB328F" w:rsidRDefault="001054C3" w:rsidP="00234FBE">
            <w:pPr>
              <w:keepNext/>
              <w:spacing w:line="80" w:lineRule="exact"/>
              <w:rPr>
                <w:szCs w:val="20"/>
              </w:rPr>
            </w:pPr>
          </w:p>
          <w:p w14:paraId="083DA0A2" w14:textId="5F65B3BC" w:rsidR="001054C3" w:rsidRPr="00DB328F" w:rsidRDefault="001054C3" w:rsidP="00234FBE">
            <w:pPr>
              <w:keepNext/>
              <w:keepLines/>
              <w:spacing w:before="80" w:line="280" w:lineRule="exact"/>
              <w:ind w:left="1474" w:hanging="1474"/>
              <w:rPr>
                <w:rFonts w:ascii="Arial" w:hAnsi="Arial"/>
                <w:b/>
              </w:rPr>
            </w:pPr>
            <w:r w:rsidRPr="00C4489B">
              <w:rPr>
                <w:rFonts w:ascii="Arial" w:hAnsi="Arial"/>
                <w:bCs/>
              </w:rPr>
              <w:t>Figure </w:t>
            </w:r>
            <w:r w:rsidRPr="00DD44E4">
              <w:rPr>
                <w:rFonts w:ascii="Arial" w:hAnsi="Arial"/>
                <w:bCs/>
              </w:rPr>
              <w:t>8.3</w:t>
            </w:r>
            <w:r w:rsidRPr="00DB328F">
              <w:rPr>
                <w:rFonts w:ascii="Arial" w:hAnsi="Arial"/>
                <w:b/>
              </w:rPr>
              <w:tab/>
              <w:t>The integration of environmental and complementary waterway management</w:t>
            </w:r>
          </w:p>
          <w:p w14:paraId="3F481E13" w14:textId="77777777" w:rsidR="001054C3" w:rsidRPr="00DB328F" w:rsidRDefault="001054C3" w:rsidP="00234FBE">
            <w:pPr>
              <w:keepNext/>
              <w:keepLines/>
              <w:spacing w:after="80" w:line="200" w:lineRule="exact"/>
              <w:ind w:left="1474"/>
              <w:rPr>
                <w:rFonts w:ascii="Arial" w:hAnsi="Arial"/>
                <w:sz w:val="20"/>
              </w:rPr>
            </w:pPr>
            <w:r w:rsidRPr="00DB328F">
              <w:rPr>
                <w:rFonts w:ascii="Arial" w:hAnsi="Arial"/>
                <w:sz w:val="20"/>
              </w:rPr>
              <w:t>At the local level, to achieve agreed outcomes</w:t>
            </w:r>
          </w:p>
        </w:tc>
      </w:tr>
      <w:tr w:rsidR="001054C3" w:rsidRPr="00DB328F" w14:paraId="2F4B0961" w14:textId="77777777" w:rsidTr="00234FBE">
        <w:tc>
          <w:tcPr>
            <w:tcW w:w="5000" w:type="pct"/>
            <w:tcBorders>
              <w:top w:val="nil"/>
              <w:left w:val="nil"/>
              <w:bottom w:val="nil"/>
              <w:right w:val="nil"/>
            </w:tcBorders>
            <w:shd w:val="clear" w:color="auto" w:fill="auto"/>
            <w:tcMar>
              <w:top w:w="28" w:type="dxa"/>
              <w:bottom w:w="28" w:type="dxa"/>
            </w:tcMar>
          </w:tcPr>
          <w:p w14:paraId="134DEB5D" w14:textId="77777777" w:rsidR="001054C3" w:rsidRPr="00DB328F" w:rsidRDefault="001054C3" w:rsidP="00234FBE">
            <w:pPr>
              <w:keepNext/>
              <w:spacing w:before="120" w:after="120" w:line="240" w:lineRule="atLeast"/>
              <w:jc w:val="center"/>
              <w:rPr>
                <w:szCs w:val="20"/>
              </w:rPr>
            </w:pPr>
            <w:r>
              <w:rPr>
                <w:noProof/>
                <w:szCs w:val="20"/>
              </w:rPr>
              <w:drawing>
                <wp:inline distT="0" distB="0" distL="0" distR="0" wp14:anchorId="2F6710B2" wp14:editId="1FF84FC3">
                  <wp:extent cx="8297545" cy="4603115"/>
                  <wp:effectExtent l="0" t="0" r="8255" b="6985"/>
                  <wp:docPr id="23" name="Picture 23" descr="Figure 8.3. This figure is a flow diagram of the integration of water planning and river and wetland health processes. It includes environmental water and waterway outputs and programs, inputs from Traditional Owner collaboration, stakeholder consultation and science, monitoring of specific interventions and watering events and the monitoring, evaluation and reporting of agree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8.3. This figure is a flow diagram of the integration of water planning and river and wetland health processes. It includes environmental water and waterway outputs and programs, inputs from Traditional Owner collaboration, stakeholder consultation and science, monitoring of specific interventions and watering events and the monitoring, evaluation and reporting of agreed outcom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97545" cy="4603115"/>
                          </a:xfrm>
                          <a:prstGeom prst="rect">
                            <a:avLst/>
                          </a:prstGeom>
                          <a:noFill/>
                        </pic:spPr>
                      </pic:pic>
                    </a:graphicData>
                  </a:graphic>
                </wp:inline>
              </w:drawing>
            </w:r>
          </w:p>
        </w:tc>
      </w:tr>
      <w:tr w:rsidR="001054C3" w:rsidRPr="00DB328F" w14:paraId="43831618" w14:textId="77777777" w:rsidTr="00234FBE">
        <w:tc>
          <w:tcPr>
            <w:tcW w:w="5000" w:type="pct"/>
            <w:tcBorders>
              <w:top w:val="single" w:sz="6" w:space="0" w:color="78A22F"/>
              <w:left w:val="nil"/>
              <w:bottom w:val="nil"/>
              <w:right w:val="nil"/>
            </w:tcBorders>
          </w:tcPr>
          <w:p w14:paraId="6CB3A9B9" w14:textId="77777777" w:rsidR="001054C3" w:rsidRPr="00DB328F" w:rsidRDefault="001054C3" w:rsidP="00234FBE">
            <w:pPr>
              <w:spacing w:before="60" w:after="60" w:line="80" w:lineRule="exact"/>
              <w:jc w:val="both"/>
              <w:rPr>
                <w:rFonts w:ascii="Arial" w:hAnsi="Arial"/>
                <w:sz w:val="14"/>
                <w:szCs w:val="20"/>
              </w:rPr>
            </w:pPr>
          </w:p>
        </w:tc>
      </w:tr>
    </w:tbl>
    <w:p w14:paraId="16F3622D" w14:textId="77777777" w:rsidR="001054C3" w:rsidRPr="00DB328F" w:rsidRDefault="001054C3" w:rsidP="00234FBE">
      <w:pPr>
        <w:spacing w:before="240" w:line="20" w:lineRule="exact"/>
        <w:jc w:val="both"/>
        <w:rPr>
          <w:sz w:val="4"/>
          <w:szCs w:val="4"/>
        </w:rPr>
      </w:pPr>
    </w:p>
    <w:p w14:paraId="120A0874" w14:textId="77777777" w:rsidR="001054C3" w:rsidRPr="00DB328F" w:rsidRDefault="001054C3" w:rsidP="00234FBE">
      <w:pPr>
        <w:spacing w:line="20" w:lineRule="exact"/>
        <w:jc w:val="both"/>
        <w:rPr>
          <w:sz w:val="4"/>
          <w:szCs w:val="4"/>
        </w:rPr>
        <w:sectPr w:rsidR="001054C3" w:rsidRPr="00DB328F" w:rsidSect="001054C3">
          <w:headerReference w:type="even" r:id="rId97"/>
          <w:headerReference w:type="default" r:id="rId98"/>
          <w:footerReference w:type="even" r:id="rId99"/>
          <w:footerReference w:type="default" r:id="rId100"/>
          <w:pgSz w:w="16840" w:h="11907" w:orient="landscape" w:code="9"/>
          <w:pgMar w:top="1814" w:right="1985" w:bottom="1304" w:left="1418" w:header="1701" w:footer="567" w:gutter="0"/>
          <w:pgNumType w:chapSep="period"/>
          <w:cols w:space="720"/>
          <w:docGrid w:linePitch="326"/>
        </w:sectPr>
      </w:pPr>
    </w:p>
    <w:p w14:paraId="25F31525"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181B3599"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97EFF75" w14:textId="1848EFD4" w:rsidR="001054C3" w:rsidRPr="00CE4C64" w:rsidRDefault="001054C3" w:rsidP="00234FBE">
            <w:pPr>
              <w:pStyle w:val="FindingTitle"/>
              <w:spacing w:before="120"/>
              <w:rPr>
                <w:noProof/>
              </w:rPr>
            </w:pPr>
            <w:r>
              <w:t xml:space="preserve">NWI </w:t>
            </w:r>
            <w:r w:rsidRPr="00D36640">
              <w:t>RE</w:t>
            </w:r>
            <w:r>
              <w:t>newal advice 8.</w:t>
            </w:r>
            <w:r>
              <w:rPr>
                <w:noProof/>
              </w:rPr>
              <w:t>2:</w:t>
            </w:r>
            <w:r w:rsidRPr="001E18DB">
              <w:rPr>
                <w:noProof/>
              </w:rPr>
              <w:t xml:space="preserve"> Integrated management</w:t>
            </w:r>
          </w:p>
        </w:tc>
      </w:tr>
      <w:tr w:rsidR="001054C3" w:rsidRPr="00750BE2" w14:paraId="53CAF86D"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6E3FF6D" w14:textId="77777777" w:rsidR="001054C3" w:rsidRDefault="001054C3" w:rsidP="00234FBE">
            <w:pPr>
              <w:pStyle w:val="Finding"/>
              <w:keepNext/>
              <w:spacing w:after="120"/>
            </w:pPr>
            <w:r>
              <w:t>The management of environmental water should be integrated with complementary waterway management at the local level by ensuring that consistent management objectives govern both the use of environmental water and complementary waterway management activities.</w:t>
            </w:r>
          </w:p>
        </w:tc>
      </w:tr>
      <w:tr w:rsidR="001054C3" w:rsidRPr="000863A5" w14:paraId="74742D60" w14:textId="77777777" w:rsidTr="00234FBE">
        <w:trPr>
          <w:cantSplit/>
        </w:trPr>
        <w:tc>
          <w:tcPr>
            <w:tcW w:w="5000" w:type="pct"/>
            <w:tcBorders>
              <w:top w:val="single" w:sz="6" w:space="0" w:color="0070C0"/>
              <w:left w:val="nil"/>
              <w:bottom w:val="nil"/>
              <w:right w:val="nil"/>
            </w:tcBorders>
            <w:tcMar>
              <w:left w:w="170" w:type="dxa"/>
              <w:right w:w="170" w:type="dxa"/>
            </w:tcMar>
          </w:tcPr>
          <w:p w14:paraId="2CA942CB" w14:textId="77777777" w:rsidR="001054C3" w:rsidRPr="00626D32" w:rsidRDefault="001054C3" w:rsidP="00234FBE">
            <w:pPr>
              <w:pStyle w:val="BoxSpaceBelow"/>
              <w:keepLines/>
            </w:pPr>
          </w:p>
        </w:tc>
      </w:tr>
    </w:tbl>
    <w:p w14:paraId="27FDAE98"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3D546821" w14:textId="77777777" w:rsidTr="00234FBE">
        <w:trPr>
          <w:tblHeader/>
        </w:trPr>
        <w:tc>
          <w:tcPr>
            <w:tcW w:w="5000" w:type="pct"/>
            <w:tcBorders>
              <w:top w:val="single" w:sz="6" w:space="0" w:color="78A22F"/>
              <w:left w:val="nil"/>
              <w:bottom w:val="nil"/>
              <w:right w:val="nil"/>
            </w:tcBorders>
            <w:shd w:val="clear" w:color="auto" w:fill="E5F1D0"/>
            <w:tcMar>
              <w:left w:w="170" w:type="dxa"/>
              <w:right w:w="170" w:type="dxa"/>
            </w:tcMar>
          </w:tcPr>
          <w:p w14:paraId="4A1FB44A" w14:textId="37BF2EAA" w:rsidR="001054C3" w:rsidRPr="008C7058" w:rsidRDefault="001054C3" w:rsidP="00234FBE">
            <w:pPr>
              <w:pStyle w:val="RecTitle"/>
              <w:spacing w:before="120"/>
              <w:rPr>
                <w:b/>
                <w:bCs/>
                <w:noProof/>
              </w:rPr>
            </w:pPr>
            <w:r>
              <w:t>Recommendation 8.</w:t>
            </w:r>
            <w:r>
              <w:rPr>
                <w:noProof/>
              </w:rPr>
              <w:t>1:</w:t>
            </w:r>
            <w:r w:rsidRPr="001E18DB">
              <w:rPr>
                <w:noProof/>
              </w:rPr>
              <w:t xml:space="preserve"> NatURAL resource management</w:t>
            </w:r>
          </w:p>
        </w:tc>
      </w:tr>
      <w:tr w:rsidR="001054C3" w:rsidRPr="00750BE2" w14:paraId="41B38FBB" w14:textId="77777777" w:rsidTr="00234FBE">
        <w:tc>
          <w:tcPr>
            <w:tcW w:w="5000" w:type="pct"/>
            <w:tcBorders>
              <w:top w:val="nil"/>
              <w:left w:val="nil"/>
              <w:bottom w:val="nil"/>
              <w:right w:val="nil"/>
            </w:tcBorders>
            <w:shd w:val="clear" w:color="auto" w:fill="E5F1D0"/>
            <w:tcMar>
              <w:left w:w="170" w:type="dxa"/>
              <w:right w:w="170" w:type="dxa"/>
            </w:tcMar>
          </w:tcPr>
          <w:p w14:paraId="6A2B8D62" w14:textId="77777777" w:rsidR="001054C3" w:rsidRPr="00F66AAA" w:rsidRDefault="001054C3" w:rsidP="00234FBE">
            <w:pPr>
              <w:pStyle w:val="Finding"/>
              <w:keepNext/>
              <w:spacing w:after="120"/>
            </w:pPr>
            <w:r>
              <w:t>N</w:t>
            </w:r>
            <w:r w:rsidRPr="00C40AAA">
              <w:t xml:space="preserve">atural resource management </w:t>
            </w:r>
            <w:r>
              <w:t>(</w:t>
            </w:r>
            <w:r w:rsidRPr="00244D89">
              <w:t>NRM</w:t>
            </w:r>
            <w:r>
              <w:t>)</w:t>
            </w:r>
            <w:r w:rsidRPr="00244D89">
              <w:t xml:space="preserve"> </w:t>
            </w:r>
            <w:r>
              <w:t xml:space="preserve">programs should give </w:t>
            </w:r>
            <w:r w:rsidRPr="00244D89">
              <w:t>priorit</w:t>
            </w:r>
            <w:r>
              <w:t>y to</w:t>
            </w:r>
            <w:r w:rsidRPr="00244D89">
              <w:t xml:space="preserve"> the </w:t>
            </w:r>
            <w:r>
              <w:t xml:space="preserve">key environmental </w:t>
            </w:r>
            <w:r w:rsidRPr="00244D89">
              <w:t>assets</w:t>
            </w:r>
            <w:r>
              <w:t xml:space="preserve"> identified in water planning processes,</w:t>
            </w:r>
            <w:r w:rsidRPr="00244D89">
              <w:t xml:space="preserve"> provid</w:t>
            </w:r>
            <w:r>
              <w:t>e</w:t>
            </w:r>
            <w:r w:rsidRPr="00244D89">
              <w:t xml:space="preserve"> funding and undertak</w:t>
            </w:r>
            <w:r>
              <w:t>e</w:t>
            </w:r>
            <w:r w:rsidRPr="00244D89">
              <w:t xml:space="preserve"> the </w:t>
            </w:r>
            <w:r>
              <w:t xml:space="preserve">required </w:t>
            </w:r>
            <w:r w:rsidRPr="00F66AAA">
              <w:t>works to protect those assets.</w:t>
            </w:r>
          </w:p>
          <w:p w14:paraId="23DBC8D0" w14:textId="77777777" w:rsidR="001054C3" w:rsidRDefault="001054C3" w:rsidP="00234FBE">
            <w:pPr>
              <w:pStyle w:val="Finding"/>
              <w:keepNext/>
              <w:spacing w:after="120"/>
            </w:pPr>
            <w:r w:rsidRPr="00C57DD4">
              <w:t xml:space="preserve">During periods of water </w:t>
            </w:r>
            <w:r w:rsidRPr="008F07E7">
              <w:t>scarcity</w:t>
            </w:r>
            <w:r>
              <w:t>,</w:t>
            </w:r>
            <w:r w:rsidRPr="00C57DD4">
              <w:t xml:space="preserve"> </w:t>
            </w:r>
            <w:r>
              <w:t>NRM</w:t>
            </w:r>
            <w:r w:rsidRPr="00C57DD4">
              <w:t xml:space="preserve"> </w:t>
            </w:r>
            <w:r>
              <w:t xml:space="preserve">should </w:t>
            </w:r>
            <w:r w:rsidRPr="00C57DD4">
              <w:t>focus on the protection of reserves</w:t>
            </w:r>
            <w:r>
              <w:t xml:space="preserve"> and</w:t>
            </w:r>
            <w:r w:rsidRPr="00C57DD4">
              <w:t xml:space="preserve"> refuges and making sure </w:t>
            </w:r>
            <w:r>
              <w:t xml:space="preserve">that </w:t>
            </w:r>
            <w:r w:rsidRPr="00C57DD4">
              <w:t>the</w:t>
            </w:r>
            <w:r>
              <w:t>ir</w:t>
            </w:r>
            <w:r w:rsidRPr="00C57DD4">
              <w:t xml:space="preserve"> regenerative capacity is protected.</w:t>
            </w:r>
          </w:p>
        </w:tc>
      </w:tr>
      <w:tr w:rsidR="001054C3" w:rsidRPr="000863A5" w14:paraId="60D9F10A" w14:textId="77777777" w:rsidTr="00234FBE">
        <w:tc>
          <w:tcPr>
            <w:tcW w:w="5000" w:type="pct"/>
            <w:tcBorders>
              <w:top w:val="single" w:sz="6" w:space="0" w:color="78A22F"/>
              <w:left w:val="nil"/>
              <w:bottom w:val="nil"/>
              <w:right w:val="nil"/>
            </w:tcBorders>
            <w:tcMar>
              <w:left w:w="170" w:type="dxa"/>
              <w:right w:w="170" w:type="dxa"/>
            </w:tcMar>
          </w:tcPr>
          <w:p w14:paraId="209DCD4E" w14:textId="77777777" w:rsidR="001054C3" w:rsidRPr="00626D32" w:rsidRDefault="001054C3" w:rsidP="00234FBE">
            <w:pPr>
              <w:pStyle w:val="BoxSpaceBelow"/>
              <w:keepLines/>
            </w:pPr>
          </w:p>
        </w:tc>
      </w:tr>
    </w:tbl>
    <w:p w14:paraId="24010652" w14:textId="77777777" w:rsidR="001054C3" w:rsidRDefault="001054C3" w:rsidP="00234FBE">
      <w:pPr>
        <w:pStyle w:val="Heading3"/>
      </w:pPr>
      <w:r>
        <w:t>Clearly identified i</w:t>
      </w:r>
      <w:r w:rsidRPr="00363390">
        <w:t>nstitutional responsibility for waterway management</w:t>
      </w:r>
    </w:p>
    <w:p w14:paraId="565C2AAA" w14:textId="77777777" w:rsidR="001054C3" w:rsidRDefault="001054C3" w:rsidP="00234FBE">
      <w:pPr>
        <w:pStyle w:val="BodyText"/>
      </w:pPr>
      <w:r>
        <w:t xml:space="preserve">Many actors can affect the environmental condition of a waterway or wetland. Effective management therefore requires the coordination of all waterway activities and will involve a range of people and organisations. Cooperative relationships </w:t>
      </w:r>
      <w:r w:rsidRPr="00EF273F">
        <w:t xml:space="preserve">between local communities, </w:t>
      </w:r>
      <w:r>
        <w:t>Traditional Owners, landowners, land managers, catchment groups</w:t>
      </w:r>
      <w:r w:rsidRPr="00EF273F">
        <w:t xml:space="preserve">, </w:t>
      </w:r>
      <w:r>
        <w:t xml:space="preserve">river operators, State and Territory Government agencies, </w:t>
      </w:r>
      <w:r w:rsidRPr="00EF273F">
        <w:t>environmental water holders and scientists</w:t>
      </w:r>
      <w:r>
        <w:t xml:space="preserve"> need to be established and maintained.</w:t>
      </w:r>
    </w:p>
    <w:p w14:paraId="28DDA269" w14:textId="77777777" w:rsidR="001054C3" w:rsidRDefault="001054C3" w:rsidP="00234FBE">
      <w:pPr>
        <w:pStyle w:val="BodyText"/>
      </w:pPr>
      <w:r>
        <w:t>But a</w:t>
      </w:r>
      <w:r w:rsidRPr="002D3CA3">
        <w:t xml:space="preserve"> shared responsibility </w:t>
      </w:r>
      <w:r>
        <w:t xml:space="preserve">model </w:t>
      </w:r>
      <w:r w:rsidRPr="002D3CA3">
        <w:t xml:space="preserve">can lack clarity over who is responsible </w:t>
      </w:r>
      <w:r w:rsidRPr="00880100">
        <w:t xml:space="preserve">when agreed outcomes cannot be met, </w:t>
      </w:r>
      <w:r>
        <w:t>such as</w:t>
      </w:r>
      <w:r w:rsidRPr="00880100">
        <w:t xml:space="preserve"> during a prolonged period of water scarcity</w:t>
      </w:r>
      <w:r>
        <w:t xml:space="preserve">. Although no single agency can control all the factors affecting the condition of a waterway, to achieve agreed environmental outcomes, all jurisdictions should have in place an institutional oversight responsibility for </w:t>
      </w:r>
      <w:r w:rsidRPr="00904FD5">
        <w:t>wetland and waterway management</w:t>
      </w:r>
      <w:r>
        <w:t xml:space="preserve"> that provides an interface between the management of waterways and environmental water</w:t>
      </w:r>
      <w:r w:rsidRPr="00904FD5">
        <w:t>.</w:t>
      </w:r>
      <w:r>
        <w:t xml:space="preserve"> T</w:t>
      </w:r>
      <w:r w:rsidRPr="0038370C">
        <w:t>he type of agency responsible</w:t>
      </w:r>
      <w:r>
        <w:t xml:space="preserve"> for waterway management</w:t>
      </w:r>
      <w:r w:rsidRPr="0038370C">
        <w:t xml:space="preserve"> may vary between jurisdictions and waterways but </w:t>
      </w:r>
      <w:r>
        <w:t xml:space="preserve">the </w:t>
      </w:r>
      <w:r w:rsidRPr="0038370C">
        <w:t xml:space="preserve">broad roles </w:t>
      </w:r>
      <w:r>
        <w:t xml:space="preserve">and functions </w:t>
      </w:r>
      <w:r w:rsidRPr="0038370C">
        <w:t xml:space="preserve">of a waterway manager </w:t>
      </w:r>
      <w:r>
        <w:t>should include those listed below (NWI renewal advice 8.3).</w:t>
      </w:r>
    </w:p>
    <w:p w14:paraId="59AC6A23" w14:textId="77777777" w:rsidR="001054C3" w:rsidRPr="00BA2A8C" w:rsidRDefault="001054C3" w:rsidP="00234FBE">
      <w:pPr>
        <w:pStyle w:val="BoxSpaceAbove"/>
        <w:rPr>
          <w:lang w:val="fr-FR"/>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6C754242"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670B24E" w14:textId="3B0E23FF" w:rsidR="001054C3" w:rsidRPr="00CE4C64" w:rsidRDefault="001054C3" w:rsidP="00234FBE">
            <w:pPr>
              <w:pStyle w:val="FindingTitle"/>
              <w:spacing w:before="120"/>
              <w:rPr>
                <w:noProof/>
              </w:rPr>
            </w:pPr>
            <w:r>
              <w:t xml:space="preserve">NWI </w:t>
            </w:r>
            <w:r w:rsidRPr="00D36640">
              <w:t>RE</w:t>
            </w:r>
            <w:r>
              <w:t>newal advice 8.</w:t>
            </w:r>
            <w:r>
              <w:rPr>
                <w:noProof/>
              </w:rPr>
              <w:t>3:</w:t>
            </w:r>
            <w:r w:rsidRPr="001E18DB">
              <w:rPr>
                <w:noProof/>
              </w:rPr>
              <w:t xml:space="preserve"> Waterway oversight</w:t>
            </w:r>
          </w:p>
        </w:tc>
      </w:tr>
      <w:tr w:rsidR="001054C3" w:rsidRPr="00750BE2" w14:paraId="709C2797"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97BDBB4" w14:textId="77777777" w:rsidR="001054C3" w:rsidRDefault="001054C3" w:rsidP="00234FBE">
            <w:pPr>
              <w:pStyle w:val="Finding"/>
              <w:keepNext/>
            </w:pPr>
            <w:r>
              <w:t xml:space="preserve">Where not in place, State and Territory Governments </w:t>
            </w:r>
            <w:r w:rsidRPr="00551091">
              <w:t xml:space="preserve">should </w:t>
            </w:r>
            <w:r>
              <w:t xml:space="preserve">establish a formal </w:t>
            </w:r>
            <w:r w:rsidRPr="00551091">
              <w:t>institutional oversight responsibility for wetland and waterway management that provides an interface between the management of waterways and environmental water.</w:t>
            </w:r>
          </w:p>
          <w:p w14:paraId="4FA880CD" w14:textId="77777777" w:rsidR="001054C3" w:rsidRDefault="001054C3" w:rsidP="00234FBE">
            <w:pPr>
              <w:pStyle w:val="Finding"/>
            </w:pPr>
            <w:bookmarkStart w:id="119" w:name="_Hlk57637295"/>
            <w:r>
              <w:t>The roles and functions of a waterway manager should include:</w:t>
            </w:r>
          </w:p>
          <w:p w14:paraId="0E620E58" w14:textId="77777777" w:rsidR="001054C3" w:rsidRPr="0024188C" w:rsidRDefault="001054C3" w:rsidP="00234FBE">
            <w:pPr>
              <w:pStyle w:val="FindingBullet"/>
            </w:pPr>
            <w:r w:rsidRPr="0024188C">
              <w:t>undertaking collaborative planning processes that result in clearly articulated environmental objectives, targets and priorities</w:t>
            </w:r>
          </w:p>
          <w:p w14:paraId="62CCFF96" w14:textId="77777777" w:rsidR="001054C3" w:rsidRPr="0024188C" w:rsidRDefault="001054C3" w:rsidP="00234FBE">
            <w:pPr>
              <w:pStyle w:val="FindingBullet"/>
            </w:pPr>
            <w:r w:rsidRPr="0024188C">
              <w:t>ongoing collaboration with Traditional Owners</w:t>
            </w:r>
          </w:p>
          <w:p w14:paraId="6D76117B" w14:textId="77777777" w:rsidR="001054C3" w:rsidRPr="0024188C" w:rsidRDefault="001054C3" w:rsidP="00234FBE">
            <w:pPr>
              <w:pStyle w:val="FindingBullet"/>
            </w:pPr>
            <w:r w:rsidRPr="0024188C">
              <w:t>ongoing environmental risk assessment</w:t>
            </w:r>
          </w:p>
          <w:p w14:paraId="65897C6A" w14:textId="77777777" w:rsidR="001054C3" w:rsidRPr="0024188C" w:rsidRDefault="001054C3" w:rsidP="00234FBE">
            <w:pPr>
              <w:pStyle w:val="FindingBullet"/>
            </w:pPr>
            <w:r w:rsidRPr="0024188C">
              <w:t>providing input to water planning processes on environmental priorities and impacts</w:t>
            </w:r>
          </w:p>
          <w:p w14:paraId="6676DB87" w14:textId="77777777" w:rsidR="001054C3" w:rsidRPr="0024188C" w:rsidRDefault="001054C3" w:rsidP="00234FBE">
            <w:pPr>
              <w:pStyle w:val="FindingBullet"/>
            </w:pPr>
            <w:r w:rsidRPr="0024188C">
              <w:t xml:space="preserve">oversight of </w:t>
            </w:r>
            <w:r>
              <w:t>natural resource management</w:t>
            </w:r>
            <w:r w:rsidRPr="0024188C">
              <w:t xml:space="preserve"> actions to achieve agreed objectives</w:t>
            </w:r>
          </w:p>
          <w:p w14:paraId="78D0AEE5" w14:textId="77777777" w:rsidR="001054C3" w:rsidRPr="0024188C" w:rsidRDefault="001054C3" w:rsidP="00234FBE">
            <w:pPr>
              <w:pStyle w:val="FindingBullet"/>
            </w:pPr>
            <w:r w:rsidRPr="0024188C">
              <w:t>working with the system manager to achieve agreed environmental outcomes</w:t>
            </w:r>
          </w:p>
          <w:p w14:paraId="78D273C2" w14:textId="77777777" w:rsidR="001054C3" w:rsidRPr="0024188C" w:rsidRDefault="001054C3" w:rsidP="00234FBE">
            <w:pPr>
              <w:pStyle w:val="FindingBullet"/>
            </w:pPr>
            <w:r w:rsidRPr="0024188C">
              <w:t>facilitating on</w:t>
            </w:r>
            <w:r>
              <w:noBreakHyphen/>
            </w:r>
            <w:r w:rsidRPr="0024188C">
              <w:t>ground delivery of environmental water management</w:t>
            </w:r>
          </w:p>
          <w:p w14:paraId="3CAFE152" w14:textId="77777777" w:rsidR="001054C3" w:rsidRPr="0024188C" w:rsidRDefault="001054C3" w:rsidP="00234FBE">
            <w:pPr>
              <w:pStyle w:val="FindingBullet"/>
            </w:pPr>
            <w:r w:rsidRPr="0024188C">
              <w:t>monitoring and reporting on environmental outcomes and risk management</w:t>
            </w:r>
          </w:p>
          <w:p w14:paraId="4263ECC4" w14:textId="77777777" w:rsidR="001054C3" w:rsidRPr="0024188C" w:rsidRDefault="001054C3" w:rsidP="00234FBE">
            <w:pPr>
              <w:pStyle w:val="FindingBullet"/>
            </w:pPr>
            <w:r w:rsidRPr="0024188C">
              <w:t>evaluation where environmental outcomes were not achieved</w:t>
            </w:r>
          </w:p>
          <w:p w14:paraId="0E7EFD36" w14:textId="77777777" w:rsidR="001054C3" w:rsidRPr="0024188C" w:rsidRDefault="001054C3" w:rsidP="00234FBE">
            <w:pPr>
              <w:pStyle w:val="FindingBullet"/>
            </w:pPr>
            <w:r w:rsidRPr="0024188C">
              <w:t>providing opportunities for community participation, to facilitate change and awareness of waterway issues</w:t>
            </w:r>
          </w:p>
          <w:p w14:paraId="38C4CA92" w14:textId="77777777" w:rsidR="001054C3" w:rsidRDefault="001054C3" w:rsidP="00234FBE">
            <w:pPr>
              <w:pStyle w:val="FindingBullet"/>
              <w:spacing w:after="120"/>
            </w:pPr>
            <w:r w:rsidRPr="0024188C">
              <w:t>communicating policy changes to stakeholders.</w:t>
            </w:r>
            <w:bookmarkEnd w:id="119"/>
          </w:p>
        </w:tc>
      </w:tr>
      <w:tr w:rsidR="001054C3" w:rsidRPr="000863A5" w14:paraId="0BED7CFA" w14:textId="77777777" w:rsidTr="00234FBE">
        <w:trPr>
          <w:cantSplit/>
        </w:trPr>
        <w:tc>
          <w:tcPr>
            <w:tcW w:w="5000" w:type="pct"/>
            <w:tcBorders>
              <w:top w:val="single" w:sz="6" w:space="0" w:color="0070C0"/>
              <w:left w:val="nil"/>
              <w:bottom w:val="nil"/>
              <w:right w:val="nil"/>
            </w:tcBorders>
            <w:tcMar>
              <w:left w:w="170" w:type="dxa"/>
              <w:right w:w="170" w:type="dxa"/>
            </w:tcMar>
          </w:tcPr>
          <w:p w14:paraId="31A7C2EB" w14:textId="77777777" w:rsidR="001054C3" w:rsidRPr="00626D32" w:rsidRDefault="001054C3" w:rsidP="00234FBE">
            <w:pPr>
              <w:pStyle w:val="BoxSpaceBelow"/>
              <w:keepLines/>
            </w:pPr>
          </w:p>
        </w:tc>
      </w:tr>
    </w:tbl>
    <w:p w14:paraId="30E040DD" w14:textId="77777777" w:rsidR="001054C3" w:rsidRDefault="001054C3" w:rsidP="00234FBE">
      <w:pPr>
        <w:pStyle w:val="Heading3"/>
      </w:pPr>
      <w:r>
        <w:t>Processes to adapt environmental objectives</w:t>
      </w:r>
      <w:r w:rsidRPr="00200BA7">
        <w:t>, when necessary, in a changing climate</w:t>
      </w:r>
    </w:p>
    <w:p w14:paraId="2625210C" w14:textId="77777777" w:rsidR="001054C3" w:rsidRDefault="001054C3" w:rsidP="00234FBE">
      <w:pPr>
        <w:pStyle w:val="BodyText"/>
      </w:pPr>
      <w:r>
        <w:t>Reductions in water availability and reliability with expected climate change are likely to result in many of our waterways and wetlands changing character over the long</w:t>
      </w:r>
      <w:r>
        <w:noBreakHyphen/>
        <w:t xml:space="preserve">term. </w:t>
      </w:r>
      <w:r w:rsidRPr="00A72FE3">
        <w:t>Uncertainties associated with climate change compel the need for flexible, adaptable and risk</w:t>
      </w:r>
      <w:r>
        <w:noBreakHyphen/>
      </w:r>
      <w:r w:rsidRPr="00A72FE3">
        <w:t>based environ</w:t>
      </w:r>
      <w:r>
        <w:t>mental planning and management.</w:t>
      </w:r>
    </w:p>
    <w:p w14:paraId="79719D20" w14:textId="77777777" w:rsidR="001054C3" w:rsidRDefault="001054C3" w:rsidP="00234FBE">
      <w:pPr>
        <w:pStyle w:val="BodyText"/>
      </w:pPr>
      <w:r w:rsidRPr="00A72FE3">
        <w:t>In some systems, climate change may make the realisation of agreed environmental outcomes unachievable based on existing water provisions. The process of resetting the balance, outlined in</w:t>
      </w:r>
      <w:r>
        <w:t xml:space="preserve"> chapter 6 and SP A </w:t>
      </w:r>
      <w:r w:rsidRPr="006A3437">
        <w:rPr>
          <w:i/>
          <w:iCs/>
        </w:rPr>
        <w:t>Entitlements</w:t>
      </w:r>
      <w:r>
        <w:rPr>
          <w:i/>
          <w:iCs/>
        </w:rPr>
        <w:t xml:space="preserve"> and planning</w:t>
      </w:r>
      <w:r>
        <w:t>,</w:t>
      </w:r>
      <w:r w:rsidRPr="00A72FE3">
        <w:t xml:space="preserve"> will review what may be possible in some systems.</w:t>
      </w:r>
      <w:r>
        <w:t xml:space="preserve"> However, in many water systems, the scale of the predicted climate shifts mean that some environmental objectives are unlikely to be met over the longer term, even if environmental water provisions were to increase relative to consumptive use. To manage risk in a changing climate, environmental managers must establish clear processes for </w:t>
      </w:r>
      <w:r w:rsidRPr="00527AEA">
        <w:t xml:space="preserve">reviewing their progress </w:t>
      </w:r>
      <w:r>
        <w:t xml:space="preserve">on outcomes </w:t>
      </w:r>
      <w:r w:rsidRPr="00527AEA">
        <w:t>and determining if and when management objectives</w:t>
      </w:r>
      <w:r>
        <w:t xml:space="preserve"> need to be revisited</w:t>
      </w:r>
      <w:r w:rsidRPr="00527AEA">
        <w:t>.</w:t>
      </w:r>
    </w:p>
    <w:p w14:paraId="16A5D7AD"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58CBC30B"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34FD5D8" w14:textId="67B6F712" w:rsidR="001054C3" w:rsidRPr="007364FB" w:rsidRDefault="001054C3" w:rsidP="00234FBE">
            <w:pPr>
              <w:pStyle w:val="FindingTitle"/>
              <w:spacing w:before="120"/>
              <w:rPr>
                <w:b/>
                <w:bCs/>
                <w:noProof/>
              </w:rPr>
            </w:pPr>
            <w:r>
              <w:t xml:space="preserve">NWI </w:t>
            </w:r>
            <w:r w:rsidRPr="00D36640">
              <w:t>RE</w:t>
            </w:r>
            <w:r>
              <w:t>NEWAL advice 8.</w:t>
            </w:r>
            <w:r>
              <w:rPr>
                <w:noProof/>
              </w:rPr>
              <w:t>4:</w:t>
            </w:r>
            <w:r w:rsidRPr="001E18DB">
              <w:rPr>
                <w:noProof/>
              </w:rPr>
              <w:t xml:space="preserve"> REVIEW processes for outcomes</w:t>
            </w:r>
          </w:p>
        </w:tc>
      </w:tr>
      <w:tr w:rsidR="001054C3" w:rsidRPr="00750BE2" w14:paraId="3A04A400"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C065557" w14:textId="77777777" w:rsidR="001054C3" w:rsidRDefault="001054C3" w:rsidP="00234FBE">
            <w:pPr>
              <w:pStyle w:val="Finding"/>
              <w:keepNext/>
              <w:spacing w:after="120"/>
            </w:pPr>
            <w:r>
              <w:t>Clear processes should be established for reviewing progress on environmental outcomes, understanding their feasibility given climate induced changes in water availability and other factors (such as sea level rise and increased temperatures), and determining if and when management objectives should be revisited within planning review processes.</w:t>
            </w:r>
          </w:p>
        </w:tc>
      </w:tr>
      <w:tr w:rsidR="001054C3" w:rsidRPr="000863A5" w14:paraId="2E8FD9BA" w14:textId="77777777" w:rsidTr="00234FBE">
        <w:trPr>
          <w:cantSplit/>
        </w:trPr>
        <w:tc>
          <w:tcPr>
            <w:tcW w:w="5000" w:type="pct"/>
            <w:tcBorders>
              <w:top w:val="single" w:sz="6" w:space="0" w:color="0070C0"/>
              <w:left w:val="nil"/>
              <w:bottom w:val="nil"/>
              <w:right w:val="nil"/>
            </w:tcBorders>
            <w:tcMar>
              <w:left w:w="170" w:type="dxa"/>
              <w:right w:w="170" w:type="dxa"/>
            </w:tcMar>
          </w:tcPr>
          <w:p w14:paraId="5F147315" w14:textId="77777777" w:rsidR="001054C3" w:rsidRPr="00626D32" w:rsidRDefault="001054C3" w:rsidP="00234FBE">
            <w:pPr>
              <w:pStyle w:val="BoxSpaceBelow"/>
              <w:keepLines/>
            </w:pPr>
          </w:p>
        </w:tc>
      </w:tr>
    </w:tbl>
    <w:p w14:paraId="5FA07A07" w14:textId="230E3853" w:rsidR="001054C3" w:rsidRPr="006457AD" w:rsidRDefault="001054C3" w:rsidP="00234FBE">
      <w:pPr>
        <w:pStyle w:val="Heading2"/>
      </w:pPr>
      <w:bookmarkStart w:id="120" w:name="_Toc72939516"/>
      <w:r>
        <w:t>8.</w:t>
      </w:r>
      <w:r>
        <w:rPr>
          <w:noProof/>
        </w:rPr>
        <w:t>3</w:t>
      </w:r>
      <w:r>
        <w:tab/>
        <w:t xml:space="preserve">Additional requirements in systems with </w:t>
      </w:r>
      <w:r w:rsidRPr="00990D3F">
        <w:t>held water</w:t>
      </w:r>
      <w:bookmarkEnd w:id="120"/>
    </w:p>
    <w:p w14:paraId="2A7646FF" w14:textId="77777777" w:rsidR="001054C3" w:rsidRDefault="001054C3" w:rsidP="00234FBE">
      <w:pPr>
        <w:pStyle w:val="BodyText"/>
      </w:pPr>
      <w:r>
        <w:t xml:space="preserve">In systems with held environmental water, environmental water </w:t>
      </w:r>
      <w:r w:rsidRPr="000D2248">
        <w:t>m</w:t>
      </w:r>
      <w:r>
        <w:t>ana</w:t>
      </w:r>
      <w:r w:rsidRPr="000D2248">
        <w:t xml:space="preserve">gers </w:t>
      </w:r>
      <w:r>
        <w:t>make</w:t>
      </w:r>
      <w:r w:rsidRPr="000D2248">
        <w:t xml:space="preserve"> decisions on where, how and whe</w:t>
      </w:r>
      <w:r>
        <w:t>n</w:t>
      </w:r>
      <w:r w:rsidRPr="000D2248">
        <w:t xml:space="preserve"> </w:t>
      </w:r>
      <w:r>
        <w:t xml:space="preserve">that </w:t>
      </w:r>
      <w:r w:rsidRPr="000D2248">
        <w:t>water should be used</w:t>
      </w:r>
      <w:r>
        <w:t xml:space="preserve"> and whether it should be traded or</w:t>
      </w:r>
      <w:r w:rsidRPr="000D2248">
        <w:t xml:space="preserve"> </w:t>
      </w:r>
      <w:r>
        <w:t xml:space="preserve">carried over (that is, stored for use in the following year). And, </w:t>
      </w:r>
      <w:r w:rsidRPr="000D2248">
        <w:t>in shared river systems</w:t>
      </w:r>
      <w:r>
        <w:t xml:space="preserve"> (within the MDB), decision making also involves</w:t>
      </w:r>
      <w:r w:rsidRPr="000D2248">
        <w:t xml:space="preserve"> </w:t>
      </w:r>
      <w:r>
        <w:t xml:space="preserve">how environmental water managers should undertake coordinated </w:t>
      </w:r>
      <w:r w:rsidRPr="000D2248">
        <w:t>act</w:t>
      </w:r>
      <w:r>
        <w:t>ions. The overarching objective for these environmental water holders is to make</w:t>
      </w:r>
      <w:r w:rsidRPr="00E74F36">
        <w:t xml:space="preserve"> decisions </w:t>
      </w:r>
      <w:r>
        <w:t>based on the best use of the billions of dollars of entitlements that they steward for the long</w:t>
      </w:r>
      <w:r>
        <w:noBreakHyphen/>
        <w:t>term health of the environment (figure 8.4).</w:t>
      </w:r>
    </w:p>
    <w:p w14:paraId="168E600F" w14:textId="77777777" w:rsidR="001054C3" w:rsidRDefault="001054C3" w:rsidP="00234FBE">
      <w:pPr>
        <w:pStyle w:val="Heading3"/>
      </w:pPr>
      <w:r w:rsidRPr="00355AF3">
        <w:t>Effective outcomes</w:t>
      </w:r>
      <w:r>
        <w:noBreakHyphen/>
      </w:r>
      <w:r w:rsidRPr="00355AF3">
        <w:t>based planning and priority setting processes</w:t>
      </w:r>
    </w:p>
    <w:p w14:paraId="6F07D47F" w14:textId="77777777" w:rsidR="001054C3" w:rsidRDefault="001054C3" w:rsidP="00234FBE">
      <w:pPr>
        <w:pStyle w:val="BodyText"/>
      </w:pPr>
      <w:r>
        <w:t xml:space="preserve">Successful delivery of environmental water is a complex exercise. </w:t>
      </w:r>
      <w:r w:rsidRPr="00DD177E">
        <w:t xml:space="preserve">The water needs of environmental assets vary on a yearly basis, depending on antecedent conditions, watering history, environmental requirements and risk considerations. </w:t>
      </w:r>
      <w:r w:rsidRPr="005F2C88">
        <w:t xml:space="preserve">In a dry year, </w:t>
      </w:r>
      <w:r w:rsidRPr="00DC62C3">
        <w:t xml:space="preserve">managers </w:t>
      </w:r>
      <w:r>
        <w:t xml:space="preserve">have </w:t>
      </w:r>
      <w:r w:rsidRPr="00DC62C3">
        <w:t>to set priorities for the use of limited environmental water</w:t>
      </w:r>
      <w:r>
        <w:t>. The</w:t>
      </w:r>
      <w:r w:rsidRPr="004A225E">
        <w:t xml:space="preserve"> best mix of water use, trade and carryover will be different in each catchment and vary every year</w:t>
      </w:r>
      <w:r>
        <w:t>.</w:t>
      </w:r>
    </w:p>
    <w:p w14:paraId="1A6FFD0E" w14:textId="77777777" w:rsidR="001054C3" w:rsidRDefault="001054C3" w:rsidP="00234FBE">
      <w:pPr>
        <w:pStyle w:val="BodyText"/>
        <w:keepNext/>
      </w:pPr>
      <w:r>
        <w:t>Frameworks, plans and strategies guide the management process, setting out:</w:t>
      </w:r>
    </w:p>
    <w:p w14:paraId="554BD1BC" w14:textId="77777777" w:rsidR="001054C3" w:rsidRDefault="001054C3" w:rsidP="00234FBE">
      <w:pPr>
        <w:pStyle w:val="ListBullet"/>
      </w:pPr>
      <w:r>
        <w:t>agreed ecological objectives and outcomes</w:t>
      </w:r>
    </w:p>
    <w:p w14:paraId="58B9F65B" w14:textId="77777777" w:rsidR="001054C3" w:rsidRDefault="001054C3" w:rsidP="00234FBE">
      <w:pPr>
        <w:pStyle w:val="ListBullet"/>
      </w:pPr>
      <w:r>
        <w:t>water regimes needed to achieve them under a range of climatic conditions</w:t>
      </w:r>
    </w:p>
    <w:p w14:paraId="712CF1D3" w14:textId="77777777" w:rsidR="001054C3" w:rsidRDefault="001054C3" w:rsidP="00234FBE">
      <w:pPr>
        <w:pStyle w:val="ListBullet"/>
      </w:pPr>
      <w:r>
        <w:t>principles for guiding the use of the relevant environmental entitlements to achieve them</w:t>
      </w:r>
    </w:p>
    <w:p w14:paraId="644613A7" w14:textId="77777777" w:rsidR="001054C3" w:rsidRDefault="001054C3" w:rsidP="00234FBE">
      <w:pPr>
        <w:pStyle w:val="ListBullet"/>
      </w:pPr>
      <w:r>
        <w:t>and, where compatible, any additional cultural and social benefits to be achieved.</w:t>
      </w:r>
    </w:p>
    <w:p w14:paraId="6F6CCC00" w14:textId="77777777" w:rsidR="001054C3" w:rsidRDefault="001054C3" w:rsidP="00234FBE">
      <w:pPr>
        <w:pStyle w:val="BodyText"/>
      </w:pPr>
      <w:r w:rsidRPr="00C952D1">
        <w:t xml:space="preserve">Because environmental water needs are </w:t>
      </w:r>
      <w:r>
        <w:t>in</w:t>
      </w:r>
      <w:r w:rsidRPr="00C952D1">
        <w:t xml:space="preserve">consistent across years, and rainfall and water available under entitlements </w:t>
      </w:r>
      <w:r>
        <w:t xml:space="preserve">is </w:t>
      </w:r>
      <w:r w:rsidRPr="00C952D1">
        <w:t xml:space="preserve">also highly variable, environmental watering has evolved to </w:t>
      </w:r>
      <w:r>
        <w:t xml:space="preserve">involve the strategic </w:t>
      </w:r>
      <w:r w:rsidRPr="00C952D1">
        <w:t xml:space="preserve">use </w:t>
      </w:r>
      <w:r>
        <w:t xml:space="preserve">of </w:t>
      </w:r>
      <w:r w:rsidRPr="00C952D1">
        <w:t xml:space="preserve">available allocations. </w:t>
      </w:r>
      <w:r w:rsidRPr="00FF2B38">
        <w:t xml:space="preserve">At an operational level, environmental water managers </w:t>
      </w:r>
      <w:r>
        <w:t xml:space="preserve">have to </w:t>
      </w:r>
      <w:r w:rsidRPr="00FF2B38">
        <w:t>make risk</w:t>
      </w:r>
      <w:r w:rsidRPr="00FF2B38">
        <w:noBreakHyphen/>
        <w:t>based decisions on watering environmental assets.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rsidRPr="00DA1905" w14:paraId="4D393D0C" w14:textId="77777777" w:rsidTr="00234FBE">
        <w:trPr>
          <w:tblHeader/>
        </w:trPr>
        <w:tc>
          <w:tcPr>
            <w:tcW w:w="5000" w:type="pct"/>
            <w:tcBorders>
              <w:top w:val="single" w:sz="6" w:space="0" w:color="78A22F"/>
              <w:left w:val="nil"/>
              <w:bottom w:val="nil"/>
              <w:right w:val="nil"/>
            </w:tcBorders>
            <w:shd w:val="clear" w:color="auto" w:fill="auto"/>
          </w:tcPr>
          <w:p w14:paraId="5E06FD88" w14:textId="0F4B0EA6" w:rsidR="001054C3" w:rsidRPr="00DA1905" w:rsidRDefault="001054C3" w:rsidP="00234FBE">
            <w:pPr>
              <w:pStyle w:val="FigureTitle"/>
            </w:pPr>
            <w:r w:rsidRPr="00C408A9">
              <w:rPr>
                <w:b w:val="0"/>
                <w:bCs/>
              </w:rPr>
              <w:lastRenderedPageBreak/>
              <w:t>Figure 8.</w:t>
            </w:r>
            <w:r>
              <w:rPr>
                <w:b w:val="0"/>
                <w:bCs/>
                <w:noProof/>
              </w:rPr>
              <w:t>4</w:t>
            </w:r>
            <w:r w:rsidRPr="00DA1905">
              <w:tab/>
              <w:t xml:space="preserve">The held environmental water active management </w:t>
            </w:r>
            <w:r w:rsidRPr="000A6DC5">
              <w:t>cycle</w:t>
            </w:r>
          </w:p>
        </w:tc>
      </w:tr>
      <w:tr w:rsidR="001054C3" w:rsidRPr="00DA1905" w14:paraId="4AE6B645"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DA1905" w14:paraId="02806F27" w14:textId="77777777" w:rsidTr="00234FBE">
              <w:trPr>
                <w:tblHeader/>
                <w:jc w:val="center"/>
              </w:trPr>
              <w:tc>
                <w:tcPr>
                  <w:tcW w:w="5000" w:type="pct"/>
                  <w:tcBorders>
                    <w:top w:val="nil"/>
                    <w:bottom w:val="nil"/>
                  </w:tcBorders>
                </w:tcPr>
                <w:p w14:paraId="27E7CBC1" w14:textId="50F155BB" w:rsidR="001054C3" w:rsidRPr="00DA1905" w:rsidRDefault="00251A0E" w:rsidP="00234FBE">
                  <w:pPr>
                    <w:keepNext/>
                    <w:spacing w:before="360" w:after="360" w:line="240" w:lineRule="atLeast"/>
                    <w:jc w:val="center"/>
                    <w:rPr>
                      <w:rFonts w:ascii="Arial" w:hAnsi="Arial" w:cs="Arial"/>
                      <w:sz w:val="18"/>
                      <w:szCs w:val="18"/>
                    </w:rPr>
                  </w:pPr>
                  <w:r w:rsidRPr="00251A0E">
                    <w:rPr>
                      <w:noProof/>
                    </w:rPr>
                    <w:drawing>
                      <wp:inline distT="0" distB="0" distL="0" distR="0" wp14:anchorId="37F7D9DB" wp14:editId="0E0D17C4">
                        <wp:extent cx="5331460" cy="5247005"/>
                        <wp:effectExtent l="0" t="0" r="2540" b="0"/>
                        <wp:docPr id="41" name="Picture 41" descr="Figure 8.4. This figure depicts the continuous, adaptive management cycle for the best use management of held environmental water. It includes environmental water planning, best use decision making on whether to use, trade or carryover each parcel of environmental water, delivery of environmental water and the monitoring, reporting and evaluation of environmental watering outcomes and the volume of environmental water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8.4. This figure depicts the continuous, adaptive management cycle for the best use management of held environmental water. It includes environmental water planning, best use decision making on whether to use, trade or carryover each parcel of environmental water, delivery of environmental water and the monitoring, reporting and evaluation of environmental watering outcomes and the volume of environmental water us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31460" cy="5247005"/>
                                </a:xfrm>
                                <a:prstGeom prst="rect">
                                  <a:avLst/>
                                </a:prstGeom>
                                <a:noFill/>
                                <a:ln>
                                  <a:noFill/>
                                </a:ln>
                              </pic:spPr>
                            </pic:pic>
                          </a:graphicData>
                        </a:graphic>
                      </wp:inline>
                    </w:drawing>
                  </w:r>
                </w:p>
              </w:tc>
            </w:tr>
          </w:tbl>
          <w:p w14:paraId="1434DBF3" w14:textId="77777777" w:rsidR="001054C3" w:rsidRPr="00DA1905" w:rsidRDefault="001054C3" w:rsidP="00234FBE">
            <w:pPr>
              <w:keepNext/>
              <w:spacing w:before="120" w:after="120" w:line="240" w:lineRule="atLeast"/>
              <w:jc w:val="center"/>
              <w:rPr>
                <w:szCs w:val="20"/>
              </w:rPr>
            </w:pPr>
          </w:p>
        </w:tc>
      </w:tr>
      <w:tr w:rsidR="001054C3" w:rsidRPr="00DA1905" w14:paraId="53DCADD2" w14:textId="77777777" w:rsidTr="00234FBE">
        <w:tc>
          <w:tcPr>
            <w:tcW w:w="5000" w:type="pct"/>
            <w:tcBorders>
              <w:top w:val="nil"/>
              <w:left w:val="nil"/>
              <w:bottom w:val="nil"/>
              <w:right w:val="nil"/>
            </w:tcBorders>
            <w:shd w:val="clear" w:color="auto" w:fill="auto"/>
          </w:tcPr>
          <w:p w14:paraId="0FEB605E" w14:textId="3F3F3510" w:rsidR="001054C3" w:rsidRPr="00DA1905" w:rsidRDefault="001054C3" w:rsidP="00234FBE">
            <w:pPr>
              <w:keepLines/>
              <w:spacing w:before="80" w:after="80" w:line="220" w:lineRule="exact"/>
              <w:jc w:val="both"/>
              <w:rPr>
                <w:rFonts w:ascii="Arial" w:hAnsi="Arial"/>
                <w:sz w:val="18"/>
                <w:szCs w:val="20"/>
              </w:rPr>
            </w:pPr>
            <w:r w:rsidRPr="00DA1905">
              <w:rPr>
                <w:rFonts w:ascii="Arial" w:hAnsi="Arial"/>
                <w:i/>
                <w:sz w:val="18"/>
                <w:szCs w:val="20"/>
              </w:rPr>
              <w:t>Sources</w:t>
            </w:r>
            <w:r w:rsidRPr="00DA1905">
              <w:rPr>
                <w:rFonts w:ascii="Arial" w:hAnsi="Arial"/>
                <w:sz w:val="18"/>
                <w:szCs w:val="20"/>
              </w:rPr>
              <w:t xml:space="preserve">: </w:t>
            </w:r>
            <w:r>
              <w:rPr>
                <w:rFonts w:ascii="Arial" w:hAnsi="Arial"/>
                <w:sz w:val="18"/>
                <w:szCs w:val="20"/>
              </w:rPr>
              <w:t>A</w:t>
            </w:r>
            <w:r w:rsidRPr="00DA1905">
              <w:rPr>
                <w:rFonts w:ascii="Arial" w:hAnsi="Arial"/>
                <w:sz w:val="18"/>
                <w:szCs w:val="20"/>
              </w:rPr>
              <w:t xml:space="preserve">dapted from CEWO </w:t>
            </w:r>
            <w:r w:rsidRPr="005408EF">
              <w:rPr>
                <w:rFonts w:ascii="Arial" w:hAnsi="Arial" w:cs="Arial"/>
                <w:sz w:val="18"/>
              </w:rPr>
              <w:t>(2020c)</w:t>
            </w:r>
            <w:r w:rsidRPr="00DA1905">
              <w:rPr>
                <w:rFonts w:ascii="Arial" w:hAnsi="Arial"/>
                <w:sz w:val="18"/>
                <w:szCs w:val="20"/>
              </w:rPr>
              <w:t xml:space="preserve">; VEWH </w:t>
            </w:r>
            <w:r w:rsidRPr="00DA1905">
              <w:rPr>
                <w:rFonts w:ascii="Arial" w:hAnsi="Arial" w:cs="Arial"/>
                <w:sz w:val="18"/>
                <w:szCs w:val="20"/>
              </w:rPr>
              <w:t>(2015)</w:t>
            </w:r>
            <w:r w:rsidRPr="00DA1905">
              <w:rPr>
                <w:rFonts w:ascii="Arial" w:hAnsi="Arial"/>
                <w:sz w:val="18"/>
                <w:szCs w:val="20"/>
              </w:rPr>
              <w:t>.</w:t>
            </w:r>
          </w:p>
        </w:tc>
      </w:tr>
      <w:tr w:rsidR="001054C3" w:rsidRPr="00DA1905" w14:paraId="65180560" w14:textId="77777777" w:rsidTr="00234FBE">
        <w:tc>
          <w:tcPr>
            <w:tcW w:w="5000" w:type="pct"/>
            <w:tcBorders>
              <w:top w:val="single" w:sz="6" w:space="0" w:color="78A22F"/>
              <w:left w:val="nil"/>
              <w:bottom w:val="nil"/>
              <w:right w:val="nil"/>
            </w:tcBorders>
          </w:tcPr>
          <w:p w14:paraId="5405298E" w14:textId="77777777" w:rsidR="001054C3" w:rsidRPr="00DA1905" w:rsidRDefault="001054C3" w:rsidP="00234FBE">
            <w:pPr>
              <w:spacing w:before="60" w:after="60" w:line="80" w:lineRule="exact"/>
              <w:jc w:val="both"/>
              <w:rPr>
                <w:rFonts w:ascii="Arial" w:hAnsi="Arial"/>
                <w:sz w:val="14"/>
                <w:szCs w:val="20"/>
              </w:rPr>
            </w:pPr>
          </w:p>
        </w:tc>
      </w:tr>
    </w:tbl>
    <w:p w14:paraId="65931714" w14:textId="77777777" w:rsidR="001054C3" w:rsidRDefault="001054C3" w:rsidP="00234FBE">
      <w:pPr>
        <w:pStyle w:val="BodyText"/>
        <w:spacing w:before="120"/>
      </w:pPr>
      <w:r>
        <w:t>During periods of water scarcity (in particular), t</w:t>
      </w:r>
      <w:r w:rsidRPr="00FF2B38">
        <w:t>his is likely to involve difficult trade</w:t>
      </w:r>
      <w:r w:rsidRPr="00FF2B38">
        <w:noBreakHyphen/>
        <w:t>offs between different:</w:t>
      </w:r>
    </w:p>
    <w:p w14:paraId="56E946FC" w14:textId="77777777" w:rsidR="001054C3" w:rsidRDefault="001054C3" w:rsidP="00234FBE">
      <w:pPr>
        <w:pStyle w:val="ListBullet"/>
        <w:spacing w:line="296" w:lineRule="atLeast"/>
      </w:pPr>
      <w:r w:rsidRPr="00FF2B38">
        <w:t>regions (deciding to commit water to a river or wetland in one region over a river or wetland in another region)</w:t>
      </w:r>
    </w:p>
    <w:p w14:paraId="4E5520E4" w14:textId="77777777" w:rsidR="001054C3" w:rsidRDefault="001054C3" w:rsidP="00234FBE">
      <w:pPr>
        <w:pStyle w:val="ListBullet"/>
        <w:spacing w:line="296" w:lineRule="atLeast"/>
      </w:pPr>
      <w:r w:rsidRPr="00FF2B38">
        <w:t>river reaches or wetlands in one river system (deciding to commit water to one river reach or wetland over another in the same system)</w:t>
      </w:r>
    </w:p>
    <w:p w14:paraId="32DBA185" w14:textId="34EF24E4" w:rsidR="001054C3" w:rsidRDefault="001054C3" w:rsidP="00234FBE">
      <w:pPr>
        <w:pStyle w:val="ListBullet"/>
        <w:spacing w:line="296" w:lineRule="atLeast"/>
      </w:pPr>
      <w:r w:rsidRPr="00FF2B38">
        <w:t>environmental flow</w:t>
      </w:r>
      <w:r>
        <w:t xml:space="preserve"> elements </w:t>
      </w:r>
      <w:r w:rsidRPr="00FF2B38">
        <w:t>in a particular river or wetland</w:t>
      </w:r>
      <w:r>
        <w:t xml:space="preserve">, for example, the creation of small summer flushes for water quality versus the maintenance of baseflows </w:t>
      </w:r>
      <w:r w:rsidRPr="00305F06">
        <w:rPr>
          <w:szCs w:val="24"/>
        </w:rPr>
        <w:t>(VEWH 2015, p. 3)</w:t>
      </w:r>
      <w:r w:rsidRPr="00FF2B38">
        <w:t>.</w:t>
      </w:r>
    </w:p>
    <w:p w14:paraId="2ED04B3A" w14:textId="77777777" w:rsidR="001054C3" w:rsidRDefault="001054C3" w:rsidP="00234FBE">
      <w:pPr>
        <w:pStyle w:val="BodyText"/>
      </w:pPr>
      <w:r>
        <w:lastRenderedPageBreak/>
        <w:t>These trade</w:t>
      </w:r>
      <w:r>
        <w:noBreakHyphen/>
        <w:t>offs establish priorities within agreed long</w:t>
      </w:r>
      <w:r>
        <w:noBreakHyphen/>
        <w:t xml:space="preserve">term water objectives and outcomes, and recognise that the role of held environmental water is to </w:t>
      </w:r>
      <w:r w:rsidRPr="0035157D">
        <w:t xml:space="preserve">protect key environmental assets, not all </w:t>
      </w:r>
      <w:r>
        <w:t>water</w:t>
      </w:r>
      <w:r>
        <w:noBreakHyphen/>
        <w:t xml:space="preserve">dependent ecosystems in </w:t>
      </w:r>
      <w:r w:rsidRPr="0035157D">
        <w:t>general</w:t>
      </w:r>
      <w:r>
        <w:t>. P</w:t>
      </w:r>
      <w:r w:rsidRPr="0035157D">
        <w:t xml:space="preserve">rioritisation </w:t>
      </w:r>
      <w:r>
        <w:t>criteria are fundamental to achieving the best environmental outcomes. They should be embedded in the NWI to provide validity to current best practice and transparency to the community and other entitlement holders. Suggested criteria are presented in NWI renewal advice 8.5.</w:t>
      </w:r>
    </w:p>
    <w:p w14:paraId="07E2B6BB" w14:textId="3E9934B3" w:rsidR="001054C3" w:rsidRDefault="001054C3" w:rsidP="00234FBE">
      <w:pPr>
        <w:pStyle w:val="BodyText"/>
      </w:pPr>
      <w:r>
        <w:t>In order to achieve the best use of held environmental water it is also important (given Australia’s increasingly variable climate) that p</w:t>
      </w:r>
      <w:r w:rsidRPr="005F2C88">
        <w:t xml:space="preserve">rioritisation criteria are used </w:t>
      </w:r>
      <w:r>
        <w:t xml:space="preserve">with </w:t>
      </w:r>
      <w:r w:rsidRPr="005F2C88">
        <w:t xml:space="preserve">objectives </w:t>
      </w:r>
      <w:r>
        <w:t>adapted to prevailing seasonal conditions</w:t>
      </w:r>
      <w:r w:rsidRPr="0077439A">
        <w:t>.</w:t>
      </w:r>
      <w:r>
        <w:t xml:space="preserve"> </w:t>
      </w:r>
      <w:r w:rsidRPr="001506CD">
        <w:t xml:space="preserve">For example, in drought conditions, the general objective </w:t>
      </w:r>
      <w:r>
        <w:t>should be</w:t>
      </w:r>
      <w:r w:rsidRPr="001506CD">
        <w:t xml:space="preserve"> to protect at risk environmental values and avoid critical loss</w:t>
      </w:r>
      <w:r>
        <w:t xml:space="preserve">. </w:t>
      </w:r>
      <w:r w:rsidRPr="00F02C18">
        <w:t xml:space="preserve">Objectives for seasonal environmental watering under different climate scenarios should be embedded in a </w:t>
      </w:r>
      <w:r>
        <w:t>re</w:t>
      </w:r>
      <w:r w:rsidRPr="00F02C18">
        <w:t>new</w:t>
      </w:r>
      <w:r>
        <w:t>ed</w:t>
      </w:r>
      <w:r w:rsidRPr="00F02C18">
        <w:t xml:space="preserve"> NWI</w:t>
      </w:r>
      <w:r>
        <w:t xml:space="preserve"> (NWI </w:t>
      </w:r>
      <w:r w:rsidR="00F53411">
        <w:t xml:space="preserve">renewal </w:t>
      </w:r>
      <w:r>
        <w:t>advice 8.5).</w:t>
      </w:r>
    </w:p>
    <w:p w14:paraId="1F88E26D" w14:textId="77777777" w:rsidR="001054C3" w:rsidRPr="004E3B94" w:rsidRDefault="001054C3" w:rsidP="00234FBE">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3614013E"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16335CE" w14:textId="5C6DBD17" w:rsidR="001054C3" w:rsidRPr="00CE4C64" w:rsidRDefault="001054C3" w:rsidP="00234FBE">
            <w:pPr>
              <w:pStyle w:val="FindingTitle"/>
              <w:spacing w:before="120"/>
              <w:rPr>
                <w:noProof/>
              </w:rPr>
            </w:pPr>
            <w:r>
              <w:t>NWI renewal advice 8.</w:t>
            </w:r>
            <w:r>
              <w:rPr>
                <w:noProof/>
              </w:rPr>
              <w:t>5:</w:t>
            </w:r>
            <w:r w:rsidRPr="001E18DB">
              <w:rPr>
                <w:noProof/>
              </w:rPr>
              <w:t xml:space="preserve"> obJectives and priority setting FOR HELD WATER</w:t>
            </w:r>
          </w:p>
        </w:tc>
      </w:tr>
      <w:tr w:rsidR="001054C3" w:rsidRPr="00750BE2" w14:paraId="0ADAE2ED"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8808675" w14:textId="77777777" w:rsidR="001054C3" w:rsidRDefault="001054C3" w:rsidP="00234FBE">
            <w:pPr>
              <w:pStyle w:val="Finding"/>
              <w:keepNext/>
            </w:pPr>
            <w:bookmarkStart w:id="121" w:name="_Hlk52380320"/>
            <w:r>
              <w:t>The overarching objective for environmental water managers managing held environmental water is to make decisions on where, how and when e</w:t>
            </w:r>
            <w:r w:rsidRPr="003E3D51">
              <w:t xml:space="preserve">nvironmental water </w:t>
            </w:r>
            <w:r w:rsidRPr="004C78FA">
              <w:t>should be used</w:t>
            </w:r>
            <w:r>
              <w:t xml:space="preserve"> (or whether it should be</w:t>
            </w:r>
            <w:r w:rsidRPr="004C78FA">
              <w:t xml:space="preserve"> traded or carried over</w:t>
            </w:r>
            <w:r>
              <w:t>)</w:t>
            </w:r>
            <w:r w:rsidRPr="004C78FA">
              <w:t xml:space="preserve"> </w:t>
            </w:r>
            <w:r>
              <w:t>based on the best use for the environment</w:t>
            </w:r>
            <w:r w:rsidRPr="003E3D51">
              <w:t xml:space="preserve"> over the long</w:t>
            </w:r>
            <w:r>
              <w:noBreakHyphen/>
            </w:r>
            <w:r w:rsidRPr="003E3D51">
              <w:t>term.</w:t>
            </w:r>
          </w:p>
          <w:bookmarkEnd w:id="121"/>
          <w:p w14:paraId="35B315AA" w14:textId="77777777" w:rsidR="001054C3" w:rsidRDefault="001054C3" w:rsidP="00234FBE">
            <w:pPr>
              <w:pStyle w:val="Finding"/>
              <w:keepNext/>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Criteria for prioritising environmental watering should</w:t>
            </w:r>
            <w:r w:rsidRPr="003E3D51">
              <w:rPr>
                <w:rFonts w:asciiTheme="minorHAnsi" w:eastAsiaTheme="minorHAnsi" w:hAnsiTheme="minorHAnsi" w:cstheme="minorBidi"/>
                <w:szCs w:val="22"/>
                <w:lang w:eastAsia="en-US"/>
              </w:rPr>
              <w:t xml:space="preserve"> be embedded in a </w:t>
            </w:r>
            <w:r>
              <w:rPr>
                <w:rFonts w:asciiTheme="minorHAnsi" w:eastAsiaTheme="minorHAnsi" w:hAnsiTheme="minorHAnsi" w:cstheme="minorBidi"/>
                <w:szCs w:val="22"/>
                <w:lang w:eastAsia="en-US"/>
              </w:rPr>
              <w:t>re</w:t>
            </w:r>
            <w:r w:rsidRPr="003E3D51">
              <w:rPr>
                <w:rFonts w:asciiTheme="minorHAnsi" w:eastAsiaTheme="minorHAnsi" w:hAnsiTheme="minorHAnsi" w:cstheme="minorBidi"/>
                <w:szCs w:val="22"/>
                <w:lang w:eastAsia="en-US"/>
              </w:rPr>
              <w:t>new</w:t>
            </w:r>
            <w:r>
              <w:rPr>
                <w:rFonts w:asciiTheme="minorHAnsi" w:eastAsiaTheme="minorHAnsi" w:hAnsiTheme="minorHAnsi" w:cstheme="minorBidi"/>
                <w:szCs w:val="22"/>
                <w:lang w:eastAsia="en-US"/>
              </w:rPr>
              <w:t>ed</w:t>
            </w:r>
            <w:r w:rsidRPr="003E3D51">
              <w:rPr>
                <w:rFonts w:asciiTheme="minorHAnsi" w:eastAsiaTheme="minorHAnsi" w:hAnsiTheme="minorHAnsi" w:cstheme="minorBidi"/>
                <w:szCs w:val="22"/>
                <w:lang w:eastAsia="en-US"/>
              </w:rPr>
              <w:t xml:space="preserve"> N</w:t>
            </w:r>
            <w:r>
              <w:rPr>
                <w:rFonts w:asciiTheme="minorHAnsi" w:eastAsiaTheme="minorHAnsi" w:hAnsiTheme="minorHAnsi" w:cstheme="minorBidi"/>
                <w:szCs w:val="22"/>
                <w:lang w:eastAsia="en-US"/>
              </w:rPr>
              <w:t xml:space="preserve">ational </w:t>
            </w:r>
            <w:r w:rsidRPr="003E3D51">
              <w:rPr>
                <w:rFonts w:asciiTheme="minorHAnsi" w:eastAsiaTheme="minorHAnsi" w:hAnsiTheme="minorHAnsi" w:cstheme="minorBidi"/>
                <w:szCs w:val="22"/>
                <w:lang w:eastAsia="en-US"/>
              </w:rPr>
              <w:t>W</w:t>
            </w:r>
            <w:r>
              <w:rPr>
                <w:rFonts w:asciiTheme="minorHAnsi" w:eastAsiaTheme="minorHAnsi" w:hAnsiTheme="minorHAnsi" w:cstheme="minorBidi"/>
                <w:szCs w:val="22"/>
                <w:lang w:eastAsia="en-US"/>
              </w:rPr>
              <w:t xml:space="preserve">ater </w:t>
            </w:r>
            <w:r w:rsidRPr="003E3D51">
              <w:rPr>
                <w:rFonts w:asciiTheme="minorHAnsi" w:eastAsiaTheme="minorHAnsi" w:hAnsiTheme="minorHAnsi" w:cstheme="minorBidi"/>
                <w:szCs w:val="22"/>
                <w:lang w:eastAsia="en-US"/>
              </w:rPr>
              <w:t>I</w:t>
            </w:r>
            <w:r>
              <w:rPr>
                <w:rFonts w:asciiTheme="minorHAnsi" w:eastAsiaTheme="minorHAnsi" w:hAnsiTheme="minorHAnsi" w:cstheme="minorBidi"/>
                <w:szCs w:val="22"/>
                <w:lang w:eastAsia="en-US"/>
              </w:rPr>
              <w:t>nitiative and include the:</w:t>
            </w:r>
          </w:p>
          <w:p w14:paraId="3252E876" w14:textId="77777777" w:rsidR="001054C3" w:rsidRPr="00C952D1" w:rsidRDefault="001054C3" w:rsidP="00234FBE">
            <w:pPr>
              <w:pStyle w:val="FindingBullet"/>
              <w:rPr>
                <w:rFonts w:eastAsiaTheme="minorHAnsi"/>
              </w:rPr>
            </w:pPr>
            <w:r w:rsidRPr="00C952D1">
              <w:rPr>
                <w:rFonts w:eastAsiaTheme="minorHAnsi"/>
              </w:rPr>
              <w:t>extent and significance of environmental benefit</w:t>
            </w:r>
          </w:p>
          <w:p w14:paraId="31ACB835" w14:textId="77777777" w:rsidR="001054C3" w:rsidRPr="00C952D1" w:rsidRDefault="001054C3" w:rsidP="00234FBE">
            <w:pPr>
              <w:pStyle w:val="FindingBullet"/>
              <w:rPr>
                <w:rFonts w:eastAsiaTheme="minorHAnsi"/>
              </w:rPr>
            </w:pPr>
            <w:r w:rsidRPr="00C952D1">
              <w:rPr>
                <w:rFonts w:eastAsiaTheme="minorHAnsi"/>
              </w:rPr>
              <w:t>likelihood of success</w:t>
            </w:r>
          </w:p>
          <w:p w14:paraId="4A238BB7" w14:textId="77777777" w:rsidR="001054C3" w:rsidRPr="00C952D1" w:rsidRDefault="001054C3" w:rsidP="00234FBE">
            <w:pPr>
              <w:pStyle w:val="FindingBullet"/>
              <w:rPr>
                <w:rFonts w:eastAsiaTheme="minorHAnsi"/>
              </w:rPr>
            </w:pPr>
            <w:r w:rsidRPr="00C952D1">
              <w:rPr>
                <w:rFonts w:eastAsiaTheme="minorHAnsi"/>
              </w:rPr>
              <w:t>longer</w:t>
            </w:r>
            <w:r>
              <w:rPr>
                <w:rFonts w:eastAsiaTheme="minorHAnsi"/>
              </w:rPr>
              <w:noBreakHyphen/>
            </w:r>
            <w:r w:rsidRPr="00C952D1">
              <w:rPr>
                <w:rFonts w:eastAsiaTheme="minorHAnsi"/>
              </w:rPr>
              <w:t>term benefits</w:t>
            </w:r>
          </w:p>
          <w:p w14:paraId="50B3C9BD" w14:textId="77777777" w:rsidR="001054C3" w:rsidRPr="00C952D1" w:rsidRDefault="001054C3" w:rsidP="00234FBE">
            <w:pPr>
              <w:pStyle w:val="FindingBullet"/>
              <w:rPr>
                <w:rFonts w:eastAsiaTheme="minorHAnsi"/>
              </w:rPr>
            </w:pPr>
            <w:r w:rsidRPr="00C952D1">
              <w:rPr>
                <w:rFonts w:eastAsiaTheme="minorHAnsi"/>
              </w:rPr>
              <w:t>urgency of watering needs</w:t>
            </w:r>
          </w:p>
          <w:p w14:paraId="1C4F44D5" w14:textId="77777777" w:rsidR="001054C3" w:rsidRPr="00C952D1" w:rsidRDefault="001054C3" w:rsidP="00234FBE">
            <w:pPr>
              <w:pStyle w:val="FindingBullet"/>
              <w:rPr>
                <w:rFonts w:eastAsiaTheme="minorHAnsi"/>
              </w:rPr>
            </w:pPr>
            <w:r w:rsidRPr="00C952D1">
              <w:rPr>
                <w:rFonts w:eastAsiaTheme="minorHAnsi"/>
              </w:rPr>
              <w:t>feasibility of the action</w:t>
            </w:r>
          </w:p>
          <w:p w14:paraId="28106BCF" w14:textId="77777777" w:rsidR="001054C3" w:rsidRPr="00C952D1" w:rsidRDefault="001054C3" w:rsidP="00234FBE">
            <w:pPr>
              <w:pStyle w:val="FindingBullet"/>
              <w:rPr>
                <w:rFonts w:eastAsiaTheme="minorHAnsi"/>
              </w:rPr>
            </w:pPr>
            <w:r w:rsidRPr="00C952D1">
              <w:rPr>
                <w:rFonts w:eastAsiaTheme="minorHAnsi"/>
              </w:rPr>
              <w:t>environmental or third</w:t>
            </w:r>
            <w:r>
              <w:rPr>
                <w:rFonts w:eastAsiaTheme="minorHAnsi"/>
              </w:rPr>
              <w:noBreakHyphen/>
            </w:r>
            <w:r w:rsidRPr="00C952D1">
              <w:rPr>
                <w:rFonts w:eastAsiaTheme="minorHAnsi"/>
              </w:rPr>
              <w:t>party risks</w:t>
            </w:r>
          </w:p>
          <w:p w14:paraId="1904A22B" w14:textId="77777777" w:rsidR="001054C3" w:rsidRPr="00C952D1" w:rsidRDefault="001054C3" w:rsidP="00234FBE">
            <w:pPr>
              <w:pStyle w:val="FindingBullet"/>
              <w:rPr>
                <w:rFonts w:eastAsiaTheme="minorHAnsi"/>
              </w:rPr>
            </w:pPr>
            <w:r w:rsidRPr="00C952D1">
              <w:rPr>
                <w:rFonts w:eastAsiaTheme="minorHAnsi"/>
              </w:rPr>
              <w:t>cost effectiveness of the watering action</w:t>
            </w:r>
          </w:p>
          <w:p w14:paraId="61CE076A" w14:textId="77777777" w:rsidR="001054C3" w:rsidRPr="00C952D1" w:rsidRDefault="001054C3" w:rsidP="00234FBE">
            <w:pPr>
              <w:pStyle w:val="FindingBullet"/>
              <w:rPr>
                <w:rFonts w:eastAsiaTheme="minorHAnsi"/>
              </w:rPr>
            </w:pPr>
            <w:r w:rsidRPr="00C952D1">
              <w:rPr>
                <w:rFonts w:eastAsiaTheme="minorHAnsi"/>
              </w:rPr>
              <w:t>efficiency of water use</w:t>
            </w:r>
          </w:p>
          <w:p w14:paraId="37FF4566" w14:textId="77777777" w:rsidR="001054C3" w:rsidRPr="00C952D1" w:rsidRDefault="001054C3" w:rsidP="00234FBE">
            <w:pPr>
              <w:pStyle w:val="FindingBullet"/>
              <w:rPr>
                <w:rFonts w:eastAsiaTheme="minorHAnsi"/>
              </w:rPr>
            </w:pPr>
            <w:r w:rsidRPr="00C952D1">
              <w:rPr>
                <w:rFonts w:eastAsiaTheme="minorHAnsi"/>
              </w:rPr>
              <w:t>additional cultural, economic, social and Traditional Owner benefits.</w:t>
            </w:r>
          </w:p>
          <w:p w14:paraId="5716365E" w14:textId="77777777" w:rsidR="001054C3" w:rsidRPr="00E67F83" w:rsidRDefault="001054C3" w:rsidP="00234FBE">
            <w:pPr>
              <w:pStyle w:val="Finding"/>
            </w:pPr>
            <w:bookmarkStart w:id="122" w:name="_Hlk56946456"/>
            <w:r w:rsidRPr="00E67F83">
              <w:t>Objectives for seasonal environmental watering under different climate scenarios should be embedded in a new N</w:t>
            </w:r>
            <w:r>
              <w:t xml:space="preserve">ational </w:t>
            </w:r>
            <w:r w:rsidRPr="00E67F83">
              <w:t>W</w:t>
            </w:r>
            <w:r>
              <w:t xml:space="preserve">ater </w:t>
            </w:r>
            <w:r w:rsidRPr="00E67F83">
              <w:t>I</w:t>
            </w:r>
            <w:r>
              <w:t>nitiative</w:t>
            </w:r>
            <w:r w:rsidRPr="00E67F83">
              <w:t xml:space="preserve"> </w:t>
            </w:r>
            <w:bookmarkEnd w:id="122"/>
            <w:r w:rsidRPr="00E67F83">
              <w:t>such as:</w:t>
            </w:r>
          </w:p>
          <w:p w14:paraId="0A308599" w14:textId="77777777" w:rsidR="001054C3" w:rsidRDefault="001054C3" w:rsidP="00234FBE">
            <w:pPr>
              <w:pStyle w:val="FindingBullet"/>
            </w:pPr>
            <w:r>
              <w:t>avoid critical loss, maintain key refuges and avoid catastrophic loss during drought scenarios</w:t>
            </w:r>
          </w:p>
          <w:p w14:paraId="02820312" w14:textId="77777777" w:rsidR="001054C3" w:rsidRDefault="001054C3" w:rsidP="00234FBE">
            <w:pPr>
              <w:pStyle w:val="FindingBullet"/>
            </w:pPr>
            <w:r>
              <w:t>maintain river functioning and high</w:t>
            </w:r>
            <w:r>
              <w:noBreakHyphen/>
              <w:t>priority wetlands and manage dry</w:t>
            </w:r>
            <w:r>
              <w:noBreakHyphen/>
              <w:t>spell tolerances during dry scenarios</w:t>
            </w:r>
          </w:p>
          <w:p w14:paraId="50BC7DC3" w14:textId="77777777" w:rsidR="001054C3" w:rsidRDefault="001054C3" w:rsidP="00234FBE">
            <w:pPr>
              <w:pStyle w:val="FindingBullet"/>
            </w:pPr>
            <w:r>
              <w:t>improve ecological health and resilience and recruitment opportunities for key species during average</w:t>
            </w:r>
            <w:r>
              <w:noBreakHyphen/>
              <w:t>climate scenarios</w:t>
            </w:r>
          </w:p>
          <w:p w14:paraId="6A3192D5" w14:textId="77777777" w:rsidR="001054C3" w:rsidRDefault="001054C3" w:rsidP="00234FBE">
            <w:pPr>
              <w:pStyle w:val="FindingBullet"/>
              <w:spacing w:after="120"/>
            </w:pPr>
            <w:r>
              <w:t>restore key floodplain and wetland linkages and enhance recruitment opportunities for key species during wet scenarios.</w:t>
            </w:r>
          </w:p>
        </w:tc>
      </w:tr>
      <w:tr w:rsidR="001054C3" w:rsidRPr="000863A5" w14:paraId="63BC6116" w14:textId="77777777" w:rsidTr="00234FBE">
        <w:trPr>
          <w:cantSplit/>
        </w:trPr>
        <w:tc>
          <w:tcPr>
            <w:tcW w:w="5000" w:type="pct"/>
            <w:tcBorders>
              <w:top w:val="single" w:sz="6" w:space="0" w:color="0070C0"/>
              <w:left w:val="nil"/>
              <w:bottom w:val="nil"/>
              <w:right w:val="nil"/>
            </w:tcBorders>
            <w:tcMar>
              <w:left w:w="170" w:type="dxa"/>
              <w:right w:w="170" w:type="dxa"/>
            </w:tcMar>
          </w:tcPr>
          <w:p w14:paraId="0A406702" w14:textId="77777777" w:rsidR="001054C3" w:rsidRPr="00626D32" w:rsidRDefault="001054C3" w:rsidP="00234FBE">
            <w:pPr>
              <w:pStyle w:val="BoxSpaceBelow"/>
              <w:keepLines/>
            </w:pPr>
          </w:p>
        </w:tc>
      </w:tr>
    </w:tbl>
    <w:p w14:paraId="4CE56D05" w14:textId="77777777" w:rsidR="001054C3" w:rsidRDefault="001054C3" w:rsidP="00234FBE">
      <w:pPr>
        <w:pStyle w:val="Heading3"/>
      </w:pPr>
      <w:r w:rsidRPr="007C63FF">
        <w:lastRenderedPageBreak/>
        <w:t>Capacity to actively trade</w:t>
      </w:r>
      <w:r>
        <w:t xml:space="preserve"> environmental water allocations</w:t>
      </w:r>
    </w:p>
    <w:p w14:paraId="18944577" w14:textId="77777777" w:rsidR="001054C3" w:rsidRDefault="001054C3" w:rsidP="00234FBE">
      <w:pPr>
        <w:pStyle w:val="BodyText"/>
      </w:pPr>
      <w:r>
        <w:t>A</w:t>
      </w:r>
      <w:r w:rsidRPr="00C22BCB">
        <w:t>ll governments with held environmental water</w:t>
      </w:r>
      <w:r>
        <w:t xml:space="preserve"> </w:t>
      </w:r>
      <w:r w:rsidRPr="00C22BCB">
        <w:t>are legally able to trade water</w:t>
      </w:r>
      <w:r>
        <w:t xml:space="preserve"> allocations. Trade can </w:t>
      </w:r>
      <w:r w:rsidRPr="00520A66">
        <w:t xml:space="preserve">provide opportunities to manage low flows as well </w:t>
      </w:r>
      <w:r>
        <w:t>a</w:t>
      </w:r>
      <w:r w:rsidRPr="00520A66">
        <w:t>s to top</w:t>
      </w:r>
      <w:r>
        <w:noBreakHyphen/>
      </w:r>
      <w:r w:rsidRPr="00520A66">
        <w:t>up medium flood events for the benefit of water</w:t>
      </w:r>
      <w:r>
        <w:noBreakHyphen/>
      </w:r>
      <w:r w:rsidRPr="00520A66">
        <w:t xml:space="preserve">dependent ecosystems. Trade can </w:t>
      </w:r>
      <w:r>
        <w:t xml:space="preserve">also </w:t>
      </w:r>
      <w:r w:rsidRPr="00520A66">
        <w:t>help maximise environmental benefits by putting environmental water to better use in different locations or at a later time, to better match the hydrographs of environmental needs.</w:t>
      </w:r>
    </w:p>
    <w:p w14:paraId="0B39A83F" w14:textId="77777777" w:rsidR="001054C3" w:rsidRDefault="001054C3" w:rsidP="00234FBE">
      <w:pPr>
        <w:pStyle w:val="BodyText"/>
      </w:pPr>
      <w:r>
        <w:t>It is desirable that environmental water holders fully exploit trade in allocations to maximise benefits for water</w:t>
      </w:r>
      <w:r>
        <w:noBreakHyphen/>
        <w:t>dependent ecosystems. Under the NWI, parties agreed that water for the environment held as an access entitlement may be traded on the temporary market, when not required to meet environmental and other public benefit outcomes and provided such trading is not in conflict with those outcomes.</w:t>
      </w:r>
    </w:p>
    <w:p w14:paraId="3DF82D56" w14:textId="77777777" w:rsidR="001054C3" w:rsidRDefault="001054C3" w:rsidP="00234FBE">
      <w:pPr>
        <w:pStyle w:val="BodyText"/>
      </w:pPr>
      <w:r>
        <w:t xml:space="preserve">This limit (placed on trade) is intended to ensure that trading arrangements are consistent with the use of the water for environmental purposes, and are not primarily aimed at raising revenue. But, the key concern is that environmental water holders may fail to maximise environmental and community benefits by trading too little. Environmental water holders do </w:t>
      </w:r>
      <w:r w:rsidRPr="00F86BD7">
        <w:t>not routinely sell their</w:t>
      </w:r>
      <w:r>
        <w:t xml:space="preserve"> allocations — for example, the Commonwealth Environmental Water Holder has only sold allocations on five occasions.</w:t>
      </w:r>
    </w:p>
    <w:p w14:paraId="74F01BC6" w14:textId="169D755D" w:rsidR="001054C3" w:rsidRDefault="001054C3" w:rsidP="00234FBE">
      <w:pPr>
        <w:pStyle w:val="BodyText"/>
      </w:pPr>
      <w:r>
        <w:t>D</w:t>
      </w:r>
      <w:r w:rsidRPr="00B06CA5">
        <w:t xml:space="preserve">ecisions to sell environmental water allocations can be </w:t>
      </w:r>
      <w:r>
        <w:t>contentious</w:t>
      </w:r>
      <w:r w:rsidRPr="00B06CA5">
        <w:t xml:space="preserve">. </w:t>
      </w:r>
      <w:r>
        <w:t>For example,</w:t>
      </w:r>
      <w:r w:rsidRPr="00B06CA5">
        <w:t xml:space="preserve"> </w:t>
      </w:r>
      <w:r>
        <w:t>i</w:t>
      </w:r>
      <w:r w:rsidRPr="00B06CA5">
        <w:t xml:space="preserve">n 2018 </w:t>
      </w:r>
      <w:r>
        <w:t xml:space="preserve">when </w:t>
      </w:r>
      <w:r w:rsidRPr="00B06CA5">
        <w:t>the New South Wales Government sold 15 GL of environmental water allocation to irrigators within the Gwydir, Macquarie, Lachlan, Murrumbidgee and Murray</w:t>
      </w:r>
      <w:r>
        <w:t>–</w:t>
      </w:r>
      <w:r w:rsidRPr="00B06CA5">
        <w:t>Lower Darling valleys in response to dry conditions</w:t>
      </w:r>
      <w:r>
        <w:t xml:space="preserve">, questions were raised as to whether this was the best use of the allocations for the environment </w:t>
      </w:r>
      <w:r w:rsidRPr="00305F06">
        <w:rPr>
          <w:szCs w:val="24"/>
        </w:rPr>
        <w:t>(PC 2018, p. 294)</w:t>
      </w:r>
      <w:r>
        <w:t>.</w:t>
      </w:r>
    </w:p>
    <w:p w14:paraId="3A666B79" w14:textId="77777777" w:rsidR="001054C3" w:rsidRDefault="001054C3" w:rsidP="00234FBE">
      <w:pPr>
        <w:pStyle w:val="BodyText"/>
      </w:pPr>
      <w:r>
        <w:t>D</w:t>
      </w:r>
      <w:r w:rsidRPr="00B06CA5">
        <w:t xml:space="preserve">ecisions to sell or buy environmental water allocations require a robust </w:t>
      </w:r>
      <w:r>
        <w:t xml:space="preserve">and transparent </w:t>
      </w:r>
      <w:r w:rsidRPr="00B06CA5">
        <w:t xml:space="preserve">framework to </w:t>
      </w:r>
      <w:r>
        <w:t>facilitate</w:t>
      </w:r>
      <w:r w:rsidRPr="00B06CA5">
        <w:t xml:space="preserve"> optimal outcomes </w:t>
      </w:r>
      <w:r>
        <w:t>and ensure clarity for communities and other stakeholders</w:t>
      </w:r>
      <w:r w:rsidRPr="00B06CA5">
        <w:t>.</w:t>
      </w:r>
      <w:r>
        <w:t xml:space="preserve"> Revenue from </w:t>
      </w:r>
      <w:r w:rsidRPr="00E37E5E">
        <w:t>trading</w:t>
      </w:r>
      <w:r>
        <w:t xml:space="preserve"> should also be put to best use to achieve environmental outcomes (box 8.1).</w:t>
      </w:r>
    </w:p>
    <w:p w14:paraId="0635D435"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4AA58CAB" w14:textId="77777777" w:rsidTr="00234FBE">
        <w:trPr>
          <w:tblHeader/>
        </w:trPr>
        <w:tc>
          <w:tcPr>
            <w:tcW w:w="5000" w:type="pct"/>
            <w:tcBorders>
              <w:top w:val="single" w:sz="6" w:space="0" w:color="78A22F"/>
              <w:left w:val="nil"/>
              <w:bottom w:val="nil"/>
              <w:right w:val="nil"/>
            </w:tcBorders>
            <w:shd w:val="clear" w:color="auto" w:fill="F2F2F2"/>
          </w:tcPr>
          <w:p w14:paraId="5A1AA129" w14:textId="376C429D" w:rsidR="001054C3" w:rsidRDefault="001054C3" w:rsidP="00234FBE">
            <w:pPr>
              <w:pStyle w:val="BoxTitle"/>
            </w:pPr>
            <w:r>
              <w:rPr>
                <w:b w:val="0"/>
              </w:rPr>
              <w:t>Box 8.</w:t>
            </w:r>
            <w:r>
              <w:rPr>
                <w:b w:val="0"/>
                <w:noProof/>
              </w:rPr>
              <w:t>1</w:t>
            </w:r>
            <w:r>
              <w:tab/>
              <w:t>Possible uses for revenue from environmental water trading</w:t>
            </w:r>
          </w:p>
        </w:tc>
      </w:tr>
      <w:tr w:rsidR="001054C3" w14:paraId="09564162" w14:textId="77777777" w:rsidTr="00234FBE">
        <w:tc>
          <w:tcPr>
            <w:tcW w:w="5000" w:type="pct"/>
            <w:tcBorders>
              <w:top w:val="nil"/>
              <w:left w:val="nil"/>
              <w:bottom w:val="nil"/>
              <w:right w:val="nil"/>
            </w:tcBorders>
            <w:shd w:val="clear" w:color="auto" w:fill="F2F2F2"/>
          </w:tcPr>
          <w:p w14:paraId="4C124FBE" w14:textId="77777777" w:rsidR="001054C3" w:rsidRDefault="001054C3" w:rsidP="00234FBE">
            <w:pPr>
              <w:pStyle w:val="Box"/>
            </w:pPr>
            <w:r>
              <w:t xml:space="preserve">Revenue from </w:t>
            </w:r>
            <w:r w:rsidRPr="00E37E5E">
              <w:t>trading</w:t>
            </w:r>
            <w:r>
              <w:t xml:space="preserve"> should be held in a dedicated, ring</w:t>
            </w:r>
            <w:r>
              <w:noBreakHyphen/>
              <w:t>fenced account with the ability to carryover between years. The uses for revenue should be clearly defined and transparent. Examples include:</w:t>
            </w:r>
          </w:p>
          <w:p w14:paraId="7589FAC5" w14:textId="77777777" w:rsidR="001054C3" w:rsidRPr="006815CD" w:rsidRDefault="001054C3" w:rsidP="00234FBE">
            <w:pPr>
              <w:pStyle w:val="BoxListBullet"/>
            </w:pPr>
            <w:r>
              <w:t>trading</w:t>
            </w:r>
            <w:r w:rsidRPr="006815CD">
              <w:t xml:space="preserve"> costs</w:t>
            </w:r>
          </w:p>
          <w:p w14:paraId="49665419" w14:textId="77777777" w:rsidR="001054C3" w:rsidRPr="006815CD" w:rsidRDefault="001054C3" w:rsidP="00234FBE">
            <w:pPr>
              <w:pStyle w:val="BoxListBullet"/>
            </w:pPr>
            <w:r>
              <w:t>a</w:t>
            </w:r>
            <w:r w:rsidRPr="006815CD">
              <w:t>cquisition of entitlements</w:t>
            </w:r>
          </w:p>
          <w:p w14:paraId="75B518B9" w14:textId="77777777" w:rsidR="001054C3" w:rsidRDefault="001054C3" w:rsidP="00234FBE">
            <w:pPr>
              <w:pStyle w:val="BoxListBullet"/>
            </w:pPr>
            <w:r>
              <w:t>a</w:t>
            </w:r>
            <w:r w:rsidRPr="006815CD">
              <w:t>cquisition of allocation</w:t>
            </w:r>
            <w:r>
              <w:t>s,</w:t>
            </w:r>
            <w:r w:rsidRPr="006815CD">
              <w:t xml:space="preserve"> including buying allocation</w:t>
            </w:r>
            <w:r>
              <w:t>s or entering into lease, option or similar</w:t>
            </w:r>
            <w:r w:rsidRPr="006815CD">
              <w:t xml:space="preserve"> arrangements</w:t>
            </w:r>
          </w:p>
          <w:p w14:paraId="3F8262A6" w14:textId="77777777" w:rsidR="001054C3" w:rsidRPr="006815CD" w:rsidRDefault="001054C3" w:rsidP="00234FBE">
            <w:pPr>
              <w:pStyle w:val="BoxListBullet"/>
            </w:pPr>
            <w:r>
              <w:t>making use of market</w:t>
            </w:r>
            <w:r>
              <w:noBreakHyphen/>
              <w:t xml:space="preserve">like instruments such as </w:t>
            </w:r>
            <w:r w:rsidRPr="006815CD">
              <w:t>‘no</w:t>
            </w:r>
            <w:r>
              <w:noBreakHyphen/>
            </w:r>
            <w:r w:rsidRPr="006815CD">
              <w:t>pump’ arrangements</w:t>
            </w:r>
            <w:r>
              <w:t xml:space="preserve"> (discussed in the next section)</w:t>
            </w:r>
          </w:p>
          <w:p w14:paraId="080F5472" w14:textId="77777777" w:rsidR="001054C3" w:rsidRPr="006815CD" w:rsidRDefault="001054C3" w:rsidP="00234FBE">
            <w:pPr>
              <w:pStyle w:val="BoxListBullet"/>
            </w:pPr>
            <w:r>
              <w:t>w</w:t>
            </w:r>
            <w:r w:rsidRPr="006815CD">
              <w:t xml:space="preserve">orks and measures that enable </w:t>
            </w:r>
            <w:r>
              <w:t>best use</w:t>
            </w:r>
            <w:r w:rsidRPr="006815CD">
              <w:t xml:space="preserve"> of environmental water or extend environmental </w:t>
            </w:r>
            <w:r>
              <w:t xml:space="preserve">water </w:t>
            </w:r>
            <w:r w:rsidRPr="006815CD">
              <w:t>outcomes</w:t>
            </w:r>
          </w:p>
          <w:p w14:paraId="4F276098" w14:textId="77777777" w:rsidR="001054C3" w:rsidRPr="006815CD" w:rsidRDefault="001054C3" w:rsidP="00234FBE">
            <w:pPr>
              <w:pStyle w:val="BoxListBullet"/>
            </w:pPr>
            <w:r>
              <w:t>research and development</w:t>
            </w:r>
            <w:r w:rsidRPr="006815CD">
              <w:t xml:space="preserve"> relevant to enabling more efficient use of environmental water or extend</w:t>
            </w:r>
            <w:r>
              <w:t>ing</w:t>
            </w:r>
            <w:r w:rsidRPr="006815CD">
              <w:t xml:space="preserve"> environmental outcomes assisting with operations</w:t>
            </w:r>
          </w:p>
          <w:p w14:paraId="34B1967D" w14:textId="77777777" w:rsidR="001054C3" w:rsidRDefault="001054C3" w:rsidP="00234FBE">
            <w:pPr>
              <w:pStyle w:val="BoxListBullet"/>
            </w:pPr>
            <w:r>
              <w:t>providing</w:t>
            </w:r>
            <w:r w:rsidRPr="006815CD">
              <w:t xml:space="preserve"> contingency fund</w:t>
            </w:r>
            <w:r>
              <w:t>s</w:t>
            </w:r>
            <w:r w:rsidRPr="006815CD">
              <w:t xml:space="preserve"> to assist </w:t>
            </w:r>
            <w:r>
              <w:t>delivery of agreed environmental outcomes during periods of extreme water scarcity</w:t>
            </w:r>
          </w:p>
          <w:p w14:paraId="1BE70923" w14:textId="77777777" w:rsidR="001054C3" w:rsidRDefault="001054C3" w:rsidP="00234FBE">
            <w:pPr>
              <w:pStyle w:val="BoxListBullet"/>
            </w:pPr>
            <w:r>
              <w:t>monitoring outcomes.</w:t>
            </w:r>
          </w:p>
        </w:tc>
      </w:tr>
      <w:tr w:rsidR="001054C3" w14:paraId="093C507B" w14:textId="77777777" w:rsidTr="00234FBE">
        <w:tc>
          <w:tcPr>
            <w:tcW w:w="5000" w:type="pct"/>
            <w:tcBorders>
              <w:top w:val="nil"/>
              <w:left w:val="nil"/>
              <w:bottom w:val="single" w:sz="6" w:space="0" w:color="78A22F"/>
              <w:right w:val="nil"/>
            </w:tcBorders>
            <w:shd w:val="clear" w:color="auto" w:fill="F2F2F2"/>
          </w:tcPr>
          <w:p w14:paraId="4D1712E2" w14:textId="77777777" w:rsidR="001054C3" w:rsidRDefault="001054C3" w:rsidP="00234FBE">
            <w:pPr>
              <w:pStyle w:val="Box"/>
              <w:spacing w:before="0" w:line="120" w:lineRule="exact"/>
            </w:pPr>
          </w:p>
        </w:tc>
      </w:tr>
      <w:tr w:rsidR="001054C3" w:rsidRPr="000863A5" w14:paraId="0BFE7EE3" w14:textId="77777777" w:rsidTr="00234FBE">
        <w:tc>
          <w:tcPr>
            <w:tcW w:w="5000" w:type="pct"/>
            <w:tcBorders>
              <w:top w:val="single" w:sz="6" w:space="0" w:color="78A22F"/>
              <w:left w:val="nil"/>
              <w:bottom w:val="nil"/>
              <w:right w:val="nil"/>
            </w:tcBorders>
          </w:tcPr>
          <w:p w14:paraId="69E83322" w14:textId="77777777" w:rsidR="001054C3" w:rsidRPr="00626D32" w:rsidRDefault="001054C3" w:rsidP="00234FBE">
            <w:pPr>
              <w:pStyle w:val="BoxSpaceBelow"/>
            </w:pPr>
          </w:p>
        </w:tc>
      </w:tr>
    </w:tbl>
    <w:p w14:paraId="3D5694A5"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0ADEB0F9"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D91510A" w14:textId="06AA41CC" w:rsidR="001054C3" w:rsidRPr="00CE4C64" w:rsidRDefault="001054C3" w:rsidP="00234FBE">
            <w:pPr>
              <w:pStyle w:val="FindingTitle"/>
              <w:spacing w:before="120"/>
              <w:rPr>
                <w:noProof/>
              </w:rPr>
            </w:pPr>
            <w:r>
              <w:t xml:space="preserve">NWI Renewal </w:t>
            </w:r>
            <w:r w:rsidRPr="001E18DB">
              <w:t>ADVICE 8.</w:t>
            </w:r>
            <w:r>
              <w:rPr>
                <w:noProof/>
              </w:rPr>
              <w:t>6:</w:t>
            </w:r>
            <w:r w:rsidRPr="001E18DB">
              <w:rPr>
                <w:noProof/>
              </w:rPr>
              <w:t xml:space="preserve"> Transparent Trade strategies</w:t>
            </w:r>
          </w:p>
        </w:tc>
      </w:tr>
      <w:tr w:rsidR="001054C3" w:rsidRPr="00750BE2" w14:paraId="26C2B9C5"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C37E6BF" w14:textId="77777777" w:rsidR="001054C3" w:rsidRPr="0085649B" w:rsidRDefault="001054C3" w:rsidP="00234FBE">
            <w:pPr>
              <w:pStyle w:val="Finding"/>
              <w:keepNext/>
              <w:rPr>
                <w:szCs w:val="22"/>
              </w:rPr>
            </w:pPr>
            <w:r w:rsidRPr="0085649B">
              <w:rPr>
                <w:szCs w:val="22"/>
              </w:rPr>
              <w:t>Environmental water holders should</w:t>
            </w:r>
            <w:r>
              <w:rPr>
                <w:szCs w:val="22"/>
              </w:rPr>
              <w:t xml:space="preserve"> </w:t>
            </w:r>
            <w:r w:rsidRPr="0085649B">
              <w:rPr>
                <w:szCs w:val="22"/>
              </w:rPr>
              <w:t>have in place transparent and publicly reported trading and carryover strategies and reporting statements for entitlements and allocations that show the best use of water to contribute to environmental outcomes as opportunities arise</w:t>
            </w:r>
            <w:r>
              <w:rPr>
                <w:szCs w:val="22"/>
              </w:rPr>
              <w:t>.</w:t>
            </w:r>
          </w:p>
          <w:p w14:paraId="279C0042" w14:textId="77777777" w:rsidR="001054C3" w:rsidRPr="0085649B" w:rsidRDefault="001054C3" w:rsidP="00234FBE">
            <w:pPr>
              <w:pStyle w:val="Finding"/>
              <w:spacing w:after="120"/>
            </w:pPr>
            <w:r>
              <w:rPr>
                <w:rFonts w:eastAsiaTheme="minorHAnsi"/>
              </w:rPr>
              <w:t>R</w:t>
            </w:r>
            <w:r w:rsidRPr="00AA2C11">
              <w:rPr>
                <w:rFonts w:eastAsiaTheme="minorHAnsi"/>
              </w:rPr>
              <w:t>evenue from trading should be held in a dedicated, ring</w:t>
            </w:r>
            <w:r>
              <w:rPr>
                <w:rFonts w:eastAsiaTheme="minorHAnsi"/>
              </w:rPr>
              <w:noBreakHyphen/>
            </w:r>
            <w:r w:rsidRPr="00AA2C11">
              <w:rPr>
                <w:rFonts w:eastAsiaTheme="minorHAnsi"/>
              </w:rPr>
              <w:t>fenced account with the ability to be carried over and devoted to activities that enable the best use of environmental water over time</w:t>
            </w:r>
            <w:r>
              <w:rPr>
                <w:rFonts w:eastAsiaTheme="minorHAnsi"/>
              </w:rPr>
              <w:t>. A</w:t>
            </w:r>
            <w:r w:rsidRPr="00AA2C11">
              <w:rPr>
                <w:rFonts w:eastAsiaTheme="minorHAnsi"/>
              </w:rPr>
              <w:t>nd use of this revenue should be publicly reported.</w:t>
            </w:r>
          </w:p>
        </w:tc>
      </w:tr>
      <w:tr w:rsidR="001054C3" w:rsidRPr="000863A5" w14:paraId="7BF38CDF" w14:textId="77777777" w:rsidTr="00234FBE">
        <w:trPr>
          <w:cantSplit/>
        </w:trPr>
        <w:tc>
          <w:tcPr>
            <w:tcW w:w="5000" w:type="pct"/>
            <w:tcBorders>
              <w:top w:val="single" w:sz="6" w:space="0" w:color="0070C0"/>
              <w:left w:val="nil"/>
              <w:bottom w:val="nil"/>
              <w:right w:val="nil"/>
            </w:tcBorders>
            <w:tcMar>
              <w:left w:w="170" w:type="dxa"/>
              <w:right w:w="170" w:type="dxa"/>
            </w:tcMar>
          </w:tcPr>
          <w:p w14:paraId="175D9396" w14:textId="77777777" w:rsidR="001054C3" w:rsidRPr="00626D32" w:rsidRDefault="001054C3" w:rsidP="00234FBE">
            <w:pPr>
              <w:pStyle w:val="BoxSpaceBelow"/>
              <w:keepLines/>
            </w:pPr>
          </w:p>
        </w:tc>
      </w:tr>
    </w:tbl>
    <w:p w14:paraId="49704DBC" w14:textId="77777777" w:rsidR="001054C3" w:rsidRDefault="001054C3" w:rsidP="00234FBE">
      <w:pPr>
        <w:pStyle w:val="Heading3"/>
      </w:pPr>
      <w:r>
        <w:t>Innovative market approaches</w:t>
      </w:r>
    </w:p>
    <w:p w14:paraId="7462EF8C" w14:textId="4B985EEB" w:rsidR="001054C3" w:rsidRDefault="001054C3" w:rsidP="00234FBE">
      <w:pPr>
        <w:pStyle w:val="BodyText"/>
      </w:pPr>
      <w:r>
        <w:t>Water sharing is particularly time</w:t>
      </w:r>
      <w:r>
        <w:noBreakHyphen/>
        <w:t>sensitive in unregulated systems (waterways without significant dams or weirs). Users rely on rainfall events and run</w:t>
      </w:r>
      <w:r>
        <w:noBreakHyphen/>
        <w:t>off to access allocations. In these systems, innovative market instruments have the potential to move water across time in ways that would not be possible through standard allocation trade. Innovative approaches include no</w:t>
      </w:r>
      <w:r>
        <w:noBreakHyphen/>
        <w:t xml:space="preserve">pump contracts, store and release arrangements, option mechanisms and conditional leases </w:t>
      </w:r>
      <w:r w:rsidRPr="00440ABA">
        <w:rPr>
          <w:szCs w:val="24"/>
        </w:rPr>
        <w:t>(BDAGroup and CSIRO 2017, p. 31)</w:t>
      </w:r>
      <w:r>
        <w:t>.</w:t>
      </w:r>
    </w:p>
    <w:p w14:paraId="128CCE4A" w14:textId="77777777" w:rsidR="001054C3" w:rsidRDefault="001054C3" w:rsidP="00234FBE">
      <w:pPr>
        <w:pStyle w:val="BodyText"/>
        <w:keepNext/>
      </w:pPr>
      <w:r w:rsidRPr="00AF562A">
        <w:lastRenderedPageBreak/>
        <w:t>Inquiry participants expressed support for increased use of innovative mechanisms to manage environmental watering.</w:t>
      </w:r>
      <w:r>
        <w:t xml:space="preserve"> For example:</w:t>
      </w:r>
    </w:p>
    <w:p w14:paraId="3ED2AD3F" w14:textId="77777777" w:rsidR="001054C3" w:rsidRDefault="001054C3" w:rsidP="00234FBE">
      <w:pPr>
        <w:spacing w:before="120" w:line="280" w:lineRule="exact"/>
        <w:ind w:left="340"/>
        <w:jc w:val="both"/>
        <w:rPr>
          <w:szCs w:val="20"/>
        </w:rPr>
      </w:pPr>
      <w:r w:rsidRPr="00AF562A">
        <w:rPr>
          <w:szCs w:val="20"/>
        </w:rPr>
        <w:t>AgForce supports alternative approaches to the management and use of already held environmental water, such as the use of temporary water markets and mechanisms like ‘no</w:t>
      </w:r>
      <w:r w:rsidRPr="00AF562A">
        <w:rPr>
          <w:szCs w:val="20"/>
        </w:rPr>
        <w:noBreakHyphen/>
        <w:t>pump’ contracts to maximise the value of this water across a broader range of outcomes or shared benefits while not compromising environmental objectives</w:t>
      </w:r>
      <w:r w:rsidRPr="00310C8C">
        <w:rPr>
          <w:szCs w:val="20"/>
        </w:rPr>
        <w:t>.</w:t>
      </w:r>
      <w:r w:rsidRPr="003F41E8">
        <w:rPr>
          <w:szCs w:val="20"/>
        </w:rPr>
        <w:t xml:space="preserve"> (sub. 24, pp. 6–7)</w:t>
      </w:r>
    </w:p>
    <w:p w14:paraId="334D24DA" w14:textId="117905E7" w:rsidR="001054C3" w:rsidRPr="00431D61" w:rsidRDefault="001054C3" w:rsidP="00234FBE">
      <w:pPr>
        <w:spacing w:before="240" w:line="300" w:lineRule="atLeast"/>
        <w:jc w:val="both"/>
        <w:rPr>
          <w:spacing w:val="-2"/>
          <w:szCs w:val="20"/>
        </w:rPr>
      </w:pPr>
      <w:r w:rsidRPr="00431D61">
        <w:rPr>
          <w:spacing w:val="-2"/>
          <w:szCs w:val="20"/>
        </w:rPr>
        <w:t xml:space="preserve">Environmental water holders should work with system managers and consumptive entitlement holders to pursue innovative market approaches, as opportunities arise. Innovative market approaches should be assessed relative to their contribution to achieving environmental outcomes. Establishment and transaction costs should be estimated and the risks of implementing the arrangement for all parties should be evaluated </w:t>
      </w:r>
      <w:r w:rsidRPr="00431D61">
        <w:rPr>
          <w:spacing w:val="-2"/>
        </w:rPr>
        <w:t>(CEWO 2011, p. 18)</w:t>
      </w:r>
      <w:r w:rsidRPr="00431D61">
        <w:rPr>
          <w:spacing w:val="-2"/>
          <w:szCs w:val="20"/>
        </w:rPr>
        <w:t>.</w:t>
      </w:r>
    </w:p>
    <w:p w14:paraId="318B864E"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765EF145"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0AC2046" w14:textId="60A51C46" w:rsidR="001054C3" w:rsidRPr="001E18DB" w:rsidRDefault="001054C3" w:rsidP="00234FBE">
            <w:pPr>
              <w:pStyle w:val="FindingTitle"/>
              <w:spacing w:before="120"/>
              <w:rPr>
                <w:noProof/>
              </w:rPr>
            </w:pPr>
            <w:r w:rsidRPr="001E18DB">
              <w:t>NWI Renewal ADVICE 8.</w:t>
            </w:r>
            <w:r>
              <w:rPr>
                <w:noProof/>
              </w:rPr>
              <w:t>7:</w:t>
            </w:r>
            <w:r w:rsidRPr="001E18DB">
              <w:rPr>
                <w:noProof/>
              </w:rPr>
              <w:t xml:space="preserve"> innovative market approaches</w:t>
            </w:r>
          </w:p>
        </w:tc>
      </w:tr>
      <w:tr w:rsidR="001054C3" w:rsidRPr="00750BE2" w14:paraId="426C8BF2"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35AEE16" w14:textId="77777777" w:rsidR="001054C3" w:rsidRPr="0085649B" w:rsidRDefault="001054C3" w:rsidP="00234FBE">
            <w:pPr>
              <w:pStyle w:val="Finding"/>
              <w:keepNext/>
              <w:spacing w:after="120"/>
            </w:pPr>
            <w:r w:rsidRPr="0085649B">
              <w:rPr>
                <w:szCs w:val="22"/>
              </w:rPr>
              <w:t>Environmental water holders should</w:t>
            </w:r>
            <w:bookmarkStart w:id="123" w:name="_Hlk57020893"/>
            <w:r>
              <w:rPr>
                <w:szCs w:val="22"/>
              </w:rPr>
              <w:t xml:space="preserve"> </w:t>
            </w:r>
            <w:bookmarkEnd w:id="123"/>
            <w:r w:rsidRPr="0085649B">
              <w:rPr>
                <w:rFonts w:eastAsiaTheme="minorHAnsi"/>
                <w:szCs w:val="22"/>
              </w:rPr>
              <w:t xml:space="preserve">work with system managers </w:t>
            </w:r>
            <w:r>
              <w:rPr>
                <w:rFonts w:eastAsiaTheme="minorHAnsi"/>
                <w:szCs w:val="22"/>
              </w:rPr>
              <w:t xml:space="preserve">and consumptive entitlement holders </w:t>
            </w:r>
            <w:r w:rsidRPr="0085649B">
              <w:rPr>
                <w:rFonts w:eastAsiaTheme="minorHAnsi"/>
                <w:szCs w:val="22"/>
              </w:rPr>
              <w:t>to pursue innovative market approaches</w:t>
            </w:r>
            <w:r>
              <w:rPr>
                <w:rFonts w:eastAsiaTheme="minorHAnsi"/>
                <w:szCs w:val="22"/>
              </w:rPr>
              <w:t>.</w:t>
            </w:r>
          </w:p>
        </w:tc>
      </w:tr>
      <w:tr w:rsidR="001054C3" w:rsidRPr="000863A5" w14:paraId="46C2774B" w14:textId="77777777" w:rsidTr="00234FBE">
        <w:trPr>
          <w:cantSplit/>
        </w:trPr>
        <w:tc>
          <w:tcPr>
            <w:tcW w:w="5000" w:type="pct"/>
            <w:tcBorders>
              <w:top w:val="single" w:sz="6" w:space="0" w:color="0070C0"/>
              <w:left w:val="nil"/>
              <w:bottom w:val="nil"/>
              <w:right w:val="nil"/>
            </w:tcBorders>
            <w:tcMar>
              <w:left w:w="170" w:type="dxa"/>
              <w:right w:w="170" w:type="dxa"/>
            </w:tcMar>
          </w:tcPr>
          <w:p w14:paraId="5941A777" w14:textId="77777777" w:rsidR="001054C3" w:rsidRPr="00626D32" w:rsidRDefault="001054C3" w:rsidP="00234FBE">
            <w:pPr>
              <w:pStyle w:val="BoxSpaceBelow"/>
              <w:keepLines/>
            </w:pPr>
          </w:p>
        </w:tc>
      </w:tr>
    </w:tbl>
    <w:p w14:paraId="2D6743C6" w14:textId="77777777" w:rsidR="001054C3" w:rsidRPr="0019096C" w:rsidRDefault="001054C3" w:rsidP="00234FBE">
      <w:pPr>
        <w:pStyle w:val="Heading3"/>
      </w:pPr>
      <w:r w:rsidRPr="00CB5241">
        <w:t xml:space="preserve">Capacity to vary the entitlement portfolio to match ecological </w:t>
      </w:r>
      <w:r>
        <w:t>needs</w:t>
      </w:r>
    </w:p>
    <w:p w14:paraId="6D9FE05D" w14:textId="77777777" w:rsidR="001054C3" w:rsidRDefault="001054C3" w:rsidP="00234FBE">
      <w:pPr>
        <w:pStyle w:val="BodyText"/>
      </w:pPr>
      <w:r w:rsidRPr="00CB3526">
        <w:t xml:space="preserve">The mix of different entitlement types held by environmental water holders determines the allocations available for use each year. </w:t>
      </w:r>
      <w:r>
        <w:t>O</w:t>
      </w:r>
      <w:r w:rsidRPr="00CB3526">
        <w:t>ver time, structural entitlement portfolio issues (such as a mismatch between entitlement reliability and environmental demand) can emerge that nimble seasonal allocation trading cannot address.</w:t>
      </w:r>
    </w:p>
    <w:p w14:paraId="296F3D08" w14:textId="77777777" w:rsidR="001054C3" w:rsidRDefault="001054C3" w:rsidP="00234FBE">
      <w:pPr>
        <w:pStyle w:val="BodyText"/>
      </w:pPr>
      <w:r w:rsidRPr="00517D3A">
        <w:t xml:space="preserve">To achieve the best </w:t>
      </w:r>
      <w:r>
        <w:t xml:space="preserve">environmental </w:t>
      </w:r>
      <w:r w:rsidRPr="00517D3A">
        <w:t>outcomes</w:t>
      </w:r>
      <w:r>
        <w:t>,</w:t>
      </w:r>
      <w:r w:rsidRPr="00517D3A">
        <w:t xml:space="preserve"> </w:t>
      </w:r>
      <w:r>
        <w:t xml:space="preserve">environmental water holders </w:t>
      </w:r>
      <w:r w:rsidRPr="00517D3A">
        <w:t>may</w:t>
      </w:r>
      <w:r>
        <w:t>, from time to time,</w:t>
      </w:r>
      <w:r w:rsidRPr="00517D3A">
        <w:t xml:space="preserve"> need </w:t>
      </w:r>
      <w:r>
        <w:t xml:space="preserve">the flexibility </w:t>
      </w:r>
      <w:r w:rsidRPr="00517D3A">
        <w:t>to rebalance entitlement portfolio</w:t>
      </w:r>
      <w:r>
        <w:t xml:space="preserve">s. </w:t>
      </w:r>
      <w:r w:rsidRPr="0059021C">
        <w:t xml:space="preserve">This will only become more important as climate change compels </w:t>
      </w:r>
      <w:r>
        <w:t>them</w:t>
      </w:r>
      <w:r w:rsidRPr="0059021C">
        <w:t xml:space="preserve"> to re</w:t>
      </w:r>
      <w:r>
        <w:noBreakHyphen/>
      </w:r>
      <w:r w:rsidRPr="0059021C">
        <w:t xml:space="preserve">evaluate their approach to </w:t>
      </w:r>
      <w:r>
        <w:t>environmental management</w:t>
      </w:r>
      <w:r w:rsidRPr="0059021C">
        <w:t>.</w:t>
      </w:r>
      <w:r>
        <w:t xml:space="preserve"> However, </w:t>
      </w:r>
      <w:r w:rsidRPr="00AB5C08">
        <w:t>environment</w:t>
      </w:r>
      <w:r>
        <w:t>al</w:t>
      </w:r>
      <w:r w:rsidRPr="00AB5C08">
        <w:t xml:space="preserve"> water entitlements</w:t>
      </w:r>
      <w:r>
        <w:t xml:space="preserve"> are a major public asset and should not be sold at the cost of </w:t>
      </w:r>
      <w:r w:rsidRPr="00AB5C08">
        <w:t>diminish</w:t>
      </w:r>
      <w:r>
        <w:t>ed</w:t>
      </w:r>
      <w:r w:rsidRPr="00AB5C08">
        <w:t xml:space="preserve"> environmental outcomes.</w:t>
      </w:r>
    </w:p>
    <w:p w14:paraId="2B852F74" w14:textId="77777777" w:rsidR="001054C3" w:rsidRDefault="001054C3" w:rsidP="00234FBE">
      <w:pPr>
        <w:pStyle w:val="BodyText"/>
      </w:pPr>
      <w:r>
        <w:t xml:space="preserve">Changes in </w:t>
      </w:r>
      <w:r w:rsidRPr="00C90D9C">
        <w:t>environment</w:t>
      </w:r>
      <w:r>
        <w:t>al</w:t>
      </w:r>
      <w:r w:rsidRPr="00C90D9C">
        <w:t xml:space="preserve"> water entitlement</w:t>
      </w:r>
      <w:r>
        <w:t xml:space="preserve"> holdings</w:t>
      </w:r>
      <w:r w:rsidRPr="00C90D9C">
        <w:t xml:space="preserve"> should only occur </w:t>
      </w:r>
      <w:r>
        <w:t>against a long</w:t>
      </w:r>
      <w:r>
        <w:noBreakHyphen/>
        <w:t>term plan of portfolio requirements, under</w:t>
      </w:r>
      <w:r w:rsidRPr="00C90D9C">
        <w:t xml:space="preserve"> clear guidelines, </w:t>
      </w:r>
      <w:r>
        <w:t xml:space="preserve">with cost–benefit analysis, </w:t>
      </w:r>
      <w:r w:rsidRPr="00180738">
        <w:t>consideration of possible</w:t>
      </w:r>
      <w:r w:rsidRPr="00180738">
        <w:rPr>
          <w:rFonts w:eastAsiaTheme="minorHAnsi"/>
        </w:rPr>
        <w:t xml:space="preserve"> consequential adjustments to catchment sustainable diversion limits and environmental provisions in water plans,</w:t>
      </w:r>
      <w:r>
        <w:rPr>
          <w:rFonts w:eastAsiaTheme="minorHAnsi"/>
        </w:rPr>
        <w:t xml:space="preserve"> </w:t>
      </w:r>
      <w:r w:rsidRPr="00C90D9C">
        <w:t>a formal approvals process such as ministerial approval</w:t>
      </w:r>
      <w:r w:rsidRPr="00D51FE3">
        <w:t xml:space="preserve"> </w:t>
      </w:r>
      <w:r>
        <w:t xml:space="preserve">and </w:t>
      </w:r>
      <w:r w:rsidRPr="00D51FE3">
        <w:t>reported trade activity</w:t>
      </w:r>
      <w:r>
        <w:t xml:space="preserve">. </w:t>
      </w:r>
      <w:r w:rsidRPr="00E16046">
        <w:t>These processes would provide confidence</w:t>
      </w:r>
      <w:r w:rsidRPr="00C90D9C">
        <w:t xml:space="preserve"> that </w:t>
      </w:r>
      <w:r>
        <w:t xml:space="preserve">buying or </w:t>
      </w:r>
      <w:r w:rsidRPr="00C90D9C">
        <w:t xml:space="preserve">selling entitlements </w:t>
      </w:r>
      <w:r>
        <w:t>will provide net benefits</w:t>
      </w:r>
      <w:r w:rsidRPr="00AB5C08">
        <w:t>.</w:t>
      </w:r>
      <w:r w:rsidRPr="00C90D9C">
        <w:t xml:space="preserve"> </w:t>
      </w:r>
      <w:r>
        <w:t>This</w:t>
      </w:r>
      <w:r w:rsidRPr="00C90D9C">
        <w:t xml:space="preserve"> </w:t>
      </w:r>
      <w:r>
        <w:t xml:space="preserve">cautious, </w:t>
      </w:r>
      <w:r w:rsidRPr="00C90D9C">
        <w:t>risk</w:t>
      </w:r>
      <w:r>
        <w:noBreakHyphen/>
      </w:r>
      <w:r w:rsidRPr="00C90D9C">
        <w:t xml:space="preserve">based approach would mean that </w:t>
      </w:r>
      <w:r>
        <w:t>entitlement</w:t>
      </w:r>
      <w:r w:rsidRPr="00C90D9C">
        <w:t xml:space="preserve"> transaction</w:t>
      </w:r>
      <w:r>
        <w:t>s</w:t>
      </w:r>
      <w:r w:rsidRPr="00C90D9C">
        <w:t xml:space="preserve"> would be expected to be infrequent.</w:t>
      </w:r>
    </w:p>
    <w:p w14:paraId="2F7A3CEC"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6D272F4C"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F800405" w14:textId="0A3408D8" w:rsidR="001054C3" w:rsidRPr="001E18DB" w:rsidRDefault="001054C3" w:rsidP="00234FBE">
            <w:pPr>
              <w:pStyle w:val="FindingTitle"/>
              <w:spacing w:before="120"/>
              <w:rPr>
                <w:noProof/>
              </w:rPr>
            </w:pPr>
            <w:r w:rsidRPr="001E18DB">
              <w:t>NWI renewal advice 8.</w:t>
            </w:r>
            <w:r>
              <w:rPr>
                <w:noProof/>
              </w:rPr>
              <w:t>8:</w:t>
            </w:r>
            <w:r w:rsidRPr="001E18DB">
              <w:rPr>
                <w:noProof/>
              </w:rPr>
              <w:t xml:space="preserve"> capacity to vary entitlement portfolio</w:t>
            </w:r>
          </w:p>
        </w:tc>
      </w:tr>
      <w:tr w:rsidR="001054C3" w:rsidRPr="00750BE2" w14:paraId="64EF4ACB"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34E5DA4" w14:textId="77777777" w:rsidR="001054C3" w:rsidRDefault="001054C3" w:rsidP="00234FBE">
            <w:pPr>
              <w:pStyle w:val="Finding"/>
              <w:keepNext/>
            </w:pPr>
            <w:r w:rsidRPr="00C37222">
              <w:t>Environmental water holders should</w:t>
            </w:r>
            <w:r>
              <w:t xml:space="preserve"> be enabled </w:t>
            </w:r>
            <w:r w:rsidRPr="007E0170">
              <w:t xml:space="preserve">to vary </w:t>
            </w:r>
            <w:r>
              <w:t xml:space="preserve">their </w:t>
            </w:r>
            <w:r w:rsidRPr="007E0170">
              <w:t>entitlement portfolio over time to match ecological requirements</w:t>
            </w:r>
            <w:r>
              <w:t xml:space="preserve"> in a changing climate.</w:t>
            </w:r>
          </w:p>
          <w:p w14:paraId="406B06C3" w14:textId="77777777" w:rsidR="001054C3" w:rsidRDefault="001054C3" w:rsidP="00234FBE">
            <w:pPr>
              <w:pStyle w:val="Finding"/>
              <w:spacing w:after="120"/>
            </w:pPr>
            <w:r>
              <w:t>E</w:t>
            </w:r>
            <w:r w:rsidRPr="00027B07">
              <w:t xml:space="preserve">nvironmental water </w:t>
            </w:r>
            <w:r>
              <w:t>entitlement trading should</w:t>
            </w:r>
            <w:r w:rsidRPr="00027B07">
              <w:t xml:space="preserve"> </w:t>
            </w:r>
            <w:r>
              <w:t xml:space="preserve">occur as </w:t>
            </w:r>
            <w:r w:rsidRPr="00027B07">
              <w:t xml:space="preserve">part of </w:t>
            </w:r>
            <w:r>
              <w:t xml:space="preserve">a </w:t>
            </w:r>
            <w:r w:rsidRPr="00027B07">
              <w:t>long</w:t>
            </w:r>
            <w:r>
              <w:noBreakHyphen/>
            </w:r>
            <w:r w:rsidRPr="00027B07">
              <w:t xml:space="preserve">term </w:t>
            </w:r>
            <w:r>
              <w:t xml:space="preserve">environmental water </w:t>
            </w:r>
            <w:r w:rsidRPr="00027B07">
              <w:t>portfolio management strategy</w:t>
            </w:r>
            <w:r>
              <w:t xml:space="preserve">. Governments should develop clear guidelines on the criteria for </w:t>
            </w:r>
            <w:bookmarkStart w:id="124" w:name="_Hlk70942918"/>
            <w:r>
              <w:t>trading</w:t>
            </w:r>
            <w:bookmarkEnd w:id="124"/>
            <w:r>
              <w:t xml:space="preserve"> </w:t>
            </w:r>
            <w:r w:rsidRPr="00612BD3">
              <w:t>environment</w:t>
            </w:r>
            <w:r>
              <w:t>al</w:t>
            </w:r>
            <w:r w:rsidRPr="00612BD3">
              <w:t xml:space="preserve"> water entitlements </w:t>
            </w:r>
            <w:r>
              <w:t>including</w:t>
            </w:r>
            <w:r w:rsidRPr="00612BD3">
              <w:t xml:space="preserve"> </w:t>
            </w:r>
            <w:r w:rsidRPr="00041D31">
              <w:t>cost</w:t>
            </w:r>
            <w:r>
              <w:noBreakHyphen/>
            </w:r>
            <w:r w:rsidRPr="00041D31">
              <w:t>benefit analysis, consideration of possible</w:t>
            </w:r>
            <w:r w:rsidRPr="00041D31">
              <w:rPr>
                <w:rFonts w:eastAsiaTheme="minorHAnsi"/>
              </w:rPr>
              <w:t xml:space="preserve"> consequential adjustments to catchment sustainable diversion limits and environmental provisions in water plans,</w:t>
            </w:r>
            <w:r w:rsidRPr="00041D31">
              <w:t xml:space="preserve"> a formal approvals</w:t>
            </w:r>
            <w:r w:rsidRPr="00612BD3">
              <w:t xml:space="preserve"> process</w:t>
            </w:r>
            <w:r>
              <w:t xml:space="preserve"> and publicly reported trade activity.</w:t>
            </w:r>
          </w:p>
        </w:tc>
      </w:tr>
      <w:tr w:rsidR="001054C3" w:rsidRPr="000863A5" w14:paraId="0762A2BC" w14:textId="77777777" w:rsidTr="00234FBE">
        <w:trPr>
          <w:cantSplit/>
        </w:trPr>
        <w:tc>
          <w:tcPr>
            <w:tcW w:w="5000" w:type="pct"/>
            <w:tcBorders>
              <w:top w:val="single" w:sz="6" w:space="0" w:color="0070C0"/>
              <w:left w:val="nil"/>
              <w:bottom w:val="nil"/>
              <w:right w:val="nil"/>
            </w:tcBorders>
            <w:tcMar>
              <w:left w:w="170" w:type="dxa"/>
              <w:right w:w="170" w:type="dxa"/>
            </w:tcMar>
          </w:tcPr>
          <w:p w14:paraId="4B15336C" w14:textId="77777777" w:rsidR="001054C3" w:rsidRPr="00626D32" w:rsidRDefault="001054C3" w:rsidP="00234FBE">
            <w:pPr>
              <w:pStyle w:val="BoxSpaceBelow"/>
              <w:keepLines/>
            </w:pPr>
          </w:p>
        </w:tc>
      </w:tr>
    </w:tbl>
    <w:p w14:paraId="6E09BA5F" w14:textId="77777777" w:rsidR="001054C3" w:rsidRDefault="001054C3" w:rsidP="00234FBE">
      <w:pPr>
        <w:pStyle w:val="Heading3"/>
      </w:pPr>
      <w:r>
        <w:t>S</w:t>
      </w:r>
      <w:r w:rsidRPr="005E10AC">
        <w:t>hared community benefits where compatible with environmental outcomes</w:t>
      </w:r>
    </w:p>
    <w:p w14:paraId="063FB192" w14:textId="77777777" w:rsidR="001054C3" w:rsidRDefault="001054C3" w:rsidP="00234FBE">
      <w:pPr>
        <w:pStyle w:val="BodyText"/>
      </w:pPr>
      <w:r>
        <w:t>Environmental watering can contribute to other public benefit outcomes.</w:t>
      </w:r>
    </w:p>
    <w:p w14:paraId="548BE69C" w14:textId="77777777" w:rsidR="001054C3" w:rsidRDefault="001054C3" w:rsidP="00234FBE">
      <w:pPr>
        <w:pStyle w:val="ListBullet"/>
      </w:pPr>
      <w:r>
        <w:t>For Aboriginal and Torres Strait Islander people, healthy rivers and wetlands are essential to spiritual, cultural and physical wellbeing (chapter 9). Where environmental and cultural water outcomes intersect there are opportunities for e</w:t>
      </w:r>
      <w:r w:rsidRPr="000C21C2">
        <w:t>nvironmental water</w:t>
      </w:r>
      <w:r>
        <w:t xml:space="preserve"> holders</w:t>
      </w:r>
      <w:r w:rsidRPr="000C21C2">
        <w:t xml:space="preserve"> </w:t>
      </w:r>
      <w:r>
        <w:t xml:space="preserve">to directly contribute </w:t>
      </w:r>
      <w:r w:rsidRPr="000C21C2">
        <w:t xml:space="preserve">to </w:t>
      </w:r>
      <w:r>
        <w:t xml:space="preserve">achieving </w:t>
      </w:r>
      <w:r w:rsidRPr="000C21C2">
        <w:t>cultural outcomes</w:t>
      </w:r>
      <w:r>
        <w:t>.</w:t>
      </w:r>
    </w:p>
    <w:p w14:paraId="161ACDD5" w14:textId="77777777" w:rsidR="001054C3" w:rsidRDefault="001054C3" w:rsidP="00234FBE">
      <w:pPr>
        <w:pStyle w:val="ListBullet"/>
      </w:pPr>
      <w:r>
        <w:t>Site</w:t>
      </w:r>
      <w:r>
        <w:noBreakHyphen/>
        <w:t>specific watering events can make a direct positive contribution to recreational opportunities such as fishing and canoeing and rowing regattas.</w:t>
      </w:r>
    </w:p>
    <w:p w14:paraId="1D573215" w14:textId="77777777" w:rsidR="001054C3" w:rsidRDefault="001054C3" w:rsidP="00234FBE">
      <w:pPr>
        <w:pStyle w:val="ListBullet"/>
      </w:pPr>
      <w:r>
        <w:t>Although difficult to quantify, healthy rivers, lakes and wetlands provide amenity benefits — that is, pleasure derived by those who use or view them.</w:t>
      </w:r>
    </w:p>
    <w:p w14:paraId="352910F8" w14:textId="77777777" w:rsidR="001054C3" w:rsidRDefault="001054C3" w:rsidP="00234FBE">
      <w:pPr>
        <w:pStyle w:val="BodyText"/>
      </w:pPr>
      <w:r w:rsidRPr="00CB3526">
        <w:t xml:space="preserve">Environmental water holders are increasingly </w:t>
      </w:r>
      <w:r>
        <w:t xml:space="preserve">taking into account </w:t>
      </w:r>
      <w:r w:rsidRPr="00CB3526">
        <w:t>public benefit outcomes</w:t>
      </w:r>
      <w:r>
        <w:t xml:space="preserve"> when </w:t>
      </w:r>
      <w:r w:rsidRPr="00C945A9">
        <w:t>planning watering events</w:t>
      </w:r>
      <w:r>
        <w:t xml:space="preserve">. To maximise the benefits of environmental water, explicit consideration should be given to public benefit outcomes, provided agreed environmental outcomes are not compromised. </w:t>
      </w:r>
      <w:r w:rsidRPr="00FB3957">
        <w:t>This limit is important</w:t>
      </w:r>
      <w:r>
        <w:t>.</w:t>
      </w:r>
      <w:r w:rsidRPr="00FB3957">
        <w:t xml:space="preserve"> </w:t>
      </w:r>
      <w:r>
        <w:t>T</w:t>
      </w:r>
      <w:r w:rsidRPr="00FB3957">
        <w:t xml:space="preserve">he pursuit of </w:t>
      </w:r>
      <w:r>
        <w:t xml:space="preserve">other </w:t>
      </w:r>
      <w:r w:rsidRPr="00FB3957">
        <w:t>public benefit outcomes may not always align with the best use of environmental water to achieve environmental outcomes.</w:t>
      </w:r>
      <w:r>
        <w:t xml:space="preserve"> If instances arise where competing public benefit outcomes are thought of more value to the community than the environmental watering and associated outcomes that would be forgone, then this needs to be the subject of discussion, agreement and the rebalancing of consumptive allocations in a water sharing plan review.</w:t>
      </w:r>
    </w:p>
    <w:p w14:paraId="037CBC8F" w14:textId="77777777" w:rsidR="001054C3" w:rsidRDefault="001054C3" w:rsidP="00234FBE">
      <w:pPr>
        <w:pStyle w:val="BodyText"/>
      </w:pPr>
      <w:r w:rsidRPr="00787CBB">
        <w:t xml:space="preserve">Environmental water holders have a responsibility to effectively </w:t>
      </w:r>
      <w:r>
        <w:t xml:space="preserve">collaborate and transparently </w:t>
      </w:r>
      <w:r w:rsidRPr="00447216">
        <w:t>communicate</w:t>
      </w:r>
      <w:r w:rsidRPr="00787CBB">
        <w:t xml:space="preserve"> decision</w:t>
      </w:r>
      <w:r>
        <w:t xml:space="preserve"> </w:t>
      </w:r>
      <w:r w:rsidRPr="00787CBB">
        <w:t>making on the delivery of shared benefits from environmental water.</w:t>
      </w:r>
      <w:r>
        <w:t xml:space="preserve"> </w:t>
      </w:r>
      <w:r w:rsidRPr="00787CBB">
        <w:t xml:space="preserve">In particular, environmental water holders should improve engagement </w:t>
      </w:r>
      <w:r>
        <w:t xml:space="preserve">and transparency </w:t>
      </w:r>
      <w:r w:rsidRPr="00787CBB">
        <w:t xml:space="preserve">with </w:t>
      </w:r>
      <w:r>
        <w:t>Traditional Owners</w:t>
      </w:r>
      <w:r w:rsidRPr="00787CBB">
        <w:t xml:space="preserve"> on cultural water decision</w:t>
      </w:r>
      <w:r>
        <w:t xml:space="preserve"> </w:t>
      </w:r>
      <w:r w:rsidRPr="00787CBB">
        <w:t>making and outcomes in environmental water planning processes (</w:t>
      </w:r>
      <w:r>
        <w:t>chapte</w:t>
      </w:r>
      <w:r w:rsidRPr="00B72C73">
        <w:t>r </w:t>
      </w:r>
      <w:r w:rsidRPr="00411A5D">
        <w:t>9</w:t>
      </w:r>
      <w:r w:rsidRPr="009120E3">
        <w:t>).</w:t>
      </w:r>
    </w:p>
    <w:p w14:paraId="635A71D8" w14:textId="77777777" w:rsidR="001054C3" w:rsidRDefault="001054C3" w:rsidP="00234FBE">
      <w:pPr>
        <w:pStyle w:val="BodyText"/>
      </w:pPr>
      <w:r>
        <w:t>P</w:t>
      </w:r>
      <w:r w:rsidRPr="00787CBB">
        <w:t>ublic benefit outcomes from environmental watering may be more difficult to achieve</w:t>
      </w:r>
      <w:r>
        <w:t xml:space="preserve"> d</w:t>
      </w:r>
      <w:r w:rsidRPr="00787CBB">
        <w:t>uring periods of water scarcity</w:t>
      </w:r>
      <w:r>
        <w:t xml:space="preserve"> when</w:t>
      </w:r>
      <w:r w:rsidRPr="00787CBB">
        <w:t xml:space="preserve"> environmental water allocations are reduced. </w:t>
      </w:r>
      <w:r>
        <w:t>W</w:t>
      </w:r>
      <w:r w:rsidRPr="00787CBB">
        <w:t xml:space="preserve">ater </w:t>
      </w:r>
      <w:r w:rsidRPr="00787CBB">
        <w:lastRenderedPageBreak/>
        <w:t xml:space="preserve">holders should </w:t>
      </w:r>
      <w:r>
        <w:t>build upon their knowledge</w:t>
      </w:r>
      <w:r w:rsidRPr="00787CBB">
        <w:t xml:space="preserve"> of the potential for environmental water to achieve public benefit outcomes under drying climate scenarios.</w:t>
      </w:r>
    </w:p>
    <w:p w14:paraId="1FCE58A4"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7BDC02B0"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A2B5801" w14:textId="332F2961" w:rsidR="001054C3" w:rsidRPr="001E18DB" w:rsidRDefault="001054C3" w:rsidP="00234FBE">
            <w:pPr>
              <w:pStyle w:val="FindingTitle"/>
              <w:spacing w:before="120"/>
              <w:rPr>
                <w:noProof/>
              </w:rPr>
            </w:pPr>
            <w:r w:rsidRPr="001E18DB">
              <w:t>NWI renewal advice 8.</w:t>
            </w:r>
            <w:r>
              <w:rPr>
                <w:noProof/>
              </w:rPr>
              <w:t xml:space="preserve">9: </w:t>
            </w:r>
            <w:r w:rsidRPr="001E18DB">
              <w:rPr>
                <w:noProof/>
              </w:rPr>
              <w:t>actively pursue public benefit outcomes</w:t>
            </w:r>
          </w:p>
        </w:tc>
      </w:tr>
      <w:tr w:rsidR="001054C3" w:rsidRPr="00750BE2" w14:paraId="1A26FD57"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2602275" w14:textId="77777777" w:rsidR="001054C3" w:rsidRDefault="001054C3" w:rsidP="00234FBE">
            <w:pPr>
              <w:pStyle w:val="Finding"/>
              <w:keepNext/>
            </w:pPr>
            <w:r>
              <w:t>E</w:t>
            </w:r>
            <w:r w:rsidRPr="0074560C">
              <w:t xml:space="preserve">nvironmental water holders </w:t>
            </w:r>
            <w:r>
              <w:t>should:</w:t>
            </w:r>
          </w:p>
          <w:p w14:paraId="7D16BA8B" w14:textId="77777777" w:rsidR="001054C3" w:rsidRDefault="001054C3" w:rsidP="00234FBE">
            <w:pPr>
              <w:pStyle w:val="FindingBullet"/>
            </w:pPr>
            <w:r>
              <w:t>give</w:t>
            </w:r>
            <w:r w:rsidRPr="0074560C">
              <w:t xml:space="preserve"> explicit considerat</w:t>
            </w:r>
            <w:r>
              <w:t>ion to other public benefit outcomes including cultural and social outcomes,</w:t>
            </w:r>
            <w:r w:rsidRPr="0074560C">
              <w:t xml:space="preserve"> where they do not compromise environmental outcomes</w:t>
            </w:r>
          </w:p>
          <w:p w14:paraId="6BFF50BE" w14:textId="77777777" w:rsidR="001054C3" w:rsidRDefault="001054C3" w:rsidP="00234FBE">
            <w:pPr>
              <w:pStyle w:val="FindingBullet"/>
            </w:pPr>
            <w:r>
              <w:t>improve collaboration and communication with Traditional Owners on cultural water decision making and outcomes in environmental water planning processes</w:t>
            </w:r>
          </w:p>
          <w:p w14:paraId="3CC978BE" w14:textId="77777777" w:rsidR="001054C3" w:rsidRDefault="001054C3" w:rsidP="00234FBE">
            <w:pPr>
              <w:pStyle w:val="FindingBullet"/>
            </w:pPr>
            <w:r w:rsidRPr="00BA4ABE">
              <w:t xml:space="preserve">report on </w:t>
            </w:r>
            <w:r>
              <w:t>any instances where specific cultural outcomes were unable to be delivered because they were incompatible with agreed environmental outcomes</w:t>
            </w:r>
          </w:p>
          <w:p w14:paraId="1829E446" w14:textId="77777777" w:rsidR="001054C3" w:rsidRDefault="001054C3" w:rsidP="00234FBE">
            <w:pPr>
              <w:pStyle w:val="FindingBullet"/>
              <w:spacing w:after="120"/>
            </w:pPr>
            <w:r>
              <w:t>build on their</w:t>
            </w:r>
            <w:r w:rsidRPr="0074560C">
              <w:t xml:space="preserve"> </w:t>
            </w:r>
            <w:r>
              <w:t xml:space="preserve">knowledge </w:t>
            </w:r>
            <w:r w:rsidRPr="0074560C">
              <w:t>of the potential for environmental water to achieve shared community benefits under drying climate scenarios.</w:t>
            </w:r>
          </w:p>
        </w:tc>
      </w:tr>
      <w:tr w:rsidR="001054C3" w:rsidRPr="000863A5" w14:paraId="5C66E812" w14:textId="77777777" w:rsidTr="00234FBE">
        <w:trPr>
          <w:cantSplit/>
        </w:trPr>
        <w:tc>
          <w:tcPr>
            <w:tcW w:w="5000" w:type="pct"/>
            <w:tcBorders>
              <w:top w:val="single" w:sz="6" w:space="0" w:color="0070C0"/>
              <w:left w:val="nil"/>
              <w:bottom w:val="nil"/>
              <w:right w:val="nil"/>
            </w:tcBorders>
            <w:tcMar>
              <w:left w:w="170" w:type="dxa"/>
              <w:right w:w="170" w:type="dxa"/>
            </w:tcMar>
          </w:tcPr>
          <w:p w14:paraId="64D1B703" w14:textId="77777777" w:rsidR="001054C3" w:rsidRPr="00626D32" w:rsidRDefault="001054C3" w:rsidP="00234FBE">
            <w:pPr>
              <w:pStyle w:val="BoxSpaceBelow"/>
              <w:keepLines/>
            </w:pPr>
          </w:p>
        </w:tc>
      </w:tr>
    </w:tbl>
    <w:p w14:paraId="72E1EFA6" w14:textId="77777777" w:rsidR="001054C3" w:rsidRPr="005905E5" w:rsidRDefault="001054C3" w:rsidP="00234FBE">
      <w:pPr>
        <w:pStyle w:val="Heading3"/>
      </w:pPr>
      <w:r>
        <w:t>Good g</w:t>
      </w:r>
      <w:r w:rsidRPr="005905E5">
        <w:t>overnance</w:t>
      </w:r>
      <w:r>
        <w:t xml:space="preserve"> to protect environmental water</w:t>
      </w:r>
    </w:p>
    <w:p w14:paraId="60B3AFD5" w14:textId="26A38C62" w:rsidR="001054C3" w:rsidRDefault="001054C3" w:rsidP="00234FBE">
      <w:pPr>
        <w:pStyle w:val="BodyText"/>
      </w:pPr>
      <w:r>
        <w:t>T</w:t>
      </w:r>
      <w:r w:rsidRPr="00FD4261">
        <w:t xml:space="preserve">he stakes </w:t>
      </w:r>
      <w:r>
        <w:t xml:space="preserve">in environmental water management </w:t>
      </w:r>
      <w:r w:rsidRPr="00FD4261">
        <w:t>are high</w:t>
      </w:r>
      <w:r>
        <w:t xml:space="preserve">. </w:t>
      </w:r>
      <w:r w:rsidRPr="00FD4261">
        <w:t>Governments hold entitlements worth billions of dollars — the Commonwealth</w:t>
      </w:r>
      <w:r>
        <w:t>’s</w:t>
      </w:r>
      <w:r w:rsidRPr="00FD4261">
        <w:t xml:space="preserve"> holdings </w:t>
      </w:r>
      <w:r>
        <w:t xml:space="preserve">alone are </w:t>
      </w:r>
      <w:r w:rsidRPr="00FD4261">
        <w:t xml:space="preserve">valued at </w:t>
      </w:r>
      <w:r>
        <w:t>over</w:t>
      </w:r>
      <w:r w:rsidRPr="00FD4261">
        <w:t xml:space="preserve"> $</w:t>
      </w:r>
      <w:r>
        <w:t>3.3 </w:t>
      </w:r>
      <w:r w:rsidRPr="00FD4261">
        <w:t>billion</w:t>
      </w:r>
      <w:r>
        <w:t xml:space="preserve"> </w:t>
      </w:r>
      <w:r w:rsidRPr="00305F06">
        <w:rPr>
          <w:szCs w:val="24"/>
        </w:rPr>
        <w:t>(PC 2018, p. 273)</w:t>
      </w:r>
      <w:r w:rsidRPr="00FD4261">
        <w:t xml:space="preserve">. </w:t>
      </w:r>
      <w:r>
        <w:t>And, e</w:t>
      </w:r>
      <w:r w:rsidRPr="00FD4261">
        <w:t>nvironmental wate</w:t>
      </w:r>
      <w:r>
        <w:t xml:space="preserve">r holders’ </w:t>
      </w:r>
      <w:r w:rsidRPr="00FD4261">
        <w:t>decisions affect regional environments and communities</w:t>
      </w:r>
      <w:r>
        <w:t>, and</w:t>
      </w:r>
      <w:r w:rsidRPr="00FD4261">
        <w:t xml:space="preserve"> are of significant interest</w:t>
      </w:r>
      <w:r>
        <w:t xml:space="preserve"> to other water users. Best</w:t>
      </w:r>
      <w:r>
        <w:noBreakHyphen/>
        <w:t>practice governance</w:t>
      </w:r>
      <w:r w:rsidRPr="00FD4261">
        <w:t xml:space="preserve"> </w:t>
      </w:r>
      <w:r>
        <w:t xml:space="preserve">is essential, including independence from government so that decision </w:t>
      </w:r>
      <w:r w:rsidRPr="007059B6">
        <w:t>making is free from political interference</w:t>
      </w:r>
      <w:r>
        <w:t>.</w:t>
      </w:r>
    </w:p>
    <w:p w14:paraId="686D7A62" w14:textId="3D6BF40F" w:rsidR="001054C3" w:rsidRDefault="001054C3" w:rsidP="00234FBE">
      <w:pPr>
        <w:pStyle w:val="BodyText"/>
      </w:pPr>
      <w:r>
        <w:t xml:space="preserve">There are suggestions that the </w:t>
      </w:r>
      <w:r w:rsidRPr="008C6CE4">
        <w:t xml:space="preserve">Australian and New South Wales Governments </w:t>
      </w:r>
      <w:r>
        <w:t xml:space="preserve">faced significant pressure to provide or sell environmental water allocations to irrigators during the recent drought </w:t>
      </w:r>
      <w:r w:rsidRPr="005408EF">
        <w:rPr>
          <w:szCs w:val="24"/>
        </w:rPr>
        <w:t>(O’Donnell and Horne 2018)</w:t>
      </w:r>
      <w:r>
        <w:t xml:space="preserve">. It has also been argued that the </w:t>
      </w:r>
      <w:r w:rsidRPr="0046101D">
        <w:t>C</w:t>
      </w:r>
      <w:r>
        <w:t>ommonwealth Environmental Water Holder’s</w:t>
      </w:r>
      <w:r w:rsidRPr="0046101D">
        <w:t xml:space="preserve"> governance arrangements proved effective and robust</w:t>
      </w:r>
      <w:r w:rsidRPr="00CD73DD">
        <w:t xml:space="preserve"> </w:t>
      </w:r>
      <w:r w:rsidRPr="005408EF">
        <w:rPr>
          <w:szCs w:val="24"/>
        </w:rPr>
        <w:t>(Hannam 2018)</w:t>
      </w:r>
      <w:r w:rsidRPr="0046101D">
        <w:t>.</w:t>
      </w:r>
      <w:r>
        <w:t xml:space="preserve"> </w:t>
      </w:r>
      <w:r w:rsidRPr="0046101D">
        <w:t xml:space="preserve">In contrast, </w:t>
      </w:r>
      <w:r>
        <w:t>it is not clear whether</w:t>
      </w:r>
      <w:r w:rsidRPr="0046101D">
        <w:t xml:space="preserve"> the New South Wales Government</w:t>
      </w:r>
      <w:r>
        <w:t xml:space="preserve">’s decision to </w:t>
      </w:r>
      <w:r w:rsidRPr="0046101D">
        <w:t>s</w:t>
      </w:r>
      <w:r>
        <w:t>ell</w:t>
      </w:r>
      <w:r w:rsidRPr="0046101D">
        <w:t xml:space="preserve"> 15 GL of environmental water allocation to irrigators within the Gwydir, Macquarie, Lachlan, Murrumbidgee and Murray</w:t>
      </w:r>
      <w:r>
        <w:t>–</w:t>
      </w:r>
      <w:r w:rsidRPr="0046101D">
        <w:t>Lower Darling valleys</w:t>
      </w:r>
      <w:r>
        <w:t xml:space="preserve"> in 2018</w:t>
      </w:r>
      <w:r w:rsidRPr="0046101D">
        <w:t xml:space="preserve"> </w:t>
      </w:r>
      <w:r>
        <w:t xml:space="preserve">was best use for the environment </w:t>
      </w:r>
      <w:r w:rsidRPr="00305F06">
        <w:rPr>
          <w:szCs w:val="24"/>
        </w:rPr>
        <w:t>(PC 2018, p. 294)</w:t>
      </w:r>
      <w:r w:rsidRPr="0046101D">
        <w:t>.</w:t>
      </w:r>
      <w:r>
        <w:t xml:space="preserve"> The </w:t>
      </w:r>
      <w:r w:rsidRPr="0005737B">
        <w:t>New South Wales Government should review governance arrangements to ensure that held environmental water is managed independently of government departments and political direction.</w:t>
      </w:r>
    </w:p>
    <w:p w14:paraId="4AFCF30B" w14:textId="77777777" w:rsidR="001054C3" w:rsidRDefault="001054C3" w:rsidP="00234FBE">
      <w:pPr>
        <w:pStyle w:val="BodyText"/>
        <w:keepNext/>
        <w:keepLines/>
      </w:pPr>
      <w:r>
        <w:lastRenderedPageBreak/>
        <w:t>In response to the Commission’s draft report the NSW Government (sub. DR138, p. 6) submitted that proceeds from the sale of the 15GL of environmental water in 2018</w:t>
      </w:r>
      <w:r>
        <w:noBreakHyphen/>
        <w:t>19:</w:t>
      </w:r>
    </w:p>
    <w:p w14:paraId="6504C6FC" w14:textId="77777777" w:rsidR="001054C3" w:rsidRDefault="001054C3" w:rsidP="00234FBE">
      <w:pPr>
        <w:pStyle w:val="Quote"/>
        <w:keepNext/>
        <w:keepLines/>
      </w:pPr>
      <w:r>
        <w:t>… were used to support drought related projects that had environmental benefits, such as installing fish screens on irrigation pumps to prevent the loss of small</w:t>
      </w:r>
      <w:r>
        <w:noBreakHyphen/>
        <w:t>bodied fish during pumping when water levels are low, weed and feral pest controls, and installation of infrastructure to improve the delivery of environmental water to Tuppal Creek.</w:t>
      </w:r>
    </w:p>
    <w:p w14:paraId="03529129" w14:textId="77777777" w:rsidR="001054C3" w:rsidRDefault="001054C3" w:rsidP="00234FBE">
      <w:pPr>
        <w:pStyle w:val="Quote"/>
      </w:pPr>
      <w:r>
        <w:t>Nonetheless, NSW supports the proposal made by the Productivity Commission that it should review current governance arrangements for environmental water management to ensure independence in decision</w:t>
      </w:r>
      <w:r>
        <w:noBreakHyphen/>
        <w:t>making, and is already considering potential options.</w:t>
      </w:r>
    </w:p>
    <w:p w14:paraId="11977CAF" w14:textId="77777777" w:rsidR="001054C3" w:rsidRDefault="001054C3" w:rsidP="00234FBE">
      <w:pPr>
        <w:pStyle w:val="BodyText"/>
      </w:pPr>
      <w:r>
        <w:t>I</w:t>
      </w:r>
      <w:r w:rsidRPr="00080B39">
        <w:t xml:space="preserve">ndependent auditing </w:t>
      </w:r>
      <w:r>
        <w:t xml:space="preserve">is also important. </w:t>
      </w:r>
      <w:r w:rsidRPr="00D63610">
        <w:t xml:space="preserve">The NWI recognises </w:t>
      </w:r>
      <w:r>
        <w:t>a</w:t>
      </w:r>
      <w:r w:rsidRPr="00D63610">
        <w:t xml:space="preserve"> need for periodic independent audit</w:t>
      </w:r>
      <w:r>
        <w:t xml:space="preserve"> </w:t>
      </w:r>
      <w:r w:rsidRPr="00D63610">
        <w:t>of the achievement of environmental and other public benefit outcomes and the adequacy of the water provision and management arrangements in achieving those outcomes</w:t>
      </w:r>
      <w:r>
        <w:t xml:space="preserve">. But there is no consistent or regular basis for this activity. Governments </w:t>
      </w:r>
      <w:r w:rsidRPr="00E658A9">
        <w:t xml:space="preserve">with environmental water entitlements </w:t>
      </w:r>
      <w:r>
        <w:t>should put independent auditing processes in place.</w:t>
      </w:r>
    </w:p>
    <w:p w14:paraId="7B96EE2F"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74802F3B"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83C8326" w14:textId="6C0CDF0D" w:rsidR="001054C3" w:rsidRPr="001E18DB" w:rsidRDefault="001054C3" w:rsidP="00234FBE">
            <w:pPr>
              <w:pStyle w:val="FindingTitle"/>
              <w:spacing w:before="120"/>
              <w:rPr>
                <w:noProof/>
              </w:rPr>
            </w:pPr>
            <w:r w:rsidRPr="001E18DB">
              <w:t>NWI renewal advice 8.</w:t>
            </w:r>
            <w:r>
              <w:rPr>
                <w:noProof/>
              </w:rPr>
              <w:t>10:</w:t>
            </w:r>
            <w:r w:rsidRPr="001E18DB">
              <w:rPr>
                <w:noProof/>
              </w:rPr>
              <w:t xml:space="preserve"> Independent managers and auditing</w:t>
            </w:r>
          </w:p>
        </w:tc>
      </w:tr>
      <w:tr w:rsidR="001054C3" w:rsidRPr="00750BE2" w14:paraId="2BD832B5"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4A0CFE2" w14:textId="77777777" w:rsidR="001054C3" w:rsidRDefault="001054C3" w:rsidP="00234FBE">
            <w:pPr>
              <w:pStyle w:val="Finding"/>
            </w:pPr>
            <w:r>
              <w:t>Where governments own significant held environmental water that can be actively managed they should ensure that decisions on the use of this water are made by independent bodies at arm’s length from government.</w:t>
            </w:r>
          </w:p>
          <w:p w14:paraId="58540F34" w14:textId="77777777" w:rsidR="001054C3" w:rsidRDefault="001054C3" w:rsidP="00234FBE">
            <w:pPr>
              <w:pStyle w:val="Finding"/>
              <w:spacing w:after="120"/>
            </w:pPr>
            <w:r>
              <w:t>Governments with held environmental water entitlements should provide for independent auditing, on a three</w:t>
            </w:r>
            <w:r>
              <w:noBreakHyphen/>
              <w:t xml:space="preserve">yearly basis, </w:t>
            </w:r>
            <w:r w:rsidRPr="000D282E">
              <w:t xml:space="preserve">of the adequacy </w:t>
            </w:r>
            <w:r>
              <w:t>and</w:t>
            </w:r>
            <w:r w:rsidRPr="000D282E">
              <w:t xml:space="preserve"> use of environmental water entitlemen</w:t>
            </w:r>
            <w:r>
              <w:t>ts to achieve the best outcomes.</w:t>
            </w:r>
          </w:p>
        </w:tc>
      </w:tr>
      <w:tr w:rsidR="001054C3" w:rsidRPr="000863A5" w14:paraId="3A8E2656" w14:textId="77777777" w:rsidTr="00234FBE">
        <w:trPr>
          <w:cantSplit/>
        </w:trPr>
        <w:tc>
          <w:tcPr>
            <w:tcW w:w="5000" w:type="pct"/>
            <w:tcBorders>
              <w:top w:val="single" w:sz="6" w:space="0" w:color="0070C0"/>
              <w:left w:val="nil"/>
              <w:bottom w:val="nil"/>
              <w:right w:val="nil"/>
            </w:tcBorders>
            <w:tcMar>
              <w:left w:w="170" w:type="dxa"/>
              <w:right w:w="170" w:type="dxa"/>
            </w:tcMar>
          </w:tcPr>
          <w:p w14:paraId="201E040D" w14:textId="77777777" w:rsidR="001054C3" w:rsidRPr="00626D32" w:rsidRDefault="001054C3" w:rsidP="00234FBE">
            <w:pPr>
              <w:pStyle w:val="BoxSpaceBelow"/>
              <w:keepLines/>
            </w:pPr>
          </w:p>
        </w:tc>
      </w:tr>
    </w:tbl>
    <w:p w14:paraId="7A61933F" w14:textId="1A8A0440" w:rsidR="001054C3" w:rsidRPr="006457AD" w:rsidRDefault="001054C3" w:rsidP="00234FBE">
      <w:pPr>
        <w:pStyle w:val="Heading2"/>
      </w:pPr>
      <w:bookmarkStart w:id="125" w:name="_Toc72939517"/>
      <w:r>
        <w:t>8.</w:t>
      </w:r>
      <w:r>
        <w:rPr>
          <w:noProof/>
        </w:rPr>
        <w:t>4</w:t>
      </w:r>
      <w:r>
        <w:tab/>
        <w:t>Water system managers should use their best endeavours to achieve agreed outcomes</w:t>
      </w:r>
      <w:bookmarkEnd w:id="125"/>
    </w:p>
    <w:p w14:paraId="0C5AC835" w14:textId="77777777" w:rsidR="001054C3" w:rsidRDefault="001054C3" w:rsidP="00234FBE">
      <w:pPr>
        <w:pStyle w:val="BodyText"/>
      </w:pPr>
      <w:r w:rsidRPr="009D21A0">
        <w:t xml:space="preserve">Water system managers are responsible for </w:t>
      </w:r>
      <w:r>
        <w:t xml:space="preserve">managing bulk water resources and </w:t>
      </w:r>
      <w:r w:rsidRPr="009D21A0">
        <w:t xml:space="preserve">operating </w:t>
      </w:r>
      <w:r>
        <w:t xml:space="preserve">bulk </w:t>
      </w:r>
      <w:r w:rsidRPr="009D21A0">
        <w:t>water</w:t>
      </w:r>
      <w:r>
        <w:t xml:space="preserve"> infrastructure</w:t>
      </w:r>
      <w:r w:rsidRPr="009D21A0">
        <w:t xml:space="preserve">. </w:t>
      </w:r>
      <w:r>
        <w:t>Essentially, their role involves maximising the benefits of water use for entitlement holders, the environment and other cultural, economic and social uses (where possible). Achieving agreed (and where possible, better) environmental and other public benefit outcomes requires a flexible and innovative system manager who is open to experimentation as opportunities arise. (The role of the system manager in water resource management is discussed further in SP E </w:t>
      </w:r>
      <w:r w:rsidRPr="00B26D0C">
        <w:rPr>
          <w:i/>
          <w:iCs/>
        </w:rPr>
        <w:t>Integrity</w:t>
      </w:r>
      <w:r>
        <w:t>.)</w:t>
      </w:r>
    </w:p>
    <w:p w14:paraId="11BF5786" w14:textId="77777777" w:rsidR="001054C3" w:rsidRDefault="001054C3" w:rsidP="00234FBE">
      <w:pPr>
        <w:spacing w:before="240" w:line="300" w:lineRule="atLeast"/>
        <w:jc w:val="both"/>
        <w:rPr>
          <w:szCs w:val="20"/>
        </w:rPr>
      </w:pPr>
      <w:r>
        <w:rPr>
          <w:szCs w:val="20"/>
        </w:rPr>
        <w:t>It is in the interests of all entitlement holders and the community that all opportunities are taken to get the best environmental outcomes possible from the current share of water for the environment. The expectation that water system managers should use their best endeavours (while protecting third</w:t>
      </w:r>
      <w:r>
        <w:rPr>
          <w:szCs w:val="20"/>
        </w:rPr>
        <w:noBreakHyphen/>
        <w:t xml:space="preserve">party interests) to facilitate the achievement of environmental and other public benefits should be included in the NWI. In practice, this </w:t>
      </w:r>
      <w:r>
        <w:rPr>
          <w:szCs w:val="20"/>
        </w:rPr>
        <w:lastRenderedPageBreak/>
        <w:t>could be achieved through a formal process such as inclusion of expectations for water system managers in a ministerial statement.</w:t>
      </w:r>
    </w:p>
    <w:p w14:paraId="748D60FB" w14:textId="77777777" w:rsidR="001054C3" w:rsidRDefault="001054C3" w:rsidP="00234FBE">
      <w:pPr>
        <w:spacing w:before="240" w:line="300" w:lineRule="atLeast"/>
        <w:jc w:val="both"/>
        <w:rPr>
          <w:szCs w:val="20"/>
        </w:rPr>
      </w:pPr>
      <w:r>
        <w:rPr>
          <w:szCs w:val="20"/>
        </w:rPr>
        <w:t>For transparency and accountability, governments should evaluate and report on system managers’ activities.</w:t>
      </w:r>
    </w:p>
    <w:p w14:paraId="6ECE6AF3" w14:textId="77777777" w:rsidR="001054C3" w:rsidRDefault="001054C3" w:rsidP="00234FBE">
      <w:pPr>
        <w:spacing w:before="240" w:line="300" w:lineRule="atLeast"/>
        <w:jc w:val="both"/>
        <w:rPr>
          <w:szCs w:val="20"/>
        </w:rPr>
      </w:pPr>
      <w:r>
        <w:rPr>
          <w:szCs w:val="20"/>
        </w:rPr>
        <w:t>Finally, t</w:t>
      </w:r>
      <w:r w:rsidRPr="00374F1A">
        <w:rPr>
          <w:szCs w:val="20"/>
        </w:rPr>
        <w:t>o implement adaptive management through continuous improvement, system manager</w:t>
      </w:r>
      <w:r>
        <w:rPr>
          <w:szCs w:val="20"/>
        </w:rPr>
        <w:t>s</w:t>
      </w:r>
      <w:r w:rsidRPr="00374F1A">
        <w:rPr>
          <w:szCs w:val="20"/>
        </w:rPr>
        <w:t xml:space="preserve"> should reflect on successes and failures from experimentation and share knowledge to improve practices across systems.</w:t>
      </w:r>
    </w:p>
    <w:p w14:paraId="7FE9F086"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11B83E7E"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CBD3572" w14:textId="5B5F273C" w:rsidR="001054C3" w:rsidRPr="001E18DB" w:rsidRDefault="001054C3" w:rsidP="00234FBE">
            <w:pPr>
              <w:pStyle w:val="FindingTitle"/>
              <w:spacing w:before="120"/>
              <w:rPr>
                <w:noProof/>
              </w:rPr>
            </w:pPr>
            <w:r w:rsidRPr="001E18DB">
              <w:t>NWI Renewal advice 8.</w:t>
            </w:r>
            <w:r>
              <w:rPr>
                <w:noProof/>
              </w:rPr>
              <w:t xml:space="preserve">11: </w:t>
            </w:r>
            <w:r w:rsidRPr="001E18DB">
              <w:rPr>
                <w:noProof/>
              </w:rPr>
              <w:t>The system Manager’s role in Environmental management</w:t>
            </w:r>
          </w:p>
        </w:tc>
      </w:tr>
      <w:tr w:rsidR="001054C3" w:rsidRPr="00750BE2" w14:paraId="58AF7B65"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44226B6" w14:textId="77777777" w:rsidR="001054C3" w:rsidRDefault="001054C3" w:rsidP="00234FBE">
            <w:pPr>
              <w:pStyle w:val="Finding"/>
              <w:keepNext/>
            </w:pPr>
            <w:r>
              <w:t>Water system managers</w:t>
            </w:r>
            <w:r w:rsidRPr="007A3B69">
              <w:t xml:space="preserve"> should be obligated to use their best endeavours</w:t>
            </w:r>
            <w:r>
              <w:t>, while protecting third</w:t>
            </w:r>
            <w:r>
              <w:noBreakHyphen/>
              <w:t>party interests,</w:t>
            </w:r>
            <w:r w:rsidRPr="007A3B69">
              <w:t xml:space="preserve"> to achieve agreed outcomes.</w:t>
            </w:r>
          </w:p>
          <w:p w14:paraId="58D40422" w14:textId="77777777" w:rsidR="001054C3" w:rsidRDefault="001054C3" w:rsidP="00234FBE">
            <w:pPr>
              <w:pStyle w:val="Finding"/>
              <w:keepNext/>
              <w:spacing w:after="120"/>
            </w:pPr>
            <w:r>
              <w:t>State and Territory G</w:t>
            </w:r>
            <w:r w:rsidRPr="00AB74B4">
              <w:t>overnments should report and evaluate system man</w:t>
            </w:r>
            <w:r>
              <w:t>a</w:t>
            </w:r>
            <w:r w:rsidRPr="00AB74B4">
              <w:t>gers</w:t>
            </w:r>
            <w:r>
              <w:t>’</w:t>
            </w:r>
            <w:r w:rsidRPr="00AB74B4">
              <w:t xml:space="preserve"> efforts </w:t>
            </w:r>
            <w:r>
              <w:t>at</w:t>
            </w:r>
            <w:r w:rsidRPr="00AB74B4">
              <w:t xml:space="preserve"> facilitat</w:t>
            </w:r>
            <w:r>
              <w:t>ing</w:t>
            </w:r>
            <w:r w:rsidRPr="00AB74B4">
              <w:t xml:space="preserve"> the achievement of agreed environmental and other public benefit outcomes.</w:t>
            </w:r>
          </w:p>
        </w:tc>
      </w:tr>
      <w:tr w:rsidR="001054C3" w:rsidRPr="000863A5" w14:paraId="11640568" w14:textId="77777777" w:rsidTr="00234FBE">
        <w:trPr>
          <w:cantSplit/>
        </w:trPr>
        <w:tc>
          <w:tcPr>
            <w:tcW w:w="5000" w:type="pct"/>
            <w:tcBorders>
              <w:top w:val="single" w:sz="6" w:space="0" w:color="0070C0"/>
              <w:left w:val="nil"/>
              <w:bottom w:val="nil"/>
              <w:right w:val="nil"/>
            </w:tcBorders>
            <w:tcMar>
              <w:left w:w="170" w:type="dxa"/>
              <w:right w:w="170" w:type="dxa"/>
            </w:tcMar>
          </w:tcPr>
          <w:p w14:paraId="5F1DB2DF" w14:textId="77777777" w:rsidR="001054C3" w:rsidRPr="00626D32" w:rsidRDefault="001054C3" w:rsidP="00234FBE">
            <w:pPr>
              <w:pStyle w:val="BoxSpaceBelow"/>
              <w:keepLines/>
            </w:pPr>
          </w:p>
        </w:tc>
      </w:tr>
    </w:tbl>
    <w:p w14:paraId="45302BF1" w14:textId="59014F9E" w:rsidR="001054C3" w:rsidRPr="006457AD" w:rsidRDefault="001054C3" w:rsidP="00234FBE">
      <w:pPr>
        <w:pStyle w:val="Heading2"/>
      </w:pPr>
      <w:bookmarkStart w:id="126" w:name="_Toc72939518"/>
      <w:r>
        <w:t>8.</w:t>
      </w:r>
      <w:r>
        <w:rPr>
          <w:noProof/>
        </w:rPr>
        <w:t>5</w:t>
      </w:r>
      <w:r>
        <w:tab/>
      </w:r>
      <w:r w:rsidRPr="00AF776F">
        <w:t>Effective monitoring, evaluation and reporting</w:t>
      </w:r>
      <w:bookmarkEnd w:id="126"/>
    </w:p>
    <w:p w14:paraId="64128920" w14:textId="77777777" w:rsidR="001054C3" w:rsidRDefault="001054C3" w:rsidP="00234FBE">
      <w:pPr>
        <w:pStyle w:val="BodyText"/>
      </w:pPr>
      <w:r>
        <w:t>E</w:t>
      </w:r>
      <w:r w:rsidRPr="00194F02">
        <w:t>nvironmental water management is not set and forget</w:t>
      </w:r>
      <w:r>
        <w:t xml:space="preserve"> — continual learning and adapting </w:t>
      </w:r>
      <w:r w:rsidRPr="00F47AE8">
        <w:t>underpins sustainable management</w:t>
      </w:r>
      <w:r>
        <w:t xml:space="preserve">. </w:t>
      </w:r>
      <w:r w:rsidRPr="00757FB9">
        <w:t>Monitoring, evaluation and reporting</w:t>
      </w:r>
      <w:r>
        <w:t xml:space="preserve"> against agreed outcomes </w:t>
      </w:r>
      <w:r w:rsidRPr="00757FB9">
        <w:t>should lead to more efficient and effective water use over time</w:t>
      </w:r>
      <w:r>
        <w:t>. Evaluation and reporting on outcomes that have not been achieved is particularly important. These activities will only become more important</w:t>
      </w:r>
      <w:r w:rsidRPr="00757FB9">
        <w:t xml:space="preserve"> given the unce</w:t>
      </w:r>
      <w:r>
        <w:t>rtainties of a changing climate.</w:t>
      </w:r>
    </w:p>
    <w:p w14:paraId="362382E4" w14:textId="77777777" w:rsidR="001054C3" w:rsidRDefault="001054C3" w:rsidP="00234FBE">
      <w:pPr>
        <w:pStyle w:val="BodyText"/>
      </w:pPr>
      <w:r w:rsidRPr="004653B7">
        <w:t xml:space="preserve">Monitoring, evaluation and reporting are </w:t>
      </w:r>
      <w:r>
        <w:t xml:space="preserve">also </w:t>
      </w:r>
      <w:r w:rsidRPr="004653B7">
        <w:t>key inputs to ensuring accountability and building public trust and credibility in the way water is managed. They allow informed judgements on the merits of government decisions to allocate water to the environment, whether through planning frameworks or entitlement acquisition</w:t>
      </w:r>
      <w:r>
        <w:t>s</w:t>
      </w:r>
      <w:r w:rsidRPr="004653B7">
        <w:t>.</w:t>
      </w:r>
    </w:p>
    <w:p w14:paraId="0B613EBF" w14:textId="77777777" w:rsidR="001054C3" w:rsidRDefault="001054C3" w:rsidP="00234FBE">
      <w:pPr>
        <w:pStyle w:val="BodyText"/>
      </w:pPr>
      <w:r>
        <w:t>Monitoring and reporting of</w:t>
      </w:r>
      <w:r w:rsidRPr="00BD581B">
        <w:t xml:space="preserve"> </w:t>
      </w:r>
      <w:r>
        <w:t xml:space="preserve">environmental </w:t>
      </w:r>
      <w:r w:rsidRPr="00BD581B">
        <w:t>outcomes</w:t>
      </w:r>
      <w:r>
        <w:t xml:space="preserve"> has received greater focus in recent years (</w:t>
      </w:r>
      <w:r w:rsidRPr="00035D50">
        <w:rPr>
          <w:i/>
          <w:iCs/>
        </w:rPr>
        <w:t>Assessment</w:t>
      </w:r>
      <w:r>
        <w:t xml:space="preserve">), but some inquiry participants reported gaps in some systems (SP C </w:t>
      </w:r>
      <w:r w:rsidRPr="00FD0906">
        <w:rPr>
          <w:i/>
          <w:iCs/>
        </w:rPr>
        <w:t>Environment</w:t>
      </w:r>
      <w:r>
        <w:t>).</w:t>
      </w:r>
    </w:p>
    <w:p w14:paraId="2CB0D7AA" w14:textId="77777777" w:rsidR="001054C3" w:rsidRDefault="001054C3" w:rsidP="00234FBE">
      <w:pPr>
        <w:pStyle w:val="BodyText"/>
      </w:pPr>
      <w:r>
        <w:t>Ecological complexity makes monitoring agreed environmental outcomes inherently difficult and costly. Therefore, monitoring, evaluation and reporting should be fit for purpose — that is, commensurate with the risk to, and value of, outcomes to the community.</w:t>
      </w:r>
    </w:p>
    <w:p w14:paraId="174E6A07" w14:textId="77777777" w:rsidR="001054C3" w:rsidRDefault="001054C3" w:rsidP="00234FBE">
      <w:pPr>
        <w:pStyle w:val="BodyText"/>
      </w:pPr>
      <w:r>
        <w:t>In complex systems with held environmental water, adaptive management (one that learns from past experience to improve future decisions)</w:t>
      </w:r>
      <w:r w:rsidRPr="00757FB9">
        <w:t xml:space="preserve"> </w:t>
      </w:r>
      <w:r>
        <w:t>requires greater attention. Managers must make decisions about water use despite significant uncertainty concerning future water availability, ecological responses to water provision and changing on</w:t>
      </w:r>
      <w:r>
        <w:noBreakHyphen/>
        <w:t xml:space="preserve">ground conditions. </w:t>
      </w:r>
      <w:r>
        <w:lastRenderedPageBreak/>
        <w:t>This inevitably involves trial and error, so it is essential that past learnings are used effectively to inform future decisions. While a</w:t>
      </w:r>
      <w:r w:rsidRPr="00EB3EC4">
        <w:t>daptive management is widely recognised as a key overarching principle for effective water management, it is not reflected in the NWI and therefore warrants a greater focus in future reforms.</w:t>
      </w:r>
    </w:p>
    <w:p w14:paraId="36465D25" w14:textId="77777777" w:rsidR="001054C3" w:rsidRDefault="001054C3" w:rsidP="00234FBE">
      <w:pPr>
        <w:pStyle w:val="BodyText"/>
      </w:pPr>
      <w:r>
        <w:t>An ongoing commitment to adaptive management through monitoring, evaluation and reporting is key to achieving agreed outcomes. G</w:t>
      </w:r>
      <w:r w:rsidRPr="00EB7B8F">
        <w:t>overnments should establish mechanisms to ensure adaptive management is implemented consistently and explicitly in practice.</w:t>
      </w:r>
      <w:r>
        <w:t xml:space="preserve"> Jurisdictions should focus on outcomes, and publicly report on agreed outcomes that are not achieved, in addition to those that are, and the reasons why.</w:t>
      </w:r>
    </w:p>
    <w:p w14:paraId="44701CAC" w14:textId="77777777" w:rsidR="001054C3" w:rsidRDefault="001054C3" w:rsidP="00234FBE">
      <w:pPr>
        <w:pStyle w:val="BodyText"/>
      </w:pPr>
      <w:r>
        <w:t>Finally, managers of held environmental water should use the results of monitoring, evaluation and research to improve water use as part of an adaptive management cycle. To achieve this, adaptive management should be adequately resourced.</w:t>
      </w:r>
    </w:p>
    <w:p w14:paraId="1C08D039" w14:textId="77777777" w:rsidR="001054C3" w:rsidRPr="004E3B94" w:rsidRDefault="001054C3" w:rsidP="00234FBE">
      <w:pPr>
        <w:pStyle w:val="BoxSpaceAbove"/>
      </w:pPr>
      <w:bookmarkStart w:id="127" w:name="_Hlk6264054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4ED0C35B"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928D71A" w14:textId="3D574430" w:rsidR="001054C3" w:rsidRPr="001E18DB" w:rsidRDefault="001054C3" w:rsidP="00234FBE">
            <w:pPr>
              <w:pStyle w:val="FindingTitle"/>
              <w:spacing w:before="120"/>
              <w:rPr>
                <w:noProof/>
              </w:rPr>
            </w:pPr>
            <w:r w:rsidRPr="001E18DB">
              <w:t>NWI Renewal advice 8.</w:t>
            </w:r>
            <w:r>
              <w:rPr>
                <w:noProof/>
              </w:rPr>
              <w:t>12:</w:t>
            </w:r>
            <w:r w:rsidRPr="001E18DB">
              <w:rPr>
                <w:noProof/>
              </w:rPr>
              <w:t xml:space="preserve"> Commitment to adaptive management</w:t>
            </w:r>
          </w:p>
        </w:tc>
      </w:tr>
      <w:tr w:rsidR="001054C3" w:rsidRPr="00750BE2" w14:paraId="4F7853D1" w14:textId="77777777" w:rsidTr="00234FBE">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9E35BC4" w14:textId="77777777" w:rsidR="001054C3" w:rsidRDefault="001054C3" w:rsidP="00234FBE">
            <w:pPr>
              <w:pStyle w:val="Finding"/>
              <w:keepNext/>
            </w:pPr>
            <w:r>
              <w:t>In planned environmental water systems, State and Territory Governments</w:t>
            </w:r>
            <w:r w:rsidRPr="004178B8">
              <w:t xml:space="preserve"> </w:t>
            </w:r>
            <w:r>
              <w:t>should:</w:t>
            </w:r>
          </w:p>
          <w:p w14:paraId="624442A5" w14:textId="77777777" w:rsidR="001054C3" w:rsidRDefault="001054C3" w:rsidP="00234FBE">
            <w:pPr>
              <w:pStyle w:val="FindingBullet"/>
            </w:pPr>
            <w:r w:rsidRPr="001D7E0D">
              <w:t>establish mechanisms to ensure that adaptive management</w:t>
            </w:r>
            <w:r>
              <w:t xml:space="preserve"> </w:t>
            </w:r>
            <w:r w:rsidRPr="001D7E0D">
              <w:t>is implemented consistently and explicitly in practice</w:t>
            </w:r>
          </w:p>
          <w:p w14:paraId="6FBDA8FA" w14:textId="77777777" w:rsidR="001054C3" w:rsidRDefault="001054C3" w:rsidP="00234FBE">
            <w:pPr>
              <w:pStyle w:val="FindingBullet"/>
            </w:pPr>
            <w:r>
              <w:t>ensure adequate</w:t>
            </w:r>
            <w:r w:rsidRPr="004178B8">
              <w:t xml:space="preserve"> </w:t>
            </w:r>
            <w:r>
              <w:t xml:space="preserve">monitoring, evaluation and reporting efforts </w:t>
            </w:r>
            <w:r w:rsidRPr="004178B8">
              <w:t xml:space="preserve">on </w:t>
            </w:r>
            <w:r>
              <w:t xml:space="preserve">agreed environmental </w:t>
            </w:r>
            <w:r w:rsidRPr="004178B8">
              <w:t>outcomes, and report openly about instances where</w:t>
            </w:r>
            <w:r>
              <w:t xml:space="preserve"> these</w:t>
            </w:r>
            <w:r w:rsidRPr="004178B8">
              <w:t xml:space="preserve"> o</w:t>
            </w:r>
            <w:r>
              <w:t>utcomes</w:t>
            </w:r>
            <w:r w:rsidRPr="004178B8">
              <w:t xml:space="preserve"> are not achieved</w:t>
            </w:r>
            <w:r>
              <w:t>.</w:t>
            </w:r>
          </w:p>
          <w:p w14:paraId="5A087462" w14:textId="77777777" w:rsidR="001054C3" w:rsidRDefault="001054C3" w:rsidP="00234FBE">
            <w:pPr>
              <w:pStyle w:val="Finding"/>
              <w:rPr>
                <w:rFonts w:eastAsiaTheme="minorHAnsi"/>
              </w:rPr>
            </w:pPr>
            <w:r>
              <w:rPr>
                <w:rFonts w:eastAsiaTheme="minorHAnsi"/>
              </w:rPr>
              <w:t>Environmental water holders</w:t>
            </w:r>
            <w:r w:rsidRPr="00754851">
              <w:rPr>
                <w:rFonts w:eastAsiaTheme="minorHAnsi"/>
              </w:rPr>
              <w:t xml:space="preserve"> should</w:t>
            </w:r>
            <w:r>
              <w:rPr>
                <w:rFonts w:eastAsiaTheme="minorHAnsi"/>
              </w:rPr>
              <w:t>:</w:t>
            </w:r>
          </w:p>
          <w:p w14:paraId="1165AD4B" w14:textId="77777777" w:rsidR="001054C3" w:rsidRDefault="001054C3" w:rsidP="00234FBE">
            <w:pPr>
              <w:pStyle w:val="FindingBullet"/>
              <w:rPr>
                <w:rFonts w:eastAsiaTheme="minorHAnsi"/>
              </w:rPr>
            </w:pPr>
            <w:r w:rsidRPr="00754851">
              <w:rPr>
                <w:rFonts w:eastAsiaTheme="minorHAnsi"/>
              </w:rPr>
              <w:t>use the results of monitoring,</w:t>
            </w:r>
            <w:r>
              <w:rPr>
                <w:rFonts w:eastAsiaTheme="minorHAnsi"/>
              </w:rPr>
              <w:t xml:space="preserve"> </w:t>
            </w:r>
            <w:r w:rsidRPr="00754851">
              <w:rPr>
                <w:rFonts w:eastAsiaTheme="minorHAnsi"/>
              </w:rPr>
              <w:t>evaluation and research to improve water use as part of an adaptive management</w:t>
            </w:r>
            <w:r>
              <w:rPr>
                <w:rFonts w:eastAsiaTheme="minorHAnsi"/>
              </w:rPr>
              <w:t xml:space="preserve"> </w:t>
            </w:r>
            <w:r w:rsidRPr="00754851">
              <w:rPr>
                <w:rFonts w:eastAsiaTheme="minorHAnsi"/>
              </w:rPr>
              <w:t>cycle</w:t>
            </w:r>
            <w:r>
              <w:rPr>
                <w:rFonts w:eastAsiaTheme="minorHAnsi"/>
              </w:rPr>
              <w:t xml:space="preserve"> and ensure that this is </w:t>
            </w:r>
            <w:r w:rsidRPr="00754851">
              <w:rPr>
                <w:rFonts w:eastAsiaTheme="minorHAnsi"/>
              </w:rPr>
              <w:t>adequately resourced</w:t>
            </w:r>
          </w:p>
          <w:p w14:paraId="04B5D9FC" w14:textId="77777777" w:rsidR="001054C3" w:rsidRDefault="001054C3" w:rsidP="00234FBE">
            <w:pPr>
              <w:pStyle w:val="FindingBullet"/>
              <w:spacing w:after="120"/>
            </w:pPr>
            <w:r>
              <w:rPr>
                <w:rFonts w:eastAsiaTheme="minorHAnsi"/>
              </w:rPr>
              <w:t>publicly report on</w:t>
            </w:r>
            <w:r w:rsidRPr="00B05A56">
              <w:rPr>
                <w:rFonts w:eastAsiaTheme="minorHAnsi"/>
              </w:rPr>
              <w:t xml:space="preserve"> environmental water use</w:t>
            </w:r>
            <w:r>
              <w:rPr>
                <w:rFonts w:eastAsiaTheme="minorHAnsi"/>
              </w:rPr>
              <w:t>,</w:t>
            </w:r>
            <w:r w:rsidRPr="00B05A56">
              <w:rPr>
                <w:rFonts w:eastAsiaTheme="minorHAnsi"/>
              </w:rPr>
              <w:t xml:space="preserve"> the outcomes of watering events</w:t>
            </w:r>
            <w:r>
              <w:rPr>
                <w:rFonts w:eastAsiaTheme="minorHAnsi"/>
              </w:rPr>
              <w:t>,</w:t>
            </w:r>
            <w:r w:rsidRPr="00B05A56">
              <w:rPr>
                <w:rFonts w:eastAsiaTheme="minorHAnsi"/>
              </w:rPr>
              <w:t xml:space="preserve"> the achievement of ecological outcomes</w:t>
            </w:r>
            <w:r>
              <w:rPr>
                <w:rFonts w:eastAsiaTheme="minorHAnsi"/>
              </w:rPr>
              <w:t>, and monitoring of objectives</w:t>
            </w:r>
            <w:r w:rsidRPr="00B05A56">
              <w:rPr>
                <w:rFonts w:eastAsiaTheme="minorHAnsi"/>
              </w:rPr>
              <w:t>.</w:t>
            </w:r>
          </w:p>
        </w:tc>
      </w:tr>
      <w:tr w:rsidR="001054C3" w:rsidRPr="000863A5" w14:paraId="2E7DB037" w14:textId="77777777" w:rsidTr="00234FBE">
        <w:trPr>
          <w:cantSplit/>
        </w:trPr>
        <w:tc>
          <w:tcPr>
            <w:tcW w:w="5000" w:type="pct"/>
            <w:tcBorders>
              <w:top w:val="single" w:sz="6" w:space="0" w:color="0070C0"/>
              <w:left w:val="nil"/>
              <w:bottom w:val="nil"/>
              <w:right w:val="nil"/>
            </w:tcBorders>
            <w:tcMar>
              <w:left w:w="170" w:type="dxa"/>
              <w:right w:w="170" w:type="dxa"/>
            </w:tcMar>
          </w:tcPr>
          <w:p w14:paraId="56344667" w14:textId="77777777" w:rsidR="001054C3" w:rsidRPr="00626D32" w:rsidRDefault="001054C3" w:rsidP="00234FBE">
            <w:pPr>
              <w:pStyle w:val="BoxSpaceBelow"/>
              <w:keepLines/>
            </w:pPr>
          </w:p>
        </w:tc>
      </w:tr>
      <w:bookmarkEnd w:id="127"/>
    </w:tbl>
    <w:p w14:paraId="26DDFCCF" w14:textId="77777777" w:rsidR="001054C3" w:rsidRDefault="001054C3" w:rsidP="00120072">
      <w:pPr>
        <w:pStyle w:val="BodyText"/>
      </w:pPr>
    </w:p>
    <w:p w14:paraId="2D3847F9" w14:textId="77777777" w:rsidR="001054C3" w:rsidRDefault="001054C3" w:rsidP="001054C3">
      <w:pPr>
        <w:sectPr w:rsidR="001054C3" w:rsidSect="00590B2D">
          <w:headerReference w:type="even" r:id="rId102"/>
          <w:headerReference w:type="default" r:id="rId103"/>
          <w:footerReference w:type="even" r:id="rId104"/>
          <w:footerReference w:type="default" r:id="rId105"/>
          <w:type w:val="evenPage"/>
          <w:pgSz w:w="11907" w:h="16840" w:code="9"/>
          <w:pgMar w:top="1985" w:right="1304" w:bottom="1247" w:left="1814" w:header="1701" w:footer="397" w:gutter="0"/>
          <w:pgNumType w:chapSep="period"/>
          <w:cols w:space="720"/>
          <w:docGrid w:linePitch="326"/>
        </w:sectPr>
      </w:pPr>
    </w:p>
    <w:p w14:paraId="632DECD4" w14:textId="21C73391" w:rsidR="001054C3" w:rsidRDefault="001054C3" w:rsidP="00234FBE">
      <w:pPr>
        <w:pStyle w:val="Heading1"/>
        <w:spacing w:before="0"/>
      </w:pPr>
      <w:bookmarkStart w:id="128" w:name="_Toc72939519"/>
      <w:r>
        <w:lastRenderedPageBreak/>
        <w:t>9</w:t>
      </w:r>
      <w:r>
        <w:tab/>
        <w:t>Securing Aboriginal and Torres Strait Islander people</w:t>
      </w:r>
      <w:r w:rsidR="001C0463">
        <w:t>’</w:t>
      </w:r>
      <w:r>
        <w:t>s interests in water</w:t>
      </w:r>
      <w:bookmarkEnd w:id="128"/>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76AAFF2B" w14:textId="77777777" w:rsidTr="00234FBE">
        <w:trPr>
          <w:tblHeader/>
        </w:trPr>
        <w:tc>
          <w:tcPr>
            <w:tcW w:w="5000" w:type="pct"/>
            <w:tcBorders>
              <w:top w:val="single" w:sz="6" w:space="0" w:color="78A22F"/>
              <w:left w:val="nil"/>
              <w:bottom w:val="nil"/>
              <w:right w:val="nil"/>
            </w:tcBorders>
            <w:shd w:val="clear" w:color="auto" w:fill="F2F2F2"/>
          </w:tcPr>
          <w:p w14:paraId="75A283E6" w14:textId="77777777" w:rsidR="001054C3" w:rsidRDefault="001054C3" w:rsidP="00234FBE">
            <w:pPr>
              <w:pStyle w:val="BoxTitle"/>
            </w:pPr>
            <w:r>
              <w:t>Key points</w:t>
            </w:r>
          </w:p>
        </w:tc>
      </w:tr>
      <w:tr w:rsidR="001054C3" w14:paraId="307EF200" w14:textId="77777777" w:rsidTr="00234FBE">
        <w:tc>
          <w:tcPr>
            <w:tcW w:w="5000" w:type="pct"/>
            <w:tcBorders>
              <w:top w:val="nil"/>
              <w:left w:val="nil"/>
              <w:bottom w:val="nil"/>
              <w:right w:val="nil"/>
            </w:tcBorders>
            <w:shd w:val="clear" w:color="auto" w:fill="F2F2F2"/>
          </w:tcPr>
          <w:p w14:paraId="190C1520" w14:textId="77777777" w:rsidR="001054C3" w:rsidRDefault="001054C3" w:rsidP="00234FBE">
            <w:pPr>
              <w:pStyle w:val="BoxListBullet"/>
            </w:pPr>
            <w:r>
              <w:t>The National Water Initiative (NWI) is a product of its time, with a focus on achieving cultural outcomes through engagement with Aboriginal and Torres Strait Islander people. Since 2004, Aboriginal and Torres Strait Islander people have articulated their aspirations for access to water for unconstrained use (that is, for both cultural and economic purposes).</w:t>
            </w:r>
          </w:p>
          <w:p w14:paraId="7F9333E1" w14:textId="77777777" w:rsidR="001054C3" w:rsidRDefault="001054C3" w:rsidP="00234FBE">
            <w:pPr>
              <w:pStyle w:val="BoxListBullet"/>
            </w:pPr>
            <w:r>
              <w:t>In 2020, all Australian governments signed the National Agreement on Closing the Gap. One desired outcome is that Aboriginal and Torres Strait Islander people maintain their distinctive relationship with water. A target for inland waters is also to be developed.</w:t>
            </w:r>
          </w:p>
          <w:p w14:paraId="4D3A34FA" w14:textId="77777777" w:rsidR="001054C3" w:rsidRPr="006F6A88" w:rsidRDefault="001054C3" w:rsidP="00234FBE">
            <w:pPr>
              <w:pStyle w:val="BoxListBullet"/>
              <w:rPr>
                <w:spacing w:val="-2"/>
              </w:rPr>
            </w:pPr>
            <w:r>
              <w:t>Consistent with the co</w:t>
            </w:r>
            <w:r>
              <w:noBreakHyphen/>
              <w:t xml:space="preserve">design approach committed to in the National Agreement on Closing the Gap, a Committee on Aboriginal Water Interests with Aboriginal and Torres Strait Islander membership has been established to develop a new NWI element </w:t>
            </w:r>
            <w:r w:rsidRPr="006F6A88">
              <w:rPr>
                <w:spacing w:val="-2"/>
              </w:rPr>
              <w:t xml:space="preserve">covering </w:t>
            </w:r>
            <w:r>
              <w:rPr>
                <w:spacing w:val="-2"/>
              </w:rPr>
              <w:t xml:space="preserve">Aboriginal and Torres Strait Islander </w:t>
            </w:r>
            <w:r w:rsidRPr="006F6A88">
              <w:rPr>
                <w:spacing w:val="-2"/>
              </w:rPr>
              <w:t xml:space="preserve">people’s </w:t>
            </w:r>
            <w:r>
              <w:rPr>
                <w:spacing w:val="-2"/>
              </w:rPr>
              <w:t xml:space="preserve">interests in </w:t>
            </w:r>
            <w:r w:rsidRPr="006F6A88">
              <w:rPr>
                <w:spacing w:val="-2"/>
              </w:rPr>
              <w:t>water. This</w:t>
            </w:r>
            <w:r>
              <w:rPr>
                <w:spacing w:val="-2"/>
              </w:rPr>
              <w:t xml:space="preserve"> </w:t>
            </w:r>
            <w:r w:rsidRPr="006F6A88">
              <w:rPr>
                <w:spacing w:val="-2"/>
              </w:rPr>
              <w:t>approach could be strengthened</w:t>
            </w:r>
            <w:r>
              <w:rPr>
                <w:spacing w:val="-2"/>
              </w:rPr>
              <w:t xml:space="preserve"> by:</w:t>
            </w:r>
          </w:p>
          <w:p w14:paraId="4D0F2693" w14:textId="77777777" w:rsidR="001054C3" w:rsidRDefault="001054C3" w:rsidP="00234FBE">
            <w:pPr>
              <w:pStyle w:val="BoxListBullet2"/>
            </w:pPr>
            <w:r>
              <w:t>allowing it to report directly to water ministers</w:t>
            </w:r>
          </w:p>
          <w:p w14:paraId="5947A161" w14:textId="77777777" w:rsidR="001054C3" w:rsidRDefault="001054C3" w:rsidP="00234FBE">
            <w:pPr>
              <w:pStyle w:val="BoxListBullet2"/>
            </w:pPr>
            <w:r>
              <w:t>co</w:t>
            </w:r>
            <w:r>
              <w:noBreakHyphen/>
              <w:t>ordination with Coalition of Peaks members involved in implementing the National Agreement on Closing the Gap. This would aim to ensure that the water outcome and inland waters target under the agreement are reflected in a renewed NWI.</w:t>
            </w:r>
          </w:p>
          <w:p w14:paraId="2C06E71F" w14:textId="77777777" w:rsidR="001054C3" w:rsidRDefault="001054C3" w:rsidP="00234FBE">
            <w:pPr>
              <w:pStyle w:val="BoxListBullet"/>
            </w:pPr>
            <w:r w:rsidRPr="00FD4151">
              <w:t xml:space="preserve">The delivery of cultural outcomes could be improved through existing frameworks while the new NWI element is being developed, as well as being incorporated into the </w:t>
            </w:r>
            <w:r>
              <w:t>re</w:t>
            </w:r>
            <w:r w:rsidRPr="00FD4151">
              <w:t>new</w:t>
            </w:r>
            <w:r>
              <w:t>ed</w:t>
            </w:r>
            <w:r w:rsidRPr="00FD4151">
              <w:t xml:space="preserve"> NWI.</w:t>
            </w:r>
          </w:p>
          <w:p w14:paraId="1FDD64C8" w14:textId="77777777" w:rsidR="001054C3" w:rsidRDefault="001054C3" w:rsidP="00234FBE">
            <w:pPr>
              <w:pStyle w:val="BoxListBullet2"/>
            </w:pPr>
            <w:r>
              <w:tab/>
              <w:t>Clear, measurable and well</w:t>
            </w:r>
            <w:r>
              <w:noBreakHyphen/>
              <w:t>informed cultural outcomes should be agreed in water plans. Monitoring and reporting arrangements that promote accountability and foster learning about what works should also be put in place.</w:t>
            </w:r>
          </w:p>
          <w:p w14:paraId="0B70224E" w14:textId="77777777" w:rsidR="001054C3" w:rsidRDefault="001054C3" w:rsidP="00234FBE">
            <w:pPr>
              <w:pStyle w:val="BoxListBullet2"/>
            </w:pPr>
            <w:r>
              <w:t>Cultural outcomes should be pursued through environmental watering where they are consistent with achieving agreed ecological objectives.</w:t>
            </w:r>
          </w:p>
          <w:p w14:paraId="67E0AF0C" w14:textId="77777777" w:rsidR="001054C3" w:rsidRDefault="001054C3" w:rsidP="00234FBE">
            <w:pPr>
              <w:pStyle w:val="BoxListBullet2"/>
            </w:pPr>
            <w:r>
              <w:tab/>
              <w:t>Local catchment or land management authorities should establish long</w:t>
            </w:r>
            <w:r>
              <w:noBreakHyphen/>
              <w:t>term relationships with Traditional Owners and engage with them on the management of cultural assets.</w:t>
            </w:r>
          </w:p>
          <w:p w14:paraId="31A85FB6" w14:textId="77777777" w:rsidR="001054C3" w:rsidRDefault="001054C3" w:rsidP="00234FBE">
            <w:pPr>
              <w:pStyle w:val="BoxListBullet"/>
            </w:pPr>
            <w:r>
              <w:t>Governments need to work with Traditional Owners to determine their best and preferred pathways for ongoing economic development. Where agreement is reached that access to water for consumptive purposes is the best way to support economic development, that access should be facilitated within existing entitlement frameworks.</w:t>
            </w:r>
          </w:p>
          <w:p w14:paraId="236CA8BA" w14:textId="77777777" w:rsidR="001054C3" w:rsidRDefault="001054C3" w:rsidP="00234FBE">
            <w:pPr>
              <w:pStyle w:val="BoxListBullet2"/>
            </w:pPr>
            <w:r>
              <w:tab/>
              <w:t>Where the consumptive pool is fully allocated, water should be bought from the market.</w:t>
            </w:r>
          </w:p>
          <w:p w14:paraId="1A91B8B8" w14:textId="77777777" w:rsidR="001054C3" w:rsidRDefault="001054C3" w:rsidP="00234FBE">
            <w:pPr>
              <w:pStyle w:val="BoxListBullet2"/>
            </w:pPr>
            <w:r>
              <w:tab/>
              <w:t>Where the consumptive pool has not been fully allocated, reserves can be created, as has happened recently in the Northern Territory, Queensland and Western Australia.</w:t>
            </w:r>
          </w:p>
          <w:p w14:paraId="636839D1" w14:textId="77777777" w:rsidR="001054C3" w:rsidRDefault="001054C3" w:rsidP="00234FBE">
            <w:pPr>
              <w:pStyle w:val="BoxListBullet"/>
            </w:pPr>
            <w:r>
              <w:t>Where governments invest in new water infrastructure, consideration should be given to reserving a share of any new water rights for Traditional Owners where this would be consistent with, and support, targets under the National Agreement on Closing the Gap.</w:t>
            </w:r>
          </w:p>
        </w:tc>
      </w:tr>
      <w:tr w:rsidR="001054C3" w14:paraId="2EE2DD9E" w14:textId="77777777" w:rsidTr="00234FBE">
        <w:tc>
          <w:tcPr>
            <w:tcW w:w="5000" w:type="pct"/>
            <w:tcBorders>
              <w:top w:val="nil"/>
              <w:left w:val="nil"/>
              <w:bottom w:val="single" w:sz="6" w:space="0" w:color="78A22F"/>
              <w:right w:val="nil"/>
            </w:tcBorders>
            <w:shd w:val="clear" w:color="auto" w:fill="F2F2F2"/>
          </w:tcPr>
          <w:p w14:paraId="1116B322" w14:textId="77777777" w:rsidR="001054C3" w:rsidRDefault="001054C3" w:rsidP="00234FBE">
            <w:pPr>
              <w:pStyle w:val="Box"/>
              <w:spacing w:before="0" w:line="120" w:lineRule="exact"/>
            </w:pPr>
          </w:p>
        </w:tc>
      </w:tr>
      <w:tr w:rsidR="001054C3" w:rsidRPr="000863A5" w14:paraId="135A2996" w14:textId="77777777" w:rsidTr="00234FBE">
        <w:tc>
          <w:tcPr>
            <w:tcW w:w="5000" w:type="pct"/>
            <w:tcBorders>
              <w:top w:val="single" w:sz="6" w:space="0" w:color="78A22F"/>
              <w:left w:val="nil"/>
              <w:bottom w:val="nil"/>
              <w:right w:val="nil"/>
            </w:tcBorders>
          </w:tcPr>
          <w:p w14:paraId="505CCE10" w14:textId="77777777" w:rsidR="001054C3" w:rsidRPr="00626D32" w:rsidRDefault="001054C3" w:rsidP="00234FBE">
            <w:pPr>
              <w:pStyle w:val="BoxSpaceBelow"/>
            </w:pPr>
          </w:p>
        </w:tc>
      </w:tr>
    </w:tbl>
    <w:p w14:paraId="04FA16F1" w14:textId="77777777" w:rsidR="001054C3" w:rsidRPr="00081042" w:rsidRDefault="001054C3" w:rsidP="00234FBE">
      <w:pPr>
        <w:pStyle w:val="BodyText"/>
        <w:rPr>
          <w:i/>
          <w:iCs/>
        </w:rPr>
      </w:pPr>
      <w:r w:rsidRPr="003B60E6">
        <w:rPr>
          <w:i/>
          <w:iCs/>
        </w:rPr>
        <w:lastRenderedPageBreak/>
        <w:t>This chapter summarises Supporting Paper D: Securing Aboriginal and Torres Strait Islander people’s interests in water (SP</w:t>
      </w:r>
      <w:r>
        <w:rPr>
          <w:i/>
          <w:iCs/>
        </w:rPr>
        <w:t xml:space="preserve"> D</w:t>
      </w:r>
      <w:r w:rsidRPr="003B60E6">
        <w:rPr>
          <w:i/>
          <w:iCs/>
        </w:rPr>
        <w:t xml:space="preserve"> Cultural access). Further detail and analysis can be found in that paper.</w:t>
      </w:r>
    </w:p>
    <w:p w14:paraId="094EDEEA" w14:textId="06A1D0B4" w:rsidR="001054C3" w:rsidRDefault="001054C3" w:rsidP="00234FBE">
      <w:pPr>
        <w:pStyle w:val="BodyText"/>
      </w:pPr>
      <w:r w:rsidRPr="00767757">
        <w:t xml:space="preserve">Water is an essential part of connection to Country for Aboriginal and Torres Strait Islander people. Many water sources are featured in the Dreaming (oral histories of creation) and have significant spiritual value. </w:t>
      </w:r>
      <w:r>
        <w:t>They</w:t>
      </w:r>
      <w:r w:rsidRPr="00767757">
        <w:t xml:space="preserve"> </w:t>
      </w:r>
      <w:r>
        <w:t xml:space="preserve">also </w:t>
      </w:r>
      <w:r w:rsidRPr="00767757">
        <w:t xml:space="preserve">support economic activity, including food production, and provide potable water — with cultural significance accompanying each water use. Special places near water have been sites for large gatherings for ceremonial, social or economic purposes. Rivers, creeks and lakes mark boundaries between </w:t>
      </w:r>
      <w:r>
        <w:t>groups</w:t>
      </w:r>
      <w:r w:rsidRPr="00767757">
        <w:t xml:space="preserve"> and nations. And waterways have been transportation routes, with travel and trading partnerships defined by cultural relationships </w:t>
      </w:r>
      <w:r>
        <w:t>(National Cultural Flows Research Project 2014, p. v)</w:t>
      </w:r>
      <w:r w:rsidRPr="00767757">
        <w:t>. In other words, the water needs of Traditional Owners span a wide range of cultural and economic purposes and:</w:t>
      </w:r>
    </w:p>
    <w:p w14:paraId="31CA75CD" w14:textId="77777777" w:rsidR="001054C3" w:rsidRDefault="001054C3" w:rsidP="00234FBE">
      <w:pPr>
        <w:pStyle w:val="Quote"/>
      </w:pPr>
      <w:r w:rsidRPr="00767757">
        <w:t>[Traditional Owners’] involvement in the management of water is essential for [Traditional Owners’] physical, spiritual, cultural, environmental, social and economic health</w:t>
      </w:r>
      <w:r>
        <w:t>.</w:t>
      </w:r>
      <w:r w:rsidRPr="00767757">
        <w:t xml:space="preserve"> (NBAN, sub.</w:t>
      </w:r>
      <w:r>
        <w:t> </w:t>
      </w:r>
      <w:r w:rsidRPr="00767757">
        <w:t>17, p.</w:t>
      </w:r>
      <w:r>
        <w:t> </w:t>
      </w:r>
      <w:r w:rsidRPr="00767757">
        <w:t>2)</w:t>
      </w:r>
    </w:p>
    <w:p w14:paraId="3F15F531" w14:textId="77777777" w:rsidR="001054C3" w:rsidRDefault="001054C3" w:rsidP="00234FBE">
      <w:pPr>
        <w:pStyle w:val="Heading2"/>
      </w:pPr>
      <w:bookmarkStart w:id="129" w:name="_Toc63112482"/>
      <w:bookmarkStart w:id="130" w:name="_Toc72939520"/>
      <w:r>
        <w:t>9.</w:t>
      </w:r>
      <w:r>
        <w:rPr>
          <w:noProof/>
        </w:rPr>
        <w:t>1</w:t>
      </w:r>
      <w:r>
        <w:tab/>
      </w:r>
      <w:r w:rsidRPr="0090671E">
        <w:t>Understanding of Traditional Owners’ aspirations has evolved since the NWI was drafted</w:t>
      </w:r>
      <w:bookmarkEnd w:id="129"/>
      <w:bookmarkEnd w:id="130"/>
    </w:p>
    <w:p w14:paraId="486C29B9" w14:textId="27B27EA7" w:rsidR="001054C3" w:rsidRPr="00F200BD" w:rsidRDefault="001054C3" w:rsidP="00234FBE">
      <w:pPr>
        <w:pStyle w:val="BodyText"/>
        <w:rPr>
          <w:spacing w:val="-2"/>
        </w:rPr>
      </w:pPr>
      <w:r>
        <w:rPr>
          <w:spacing w:val="-2"/>
        </w:rPr>
        <w:t xml:space="preserve">When the </w:t>
      </w:r>
      <w:r w:rsidRPr="00F200BD">
        <w:rPr>
          <w:spacing w:val="-2"/>
        </w:rPr>
        <w:t xml:space="preserve">National Water Initiative (NWI) </w:t>
      </w:r>
      <w:r>
        <w:rPr>
          <w:spacing w:val="-2"/>
        </w:rPr>
        <w:t xml:space="preserve">was agreed in 2004, parties </w:t>
      </w:r>
      <w:r w:rsidRPr="00F200BD">
        <w:rPr>
          <w:spacing w:val="-2"/>
        </w:rPr>
        <w:t>committed to consultation with Traditional Owners in water planning (wherever possible) and inclusion of social, spiritual and customary objectives (or cultural values) in water plans. But progress against these commitments has been slow and objectives have not been fully achieved (</w:t>
      </w:r>
      <w:r w:rsidRPr="00F200BD">
        <w:rPr>
          <w:i/>
          <w:iCs/>
          <w:spacing w:val="-2"/>
        </w:rPr>
        <w:t>Assessment</w:t>
      </w:r>
      <w:r w:rsidRPr="00F200BD">
        <w:rPr>
          <w:spacing w:val="-2"/>
        </w:rPr>
        <w:t xml:space="preserve">). In 2017, the Commission concluded that most jurisdictions had ‘routinely failed to identify and provide for Indigenous cultural values and objectives in water plans’ </w:t>
      </w:r>
      <w:r w:rsidR="00C67DB3" w:rsidRPr="00C67DB3">
        <w:rPr>
          <w:szCs w:val="24"/>
        </w:rPr>
        <w:t>(PC 2017b, p. 99)</w:t>
      </w:r>
      <w:r w:rsidRPr="00F200BD">
        <w:rPr>
          <w:spacing w:val="-2"/>
        </w:rPr>
        <w:t>. Stronger requirements through the Murray–Darling Basin Plan have led to better engagement, but Traditional Owners aspire to much greater access to, and control over, water resources.</w:t>
      </w:r>
    </w:p>
    <w:p w14:paraId="78897EA3" w14:textId="77777777" w:rsidR="001054C3" w:rsidRDefault="001054C3" w:rsidP="00234FBE">
      <w:pPr>
        <w:pStyle w:val="BodyText"/>
      </w:pPr>
      <w:r>
        <w:t>Since the NWI was agreed, Aboriginal and Torres Strait Islander people have articulated their views on water through a number of statements. For example, in 2007, 31 Nations in the Murray–Darling Basin endorsed the Echuca Declaration on their rights and aspirations, using the term cultural flows to describe:</w:t>
      </w:r>
    </w:p>
    <w:p w14:paraId="4DCC2AA6" w14:textId="2E818183" w:rsidR="001054C3" w:rsidRDefault="001054C3" w:rsidP="00234FBE">
      <w:pPr>
        <w:pStyle w:val="Quote"/>
      </w:pPr>
      <w:r>
        <w:t xml:space="preserve">… water entitlements that are legally and beneficially owned by the Indigenous Nations of a sufficient and adequate quantity and quality to improve the spiritual, cultural, environmental, social and economic conditions of those Indigenous Nations. This is our inherent right. </w:t>
      </w:r>
      <w:r w:rsidRPr="004B1BFF">
        <w:rPr>
          <w:szCs w:val="24"/>
        </w:rPr>
        <w:t>(MLDRIN 2007, p. 2)</w:t>
      </w:r>
      <w:r>
        <w:t xml:space="preserve"> </w:t>
      </w:r>
    </w:p>
    <w:p w14:paraId="2C8D10D3" w14:textId="77777777" w:rsidR="001054C3" w:rsidRDefault="001054C3" w:rsidP="00234FBE">
      <w:pPr>
        <w:pStyle w:val="BodyText"/>
      </w:pPr>
      <w:bookmarkStart w:id="131" w:name="_Hlk61948982"/>
      <w:r>
        <w:t xml:space="preserve">A key difference between the </w:t>
      </w:r>
      <w:bookmarkEnd w:id="131"/>
      <w:r>
        <w:t>NWI and the Echuca Declaration was that the latter explicitly broadened cultural outcomes (which were to be achieved by the provision of cultural flows) to include economic development.</w:t>
      </w:r>
    </w:p>
    <w:p w14:paraId="3ACB456C" w14:textId="521A6292" w:rsidR="001054C3" w:rsidRDefault="001054C3" w:rsidP="00234FBE">
      <w:pPr>
        <w:pStyle w:val="BodyText"/>
      </w:pPr>
      <w:r w:rsidRPr="0090671E">
        <w:lastRenderedPageBreak/>
        <w:t xml:space="preserve">The subsequent </w:t>
      </w:r>
      <w:r w:rsidRPr="00B23D2C">
        <w:rPr>
          <w:i/>
          <w:iCs/>
        </w:rPr>
        <w:t>National Cultural Flows Research Project</w:t>
      </w:r>
      <w:r>
        <w:t xml:space="preserve"> </w:t>
      </w:r>
      <w:r w:rsidRPr="000F4432">
        <w:t>(2018)</w:t>
      </w:r>
      <w:r w:rsidRPr="0090671E">
        <w:t xml:space="preserve"> articulated how </w:t>
      </w:r>
      <w:r>
        <w:t xml:space="preserve">the broader idea of </w:t>
      </w:r>
      <w:r w:rsidRPr="0090671E">
        <w:t xml:space="preserve">cultural flows might be implemented. The project, </w:t>
      </w:r>
      <w:r>
        <w:t xml:space="preserve">which was </w:t>
      </w:r>
      <w:r w:rsidRPr="0090671E">
        <w:t>a collaboration between peak Aboriginal organisations, Australian Government agencies and private organisations, developed a framework to conceptualise how the aspirations of Aboriginal and Torres Strait Islander people could be met through legal and policy reforms (figure</w:t>
      </w:r>
      <w:r>
        <w:t> 9.1</w:t>
      </w:r>
      <w:r w:rsidRPr="0090671E">
        <w:t>).</w:t>
      </w:r>
    </w:p>
    <w:p w14:paraId="233300C0"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6D693DBF" w14:textId="77777777" w:rsidTr="00234FBE">
        <w:trPr>
          <w:tblHeader/>
        </w:trPr>
        <w:tc>
          <w:tcPr>
            <w:tcW w:w="5000" w:type="pct"/>
            <w:tcBorders>
              <w:top w:val="single" w:sz="6" w:space="0" w:color="78A22F" w:themeColor="accent1"/>
              <w:left w:val="nil"/>
              <w:bottom w:val="nil"/>
              <w:right w:val="nil"/>
            </w:tcBorders>
            <w:shd w:val="clear" w:color="auto" w:fill="auto"/>
          </w:tcPr>
          <w:p w14:paraId="76B08849" w14:textId="77777777" w:rsidR="001054C3" w:rsidRPr="00176D3F" w:rsidRDefault="001054C3" w:rsidP="00234FBE">
            <w:pPr>
              <w:pStyle w:val="FigureTitle"/>
            </w:pPr>
            <w:r w:rsidRPr="00784A05">
              <w:rPr>
                <w:b w:val="0"/>
              </w:rPr>
              <w:t xml:space="preserve">Figure </w:t>
            </w:r>
            <w:r>
              <w:rPr>
                <w:b w:val="0"/>
              </w:rPr>
              <w:t>9.</w:t>
            </w:r>
            <w:r>
              <w:rPr>
                <w:b w:val="0"/>
                <w:noProof/>
              </w:rPr>
              <w:t>1</w:t>
            </w:r>
            <w:r>
              <w:tab/>
            </w:r>
            <w:r w:rsidRPr="007919F4">
              <w:rPr>
                <w:spacing w:val="-2"/>
              </w:rPr>
              <w:t>The National Cultural Flows Research Project framework introduced three legal and policy approaches to cultural flows</w:t>
            </w:r>
          </w:p>
        </w:tc>
      </w:tr>
      <w:tr w:rsidR="001054C3" w14:paraId="410EE9DC"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B1465D" w14:paraId="4010C26F" w14:textId="77777777" w:rsidTr="00234FBE">
              <w:trPr>
                <w:tblHeader/>
                <w:jc w:val="center"/>
              </w:trPr>
              <w:tc>
                <w:tcPr>
                  <w:tcW w:w="5000" w:type="pct"/>
                  <w:tcBorders>
                    <w:top w:val="nil"/>
                    <w:bottom w:val="nil"/>
                  </w:tcBorders>
                </w:tcPr>
                <w:p w14:paraId="7972B182" w14:textId="77777777" w:rsidR="001054C3" w:rsidRPr="00B1465D" w:rsidRDefault="001054C3" w:rsidP="00234FBE">
                  <w:pPr>
                    <w:pStyle w:val="Figure"/>
                    <w:spacing w:before="60" w:after="60"/>
                    <w:rPr>
                      <w:rFonts w:ascii="Arial" w:hAnsi="Arial" w:cs="Arial"/>
                      <w:sz w:val="18"/>
                      <w:szCs w:val="18"/>
                    </w:rPr>
                  </w:pPr>
                  <w:r w:rsidRPr="001A3132">
                    <w:rPr>
                      <w:rFonts w:cs="Arial"/>
                      <w:noProof/>
                      <w:sz w:val="18"/>
                      <w:szCs w:val="18"/>
                    </w:rPr>
                    <w:drawing>
                      <wp:inline distT="0" distB="0" distL="0" distR="0" wp14:anchorId="291A81DF" wp14:editId="78F51DCD">
                        <wp:extent cx="5396865" cy="2683510"/>
                        <wp:effectExtent l="0" t="0" r="0" b="0"/>
                        <wp:docPr id="42" name="Picture 42" descr="Figure 9.1. This figure depicts three nested ovals showing the three legal and policy approaches to cultural flows set out in the National Cultural Flows Research Project. The largest oval is ‘transforming foundations’, which is reform of wider policy and governance structures, including treaties and political agreements. The second oval is ‘more influence in water landscapes’, and the smallest oval is ‘water rights’, which is the core of cultural flows and includes strengthening of First Nations’ control and decision making over surface and ground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9.1. This figure depicts three nested ovals showing the three legal and policy approaches to cultural flows set out in the National Cultural Flows Research Project. The largest oval is ‘transforming foundations’, which is reform of wider policy and governance structures, including treaties and political agreements. The second oval is ‘more influence in water landscapes’, and the smallest oval is ‘water rights’, which is the core of cultural flows and includes strengthening of First Nations’ control and decision making over surface and groundwater.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6865" cy="2683510"/>
                                </a:xfrm>
                                <a:prstGeom prst="rect">
                                  <a:avLst/>
                                </a:prstGeom>
                                <a:noFill/>
                                <a:ln>
                                  <a:noFill/>
                                </a:ln>
                              </pic:spPr>
                            </pic:pic>
                          </a:graphicData>
                        </a:graphic>
                      </wp:inline>
                    </w:drawing>
                  </w:r>
                </w:p>
              </w:tc>
            </w:tr>
          </w:tbl>
          <w:p w14:paraId="5E00000D" w14:textId="77777777" w:rsidR="001054C3" w:rsidRDefault="001054C3" w:rsidP="00234FBE">
            <w:pPr>
              <w:pStyle w:val="Figure"/>
            </w:pPr>
          </w:p>
        </w:tc>
      </w:tr>
      <w:tr w:rsidR="001054C3" w:rsidRPr="00176D3F" w14:paraId="34753530" w14:textId="77777777" w:rsidTr="00234FBE">
        <w:tc>
          <w:tcPr>
            <w:tcW w:w="5000" w:type="pct"/>
            <w:tcBorders>
              <w:top w:val="nil"/>
              <w:left w:val="nil"/>
              <w:bottom w:val="nil"/>
              <w:right w:val="nil"/>
            </w:tcBorders>
            <w:shd w:val="clear" w:color="auto" w:fill="auto"/>
          </w:tcPr>
          <w:p w14:paraId="742E6F6A" w14:textId="38239636" w:rsidR="001054C3" w:rsidRPr="00176D3F" w:rsidRDefault="001054C3" w:rsidP="00234FBE">
            <w:pPr>
              <w:pStyle w:val="Source"/>
            </w:pPr>
            <w:r w:rsidRPr="00DE004E">
              <w:rPr>
                <w:i/>
              </w:rPr>
              <w:t>Source</w:t>
            </w:r>
            <w:r w:rsidRPr="00DE004E">
              <w:t>:</w:t>
            </w:r>
            <w:r>
              <w:t xml:space="preserve"> National Cultural Flows Research Project </w:t>
            </w:r>
            <w:r w:rsidRPr="00F34C31">
              <w:rPr>
                <w:rFonts w:cs="Arial"/>
              </w:rPr>
              <w:t>(2018)</w:t>
            </w:r>
            <w:r w:rsidRPr="00DE004E">
              <w:t>.</w:t>
            </w:r>
          </w:p>
        </w:tc>
      </w:tr>
      <w:tr w:rsidR="001054C3" w14:paraId="2B60318A" w14:textId="77777777" w:rsidTr="00234FBE">
        <w:tc>
          <w:tcPr>
            <w:tcW w:w="5000" w:type="pct"/>
            <w:tcBorders>
              <w:top w:val="nil"/>
              <w:left w:val="nil"/>
              <w:bottom w:val="single" w:sz="6" w:space="0" w:color="78A22F" w:themeColor="accent1"/>
              <w:right w:val="nil"/>
            </w:tcBorders>
            <w:shd w:val="clear" w:color="auto" w:fill="auto"/>
          </w:tcPr>
          <w:p w14:paraId="0F8639B3" w14:textId="77777777" w:rsidR="001054C3" w:rsidRDefault="001054C3" w:rsidP="00234FBE">
            <w:pPr>
              <w:pStyle w:val="Figurespace"/>
            </w:pPr>
          </w:p>
        </w:tc>
      </w:tr>
      <w:tr w:rsidR="001054C3" w:rsidRPr="000863A5" w14:paraId="0FFB7EB4" w14:textId="77777777" w:rsidTr="00234FBE">
        <w:tc>
          <w:tcPr>
            <w:tcW w:w="5000" w:type="pct"/>
            <w:tcBorders>
              <w:top w:val="single" w:sz="6" w:space="0" w:color="78A22F" w:themeColor="accent1"/>
              <w:left w:val="nil"/>
              <w:bottom w:val="nil"/>
              <w:right w:val="nil"/>
            </w:tcBorders>
          </w:tcPr>
          <w:p w14:paraId="245946BD" w14:textId="77777777" w:rsidR="001054C3" w:rsidRPr="00626D32" w:rsidRDefault="001054C3" w:rsidP="00234FBE">
            <w:pPr>
              <w:pStyle w:val="BoxSpaceBelow"/>
            </w:pPr>
          </w:p>
        </w:tc>
      </w:tr>
    </w:tbl>
    <w:p w14:paraId="3E388227" w14:textId="77777777" w:rsidR="001054C3" w:rsidRDefault="001054C3" w:rsidP="00234FBE">
      <w:pPr>
        <w:pStyle w:val="Heading3"/>
      </w:pPr>
      <w:r>
        <w:t>The broader policy context has also changed</w:t>
      </w:r>
    </w:p>
    <w:p w14:paraId="18E5E5F1" w14:textId="794F29B6" w:rsidR="001054C3" w:rsidRDefault="001054C3" w:rsidP="00234FBE">
      <w:pPr>
        <w:pStyle w:val="BodyText"/>
      </w:pPr>
      <w:r>
        <w:t xml:space="preserve">Two other key developments of relevance to the issue of Traditional Owners’ access to water have occurred since the NWI was agreed. In 2009, Australia endorsed the </w:t>
      </w:r>
      <w:r w:rsidRPr="00B23D2C">
        <w:rPr>
          <w:i/>
          <w:iCs/>
        </w:rPr>
        <w:t>United Nations Declaration on the Rights of Indigenous People</w:t>
      </w:r>
      <w:r>
        <w:rPr>
          <w:i/>
          <w:iCs/>
        </w:rPr>
        <w:t>s</w:t>
      </w:r>
      <w:r>
        <w:t xml:space="preserve">. Articles 25 and 26 state that Indigenous peoples have rights to waters that they have traditionally owned, including the right to own, use and develop those resources </w:t>
      </w:r>
      <w:r w:rsidRPr="00F34C31">
        <w:rPr>
          <w:szCs w:val="24"/>
        </w:rPr>
        <w:t>(UN 2007)</w:t>
      </w:r>
      <w:r>
        <w:t xml:space="preserve">. </w:t>
      </w:r>
    </w:p>
    <w:p w14:paraId="46B304E0" w14:textId="77777777" w:rsidR="001054C3" w:rsidRDefault="001054C3" w:rsidP="00234FBE">
      <w:pPr>
        <w:pStyle w:val="BodyText"/>
      </w:pPr>
      <w:r>
        <w:t xml:space="preserve">And in July 2020, all governments signed the National Agreement on Closing the Gap. The agreement establishes four priority reforms to transform the way governments work with Aboriginal and Torres Strait Islander people: </w:t>
      </w:r>
    </w:p>
    <w:p w14:paraId="5CCED34D" w14:textId="77777777" w:rsidR="001054C3" w:rsidRDefault="001054C3" w:rsidP="00234FBE">
      <w:pPr>
        <w:pStyle w:val="ListBullet"/>
      </w:pPr>
      <w:r>
        <w:t>strengthening and establishing formal partnerships and shared decision</w:t>
      </w:r>
      <w:r>
        <w:noBreakHyphen/>
        <w:t>making</w:t>
      </w:r>
    </w:p>
    <w:p w14:paraId="058D0738" w14:textId="77777777" w:rsidR="001054C3" w:rsidRDefault="001054C3" w:rsidP="00234FBE">
      <w:pPr>
        <w:pStyle w:val="ListBullet"/>
      </w:pPr>
      <w:r>
        <w:t>building the Aboriginal and Torres Strait Islander community</w:t>
      </w:r>
      <w:r>
        <w:noBreakHyphen/>
        <w:t>controlled sector</w:t>
      </w:r>
    </w:p>
    <w:p w14:paraId="0E5AA572" w14:textId="77777777" w:rsidR="001054C3" w:rsidRDefault="001054C3" w:rsidP="00234FBE">
      <w:pPr>
        <w:pStyle w:val="ListBullet"/>
      </w:pPr>
      <w:r>
        <w:t>transforming government organisations so they work better for Aboriginal and Torres Strait Islander people</w:t>
      </w:r>
    </w:p>
    <w:p w14:paraId="4689BF6F" w14:textId="77777777" w:rsidR="001054C3" w:rsidRDefault="001054C3" w:rsidP="00234FBE">
      <w:pPr>
        <w:pStyle w:val="ListBullet"/>
      </w:pPr>
      <w:r>
        <w:lastRenderedPageBreak/>
        <w:t>improving and sharing access to data and information to enable Aboriginal and Torres Strait Islander communities to make informed decisions.</w:t>
      </w:r>
    </w:p>
    <w:p w14:paraId="2D81E7EE" w14:textId="3D6EBB5F" w:rsidR="001054C3" w:rsidRDefault="001054C3" w:rsidP="00234FBE">
      <w:pPr>
        <w:pStyle w:val="BodyText"/>
      </w:pPr>
      <w:r>
        <w:t>The National Agreement on Closing the Gap has implications for a new NWI in two key ways. First, the four priority reform areas transform the wider policy and governance context in which any new policy affecting Aboriginal and Torres Strait Islander people would be negotiated. These broad reform areas effectively reflect progress in the third component of the National Cultural Flows Research Project framework (transform foundations) and set the context within which a new NWI would be developed. Second, the Agreement includes several water</w:t>
      </w:r>
      <w:r>
        <w:noBreakHyphen/>
        <w:t xml:space="preserve">related commitments. One outcome sought is that ‘Aboriginal and Torres Strait Islander people maintain a distinctive cultural, spiritual, physical and economic relationship with their land and waters’ </w:t>
      </w:r>
      <w:r w:rsidRPr="00ED7F2A">
        <w:rPr>
          <w:szCs w:val="24"/>
        </w:rPr>
        <w:t>(Australian Governments and the Coalition of Peaks 2020, p. 34)</w:t>
      </w:r>
      <w:r>
        <w:t>. And a new target is to be designed to:</w:t>
      </w:r>
    </w:p>
    <w:p w14:paraId="6BAB70CC" w14:textId="77777777" w:rsidR="001054C3" w:rsidRDefault="001054C3" w:rsidP="00234FBE">
      <w:pPr>
        <w:pStyle w:val="Quote"/>
      </w:pPr>
      <w:r>
        <w:t>… measure progress towards securing Aboriginal and Torres Strait Islander interests in water bodies inland from the coastal zone under state and territory water rights regimes. This will include data development to identify a nationally consistent measure for inland waters encompassing, for example, water licences, water rights and water allocation plans. (p. 36)</w:t>
      </w:r>
    </w:p>
    <w:p w14:paraId="2B132C0F" w14:textId="77777777" w:rsidR="001054C3" w:rsidRDefault="001054C3" w:rsidP="00234FBE">
      <w:pPr>
        <w:pStyle w:val="BodyText"/>
      </w:pPr>
      <w:r>
        <w:t>A separate target will also be developed for service provision for communities (chapter 11). A renewed NWI will have to meet these government commitments — both in the way it is developed and its policy content.</w:t>
      </w:r>
    </w:p>
    <w:p w14:paraId="198E0F4C" w14:textId="77777777" w:rsidR="001054C3" w:rsidRDefault="001054C3" w:rsidP="00234FBE">
      <w:pPr>
        <w:pStyle w:val="Heading3"/>
      </w:pPr>
      <w:r>
        <w:t>The NWI needs to much better reflect Traditional Owners’ aspirations</w:t>
      </w:r>
    </w:p>
    <w:p w14:paraId="79ED93E6" w14:textId="77777777" w:rsidR="001054C3" w:rsidRDefault="001054C3" w:rsidP="00234FBE">
      <w:pPr>
        <w:pStyle w:val="BodyText"/>
      </w:pPr>
      <w:r>
        <w:t>Understanding of Traditional Owners’ aspirations has evolved, and it has become clear that cultural values include the potential for economic development. Participants in this inquiry expressed support for these aspirations. But provision of water for economic development requires the provision of entitlements to Traditional Owners — something not adequately covered by the NWI.</w:t>
      </w:r>
    </w:p>
    <w:p w14:paraId="2A4FCEB9" w14:textId="77777777" w:rsidR="001054C3" w:rsidRDefault="001054C3" w:rsidP="00234FBE">
      <w:pPr>
        <w:pStyle w:val="BodyText"/>
      </w:pPr>
      <w:r>
        <w:t>The focus on Traditional Owners’ interests in water should be elevated in a renewed NWI through a dedicated objective and new element, and inclusion of Aboriginal and Torres Strait Islander people’s interests in the overarching goal. This is to take account of the water</w:t>
      </w:r>
      <w:r>
        <w:noBreakHyphen/>
        <w:t xml:space="preserve">related outcome and targets under the National Agreement on Closing the Gap, the disparity between the NWI and Aboriginal and Torres Strait Islander people’s aspirations, and the slow progress on improving recognition of Aboriginal and Torres Strait Islander people’s interests in water for much of the life of the NWI. </w:t>
      </w:r>
    </w:p>
    <w:p w14:paraId="52BA65E6" w14:textId="77777777" w:rsidR="001054C3" w:rsidRDefault="001054C3" w:rsidP="00234FBE">
      <w:pPr>
        <w:pStyle w:val="BodyText"/>
      </w:pPr>
      <w:r>
        <w:t>Many inquiry participants expressed support for action of this type (for example, MDBA, sub. 23, p. 9; ANU’s Institute for Water Futures, sub. 30, p. 7,</w:t>
      </w:r>
      <w:r w:rsidRPr="000E3D71">
        <w:t xml:space="preserve"> </w:t>
      </w:r>
      <w:r>
        <w:t>sub. DR120, p. 2; Jackson, sub. 61, p. 1; WaterRA, sub. 98, p. 4; LBA, sub. DR133, p. 1; CLC, sub. DR134, PIAC, sub. DR156, p. 14).</w:t>
      </w:r>
    </w:p>
    <w:p w14:paraId="53E40876" w14:textId="77777777" w:rsidR="001054C3" w:rsidRDefault="001054C3" w:rsidP="00234FBE">
      <w:pPr>
        <w:pStyle w:val="BodyText"/>
      </w:pPr>
      <w:r>
        <w:t xml:space="preserve">The Commission’s advice on a renewed NWI is framed in a way that reflects the National Cultural Flows Research Project’s framework through: ensuring that a renewed NWI is </w:t>
      </w:r>
      <w:r>
        <w:lastRenderedPageBreak/>
        <w:t>developed through a process that reflects the broad reform priorities of the National Agreement on Closing the Gap (largest circle); strengthening Aboriginal and Torres Strait Islander people’s influence in water management systems to achieve cultural outcomes (second circle); and addressing water rights consistent with commitments under the National Agreement on Closing the Gap (smallest circle).</w:t>
      </w:r>
    </w:p>
    <w:p w14:paraId="6E2583E3" w14:textId="77777777" w:rsidR="001054C3" w:rsidRPr="004E3B94" w:rsidRDefault="001054C3" w:rsidP="00234FBE">
      <w:pPr>
        <w:pStyle w:val="BoxSpaceAbove"/>
      </w:pPr>
      <w:bookmarkStart w:id="132" w:name="_Toc6311248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14:paraId="5BE49025" w14:textId="77777777" w:rsidTr="00234FBE">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30418052" w14:textId="77777777" w:rsidR="001054C3" w:rsidRPr="00CE4C64" w:rsidRDefault="001054C3" w:rsidP="00234FBE">
            <w:pPr>
              <w:pStyle w:val="FindingTitle"/>
              <w:spacing w:before="120"/>
              <w:rPr>
                <w:noProof/>
              </w:rPr>
            </w:pPr>
            <w:r>
              <w:t>Finding 9.</w:t>
            </w:r>
            <w:r>
              <w:rPr>
                <w:noProof/>
              </w:rPr>
              <w:t>1</w:t>
            </w:r>
          </w:p>
        </w:tc>
      </w:tr>
      <w:tr w:rsidR="001054C3" w:rsidRPr="00750BE2" w14:paraId="03C257B7" w14:textId="77777777" w:rsidTr="00234FBE">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6A7ACAC8" w14:textId="77777777" w:rsidR="001054C3" w:rsidRDefault="001054C3" w:rsidP="00234FBE">
            <w:pPr>
              <w:pStyle w:val="Finding"/>
              <w:keepNext/>
            </w:pPr>
            <w:r>
              <w:t>Much more needs to be done to include Aboriginal and Torres Strait Islander people’s  interests in water in jurisdictional planning and the management of water. Slow progress against commitments made in the 2004 National Water Initiative, coupled with the contemporary context including the National Agreement on Closing the Gap and wide support for action, warrants recognition of Aboriginal and Torres Strait Islander people’s interests in water in the overarching goal of a renewed National Water Initiative, and inclusion of both a dedicated objective and new element.</w:t>
            </w:r>
          </w:p>
        </w:tc>
      </w:tr>
      <w:tr w:rsidR="001054C3" w14:paraId="4518F033" w14:textId="77777777" w:rsidTr="00234FBE">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51ABC106" w14:textId="77777777" w:rsidR="001054C3" w:rsidRDefault="001054C3" w:rsidP="00234FBE">
            <w:pPr>
              <w:pStyle w:val="Space"/>
              <w:keepLines/>
            </w:pPr>
          </w:p>
        </w:tc>
      </w:tr>
      <w:tr w:rsidR="001054C3" w:rsidRPr="000863A5" w14:paraId="37ABAACF" w14:textId="77777777" w:rsidTr="00234FBE">
        <w:trPr>
          <w:cantSplit/>
        </w:trPr>
        <w:tc>
          <w:tcPr>
            <w:tcW w:w="5000" w:type="pct"/>
            <w:tcBorders>
              <w:top w:val="single" w:sz="6" w:space="0" w:color="78A22F" w:themeColor="accent1"/>
              <w:left w:val="nil"/>
              <w:bottom w:val="nil"/>
              <w:right w:val="nil"/>
            </w:tcBorders>
            <w:tcMar>
              <w:left w:w="170" w:type="dxa"/>
              <w:right w:w="170" w:type="dxa"/>
            </w:tcMar>
          </w:tcPr>
          <w:p w14:paraId="68C3B961" w14:textId="77777777" w:rsidR="001054C3" w:rsidRPr="00626D32" w:rsidRDefault="001054C3" w:rsidP="00234FBE">
            <w:pPr>
              <w:pStyle w:val="BoxSpaceBelow"/>
              <w:keepLines/>
            </w:pPr>
          </w:p>
        </w:tc>
      </w:tr>
    </w:tbl>
    <w:p w14:paraId="4FC4A89B" w14:textId="77777777" w:rsidR="001054C3" w:rsidRDefault="001054C3" w:rsidP="00234FBE">
      <w:pPr>
        <w:pStyle w:val="Heading2"/>
      </w:pPr>
      <w:bookmarkStart w:id="133" w:name="_Toc72939521"/>
      <w:r>
        <w:t>9.</w:t>
      </w:r>
      <w:r>
        <w:rPr>
          <w:noProof/>
        </w:rPr>
        <w:t>2</w:t>
      </w:r>
      <w:r>
        <w:tab/>
        <w:t>A new policy element developed through co</w:t>
      </w:r>
      <w:r>
        <w:noBreakHyphen/>
        <w:t>design</w:t>
      </w:r>
      <w:bookmarkEnd w:id="132"/>
      <w:bookmarkEnd w:id="133"/>
    </w:p>
    <w:p w14:paraId="4685213E" w14:textId="77777777" w:rsidR="001054C3" w:rsidRDefault="001054C3" w:rsidP="00234FBE">
      <w:pPr>
        <w:pStyle w:val="BodyText"/>
      </w:pPr>
      <w:r>
        <w:t>Reflecting the National Agreement on Closing the Gap and its commitment to partnership, the new element for the NWI should be developed through a co</w:t>
      </w:r>
      <w:r>
        <w:noBreakHyphen/>
        <w:t>design process with Aboriginal and Torres Strait Islander people. Consistent with this, the National Water Reform Committee has recently established a Committee on Aboriginal Water Interests (the committee), comprising Aboriginal members, for this purpose. The Commission supports this approach, but notes that to give issues associated with Aboriginal and Torres Strait Islander people’s interests in water the status in policy making implied by the National Agreement on Closing the Gap, the committee should report directly to water ministers overseeing the development of the renewed NWI (chapter 4).</w:t>
      </w:r>
    </w:p>
    <w:p w14:paraId="7C5926AE" w14:textId="77777777" w:rsidR="001054C3" w:rsidRDefault="001054C3" w:rsidP="00234FBE">
      <w:pPr>
        <w:pStyle w:val="BodyText"/>
      </w:pPr>
      <w:r>
        <w:t>A diverse group on the committee is essential. Consistent with this, the committee has members who bring a deep understanding of water resource management and a variety of perspectives. It also includes representatives from multiple States and Territories to cover variation in governance models due to differences in geography and culture, and has a gender balance to cover both Men’s and Women’s Business.</w:t>
      </w:r>
    </w:p>
    <w:p w14:paraId="032DD547" w14:textId="77777777" w:rsidR="001054C3" w:rsidRPr="00F200BD" w:rsidRDefault="001054C3" w:rsidP="00234FBE">
      <w:pPr>
        <w:pStyle w:val="BodyText"/>
        <w:rPr>
          <w:spacing w:val="-2"/>
        </w:rPr>
      </w:pPr>
      <w:r w:rsidRPr="00F200BD">
        <w:rPr>
          <w:spacing w:val="-2"/>
        </w:rPr>
        <w:t xml:space="preserve">Content of the new element will need to align with governments’ commitments under the National Agreement on Closing the Gap — actions consistent with the water outcome and targets could be included. There would therefore be significant benefits from coordination between the committee and the Coalition of Peaks members involved in developing the implementation arrangements for the National Agreement on Closing the Gap, particularly development of the inland waters target. The Commission also recognises the committee’s experience and knowledge in water resource management. To ensure </w:t>
      </w:r>
      <w:r>
        <w:rPr>
          <w:spacing w:val="-2"/>
        </w:rPr>
        <w:t xml:space="preserve">that </w:t>
      </w:r>
      <w:r w:rsidRPr="00F200BD">
        <w:rPr>
          <w:spacing w:val="-2"/>
        </w:rPr>
        <w:t xml:space="preserve">this knowledge is available to the Coalition of Peaks if required, the committee’s terms of reference should allow for it to advise on, and contribute to, </w:t>
      </w:r>
      <w:r>
        <w:rPr>
          <w:spacing w:val="-2"/>
        </w:rPr>
        <w:t xml:space="preserve">the </w:t>
      </w:r>
      <w:r w:rsidRPr="00F200BD">
        <w:rPr>
          <w:spacing w:val="-2"/>
        </w:rPr>
        <w:t>development of the inland waters target if requested.</w:t>
      </w:r>
    </w:p>
    <w:p w14:paraId="105BC635"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588732B7" w14:textId="77777777" w:rsidTr="00234FBE">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BCFA8B0" w14:textId="77777777" w:rsidR="001054C3" w:rsidRPr="00CE4C64" w:rsidRDefault="001054C3" w:rsidP="00234FBE">
            <w:pPr>
              <w:pStyle w:val="RecTitle"/>
              <w:spacing w:before="120"/>
              <w:rPr>
                <w:noProof/>
              </w:rPr>
            </w:pPr>
            <w:r>
              <w:t>NWI renewal advice 9.1: a new co</w:t>
            </w:r>
            <w:r>
              <w:noBreakHyphen/>
              <w:t>designed element</w:t>
            </w:r>
          </w:p>
        </w:tc>
      </w:tr>
      <w:tr w:rsidR="001054C3" w:rsidRPr="00750BE2" w14:paraId="539245A2"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55B17AF5" w14:textId="77777777" w:rsidR="001054C3" w:rsidRDefault="001054C3" w:rsidP="00234FBE">
            <w:pPr>
              <w:pStyle w:val="Rec"/>
              <w:keepNext/>
            </w:pPr>
            <w:r>
              <w:t>The renewed National Water Initiative (NWI) should include both an objective and a new element dedicated to Aboriginal and Torres Strait Islander people’s access to water and the involvement and participation of Aboriginal and Torres Strait Islander people in water management. The Commission supports the establishment of the Committee on Aboriginal Water Interests to develop the new NWI element.</w:t>
            </w:r>
          </w:p>
          <w:p w14:paraId="14C6F919" w14:textId="77777777" w:rsidR="001054C3" w:rsidRDefault="001054C3" w:rsidP="00234FBE">
            <w:pPr>
              <w:pStyle w:val="Rec"/>
              <w:keepNext/>
            </w:pPr>
            <w:r>
              <w:t>In developing the new element, the committee should:</w:t>
            </w:r>
          </w:p>
          <w:p w14:paraId="304F03BB" w14:textId="77777777" w:rsidR="001054C3" w:rsidRDefault="001054C3" w:rsidP="00234FBE">
            <w:pPr>
              <w:pStyle w:val="RecBullet"/>
            </w:pPr>
            <w:r>
              <w:t>ensure alignment between commitments under the National Agreement on Closing the Gap and new NWI content</w:t>
            </w:r>
          </w:p>
          <w:p w14:paraId="624EF9FE" w14:textId="77777777" w:rsidR="001054C3" w:rsidRDefault="001054C3" w:rsidP="00234FBE">
            <w:pPr>
              <w:pStyle w:val="RecBullet"/>
            </w:pPr>
            <w:r>
              <w:t>have a terms of reference that allows for an advisory role to the Coalition of Peaks</w:t>
            </w:r>
          </w:p>
          <w:p w14:paraId="0AD9760B" w14:textId="77777777" w:rsidR="001054C3" w:rsidRDefault="001054C3" w:rsidP="00234FBE">
            <w:pPr>
              <w:pStyle w:val="RecBullet"/>
            </w:pPr>
            <w:r>
              <w:t>report directly to water ministers.</w:t>
            </w:r>
          </w:p>
        </w:tc>
      </w:tr>
      <w:tr w:rsidR="001054C3" w14:paraId="10D99D37" w14:textId="77777777" w:rsidTr="00234FBE">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2D863630" w14:textId="77777777" w:rsidR="001054C3" w:rsidRDefault="001054C3" w:rsidP="00234FBE">
            <w:pPr>
              <w:pStyle w:val="Space"/>
              <w:keepLines/>
            </w:pPr>
          </w:p>
        </w:tc>
      </w:tr>
      <w:tr w:rsidR="001054C3" w:rsidRPr="000863A5" w14:paraId="1764483A" w14:textId="77777777" w:rsidTr="00234FBE">
        <w:tc>
          <w:tcPr>
            <w:tcW w:w="5000" w:type="pct"/>
            <w:tcBorders>
              <w:top w:val="single" w:sz="4" w:space="0" w:color="265A9A" w:themeColor="background2"/>
              <w:left w:val="nil"/>
              <w:bottom w:val="nil"/>
              <w:right w:val="nil"/>
            </w:tcBorders>
            <w:shd w:val="clear" w:color="auto" w:fill="auto"/>
            <w:tcMar>
              <w:left w:w="170" w:type="dxa"/>
              <w:right w:w="170" w:type="dxa"/>
            </w:tcMar>
          </w:tcPr>
          <w:p w14:paraId="07710F4A" w14:textId="77777777" w:rsidR="001054C3" w:rsidRPr="00626D32" w:rsidRDefault="001054C3" w:rsidP="00234FBE">
            <w:pPr>
              <w:pStyle w:val="BoxSpaceBelow"/>
              <w:keepLines/>
            </w:pPr>
          </w:p>
        </w:tc>
      </w:tr>
    </w:tbl>
    <w:p w14:paraId="7D339157" w14:textId="77777777" w:rsidR="001054C3" w:rsidRDefault="001054C3" w:rsidP="00234FBE">
      <w:pPr>
        <w:pStyle w:val="BodyText"/>
      </w:pPr>
      <w:bookmarkStart w:id="134" w:name="_Toc63112484"/>
      <w:r>
        <w:t>In the following sections, the Commission has provided advice on how both the cultural and economic objectives of Traditional Owners (relating to water) could be met — for consideration by the Committee on Aboriginal Water Interests as it develops the new NWI element. In doing so, the Commission has sought to meet these objectives within the existing water allocation and management frameworks. While some inquiry participants called for restoration of First Nations’ traditional rights to water through a renewed NWI, achieving this outcome would require fundamental change to current property rights regimes and the way water is currently managed. This would have profound flow</w:t>
      </w:r>
      <w:r>
        <w:noBreakHyphen/>
        <w:t xml:space="preserve">on impacts on other entitlement holders, communities and individuals. Renewal of the NWI is not the appropriate vehicle for the Australian community to consider far reaching changes. </w:t>
      </w:r>
    </w:p>
    <w:p w14:paraId="3E5BA041" w14:textId="77777777" w:rsidR="001054C3" w:rsidRDefault="001054C3" w:rsidP="00234FBE">
      <w:pPr>
        <w:pStyle w:val="BodyText"/>
      </w:pPr>
      <w:r>
        <w:t>While our approach is consistent with the framework of the National Cultural Flows Project (figure 9.1), we acknowledge that it is not consistent with the views of a number of Aboriginal and Torres Strait Islander participants, who did not support the separation of cultural and economic purposes for water provision and the separation of land and water management more generally. For example, MLDRIN observed that:</w:t>
      </w:r>
    </w:p>
    <w:p w14:paraId="5C1FBBF2" w14:textId="77777777" w:rsidR="001054C3" w:rsidRDefault="001054C3" w:rsidP="00234FBE">
      <w:pPr>
        <w:pStyle w:val="Quote"/>
      </w:pPr>
      <w:r>
        <w:t>… it is inconsistent with First Nations’ cultural protocols to treat water for “cultural outcomes” and “economic development” separately. (sub. DR185, p. 4)</w:t>
      </w:r>
    </w:p>
    <w:p w14:paraId="487A270D" w14:textId="77777777" w:rsidR="001054C3" w:rsidRPr="00F200BD" w:rsidRDefault="001054C3" w:rsidP="00234FBE">
      <w:pPr>
        <w:pStyle w:val="Heading2"/>
        <w:rPr>
          <w:spacing w:val="-6"/>
        </w:rPr>
      </w:pPr>
      <w:bookmarkStart w:id="135" w:name="_Toc72939522"/>
      <w:r>
        <w:t>9.</w:t>
      </w:r>
      <w:r>
        <w:rPr>
          <w:noProof/>
        </w:rPr>
        <w:t>3</w:t>
      </w:r>
      <w:r>
        <w:tab/>
      </w:r>
      <w:r w:rsidRPr="00F200BD">
        <w:rPr>
          <w:spacing w:val="-6"/>
        </w:rPr>
        <w:t>Achieving cultural outcomes through enhancing the influence of Traditional Owners in water management</w:t>
      </w:r>
      <w:bookmarkEnd w:id="134"/>
      <w:bookmarkEnd w:id="135"/>
    </w:p>
    <w:p w14:paraId="11390C65" w14:textId="77777777" w:rsidR="001054C3" w:rsidRDefault="001054C3" w:rsidP="00234FBE">
      <w:pPr>
        <w:pStyle w:val="BodyText"/>
      </w:pPr>
      <w:r>
        <w:t>Cultural values relating to water are complex and diverse, and may vary significantly between Aboriginal and Torres Strait Islander peoples. But a common feature is that cultural values are inextricably linked to the environmental condition of Country. Given this, the most effective way of achieving cultural outcomes is through increasing the influence of Traditional Owners in the water management processes that most affect their Country. These include water planning where the trade</w:t>
      </w:r>
      <w:r>
        <w:noBreakHyphen/>
        <w:t xml:space="preserve">offs between social, economic, environmental and cultural outcomes are agreed, and environmental water management and natural resource </w:t>
      </w:r>
      <w:r>
        <w:lastRenderedPageBreak/>
        <w:t>management (NRM) in which on</w:t>
      </w:r>
      <w:r>
        <w:noBreakHyphen/>
        <w:t>ground action is taken to achieve agreed environmental outcomes. States and Territories can improve cultural outcomes through adjustments under the current water management arrangements, as well as through the development of a renewed NWI.</w:t>
      </w:r>
    </w:p>
    <w:p w14:paraId="549D3D08" w14:textId="77777777" w:rsidR="001054C3" w:rsidRDefault="001054C3" w:rsidP="00234FBE">
      <w:pPr>
        <w:pStyle w:val="BodyText"/>
      </w:pPr>
      <w:r>
        <w:t>Water planning is a key vehicle for achieving Aboriginal and Torres Strait Islander people’s cultural objectives. In 2017, the Commission found that most jurisdictions had taken steps towards providing for cultural values in water planning processes but more could be done. While many jurisdictions have made at least some progress since then, it remains insufficient. For example, according to MLDRIN:</w:t>
      </w:r>
    </w:p>
    <w:p w14:paraId="2F3B3A8B" w14:textId="77777777" w:rsidR="001054C3" w:rsidRDefault="001054C3" w:rsidP="00234FBE">
      <w:pPr>
        <w:pStyle w:val="Quote"/>
      </w:pPr>
      <w:r>
        <w:t>… to the best of our knowledge, few, if any, statutory allocation or water sharing plans in the Basin provide rules for the protection of culturally significant water dependent values or clear, secure or meaningful volumetric allocations of water for cultural purposes or even for the purposes of exercising limited Native Title rights to water.</w:t>
      </w:r>
      <w:r w:rsidRPr="006B27F7">
        <w:t xml:space="preserve"> </w:t>
      </w:r>
      <w:r>
        <w:t>(sub. 105, p. 8)</w:t>
      </w:r>
    </w:p>
    <w:p w14:paraId="0E41A9C9" w14:textId="31CD7FAB" w:rsidR="001054C3" w:rsidRDefault="001054C3" w:rsidP="00234FBE">
      <w:pPr>
        <w:pStyle w:val="BodyText"/>
      </w:pPr>
      <w:r>
        <w:t>Reiterating the Commission’s conclusion from its 2017 assessment, States and Territories should ensure both the specification of clear, measurable and well</w:t>
      </w:r>
      <w:r>
        <w:noBreakHyphen/>
        <w:t xml:space="preserve">informed cultural objectives in water plans, and monitoring and reporting arrangements that promote accountability and foster learning about what works </w:t>
      </w:r>
      <w:r w:rsidR="00C67DB3" w:rsidRPr="00C67DB3">
        <w:rPr>
          <w:szCs w:val="24"/>
        </w:rPr>
        <w:t>(PC 2017b, p. 18)</w:t>
      </w:r>
      <w:r>
        <w:t>.</w:t>
      </w:r>
    </w:p>
    <w:p w14:paraId="081B3BD8" w14:textId="77777777" w:rsidR="001054C3" w:rsidRDefault="001054C3" w:rsidP="00234FBE">
      <w:pPr>
        <w:pStyle w:val="BodyText"/>
      </w:pPr>
      <w:r>
        <w:t>Pursuit of cultural objectives through environmental water management is particularly feasible in the Murray–Darling Basin and southern Victoria where there is held environmental water and environmental water managers make active decisions on the key locations and timing for its use. For example, environmental flows could be planned to support bird breeding, fish movement or recruitment, or vegetation regeneration, which may be aligned with cultural objectives.</w:t>
      </w:r>
    </w:p>
    <w:p w14:paraId="17D38D4F" w14:textId="77777777" w:rsidR="001054C3" w:rsidRDefault="001054C3" w:rsidP="00234FBE">
      <w:pPr>
        <w:pStyle w:val="BodyText"/>
      </w:pPr>
      <w:r>
        <w:t>Engagement of Aboriginal and Torres Strait Islander people in environmental watering, and reporting on those activities, has broadly improved in recent years. A renewed NWI could build on this by requiring environmental water holders to seek to deliver cultural objectives through environmental watering where they are consistent with ecological objectives.</w:t>
      </w:r>
    </w:p>
    <w:p w14:paraId="29E0E040" w14:textId="77777777" w:rsidR="001054C3" w:rsidRDefault="001054C3" w:rsidP="00234FBE">
      <w:pPr>
        <w:pStyle w:val="BodyText"/>
      </w:pPr>
      <w:r>
        <w:t>The provision of water for the environment is a critical element in achieving agreed environmental (and aligned cultural) outcomes, but it is not sufficient. It needs to take place within a broader NRM program which aims to manage land and water in an integrated way to reduce environmental degradation and to achieve agreed community objectives.</w:t>
      </w:r>
    </w:p>
    <w:p w14:paraId="3307B4D8" w14:textId="77777777" w:rsidR="001054C3" w:rsidRDefault="001054C3" w:rsidP="00234FBE">
      <w:pPr>
        <w:pStyle w:val="BodyText"/>
      </w:pPr>
      <w:r>
        <w:t>Engaging Traditional Owners in NRM is a key avenue to recognise and strengthen their connection to Country. Involvement in NRM also provides an opportunity for Traditional Owners and catchment or land management authorities to partner in the management of cultural assets. While there have been many initiatives to more actively involve Traditional Owners in the management of natural resources, some issues remain, such as inability to physically access river banks and the need for funding for works that maximise the value of NRM activities (NSW DPIE, pers. comm., 7 April 2021).</w:t>
      </w:r>
    </w:p>
    <w:p w14:paraId="49B181C8" w14:textId="77777777" w:rsidR="001054C3" w:rsidRDefault="001054C3" w:rsidP="00234FBE">
      <w:pPr>
        <w:pStyle w:val="BodyText"/>
      </w:pPr>
      <w:r>
        <w:lastRenderedPageBreak/>
        <w:t>Achievement of cultural objectives through water planning, management of environmental water and NRM will rest on deep engagement with Traditional Owners, fostered through the development of long</w:t>
      </w:r>
      <w:r>
        <w:noBreakHyphen/>
        <w:t xml:space="preserve">term relationships around the management of Country. </w:t>
      </w:r>
      <w:bookmarkStart w:id="136" w:name="_Hlk71644153"/>
      <w:r>
        <w:t>Funding to support engagement is also likely to be needed</w:t>
      </w:r>
      <w:bookmarkEnd w:id="136"/>
      <w:r>
        <w:t>. While all jurisdictions have mechanisms to engage with Traditional Owners, inquiry participants have pointed to shortcomings in the quality of that engagement. For example:</w:t>
      </w:r>
    </w:p>
    <w:p w14:paraId="39CCC227" w14:textId="77777777" w:rsidR="001054C3" w:rsidRDefault="001054C3" w:rsidP="00234FBE">
      <w:pPr>
        <w:pStyle w:val="Quote"/>
      </w:pPr>
      <w:r>
        <w:t>Indigenous involvement in existing water planning can encompass a spectrum of involvement that encompasses limited engagement, active participation, through to formal and extended collaboration. There are currently significant variations across time and jurisdictions in the structure, process and consistency of implementation of existing regimes. (IRG, sub. 103, p. 16)</w:t>
      </w:r>
    </w:p>
    <w:p w14:paraId="7F412C9A" w14:textId="77777777" w:rsidR="001054C3" w:rsidRDefault="001054C3" w:rsidP="00234FBE">
      <w:pPr>
        <w:pStyle w:val="BodyText"/>
      </w:pPr>
      <w:r>
        <w:t>Principles for engagement, formal partnership and shared decision making that governments committed to in the National Agreement on Closing the Gap should also be reflected in a renewed NWI. This will help to ensure that cultural objectives are agreed and can be achieved through water planning, environmental water management and broader NRM.</w:t>
      </w:r>
    </w:p>
    <w:p w14:paraId="0259195E"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34E2E902" w14:textId="77777777" w:rsidTr="00234FBE">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F2EE3B8" w14:textId="77777777" w:rsidR="001054C3" w:rsidRPr="00F200BD" w:rsidRDefault="001054C3" w:rsidP="00234FBE">
            <w:pPr>
              <w:pStyle w:val="RecTitle"/>
              <w:spacing w:before="120"/>
              <w:rPr>
                <w:noProof/>
                <w:spacing w:val="-2"/>
              </w:rPr>
            </w:pPr>
            <w:r w:rsidRPr="00F200BD">
              <w:rPr>
                <w:spacing w:val="-2"/>
              </w:rPr>
              <w:t>NWI renewal advice 9.2: IMPROVING CULTURAL OUTCOMES USING EXISTING FRAMEWORKS</w:t>
            </w:r>
          </w:p>
        </w:tc>
      </w:tr>
      <w:tr w:rsidR="001054C3" w:rsidRPr="00750BE2" w14:paraId="485743AE"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0011B012" w14:textId="77777777" w:rsidR="001054C3" w:rsidRDefault="001054C3" w:rsidP="00234FBE">
            <w:pPr>
              <w:pStyle w:val="Rec"/>
              <w:keepNext/>
            </w:pPr>
            <w:r>
              <w:t>In developing a new National Water Initiative element, the Committee on Aboriginal Water Interests should consider content that ensures that:</w:t>
            </w:r>
          </w:p>
          <w:p w14:paraId="419C5ACF" w14:textId="77777777" w:rsidR="001054C3" w:rsidRDefault="001054C3" w:rsidP="00234FBE">
            <w:pPr>
              <w:pStyle w:val="RecBullet"/>
            </w:pPr>
            <w:r>
              <w:t>cultural objectives are explicitly identified and provided for in water plans and progress in achieving those objectives is regularly monitored and reported publicly</w:t>
            </w:r>
          </w:p>
          <w:p w14:paraId="2654A0DA" w14:textId="77777777" w:rsidR="001054C3" w:rsidRDefault="001054C3" w:rsidP="00234FBE">
            <w:pPr>
              <w:pStyle w:val="RecBullet"/>
            </w:pPr>
            <w:r>
              <w:t>environmental water holders seek to deliver cultural outcomes whenever consistent with their ecological obligations</w:t>
            </w:r>
          </w:p>
          <w:p w14:paraId="17AB90A8" w14:textId="77777777" w:rsidR="001054C3" w:rsidRDefault="001054C3" w:rsidP="00234FBE">
            <w:pPr>
              <w:pStyle w:val="RecBullet"/>
            </w:pPr>
            <w:r>
              <w:t>natural resource managers incorporate cultural objectives into river and wetland plans and work with Traditional Owners in on</w:t>
            </w:r>
            <w:r>
              <w:noBreakHyphen/>
              <w:t>ground management programs to achieve them</w:t>
            </w:r>
          </w:p>
          <w:p w14:paraId="2BD93F1F" w14:textId="77777777" w:rsidR="001054C3" w:rsidRDefault="001054C3" w:rsidP="00234FBE">
            <w:pPr>
              <w:pStyle w:val="RecBullet"/>
            </w:pPr>
            <w:r>
              <w:t>Traditional Owner engagement in water planning, environmental water management and natural resource management is of high quality and fostered through the development of long</w:t>
            </w:r>
            <w:r>
              <w:noBreakHyphen/>
              <w:t>term relationships (NWI renewal advice 6.2, 8.3 and 8.9).</w:t>
            </w:r>
          </w:p>
        </w:tc>
      </w:tr>
      <w:tr w:rsidR="001054C3" w14:paraId="7597D5AD" w14:textId="77777777" w:rsidTr="00234FBE">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56CC459F" w14:textId="77777777" w:rsidR="001054C3" w:rsidRDefault="001054C3" w:rsidP="00234FBE">
            <w:pPr>
              <w:pStyle w:val="Space"/>
              <w:keepLines/>
            </w:pPr>
          </w:p>
        </w:tc>
      </w:tr>
      <w:tr w:rsidR="001054C3" w:rsidRPr="000863A5" w14:paraId="154E4C44" w14:textId="77777777" w:rsidTr="00234FBE">
        <w:tc>
          <w:tcPr>
            <w:tcW w:w="5000" w:type="pct"/>
            <w:tcBorders>
              <w:top w:val="single" w:sz="4" w:space="0" w:color="265A9A" w:themeColor="background2"/>
              <w:left w:val="nil"/>
              <w:bottom w:val="nil"/>
              <w:right w:val="nil"/>
            </w:tcBorders>
            <w:shd w:val="clear" w:color="auto" w:fill="auto"/>
            <w:tcMar>
              <w:left w:w="170" w:type="dxa"/>
              <w:right w:w="170" w:type="dxa"/>
            </w:tcMar>
          </w:tcPr>
          <w:p w14:paraId="5CED43C9" w14:textId="77777777" w:rsidR="001054C3" w:rsidRPr="00626D32" w:rsidRDefault="001054C3" w:rsidP="00234FBE">
            <w:pPr>
              <w:pStyle w:val="BoxSpaceBelow"/>
              <w:keepLines/>
            </w:pPr>
          </w:p>
        </w:tc>
      </w:tr>
    </w:tbl>
    <w:p w14:paraId="77D082CC" w14:textId="77777777" w:rsidR="001054C3" w:rsidRDefault="001054C3" w:rsidP="00234FBE">
      <w:pPr>
        <w:pStyle w:val="Heading2"/>
      </w:pPr>
      <w:bookmarkStart w:id="137" w:name="_Toc63112485"/>
      <w:bookmarkStart w:id="138" w:name="_Toc72939523"/>
      <w:r>
        <w:t>9.</w:t>
      </w:r>
      <w:r>
        <w:rPr>
          <w:noProof/>
        </w:rPr>
        <w:t>4</w:t>
      </w:r>
      <w:r>
        <w:tab/>
        <w:t>Enabling access to water for economic use</w:t>
      </w:r>
      <w:bookmarkEnd w:id="137"/>
      <w:bookmarkEnd w:id="138"/>
    </w:p>
    <w:p w14:paraId="1536D1DC" w14:textId="77777777" w:rsidR="001054C3" w:rsidRDefault="001054C3" w:rsidP="00234FBE">
      <w:pPr>
        <w:pStyle w:val="BodyText"/>
      </w:pPr>
      <w:r>
        <w:t>Aboriginal and Torres Strait Islander people consider that not only should cultural values be protected, but that there is also a need for water entitlements for community and economic development.</w:t>
      </w:r>
    </w:p>
    <w:p w14:paraId="731DA13D" w14:textId="77777777" w:rsidR="001054C3" w:rsidRDefault="001054C3" w:rsidP="00234FBE">
      <w:pPr>
        <w:pStyle w:val="Quote"/>
      </w:pPr>
      <w:r>
        <w:t>The NWI provided constrained recognition of Indigenous interests in water … recognition was limited to social, spiritual and customary interests, not, as many Indigenous leaders have argued economic interests. (IRG, sub. 103, p. 7)</w:t>
      </w:r>
    </w:p>
    <w:p w14:paraId="52BF8377" w14:textId="77777777" w:rsidR="001054C3" w:rsidRPr="00EF3935" w:rsidRDefault="001054C3" w:rsidP="00234FBE">
      <w:pPr>
        <w:pStyle w:val="BodyText"/>
        <w:keepNext/>
      </w:pPr>
      <w:r>
        <w:lastRenderedPageBreak/>
        <w:t>A number of States and Territories have established, or are considering, specific provisions to enable acce</w:t>
      </w:r>
      <w:r w:rsidRPr="00EF3935">
        <w:t xml:space="preserve">ss to water for </w:t>
      </w:r>
      <w:r>
        <w:t>consumptive</w:t>
      </w:r>
      <w:r w:rsidRPr="00EF3935">
        <w:t xml:space="preserve"> use. For example, the:</w:t>
      </w:r>
    </w:p>
    <w:p w14:paraId="18235210" w14:textId="612A6712" w:rsidR="001054C3" w:rsidRPr="00CC37B2" w:rsidRDefault="001054C3" w:rsidP="00234FBE">
      <w:pPr>
        <w:pStyle w:val="ListBullet"/>
      </w:pPr>
      <w:r w:rsidRPr="00EF3935">
        <w:t xml:space="preserve">Australian Government has allocated $40 million for purchases of entitlements in the Murray–Darling Basin </w:t>
      </w:r>
      <w:r w:rsidRPr="00EF3935">
        <w:rPr>
          <w:szCs w:val="24"/>
        </w:rPr>
        <w:t>(DAWE 2019)</w:t>
      </w:r>
      <w:r>
        <w:rPr>
          <w:szCs w:val="24"/>
        </w:rPr>
        <w:t>, although recent reports suggest that some of this could be used to purchase non</w:t>
      </w:r>
      <w:r>
        <w:rPr>
          <w:szCs w:val="24"/>
        </w:rPr>
        <w:noBreakHyphen/>
        <w:t xml:space="preserve">water assets </w:t>
      </w:r>
      <w:r w:rsidRPr="00935677">
        <w:rPr>
          <w:szCs w:val="24"/>
        </w:rPr>
        <w:t>(Foley 2021)</w:t>
      </w:r>
    </w:p>
    <w:p w14:paraId="1E0FDD85" w14:textId="2EF7EBA9" w:rsidR="001054C3" w:rsidRDefault="001054C3" w:rsidP="00234FBE">
      <w:pPr>
        <w:pStyle w:val="ListBullet"/>
      </w:pPr>
      <w:r>
        <w:t xml:space="preserve">Northern Territory’s Strategic Aboriginal Water Reserves Policy sets aside a percentage of water in a water allocation plan for holders of Aboriginal land rights to use for economic development </w:t>
      </w:r>
      <w:r w:rsidRPr="006F4AE6">
        <w:rPr>
          <w:szCs w:val="24"/>
        </w:rPr>
        <w:t>(Northern Territory Government 2017)</w:t>
      </w:r>
    </w:p>
    <w:p w14:paraId="61B20983" w14:textId="18AC42BC" w:rsidR="001054C3" w:rsidRDefault="001054C3" w:rsidP="00234FBE">
      <w:pPr>
        <w:pStyle w:val="ListBullet"/>
      </w:pPr>
      <w:r>
        <w:t xml:space="preserve">Queensland Government has provided Traditional Owners with over 485 gigalitres of water per year through the Cape York Water Plan, enabling Traditional Owners to determine how the water is allocated and managed to achieve economic and cultural aspirations </w:t>
      </w:r>
      <w:r w:rsidRPr="008E0D46">
        <w:rPr>
          <w:szCs w:val="24"/>
        </w:rPr>
        <w:t>(DNRME (Qld) 2019, p. 3)</w:t>
      </w:r>
    </w:p>
    <w:p w14:paraId="0623CA66" w14:textId="77777777" w:rsidR="001054C3" w:rsidRDefault="001054C3" w:rsidP="00234FBE">
      <w:pPr>
        <w:pStyle w:val="ListBullet"/>
      </w:pPr>
      <w:r>
        <w:t xml:space="preserve">Indigenous land use agreement between the Western Australian Government and the Yamatji Nation includes a reserve of up to 25 gigalitres of groundwater per year for licensed use by Yamatji. </w:t>
      </w:r>
      <w:r w:rsidRPr="007A14BE">
        <w:t>$20 million for groundwater investigations to support future licence applications</w:t>
      </w:r>
      <w:r>
        <w:t xml:space="preserve"> has also been provided. And c</w:t>
      </w:r>
      <w:r w:rsidRPr="007A14BE">
        <w:t xml:space="preserve">onsultation is currently being undertaken </w:t>
      </w:r>
      <w:r>
        <w:t>on</w:t>
      </w:r>
      <w:r w:rsidRPr="007A14BE">
        <w:t xml:space="preserve"> the draft Derby G</w:t>
      </w:r>
      <w:r>
        <w:t>r</w:t>
      </w:r>
      <w:r w:rsidRPr="007A14BE">
        <w:t>oundwater Allocation Plan, which incorporates a Strategic Aboriginal Water Reserve</w:t>
      </w:r>
      <w:r>
        <w:t>.</w:t>
      </w:r>
    </w:p>
    <w:p w14:paraId="26185C6F" w14:textId="77777777" w:rsidR="001054C3" w:rsidRDefault="001054C3" w:rsidP="00234FBE">
      <w:pPr>
        <w:pStyle w:val="BodyText"/>
      </w:pPr>
      <w:r>
        <w:t>Once developed, the target for inland waters under the National Agreement on Closing the Gap will also likely contribute to furthering access to water for economic use, through actions in the jurisdictional implementation plans associated with the agreement.</w:t>
      </w:r>
    </w:p>
    <w:p w14:paraId="0F9EDCB4" w14:textId="77777777" w:rsidR="001054C3" w:rsidRDefault="001054C3" w:rsidP="00234FBE">
      <w:pPr>
        <w:pStyle w:val="BodyText"/>
      </w:pPr>
      <w:r>
        <w:t>Governments need to work with Traditional Owners to determine their best and preferred pathways for the ongoing economic development of their communities. If that process results in agreement that access to water is the best way to support economic development, that access should be facilitated as efficiently and transparently as possible within existing entitlements frameworks. Where the consumptive pool is fully allocated, water should be bought from entitlement holders on the market to retain system integrity. And reserves for exclusive use can be created in systems where the consumptive pool has not been fully allocated. Transparency through these processes will be important in sustaining confidence in water rights and the development of efficient water markets.</w:t>
      </w:r>
    </w:p>
    <w:p w14:paraId="5C8598B7" w14:textId="77777777" w:rsidR="001054C3" w:rsidRDefault="001054C3" w:rsidP="00234FBE">
      <w:pPr>
        <w:pStyle w:val="BodyText"/>
      </w:pPr>
      <w:r>
        <w:t xml:space="preserve">As discussed in chapter 13, governments are also considering significant water infrastructure investments. The NWI calls for the demonstration of environmental sustainability and economic viability before a major development is approved. The NWI criteria for major water infrastructure investments should also be extended to ensure that development processes are </w:t>
      </w:r>
      <w:r w:rsidRPr="003824C0">
        <w:rPr>
          <w:i/>
          <w:iCs/>
        </w:rPr>
        <w:t>culturally responsive</w:t>
      </w:r>
      <w:r>
        <w:rPr>
          <w:i/>
          <w:iCs/>
        </w:rPr>
        <w:t> — </w:t>
      </w:r>
      <w:r>
        <w:t xml:space="preserve">that is, the aspirations and concerns of Traditional Owners are understood, discussed and considered in developing plans for major infrastructure; and proponents specifically identify and account for impacts on Aboriginal and Torres Strait Islander heritage and other cultural values associated with water. Where a dam is approved in an undeveloped area, governments should give consideration to whether reserving a share of any new water rights for Traditional Owners would be equitable in light of identified impacts of the development on Aboriginal and Torres Strait Islander </w:t>
      </w:r>
      <w:r>
        <w:lastRenderedPageBreak/>
        <w:t>communities, and/or contribute to the development of those communities and the achievement of targets set under the National Agreement on Closing the Gap.</w:t>
      </w:r>
    </w:p>
    <w:p w14:paraId="0C408E95" w14:textId="77777777" w:rsidR="001054C3" w:rsidRPr="00F200BD" w:rsidRDefault="001054C3" w:rsidP="00234FBE">
      <w:pPr>
        <w:pStyle w:val="BodyText"/>
        <w:rPr>
          <w:spacing w:val="-2"/>
        </w:rPr>
      </w:pPr>
      <w:r w:rsidRPr="00F200BD">
        <w:rPr>
          <w:spacing w:val="-2"/>
        </w:rPr>
        <w:t xml:space="preserve">Whatever approach to facilitating access is adopted, supporting arrangements will be </w:t>
      </w:r>
      <w:r>
        <w:rPr>
          <w:spacing w:val="-2"/>
        </w:rPr>
        <w:t>required</w:t>
      </w:r>
      <w:r w:rsidRPr="00F200BD">
        <w:rPr>
          <w:spacing w:val="-2"/>
        </w:rPr>
        <w:t xml:space="preserve"> to maximise the longer</w:t>
      </w:r>
      <w:r w:rsidRPr="00F200BD">
        <w:rPr>
          <w:spacing w:val="-2"/>
        </w:rPr>
        <w:noBreakHyphen/>
        <w:t xml:space="preserve">term benefits from water holdings. </w:t>
      </w:r>
      <w:r>
        <w:rPr>
          <w:spacing w:val="-2"/>
        </w:rPr>
        <w:t>This is because a</w:t>
      </w:r>
      <w:r w:rsidRPr="00F200BD">
        <w:rPr>
          <w:spacing w:val="-2"/>
        </w:rPr>
        <w:t xml:space="preserve">ccess to water is not the only barrier that Aboriginal and Torres Strait Islander people </w:t>
      </w:r>
      <w:r>
        <w:rPr>
          <w:spacing w:val="-2"/>
        </w:rPr>
        <w:t>can</w:t>
      </w:r>
      <w:r w:rsidRPr="00F200BD">
        <w:rPr>
          <w:spacing w:val="-2"/>
        </w:rPr>
        <w:t xml:space="preserve"> face in taking advantage of economic development opportunities</w:t>
      </w:r>
      <w:r>
        <w:rPr>
          <w:spacing w:val="-2"/>
        </w:rPr>
        <w:t xml:space="preserve"> — o</w:t>
      </w:r>
      <w:r w:rsidRPr="00F200BD">
        <w:rPr>
          <w:spacing w:val="-2"/>
        </w:rPr>
        <w:t>ther factors, such as access to specialist skills and knowledge, experience with water</w:t>
      </w:r>
      <w:r w:rsidRPr="00F200BD">
        <w:rPr>
          <w:spacing w:val="-2"/>
        </w:rPr>
        <w:noBreakHyphen/>
        <w:t>related businesses and financial capital to make</w:t>
      </w:r>
      <w:r>
        <w:rPr>
          <w:spacing w:val="-2"/>
        </w:rPr>
        <w:t xml:space="preserve"> the</w:t>
      </w:r>
      <w:r w:rsidRPr="00F200BD">
        <w:rPr>
          <w:spacing w:val="-2"/>
        </w:rPr>
        <w:t xml:space="preserve"> best use of water are also important. Water access arrangements are likely to produce the greatest value when they are part of a broader strategy for community development, which may include investment in education, training and business development.</w:t>
      </w:r>
    </w:p>
    <w:p w14:paraId="23AAA566" w14:textId="77777777" w:rsidR="001054C3" w:rsidRDefault="001054C3" w:rsidP="00234FBE">
      <w:pPr>
        <w:pStyle w:val="BodyText"/>
      </w:pPr>
      <w:r>
        <w:t>Success in providing water for economic purposes would also be supported by best</w:t>
      </w:r>
      <w:r>
        <w:noBreakHyphen/>
        <w:t xml:space="preserve">practice policy design principles, namely: </w:t>
      </w:r>
    </w:p>
    <w:p w14:paraId="64980787" w14:textId="77777777" w:rsidR="001054C3" w:rsidRDefault="001054C3" w:rsidP="00234FBE">
      <w:pPr>
        <w:pStyle w:val="ListBullet"/>
      </w:pPr>
      <w:r>
        <w:t>effective engagement through co</w:t>
      </w:r>
      <w:r>
        <w:noBreakHyphen/>
        <w:t>design</w:t>
      </w:r>
    </w:p>
    <w:p w14:paraId="3765BF34" w14:textId="77777777" w:rsidR="001054C3" w:rsidRDefault="001054C3" w:rsidP="00234FBE">
      <w:pPr>
        <w:pStyle w:val="ListBullet"/>
      </w:pPr>
      <w:r>
        <w:t>a clear and measurable policy objective</w:t>
      </w:r>
    </w:p>
    <w:p w14:paraId="5564FCB7" w14:textId="77777777" w:rsidR="001054C3" w:rsidRDefault="001054C3" w:rsidP="00234FBE">
      <w:pPr>
        <w:pStyle w:val="ListBullet"/>
      </w:pPr>
      <w:r>
        <w:t>consideration of the range of ways in which the objective could be met (including via the provision of resources other than water)</w:t>
      </w:r>
    </w:p>
    <w:p w14:paraId="1E3FD59E" w14:textId="77777777" w:rsidR="001054C3" w:rsidRDefault="001054C3" w:rsidP="00234FBE">
      <w:pPr>
        <w:pStyle w:val="ListBullet"/>
      </w:pPr>
      <w:r>
        <w:t>transparent evaluation of each option</w:t>
      </w:r>
    </w:p>
    <w:p w14:paraId="11F2DFC6" w14:textId="77777777" w:rsidR="001054C3" w:rsidRDefault="001054C3" w:rsidP="00234FBE">
      <w:pPr>
        <w:pStyle w:val="ListBullet"/>
      </w:pPr>
      <w:r>
        <w:t xml:space="preserve">policy review to test what works. </w:t>
      </w:r>
    </w:p>
    <w:p w14:paraId="2D7F6C73" w14:textId="77777777" w:rsidR="001054C3" w:rsidRPr="00431D61" w:rsidRDefault="001054C3" w:rsidP="00234FBE">
      <w:pPr>
        <w:pStyle w:val="BodyText"/>
        <w:rPr>
          <w:spacing w:val="-2"/>
        </w:rPr>
      </w:pPr>
      <w:r w:rsidRPr="00431D61">
        <w:rPr>
          <w:spacing w:val="-2"/>
        </w:rPr>
        <w:t>Given the value of water to other users including the environment, governance arrangements and clear accountabilities for water provided to Traditional Owners should also be established.</w:t>
      </w:r>
    </w:p>
    <w:p w14:paraId="0C703020" w14:textId="77777777" w:rsidR="001054C3" w:rsidRDefault="001054C3" w:rsidP="00234FBE">
      <w:pPr>
        <w:pStyle w:val="BodyText"/>
      </w:pPr>
      <w:r>
        <w:t>Finally, for transparency and to demonstrate progress against NWI and other commitments, governments should regularly report publicly on water provided for consumptive purposes and the outcomes supported by those allocations.</w:t>
      </w:r>
    </w:p>
    <w:p w14:paraId="46F305E1" w14:textId="77777777" w:rsidR="001054C3" w:rsidRDefault="001054C3">
      <w:pPr>
        <w:rPr>
          <w:szCs w:val="20"/>
        </w:rPr>
      </w:pPr>
      <w:r>
        <w:br w:type="page"/>
      </w:r>
    </w:p>
    <w:p w14:paraId="743562CD"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38C574D3" w14:textId="77777777" w:rsidTr="00234FBE">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3F1C390D" w14:textId="77777777" w:rsidR="001054C3" w:rsidRPr="00CE4C64" w:rsidRDefault="001054C3" w:rsidP="00234FBE">
            <w:pPr>
              <w:pStyle w:val="RecTitle"/>
              <w:spacing w:before="120"/>
              <w:rPr>
                <w:noProof/>
              </w:rPr>
            </w:pPr>
            <w:r>
              <w:t xml:space="preserve">NWI renewal advice 9.3: </w:t>
            </w:r>
            <w:r w:rsidRPr="00123FDB">
              <w:t>IMPROVING ACCESS FOR ECONOMIC DEVELOPMENT</w:t>
            </w:r>
          </w:p>
        </w:tc>
      </w:tr>
      <w:tr w:rsidR="001054C3" w:rsidRPr="00750BE2" w14:paraId="3982D50F"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0A1F98F9" w14:textId="77777777" w:rsidR="001054C3" w:rsidRDefault="001054C3" w:rsidP="00234FBE">
            <w:pPr>
              <w:pStyle w:val="Rec"/>
            </w:pPr>
            <w:r>
              <w:t xml:space="preserve">In developing a new National Water Initiative element, the Committee on Aboriginal Water Interests could consider content that ensures that, where agreement is reached between State and Territory Governments and Traditional Owners that consumptive access to water is an effective way to support the economic development of Aboriginal and Torres Strait Islander communities, access is provided by: </w:t>
            </w:r>
          </w:p>
          <w:p w14:paraId="793C4585" w14:textId="77777777" w:rsidR="001054C3" w:rsidRDefault="001054C3" w:rsidP="00234FBE">
            <w:pPr>
              <w:pStyle w:val="RecBullet"/>
            </w:pPr>
            <w:r>
              <w:t>sourcing water within existing water entitlement frameworks, such as by purchasing water on the market or as part of transparent processes for assigning unallocated water</w:t>
            </w:r>
          </w:p>
          <w:p w14:paraId="184400F2" w14:textId="77777777" w:rsidR="001054C3" w:rsidRDefault="001054C3" w:rsidP="00234FBE">
            <w:pPr>
              <w:pStyle w:val="RecBullet"/>
            </w:pPr>
            <w:r>
              <w:t>ensuring adequate supporting arrangements (such as training and business development) are in place to enable Aboriginal and Torres Strait Islander communities to maximise the value of the resource for their needs and uses</w:t>
            </w:r>
          </w:p>
          <w:p w14:paraId="03E500AF" w14:textId="77777777" w:rsidR="001054C3" w:rsidRPr="00431D61" w:rsidRDefault="001054C3" w:rsidP="00234FBE">
            <w:pPr>
              <w:pStyle w:val="RecBullet"/>
              <w:rPr>
                <w:spacing w:val="-2"/>
              </w:rPr>
            </w:pPr>
            <w:r w:rsidRPr="00431D61">
              <w:rPr>
                <w:spacing w:val="-2"/>
              </w:rPr>
              <w:t>actively involving Aboriginal and Torres Strait Islander communities in program design.</w:t>
            </w:r>
          </w:p>
          <w:p w14:paraId="0357F8F8" w14:textId="77777777" w:rsidR="001054C3" w:rsidRDefault="001054C3" w:rsidP="00234FBE">
            <w:pPr>
              <w:pStyle w:val="Rec"/>
            </w:pPr>
            <w:r>
              <w:t>The provision of water by governments to Aboriginal and Torres Strait Islander communities would be supported by:</w:t>
            </w:r>
          </w:p>
          <w:p w14:paraId="60F6E8D4" w14:textId="77777777" w:rsidR="001054C3" w:rsidRDefault="001054C3" w:rsidP="00234FBE">
            <w:pPr>
              <w:pStyle w:val="RecBullet"/>
            </w:pPr>
            <w:r>
              <w:t>specifying and implementing governance arrangements for such water</w:t>
            </w:r>
          </w:p>
          <w:p w14:paraId="7B4F09B1" w14:textId="77777777" w:rsidR="001054C3" w:rsidRDefault="001054C3" w:rsidP="00234FBE">
            <w:pPr>
              <w:pStyle w:val="RecBullet"/>
            </w:pPr>
            <w:r>
              <w:t>regularly monitoring and publicly reporting on the inland waters target under the National Agreement on Closing the Gap.</w:t>
            </w:r>
          </w:p>
          <w:p w14:paraId="2233D519" w14:textId="77777777" w:rsidR="001054C3" w:rsidRDefault="001054C3" w:rsidP="00234FBE">
            <w:pPr>
              <w:pStyle w:val="Rec"/>
            </w:pPr>
            <w:r>
              <w:t>Where governments invest in new water infrastructure, particularly in undeveloped areas, governments should consider whether reserving a share of any new water rights for Traditional Owners would be consistent with plans for future community development and assist in meeting targets set under the National Agreement on Closing the Gap.</w:t>
            </w:r>
          </w:p>
        </w:tc>
      </w:tr>
      <w:tr w:rsidR="001054C3" w14:paraId="53EE80F7" w14:textId="77777777" w:rsidTr="00234FBE">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6B346408" w14:textId="77777777" w:rsidR="001054C3" w:rsidRDefault="001054C3" w:rsidP="00234FBE">
            <w:pPr>
              <w:pStyle w:val="Space"/>
              <w:keepLines/>
            </w:pPr>
          </w:p>
        </w:tc>
      </w:tr>
      <w:tr w:rsidR="001054C3" w:rsidRPr="000863A5" w14:paraId="5D3542B1" w14:textId="77777777" w:rsidTr="00234FBE">
        <w:tc>
          <w:tcPr>
            <w:tcW w:w="5000" w:type="pct"/>
            <w:tcBorders>
              <w:top w:val="single" w:sz="4" w:space="0" w:color="265A9A" w:themeColor="background2"/>
              <w:left w:val="nil"/>
              <w:bottom w:val="nil"/>
              <w:right w:val="nil"/>
            </w:tcBorders>
            <w:shd w:val="clear" w:color="auto" w:fill="auto"/>
            <w:tcMar>
              <w:left w:w="170" w:type="dxa"/>
              <w:right w:w="170" w:type="dxa"/>
            </w:tcMar>
          </w:tcPr>
          <w:p w14:paraId="7FD65985" w14:textId="77777777" w:rsidR="001054C3" w:rsidRPr="00626D32" w:rsidRDefault="001054C3" w:rsidP="00234FBE">
            <w:pPr>
              <w:pStyle w:val="BoxSpaceBelow"/>
              <w:keepLines/>
            </w:pPr>
          </w:p>
        </w:tc>
      </w:tr>
    </w:tbl>
    <w:p w14:paraId="13B43481" w14:textId="77777777" w:rsidR="001054C3" w:rsidRDefault="001054C3" w:rsidP="00120072">
      <w:pPr>
        <w:pStyle w:val="BodyText"/>
      </w:pPr>
    </w:p>
    <w:p w14:paraId="034F02F9" w14:textId="77777777" w:rsidR="001054C3" w:rsidRDefault="001054C3" w:rsidP="001054C3">
      <w:pPr>
        <w:sectPr w:rsidR="001054C3" w:rsidSect="001054C3">
          <w:headerReference w:type="even" r:id="rId107"/>
          <w:headerReference w:type="default" r:id="rId108"/>
          <w:footerReference w:type="even" r:id="rId109"/>
          <w:footerReference w:type="default" r:id="rId110"/>
          <w:type w:val="oddPage"/>
          <w:pgSz w:w="11907" w:h="16840" w:code="9"/>
          <w:pgMar w:top="1985" w:right="1304" w:bottom="1247" w:left="1814" w:header="1701" w:footer="397" w:gutter="0"/>
          <w:pgNumType w:chapSep="period"/>
          <w:cols w:space="720"/>
          <w:docGrid w:linePitch="326"/>
        </w:sectPr>
      </w:pPr>
    </w:p>
    <w:p w14:paraId="0931B039" w14:textId="77777777" w:rsidR="001054C3" w:rsidRDefault="001054C3" w:rsidP="00234FBE">
      <w:pPr>
        <w:pStyle w:val="Heading1"/>
        <w:spacing w:before="0"/>
      </w:pPr>
      <w:bookmarkStart w:id="139" w:name="_Toc72939524"/>
      <w:r>
        <w:lastRenderedPageBreak/>
        <w:t>10</w:t>
      </w:r>
      <w:r>
        <w:tab/>
        <w:t>Ensuring the integrity of water resource management</w:t>
      </w:r>
      <w:bookmarkEnd w:id="139"/>
    </w:p>
    <w:p w14:paraId="5242432A"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498"/>
        <w:gridCol w:w="291"/>
      </w:tblGrid>
      <w:tr w:rsidR="001054C3" w14:paraId="486A7072" w14:textId="77777777" w:rsidTr="00234FBE">
        <w:trPr>
          <w:tblHeader/>
        </w:trPr>
        <w:tc>
          <w:tcPr>
            <w:tcW w:w="5000" w:type="pct"/>
            <w:gridSpan w:val="2"/>
            <w:tcBorders>
              <w:top w:val="single" w:sz="6" w:space="0" w:color="78A22F"/>
              <w:left w:val="nil"/>
              <w:bottom w:val="nil"/>
              <w:right w:val="nil"/>
            </w:tcBorders>
            <w:shd w:val="clear" w:color="auto" w:fill="F2F2F2"/>
          </w:tcPr>
          <w:p w14:paraId="53178587" w14:textId="77777777" w:rsidR="001054C3" w:rsidRDefault="001054C3" w:rsidP="00234FBE">
            <w:pPr>
              <w:pStyle w:val="BoxTitle"/>
            </w:pPr>
            <w:r>
              <w:t>Key points</w:t>
            </w:r>
          </w:p>
        </w:tc>
      </w:tr>
      <w:tr w:rsidR="001054C3" w14:paraId="2AE85CCC" w14:textId="77777777" w:rsidTr="00234FBE">
        <w:tc>
          <w:tcPr>
            <w:tcW w:w="5000" w:type="pct"/>
            <w:gridSpan w:val="2"/>
            <w:tcBorders>
              <w:top w:val="nil"/>
              <w:left w:val="nil"/>
              <w:bottom w:val="nil"/>
              <w:right w:val="nil"/>
            </w:tcBorders>
            <w:shd w:val="clear" w:color="auto" w:fill="F2F2F2"/>
          </w:tcPr>
          <w:p w14:paraId="3668AE8A" w14:textId="77777777" w:rsidR="001054C3" w:rsidRDefault="001054C3" w:rsidP="00234FBE">
            <w:pPr>
              <w:pStyle w:val="BoxListBullet"/>
            </w:pPr>
            <w:r>
              <w:t>Given the demands on water in Australia, water users and the broader community need to be able to trust that it is being managed to best effect.</w:t>
            </w:r>
          </w:p>
          <w:p w14:paraId="68FCB7E7" w14:textId="77777777" w:rsidR="001054C3" w:rsidRDefault="001054C3" w:rsidP="00234FBE">
            <w:pPr>
              <w:pStyle w:val="BoxListBullet"/>
            </w:pPr>
            <w:r>
              <w:t>Recent reviews into compliance and enforcement in the Murray–Darling Basin found numerous shortcomings around governance, practice and resourcing. G</w:t>
            </w:r>
            <w:r w:rsidRPr="00AD237E">
              <w:t xml:space="preserve">rowing mistrust and a lack of confidence in water system </w:t>
            </w:r>
            <w:r w:rsidRPr="00AD237E" w:rsidDel="00DC5D4D">
              <w:t>management</w:t>
            </w:r>
            <w:r>
              <w:t xml:space="preserve"> during the drought were a consequence.</w:t>
            </w:r>
          </w:p>
          <w:p w14:paraId="4227F59B" w14:textId="77777777" w:rsidR="001054C3" w:rsidRDefault="001054C3" w:rsidP="00234FBE">
            <w:pPr>
              <w:pStyle w:val="BoxListBullet"/>
            </w:pPr>
            <w:r>
              <w:t>While such problems have not been seen elsewhere, the Murray–Darling Basin experience contains important lessons for national policy, and recent government responses offer insights on best practice.</w:t>
            </w:r>
          </w:p>
          <w:p w14:paraId="1206093D" w14:textId="77777777" w:rsidR="001054C3" w:rsidRDefault="001054C3" w:rsidP="00234FBE">
            <w:pPr>
              <w:pStyle w:val="BoxListBullet"/>
            </w:pPr>
            <w:r>
              <w:t>Credible information about how water is used, by whom, when and why, combined with robust institutional processes, underpins the integrity of water management systems.</w:t>
            </w:r>
          </w:p>
          <w:p w14:paraId="0C9D190B" w14:textId="77777777" w:rsidR="001054C3" w:rsidRDefault="001054C3" w:rsidP="00234FBE">
            <w:pPr>
              <w:pStyle w:val="BoxListBullet"/>
            </w:pPr>
            <w:r>
              <w:t>A renewed National Water Initiative (NWI) would be strengthened by broadening</w:t>
            </w:r>
            <w:r w:rsidRPr="00AD237E">
              <w:t xml:space="preserve"> </w:t>
            </w:r>
            <w:r>
              <w:t>the</w:t>
            </w:r>
            <w:r w:rsidRPr="00AD237E">
              <w:t xml:space="preserve"> water accounting element to ensure the provision of credible and reliable information </w:t>
            </w:r>
            <w:r>
              <w:t xml:space="preserve">and institutional processes </w:t>
            </w:r>
            <w:r w:rsidRPr="00AD237E">
              <w:t>that</w:t>
            </w:r>
            <w:r>
              <w:t xml:space="preserve"> provide assurance that:</w:t>
            </w:r>
          </w:p>
          <w:p w14:paraId="01D67119" w14:textId="77777777" w:rsidR="001054C3" w:rsidRDefault="001054C3" w:rsidP="00234FBE">
            <w:pPr>
              <w:pStyle w:val="BoxListBullet2"/>
            </w:pPr>
            <w:r>
              <w:t>entitlement holders are operating in line with their rights and water use is consistent with established rights and plans</w:t>
            </w:r>
          </w:p>
          <w:p w14:paraId="1ABD851B" w14:textId="77777777" w:rsidR="001054C3" w:rsidRDefault="001054C3" w:rsidP="00234FBE">
            <w:pPr>
              <w:pStyle w:val="BoxListBullet2"/>
            </w:pPr>
            <w:r>
              <w:t>water resource systems are being managed to best effect for all users.</w:t>
            </w:r>
          </w:p>
          <w:p w14:paraId="73A8190D" w14:textId="77777777" w:rsidR="001054C3" w:rsidRDefault="001054C3" w:rsidP="00234FBE">
            <w:pPr>
              <w:pStyle w:val="BoxListBullet"/>
            </w:pPr>
            <w:r>
              <w:t xml:space="preserve">Provision of </w:t>
            </w:r>
            <w:r w:rsidRPr="00AD237E">
              <w:t xml:space="preserve">trusted information on the broader water context </w:t>
            </w:r>
            <w:r>
              <w:t>is also needed</w:t>
            </w:r>
            <w:r w:rsidRPr="00B02D24">
              <w:t xml:space="preserve"> to improve understanding of key water resource challenges and potential risks, enabling entitlement holders, industry and communities to better plan for the future.</w:t>
            </w:r>
          </w:p>
          <w:p w14:paraId="12D5FA11" w14:textId="77777777" w:rsidR="001054C3" w:rsidRDefault="001054C3" w:rsidP="00234FBE">
            <w:pPr>
              <w:pStyle w:val="BoxListBullet"/>
            </w:pPr>
            <w:r>
              <w:t>To ensure the integrity of water use, a renewed NWI should require fit</w:t>
            </w:r>
            <w:r>
              <w:noBreakHyphen/>
              <w:t>for</w:t>
            </w:r>
            <w:r>
              <w:noBreakHyphen/>
              <w:t>purpose:</w:t>
            </w:r>
          </w:p>
          <w:p w14:paraId="35E718D8" w14:textId="77777777" w:rsidR="001054C3" w:rsidRDefault="001054C3" w:rsidP="00234FBE">
            <w:pPr>
              <w:pStyle w:val="BoxListBullet2"/>
            </w:pPr>
            <w:r>
              <w:t>metering and measurement of surface water and groundwater take and reporting on use</w:t>
            </w:r>
          </w:p>
          <w:p w14:paraId="7DB0F8EC" w14:textId="77777777" w:rsidR="001054C3" w:rsidRDefault="001054C3" w:rsidP="00234FBE">
            <w:pPr>
              <w:pStyle w:val="BoxListBullet2"/>
            </w:pPr>
            <w:r>
              <w:t xml:space="preserve">registers </w:t>
            </w:r>
            <w:r w:rsidRPr="00414301">
              <w:t>that</w:t>
            </w:r>
            <w:r>
              <w:t xml:space="preserve"> reflect the benefits of this information for water resource management and support compliance and enforcement systems</w:t>
            </w:r>
          </w:p>
          <w:p w14:paraId="094A6981" w14:textId="77777777" w:rsidR="001054C3" w:rsidRDefault="001054C3" w:rsidP="00234FBE">
            <w:pPr>
              <w:pStyle w:val="BoxListBullet2"/>
            </w:pPr>
            <w:r w:rsidRPr="00C10F3E">
              <w:t>compliance and enforcement systems, including a focus on proactive regulation to increase entitlement holders</w:t>
            </w:r>
            <w:r>
              <w:t>’</w:t>
            </w:r>
            <w:r w:rsidRPr="00C10F3E">
              <w:t xml:space="preserve"> awareness of their obligations</w:t>
            </w:r>
            <w:r>
              <w:t>.</w:t>
            </w:r>
          </w:p>
          <w:p w14:paraId="06BE1F68" w14:textId="77777777" w:rsidR="001054C3" w:rsidRDefault="001054C3" w:rsidP="00234FBE">
            <w:pPr>
              <w:pStyle w:val="BoxListBullet"/>
            </w:pPr>
            <w:r>
              <w:t>To promote trust and confidence, a renewed NWI should require w</w:t>
            </w:r>
            <w:r w:rsidRPr="00AD237E">
              <w:t xml:space="preserve">ater system managers </w:t>
            </w:r>
            <w:r>
              <w:t>to:</w:t>
            </w:r>
          </w:p>
          <w:p w14:paraId="46C78C55" w14:textId="77777777" w:rsidR="001054C3" w:rsidRDefault="001054C3" w:rsidP="00234FBE">
            <w:pPr>
              <w:pStyle w:val="BoxListBullet2"/>
            </w:pPr>
            <w:r>
              <w:t>take a risk</w:t>
            </w:r>
            <w:r>
              <w:noBreakHyphen/>
              <w:t>based approach to developing and maintaining information and data collections</w:t>
            </w:r>
          </w:p>
          <w:p w14:paraId="705F7184" w14:textId="77777777" w:rsidR="001054C3" w:rsidRPr="00AD237E" w:rsidRDefault="001054C3" w:rsidP="00234FBE">
            <w:pPr>
              <w:pStyle w:val="BoxListBullet2"/>
            </w:pPr>
            <w:r w:rsidRPr="00AD237E">
              <w:t>ensure information and data sources are publicly available and effectively communicated</w:t>
            </w:r>
          </w:p>
          <w:p w14:paraId="1892D096" w14:textId="77777777" w:rsidR="001054C3" w:rsidRDefault="001054C3" w:rsidP="00234FBE">
            <w:pPr>
              <w:pStyle w:val="BoxListBullet2"/>
            </w:pPr>
            <w:r w:rsidRPr="00AD237E">
              <w:t>implement transparent quality assurance processes to ensure information is credible</w:t>
            </w:r>
          </w:p>
          <w:p w14:paraId="5358D93E" w14:textId="77777777" w:rsidR="001054C3" w:rsidRDefault="001054C3" w:rsidP="00234FBE">
            <w:pPr>
              <w:pStyle w:val="BoxListBullet2"/>
            </w:pPr>
            <w:r>
              <w:t>ensure that information about their operations is transparent.</w:t>
            </w:r>
          </w:p>
          <w:p w14:paraId="1292F5B2" w14:textId="77777777" w:rsidR="001054C3" w:rsidRDefault="001054C3" w:rsidP="00234FBE">
            <w:pPr>
              <w:pStyle w:val="BoxListBullet"/>
            </w:pPr>
            <w:r>
              <w:t>I</w:t>
            </w:r>
            <w:r w:rsidRPr="003461B4">
              <w:t xml:space="preserve">nformation regarding the broader water context </w:t>
            </w:r>
            <w:r>
              <w:t xml:space="preserve">(which </w:t>
            </w:r>
            <w:r w:rsidRPr="003461B4">
              <w:t>enabl</w:t>
            </w:r>
            <w:r>
              <w:t>es</w:t>
            </w:r>
            <w:r w:rsidRPr="003461B4">
              <w:t xml:space="preserve"> entitlement holders, industry and communities to better plan for the future</w:t>
            </w:r>
            <w:r>
              <w:t>) must align with users’ needs</w:t>
            </w:r>
            <w:r w:rsidRPr="003461B4">
              <w:t>.</w:t>
            </w:r>
          </w:p>
        </w:tc>
      </w:tr>
      <w:tr w:rsidR="001054C3" w14:paraId="39FD158B" w14:textId="77777777" w:rsidTr="00234FBE">
        <w:tc>
          <w:tcPr>
            <w:tcW w:w="4835" w:type="pct"/>
            <w:tcBorders>
              <w:top w:val="nil"/>
              <w:left w:val="nil"/>
              <w:bottom w:val="single" w:sz="6" w:space="0" w:color="78A22F"/>
              <w:right w:val="nil"/>
            </w:tcBorders>
            <w:shd w:val="clear" w:color="auto" w:fill="F2F2F2"/>
          </w:tcPr>
          <w:p w14:paraId="2F3CBB41" w14:textId="77777777" w:rsidR="001054C3" w:rsidRDefault="001054C3" w:rsidP="00234FBE">
            <w:pPr>
              <w:pStyle w:val="Box"/>
              <w:spacing w:before="0" w:line="120" w:lineRule="exact"/>
            </w:pPr>
          </w:p>
        </w:tc>
        <w:tc>
          <w:tcPr>
            <w:tcW w:w="165" w:type="pct"/>
            <w:tcBorders>
              <w:top w:val="nil"/>
              <w:left w:val="nil"/>
              <w:bottom w:val="single" w:sz="6" w:space="0" w:color="78A22F"/>
              <w:right w:val="nil"/>
            </w:tcBorders>
            <w:shd w:val="clear" w:color="auto" w:fill="F2F2F2"/>
          </w:tcPr>
          <w:p w14:paraId="47E8687B" w14:textId="77777777" w:rsidR="001054C3" w:rsidRDefault="001054C3" w:rsidP="00234FBE">
            <w:pPr>
              <w:pStyle w:val="Box"/>
              <w:spacing w:before="0" w:line="120" w:lineRule="exact"/>
            </w:pPr>
          </w:p>
        </w:tc>
      </w:tr>
      <w:tr w:rsidR="001054C3" w:rsidRPr="000863A5" w14:paraId="01212AC3" w14:textId="77777777" w:rsidTr="00234FBE">
        <w:tc>
          <w:tcPr>
            <w:tcW w:w="5000" w:type="pct"/>
            <w:gridSpan w:val="2"/>
            <w:tcBorders>
              <w:top w:val="single" w:sz="6" w:space="0" w:color="78A22F"/>
              <w:left w:val="nil"/>
              <w:bottom w:val="nil"/>
              <w:right w:val="nil"/>
            </w:tcBorders>
          </w:tcPr>
          <w:p w14:paraId="3D304DB0" w14:textId="77777777" w:rsidR="001054C3" w:rsidRPr="00626D32" w:rsidRDefault="001054C3" w:rsidP="00234FBE">
            <w:pPr>
              <w:pStyle w:val="BoxSpaceBelow"/>
              <w:tabs>
                <w:tab w:val="left" w:pos="7320"/>
              </w:tabs>
            </w:pPr>
            <w:r>
              <w:tab/>
            </w:r>
          </w:p>
        </w:tc>
      </w:tr>
    </w:tbl>
    <w:p w14:paraId="70723BCD" w14:textId="77777777" w:rsidR="001054C3" w:rsidRPr="007B3FDA" w:rsidRDefault="001054C3" w:rsidP="00234FBE">
      <w:pPr>
        <w:pStyle w:val="BodyText"/>
        <w:rPr>
          <w:i/>
          <w:iCs/>
        </w:rPr>
      </w:pPr>
      <w:r>
        <w:rPr>
          <w:i/>
          <w:iCs/>
        </w:rPr>
        <w:lastRenderedPageBreak/>
        <w:t>This chapter summarises Supporting Paper E: Ensuring the integrity of water resource management (SP E Integrity). Further detail and analysis can be found in that paper.</w:t>
      </w:r>
    </w:p>
    <w:p w14:paraId="696D13D1" w14:textId="77777777" w:rsidR="001054C3" w:rsidRPr="00A82410" w:rsidRDefault="001054C3" w:rsidP="00234FBE">
      <w:pPr>
        <w:pStyle w:val="Heading2"/>
      </w:pPr>
      <w:bookmarkStart w:id="140" w:name="_Toc63112487"/>
      <w:bookmarkStart w:id="141" w:name="_Toc72939525"/>
      <w:r>
        <w:t>10.</w:t>
      </w:r>
      <w:r>
        <w:rPr>
          <w:noProof/>
        </w:rPr>
        <w:t>1</w:t>
      </w:r>
      <w:r>
        <w:tab/>
        <w:t>Confidence in water management has been tested</w:t>
      </w:r>
      <w:bookmarkEnd w:id="140"/>
      <w:bookmarkEnd w:id="141"/>
    </w:p>
    <w:p w14:paraId="189E3755" w14:textId="77777777" w:rsidR="001054C3" w:rsidRPr="007B1441" w:rsidRDefault="001054C3" w:rsidP="00234FBE">
      <w:pPr>
        <w:pStyle w:val="BodyText"/>
      </w:pPr>
      <w:r w:rsidRPr="00BC589C">
        <w:t xml:space="preserve">Given the </w:t>
      </w:r>
      <w:r>
        <w:t>demands on</w:t>
      </w:r>
      <w:r w:rsidRPr="00BC589C">
        <w:t xml:space="preserve"> water in Australia, water users and the broader community need to be able to trust in water resource management. They need to have confidence that water users are complying with their obligations and that water managers are managing this </w:t>
      </w:r>
      <w:r>
        <w:t xml:space="preserve">valuable </w:t>
      </w:r>
      <w:r w:rsidRPr="00BC589C">
        <w:t>resource to best effect. In other words, system management needs to have integrity.</w:t>
      </w:r>
    </w:p>
    <w:p w14:paraId="08BD7BC5" w14:textId="77777777" w:rsidR="001054C3" w:rsidRDefault="001054C3" w:rsidP="00234FBE">
      <w:pPr>
        <w:pStyle w:val="BodyText"/>
      </w:pPr>
      <w:r>
        <w:t>The National Water Initiative (NWI) recognised this through a water accounting element. P</w:t>
      </w:r>
      <w:r w:rsidRPr="005771F8">
        <w:t>arties agreed that</w:t>
      </w:r>
      <w:r>
        <w:t>:</w:t>
      </w:r>
    </w:p>
    <w:p w14:paraId="6841D768" w14:textId="77777777" w:rsidR="001054C3" w:rsidRDefault="001054C3" w:rsidP="00234FBE">
      <w:pPr>
        <w:pStyle w:val="Quote"/>
      </w:pPr>
      <w:r>
        <w:t>… the outcome of</w:t>
      </w:r>
      <w:r w:rsidRPr="005771F8">
        <w:t xml:space="preserve"> water resource accounting </w:t>
      </w:r>
      <w:r>
        <w:t>is to</w:t>
      </w:r>
      <w:r w:rsidRPr="005771F8">
        <w:t xml:space="preserve"> ensure that adequate measurement, monitoring and reporting systems are in place in all jurisdictions, to support public and investor confidence in the amount of water being traded, extracted for consumptive use, and recovered and managed for </w:t>
      </w:r>
      <w:r w:rsidRPr="00107E23">
        <w:rPr>
          <w:i/>
        </w:rPr>
        <w:t>environmental and other public benefit outcomes</w:t>
      </w:r>
      <w:r w:rsidRPr="005771F8">
        <w:t>.</w:t>
      </w:r>
      <w:r w:rsidRPr="00CB190C">
        <w:rPr>
          <w:rStyle w:val="FootnoteReference"/>
        </w:rPr>
        <w:footnoteReference w:id="24"/>
      </w:r>
    </w:p>
    <w:p w14:paraId="40F19C61" w14:textId="77777777" w:rsidR="001054C3" w:rsidRDefault="001054C3" w:rsidP="00234FBE">
      <w:pPr>
        <w:pStyle w:val="BodyText"/>
      </w:pPr>
      <w:r>
        <w:t>The agreement included actions to ensure that:</w:t>
      </w:r>
    </w:p>
    <w:p w14:paraId="100908C9" w14:textId="77777777" w:rsidR="001054C3" w:rsidRDefault="001054C3" w:rsidP="00234FBE">
      <w:pPr>
        <w:pStyle w:val="ListBullet"/>
      </w:pPr>
      <w:r>
        <w:t>water accounts provide credible information on whether water use (both for consumption and by the environment) is consistent with established rights and water plans</w:t>
      </w:r>
    </w:p>
    <w:p w14:paraId="45A2CECD" w14:textId="77777777" w:rsidR="001054C3" w:rsidRDefault="001054C3" w:rsidP="00234FBE">
      <w:pPr>
        <w:pStyle w:val="ListBullet"/>
      </w:pPr>
      <w:r>
        <w:t>a consistent approach to metering of water use was adopted across the country</w:t>
      </w:r>
    </w:p>
    <w:p w14:paraId="11E468C4" w14:textId="77777777" w:rsidR="001054C3" w:rsidRDefault="001054C3" w:rsidP="00234FBE">
      <w:pPr>
        <w:pStyle w:val="ListBullet"/>
      </w:pPr>
      <w:r>
        <w:t>systems to monitor and enforce compliance were effective.</w:t>
      </w:r>
    </w:p>
    <w:p w14:paraId="0293D5F6" w14:textId="753E4DEA" w:rsidR="001054C3" w:rsidRDefault="001054C3" w:rsidP="00234FBE">
      <w:pPr>
        <w:pStyle w:val="BodyText"/>
        <w:tabs>
          <w:tab w:val="left" w:pos="2263"/>
        </w:tabs>
      </w:pPr>
      <w:r>
        <w:t xml:space="preserve">Further, in 2009 COAG agreed to a </w:t>
      </w:r>
      <w:r>
        <w:rPr>
          <w:i/>
          <w:iCs/>
        </w:rPr>
        <w:t>National Framework for Non</w:t>
      </w:r>
      <w:r>
        <w:rPr>
          <w:i/>
          <w:iCs/>
        </w:rPr>
        <w:noBreakHyphen/>
        <w:t xml:space="preserve">Urban Water Metering </w:t>
      </w:r>
      <w:r>
        <w:t>(the Non</w:t>
      </w:r>
      <w:r>
        <w:noBreakHyphen/>
        <w:t xml:space="preserve">Urban Metering Framework) to help jurisdictions meet their metering commitments </w:t>
      </w:r>
      <w:r w:rsidRPr="00296A84">
        <w:rPr>
          <w:szCs w:val="24"/>
        </w:rPr>
        <w:t>(DAWR 2009)</w:t>
      </w:r>
      <w:r>
        <w:t xml:space="preserve">, and development of a </w:t>
      </w:r>
      <w:r>
        <w:rPr>
          <w:i/>
          <w:iCs/>
        </w:rPr>
        <w:t>National Framework for Compliance and Enforcement Systems for Water Resource Management</w:t>
      </w:r>
      <w:r>
        <w:t xml:space="preserve"> (the National Compliance Framework) to improve compliance and enforcement efforts </w:t>
      </w:r>
      <w:r w:rsidRPr="00C51203">
        <w:rPr>
          <w:szCs w:val="24"/>
        </w:rPr>
        <w:t>(COAG 2012)</w:t>
      </w:r>
      <w:r>
        <w:t>.</w:t>
      </w:r>
    </w:p>
    <w:p w14:paraId="7C83FF07" w14:textId="77777777" w:rsidR="001054C3" w:rsidRPr="001618CB" w:rsidRDefault="001054C3" w:rsidP="00234FBE">
      <w:pPr>
        <w:pStyle w:val="BodyText"/>
        <w:keepNext/>
        <w:rPr>
          <w:spacing w:val="-2"/>
        </w:rPr>
      </w:pPr>
      <w:r>
        <w:t xml:space="preserve">Recent events </w:t>
      </w:r>
      <w:r w:rsidRPr="00EE5DDC">
        <w:rPr>
          <w:spacing w:val="-2"/>
        </w:rPr>
        <w:t xml:space="preserve">show </w:t>
      </w:r>
      <w:r>
        <w:rPr>
          <w:spacing w:val="-2"/>
        </w:rPr>
        <w:t xml:space="preserve">that these frameworks </w:t>
      </w:r>
      <w:r w:rsidRPr="00EE5DDC">
        <w:rPr>
          <w:spacing w:val="-2"/>
        </w:rPr>
        <w:t xml:space="preserve">have not been enough to safeguard the integrity of water </w:t>
      </w:r>
      <w:r>
        <w:rPr>
          <w:spacing w:val="-2"/>
        </w:rPr>
        <w:t>resource</w:t>
      </w:r>
      <w:r w:rsidRPr="00EE5DDC">
        <w:rPr>
          <w:spacing w:val="-2"/>
        </w:rPr>
        <w:t xml:space="preserve"> management.</w:t>
      </w:r>
      <w:r>
        <w:rPr>
          <w:spacing w:val="-2"/>
        </w:rPr>
        <w:t xml:space="preserve"> The 2017 ABC Four Corners program </w:t>
      </w:r>
      <w:r>
        <w:rPr>
          <w:i/>
          <w:iCs/>
          <w:spacing w:val="-2"/>
        </w:rPr>
        <w:t>Pumped</w:t>
      </w:r>
      <w:r>
        <w:rPr>
          <w:spacing w:val="-2"/>
        </w:rPr>
        <w:t xml:space="preserve"> focused a spotlight on issues in the Murray–Darling Basin (MDB) (particularly in New South Wales and Queensland</w:t>
      </w:r>
      <w:r w:rsidRPr="00CB190C">
        <w:rPr>
          <w:rStyle w:val="FootnoteReference"/>
        </w:rPr>
        <w:footnoteReference w:id="25"/>
      </w:r>
      <w:r>
        <w:rPr>
          <w:spacing w:val="-2"/>
        </w:rPr>
        <w:t xml:space="preserve">) </w:t>
      </w:r>
      <w:r>
        <w:t>and was a wake</w:t>
      </w:r>
      <w:r>
        <w:noBreakHyphen/>
        <w:t xml:space="preserve">up call to many stakeholders and communities around the country (SP E </w:t>
      </w:r>
      <w:r w:rsidRPr="002A1883">
        <w:rPr>
          <w:i/>
          <w:iCs/>
        </w:rPr>
        <w:t>Integrity</w:t>
      </w:r>
      <w:r>
        <w:t>: section 1.2)</w:t>
      </w:r>
      <w:r w:rsidRPr="007B1441">
        <w:rPr>
          <w:spacing w:val="-2"/>
        </w:rPr>
        <w:t>. Multiple reviews followed</w:t>
      </w:r>
      <w:r w:rsidRPr="00CB190C">
        <w:rPr>
          <w:rStyle w:val="FootnoteReference"/>
        </w:rPr>
        <w:footnoteReference w:id="26"/>
      </w:r>
      <w:r w:rsidRPr="007B1441">
        <w:rPr>
          <w:spacing w:val="-2"/>
        </w:rPr>
        <w:t xml:space="preserve">, </w:t>
      </w:r>
      <w:r>
        <w:rPr>
          <w:spacing w:val="-2"/>
        </w:rPr>
        <w:t>finding</w:t>
      </w:r>
      <w:r w:rsidRPr="00A82410">
        <w:rPr>
          <w:spacing w:val="-2"/>
        </w:rPr>
        <w:t>:</w:t>
      </w:r>
    </w:p>
    <w:p w14:paraId="6EDBA661" w14:textId="77777777" w:rsidR="001054C3" w:rsidRDefault="001054C3" w:rsidP="00234FBE">
      <w:pPr>
        <w:pStyle w:val="ListBullet"/>
      </w:pPr>
      <w:r>
        <w:t>shortcomings with the transparency, independence and effectiveness of the agencies responsible for regulating access entitlements for water resources</w:t>
      </w:r>
    </w:p>
    <w:p w14:paraId="7B8ACB4D" w14:textId="77777777" w:rsidR="001054C3" w:rsidRDefault="001054C3" w:rsidP="00234FBE">
      <w:pPr>
        <w:pStyle w:val="ListBullet"/>
      </w:pPr>
      <w:r>
        <w:lastRenderedPageBreak/>
        <w:t>a lack of commitment to accurate metering and measurement</w:t>
      </w:r>
      <w:r w:rsidRPr="00CB190C">
        <w:rPr>
          <w:rStyle w:val="FootnoteReference"/>
        </w:rPr>
        <w:footnoteReference w:id="27"/>
      </w:r>
      <w:r>
        <w:t xml:space="preserve"> of water take</w:t>
      </w:r>
    </w:p>
    <w:p w14:paraId="16A630C0" w14:textId="77777777" w:rsidR="001054C3" w:rsidRDefault="001054C3" w:rsidP="00234FBE">
      <w:pPr>
        <w:pStyle w:val="ListBullet"/>
      </w:pPr>
      <w:r>
        <w:t>low levels of compliance resourcing and a weak compliance and enforcement culture</w:t>
      </w:r>
    </w:p>
    <w:p w14:paraId="00A8FF42" w14:textId="77777777" w:rsidR="001054C3" w:rsidRDefault="001054C3" w:rsidP="00234FBE">
      <w:pPr>
        <w:pStyle w:val="ListBullet"/>
      </w:pPr>
      <w:r>
        <w:t>an inappropriate range of penalties and sanctions available for enforcement</w:t>
      </w:r>
    </w:p>
    <w:p w14:paraId="6E5541B8" w14:textId="77777777" w:rsidR="001054C3" w:rsidRPr="001F4DDB" w:rsidRDefault="001054C3" w:rsidP="00234FBE">
      <w:pPr>
        <w:pStyle w:val="ListBullet"/>
      </w:pPr>
      <w:r w:rsidRPr="008576A0">
        <w:t>a preference for customer service over regulation.</w:t>
      </w:r>
    </w:p>
    <w:p w14:paraId="57C71945" w14:textId="77777777" w:rsidR="001054C3" w:rsidRPr="008576A0" w:rsidRDefault="001054C3" w:rsidP="00234FBE">
      <w:pPr>
        <w:pStyle w:val="BodyText"/>
      </w:pPr>
      <w:r>
        <w:t xml:space="preserve">New South Wales and Queensland have since initiated reforms, and in 2018 MDB jurisdictions signed the Murray–Darling Basin Compliance Compact (MDBCC) to implement the many recommendations coming out of the reviews and try to restore confidence in water </w:t>
      </w:r>
      <w:r w:rsidRPr="00A82410">
        <w:t>management.</w:t>
      </w:r>
    </w:p>
    <w:p w14:paraId="0C2140F7" w14:textId="4620A12A" w:rsidR="001054C3" w:rsidRDefault="001054C3" w:rsidP="00234FBE">
      <w:pPr>
        <w:pStyle w:val="BodyText"/>
      </w:pPr>
      <w:r w:rsidRPr="008576A0">
        <w:t>T</w:t>
      </w:r>
      <w:r>
        <w:t xml:space="preserve">he reviews also revealed growing mistrust and a lack of confidence in water system management fuelled by inadequate information, poor communication of the information that is available, and difficulties for stakeholders in accessing, navigating and reconciling available data collections. A lack of transparency around water system managers’ decision making, operations and performance contributed to concerns that they are not being held accountable, and to concerns about water availability </w:t>
      </w:r>
      <w:r w:rsidRPr="007E2212">
        <w:rPr>
          <w:szCs w:val="24"/>
        </w:rPr>
        <w:t>(IIGMDB 2020, p. 29)</w:t>
      </w:r>
      <w:r>
        <w:t>, worsening the relationship between communities and water system managers (and the governments that fund them).</w:t>
      </w:r>
    </w:p>
    <w:p w14:paraId="72C5EF7C" w14:textId="77777777" w:rsidR="001054C3" w:rsidRDefault="001054C3" w:rsidP="00234FBE">
      <w:pPr>
        <w:pStyle w:val="BodyText"/>
      </w:pPr>
      <w:r>
        <w:t xml:space="preserve">The MDB experience highlights the importance of establishing credible and trusted water management before systems become highly contested. It also </w:t>
      </w:r>
      <w:r w:rsidRPr="008576A0">
        <w:t>provides insights into how trust and confidence in water resource management can be gained and maintained</w:t>
      </w:r>
      <w:r>
        <w:t>.</w:t>
      </w:r>
    </w:p>
    <w:p w14:paraId="2E816B3F" w14:textId="77777777" w:rsidR="001054C3" w:rsidRPr="00267D8B" w:rsidRDefault="001054C3" w:rsidP="00234FBE">
      <w:pPr>
        <w:pStyle w:val="Heading2"/>
      </w:pPr>
      <w:bookmarkStart w:id="143" w:name="_Toc72939526"/>
      <w:r>
        <w:t>10.2</w:t>
      </w:r>
      <w:r>
        <w:tab/>
        <w:t>A framework for trusted and credible water resource management</w:t>
      </w:r>
      <w:bookmarkEnd w:id="143"/>
    </w:p>
    <w:p w14:paraId="35FC2BD3" w14:textId="77777777" w:rsidR="001054C3" w:rsidRPr="001120F9" w:rsidRDefault="001054C3" w:rsidP="00234FBE">
      <w:pPr>
        <w:pStyle w:val="BodyText"/>
        <w:rPr>
          <w:spacing w:val="-2"/>
        </w:rPr>
      </w:pPr>
      <w:r w:rsidRPr="001120F9">
        <w:rPr>
          <w:spacing w:val="-2"/>
        </w:rPr>
        <w:t>Trust</w:t>
      </w:r>
      <w:r>
        <w:rPr>
          <w:spacing w:val="-2"/>
        </w:rPr>
        <w:t>ed</w:t>
      </w:r>
      <w:r w:rsidRPr="001120F9" w:rsidDel="00FE031A">
        <w:rPr>
          <w:spacing w:val="-2"/>
        </w:rPr>
        <w:t xml:space="preserve"> </w:t>
      </w:r>
      <w:r w:rsidRPr="001120F9">
        <w:rPr>
          <w:spacing w:val="-2"/>
        </w:rPr>
        <w:t xml:space="preserve">water resource management </w:t>
      </w:r>
      <w:r>
        <w:rPr>
          <w:spacing w:val="-2"/>
        </w:rPr>
        <w:t>is underpinned by credible and reliable information and robust institutional processes that provide assurance that:</w:t>
      </w:r>
    </w:p>
    <w:p w14:paraId="262A129F" w14:textId="77777777" w:rsidR="001054C3" w:rsidRPr="00D21D2C" w:rsidRDefault="001054C3" w:rsidP="00234FBE">
      <w:pPr>
        <w:pStyle w:val="ListBullet"/>
      </w:pPr>
      <w:r>
        <w:t>entitlement holders are operating in line with their rights and that water use is consistent with established rights and water plans</w:t>
      </w:r>
    </w:p>
    <w:p w14:paraId="371936DA" w14:textId="77777777" w:rsidR="001054C3" w:rsidRPr="00631431" w:rsidRDefault="001054C3" w:rsidP="00234FBE">
      <w:pPr>
        <w:pStyle w:val="ListBullet"/>
      </w:pPr>
      <w:r>
        <w:t>water systems are being managed to best effect for all users.</w:t>
      </w:r>
    </w:p>
    <w:p w14:paraId="5D5A21E9" w14:textId="6605D019" w:rsidR="001054C3" w:rsidRDefault="001054C3" w:rsidP="00234FBE">
      <w:pPr>
        <w:pStyle w:val="BodyText"/>
      </w:pPr>
      <w:r>
        <w:t>Trust is also influenced by the availability, and understanding, of information about the broader water context. This information helps water sector participants understand water challenges and potential risks, enabling them to effectively plan for the future. Figure 10.1 conceptualises the requirements needed to ensure the integrity of the entitlements system</w:t>
      </w:r>
      <w:r w:rsidRPr="00452ECF">
        <w:t xml:space="preserve"> </w:t>
      </w:r>
      <w:r>
        <w:t xml:space="preserve">and water resource management more generally (SP E </w:t>
      </w:r>
      <w:r>
        <w:rPr>
          <w:i/>
          <w:iCs/>
        </w:rPr>
        <w:t>Integrity</w:t>
      </w:r>
      <w:r w:rsidR="002659D1">
        <w:t>:</w:t>
      </w:r>
      <w:r>
        <w:rPr>
          <w:i/>
          <w:iCs/>
        </w:rPr>
        <w:t xml:space="preserve"> </w:t>
      </w:r>
      <w:r>
        <w:t>section 2).</w:t>
      </w:r>
    </w:p>
    <w:p w14:paraId="65D3C3E1" w14:textId="77777777" w:rsidR="001054C3" w:rsidRDefault="001054C3" w:rsidP="00234FBE">
      <w:pPr>
        <w:pStyle w:val="BodyText"/>
        <w:sectPr w:rsidR="001054C3" w:rsidSect="001054C3">
          <w:headerReference w:type="even" r:id="rId111"/>
          <w:headerReference w:type="default" r:id="rId112"/>
          <w:footerReference w:type="even" r:id="rId113"/>
          <w:footerReference w:type="default" r:id="rId114"/>
          <w:headerReference w:type="first" r:id="rId115"/>
          <w:footerReference w:type="first" r:id="rId116"/>
          <w:type w:val="oddPage"/>
          <w:pgSz w:w="11907" w:h="16840" w:code="9"/>
          <w:pgMar w:top="1985" w:right="1304" w:bottom="1247" w:left="1814" w:header="1701" w:footer="397" w:gutter="0"/>
          <w:pgNumType w:chapSep="period"/>
          <w:cols w:space="720"/>
          <w:docGrid w:linePitch="326"/>
        </w:sectPr>
      </w:pPr>
    </w:p>
    <w:p w14:paraId="080E7F96"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1054C3" w14:paraId="7536E982" w14:textId="77777777" w:rsidTr="00234FBE">
        <w:trPr>
          <w:tblHeader/>
        </w:trPr>
        <w:tc>
          <w:tcPr>
            <w:tcW w:w="5000" w:type="pct"/>
            <w:tcBorders>
              <w:top w:val="single" w:sz="6" w:space="0" w:color="78A22F" w:themeColor="accent1"/>
              <w:left w:val="nil"/>
              <w:bottom w:val="nil"/>
              <w:right w:val="nil"/>
            </w:tcBorders>
            <w:shd w:val="clear" w:color="auto" w:fill="auto"/>
          </w:tcPr>
          <w:p w14:paraId="2F413FBC" w14:textId="77777777" w:rsidR="001054C3" w:rsidRPr="00176D3F" w:rsidRDefault="001054C3" w:rsidP="00234FBE">
            <w:pPr>
              <w:pStyle w:val="FigureTitle"/>
            </w:pPr>
            <w:r w:rsidRPr="00784A05">
              <w:rPr>
                <w:b w:val="0"/>
              </w:rPr>
              <w:t xml:space="preserve">Figure </w:t>
            </w:r>
            <w:r>
              <w:rPr>
                <w:b w:val="0"/>
              </w:rPr>
              <w:t>10.</w:t>
            </w:r>
            <w:r>
              <w:rPr>
                <w:b w:val="0"/>
                <w:noProof/>
              </w:rPr>
              <w:t>1</w:t>
            </w:r>
            <w:r>
              <w:tab/>
              <w:t>Framework for ensuring integrity in water resource management</w:t>
            </w:r>
            <w:r w:rsidRPr="004D6FC1">
              <w:rPr>
                <w:rStyle w:val="NoteLabel"/>
                <w:b/>
                <w:bCs/>
                <w:position w:val="10"/>
              </w:rPr>
              <w:t>a</w:t>
            </w:r>
          </w:p>
        </w:tc>
      </w:tr>
      <w:tr w:rsidR="001054C3" w14:paraId="77405801" w14:textId="77777777" w:rsidTr="00234FBE">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1054C3" w:rsidRPr="00B1465D" w14:paraId="2F8D81E2" w14:textId="77777777" w:rsidTr="00234FBE">
              <w:trPr>
                <w:tblHeader/>
                <w:jc w:val="center"/>
              </w:trPr>
              <w:tc>
                <w:tcPr>
                  <w:tcW w:w="5000" w:type="pct"/>
                  <w:tcBorders>
                    <w:top w:val="nil"/>
                    <w:bottom w:val="nil"/>
                  </w:tcBorders>
                </w:tcPr>
                <w:p w14:paraId="56A914BD" w14:textId="77777777" w:rsidR="001054C3" w:rsidRPr="00B1465D" w:rsidRDefault="001054C3" w:rsidP="00234FBE">
                  <w:pPr>
                    <w:pStyle w:val="Figure"/>
                    <w:spacing w:before="60" w:after="60"/>
                    <w:rPr>
                      <w:rFonts w:ascii="Arial" w:hAnsi="Arial" w:cs="Arial"/>
                      <w:sz w:val="18"/>
                      <w:szCs w:val="18"/>
                    </w:rPr>
                  </w:pPr>
                  <w:r w:rsidRPr="00793750">
                    <w:rPr>
                      <w:rFonts w:ascii="Arial" w:hAnsi="Arial" w:cs="Arial"/>
                      <w:noProof/>
                      <w:sz w:val="18"/>
                      <w:szCs w:val="18"/>
                    </w:rPr>
                    <w:drawing>
                      <wp:inline distT="0" distB="0" distL="0" distR="0" wp14:anchorId="6E8540D9" wp14:editId="0915BCF2">
                        <wp:extent cx="7958455" cy="4072255"/>
                        <wp:effectExtent l="0" t="0" r="4445" b="4445"/>
                        <wp:docPr id="28" name="Picture 28" descr="Figure 10.1. This figure illustrates the requirements needed for credible and reliable information. Three nested ovals represent information needed at the water user, system manager and the broader community level for system integrity. Encompassing all water sector participants ovals is trusted and effective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0.1. This figure illustrates the requirements needed for credible and reliable information. Three nested ovals represent information needed at the water user, system manager and the broader community level for system integrity. Encompassing all water sector participants ovals is trusted and effective institution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958455" cy="4072255"/>
                                </a:xfrm>
                                <a:prstGeom prst="rect">
                                  <a:avLst/>
                                </a:prstGeom>
                                <a:noFill/>
                                <a:ln>
                                  <a:noFill/>
                                </a:ln>
                              </pic:spPr>
                            </pic:pic>
                          </a:graphicData>
                        </a:graphic>
                      </wp:inline>
                    </w:drawing>
                  </w:r>
                </w:p>
              </w:tc>
            </w:tr>
          </w:tbl>
          <w:p w14:paraId="62BC922B" w14:textId="77777777" w:rsidR="001054C3" w:rsidRDefault="001054C3" w:rsidP="00234FBE">
            <w:pPr>
              <w:pStyle w:val="Figure"/>
            </w:pPr>
          </w:p>
        </w:tc>
      </w:tr>
      <w:tr w:rsidR="001054C3" w:rsidRPr="00176D3F" w14:paraId="2CD3D4CE" w14:textId="77777777" w:rsidTr="00234FBE">
        <w:tc>
          <w:tcPr>
            <w:tcW w:w="5000" w:type="pct"/>
            <w:tcBorders>
              <w:top w:val="nil"/>
              <w:left w:val="nil"/>
              <w:bottom w:val="nil"/>
              <w:right w:val="nil"/>
            </w:tcBorders>
            <w:shd w:val="clear" w:color="auto" w:fill="auto"/>
          </w:tcPr>
          <w:p w14:paraId="7A7D1D24" w14:textId="77777777" w:rsidR="001054C3" w:rsidRPr="00176D3F" w:rsidRDefault="001054C3" w:rsidP="00234FBE">
            <w:pPr>
              <w:pStyle w:val="Note"/>
            </w:pPr>
            <w:r>
              <w:rPr>
                <w:rStyle w:val="NoteLabel"/>
              </w:rPr>
              <w:t>a</w:t>
            </w:r>
            <w:r>
              <w:t xml:space="preserve"> </w:t>
            </w:r>
            <w:r w:rsidRPr="00CF305D">
              <w:t>Water use includes access through entitlements, stock and domestic use, interception activities, environmental use (planned), cultural use and community use through drinking water, recreation and liveability</w:t>
            </w:r>
            <w:r>
              <w:t>.</w:t>
            </w:r>
          </w:p>
        </w:tc>
      </w:tr>
      <w:tr w:rsidR="001054C3" w14:paraId="395C0873" w14:textId="77777777" w:rsidTr="00234FBE">
        <w:tc>
          <w:tcPr>
            <w:tcW w:w="5000" w:type="pct"/>
            <w:tcBorders>
              <w:top w:val="nil"/>
              <w:left w:val="nil"/>
              <w:bottom w:val="single" w:sz="6" w:space="0" w:color="78A22F" w:themeColor="accent1"/>
              <w:right w:val="nil"/>
            </w:tcBorders>
            <w:shd w:val="clear" w:color="auto" w:fill="auto"/>
          </w:tcPr>
          <w:p w14:paraId="5597BDDF" w14:textId="77777777" w:rsidR="001054C3" w:rsidRDefault="001054C3" w:rsidP="00234FBE">
            <w:pPr>
              <w:pStyle w:val="Figurespace"/>
            </w:pPr>
          </w:p>
        </w:tc>
      </w:tr>
      <w:tr w:rsidR="001054C3" w:rsidRPr="000863A5" w14:paraId="60E71639" w14:textId="77777777" w:rsidTr="00234FBE">
        <w:tc>
          <w:tcPr>
            <w:tcW w:w="5000" w:type="pct"/>
            <w:tcBorders>
              <w:top w:val="single" w:sz="6" w:space="0" w:color="78A22F" w:themeColor="accent1"/>
              <w:left w:val="nil"/>
              <w:bottom w:val="nil"/>
              <w:right w:val="nil"/>
            </w:tcBorders>
          </w:tcPr>
          <w:p w14:paraId="1ABD07F6" w14:textId="77777777" w:rsidR="001054C3" w:rsidRPr="00626D32" w:rsidRDefault="001054C3" w:rsidP="00234FBE">
            <w:pPr>
              <w:pStyle w:val="BoxSpaceBelow"/>
            </w:pPr>
          </w:p>
        </w:tc>
      </w:tr>
    </w:tbl>
    <w:p w14:paraId="1C4C68D8" w14:textId="77777777" w:rsidR="001054C3" w:rsidRDefault="001054C3" w:rsidP="00234FBE">
      <w:pPr>
        <w:pStyle w:val="BoxSpaceAbove"/>
        <w:sectPr w:rsidR="001054C3" w:rsidSect="001054C3">
          <w:headerReference w:type="even" r:id="rId118"/>
          <w:headerReference w:type="default" r:id="rId119"/>
          <w:footerReference w:type="even" r:id="rId120"/>
          <w:footerReference w:type="default" r:id="rId121"/>
          <w:footnotePr>
            <w:numRestart w:val="eachSect"/>
          </w:footnotePr>
          <w:pgSz w:w="16840" w:h="11907" w:orient="landscape" w:code="9"/>
          <w:pgMar w:top="1814" w:right="1985" w:bottom="1304" w:left="1247" w:header="1701" w:footer="397" w:gutter="0"/>
          <w:pgNumType w:chapSep="period"/>
          <w:cols w:space="720"/>
          <w:docGrid w:linePitch="326"/>
        </w:sectPr>
      </w:pPr>
    </w:p>
    <w:p w14:paraId="3A5EDBAB" w14:textId="77777777" w:rsidR="001054C3" w:rsidRPr="00431D61" w:rsidRDefault="001054C3" w:rsidP="00234FBE">
      <w:pPr>
        <w:pStyle w:val="BodyText"/>
        <w:rPr>
          <w:spacing w:val="-2"/>
        </w:rPr>
      </w:pPr>
      <w:r w:rsidRPr="00431D61">
        <w:rPr>
          <w:spacing w:val="-2"/>
        </w:rPr>
        <w:lastRenderedPageBreak/>
        <w:t>In short, efforts to ensure integrity need to go well beyond water accounting. Given this, and the issues raised through recent reviews, a renewed NWI would be strengthened by including a new ‘system integrity’ element with content that ensures the integrity of water use and water system management and includes best</w:t>
      </w:r>
      <w:r w:rsidRPr="00431D61">
        <w:rPr>
          <w:spacing w:val="-2"/>
        </w:rPr>
        <w:noBreakHyphen/>
        <w:t>practice principles for information collection on the broader water context. A number of inquiry participants have expressed strong support for a system integrity element (Vardon, sub. DR121, p. 3; Engineers Australia, sub. DR141, p. 1; LGNSW, sub. DR147, p. 8; Mackay Conservation Group, sub. DR150, p. 5; Wentworth Group of Concerned Scientists, sub. DR152, p. 3; PIAC, sub. DR156, p. 11; CNSWJO, sub. DR164, p. 14; NFF, sub. DR178, p. 36; Sunrice and RGA, sub. DR181, p. 11).</w:t>
      </w:r>
    </w:p>
    <w:p w14:paraId="641E079C" w14:textId="77777777" w:rsidR="001054C3" w:rsidRPr="00E607E8"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7B5F3F" w14:paraId="65B4556E"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F16D95D" w14:textId="77777777" w:rsidR="001054C3" w:rsidRPr="004D6FC1" w:rsidRDefault="001054C3" w:rsidP="00234FBE">
            <w:pPr>
              <w:keepNext/>
              <w:keepLines/>
              <w:spacing w:before="120" w:line="280" w:lineRule="atLeast"/>
              <w:jc w:val="both"/>
              <w:rPr>
                <w:rFonts w:ascii="Arial" w:hAnsi="Arial"/>
                <w:spacing w:val="-4"/>
                <w:sz w:val="22"/>
                <w:szCs w:val="20"/>
              </w:rPr>
            </w:pPr>
            <w:r w:rsidRPr="004D6FC1">
              <w:rPr>
                <w:rFonts w:ascii="Arial" w:hAnsi="Arial"/>
                <w:caps/>
                <w:spacing w:val="-4"/>
                <w:sz w:val="18"/>
                <w:szCs w:val="20"/>
              </w:rPr>
              <w:t>NWI Renewal advice 10.1: building system Integrity through a renewed element</w:t>
            </w:r>
          </w:p>
          <w:p w14:paraId="5A9DC1FD" w14:textId="77777777" w:rsidR="001054C3" w:rsidRPr="004D6FC1" w:rsidRDefault="001054C3" w:rsidP="00234FBE">
            <w:pPr>
              <w:pStyle w:val="Rec"/>
            </w:pPr>
            <w:r w:rsidRPr="004D6FC1">
              <w:rPr>
                <w:spacing w:val="-2"/>
              </w:rPr>
              <w:t>A renewed National Water Initiative would be strengthened by acknowledging that ensuring the integrity of water resource management requires more than robust water accounting. To build integrity into system management, consideration should be given to broadening the water resource accounting element</w:t>
            </w:r>
            <w:r>
              <w:rPr>
                <w:spacing w:val="-2"/>
              </w:rPr>
              <w:t>.</w:t>
            </w:r>
            <w:r w:rsidRPr="004D6FC1">
              <w:rPr>
                <w:spacing w:val="-2"/>
              </w:rPr>
              <w:t xml:space="preserve"> </w:t>
            </w:r>
            <w:r>
              <w:t>The provision of</w:t>
            </w:r>
            <w:r w:rsidRPr="004D6FC1">
              <w:rPr>
                <w:spacing w:val="-2"/>
              </w:rPr>
              <w:t xml:space="preserve"> credible and reliable information</w:t>
            </w:r>
            <w:r>
              <w:rPr>
                <w:spacing w:val="-2"/>
              </w:rPr>
              <w:t>,</w:t>
            </w:r>
            <w:r w:rsidRPr="004D6FC1">
              <w:rPr>
                <w:spacing w:val="-2"/>
              </w:rPr>
              <w:t xml:space="preserve"> and robust institutional processes</w:t>
            </w:r>
            <w:r>
              <w:rPr>
                <w:spacing w:val="-2"/>
              </w:rPr>
              <w:t>,</w:t>
            </w:r>
            <w:r w:rsidRPr="004D6FC1">
              <w:rPr>
                <w:spacing w:val="-2"/>
              </w:rPr>
              <w:t xml:space="preserve"> </w:t>
            </w:r>
            <w:r>
              <w:rPr>
                <w:spacing w:val="-2"/>
              </w:rPr>
              <w:t xml:space="preserve">would </w:t>
            </w:r>
            <w:r w:rsidRPr="004D6FC1">
              <w:rPr>
                <w:spacing w:val="-2"/>
              </w:rPr>
              <w:t>provide assurance that:</w:t>
            </w:r>
          </w:p>
          <w:p w14:paraId="7127F4D4" w14:textId="77777777" w:rsidR="001054C3" w:rsidRDefault="001054C3" w:rsidP="00234FBE">
            <w:pPr>
              <w:pStyle w:val="RecBullet"/>
            </w:pPr>
            <w:r>
              <w:t>entitlement holders are operating in line with their rights and that water use is consistent with established rights and water plans</w:t>
            </w:r>
          </w:p>
          <w:p w14:paraId="24E854C4" w14:textId="77777777" w:rsidR="001054C3" w:rsidRDefault="001054C3" w:rsidP="00234FBE">
            <w:pPr>
              <w:pStyle w:val="RecBullet"/>
            </w:pPr>
            <w:r>
              <w:t>water systems are being managed to best effect for all users.</w:t>
            </w:r>
          </w:p>
          <w:p w14:paraId="00089E7A" w14:textId="77777777" w:rsidR="001054C3" w:rsidRPr="007B5F3F" w:rsidRDefault="001054C3" w:rsidP="00234FBE">
            <w:pPr>
              <w:pStyle w:val="Rec"/>
            </w:pPr>
            <w:r>
              <w:t>The provision of information regarding the broader water context is also needed to improve understanding of key water resource challenges and potential risks, enabling entitlement holders, industry and communities to better plan for the future.</w:t>
            </w:r>
          </w:p>
        </w:tc>
      </w:tr>
      <w:tr w:rsidR="001054C3" w:rsidRPr="007B5F3F" w14:paraId="3C7ABFB9"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23E561F" w14:textId="77777777" w:rsidR="001054C3" w:rsidRPr="007B5F3F" w:rsidRDefault="001054C3" w:rsidP="00234FBE">
            <w:pPr>
              <w:keepNext/>
              <w:keepLines/>
              <w:spacing w:line="120" w:lineRule="exact"/>
              <w:jc w:val="both"/>
              <w:rPr>
                <w:rFonts w:ascii="Arial" w:hAnsi="Arial"/>
                <w:sz w:val="20"/>
                <w:szCs w:val="20"/>
              </w:rPr>
            </w:pPr>
          </w:p>
        </w:tc>
      </w:tr>
      <w:tr w:rsidR="001054C3" w:rsidRPr="007B5F3F" w14:paraId="1BD5B277" w14:textId="77777777" w:rsidTr="00234FBE">
        <w:tc>
          <w:tcPr>
            <w:tcW w:w="5000" w:type="pct"/>
            <w:tcBorders>
              <w:top w:val="single" w:sz="6" w:space="0" w:color="0070C0"/>
              <w:left w:val="nil"/>
              <w:bottom w:val="nil"/>
              <w:right w:val="nil"/>
            </w:tcBorders>
            <w:tcMar>
              <w:left w:w="170" w:type="dxa"/>
              <w:right w:w="170" w:type="dxa"/>
            </w:tcMar>
          </w:tcPr>
          <w:p w14:paraId="4C19FB97" w14:textId="77777777" w:rsidR="001054C3" w:rsidRPr="007B5F3F" w:rsidRDefault="001054C3" w:rsidP="00234FBE">
            <w:pPr>
              <w:keepLines/>
              <w:spacing w:before="60" w:after="60" w:line="80" w:lineRule="exact"/>
              <w:jc w:val="both"/>
              <w:rPr>
                <w:rFonts w:ascii="Arial" w:hAnsi="Arial"/>
                <w:sz w:val="14"/>
                <w:szCs w:val="20"/>
              </w:rPr>
            </w:pPr>
          </w:p>
        </w:tc>
      </w:tr>
    </w:tbl>
    <w:p w14:paraId="702C3434" w14:textId="77777777" w:rsidR="001054C3" w:rsidRDefault="001054C3" w:rsidP="00234FBE">
      <w:pPr>
        <w:pStyle w:val="Heading2"/>
      </w:pPr>
      <w:bookmarkStart w:id="144" w:name="_Toc63112488"/>
      <w:bookmarkStart w:id="145" w:name="_Toc72939527"/>
      <w:r>
        <w:t>10.</w:t>
      </w:r>
      <w:r>
        <w:rPr>
          <w:noProof/>
        </w:rPr>
        <w:t>3</w:t>
      </w:r>
      <w:r>
        <w:tab/>
        <w:t>Ensuring integrity in water use</w:t>
      </w:r>
      <w:bookmarkEnd w:id="144"/>
      <w:bookmarkEnd w:id="145"/>
    </w:p>
    <w:p w14:paraId="6ADB98D6" w14:textId="77777777" w:rsidR="001054C3" w:rsidRDefault="001054C3" w:rsidP="00234FBE">
      <w:pPr>
        <w:pStyle w:val="Heading3"/>
        <w:spacing w:before="280"/>
      </w:pPr>
      <w:r>
        <w:t>Fit-for-purpose metering and measurement is required</w:t>
      </w:r>
    </w:p>
    <w:p w14:paraId="058343F4" w14:textId="77777777" w:rsidR="001054C3" w:rsidRDefault="001054C3" w:rsidP="00234FBE">
      <w:pPr>
        <w:pStyle w:val="BodyText"/>
      </w:pPr>
      <w:r>
        <w:t>Metering and measurement are integral to effective water resource management. They not only provide a record of how much water has been taken, when and where but are also a key contributor to water accounts and provide the means to implement an effective compliance and enforcement regime.</w:t>
      </w:r>
    </w:p>
    <w:p w14:paraId="17D2A502" w14:textId="77777777" w:rsidR="001054C3" w:rsidRDefault="001054C3" w:rsidP="00234FBE">
      <w:pPr>
        <w:pStyle w:val="BodyText"/>
      </w:pPr>
      <w:r>
        <w:t>Despite progress in recent years, states and territories have not fully implemented the requirements of the Non</w:t>
      </w:r>
      <w:r>
        <w:noBreakHyphen/>
        <w:t>Urban Metering Framework (</w:t>
      </w:r>
      <w:r w:rsidRPr="007850CE">
        <w:rPr>
          <w:i/>
          <w:iCs/>
        </w:rPr>
        <w:t>Assessment</w:t>
      </w:r>
      <w:r>
        <w:t xml:space="preserve">: section 5.3; Irrigation Australia, </w:t>
      </w:r>
      <w:r w:rsidRPr="00E3338A">
        <w:t>sub.</w:t>
      </w:r>
      <w:r>
        <w:t> </w:t>
      </w:r>
      <w:r w:rsidRPr="00E3338A">
        <w:t>3, pp.</w:t>
      </w:r>
      <w:r>
        <w:t> 3–</w:t>
      </w:r>
      <w:r w:rsidRPr="00E3338A">
        <w:t>6</w:t>
      </w:r>
      <w:r>
        <w:t>; SRI, sub. 77, p. 12).</w:t>
      </w:r>
    </w:p>
    <w:p w14:paraId="07110E81" w14:textId="77777777" w:rsidR="001054C3" w:rsidRDefault="001054C3" w:rsidP="00234FBE">
      <w:pPr>
        <w:pStyle w:val="BodyText"/>
      </w:pPr>
      <w:r>
        <w:t>MDB jurisdictions have revised their non</w:t>
      </w:r>
      <w:r>
        <w:noBreakHyphen/>
        <w:t>urban metering policies under the MDBCC to meet requirements consistent with the Non</w:t>
      </w:r>
      <w:r>
        <w:noBreakHyphen/>
        <w:t xml:space="preserve">Urban Metering Framework and the NWI. However, concerns remain, for example, about floodplain harvesting in the Northern Basin and unauthorised use of diversions and the timeliness of reporting meter reads in the MDB </w:t>
      </w:r>
      <w:r>
        <w:lastRenderedPageBreak/>
        <w:t xml:space="preserve">more generally (SP E </w:t>
      </w:r>
      <w:r w:rsidRPr="007850CE">
        <w:rPr>
          <w:i/>
          <w:iCs/>
        </w:rPr>
        <w:t>Integrity</w:t>
      </w:r>
      <w:r>
        <w:t>: section 3.1). Non</w:t>
      </w:r>
      <w:r>
        <w:noBreakHyphen/>
        <w:t>MDB jurisdictions are at various stages in metering implementation, and inquiry participants raised a lack of compliance with national meter standards and the Non</w:t>
      </w:r>
      <w:r>
        <w:noBreakHyphen/>
        <w:t>Urban Metering Framework. For example, in Western Australia approved meters do not have to comply with Australian Standard 4747</w:t>
      </w:r>
      <w:r w:rsidRPr="00CB190C">
        <w:rPr>
          <w:rStyle w:val="FootnoteReference"/>
        </w:rPr>
        <w:footnoteReference w:id="28"/>
      </w:r>
      <w:r>
        <w:t xml:space="preserve"> and in Tasmania there is no compliance reporting on metering, so it is unclear if metering standards are being enforced (Irrigation Australia, sub. 3, pp. 7</w:t>
      </w:r>
      <w:r>
        <w:noBreakHyphen/>
        <w:t>8).</w:t>
      </w:r>
    </w:p>
    <w:p w14:paraId="346616FF" w14:textId="6EF67D19" w:rsidR="001054C3" w:rsidRPr="004D6FC1" w:rsidRDefault="001054C3" w:rsidP="00234FBE">
      <w:pPr>
        <w:pStyle w:val="BodyText"/>
        <w:rPr>
          <w:spacing w:val="-2"/>
        </w:rPr>
      </w:pPr>
      <w:r w:rsidRPr="004D6FC1">
        <w:rPr>
          <w:spacing w:val="-2"/>
        </w:rPr>
        <w:t>Best</w:t>
      </w:r>
      <w:r w:rsidRPr="004D6FC1">
        <w:rPr>
          <w:spacing w:val="-2"/>
        </w:rPr>
        <w:noBreakHyphen/>
        <w:t>practice guidelines for minimum metering thresholds have recently been developed collaboratively by the Murray–Darling Basin Authority (MDBA) for all states and territories, including a risk</w:t>
      </w:r>
      <w:r w:rsidRPr="004D6FC1">
        <w:rPr>
          <w:spacing w:val="-2"/>
        </w:rPr>
        <w:noBreakHyphen/>
        <w:t xml:space="preserve">based approach to setting thresholds </w:t>
      </w:r>
      <w:r w:rsidRPr="00134A65">
        <w:rPr>
          <w:szCs w:val="24"/>
        </w:rPr>
        <w:t>(MDBA 2019)</w:t>
      </w:r>
      <w:r w:rsidRPr="004D6FC1">
        <w:rPr>
          <w:spacing w:val="-2"/>
        </w:rPr>
        <w:t>. The MDBA is currently coordinating a review of the Metrological Assurance Framework (requirements in the Non</w:t>
      </w:r>
      <w:r w:rsidRPr="004D6FC1">
        <w:rPr>
          <w:spacing w:val="-2"/>
        </w:rPr>
        <w:noBreakHyphen/>
        <w:t>Urban Metering Framework to ensure confidence in meter performance) and the revised framework will look to include a greater use of risk management to prioritise metering implementation and management requirements (pers.</w:t>
      </w:r>
      <w:r>
        <w:rPr>
          <w:spacing w:val="-2"/>
        </w:rPr>
        <w:t> </w:t>
      </w:r>
      <w:r w:rsidRPr="004D6FC1">
        <w:rPr>
          <w:spacing w:val="-2"/>
        </w:rPr>
        <w:t>comm., MDBA, 23 November 2020).</w:t>
      </w:r>
    </w:p>
    <w:p w14:paraId="4B8D0DF3" w14:textId="77777777" w:rsidR="001054C3" w:rsidRDefault="001054C3" w:rsidP="00234FBE">
      <w:pPr>
        <w:pStyle w:val="BodyText"/>
      </w:pPr>
      <w:r>
        <w:t>A renewed NWI should reflect any changes that result from this review so that metering and measurement requirements are fit</w:t>
      </w:r>
      <w:r>
        <w:noBreakHyphen/>
        <w:t>for</w:t>
      </w:r>
      <w:r>
        <w:noBreakHyphen/>
        <w:t>purpose in supporting water accounting, and compliance and enforcement effort. Given the difficulties in implementing its first iteration in a timely manner (NIC, sub. DR174), the Commission considers that some form of engagement with industry and stakeholders on changes to the Metrological Assurance Framework to confirm the practicality of implementation would be of value.</w:t>
      </w:r>
    </w:p>
    <w:p w14:paraId="7D5D10E5" w14:textId="77777777" w:rsidR="001054C3" w:rsidRPr="008576A0" w:rsidRDefault="001054C3" w:rsidP="00DE301C">
      <w:pPr>
        <w:pStyle w:val="Heading3"/>
      </w:pPr>
      <w:r w:rsidRPr="008576A0">
        <w:t xml:space="preserve">Registers </w:t>
      </w:r>
      <w:r>
        <w:t>can deliver broader benefits for water management</w:t>
      </w:r>
    </w:p>
    <w:p w14:paraId="765E176D" w14:textId="77777777" w:rsidR="001054C3" w:rsidRDefault="001054C3" w:rsidP="00234FBE">
      <w:pPr>
        <w:pStyle w:val="BodyText"/>
      </w:pPr>
      <w:r>
        <w:t>Water registers contain a secure and accurate record of water entitlement ownership and the price and location of trades. While water register data on entitlements and trade provide information that supports the smooth functioning of water markets (chapter 7), registers are also a critical source of information for water system managers, environmental water managers, regulators, policy analysts, infrastructure operators and the wider community. They enable understanding of who has an entitlement, the conditions associated with it and how much of their entitlement and/or allocation they are trading over time in a clear and transparent way — underpinning the integrity of the water entitlement system.</w:t>
      </w:r>
    </w:p>
    <w:p w14:paraId="12B5A2B7" w14:textId="77777777" w:rsidR="001054C3" w:rsidRDefault="001054C3" w:rsidP="00234FBE">
      <w:pPr>
        <w:pStyle w:val="BodyText"/>
      </w:pPr>
      <w:r>
        <w:t>Technological innovations are improving options for accessing and using water register data in cost</w:t>
      </w:r>
      <w:r>
        <w:noBreakHyphen/>
        <w:t>effective ways, bringing a range of benefits.</w:t>
      </w:r>
    </w:p>
    <w:p w14:paraId="5D301288" w14:textId="77777777" w:rsidR="001054C3" w:rsidRDefault="001054C3" w:rsidP="00234FBE">
      <w:pPr>
        <w:pStyle w:val="BodyText"/>
      </w:pPr>
      <w:r>
        <w:t xml:space="preserve">Water registers have progressively improved over the years in response to the evolution of water markets and needs of water </w:t>
      </w:r>
      <w:r w:rsidRPr="00697AF1">
        <w:t>users (</w:t>
      </w:r>
      <w:r w:rsidRPr="007850CE">
        <w:rPr>
          <w:i/>
          <w:iCs/>
        </w:rPr>
        <w:t>Assessment</w:t>
      </w:r>
      <w:r w:rsidRPr="009A6FE3">
        <w:t>: section</w:t>
      </w:r>
      <w:r>
        <w:t> </w:t>
      </w:r>
      <w:r w:rsidRPr="009A6FE3">
        <w:t>2</w:t>
      </w:r>
      <w:r>
        <w:t>.2</w:t>
      </w:r>
      <w:r w:rsidRPr="00697AF1">
        <w:t>)</w:t>
      </w:r>
      <w:r>
        <w:t>.</w:t>
      </w:r>
      <w:r w:rsidRPr="00697AF1">
        <w:t xml:space="preserve"> </w:t>
      </w:r>
      <w:r>
        <w:t xml:space="preserve">However, </w:t>
      </w:r>
      <w:r w:rsidRPr="00697AF1">
        <w:t>only one guideline out of six on water registers</w:t>
      </w:r>
      <w:r w:rsidRPr="000B5B5B">
        <w:t xml:space="preserve"> in the NWI explicitly acknowledges the critical </w:t>
      </w:r>
      <w:r>
        <w:t xml:space="preserve">function they provide to water resource managers to monitor trade and the movement of </w:t>
      </w:r>
      <w:r>
        <w:lastRenderedPageBreak/>
        <w:t>water as an input to water accounting systems. A renewed NWI should reflect that water registers, in addition to supporting trade decisions, can deliver benefits for water resource management and support compliance and enforcement systems.</w:t>
      </w:r>
    </w:p>
    <w:p w14:paraId="1843D342" w14:textId="77777777" w:rsidR="001054C3" w:rsidRDefault="001054C3" w:rsidP="00234FBE">
      <w:pPr>
        <w:pStyle w:val="Heading3"/>
      </w:pPr>
      <w:r>
        <w:t>Commitment to leading-practice compliance and enforcement</w:t>
      </w:r>
    </w:p>
    <w:p w14:paraId="7D0C5B5F" w14:textId="77777777" w:rsidR="001054C3" w:rsidRDefault="001054C3" w:rsidP="00234FBE">
      <w:pPr>
        <w:pStyle w:val="BodyText"/>
      </w:pPr>
      <w:r>
        <w:t>While the National Compliance Framework laid out good foundations for compliance and enforcement systems (for example, monitoring and reporting), the MDB reviews uncovered gaps including the absence of a strong, independent compliance culture and insufficient resourcing and capability — critical components of leading</w:t>
      </w:r>
      <w:r>
        <w:noBreakHyphen/>
        <w:t>practice systems.</w:t>
      </w:r>
    </w:p>
    <w:p w14:paraId="5E1A47E4" w14:textId="77777777" w:rsidR="001054C3" w:rsidRDefault="001054C3" w:rsidP="00234FBE">
      <w:pPr>
        <w:pStyle w:val="BodyText"/>
      </w:pPr>
      <w:r w:rsidRPr="00F74404">
        <w:t>Many of the</w:t>
      </w:r>
      <w:r>
        <w:t xml:space="preserve"> required MDBCC elements (box 10.1) are consistent with good governance, such as transparency, enabling of technologies, secure funding and support for capability.</w:t>
      </w:r>
    </w:p>
    <w:p w14:paraId="3144E3C0"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0B78B3D6" w14:textId="77777777" w:rsidTr="00234FBE">
        <w:trPr>
          <w:tblHeader/>
        </w:trPr>
        <w:tc>
          <w:tcPr>
            <w:tcW w:w="5000" w:type="pct"/>
            <w:tcBorders>
              <w:top w:val="single" w:sz="6" w:space="0" w:color="78A22F"/>
              <w:left w:val="nil"/>
              <w:bottom w:val="nil"/>
              <w:right w:val="nil"/>
            </w:tcBorders>
            <w:shd w:val="clear" w:color="auto" w:fill="F2F2F2"/>
          </w:tcPr>
          <w:p w14:paraId="3AE20222" w14:textId="77777777" w:rsidR="001054C3" w:rsidRDefault="001054C3" w:rsidP="00234FBE">
            <w:pPr>
              <w:pStyle w:val="BoxTitle"/>
            </w:pPr>
            <w:r>
              <w:rPr>
                <w:b w:val="0"/>
              </w:rPr>
              <w:t>Box 10.1</w:t>
            </w:r>
            <w:r>
              <w:tab/>
              <w:t>Compliance framework requirements for Murray–Darling Basin jurisdictions</w:t>
            </w:r>
          </w:p>
        </w:tc>
      </w:tr>
      <w:tr w:rsidR="001054C3" w14:paraId="77380945" w14:textId="77777777" w:rsidTr="00234FBE">
        <w:tc>
          <w:tcPr>
            <w:tcW w:w="5000" w:type="pct"/>
            <w:tcBorders>
              <w:top w:val="nil"/>
              <w:left w:val="nil"/>
              <w:bottom w:val="nil"/>
              <w:right w:val="nil"/>
            </w:tcBorders>
            <w:shd w:val="clear" w:color="auto" w:fill="F2F2F2"/>
          </w:tcPr>
          <w:p w14:paraId="3097D848" w14:textId="77777777" w:rsidR="001054C3" w:rsidRDefault="001054C3" w:rsidP="00234FBE">
            <w:pPr>
              <w:pStyle w:val="Box"/>
            </w:pPr>
            <w:r>
              <w:t>Two key commitments made by each Murray–Darling Basin jurisdiction and the Murray–Darling Basin Authority through the Basin Compliance Compact were to:</w:t>
            </w:r>
          </w:p>
          <w:p w14:paraId="4C511D32" w14:textId="77777777" w:rsidR="001054C3" w:rsidRDefault="001054C3" w:rsidP="008C565C">
            <w:pPr>
              <w:pStyle w:val="BoxListNumber"/>
              <w:numPr>
                <w:ilvl w:val="0"/>
                <w:numId w:val="30"/>
              </w:numPr>
            </w:pPr>
            <w:r>
              <w:t>publish a revised compliance framework addressing the following requirements from recommendation six of the Murray–Darling Basin Compliance Review:</w:t>
            </w:r>
          </w:p>
          <w:p w14:paraId="5ED9D53D" w14:textId="77777777" w:rsidR="001054C3" w:rsidRDefault="001054C3" w:rsidP="00234FBE">
            <w:pPr>
              <w:pStyle w:val="BoxListNumber2"/>
            </w:pPr>
            <w:r>
              <w:t>a risk</w:t>
            </w:r>
            <w:r>
              <w:noBreakHyphen/>
              <w:t>based strategy for guiding compliance monitoring effort</w:t>
            </w:r>
          </w:p>
          <w:p w14:paraId="65D66956" w14:textId="77777777" w:rsidR="001054C3" w:rsidRDefault="001054C3" w:rsidP="00234FBE">
            <w:pPr>
              <w:pStyle w:val="BoxListNumber2"/>
            </w:pPr>
            <w:r>
              <w:t>annual audit priorities</w:t>
            </w:r>
          </w:p>
          <w:p w14:paraId="6D9402D3" w14:textId="77777777" w:rsidR="001054C3" w:rsidRDefault="001054C3" w:rsidP="00234FBE">
            <w:pPr>
              <w:pStyle w:val="BoxListNumber2"/>
            </w:pPr>
            <w:r>
              <w:t>an escalation pathway to apply once non</w:t>
            </w:r>
            <w:r>
              <w:noBreakHyphen/>
              <w:t>compliance is detected</w:t>
            </w:r>
          </w:p>
          <w:p w14:paraId="623D38C9" w14:textId="77777777" w:rsidR="001054C3" w:rsidRDefault="001054C3" w:rsidP="00234FBE">
            <w:pPr>
              <w:pStyle w:val="BoxListNumber2"/>
            </w:pPr>
            <w:r>
              <w:t>a mandatory protocol for entitlement holders to follow in the event of meter failure</w:t>
            </w:r>
          </w:p>
          <w:p w14:paraId="61B852A8" w14:textId="77777777" w:rsidR="001054C3" w:rsidRDefault="001054C3" w:rsidP="00234FBE">
            <w:pPr>
              <w:pStyle w:val="BoxListNumber2"/>
            </w:pPr>
            <w:r>
              <w:t>a statement of the penalties and sanctions regime, and any improvements required</w:t>
            </w:r>
          </w:p>
          <w:p w14:paraId="7747D67D" w14:textId="77777777" w:rsidR="001054C3" w:rsidRDefault="001054C3" w:rsidP="00234FBE">
            <w:pPr>
              <w:pStyle w:val="BoxListNumber2"/>
            </w:pPr>
            <w:r>
              <w:t>annual reporting of data on compliance activities by location including the timeliness with which allegations are addressed</w:t>
            </w:r>
          </w:p>
          <w:p w14:paraId="19FC62FD" w14:textId="77777777" w:rsidR="001054C3" w:rsidRDefault="001054C3" w:rsidP="00234FBE">
            <w:pPr>
              <w:pStyle w:val="BoxListNumber2"/>
            </w:pPr>
            <w:r>
              <w:t>provisions to ensure compliance staff are adequately trained</w:t>
            </w:r>
          </w:p>
          <w:p w14:paraId="026E34D8" w14:textId="77777777" w:rsidR="001054C3" w:rsidRDefault="001054C3" w:rsidP="00234FBE">
            <w:pPr>
              <w:pStyle w:val="BoxListNumber2"/>
            </w:pPr>
            <w:r>
              <w:t>a program to ensure information about entitlements, allocations, licence conditions, meter readings, account balances and so on are easily accessible to the public in real time</w:t>
            </w:r>
          </w:p>
          <w:p w14:paraId="58EDE708" w14:textId="77777777" w:rsidR="001054C3" w:rsidRDefault="001054C3" w:rsidP="00234FBE">
            <w:pPr>
              <w:pStyle w:val="BoxListNumber2"/>
            </w:pPr>
            <w:r>
              <w:t>a program to ensure meters are identified by a unique reference number, and entitlement and pump details are publicly accessible</w:t>
            </w:r>
          </w:p>
          <w:p w14:paraId="39C51053" w14:textId="77777777" w:rsidR="001054C3" w:rsidRDefault="001054C3" w:rsidP="00234FBE">
            <w:pPr>
              <w:pStyle w:val="BoxListNumber2"/>
            </w:pPr>
            <w:r>
              <w:t>a commitment to effectiveness and efficiency, including the adoption of new technologies</w:t>
            </w:r>
          </w:p>
          <w:p w14:paraId="581018A4" w14:textId="77777777" w:rsidR="001054C3" w:rsidRDefault="001054C3" w:rsidP="00234FBE">
            <w:pPr>
              <w:pStyle w:val="BoxListNumber2"/>
            </w:pPr>
            <w:r>
              <w:t>adequate resourcing based on a cost</w:t>
            </w:r>
            <w:r>
              <w:noBreakHyphen/>
              <w:t>recovery pathway, with compliance budgets protected from the normal exigencies of government budgets.</w:t>
            </w:r>
          </w:p>
          <w:p w14:paraId="7C8E3945" w14:textId="77777777" w:rsidR="001054C3" w:rsidRDefault="001054C3" w:rsidP="00234FBE">
            <w:pPr>
              <w:pStyle w:val="BoxListNumber"/>
            </w:pPr>
            <w:r>
              <w:t>establish a network of water compliance practitioners, co</w:t>
            </w:r>
            <w:r>
              <w:noBreakHyphen/>
              <w:t>ordinated by the Murray–Darling Basin Authority, to promote best practice and innovation in water compliance.</w:t>
            </w:r>
          </w:p>
        </w:tc>
      </w:tr>
      <w:tr w:rsidR="001054C3" w14:paraId="1762745F" w14:textId="77777777" w:rsidTr="00234FBE">
        <w:tc>
          <w:tcPr>
            <w:tcW w:w="5000" w:type="pct"/>
            <w:tcBorders>
              <w:top w:val="nil"/>
              <w:left w:val="nil"/>
              <w:bottom w:val="nil"/>
              <w:right w:val="nil"/>
            </w:tcBorders>
            <w:shd w:val="clear" w:color="auto" w:fill="F2F2F2"/>
          </w:tcPr>
          <w:p w14:paraId="3BC889FD" w14:textId="5855593B" w:rsidR="001054C3" w:rsidRPr="002D44B1" w:rsidRDefault="001054C3" w:rsidP="00234FBE">
            <w:pPr>
              <w:pStyle w:val="BoxSource"/>
            </w:pPr>
            <w:r>
              <w:rPr>
                <w:i/>
              </w:rPr>
              <w:t>Sources</w:t>
            </w:r>
            <w:r w:rsidRPr="00167F06">
              <w:t xml:space="preserve">: </w:t>
            </w:r>
            <w:r>
              <w:t>MDB Ministerial Council </w:t>
            </w:r>
            <w:r w:rsidRPr="00D04E9B">
              <w:rPr>
                <w:rFonts w:cs="Arial"/>
                <w:szCs w:val="24"/>
              </w:rPr>
              <w:t>(2018, p. 4)</w:t>
            </w:r>
            <w:r>
              <w:t>, MDBA </w:t>
            </w:r>
            <w:r w:rsidRPr="00FF397C">
              <w:rPr>
                <w:rFonts w:cs="Arial"/>
                <w:szCs w:val="24"/>
              </w:rPr>
              <w:t>(2017, pp. 21–22)</w:t>
            </w:r>
            <w:r>
              <w:t>.</w:t>
            </w:r>
          </w:p>
        </w:tc>
      </w:tr>
      <w:tr w:rsidR="001054C3" w14:paraId="0D97295E" w14:textId="77777777" w:rsidTr="00234FBE">
        <w:tc>
          <w:tcPr>
            <w:tcW w:w="5000" w:type="pct"/>
            <w:tcBorders>
              <w:top w:val="nil"/>
              <w:left w:val="nil"/>
              <w:bottom w:val="single" w:sz="6" w:space="0" w:color="78A22F"/>
              <w:right w:val="nil"/>
            </w:tcBorders>
            <w:shd w:val="clear" w:color="auto" w:fill="F2F2F2"/>
          </w:tcPr>
          <w:p w14:paraId="37172299" w14:textId="77777777" w:rsidR="001054C3" w:rsidRDefault="001054C3" w:rsidP="00234FBE">
            <w:pPr>
              <w:pStyle w:val="Box"/>
              <w:spacing w:before="0" w:line="120" w:lineRule="exact"/>
            </w:pPr>
          </w:p>
        </w:tc>
      </w:tr>
      <w:tr w:rsidR="001054C3" w:rsidRPr="000863A5" w14:paraId="49E65F15" w14:textId="77777777" w:rsidTr="00234FBE">
        <w:tc>
          <w:tcPr>
            <w:tcW w:w="5000" w:type="pct"/>
            <w:tcBorders>
              <w:top w:val="single" w:sz="6" w:space="0" w:color="78A22F"/>
              <w:left w:val="nil"/>
              <w:bottom w:val="nil"/>
              <w:right w:val="nil"/>
            </w:tcBorders>
          </w:tcPr>
          <w:p w14:paraId="7B1AB032" w14:textId="77777777" w:rsidR="001054C3" w:rsidRPr="00626D32" w:rsidRDefault="001054C3" w:rsidP="00234FBE">
            <w:pPr>
              <w:pStyle w:val="BoxSpaceBelow"/>
            </w:pPr>
          </w:p>
        </w:tc>
      </w:tr>
    </w:tbl>
    <w:p w14:paraId="25DA7848" w14:textId="1CFDBEDF" w:rsidR="001054C3" w:rsidRDefault="001054C3" w:rsidP="00234FBE">
      <w:pPr>
        <w:pStyle w:val="BodyText"/>
        <w:keepNext/>
      </w:pPr>
      <w:r>
        <w:lastRenderedPageBreak/>
        <w:t>The MDBCC also provides a good blueprint for accountability principles — compliance with arrangements ‘will be measured, publicly reported on in a timely manner and independently verified’ </w:t>
      </w:r>
      <w:r w:rsidRPr="00F2520E">
        <w:rPr>
          <w:szCs w:val="24"/>
        </w:rPr>
        <w:t>(MDB Ministerial Council 2018, p. 3)</w:t>
      </w:r>
      <w:r>
        <w:t>. Transparency and accountability of governance arrangements considered in the MDBCC (action 1.1) to ensure a strong culture of compliance included</w:t>
      </w:r>
      <w:r w:rsidRPr="00F11638">
        <w:t xml:space="preserve"> </w:t>
      </w:r>
      <w:r>
        <w:t>publication of:</w:t>
      </w:r>
    </w:p>
    <w:p w14:paraId="494518DB" w14:textId="77777777" w:rsidR="001054C3" w:rsidRDefault="001054C3" w:rsidP="00234FBE">
      <w:pPr>
        <w:pStyle w:val="ListBullet"/>
      </w:pPr>
      <w:r>
        <w:t>a statement of obligations for non</w:t>
      </w:r>
      <w:r>
        <w:noBreakHyphen/>
        <w:t>urban water management</w:t>
      </w:r>
    </w:p>
    <w:p w14:paraId="7AD753F6" w14:textId="77777777" w:rsidR="001054C3" w:rsidRDefault="001054C3" w:rsidP="00234FBE">
      <w:pPr>
        <w:pStyle w:val="ListBullet"/>
      </w:pPr>
      <w:r>
        <w:t>Ministerial letters of expectations (including an expectation of regulatory best practice)</w:t>
      </w:r>
    </w:p>
    <w:p w14:paraId="31BCEC5E" w14:textId="77777777" w:rsidR="001054C3" w:rsidRDefault="001054C3" w:rsidP="00234FBE">
      <w:pPr>
        <w:pStyle w:val="ListBullet"/>
      </w:pPr>
      <w:r>
        <w:t>compliance metrics as a performance indicator.</w:t>
      </w:r>
    </w:p>
    <w:p w14:paraId="37C4B07C" w14:textId="77777777" w:rsidR="001054C3" w:rsidRPr="004D6FC1" w:rsidRDefault="001054C3" w:rsidP="00234FBE">
      <w:pPr>
        <w:pStyle w:val="BodyText"/>
        <w:rPr>
          <w:spacing w:val="-4"/>
        </w:rPr>
      </w:pPr>
      <w:r w:rsidRPr="004D6FC1">
        <w:rPr>
          <w:spacing w:val="-4"/>
        </w:rPr>
        <w:t>Renewal of the NWI provides an opportunity to embed leading</w:t>
      </w:r>
      <w:r w:rsidRPr="004D6FC1">
        <w:rPr>
          <w:spacing w:val="-4"/>
        </w:rPr>
        <w:noBreakHyphen/>
        <w:t>practice principles for compliance and enforcement effort, including good governance and clear regulatory objectives. Adoption of leading practice would facilitate confidence and trust in the institutions responsible for supporting water entitlement property rights. The MDBCC requirements provide a sensible starting point. Supporting frameworks (such as a revised National Compliance Framework) could provide guidance on fit</w:t>
      </w:r>
      <w:r w:rsidRPr="004D6FC1">
        <w:rPr>
          <w:spacing w:val="-4"/>
        </w:rPr>
        <w:noBreakHyphen/>
        <w:t>for</w:t>
      </w:r>
      <w:r w:rsidRPr="004D6FC1">
        <w:rPr>
          <w:spacing w:val="-4"/>
        </w:rPr>
        <w:noBreakHyphen/>
        <w:t>purpose risk</w:t>
      </w:r>
      <w:r w:rsidRPr="004D6FC1">
        <w:rPr>
          <w:spacing w:val="-4"/>
        </w:rPr>
        <w:noBreakHyphen/>
        <w:t>based implementation.</w:t>
      </w:r>
    </w:p>
    <w:p w14:paraId="0FB352D3" w14:textId="77777777" w:rsidR="001054C3" w:rsidRDefault="001054C3" w:rsidP="00234FBE">
      <w:pPr>
        <w:pStyle w:val="Heading3"/>
      </w:pPr>
      <w:r>
        <w:t>Water users need to understand their entitlement obligations</w:t>
      </w:r>
    </w:p>
    <w:p w14:paraId="6D7D30F5" w14:textId="77777777" w:rsidR="001054C3" w:rsidRDefault="001054C3" w:rsidP="00234FBE">
      <w:pPr>
        <w:pStyle w:val="BodyText"/>
      </w:pPr>
      <w:r w:rsidRPr="00AF17EF">
        <w:t>The complexity of water legislation and water management in most Australian jurisdictions means that many water users may be unintentionally non</w:t>
      </w:r>
      <w:r>
        <w:noBreakHyphen/>
      </w:r>
      <w:r w:rsidRPr="00AF17EF">
        <w:t>compliant with their licence conditions</w:t>
      </w:r>
      <w:r>
        <w:t xml:space="preserve">. It also </w:t>
      </w:r>
      <w:r w:rsidRPr="00AF17EF">
        <w:t>complicat</w:t>
      </w:r>
      <w:r>
        <w:t>es</w:t>
      </w:r>
      <w:r w:rsidRPr="00AF17EF">
        <w:t xml:space="preserve"> the compliance task</w:t>
      </w:r>
      <w:r>
        <w:t>.</w:t>
      </w:r>
    </w:p>
    <w:p w14:paraId="76CC0BB4" w14:textId="051339CC" w:rsidR="001054C3" w:rsidRDefault="001054C3" w:rsidP="00234FBE">
      <w:pPr>
        <w:pStyle w:val="Quote"/>
      </w:pPr>
      <w:r w:rsidRPr="00AF17EF">
        <w:t xml:space="preserve">The water regulatory system in NSW, and indeed the Commonwealth, is exceptionally complex. Not only are the relevant state and Commonwealth water Acts and Regulations long, detailed and interdependent, there are many different </w:t>
      </w:r>
      <w:r>
        <w:t>[</w:t>
      </w:r>
      <w:r w:rsidRPr="00AF17EF">
        <w:t>W</w:t>
      </w:r>
      <w:r>
        <w:t xml:space="preserve">ater </w:t>
      </w:r>
      <w:r w:rsidRPr="00AF17EF">
        <w:t>S</w:t>
      </w:r>
      <w:r>
        <w:t xml:space="preserve">haring </w:t>
      </w:r>
      <w:r w:rsidRPr="00AF17EF">
        <w:t>P</w:t>
      </w:r>
      <w:r>
        <w:t>lan</w:t>
      </w:r>
      <w:r w:rsidRPr="00AF17EF">
        <w:t>s</w:t>
      </w:r>
      <w:r>
        <w:t>]</w:t>
      </w:r>
      <w:r w:rsidRPr="00AF17EF">
        <w:t xml:space="preserve">, each with unique and contingent rule settings and historical precedents. Monitoring and enforcing compliance with market rules is therefore a significant challenge. </w:t>
      </w:r>
      <w:r w:rsidRPr="00E413A2">
        <w:rPr>
          <w:szCs w:val="24"/>
        </w:rPr>
        <w:t>(ICAC (NSW) 2020, p. 157)</w:t>
      </w:r>
    </w:p>
    <w:p w14:paraId="0CE9FD64" w14:textId="77777777" w:rsidR="001054C3" w:rsidRDefault="001054C3" w:rsidP="00234FBE">
      <w:pPr>
        <w:pStyle w:val="BodyText"/>
      </w:pPr>
      <w:r w:rsidRPr="00AF17EF">
        <w:t>As part of the NWI renewal process, jurisdictions should consider: investigating the extent of unintentional non</w:t>
      </w:r>
      <w:r>
        <w:noBreakHyphen/>
      </w:r>
      <w:r w:rsidRPr="00AF17EF">
        <w:t>compliance stemming from the complexity of their water laws; whether existing strategies to educate and engage with entitlement holders on their obligations are effective; and whether a broader review of their legislation might be warranted.</w:t>
      </w:r>
    </w:p>
    <w:p w14:paraId="07AAA8B1" w14:textId="12E531F9" w:rsidR="001054C3" w:rsidRPr="004D6FC1" w:rsidRDefault="001054C3" w:rsidP="00234FBE">
      <w:pPr>
        <w:pStyle w:val="BodyText"/>
        <w:rPr>
          <w:spacing w:val="-4"/>
        </w:rPr>
      </w:pPr>
      <w:r w:rsidRPr="004D6FC1">
        <w:rPr>
          <w:spacing w:val="-4"/>
        </w:rPr>
        <w:t xml:space="preserve">Resourcing also merits attention. The MDBA’s </w:t>
      </w:r>
      <w:r w:rsidRPr="00593323">
        <w:rPr>
          <w:szCs w:val="24"/>
        </w:rPr>
        <w:t>(2017, p. 14)</w:t>
      </w:r>
      <w:r w:rsidRPr="004D6FC1">
        <w:rPr>
          <w:spacing w:val="-4"/>
        </w:rPr>
        <w:t xml:space="preserve"> review found that New South Wales and Queensland had low levels of compliance resourcing, and that this was a contributing factor to New South Wales’ ineffective and inconsistent compliance regime. While funding for regulating non</w:t>
      </w:r>
      <w:r w:rsidRPr="004D6FC1">
        <w:rPr>
          <w:spacing w:val="-4"/>
        </w:rPr>
        <w:noBreakHyphen/>
        <w:t xml:space="preserve">urban water use has been forthcoming in the MDB jurisdictions in the past two years, concerns remain for the longer term </w:t>
      </w:r>
      <w:r w:rsidR="00C67DB3" w:rsidRPr="00C67DB3">
        <w:rPr>
          <w:szCs w:val="24"/>
        </w:rPr>
        <w:t>(ICAC (NSW) 2020, p. 158 EDO, sub. 54, p. 8)</w:t>
      </w:r>
      <w:r w:rsidRPr="004D6FC1">
        <w:rPr>
          <w:spacing w:val="-4"/>
        </w:rPr>
        <w:t>. As long as funding is subject to annual budget processes, there is a risk that regulatory agencies will need to prioritise reactive over proactive regulatory activities.</w:t>
      </w:r>
    </w:p>
    <w:p w14:paraId="39164D17"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7B5F3F" w14:paraId="6FCEFB1E" w14:textId="77777777" w:rsidTr="00234FBE">
        <w:trPr>
          <w:tblHeader/>
        </w:trPr>
        <w:tc>
          <w:tcPr>
            <w:tcW w:w="5000" w:type="pct"/>
            <w:tcBorders>
              <w:top w:val="single" w:sz="6" w:space="0" w:color="0070C0"/>
              <w:left w:val="nil"/>
              <w:bottom w:val="nil"/>
              <w:right w:val="nil"/>
            </w:tcBorders>
            <w:shd w:val="clear" w:color="auto" w:fill="CBDDF2"/>
            <w:tcMar>
              <w:left w:w="170" w:type="dxa"/>
              <w:right w:w="170" w:type="dxa"/>
            </w:tcMar>
          </w:tcPr>
          <w:p w14:paraId="27984D70" w14:textId="77777777" w:rsidR="001054C3" w:rsidRPr="007B5F3F" w:rsidRDefault="001054C3" w:rsidP="00234FBE">
            <w:pPr>
              <w:keepNext/>
              <w:keepLines/>
              <w:spacing w:before="120" w:line="280" w:lineRule="atLeast"/>
              <w:jc w:val="both"/>
              <w:rPr>
                <w:rFonts w:ascii="Arial" w:hAnsi="Arial"/>
                <w:sz w:val="22"/>
                <w:szCs w:val="20"/>
              </w:rPr>
            </w:pPr>
            <w:r>
              <w:rPr>
                <w:rFonts w:ascii="Arial" w:hAnsi="Arial"/>
                <w:caps/>
                <w:sz w:val="18"/>
                <w:szCs w:val="20"/>
              </w:rPr>
              <w:t>nwi renewal</w:t>
            </w:r>
            <w:r w:rsidRPr="007B5F3F">
              <w:rPr>
                <w:rFonts w:ascii="Arial" w:hAnsi="Arial"/>
                <w:caps/>
                <w:sz w:val="18"/>
                <w:szCs w:val="20"/>
              </w:rPr>
              <w:t xml:space="preserve"> advice </w:t>
            </w:r>
            <w:r>
              <w:rPr>
                <w:rFonts w:ascii="Arial" w:hAnsi="Arial"/>
                <w:caps/>
                <w:sz w:val="18"/>
                <w:szCs w:val="20"/>
              </w:rPr>
              <w:t>10.2:</w:t>
            </w:r>
            <w:r w:rsidRPr="007B5F3F">
              <w:rPr>
                <w:rFonts w:ascii="Arial" w:hAnsi="Arial"/>
                <w:caps/>
                <w:sz w:val="18"/>
                <w:szCs w:val="20"/>
              </w:rPr>
              <w:t xml:space="preserve"> ensuring the integrity of water </w:t>
            </w:r>
            <w:r>
              <w:rPr>
                <w:rFonts w:ascii="Arial" w:hAnsi="Arial"/>
                <w:caps/>
                <w:sz w:val="18"/>
                <w:szCs w:val="20"/>
              </w:rPr>
              <w:t>use</w:t>
            </w:r>
          </w:p>
          <w:p w14:paraId="18DF929D" w14:textId="77777777" w:rsidR="001054C3" w:rsidRPr="00BD561C" w:rsidRDefault="001054C3" w:rsidP="00234FBE">
            <w:pPr>
              <w:pStyle w:val="Rec"/>
            </w:pPr>
            <w:r w:rsidRPr="00BD561C">
              <w:t xml:space="preserve">To ensure the integrity of water use, a renewed </w:t>
            </w:r>
            <w:r>
              <w:t>National Water Initiative</w:t>
            </w:r>
            <w:r w:rsidRPr="00BD561C">
              <w:t xml:space="preserve"> would be strengthened by requiring fit</w:t>
            </w:r>
            <w:r>
              <w:noBreakHyphen/>
            </w:r>
            <w:r w:rsidRPr="00BD561C">
              <w:t>for</w:t>
            </w:r>
            <w:r>
              <w:noBreakHyphen/>
            </w:r>
            <w:r w:rsidRPr="00BD561C">
              <w:t>purpose:</w:t>
            </w:r>
          </w:p>
          <w:p w14:paraId="54084B1B" w14:textId="77777777" w:rsidR="001054C3" w:rsidRPr="00BD561C" w:rsidRDefault="001054C3" w:rsidP="00234FBE">
            <w:pPr>
              <w:pStyle w:val="RecBullet"/>
            </w:pPr>
            <w:r w:rsidRPr="00BD561C">
              <w:t xml:space="preserve">metering and measurement of surface water and groundwater take and reporting on use </w:t>
            </w:r>
          </w:p>
          <w:p w14:paraId="5D361BE1" w14:textId="77777777" w:rsidR="001054C3" w:rsidRPr="00BD561C" w:rsidRDefault="001054C3" w:rsidP="00234FBE">
            <w:pPr>
              <w:pStyle w:val="RecBullet"/>
            </w:pPr>
            <w:r w:rsidRPr="00BD561C">
              <w:t xml:space="preserve">registers that </w:t>
            </w:r>
            <w:r>
              <w:t xml:space="preserve">realise their potential </w:t>
            </w:r>
            <w:r w:rsidRPr="00BD561C">
              <w:t>benefits for water resource management and support compliance and enforcement systems</w:t>
            </w:r>
            <w:r>
              <w:t xml:space="preserve"> as well as critical functions in supporting trade</w:t>
            </w:r>
          </w:p>
          <w:p w14:paraId="7FD8751B" w14:textId="77777777" w:rsidR="001054C3" w:rsidRPr="00BD561C" w:rsidRDefault="001054C3" w:rsidP="00234FBE">
            <w:pPr>
              <w:pStyle w:val="RecBullet"/>
            </w:pPr>
            <w:r w:rsidRPr="00BD561C">
              <w:t>compliance and enforcement systems, including a focus on proactive regulation to increase entitlement holders’ awareness of their obligations.</w:t>
            </w:r>
          </w:p>
          <w:p w14:paraId="2E117C01" w14:textId="77777777" w:rsidR="001054C3" w:rsidRPr="007B5F3F" w:rsidRDefault="001054C3" w:rsidP="00234FBE">
            <w:pPr>
              <w:pStyle w:val="Rec"/>
            </w:pPr>
            <w:r w:rsidRPr="00BD561C">
              <w:t>Inclusion of leading</w:t>
            </w:r>
            <w:r>
              <w:noBreakHyphen/>
            </w:r>
            <w:r w:rsidRPr="00BD561C">
              <w:t xml:space="preserve">practice compliance principles would also strengthen the agreement. Compliance framework requirements from the Murray–Darling Basin Compliance Review provide good foundation principles, but consideration should be </w:t>
            </w:r>
            <w:r w:rsidRPr="00A77172">
              <w:rPr>
                <w:spacing w:val="-2"/>
              </w:rPr>
              <w:t>given to augmenting them with requirements consistent with leading</w:t>
            </w:r>
            <w:r>
              <w:rPr>
                <w:spacing w:val="-2"/>
              </w:rPr>
              <w:noBreakHyphen/>
            </w:r>
            <w:r w:rsidRPr="00A77172">
              <w:rPr>
                <w:spacing w:val="-2"/>
              </w:rPr>
              <w:t>practice governance.</w:t>
            </w:r>
          </w:p>
        </w:tc>
      </w:tr>
      <w:tr w:rsidR="001054C3" w:rsidRPr="007B5F3F" w14:paraId="637D36C7" w14:textId="77777777" w:rsidTr="00234FBE">
        <w:tc>
          <w:tcPr>
            <w:tcW w:w="5000" w:type="pct"/>
            <w:tcBorders>
              <w:top w:val="nil"/>
              <w:left w:val="nil"/>
              <w:bottom w:val="single" w:sz="6" w:space="0" w:color="0070C0"/>
              <w:right w:val="nil"/>
            </w:tcBorders>
            <w:shd w:val="clear" w:color="auto" w:fill="CBDDF2"/>
            <w:tcMar>
              <w:left w:w="170" w:type="dxa"/>
              <w:right w:w="170" w:type="dxa"/>
            </w:tcMar>
          </w:tcPr>
          <w:p w14:paraId="7284960C" w14:textId="77777777" w:rsidR="001054C3" w:rsidRPr="007B5F3F" w:rsidRDefault="001054C3" w:rsidP="00234FBE">
            <w:pPr>
              <w:keepNext/>
              <w:keepLines/>
              <w:spacing w:line="120" w:lineRule="exact"/>
              <w:jc w:val="both"/>
              <w:rPr>
                <w:rFonts w:ascii="Arial" w:hAnsi="Arial"/>
                <w:sz w:val="20"/>
                <w:szCs w:val="20"/>
              </w:rPr>
            </w:pPr>
          </w:p>
        </w:tc>
      </w:tr>
      <w:tr w:rsidR="001054C3" w:rsidRPr="007B5F3F" w14:paraId="2C1614AC" w14:textId="77777777" w:rsidTr="00234FBE">
        <w:tc>
          <w:tcPr>
            <w:tcW w:w="5000" w:type="pct"/>
            <w:tcBorders>
              <w:top w:val="single" w:sz="6" w:space="0" w:color="0070C0"/>
              <w:left w:val="nil"/>
              <w:bottom w:val="nil"/>
              <w:right w:val="nil"/>
            </w:tcBorders>
            <w:tcMar>
              <w:left w:w="170" w:type="dxa"/>
              <w:right w:w="170" w:type="dxa"/>
            </w:tcMar>
          </w:tcPr>
          <w:p w14:paraId="55AB6A33" w14:textId="77777777" w:rsidR="001054C3" w:rsidRPr="007B5F3F" w:rsidRDefault="001054C3" w:rsidP="00234FBE">
            <w:pPr>
              <w:keepLines/>
              <w:spacing w:before="60" w:after="60" w:line="80" w:lineRule="exact"/>
              <w:jc w:val="both"/>
              <w:rPr>
                <w:rFonts w:ascii="Arial" w:hAnsi="Arial"/>
                <w:sz w:val="14"/>
                <w:szCs w:val="20"/>
              </w:rPr>
            </w:pPr>
          </w:p>
        </w:tc>
      </w:tr>
    </w:tbl>
    <w:p w14:paraId="6623E4C5" w14:textId="77777777" w:rsidR="001054C3" w:rsidRDefault="001054C3" w:rsidP="00234FBE">
      <w:pPr>
        <w:pStyle w:val="Heading2"/>
      </w:pPr>
      <w:bookmarkStart w:id="146" w:name="_Toc63112489"/>
      <w:bookmarkStart w:id="147" w:name="_Toc72939528"/>
      <w:r>
        <w:t>10.</w:t>
      </w:r>
      <w:r>
        <w:rPr>
          <w:noProof/>
        </w:rPr>
        <w:t>4</w:t>
      </w:r>
      <w:r>
        <w:tab/>
        <w:t>Ensuring the integrity of water system management</w:t>
      </w:r>
      <w:bookmarkEnd w:id="146"/>
      <w:bookmarkEnd w:id="147"/>
    </w:p>
    <w:p w14:paraId="0A0C550D" w14:textId="1343A3F3" w:rsidR="001054C3" w:rsidRPr="004E2419" w:rsidRDefault="001054C3" w:rsidP="00234FBE">
      <w:pPr>
        <w:pStyle w:val="BodyText"/>
      </w:pPr>
      <w:r w:rsidRPr="004E2419">
        <w:t>Generally</w:t>
      </w:r>
      <w:r>
        <w:t>,</w:t>
      </w:r>
      <w:r w:rsidRPr="004E2419">
        <w:t xml:space="preserve"> water system managers’ key objective is to operate water systems to best effect, </w:t>
      </w:r>
      <w:r>
        <w:t xml:space="preserve">that is, </w:t>
      </w:r>
      <w:r w:rsidRPr="004E2419">
        <w:t xml:space="preserve">to maximise benefits for entitlement holders and the environment. </w:t>
      </w:r>
      <w:r>
        <w:t>In highly developed and regulated catchments</w:t>
      </w:r>
      <w:r w:rsidRPr="004E2419">
        <w:t xml:space="preserve">, they </w:t>
      </w:r>
      <w:r>
        <w:t xml:space="preserve">may </w:t>
      </w:r>
      <w:r w:rsidRPr="004E2419">
        <w:t xml:space="preserve">need to balance other objectives including flood management, and have regard for economic, social, environmental and </w:t>
      </w:r>
      <w:r>
        <w:t xml:space="preserve">Aboriginal and Torres Strait Islander people’s </w:t>
      </w:r>
      <w:r w:rsidRPr="004E2419">
        <w:t>cultural activities and the values of communities using the water system</w:t>
      </w:r>
      <w:r>
        <w:t xml:space="preserve"> </w:t>
      </w:r>
      <w:r w:rsidRPr="00A04902">
        <w:rPr>
          <w:szCs w:val="24"/>
        </w:rPr>
        <w:t>(MDBA 2018, pp. 10–11)</w:t>
      </w:r>
      <w:r w:rsidRPr="004E2419">
        <w:t>. It is a complex task requiring judgement</w:t>
      </w:r>
      <w:r>
        <w:t> </w:t>
      </w:r>
      <w:r w:rsidRPr="004E2419">
        <w:t>—</w:t>
      </w:r>
      <w:r>
        <w:t> </w:t>
      </w:r>
      <w:r w:rsidRPr="004E2419">
        <w:t>built on information collection and system knowledge, informed by modelling and refined through operational practice. Ensuring trust in water system management requires action on a number of fronts.</w:t>
      </w:r>
    </w:p>
    <w:p w14:paraId="16279463" w14:textId="77777777" w:rsidR="001054C3" w:rsidRPr="00F30F6F" w:rsidRDefault="001054C3" w:rsidP="00234FBE">
      <w:pPr>
        <w:pStyle w:val="Heading3"/>
      </w:pPr>
      <w:r>
        <w:t>Access to</w:t>
      </w:r>
      <w:r w:rsidRPr="00F30F6F">
        <w:t xml:space="preserve"> a range of information</w:t>
      </w:r>
    </w:p>
    <w:p w14:paraId="07746A71" w14:textId="77777777" w:rsidR="001054C3" w:rsidRDefault="001054C3" w:rsidP="00234FBE">
      <w:pPr>
        <w:pStyle w:val="BodyText"/>
      </w:pPr>
      <w:r>
        <w:t xml:space="preserve">System managers need a deep understanding of their system, how it behaves under different climate conditions and the key risks to the water resource. Monitoring networks across states and territories are critical for collecting some of the information on surface and groundwater systems (such as level, flow, recharge and quality data) that contributes to this (Engineers Australia, sub. DR141). However, there are gaps in data collections. For example, several inquiry participants </w:t>
      </w:r>
      <w:r w:rsidRPr="00E57E58">
        <w:t xml:space="preserve">highlighted </w:t>
      </w:r>
      <w:r>
        <w:t xml:space="preserve">a lack of </w:t>
      </w:r>
      <w:r w:rsidRPr="00E57E58">
        <w:t xml:space="preserve">information on interception activities </w:t>
      </w:r>
      <w:r>
        <w:t>(farm dams and bores, floodplain harvesting and large</w:t>
      </w:r>
      <w:r>
        <w:noBreakHyphen/>
        <w:t>scale plantation forestry) and</w:t>
      </w:r>
      <w:r w:rsidRPr="00E57E58">
        <w:t xml:space="preserve"> </w:t>
      </w:r>
      <w:r>
        <w:t xml:space="preserve">groundwater systems (QFF, sub. DR161, p. 4; Addison, sub. DR132). And they noted that if information on interception is collected, it </w:t>
      </w:r>
      <w:r w:rsidRPr="00E57E58">
        <w:t>is not being shared with the public</w:t>
      </w:r>
      <w:r>
        <w:t xml:space="preserve"> (MDBA, sub. 23, p. 5; IWF, sub. 30, p. 9; LBA, sub. 70, p. 4).</w:t>
      </w:r>
    </w:p>
    <w:p w14:paraId="182427AD" w14:textId="26C423DA" w:rsidR="001054C3" w:rsidRDefault="001054C3" w:rsidP="00234FBE">
      <w:pPr>
        <w:pStyle w:val="BodyText"/>
      </w:pPr>
      <w:r>
        <w:lastRenderedPageBreak/>
        <w:t xml:space="preserve">While information gaps can hamstring managers, collecting, processing and analysing data can entail significant costs. For example, it has taken </w:t>
      </w:r>
      <w:r w:rsidRPr="00EA7D8D">
        <w:t xml:space="preserve">many years and more than $37 million to </w:t>
      </w:r>
      <w:r>
        <w:t>develop the databases and models</w:t>
      </w:r>
      <w:r w:rsidRPr="00EA7D8D">
        <w:t xml:space="preserve"> </w:t>
      </w:r>
      <w:r>
        <w:t xml:space="preserve">needed </w:t>
      </w:r>
      <w:r w:rsidRPr="00EA7D8D">
        <w:t xml:space="preserve">to regulate floodplain harvesting in </w:t>
      </w:r>
      <w:r>
        <w:t xml:space="preserve">New South Wales </w:t>
      </w:r>
      <w:r w:rsidR="00C67DB3" w:rsidRPr="00C67DB3">
        <w:rPr>
          <w:szCs w:val="24"/>
        </w:rPr>
        <w:t>(DPIE (NSW) 2019b, p. 1)</w:t>
      </w:r>
      <w:r>
        <w:t>.</w:t>
      </w:r>
    </w:p>
    <w:p w14:paraId="3E12DB49" w14:textId="77777777" w:rsidR="001054C3" w:rsidRPr="00431D61" w:rsidRDefault="001054C3" w:rsidP="00234FBE">
      <w:pPr>
        <w:pStyle w:val="BodyText"/>
        <w:rPr>
          <w:spacing w:val="-2"/>
        </w:rPr>
      </w:pPr>
      <w:r w:rsidRPr="00431D61">
        <w:rPr>
          <w:spacing w:val="-2"/>
        </w:rPr>
        <w:t>A risk</w:t>
      </w:r>
      <w:r w:rsidRPr="00431D61">
        <w:rPr>
          <w:spacing w:val="-2"/>
        </w:rPr>
        <w:noBreakHyphen/>
        <w:t>based approach should be employed in weighing up the costs and benefits of meeting information needs. For example, in water systems that are fully developed, the costs of inadequate information (and the risks of mismanagement) are likely to be higher than in water systems that are less developed. In the former systems, the benefits of collecting adequate information are likely to outweigh the associated costs. Information and data collections necessary for effective water system management should include information about how much water is in a system, where it is, how much is extracted (including by interception activities), how much is carryover and who gets what and when. Mackay Conservation Group also made the point that in developing systems, data and knowledge gaps should be filled to ensure these systems do not become overallocated (sub. DR150, p. 3).</w:t>
      </w:r>
    </w:p>
    <w:p w14:paraId="74734546" w14:textId="77777777" w:rsidR="001054C3" w:rsidRDefault="001054C3" w:rsidP="00234FBE">
      <w:pPr>
        <w:pStyle w:val="Heading3"/>
      </w:pPr>
      <w:r>
        <w:t>Effective communication and sharing of information</w:t>
      </w:r>
    </w:p>
    <w:p w14:paraId="053592C2" w14:textId="77777777" w:rsidR="001054C3" w:rsidRPr="004B5C49" w:rsidRDefault="001054C3" w:rsidP="00234FBE">
      <w:pPr>
        <w:pStyle w:val="BodyText"/>
        <w:rPr>
          <w:spacing w:val="2"/>
        </w:rPr>
      </w:pPr>
      <w:r w:rsidRPr="004B5C49">
        <w:rPr>
          <w:spacing w:val="2"/>
        </w:rPr>
        <w:t>While water system managers need to collect the right data to inform their operations, simply collecting data is not enough to assure the broader community that managers are doing a good job.</w:t>
      </w:r>
    </w:p>
    <w:p w14:paraId="734BC78F" w14:textId="77777777" w:rsidR="001054C3" w:rsidRDefault="001054C3" w:rsidP="00234FBE">
      <w:pPr>
        <w:pStyle w:val="Quote"/>
      </w:pPr>
      <w:r>
        <w:t>[A] great deal of mistrust in governments and between stakeholders could be avoided if more information was made publicly available (and in an accessible format). (EDO, sub. 54, p. 9)</w:t>
      </w:r>
    </w:p>
    <w:p w14:paraId="3D33A3CC" w14:textId="505FA090" w:rsidR="001054C3" w:rsidRDefault="001054C3" w:rsidP="00234FBE">
      <w:pPr>
        <w:pStyle w:val="BodyText"/>
      </w:pPr>
      <w:r>
        <w:t xml:space="preserve">The Northern Basin Commissioner’s first year report highlighted the contribution of the integrity of political/stakeholder/policy engagement to a culture of mistrust </w:t>
      </w:r>
      <w:r w:rsidRPr="00FD5BC0">
        <w:rPr>
          <w:szCs w:val="24"/>
        </w:rPr>
        <w:t>(Keelty 2019, p. 21)</w:t>
      </w:r>
      <w:r>
        <w:t>. Stakeholders had reported to the Commissioner ‘</w:t>
      </w:r>
      <w:r w:rsidRPr="00F160A6">
        <w:t>the difficulty and frustration in obtaining clear and concise information relating to water management’</w:t>
      </w:r>
      <w:r>
        <w:t xml:space="preserve"> </w:t>
      </w:r>
      <w:r w:rsidRPr="009A14DC">
        <w:rPr>
          <w:szCs w:val="24"/>
        </w:rPr>
        <w:t>(Keelty 2019, p. 5)</w:t>
      </w:r>
      <w:r>
        <w:t xml:space="preserve">. The report found that it would be useful both at a system and aggregate level to provide information on how much water is in a system and the purposes it is used for to communicate the ‘state of play’ </w:t>
      </w:r>
      <w:r w:rsidRPr="001127F9">
        <w:rPr>
          <w:szCs w:val="24"/>
        </w:rPr>
        <w:t>(Keelty 2019, p. 24)</w:t>
      </w:r>
      <w:r>
        <w:t>. Similar findings were made the following year when the Interim</w:t>
      </w:r>
      <w:r>
        <w:noBreakHyphen/>
        <w:t xml:space="preserve">Inspector General for the MDB identified that problems occurred where </w:t>
      </w:r>
      <w:r w:rsidRPr="002F72AE">
        <w:t xml:space="preserve">‘the specific information that individuals are seeking </w:t>
      </w:r>
      <w:r>
        <w:t>—</w:t>
      </w:r>
      <w:r w:rsidRPr="002F72AE">
        <w:t xml:space="preserve"> such as being able to identify who owns water in a storage or at a point in the system </w:t>
      </w:r>
      <w:r>
        <w:t>—</w:t>
      </w:r>
      <w:r w:rsidRPr="002F72AE">
        <w:t xml:space="preserve"> is not available’</w:t>
      </w:r>
      <w:r>
        <w:t xml:space="preserve"> </w:t>
      </w:r>
      <w:r w:rsidRPr="002F72AE">
        <w:rPr>
          <w:szCs w:val="24"/>
        </w:rPr>
        <w:t>(IIGMDB 2020, p. 40)</w:t>
      </w:r>
      <w:r>
        <w:t xml:space="preserve">. </w:t>
      </w:r>
    </w:p>
    <w:p w14:paraId="011FA3DA" w14:textId="7EF58F03" w:rsidR="001054C3" w:rsidRPr="004B5C49" w:rsidRDefault="001054C3" w:rsidP="00234FBE">
      <w:pPr>
        <w:pStyle w:val="BodyText"/>
        <w:rPr>
          <w:spacing w:val="-4"/>
        </w:rPr>
      </w:pPr>
      <w:r w:rsidRPr="004B5C49">
        <w:rPr>
          <w:spacing w:val="-4"/>
        </w:rPr>
        <w:t xml:space="preserve">Water system managers provide a large amount of information through reports and websites — however, there are concerns that important and relevant information is not always made publicly available (IWF, sub. 30, p. 9; EDO, sub. 54, pp. 9–11). Where information is provided, it can be difficult to access, navigate and understand </w:t>
      </w:r>
      <w:r w:rsidRPr="00D41A0A">
        <w:rPr>
          <w:szCs w:val="24"/>
        </w:rPr>
        <w:t>(IIGMDB 2020, p. 25,29)</w:t>
      </w:r>
      <w:r w:rsidRPr="004B5C49">
        <w:rPr>
          <w:spacing w:val="-4"/>
        </w:rPr>
        <w:t xml:space="preserve">. Inconsistencies across sources is a further problem. This is largely an issue in the MDB where a number of agencies are responsible for management and river operations </w:t>
      </w:r>
      <w:r w:rsidRPr="00C50C37">
        <w:rPr>
          <w:szCs w:val="24"/>
        </w:rPr>
        <w:t>(IIGMDB 2020, p. 40)</w:t>
      </w:r>
      <w:r w:rsidRPr="004B5C49">
        <w:rPr>
          <w:spacing w:val="-4"/>
        </w:rPr>
        <w:t xml:space="preserve">. Information related to a specific water system needs to be </w:t>
      </w:r>
      <w:r>
        <w:rPr>
          <w:spacing w:val="-4"/>
        </w:rPr>
        <w:t xml:space="preserve">publicly </w:t>
      </w:r>
      <w:r w:rsidRPr="004B5C49">
        <w:rPr>
          <w:spacing w:val="-4"/>
        </w:rPr>
        <w:t xml:space="preserve">available and easily accessible in one location. </w:t>
      </w:r>
      <w:r>
        <w:rPr>
          <w:spacing w:val="-4"/>
        </w:rPr>
        <w:t>W</w:t>
      </w:r>
      <w:r w:rsidRPr="004B5C49">
        <w:rPr>
          <w:spacing w:val="-4"/>
        </w:rPr>
        <w:t xml:space="preserve">ater system managers should be responsible for </w:t>
      </w:r>
      <w:r>
        <w:rPr>
          <w:spacing w:val="-4"/>
        </w:rPr>
        <w:t>effectively communicating this information and ensuring its accessibility</w:t>
      </w:r>
      <w:r w:rsidRPr="004B5C49">
        <w:rPr>
          <w:spacing w:val="-4"/>
        </w:rPr>
        <w:t xml:space="preserve">. In the case of the MDB, greater collaboration between </w:t>
      </w:r>
      <w:r w:rsidRPr="004B5C49">
        <w:rPr>
          <w:spacing w:val="-4"/>
        </w:rPr>
        <w:lastRenderedPageBreak/>
        <w:t xml:space="preserve">system managers is needed to ensure that data and </w:t>
      </w:r>
      <w:r>
        <w:rPr>
          <w:spacing w:val="-4"/>
        </w:rPr>
        <w:t xml:space="preserve">the </w:t>
      </w:r>
      <w:r w:rsidRPr="004B5C49">
        <w:rPr>
          <w:spacing w:val="-4"/>
        </w:rPr>
        <w:t xml:space="preserve">language </w:t>
      </w:r>
      <w:r>
        <w:rPr>
          <w:spacing w:val="-4"/>
        </w:rPr>
        <w:t xml:space="preserve">used to describe aspects of a system </w:t>
      </w:r>
      <w:r w:rsidRPr="004B5C49">
        <w:rPr>
          <w:spacing w:val="-4"/>
        </w:rPr>
        <w:t>are consistent, and that information is accessible from a single website.</w:t>
      </w:r>
    </w:p>
    <w:p w14:paraId="35DD9466" w14:textId="77777777" w:rsidR="001054C3" w:rsidRDefault="001054C3" w:rsidP="00234FBE">
      <w:pPr>
        <w:pStyle w:val="Heading3"/>
      </w:pPr>
      <w:r>
        <w:t>Quality assurance to enhance the credibility of information</w:t>
      </w:r>
    </w:p>
    <w:p w14:paraId="1092DB5C" w14:textId="77777777" w:rsidR="001054C3" w:rsidRDefault="001054C3" w:rsidP="00234FBE">
      <w:pPr>
        <w:pStyle w:val="BodyText"/>
      </w:pPr>
      <w:r w:rsidRPr="001821A5">
        <w:t>Water information is most trusted and valued when it</w:t>
      </w:r>
      <w:r>
        <w:t xml:space="preserve"> i</w:t>
      </w:r>
      <w:r w:rsidRPr="001821A5">
        <w:t>s quality assured.</w:t>
      </w:r>
      <w:r>
        <w:t xml:space="preserve"> Credibility of the information is critical for public confidence as ‘[e]</w:t>
      </w:r>
      <w:r w:rsidRPr="00292224">
        <w:t>ven when information is provided, there is a lack of trust in the agency providing the information</w:t>
      </w:r>
      <w:r>
        <w:t>’ (MDBA, sub. 23, p. 14).</w:t>
      </w:r>
    </w:p>
    <w:p w14:paraId="6CF6103E" w14:textId="77777777" w:rsidR="001054C3" w:rsidRDefault="001054C3" w:rsidP="00234FBE">
      <w:pPr>
        <w:pStyle w:val="BodyText"/>
      </w:pPr>
      <w:r w:rsidRPr="004E2419">
        <w:t>This issue particularly applies to water information generated through modelling. Although model estimates are always approximate, work is needed to promote trust and confidence in the underlying work, particularly because a significant amount of water cannot be directly measured. To build credibility, w</w:t>
      </w:r>
      <w:r>
        <w:t>ater system managers need to ensure their models are: regularly tested; evaluated and updated to support ongoing improvement; peer reviewed; and in shared systems, accredited.</w:t>
      </w:r>
    </w:p>
    <w:p w14:paraId="36DA00BA" w14:textId="77777777" w:rsidR="001054C3" w:rsidRPr="006176B8" w:rsidRDefault="001054C3" w:rsidP="00234FBE">
      <w:pPr>
        <w:pStyle w:val="BodyText"/>
        <w:tabs>
          <w:tab w:val="left" w:pos="2674"/>
        </w:tabs>
      </w:pPr>
      <w:r>
        <w:t>Currently, there are no national guidelines that classify water data quality or support improvements in water data and information quality. Nor are there formal quality assurance procedures for water data. A risk</w:t>
      </w:r>
      <w:r>
        <w:noBreakHyphen/>
        <w:t>based approach should be adopted to weigh up the costs and benefits of verifying water information (chapter 5). Information, including models, water accounts and other data sources that are compiled for fully developed and regulated water systems, should undergo quality assurance processes to enhance its credibility. This should include independent auditing. In renegotiating the NWI, jurisdictions should agree to have formal quality assurance processes in place for information collected and used by water system managers at the system level. There could be merit in a standardised national approach for determining and reporting data quality for key types of water information.</w:t>
      </w:r>
    </w:p>
    <w:p w14:paraId="645AB01E" w14:textId="77777777" w:rsidR="001054C3" w:rsidRDefault="001054C3" w:rsidP="00234FBE">
      <w:pPr>
        <w:pStyle w:val="Heading3"/>
      </w:pPr>
      <w:r w:rsidRPr="009B74FF">
        <w:t>Transparency to hold water system managers to account</w:t>
      </w:r>
    </w:p>
    <w:p w14:paraId="062352DB" w14:textId="77777777" w:rsidR="001054C3" w:rsidRDefault="001054C3" w:rsidP="00234FBE">
      <w:pPr>
        <w:pStyle w:val="BodyText"/>
        <w:tabs>
          <w:tab w:val="left" w:pos="2674"/>
        </w:tabs>
      </w:pPr>
      <w:r>
        <w:t>Given the potential impacts of water system managers’ decisions on water users and the broader community, processes need to be in place to hold them accountable.</w:t>
      </w:r>
    </w:p>
    <w:p w14:paraId="142E5AE0" w14:textId="77777777" w:rsidR="001054C3" w:rsidRDefault="001054C3" w:rsidP="00234FBE">
      <w:pPr>
        <w:pStyle w:val="BodyText"/>
        <w:tabs>
          <w:tab w:val="left" w:pos="2674"/>
        </w:tabs>
      </w:pPr>
      <w:r>
        <w:t>First, appropriate governance arrangements (which outline processes for decision making and implementation) are needed. A comprehensive review of governance arrangements for all system managers is beyond the scope of this inquiry, but the Commission has not heard evidence suggesting concerns about the arrangements that are in place.</w:t>
      </w:r>
    </w:p>
    <w:p w14:paraId="51610982" w14:textId="0F4A7E46" w:rsidR="001054C3" w:rsidRDefault="001054C3" w:rsidP="00234FBE">
      <w:pPr>
        <w:pStyle w:val="BodyText"/>
        <w:tabs>
          <w:tab w:val="left" w:pos="2674"/>
        </w:tabs>
      </w:pPr>
      <w:r>
        <w:t>Second, water system managers need to publish sufficient information about how they make operating decisions. However, there are concerns that this is not happening. For example, Steinfeld et al. </w:t>
      </w:r>
      <w:r w:rsidRPr="0069641E">
        <w:rPr>
          <w:szCs w:val="24"/>
        </w:rPr>
        <w:t>(2020, p. 11)</w:t>
      </w:r>
      <w:r>
        <w:t xml:space="preserve"> found that some management rules were omitted from agency reports, and that public records regarding resource assessment processes, how allocation decisions were made, and justification of management rules were not available. Further, there may be a lack of transparency around the performance of water system managers. For example, while independent annual assessments of the MDBA’s performance in managing </w:t>
      </w:r>
      <w:r>
        <w:lastRenderedPageBreak/>
        <w:t xml:space="preserve">the River Murray system are undertaken, only the most recent assessment is publicly available </w:t>
      </w:r>
      <w:r w:rsidRPr="00EB1B1B">
        <w:rPr>
          <w:szCs w:val="24"/>
        </w:rPr>
        <w:t>(IRORG 2020, p. vi)</w:t>
      </w:r>
      <w:r>
        <w:t>. Making independent audit reports publicly available would promote accountability and improve transparency.</w:t>
      </w:r>
    </w:p>
    <w:p w14:paraId="12B69AAB" w14:textId="61F36FFB" w:rsidR="001054C3" w:rsidRDefault="001054C3" w:rsidP="00234FBE">
      <w:pPr>
        <w:pStyle w:val="BodyText"/>
      </w:pPr>
      <w:r>
        <w:t xml:space="preserve">Finally, system managers need to be responsive to public concerns and engage with stakeholders to improve information provision. Those that do not respond, or respond slowly, to community concerns may contribute to diminished transparency and increased uncertainty, misperceptions or misappropriation of information — which is what has been observed in the MDB </w:t>
      </w:r>
      <w:r w:rsidRPr="001452FD">
        <w:rPr>
          <w:szCs w:val="24"/>
        </w:rPr>
        <w:t>(IIGMDB 2020, p. 38)</w:t>
      </w:r>
      <w:r>
        <w:t>. Engagement with stakeholders would help system managers determine if available information adequately demonstrates to the public that water systems are being managed to best effect.</w:t>
      </w:r>
    </w:p>
    <w:p w14:paraId="02584ED1"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7B5F3F" w14:paraId="26099743" w14:textId="77777777" w:rsidTr="00234FBE">
        <w:trPr>
          <w:tblHeader/>
        </w:trPr>
        <w:tc>
          <w:tcPr>
            <w:tcW w:w="5000" w:type="pct"/>
            <w:tcBorders>
              <w:top w:val="single" w:sz="6" w:space="0" w:color="0070C0"/>
              <w:left w:val="nil"/>
              <w:bottom w:val="nil"/>
              <w:right w:val="nil"/>
            </w:tcBorders>
            <w:shd w:val="clear" w:color="auto" w:fill="CBDDF2"/>
            <w:tcMar>
              <w:left w:w="170" w:type="dxa"/>
              <w:right w:w="170" w:type="dxa"/>
            </w:tcMar>
          </w:tcPr>
          <w:p w14:paraId="10D4605A" w14:textId="77777777" w:rsidR="001054C3" w:rsidRPr="004B5C49" w:rsidRDefault="001054C3" w:rsidP="00234FBE">
            <w:pPr>
              <w:keepNext/>
              <w:keepLines/>
              <w:spacing w:before="120" w:line="280" w:lineRule="atLeast"/>
              <w:jc w:val="both"/>
              <w:rPr>
                <w:rFonts w:ascii="Arial" w:hAnsi="Arial"/>
                <w:spacing w:val="-2"/>
                <w:sz w:val="22"/>
                <w:szCs w:val="20"/>
              </w:rPr>
            </w:pPr>
            <w:r w:rsidRPr="004B5C49">
              <w:rPr>
                <w:rFonts w:ascii="Arial" w:hAnsi="Arial"/>
                <w:caps/>
                <w:spacing w:val="-2"/>
                <w:sz w:val="18"/>
                <w:szCs w:val="20"/>
              </w:rPr>
              <w:t>NWI RENewal advice 10.3: ensuring the integrity of water system management</w:t>
            </w:r>
          </w:p>
          <w:p w14:paraId="3E81078F" w14:textId="77777777" w:rsidR="001054C3" w:rsidRPr="00F47B99" w:rsidRDefault="001054C3" w:rsidP="00234FBE">
            <w:pPr>
              <w:pStyle w:val="Rec"/>
            </w:pPr>
            <w:r w:rsidRPr="00F47B99">
              <w:t xml:space="preserve">To ensure the integrity of water resource management, a renewed </w:t>
            </w:r>
            <w:r>
              <w:t>National Water Initiative</w:t>
            </w:r>
            <w:r w:rsidRPr="00F47B99">
              <w:t xml:space="preserve"> </w:t>
            </w:r>
            <w:r>
              <w:t>would need to</w:t>
            </w:r>
            <w:r w:rsidRPr="00F47B99">
              <w:t xml:space="preserve"> require water system managers to:</w:t>
            </w:r>
          </w:p>
          <w:p w14:paraId="770BBF87" w14:textId="77777777" w:rsidR="001054C3" w:rsidRPr="007B5F3F" w:rsidRDefault="001054C3" w:rsidP="00234FBE">
            <w:pPr>
              <w:pStyle w:val="RecBullet"/>
            </w:pPr>
            <w:r>
              <w:t xml:space="preserve">adopt a </w:t>
            </w:r>
            <w:r w:rsidRPr="007B5F3F">
              <w:t>risk</w:t>
            </w:r>
            <w:r>
              <w:noBreakHyphen/>
            </w:r>
            <w:r w:rsidRPr="007B5F3F">
              <w:t xml:space="preserve">based approach to developing and maintaining information and data collections necessary for </w:t>
            </w:r>
            <w:r>
              <w:t xml:space="preserve">effective </w:t>
            </w:r>
            <w:r w:rsidRPr="007B5F3F">
              <w:t>water system management</w:t>
            </w:r>
            <w:r>
              <w:t>. These collections should</w:t>
            </w:r>
            <w:r w:rsidRPr="007B5F3F">
              <w:t xml:space="preserve"> includ</w:t>
            </w:r>
            <w:r>
              <w:t>e</w:t>
            </w:r>
            <w:r w:rsidRPr="007B5F3F">
              <w:t xml:space="preserve"> </w:t>
            </w:r>
            <w:r>
              <w:t xml:space="preserve">information about </w:t>
            </w:r>
            <w:r w:rsidRPr="007B5F3F">
              <w:t xml:space="preserve">how much water is in a system, where it is, how much is </w:t>
            </w:r>
            <w:r>
              <w:t xml:space="preserve">extracted (including by interception activities), </w:t>
            </w:r>
            <w:r w:rsidRPr="007B5F3F">
              <w:t>how much is carryover</w:t>
            </w:r>
            <w:r>
              <w:t xml:space="preserve">, </w:t>
            </w:r>
            <w:r w:rsidRPr="007B5F3F">
              <w:t>and who gets what and when</w:t>
            </w:r>
          </w:p>
          <w:p w14:paraId="18BFA24B" w14:textId="77777777" w:rsidR="001054C3" w:rsidRPr="007B5F3F" w:rsidRDefault="001054C3" w:rsidP="00234FBE">
            <w:pPr>
              <w:pStyle w:val="RecBullet"/>
            </w:pPr>
            <w:r>
              <w:t xml:space="preserve">ensure that </w:t>
            </w:r>
            <w:r w:rsidRPr="007B5F3F">
              <w:t>information and data sources are publicly available</w:t>
            </w:r>
            <w:r>
              <w:t>,</w:t>
            </w:r>
            <w:r w:rsidRPr="007B5F3F">
              <w:t xml:space="preserve"> and </w:t>
            </w:r>
            <w:r>
              <w:t>information is</w:t>
            </w:r>
            <w:r w:rsidRPr="007B5F3F">
              <w:t xml:space="preserve"> accessible and effectively communicated</w:t>
            </w:r>
            <w:r>
              <w:t>. Where multiple agencies are responsible for a system’s management, collaboration is needed to ensure that data and the language used for reporting are consistent and that information is accessible from a single online source</w:t>
            </w:r>
          </w:p>
          <w:p w14:paraId="0AC1E1A7" w14:textId="77777777" w:rsidR="001054C3" w:rsidRDefault="001054C3" w:rsidP="00234FBE">
            <w:pPr>
              <w:pStyle w:val="RecBullet"/>
            </w:pPr>
            <w:r>
              <w:t xml:space="preserve">implement </w:t>
            </w:r>
            <w:r w:rsidRPr="007B5F3F">
              <w:t xml:space="preserve">quality assurance processes for information and data sources to </w:t>
            </w:r>
            <w:r>
              <w:t>enhance</w:t>
            </w:r>
            <w:r w:rsidRPr="007B5F3F">
              <w:t xml:space="preserve"> the credibility of information</w:t>
            </w:r>
            <w:r>
              <w:t>, including independent audits for fully developed and regulated systems</w:t>
            </w:r>
          </w:p>
          <w:p w14:paraId="4AFA854E" w14:textId="77777777" w:rsidR="001054C3" w:rsidRDefault="001054C3" w:rsidP="00234FBE">
            <w:pPr>
              <w:pStyle w:val="RecBullet"/>
            </w:pPr>
            <w:r>
              <w:t>ensure information about their decisions, operations and performance is transparent and that public concerns and information requests are responded to expediently</w:t>
            </w:r>
            <w:r w:rsidRPr="007B5F3F">
              <w:t>.</w:t>
            </w:r>
          </w:p>
          <w:p w14:paraId="07D8DFAD" w14:textId="77777777" w:rsidR="001054C3" w:rsidRPr="007B5F3F" w:rsidRDefault="001054C3" w:rsidP="00234FBE">
            <w:pPr>
              <w:pStyle w:val="Rec"/>
            </w:pPr>
            <w:r>
              <w:t>S</w:t>
            </w:r>
            <w:r w:rsidRPr="00F47B99">
              <w:t>takeholder</w:t>
            </w:r>
            <w:r>
              <w:t xml:space="preserve"> engagement would</w:t>
            </w:r>
            <w:r w:rsidRPr="00F47B99">
              <w:t xml:space="preserve"> improve information provision and </w:t>
            </w:r>
            <w:r>
              <w:t xml:space="preserve">help system managers </w:t>
            </w:r>
            <w:r w:rsidRPr="00F47B99">
              <w:t>determine if available information adequately demonstrates to the public that water systems are being managed to best effect.</w:t>
            </w:r>
          </w:p>
        </w:tc>
      </w:tr>
      <w:tr w:rsidR="001054C3" w:rsidRPr="007B5F3F" w14:paraId="709E77A4" w14:textId="77777777" w:rsidTr="00234FBE">
        <w:tc>
          <w:tcPr>
            <w:tcW w:w="5000" w:type="pct"/>
            <w:tcBorders>
              <w:top w:val="nil"/>
              <w:left w:val="nil"/>
              <w:bottom w:val="single" w:sz="6" w:space="0" w:color="0070C0"/>
              <w:right w:val="nil"/>
            </w:tcBorders>
            <w:shd w:val="clear" w:color="auto" w:fill="CBDDF2"/>
            <w:tcMar>
              <w:left w:w="170" w:type="dxa"/>
              <w:right w:w="170" w:type="dxa"/>
            </w:tcMar>
          </w:tcPr>
          <w:p w14:paraId="58FCADA5" w14:textId="77777777" w:rsidR="001054C3" w:rsidRPr="007B5F3F" w:rsidRDefault="001054C3" w:rsidP="00234FBE">
            <w:pPr>
              <w:keepNext/>
              <w:keepLines/>
              <w:spacing w:line="120" w:lineRule="exact"/>
              <w:jc w:val="both"/>
              <w:rPr>
                <w:rFonts w:ascii="Arial" w:hAnsi="Arial"/>
                <w:sz w:val="20"/>
                <w:szCs w:val="20"/>
              </w:rPr>
            </w:pPr>
          </w:p>
        </w:tc>
      </w:tr>
      <w:tr w:rsidR="001054C3" w:rsidRPr="007B5F3F" w14:paraId="3FA19820" w14:textId="77777777" w:rsidTr="00234FBE">
        <w:tc>
          <w:tcPr>
            <w:tcW w:w="5000" w:type="pct"/>
            <w:tcBorders>
              <w:top w:val="single" w:sz="6" w:space="0" w:color="0070C0"/>
              <w:left w:val="nil"/>
              <w:bottom w:val="nil"/>
              <w:right w:val="nil"/>
            </w:tcBorders>
            <w:tcMar>
              <w:left w:w="170" w:type="dxa"/>
              <w:right w:w="170" w:type="dxa"/>
            </w:tcMar>
          </w:tcPr>
          <w:p w14:paraId="0A60D394" w14:textId="77777777" w:rsidR="001054C3" w:rsidRPr="007B5F3F" w:rsidRDefault="001054C3" w:rsidP="00234FBE">
            <w:pPr>
              <w:keepLines/>
              <w:spacing w:before="60" w:after="60" w:line="80" w:lineRule="exact"/>
              <w:jc w:val="both"/>
              <w:rPr>
                <w:rFonts w:ascii="Arial" w:hAnsi="Arial"/>
                <w:sz w:val="14"/>
                <w:szCs w:val="20"/>
              </w:rPr>
            </w:pPr>
          </w:p>
        </w:tc>
      </w:tr>
    </w:tbl>
    <w:p w14:paraId="3555E8C7" w14:textId="77777777" w:rsidR="001054C3" w:rsidRDefault="001054C3" w:rsidP="00234FBE">
      <w:pPr>
        <w:pStyle w:val="Heading2"/>
      </w:pPr>
      <w:bookmarkStart w:id="148" w:name="_Toc63112490"/>
      <w:bookmarkStart w:id="149" w:name="_Toc72939529"/>
      <w:r>
        <w:lastRenderedPageBreak/>
        <w:t>10.</w:t>
      </w:r>
      <w:r>
        <w:rPr>
          <w:noProof/>
        </w:rPr>
        <w:t>5</w:t>
      </w:r>
      <w:r>
        <w:tab/>
      </w:r>
      <w:r w:rsidRPr="005912B7">
        <w:rPr>
          <w:spacing w:val="-2"/>
        </w:rPr>
        <w:t>Building understanding of the broader water context</w:t>
      </w:r>
      <w:bookmarkEnd w:id="148"/>
      <w:bookmarkEnd w:id="149"/>
    </w:p>
    <w:p w14:paraId="3BCFFC60" w14:textId="77777777" w:rsidR="001054C3" w:rsidRDefault="001054C3" w:rsidP="00234FBE">
      <w:pPr>
        <w:pStyle w:val="Heading3"/>
        <w:spacing w:before="280"/>
      </w:pPr>
      <w:r>
        <w:t>Information that meets the needs of water users and communities</w:t>
      </w:r>
    </w:p>
    <w:p w14:paraId="3511BFCC" w14:textId="77777777" w:rsidR="001054C3" w:rsidRPr="008576A0" w:rsidRDefault="001054C3" w:rsidP="00234FBE">
      <w:pPr>
        <w:pStyle w:val="BodyText"/>
        <w:keepNext/>
      </w:pPr>
      <w:r>
        <w:t xml:space="preserve">Inquiry participants raised concerns that information on the broader water context does not meet the needs of water users and communities. </w:t>
      </w:r>
      <w:r w:rsidRPr="008576A0">
        <w:t>For example, the MDBA noted that:</w:t>
      </w:r>
    </w:p>
    <w:p w14:paraId="04F7D58C" w14:textId="77777777" w:rsidR="001054C3" w:rsidRDefault="001054C3" w:rsidP="00234FBE">
      <w:pPr>
        <w:pStyle w:val="Quote"/>
      </w:pPr>
      <w:r>
        <w:t xml:space="preserve">… </w:t>
      </w:r>
      <w:r w:rsidRPr="00F2638F">
        <w:t xml:space="preserve">there is a need for governments to reconsider the way information is shared. The focus must shift from providing more information about </w:t>
      </w:r>
      <w:r>
        <w:t>“</w:t>
      </w:r>
      <w:r w:rsidRPr="00F2638F">
        <w:t>what Governments are doing</w:t>
      </w:r>
      <w:r>
        <w:t>”</w:t>
      </w:r>
      <w:r w:rsidRPr="00F2638F">
        <w:t xml:space="preserve"> to providing better information addressing </w:t>
      </w:r>
      <w:r>
        <w:t>“</w:t>
      </w:r>
      <w:r w:rsidRPr="00F2638F">
        <w:t>what water users need</w:t>
      </w:r>
      <w:r>
        <w:t>”</w:t>
      </w:r>
      <w:r w:rsidRPr="00F2638F">
        <w:t xml:space="preserve"> to navigate the system, run their businesses and have confidence in management arrangements. </w:t>
      </w:r>
      <w:r>
        <w:t>(sub. 23, p. 12)</w:t>
      </w:r>
    </w:p>
    <w:p w14:paraId="32C80692" w14:textId="77777777" w:rsidR="001054C3" w:rsidRPr="004B5C49" w:rsidRDefault="001054C3" w:rsidP="00234FBE">
      <w:pPr>
        <w:pStyle w:val="BodyText"/>
        <w:rPr>
          <w:spacing w:val="-4"/>
        </w:rPr>
      </w:pPr>
      <w:r w:rsidRPr="004B5C49">
        <w:rPr>
          <w:spacing w:val="-4"/>
        </w:rPr>
        <w:t>System water accounts (that provide information related to a specific system) and national water accounts (information made available at a national scale) received particular comment. For example, with respect to system accounts, public access to water</w:t>
      </w:r>
      <w:r w:rsidRPr="004B5C49">
        <w:rPr>
          <w:spacing w:val="-4"/>
        </w:rPr>
        <w:noBreakHyphen/>
        <w:t>related information (including for licensing and allocation details, applications and approvals for trades and statutory permits) is lacking or non</w:t>
      </w:r>
      <w:r w:rsidRPr="004B5C49">
        <w:rPr>
          <w:spacing w:val="-4"/>
        </w:rPr>
        <w:noBreakHyphen/>
        <w:t>existent in some jurisdictions (EDO, sub. 54, p. 9). This makes it difficult to scrutinise approvals and assess their lawfulness. And stakeholder engagement continues to find that the needs of water users, communities and the broader public are not being met (MDBA, sub. 23, p. 12). Water system managers need to engage with water users and communities to ensure that system accounts are relevant and useful (chapter 1</w:t>
      </w:r>
      <w:r>
        <w:rPr>
          <w:spacing w:val="-4"/>
        </w:rPr>
        <w:t>5</w:t>
      </w:r>
      <w:r w:rsidRPr="004B5C49">
        <w:rPr>
          <w:spacing w:val="-4"/>
        </w:rPr>
        <w:t>).</w:t>
      </w:r>
    </w:p>
    <w:p w14:paraId="3EB0D70C" w14:textId="51A49B38" w:rsidR="001054C3" w:rsidRPr="008E5CC3" w:rsidRDefault="001054C3" w:rsidP="00234FBE">
      <w:pPr>
        <w:pStyle w:val="BodyText"/>
      </w:pPr>
      <w:r>
        <w:t xml:space="preserve">And, </w:t>
      </w:r>
      <w:r w:rsidRPr="008576A0">
        <w:t>w</w:t>
      </w:r>
      <w:r>
        <w:t>hile national accounts are generally providing practical, credible and reliable information, largely without duplication of efforts by jurisdictions (</w:t>
      </w:r>
      <w:r w:rsidRPr="00384127">
        <w:rPr>
          <w:i/>
          <w:iCs/>
        </w:rPr>
        <w:t>Assessment</w:t>
      </w:r>
      <w:r>
        <w:t>: section 5.1), there is scope to improve them. For example, connectivity between surface water and groundwater systems is only accounted for in some areas and accounting of inter</w:t>
      </w:r>
      <w:r>
        <w:noBreakHyphen/>
        <w:t xml:space="preserve">connectivity is not typical </w:t>
      </w:r>
      <w:r w:rsidRPr="003A1516">
        <w:rPr>
          <w:szCs w:val="24"/>
        </w:rPr>
        <w:t>(Turner, Vanderbyl and Kumar 2019, pp. 22–23)</w:t>
      </w:r>
      <w:r>
        <w:t xml:space="preserve">. Campbell (sub. 60, p. 1) noted that the Bureau of Meteorology’s integrated groundwater data collection has lost value due to a declining monitoring network that provides the data. And </w:t>
      </w:r>
      <w:r w:rsidRPr="008E5CC3">
        <w:t xml:space="preserve">inquiry participants criticised gaps in the </w:t>
      </w:r>
      <w:r>
        <w:t xml:space="preserve">national </w:t>
      </w:r>
      <w:r w:rsidRPr="008E5CC3">
        <w:t>accounts and the lack of independent auditing (IWF, sub. 30, p. 8; EDO, sub. 54, p. 6; L</w:t>
      </w:r>
      <w:r>
        <w:t>BA</w:t>
      </w:r>
      <w:r w:rsidRPr="008E5CC3">
        <w:t xml:space="preserve">, sub. 70, attach. 1, p. 2). </w:t>
      </w:r>
      <w:r>
        <w:t>It was suggested that a</w:t>
      </w:r>
      <w:r w:rsidRPr="008E5CC3">
        <w:t xml:space="preserve"> national water audit would verify, check, evaluate and interpret catchment and basin</w:t>
      </w:r>
      <w:r w:rsidRPr="008E5CC3">
        <w:noBreakHyphen/>
        <w:t>wide water accounts (IWF, sub. </w:t>
      </w:r>
      <w:r>
        <w:t>30</w:t>
      </w:r>
      <w:r w:rsidRPr="008E5CC3">
        <w:t xml:space="preserve">, p. 11). </w:t>
      </w:r>
      <w:r>
        <w:t>NWI renewal advice 10.3 advocates a risk</w:t>
      </w:r>
      <w:r>
        <w:noBreakHyphen/>
        <w:t xml:space="preserve">based approach to both developing and maintaining water information and for quality assurance processes for water information at the system level. This would include independent audits for fully developed and regulated systems. Improvements to the scope of national water accounts produced by the Bureau of Meteorology and the ABS would require </w:t>
      </w:r>
      <w:r w:rsidRPr="008E5CC3">
        <w:t xml:space="preserve">a broader review with stakeholder </w:t>
      </w:r>
      <w:r>
        <w:t>engagement</w:t>
      </w:r>
      <w:r w:rsidRPr="008E5CC3">
        <w:t>.</w:t>
      </w:r>
    </w:p>
    <w:p w14:paraId="2136B031" w14:textId="77777777" w:rsidR="001054C3" w:rsidRPr="008E5CC3" w:rsidRDefault="001054C3" w:rsidP="00234FBE">
      <w:pPr>
        <w:pStyle w:val="BodyText"/>
      </w:pPr>
      <w:r w:rsidRPr="008E5CC3">
        <w:t xml:space="preserve">A renewed NWI should </w:t>
      </w:r>
      <w:r>
        <w:t>provide</w:t>
      </w:r>
      <w:r w:rsidRPr="008E5CC3">
        <w:t xml:space="preserve"> for information on the broader water context to be shared in an accessible, timely and user</w:t>
      </w:r>
      <w:r w:rsidRPr="008E5CC3">
        <w:noBreakHyphen/>
        <w:t>focused way and ensure it meets the needs of water users and communities. The information needs of water users and communities may change over time (MDBA, sub. 23, p. 12) — </w:t>
      </w:r>
      <w:r>
        <w:t>the scope of</w:t>
      </w:r>
      <w:r w:rsidRPr="008E5CC3" w:rsidDel="00FD2C28">
        <w:t xml:space="preserve"> </w:t>
      </w:r>
      <w:r w:rsidRPr="008E5CC3">
        <w:t>national water accounts will need to be periodically reviewed and updated accordingly.</w:t>
      </w:r>
    </w:p>
    <w:p w14:paraId="4A12108E"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7B5F3F" w14:paraId="473DF33D" w14:textId="77777777" w:rsidTr="00234FBE">
        <w:trPr>
          <w:tblHeader/>
        </w:trPr>
        <w:tc>
          <w:tcPr>
            <w:tcW w:w="5000" w:type="pct"/>
            <w:tcBorders>
              <w:top w:val="single" w:sz="6" w:space="0" w:color="0070C0"/>
              <w:left w:val="nil"/>
              <w:bottom w:val="nil"/>
              <w:right w:val="nil"/>
            </w:tcBorders>
            <w:shd w:val="clear" w:color="auto" w:fill="CBDDF2"/>
            <w:tcMar>
              <w:left w:w="170" w:type="dxa"/>
              <w:right w:w="170" w:type="dxa"/>
            </w:tcMar>
          </w:tcPr>
          <w:p w14:paraId="3211FFBD" w14:textId="77777777" w:rsidR="001054C3" w:rsidRPr="007B5F3F" w:rsidRDefault="001054C3" w:rsidP="00234FBE">
            <w:pPr>
              <w:keepNext/>
              <w:keepLines/>
              <w:spacing w:before="120" w:line="280" w:lineRule="atLeast"/>
              <w:jc w:val="both"/>
              <w:rPr>
                <w:rFonts w:ascii="Arial" w:hAnsi="Arial"/>
                <w:sz w:val="22"/>
                <w:szCs w:val="20"/>
              </w:rPr>
            </w:pPr>
            <w:r>
              <w:rPr>
                <w:rFonts w:ascii="Arial" w:hAnsi="Arial"/>
                <w:caps/>
                <w:sz w:val="18"/>
                <w:szCs w:val="20"/>
              </w:rPr>
              <w:t>NWI RENEWAL</w:t>
            </w:r>
            <w:r w:rsidRPr="007B5F3F">
              <w:rPr>
                <w:rFonts w:ascii="Arial" w:hAnsi="Arial"/>
                <w:caps/>
                <w:sz w:val="18"/>
                <w:szCs w:val="20"/>
              </w:rPr>
              <w:t xml:space="preserve"> advice</w:t>
            </w:r>
            <w:r>
              <w:rPr>
                <w:rFonts w:ascii="Arial" w:hAnsi="Arial"/>
                <w:caps/>
                <w:sz w:val="18"/>
                <w:szCs w:val="20"/>
              </w:rPr>
              <w:t xml:space="preserve"> 10.4:</w:t>
            </w:r>
            <w:r w:rsidRPr="007B5F3F">
              <w:rPr>
                <w:rFonts w:ascii="Arial" w:hAnsi="Arial"/>
                <w:caps/>
                <w:sz w:val="18"/>
                <w:szCs w:val="20"/>
              </w:rPr>
              <w:t xml:space="preserve"> </w:t>
            </w:r>
            <w:r>
              <w:rPr>
                <w:rFonts w:ascii="Arial" w:hAnsi="Arial"/>
                <w:caps/>
                <w:sz w:val="18"/>
                <w:szCs w:val="20"/>
              </w:rPr>
              <w:t>ensuring information on the broader water context aligns with users’ needs</w:t>
            </w:r>
          </w:p>
          <w:p w14:paraId="778CBB91" w14:textId="77777777" w:rsidR="001054C3" w:rsidRDefault="001054C3" w:rsidP="00234FBE">
            <w:pPr>
              <w:pStyle w:val="Rec"/>
            </w:pPr>
            <w:r>
              <w:t>In renegotiating a renewed National Water Initiative, jurisdictions should commit to providing information on the broader water context that meets the needs of system participants (including water planners, managers, users and communities).</w:t>
            </w:r>
          </w:p>
          <w:p w14:paraId="6D049592" w14:textId="77777777" w:rsidR="001054C3" w:rsidRDefault="001054C3" w:rsidP="00234FBE">
            <w:pPr>
              <w:pStyle w:val="Rec"/>
            </w:pPr>
            <w:r>
              <w:t>The scope of national water accounts should be reviewed. In undertaking these reviews, stakeholders must be engaged to ensure useful and meaningful information</w:t>
            </w:r>
            <w:r w:rsidRPr="003D730F">
              <w:t xml:space="preserve"> is </w:t>
            </w:r>
            <w:r>
              <w:t>reflected</w:t>
            </w:r>
            <w:r w:rsidRPr="003D730F">
              <w:t xml:space="preserve"> </w:t>
            </w:r>
            <w:r>
              <w:t>in accounts in the future.</w:t>
            </w:r>
          </w:p>
          <w:p w14:paraId="63EAF175" w14:textId="77777777" w:rsidR="001054C3" w:rsidRPr="007B5F3F" w:rsidRDefault="001054C3" w:rsidP="00234FBE">
            <w:pPr>
              <w:pStyle w:val="Rec"/>
            </w:pPr>
            <w:r w:rsidRPr="008461E3">
              <w:t xml:space="preserve">A renewed </w:t>
            </w:r>
            <w:r>
              <w:t>National Water Initiative</w:t>
            </w:r>
            <w:r w:rsidRPr="008461E3">
              <w:t xml:space="preserve"> </w:t>
            </w:r>
            <w:r w:rsidRPr="008461E3" w:rsidDel="003D730F">
              <w:t xml:space="preserve">should acknowledge the </w:t>
            </w:r>
            <w:r w:rsidRPr="008461E3">
              <w:t>utility</w:t>
            </w:r>
            <w:r w:rsidRPr="008461E3" w:rsidDel="003D730F">
              <w:t xml:space="preserve"> of national water accounts and require the</w:t>
            </w:r>
            <w:r w:rsidRPr="008461E3">
              <w:t>ir</w:t>
            </w:r>
            <w:r w:rsidRPr="008461E3" w:rsidDel="003D730F">
              <w:t xml:space="preserve"> regular publication </w:t>
            </w:r>
            <w:r w:rsidRPr="008461E3">
              <w:t xml:space="preserve">and </w:t>
            </w:r>
            <w:r w:rsidRPr="008461E3" w:rsidDel="003D730F">
              <w:t>avoid</w:t>
            </w:r>
            <w:r w:rsidRPr="008461E3">
              <w:t>ance of</w:t>
            </w:r>
            <w:r w:rsidRPr="008461E3" w:rsidDel="003D730F">
              <w:t xml:space="preserve"> unnecessary duplication of effort</w:t>
            </w:r>
            <w:r w:rsidRPr="008461E3">
              <w:t xml:space="preserve"> in their preparation</w:t>
            </w:r>
            <w:r w:rsidRPr="008461E3" w:rsidDel="003D730F">
              <w:t>.</w:t>
            </w:r>
          </w:p>
        </w:tc>
      </w:tr>
      <w:tr w:rsidR="001054C3" w:rsidRPr="007B5F3F" w14:paraId="301EF349" w14:textId="77777777" w:rsidTr="00234FBE">
        <w:tc>
          <w:tcPr>
            <w:tcW w:w="5000" w:type="pct"/>
            <w:tcBorders>
              <w:top w:val="nil"/>
              <w:left w:val="nil"/>
              <w:bottom w:val="single" w:sz="6" w:space="0" w:color="0070C0"/>
              <w:right w:val="nil"/>
            </w:tcBorders>
            <w:shd w:val="clear" w:color="auto" w:fill="CBDDF2"/>
            <w:tcMar>
              <w:left w:w="170" w:type="dxa"/>
              <w:right w:w="170" w:type="dxa"/>
            </w:tcMar>
          </w:tcPr>
          <w:p w14:paraId="2EA94DEB" w14:textId="77777777" w:rsidR="001054C3" w:rsidRPr="007B5F3F" w:rsidRDefault="001054C3" w:rsidP="00234FBE">
            <w:pPr>
              <w:keepNext/>
              <w:keepLines/>
              <w:spacing w:line="120" w:lineRule="exact"/>
              <w:jc w:val="both"/>
              <w:rPr>
                <w:rFonts w:ascii="Arial" w:hAnsi="Arial"/>
                <w:sz w:val="20"/>
                <w:szCs w:val="20"/>
              </w:rPr>
            </w:pPr>
          </w:p>
        </w:tc>
      </w:tr>
      <w:tr w:rsidR="001054C3" w:rsidRPr="007B5F3F" w14:paraId="64DCDCBA" w14:textId="77777777" w:rsidTr="00234FBE">
        <w:tc>
          <w:tcPr>
            <w:tcW w:w="5000" w:type="pct"/>
            <w:tcBorders>
              <w:top w:val="single" w:sz="6" w:space="0" w:color="0070C0"/>
              <w:left w:val="nil"/>
              <w:bottom w:val="nil"/>
              <w:right w:val="nil"/>
            </w:tcBorders>
            <w:tcMar>
              <w:left w:w="170" w:type="dxa"/>
              <w:right w:w="170" w:type="dxa"/>
            </w:tcMar>
          </w:tcPr>
          <w:p w14:paraId="2E67F2DD" w14:textId="77777777" w:rsidR="001054C3" w:rsidRPr="007B5F3F" w:rsidRDefault="001054C3" w:rsidP="00234FBE">
            <w:pPr>
              <w:keepLines/>
              <w:spacing w:before="60" w:after="60" w:line="80" w:lineRule="exact"/>
              <w:jc w:val="both"/>
              <w:rPr>
                <w:rFonts w:ascii="Arial" w:hAnsi="Arial"/>
                <w:sz w:val="14"/>
                <w:szCs w:val="20"/>
              </w:rPr>
            </w:pPr>
          </w:p>
        </w:tc>
      </w:tr>
    </w:tbl>
    <w:p w14:paraId="080CC09D" w14:textId="77777777" w:rsidR="001054C3" w:rsidRPr="008C2D40" w:rsidRDefault="001054C3" w:rsidP="00234FBE">
      <w:pPr>
        <w:spacing w:line="40" w:lineRule="exact"/>
        <w:rPr>
          <w:sz w:val="12"/>
        </w:rPr>
      </w:pPr>
    </w:p>
    <w:p w14:paraId="521017A0" w14:textId="77777777" w:rsidR="001054C3" w:rsidRDefault="001054C3" w:rsidP="00234FBE">
      <w:pPr>
        <w:pStyle w:val="BodyText"/>
      </w:pPr>
    </w:p>
    <w:p w14:paraId="4E673841" w14:textId="77777777" w:rsidR="001054C3" w:rsidRDefault="001054C3" w:rsidP="001054C3">
      <w:pPr>
        <w:sectPr w:rsidR="001054C3" w:rsidSect="001054C3">
          <w:headerReference w:type="even" r:id="rId122"/>
          <w:headerReference w:type="default" r:id="rId123"/>
          <w:footerReference w:type="even" r:id="rId124"/>
          <w:footerReference w:type="default" r:id="rId125"/>
          <w:type w:val="oddPage"/>
          <w:pgSz w:w="11907" w:h="16840" w:code="9"/>
          <w:pgMar w:top="1985" w:right="1304" w:bottom="1247" w:left="1814" w:header="1701" w:footer="397" w:gutter="0"/>
          <w:pgNumType w:chapSep="period"/>
          <w:cols w:space="720"/>
          <w:docGrid w:linePitch="326"/>
        </w:sectPr>
      </w:pPr>
    </w:p>
    <w:p w14:paraId="68E5FB5D" w14:textId="77777777" w:rsidR="001054C3" w:rsidRDefault="001054C3" w:rsidP="00234FBE">
      <w:pPr>
        <w:pStyle w:val="Heading1"/>
      </w:pPr>
      <w:bookmarkStart w:id="150" w:name="_Toc72939530"/>
      <w:bookmarkStart w:id="151" w:name="_Toc55806500"/>
      <w:bookmarkStart w:id="152" w:name="_Toc55890194"/>
      <w:r>
        <w:lastRenderedPageBreak/>
        <w:t>11</w:t>
      </w:r>
      <w:r>
        <w:tab/>
        <w:t>Provision of water services</w:t>
      </w:r>
      <w:bookmarkEnd w:id="150"/>
    </w:p>
    <w:p w14:paraId="59E91240" w14:textId="77777777" w:rsidR="001054C3" w:rsidRPr="006F0B7F" w:rsidRDefault="001054C3" w:rsidP="00431D61">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1054C3" w:rsidRPr="006F0B7F" w14:paraId="5EBF591B" w14:textId="77777777" w:rsidTr="00234FBE">
        <w:tc>
          <w:tcPr>
            <w:tcW w:w="5000" w:type="pct"/>
            <w:tcBorders>
              <w:top w:val="single" w:sz="4" w:space="0" w:color="78A22F" w:themeColor="accent1"/>
              <w:left w:val="nil"/>
              <w:bottom w:val="nil"/>
              <w:right w:val="nil"/>
            </w:tcBorders>
            <w:shd w:val="clear" w:color="auto" w:fill="F2F2F2"/>
          </w:tcPr>
          <w:p w14:paraId="5D6DF791" w14:textId="77777777" w:rsidR="001054C3" w:rsidRPr="006F0B7F" w:rsidRDefault="001054C3" w:rsidP="00234FBE">
            <w:pPr>
              <w:pStyle w:val="BoxTitle"/>
            </w:pPr>
            <w:r w:rsidRPr="006F0B7F">
              <w:t>Key points</w:t>
            </w:r>
          </w:p>
        </w:tc>
      </w:tr>
      <w:tr w:rsidR="001054C3" w:rsidRPr="006F0B7F" w14:paraId="4FCA84D7" w14:textId="77777777" w:rsidTr="00234FBE">
        <w:tc>
          <w:tcPr>
            <w:tcW w:w="5000" w:type="pct"/>
            <w:tcBorders>
              <w:top w:val="nil"/>
              <w:left w:val="nil"/>
              <w:bottom w:val="nil"/>
              <w:right w:val="nil"/>
            </w:tcBorders>
            <w:shd w:val="clear" w:color="auto" w:fill="F2F2F2"/>
          </w:tcPr>
          <w:p w14:paraId="6DCA3C12" w14:textId="77777777" w:rsidR="001054C3" w:rsidRPr="004467D4" w:rsidRDefault="001054C3" w:rsidP="00234FBE">
            <w:pPr>
              <w:pStyle w:val="KeyPointsListBullet"/>
              <w:rPr>
                <w:spacing w:val="-2"/>
              </w:rPr>
            </w:pPr>
            <w:r w:rsidRPr="004467D4">
              <w:t>Under the 2004 National Water Initiative (NWI), all jurisdictions committed to implement best</w:t>
            </w:r>
            <w:r w:rsidRPr="004467D4">
              <w:noBreakHyphen/>
              <w:t xml:space="preserve">practice pricing and institutional arrangements for urban, irrigation and </w:t>
            </w:r>
            <w:r>
              <w:t xml:space="preserve">bulk water </w:t>
            </w:r>
            <w:r w:rsidRPr="004467D4">
              <w:t>services, and to undertake specific actions as part of doing so.</w:t>
            </w:r>
          </w:p>
          <w:p w14:paraId="026F6186" w14:textId="77777777" w:rsidR="001054C3" w:rsidRDefault="001054C3" w:rsidP="00234FBE">
            <w:pPr>
              <w:pStyle w:val="KeyPointsListBullet2"/>
            </w:pPr>
            <w:r>
              <w:t>Building on prior reforms, t</w:t>
            </w:r>
            <w:r w:rsidRPr="004467D4">
              <w:t xml:space="preserve">hose commitments </w:t>
            </w:r>
            <w:r>
              <w:t xml:space="preserve">have </w:t>
            </w:r>
            <w:r w:rsidRPr="004467D4">
              <w:t xml:space="preserve">contributed to more efficient and financially sustainable water service </w:t>
            </w:r>
            <w:r>
              <w:t>provision</w:t>
            </w:r>
            <w:r w:rsidRPr="004467D4">
              <w:t>.</w:t>
            </w:r>
          </w:p>
          <w:p w14:paraId="05FD0336" w14:textId="77777777" w:rsidR="001054C3" w:rsidRDefault="001054C3" w:rsidP="00234FBE">
            <w:pPr>
              <w:pStyle w:val="KeyPointsListBullet"/>
            </w:pPr>
            <w:r w:rsidRPr="004467D4">
              <w:t xml:space="preserve">However, the NWI included very little guidance </w:t>
            </w:r>
            <w:r>
              <w:t xml:space="preserve">on many </w:t>
            </w:r>
            <w:r w:rsidRPr="004467D4">
              <w:t xml:space="preserve">aspects of service delivery, particularly </w:t>
            </w:r>
            <w:r>
              <w:t xml:space="preserve">for </w:t>
            </w:r>
            <w:r w:rsidRPr="004467D4">
              <w:t xml:space="preserve">urban </w:t>
            </w:r>
            <w:r>
              <w:t>water</w:t>
            </w:r>
            <w:r w:rsidRPr="004467D4">
              <w:t xml:space="preserve">, </w:t>
            </w:r>
            <w:r>
              <w:t>and a number of commitments are outdated</w:t>
            </w:r>
            <w:r w:rsidRPr="004467D4">
              <w:t>.</w:t>
            </w:r>
          </w:p>
          <w:p w14:paraId="5670E491" w14:textId="77777777" w:rsidR="001054C3" w:rsidRDefault="001054C3" w:rsidP="00234FBE">
            <w:pPr>
              <w:pStyle w:val="KeyPointsListBullet"/>
            </w:pPr>
            <w:r w:rsidRPr="004467D4">
              <w:t xml:space="preserve">A renewed NWI should elevate water service </w:t>
            </w:r>
            <w:r>
              <w:t>provision</w:t>
            </w:r>
            <w:r w:rsidRPr="004467D4">
              <w:t xml:space="preserve"> in support of a refreshed objective to </w:t>
            </w:r>
            <w:r w:rsidRPr="002A01BF">
              <w:t>ensure effective, efficient and equitable provision of water services that meet the needs of customers and communities in a changing climate.</w:t>
            </w:r>
          </w:p>
          <w:p w14:paraId="43FD771E" w14:textId="77777777" w:rsidR="001054C3" w:rsidRDefault="001054C3" w:rsidP="00234FBE">
            <w:pPr>
              <w:pStyle w:val="KeyPointsListBullet"/>
            </w:pPr>
            <w:r>
              <w:t xml:space="preserve">Although </w:t>
            </w:r>
            <w:r w:rsidRPr="004467D4">
              <w:t>the principles contained in the NWI remain sound</w:t>
            </w:r>
            <w:r>
              <w:t>, more could be done to guide improvement in key areas</w:t>
            </w:r>
            <w:r w:rsidRPr="004467D4">
              <w:t>. In renewing the NWI, jurisdictions should:</w:t>
            </w:r>
          </w:p>
          <w:p w14:paraId="6DCF8C64" w14:textId="77777777" w:rsidR="001054C3" w:rsidRPr="004467D4" w:rsidRDefault="001054C3" w:rsidP="00234FBE">
            <w:pPr>
              <w:pStyle w:val="KeyPointsListBullet2"/>
            </w:pPr>
            <w:r w:rsidRPr="004467D4">
              <w:t>recommit to the key tenets of cost</w:t>
            </w:r>
            <w:r w:rsidRPr="004467D4">
              <w:noBreakHyphen/>
              <w:t>reflective, consumption</w:t>
            </w:r>
            <w:r w:rsidRPr="004467D4">
              <w:noBreakHyphen/>
              <w:t xml:space="preserve">based pricing </w:t>
            </w:r>
            <w:r>
              <w:t xml:space="preserve">based on full cost recovery, alongside </w:t>
            </w:r>
            <w:r w:rsidRPr="004467D4">
              <w:t xml:space="preserve">institutional separation and performance </w:t>
            </w:r>
            <w:r>
              <w:t>monitoring and reporting</w:t>
            </w:r>
          </w:p>
          <w:p w14:paraId="4E49D801" w14:textId="77777777" w:rsidR="001054C3" w:rsidRPr="00EB5A61" w:rsidRDefault="001054C3" w:rsidP="00234FBE">
            <w:pPr>
              <w:pStyle w:val="KeyPointsListBullet2"/>
            </w:pPr>
            <w:r w:rsidRPr="00EB5A61">
              <w:t>enhance the requirement for independent economic oversight</w:t>
            </w:r>
            <w:r w:rsidRPr="00EB5A61" w:rsidDel="00EB5A61">
              <w:t xml:space="preserve"> </w:t>
            </w:r>
            <w:r w:rsidRPr="00EB5A61">
              <w:t>by developing national principles</w:t>
            </w:r>
            <w:r>
              <w:t>, including for</w:t>
            </w:r>
            <w:r w:rsidRPr="00EB5A61">
              <w:t xml:space="preserve"> the application of </w:t>
            </w:r>
            <w:r>
              <w:t>price</w:t>
            </w:r>
            <w:r w:rsidRPr="00EB5A61">
              <w:t xml:space="preserve"> regulation</w:t>
            </w:r>
          </w:p>
          <w:p w14:paraId="01F08BFD" w14:textId="77777777" w:rsidR="001054C3" w:rsidRDefault="001054C3" w:rsidP="00234FBE">
            <w:pPr>
              <w:pStyle w:val="KeyPointsListBullet2"/>
            </w:pPr>
            <w:r>
              <w:t>provide guidance on the objective of performance monitoring and reporting, to support transparency of service delivery</w:t>
            </w:r>
          </w:p>
          <w:p w14:paraId="0437126D" w14:textId="77777777" w:rsidR="001054C3" w:rsidRPr="006F0B7F" w:rsidRDefault="001054C3" w:rsidP="00234FBE">
            <w:pPr>
              <w:pStyle w:val="KeyPointsListBullet2"/>
            </w:pPr>
            <w:r w:rsidRPr="004467D4">
              <w:t>negotiate commitments</w:t>
            </w:r>
            <w:r>
              <w:t>,</w:t>
            </w:r>
            <w:r w:rsidRPr="004467D4">
              <w:t xml:space="preserve"> through separate NWI elements</w:t>
            </w:r>
            <w:r>
              <w:t xml:space="preserve">, to significantly enhance the treatment of </w:t>
            </w:r>
            <w:r w:rsidRPr="004467D4">
              <w:t>urban water reform and investment in major water infrastructure</w:t>
            </w:r>
            <w:r>
              <w:t xml:space="preserve"> (discussed in following chapters)</w:t>
            </w:r>
            <w:r w:rsidRPr="004467D4">
              <w:t>.</w:t>
            </w:r>
          </w:p>
        </w:tc>
      </w:tr>
      <w:tr w:rsidR="001054C3" w:rsidRPr="006F0B7F" w14:paraId="4FD392DA" w14:textId="77777777" w:rsidTr="00234FBE">
        <w:tc>
          <w:tcPr>
            <w:tcW w:w="5000" w:type="pct"/>
            <w:tcBorders>
              <w:top w:val="nil"/>
              <w:left w:val="nil"/>
              <w:bottom w:val="single" w:sz="4" w:space="0" w:color="78A22F" w:themeColor="accent1"/>
              <w:right w:val="nil"/>
            </w:tcBorders>
            <w:shd w:val="clear" w:color="auto" w:fill="F2F2F2"/>
          </w:tcPr>
          <w:p w14:paraId="27570124" w14:textId="77777777" w:rsidR="001054C3" w:rsidRPr="006F0B7F" w:rsidRDefault="001054C3" w:rsidP="00234FBE">
            <w:pPr>
              <w:pStyle w:val="Box"/>
              <w:spacing w:before="0" w:line="120" w:lineRule="exact"/>
            </w:pPr>
          </w:p>
        </w:tc>
      </w:tr>
      <w:tr w:rsidR="001054C3" w:rsidRPr="006F0B7F" w14:paraId="09236A9E" w14:textId="77777777" w:rsidTr="00234FBE">
        <w:tc>
          <w:tcPr>
            <w:tcW w:w="5000" w:type="pct"/>
            <w:tcBorders>
              <w:top w:val="single" w:sz="4" w:space="0" w:color="78A22F" w:themeColor="accent1"/>
              <w:left w:val="nil"/>
              <w:bottom w:val="nil"/>
              <w:right w:val="nil"/>
            </w:tcBorders>
          </w:tcPr>
          <w:p w14:paraId="02B587B2" w14:textId="77777777" w:rsidR="001054C3" w:rsidRPr="006F0B7F" w:rsidRDefault="001054C3" w:rsidP="00234FBE">
            <w:pPr>
              <w:pStyle w:val="Box"/>
              <w:keepNext w:val="0"/>
              <w:spacing w:before="60" w:after="60" w:line="80" w:lineRule="exact"/>
            </w:pPr>
          </w:p>
        </w:tc>
      </w:tr>
    </w:tbl>
    <w:p w14:paraId="2EBDF6A9" w14:textId="77777777" w:rsidR="001054C3" w:rsidRDefault="001054C3" w:rsidP="00234FBE">
      <w:pPr>
        <w:pStyle w:val="BodyText"/>
      </w:pPr>
      <w:bookmarkStart w:id="153" w:name="_Toc63112492"/>
      <w:r>
        <w:t>This chapter outlines the Commission’s high</w:t>
      </w:r>
      <w:r>
        <w:noBreakHyphen/>
        <w:t xml:space="preserve">level views on how water service provision could be incorporated within a renewed National Water Initiative (NWI), </w:t>
      </w:r>
      <w:r w:rsidRPr="00C3343C">
        <w:t>with background on water service provision</w:t>
      </w:r>
      <w:r>
        <w:t xml:space="preserve"> and the role of government</w:t>
      </w:r>
      <w:r w:rsidRPr="00C3343C">
        <w:t xml:space="preserve"> (section </w:t>
      </w:r>
      <w:r w:rsidRPr="00206CC3">
        <w:t>11.1</w:t>
      </w:r>
      <w:r w:rsidRPr="00C3343C">
        <w:t>)</w:t>
      </w:r>
      <w:r>
        <w:t>,</w:t>
      </w:r>
      <w:r w:rsidRPr="00C3343C">
        <w:t xml:space="preserve"> and the Commission’s advice on updating the </w:t>
      </w:r>
      <w:r w:rsidRPr="00C3343C">
        <w:rPr>
          <w:i/>
          <w:iCs/>
        </w:rPr>
        <w:t>Pricing and Institutional Arrangements</w:t>
      </w:r>
      <w:r w:rsidRPr="00C3343C">
        <w:t xml:space="preserve"> element </w:t>
      </w:r>
      <w:r>
        <w:t>as part of</w:t>
      </w:r>
      <w:r w:rsidRPr="00C3343C">
        <w:t xml:space="preserve"> a renewed NWI (section </w:t>
      </w:r>
      <w:r w:rsidRPr="00206CC3">
        <w:t>11.2</w:t>
      </w:r>
      <w:r w:rsidRPr="00C3343C">
        <w:t>).</w:t>
      </w:r>
    </w:p>
    <w:p w14:paraId="48AC71E6" w14:textId="77777777" w:rsidR="001054C3" w:rsidRDefault="001054C3" w:rsidP="00234FBE">
      <w:pPr>
        <w:pStyle w:val="Heading2"/>
      </w:pPr>
      <w:bookmarkStart w:id="154" w:name="_Toc72939531"/>
      <w:r>
        <w:lastRenderedPageBreak/>
        <w:t>11.1</w:t>
      </w:r>
      <w:r>
        <w:tab/>
        <w:t>Background on water service provision</w:t>
      </w:r>
      <w:bookmarkEnd w:id="154"/>
    </w:p>
    <w:p w14:paraId="1A9A5E36" w14:textId="77777777" w:rsidR="001054C3" w:rsidRPr="000975D8" w:rsidRDefault="001054C3" w:rsidP="00234FBE">
      <w:pPr>
        <w:pStyle w:val="BodyText"/>
        <w:keepNext/>
        <w:rPr>
          <w:spacing w:val="-4"/>
        </w:rPr>
      </w:pPr>
      <w:r w:rsidRPr="000975D8">
        <w:rPr>
          <w:spacing w:val="-4"/>
        </w:rPr>
        <w:t>Water services encompass the harvesting, storage, treatment and delivery of water to users, the removal and treatment of wastewater, irrigation drainage and stormwater management. Service providers generally fall into the following categories, although some have multiple roles.</w:t>
      </w:r>
    </w:p>
    <w:p w14:paraId="2F1CEABA" w14:textId="77777777" w:rsidR="001054C3" w:rsidRDefault="001054C3" w:rsidP="00234FBE">
      <w:pPr>
        <w:pStyle w:val="ListBullet"/>
      </w:pPr>
      <w:r>
        <w:t>Bulk water providers (sometimes known as on</w:t>
      </w:r>
      <w:r>
        <w:noBreakHyphen/>
        <w:t>river infrastructure operators) harvest and store water in bulk infrastructure (such as dams) or natural systems (such as groundwater aquifers) and then transfer water to distribution networks or users. They are government</w:t>
      </w:r>
      <w:r>
        <w:noBreakHyphen/>
        <w:t>owned corporations.</w:t>
      </w:r>
    </w:p>
    <w:p w14:paraId="0365A263" w14:textId="77777777" w:rsidR="001054C3" w:rsidRDefault="001054C3" w:rsidP="00234FBE">
      <w:pPr>
        <w:pStyle w:val="ListBullet"/>
      </w:pPr>
      <w:r>
        <w:t>Irrigation service providers (sometimes known as off</w:t>
      </w:r>
      <w:r>
        <w:noBreakHyphen/>
        <w:t>river infrastructure operators, or rural water service providers) supply water to irrigators and manage drainage. They can be owned by users (irrigators) and/or by governments.</w:t>
      </w:r>
    </w:p>
    <w:p w14:paraId="6D136802" w14:textId="77777777" w:rsidR="001054C3" w:rsidRDefault="001054C3" w:rsidP="00234FBE">
      <w:pPr>
        <w:pStyle w:val="ListBullet"/>
      </w:pPr>
      <w:r>
        <w:t>Urban water providers supply water to households and industrial users and undertake wastewater, stormwater and waterway management services within towns and cities — although specific responsibilities vary between jurisdictions. They can be owned by local, State or Territory Governments, although there are some small private providers.</w:t>
      </w:r>
    </w:p>
    <w:p w14:paraId="1C8A0FD6" w14:textId="654EC362" w:rsidR="001054C3" w:rsidRDefault="001054C3" w:rsidP="00234FBE">
      <w:pPr>
        <w:pStyle w:val="BodyText"/>
      </w:pPr>
      <w:r>
        <w:t xml:space="preserve">Water service provision is capital intensive. </w:t>
      </w:r>
      <w:r w:rsidRPr="006B7E82">
        <w:t>For example, in 2019</w:t>
      </w:r>
      <w:r w:rsidRPr="006B7E82">
        <w:noBreakHyphen/>
        <w:t xml:space="preserve">20, urban water </w:t>
      </w:r>
      <w:r>
        <w:t>utilities</w:t>
      </w:r>
      <w:r w:rsidRPr="006B7E82">
        <w:t xml:space="preserve"> undertook $4.</w:t>
      </w:r>
      <w:r>
        <w:t>7</w:t>
      </w:r>
      <w:r w:rsidRPr="006B7E82">
        <w:t> billion of capital expenditure</w:t>
      </w:r>
      <w:r>
        <w:t>,</w:t>
      </w:r>
      <w:r>
        <w:rPr>
          <w:rStyle w:val="FootnoteReference"/>
        </w:rPr>
        <w:footnoteReference w:id="29"/>
      </w:r>
      <w:r>
        <w:t xml:space="preserve"> against assets valued at more than $154 billion</w:t>
      </w:r>
      <w:r w:rsidRPr="006B7E82">
        <w:t xml:space="preserve"> </w:t>
      </w:r>
      <w:r w:rsidRPr="009A09B8">
        <w:rPr>
          <w:szCs w:val="24"/>
        </w:rPr>
        <w:t>(BOM 2021)</w:t>
      </w:r>
      <w:r w:rsidRPr="006B7E82">
        <w:t>.</w:t>
      </w:r>
      <w:r>
        <w:rPr>
          <w:rStyle w:val="FootnoteReference"/>
        </w:rPr>
        <w:footnoteReference w:id="30"/>
      </w:r>
      <w:r>
        <w:t xml:space="preserve"> Investment decisions concerning infrastructure construction, renewal and maintenance affect the costs of service delivery and, ultimately, the prices paid by users.</w:t>
      </w:r>
    </w:p>
    <w:bookmarkEnd w:id="153"/>
    <w:p w14:paraId="778E4900" w14:textId="77777777" w:rsidR="001054C3" w:rsidRPr="00765A0D" w:rsidRDefault="001054C3" w:rsidP="00234FBE">
      <w:pPr>
        <w:pStyle w:val="BodyText"/>
      </w:pPr>
      <w:r>
        <w:t>State and Territory Governments establish the policy environment for water service provision, and are responsible for regulating and overseeing water service providers.</w:t>
      </w:r>
      <w:r>
        <w:rPr>
          <w:rStyle w:val="FootnoteReference"/>
        </w:rPr>
        <w:footnoteReference w:id="31"/>
      </w:r>
      <w:r>
        <w:t xml:space="preserve"> Most water service providers operate as monopolies; State and Territory Governments establish policy and regulatory frameworks to promote efficient and accountable service delivery, avoid the exercise of market power, and enforce health, safety and environmental standards. In many cases, those governments are the sole shareholder of, corporatised water service providers. State and Territory Governments also undertake water resource planning, which determines water availability for different users, including service providers (chapter </w:t>
      </w:r>
      <w:r w:rsidRPr="0003268F">
        <w:t>6</w:t>
      </w:r>
      <w:r w:rsidRPr="00765A0D">
        <w:t>)</w:t>
      </w:r>
      <w:r>
        <w:t>.</w:t>
      </w:r>
    </w:p>
    <w:p w14:paraId="2893710C" w14:textId="77777777" w:rsidR="001054C3" w:rsidRDefault="001054C3" w:rsidP="00234FBE">
      <w:pPr>
        <w:pStyle w:val="Heading3"/>
      </w:pPr>
      <w:r>
        <w:lastRenderedPageBreak/>
        <w:t>National water services reform</w:t>
      </w:r>
    </w:p>
    <w:p w14:paraId="3B64B080" w14:textId="77777777" w:rsidR="001054C3" w:rsidRPr="006F0B7F" w:rsidRDefault="001054C3" w:rsidP="00234FBE">
      <w:pPr>
        <w:pStyle w:val="BodyText"/>
        <w:keepNext/>
        <w:rPr>
          <w:spacing w:val="-2"/>
        </w:rPr>
      </w:pPr>
      <w:r w:rsidRPr="006F0B7F">
        <w:t xml:space="preserve">Reform </w:t>
      </w:r>
      <w:r>
        <w:t>during</w:t>
      </w:r>
      <w:r w:rsidRPr="006F0B7F">
        <w:t xml:space="preserve"> the 1990s</w:t>
      </w:r>
      <w:r>
        <w:t>, particularly under the National Competition Policy,</w:t>
      </w:r>
      <w:r w:rsidRPr="006F0B7F">
        <w:t xml:space="preserve"> </w:t>
      </w:r>
      <w:r>
        <w:t>facilitated</w:t>
      </w:r>
      <w:r w:rsidRPr="006F0B7F">
        <w:t xml:space="preserve"> major change to </w:t>
      </w:r>
      <w:r>
        <w:t xml:space="preserve">water service delivery in Australia. This included significant evolution in </w:t>
      </w:r>
      <w:r w:rsidRPr="006F0B7F">
        <w:t>pricing practices, institutional arrangements</w:t>
      </w:r>
      <w:r>
        <w:t xml:space="preserve"> (including separating service delivery, policy development and regulation)</w:t>
      </w:r>
      <w:r w:rsidRPr="006F0B7F">
        <w:t xml:space="preserve"> and ownership structures </w:t>
      </w:r>
      <w:r>
        <w:t>of water service providers.</w:t>
      </w:r>
      <w:r>
        <w:rPr>
          <w:rStyle w:val="FootnoteReference"/>
        </w:rPr>
        <w:footnoteReference w:id="32"/>
      </w:r>
      <w:r>
        <w:t xml:space="preserve"> T</w:t>
      </w:r>
      <w:r w:rsidRPr="006F0B7F">
        <w:t>he 2004</w:t>
      </w:r>
      <w:r>
        <w:t xml:space="preserve"> </w:t>
      </w:r>
      <w:r w:rsidRPr="006F0B7F">
        <w:t>NWI built on</w:t>
      </w:r>
      <w:r>
        <w:t xml:space="preserve"> those</w:t>
      </w:r>
      <w:r w:rsidRPr="006F0B7F">
        <w:t xml:space="preserve"> effort</w:t>
      </w:r>
      <w:r>
        <w:t>s</w:t>
      </w:r>
      <w:r w:rsidRPr="006F0B7F">
        <w:t xml:space="preserve">. </w:t>
      </w:r>
      <w:r w:rsidRPr="006F0B7F">
        <w:rPr>
          <w:spacing w:val="-2"/>
        </w:rPr>
        <w:t>Signatories committed to</w:t>
      </w:r>
      <w:r>
        <w:rPr>
          <w:spacing w:val="-2"/>
        </w:rPr>
        <w:t xml:space="preserve"> implement</w:t>
      </w:r>
      <w:r w:rsidRPr="006F0B7F">
        <w:rPr>
          <w:spacing w:val="-2"/>
        </w:rPr>
        <w:t>:</w:t>
      </w:r>
    </w:p>
    <w:p w14:paraId="20D401DB" w14:textId="77777777" w:rsidR="001054C3" w:rsidRDefault="001054C3" w:rsidP="00234FBE">
      <w:pPr>
        <w:pStyle w:val="ListBullet"/>
      </w:pPr>
      <w:r w:rsidRPr="006F0B7F">
        <w:rPr>
          <w:i/>
        </w:rPr>
        <w:t>best practice pricing and institutional arrangements</w:t>
      </w:r>
      <w:r w:rsidRPr="006F0B7F">
        <w:t xml:space="preserve"> to promote the efficient and sustainable use of water sources, infrastructure and government resources devoted to water management</w:t>
      </w:r>
      <w:r>
        <w:rPr>
          <w:rStyle w:val="FootnoteReference"/>
        </w:rPr>
        <w:footnoteReference w:id="33"/>
      </w:r>
    </w:p>
    <w:p w14:paraId="005802DB" w14:textId="43E6F51A" w:rsidR="001054C3" w:rsidRPr="009D259A" w:rsidRDefault="001054C3" w:rsidP="00234FBE">
      <w:pPr>
        <w:pStyle w:val="ListBullet2"/>
        <w:rPr>
          <w:spacing w:val="-2"/>
        </w:rPr>
      </w:pPr>
      <w:r w:rsidRPr="009D259A">
        <w:rPr>
          <w:spacing w:val="-2"/>
        </w:rPr>
        <w:t xml:space="preserve">these pricing commitments were further expanded upon in the </w:t>
      </w:r>
      <w:r w:rsidRPr="009D259A">
        <w:rPr>
          <w:i/>
          <w:spacing w:val="-2"/>
        </w:rPr>
        <w:t>National Water Initiative Pricing Principles</w:t>
      </w:r>
      <w:r w:rsidRPr="009D259A">
        <w:rPr>
          <w:spacing w:val="-2"/>
        </w:rPr>
        <w:t xml:space="preserve"> </w:t>
      </w:r>
      <w:r w:rsidRPr="009D259A">
        <w:rPr>
          <w:spacing w:val="-2"/>
          <w:szCs w:val="24"/>
        </w:rPr>
        <w:t>(NRMMC 2010)</w:t>
      </w:r>
      <w:r w:rsidRPr="009D259A">
        <w:rPr>
          <w:spacing w:val="-2"/>
        </w:rPr>
        <w:t>, which provided technical guidance on setting water charges (particularly, for recovering capital costs in line with NWI requirements)</w:t>
      </w:r>
    </w:p>
    <w:p w14:paraId="4B724C4C" w14:textId="77777777" w:rsidR="001054C3" w:rsidRPr="00F333E6" w:rsidRDefault="001054C3" w:rsidP="00234FBE">
      <w:pPr>
        <w:pStyle w:val="ListBullet"/>
        <w:rPr>
          <w:i/>
          <w:spacing w:val="-4"/>
        </w:rPr>
      </w:pPr>
      <w:r w:rsidRPr="00A37C41">
        <w:rPr>
          <w:i/>
          <w:spacing w:val="-4"/>
        </w:rPr>
        <w:t>urban water reform</w:t>
      </w:r>
      <w:r w:rsidRPr="00A37C41">
        <w:rPr>
          <w:spacing w:val="-4"/>
        </w:rPr>
        <w:t xml:space="preserve"> to ensure healthy, safe and reliable water supplies, encourage water use efficiency and innovation, achieve improved pricing and facilitate water trading between the urban and rural sectors.</w:t>
      </w:r>
      <w:r w:rsidRPr="00AF4975">
        <w:rPr>
          <w:rStyle w:val="FootnoteReference"/>
          <w:spacing w:val="-4"/>
        </w:rPr>
        <w:footnoteReference w:id="34"/>
      </w:r>
      <w:r w:rsidRPr="00A37C41">
        <w:rPr>
          <w:spacing w:val="-4"/>
        </w:rPr>
        <w:t xml:space="preserve"> (The </w:t>
      </w:r>
      <w:r w:rsidRPr="00A37C41">
        <w:rPr>
          <w:i/>
          <w:iCs/>
          <w:spacing w:val="-4"/>
        </w:rPr>
        <w:t xml:space="preserve">urban water reform </w:t>
      </w:r>
      <w:r w:rsidRPr="00A37C41">
        <w:rPr>
          <w:spacing w:val="-4"/>
        </w:rPr>
        <w:t>element is discussed in chapter 12).</w:t>
      </w:r>
    </w:p>
    <w:p w14:paraId="7AE5D70D" w14:textId="77777777" w:rsidR="001054C3" w:rsidRDefault="001054C3" w:rsidP="00234FBE">
      <w:pPr>
        <w:pStyle w:val="Heading4"/>
        <w:spacing w:before="400"/>
      </w:pPr>
      <w:bookmarkStart w:id="155" w:name="_Toc63112493"/>
      <w:r>
        <w:t xml:space="preserve">Significant progress has </w:t>
      </w:r>
      <w:r w:rsidRPr="006F0B7F">
        <w:t xml:space="preserve">been </w:t>
      </w:r>
      <w:r>
        <w:t>made …</w:t>
      </w:r>
      <w:bookmarkEnd w:id="155"/>
    </w:p>
    <w:p w14:paraId="5E77F4F9" w14:textId="77777777" w:rsidR="001054C3" w:rsidRDefault="001054C3" w:rsidP="00234FBE">
      <w:pPr>
        <w:pStyle w:val="BodyText"/>
      </w:pPr>
      <w:r>
        <w:t>Past r</w:t>
      </w:r>
      <w:r w:rsidRPr="006F0B7F">
        <w:t xml:space="preserve">eforms </w:t>
      </w:r>
      <w:r>
        <w:t xml:space="preserve">to water service provision </w:t>
      </w:r>
      <w:r w:rsidRPr="006F0B7F">
        <w:t>have provided significant benefits</w:t>
      </w:r>
      <w:r>
        <w:t xml:space="preserve"> for</w:t>
      </w:r>
      <w:r w:rsidRPr="006F0B7F">
        <w:t xml:space="preserve"> users</w:t>
      </w:r>
      <w:r>
        <w:t xml:space="preserve"> (</w:t>
      </w:r>
      <w:r w:rsidRPr="007A506E">
        <w:t>chapter 2</w:t>
      </w:r>
      <w:r>
        <w:t>)</w:t>
      </w:r>
      <w:r w:rsidRPr="006F0B7F">
        <w:t>. Widespread adoption of cost</w:t>
      </w:r>
      <w:r w:rsidRPr="006F0B7F">
        <w:noBreakHyphen/>
        <w:t>reflective and consumption</w:t>
      </w:r>
      <w:r w:rsidRPr="006F0B7F">
        <w:noBreakHyphen/>
        <w:t xml:space="preserve">based pricing has provided better signals to consumers to use water efficiently, </w:t>
      </w:r>
      <w:r>
        <w:t xml:space="preserve">contributing to </w:t>
      </w:r>
      <w:r w:rsidRPr="006F0B7F">
        <w:t>chang</w:t>
      </w:r>
      <w:r>
        <w:t xml:space="preserve">e in </w:t>
      </w:r>
      <w:r w:rsidRPr="006F0B7F">
        <w:t>water user behaviour, as well as ensuring reliable revenue streams to secure the financial sustainability of service providers.</w:t>
      </w:r>
      <w:r>
        <w:t xml:space="preserve"> In all but a few cases (discussed below), the NWI commitments have been met.</w:t>
      </w:r>
    </w:p>
    <w:p w14:paraId="3AFDD9FC" w14:textId="77777777" w:rsidR="001054C3" w:rsidRDefault="001054C3" w:rsidP="00234FBE">
      <w:pPr>
        <w:pStyle w:val="BodyText"/>
      </w:pPr>
      <w:r>
        <w:t>Moreover, i</w:t>
      </w:r>
      <w:r w:rsidRPr="006F0B7F">
        <w:t>nstitutional separation of policy making, service delivery and regulation</w:t>
      </w:r>
      <w:r>
        <w:t>, alongside monitoring and benchmarking,</w:t>
      </w:r>
      <w:r w:rsidRPr="006F0B7F">
        <w:t xml:space="preserve"> has improved accountability and transparency </w:t>
      </w:r>
      <w:r>
        <w:t>of water service provision</w:t>
      </w:r>
      <w:r w:rsidRPr="006F0B7F">
        <w:t xml:space="preserve">. And </w:t>
      </w:r>
      <w:r>
        <w:t xml:space="preserve">the </w:t>
      </w:r>
      <w:r w:rsidRPr="006F0B7F">
        <w:t>corporatisation</w:t>
      </w:r>
      <w:r>
        <w:t xml:space="preserve"> of bulk and many urban water providers</w:t>
      </w:r>
      <w:r w:rsidRPr="006F0B7F">
        <w:t xml:space="preserve">, alongside the introduction of independent economic regulation, has </w:t>
      </w:r>
      <w:r>
        <w:t>encouraged</w:t>
      </w:r>
      <w:r w:rsidRPr="006F0B7F">
        <w:t xml:space="preserve"> commercial behaviour — promoting more efficient investment decisions by providers (and lower prices for customers</w:t>
      </w:r>
      <w:r>
        <w:t xml:space="preserve"> than would otherwise be the case</w:t>
      </w:r>
      <w:r w:rsidRPr="006F0B7F">
        <w:t>).</w:t>
      </w:r>
    </w:p>
    <w:p w14:paraId="37A0771B" w14:textId="77777777" w:rsidR="001054C3" w:rsidRPr="006F0B7F" w:rsidRDefault="001054C3" w:rsidP="00234FBE">
      <w:pPr>
        <w:pStyle w:val="Heading4"/>
        <w:spacing w:before="400"/>
      </w:pPr>
      <w:r>
        <w:lastRenderedPageBreak/>
        <w:t>… although</w:t>
      </w:r>
      <w:r w:rsidRPr="006F0B7F">
        <w:t xml:space="preserve"> unfinished business</w:t>
      </w:r>
      <w:r>
        <w:t xml:space="preserve"> remains</w:t>
      </w:r>
    </w:p>
    <w:p w14:paraId="2206297E" w14:textId="77777777" w:rsidR="001054C3" w:rsidRDefault="001054C3" w:rsidP="00DE301C">
      <w:pPr>
        <w:pStyle w:val="BodyText"/>
        <w:keepNext/>
      </w:pPr>
      <w:r>
        <w:t xml:space="preserve">However, as outlined in the </w:t>
      </w:r>
      <w:r>
        <w:rPr>
          <w:i/>
          <w:iCs/>
        </w:rPr>
        <w:t>Assessment</w:t>
      </w:r>
      <w:r>
        <w:t>, some</w:t>
      </w:r>
      <w:r w:rsidRPr="006F0B7F">
        <w:t xml:space="preserve"> NWI </w:t>
      </w:r>
      <w:r>
        <w:t>commitments have not yet been fully realised, and some backsliding has occurred.</w:t>
      </w:r>
    </w:p>
    <w:p w14:paraId="617282B7" w14:textId="77777777" w:rsidR="001054C3" w:rsidRDefault="001054C3" w:rsidP="00234FBE">
      <w:pPr>
        <w:pStyle w:val="ListBullet"/>
      </w:pPr>
      <w:r>
        <w:t xml:space="preserve">The </w:t>
      </w:r>
      <w:r w:rsidRPr="006F0B7F">
        <w:t>pricing practices</w:t>
      </w:r>
      <w:r>
        <w:t xml:space="preserve"> of some urban water providers — such as setting rates of return below a commercial level, price freezes, and cross</w:t>
      </w:r>
      <w:r>
        <w:noBreakHyphen/>
        <w:t>subsidisation of water supply and wastewater services — </w:t>
      </w:r>
      <w:r w:rsidRPr="006F0B7F">
        <w:t>are inconsistent with the NWI requirement of full cost recovery</w:t>
      </w:r>
      <w:r>
        <w:t>. Some of these issues stemmed from inconsistent application of independent economic regulation, while others resulted from government intervention in economic regulation.</w:t>
      </w:r>
    </w:p>
    <w:p w14:paraId="010D8C50" w14:textId="77777777" w:rsidR="001054C3" w:rsidRPr="000975D8" w:rsidRDefault="001054C3" w:rsidP="00234FBE">
      <w:pPr>
        <w:pStyle w:val="ListBullet"/>
        <w:rPr>
          <w:spacing w:val="-2"/>
        </w:rPr>
      </w:pPr>
      <w:r w:rsidRPr="000975D8">
        <w:rPr>
          <w:spacing w:val="-2"/>
        </w:rPr>
        <w:t>Most rural water service providers are meeting NWI requirements, although some could not be assessed due to poor data availability. A Queensland proposal to charge differential irrigation water prices, based on crop type, also appears to be inconsistent with the NWI.</w:t>
      </w:r>
    </w:p>
    <w:p w14:paraId="7FCC86C4" w14:textId="77777777" w:rsidR="001054C3" w:rsidRDefault="001054C3" w:rsidP="00234FBE">
      <w:pPr>
        <w:pStyle w:val="Heading3"/>
        <w:spacing w:before="360"/>
      </w:pPr>
      <w:r>
        <w:t>Embedding water services in a renewed NWI</w:t>
      </w:r>
    </w:p>
    <w:p w14:paraId="645B05C3" w14:textId="77777777" w:rsidR="001054C3" w:rsidRDefault="001054C3" w:rsidP="00234FBE">
      <w:pPr>
        <w:pStyle w:val="BodyText"/>
      </w:pPr>
      <w:r w:rsidRPr="0084302C">
        <w:t>The 2004 NWI</w:t>
      </w:r>
      <w:r>
        <w:t xml:space="preserve"> did not include a comprehensive set of actions for water service provision:</w:t>
      </w:r>
      <w:r w:rsidRPr="0084302C">
        <w:t xml:space="preserve"> </w:t>
      </w:r>
      <w:r>
        <w:t xml:space="preserve">although it contained detailed </w:t>
      </w:r>
      <w:r w:rsidRPr="006F0B7F">
        <w:t xml:space="preserve">commitments </w:t>
      </w:r>
      <w:r>
        <w:t>for some aspects (such as p</w:t>
      </w:r>
      <w:r w:rsidRPr="006F0B7F">
        <w:t>ricing</w:t>
      </w:r>
      <w:r>
        <w:t>), other aspects of service provision received limited attention. For example, t</w:t>
      </w:r>
      <w:r w:rsidRPr="006F0B7F">
        <w:t xml:space="preserve">he NWI included </w:t>
      </w:r>
      <w:r>
        <w:t xml:space="preserve">only a </w:t>
      </w:r>
      <w:r w:rsidRPr="006F0B7F">
        <w:t xml:space="preserve">few actions specific to </w:t>
      </w:r>
      <w:r>
        <w:t xml:space="preserve">the </w:t>
      </w:r>
      <w:r w:rsidRPr="006F0B7F">
        <w:t>urban water</w:t>
      </w:r>
      <w:r>
        <w:t xml:space="preserve"> sector (</w:t>
      </w:r>
      <w:r w:rsidRPr="006F0B7F">
        <w:t>now largely complete</w:t>
      </w:r>
      <w:r>
        <w:t>d</w:t>
      </w:r>
      <w:r w:rsidRPr="006F0B7F">
        <w:t xml:space="preserve"> or outdated</w:t>
      </w:r>
      <w:r>
        <w:t>), while the actions relating to independent economic regulation</w:t>
      </w:r>
      <w:r>
        <w:rPr>
          <w:rStyle w:val="FootnoteReference"/>
        </w:rPr>
        <w:footnoteReference w:id="35"/>
      </w:r>
      <w:r>
        <w:t xml:space="preserve"> and investment in new or refurbished infrastructure</w:t>
      </w:r>
      <w:r>
        <w:rPr>
          <w:rStyle w:val="FootnoteReference"/>
        </w:rPr>
        <w:footnoteReference w:id="36"/>
      </w:r>
      <w:r>
        <w:t xml:space="preserve"> are somewhat high level</w:t>
      </w:r>
      <w:r w:rsidRPr="008F3E7F">
        <w:t>.</w:t>
      </w:r>
    </w:p>
    <w:p w14:paraId="12F8F943" w14:textId="77777777" w:rsidR="001054C3" w:rsidRDefault="001054C3" w:rsidP="00234FBE">
      <w:pPr>
        <w:pStyle w:val="BodyText"/>
      </w:pPr>
      <w:r>
        <w:t>But Australia faces a drying climate — in both its most densely populated areas and most highly utilised water systems (chapter 2). Careful, practical and long</w:t>
      </w:r>
      <w:r>
        <w:noBreakHyphen/>
        <w:t>term management of water services will be critical to ensuring access for communities and industries to secure, fit</w:t>
      </w:r>
      <w:r>
        <w:noBreakHyphen/>
        <w:t>for</w:t>
      </w:r>
      <w:r>
        <w:noBreakHyphen/>
        <w:t>purpose water services, without avoidable price increases stemming from failures of foresight. As it stands, the NWI requires a paradigm shift to set the standard of quality and affordable integrated water service delivery (especially in major cities) and to better guide major infrastructure decision making.</w:t>
      </w:r>
    </w:p>
    <w:p w14:paraId="747F36A2" w14:textId="77777777" w:rsidR="001054C3" w:rsidRDefault="001054C3" w:rsidP="00234FBE">
      <w:pPr>
        <w:pStyle w:val="BodyText"/>
      </w:pPr>
      <w:r>
        <w:t xml:space="preserve">As proposed in chapter 3, a renewed NWI should </w:t>
      </w:r>
      <w:r w:rsidRPr="003274F0">
        <w:t xml:space="preserve">elevate water service </w:t>
      </w:r>
      <w:r>
        <w:t>provision</w:t>
      </w:r>
      <w:r w:rsidRPr="003274F0">
        <w:t xml:space="preserve"> </w:t>
      </w:r>
      <w:r>
        <w:t>in</w:t>
      </w:r>
      <w:r w:rsidRPr="003274F0">
        <w:t xml:space="preserve"> support </w:t>
      </w:r>
      <w:r>
        <w:t xml:space="preserve">of </w:t>
      </w:r>
      <w:r w:rsidRPr="003274F0">
        <w:t>a refreshed objective</w:t>
      </w:r>
      <w:r>
        <w:t>:</w:t>
      </w:r>
      <w:r w:rsidRPr="003274F0">
        <w:t xml:space="preserve"> to ensure effective, efficient and equitable provision of water services that meet the needs of customers and communities in a changing climate</w:t>
      </w:r>
      <w:r>
        <w:t>.</w:t>
      </w:r>
    </w:p>
    <w:p w14:paraId="4F5FE700" w14:textId="77777777" w:rsidR="001054C3" w:rsidRPr="000975D8" w:rsidRDefault="001054C3" w:rsidP="00234FBE">
      <w:pPr>
        <w:pStyle w:val="BodyText"/>
        <w:rPr>
          <w:spacing w:val="-2"/>
        </w:rPr>
      </w:pPr>
      <w:r w:rsidRPr="000975D8">
        <w:rPr>
          <w:spacing w:val="-2"/>
        </w:rPr>
        <w:t>Jurisdictions should recommit to the existing principles of best</w:t>
      </w:r>
      <w:r>
        <w:rPr>
          <w:spacing w:val="-2"/>
        </w:rPr>
        <w:noBreakHyphen/>
      </w:r>
      <w:r w:rsidRPr="000975D8">
        <w:rPr>
          <w:spacing w:val="-2"/>
        </w:rPr>
        <w:t>practice pricing and institutional arrangements through an updated element (section 11.2). This should include specific principles to improve the quality and application of independent economic regulation (as considered below), and an updated commitment to performance monitoring and reporting. These adjustments will help maintain effective oversight of bulk and rural water providers.</w:t>
      </w:r>
    </w:p>
    <w:p w14:paraId="2D2DD879" w14:textId="77777777" w:rsidR="001054C3" w:rsidRPr="005F68E1" w:rsidRDefault="001054C3" w:rsidP="00234FBE">
      <w:pPr>
        <w:pStyle w:val="BodyText"/>
      </w:pPr>
      <w:r>
        <w:t xml:space="preserve">But to ensure a renewed NWI can promote the necessary improvements to service provision in towns and cities, jurisdictions should also significantly enhance the element on urban </w:t>
      </w:r>
      <w:r>
        <w:lastRenderedPageBreak/>
        <w:t>water reform (chapter </w:t>
      </w:r>
      <w:r w:rsidRPr="009F152A">
        <w:t>12</w:t>
      </w:r>
      <w:r>
        <w:t>). And to mitigate the risks of large uneconomic water infrastructure investments (particularly by governments), jurisdictions should also develop a new element guiding investment in major water infrastructure (chapter </w:t>
      </w:r>
      <w:r w:rsidRPr="009F152A">
        <w:t>14</w:t>
      </w:r>
      <w:r>
        <w:t>).</w:t>
      </w:r>
    </w:p>
    <w:p w14:paraId="52D65BE5" w14:textId="77777777" w:rsidR="001054C3" w:rsidRDefault="001054C3" w:rsidP="00234FBE">
      <w:pPr>
        <w:pStyle w:val="BodyText"/>
      </w:pPr>
      <w:r>
        <w:t xml:space="preserve">Reform of water service provision should embed the Commission’s guiding principles (chapter 3). This should enable service providers to adapt to a drier climate and withstand periodic extreme events, and enable innovation and continuous improvement in service outcomes. Actions agreed to under a renewed NWI should be fit for purpose: </w:t>
      </w:r>
      <w:r w:rsidRPr="00F86DC7">
        <w:t xml:space="preserve">that is, the level of </w:t>
      </w:r>
      <w:r>
        <w:t>government oversight</w:t>
      </w:r>
      <w:r w:rsidRPr="00F86DC7" w:rsidDel="008E6EAF">
        <w:t xml:space="preserve"> </w:t>
      </w:r>
      <w:r>
        <w:t>should be</w:t>
      </w:r>
      <w:r w:rsidRPr="00F86DC7">
        <w:t xml:space="preserve"> proportionate to the risk and impact of inadequate water service provision in different contexts</w:t>
      </w:r>
      <w:r>
        <w:t>.</w:t>
      </w:r>
    </w:p>
    <w:p w14:paraId="0490340A" w14:textId="77777777" w:rsidR="001054C3" w:rsidRDefault="001054C3" w:rsidP="00234FBE">
      <w:pPr>
        <w:pStyle w:val="Heading2"/>
      </w:pPr>
      <w:bookmarkStart w:id="156" w:name="_Toc63112494"/>
      <w:bookmarkStart w:id="157" w:name="_Toc72939532"/>
      <w:r w:rsidRPr="006F0B7F">
        <w:t>1</w:t>
      </w:r>
      <w:r>
        <w:t>1</w:t>
      </w:r>
      <w:r w:rsidRPr="006F0B7F">
        <w:t>.</w:t>
      </w:r>
      <w:r>
        <w:t>2</w:t>
      </w:r>
      <w:r w:rsidRPr="006F0B7F">
        <w:tab/>
      </w:r>
      <w:r>
        <w:t xml:space="preserve">Pricing and institutional arrangements </w:t>
      </w:r>
      <w:bookmarkEnd w:id="156"/>
      <w:r>
        <w:t>in a renewed NWI</w:t>
      </w:r>
      <w:bookmarkEnd w:id="157"/>
    </w:p>
    <w:p w14:paraId="2B2920ED" w14:textId="77777777" w:rsidR="001054C3" w:rsidRPr="00B84B88" w:rsidRDefault="001054C3" w:rsidP="00234FBE">
      <w:pPr>
        <w:pStyle w:val="Heading3"/>
        <w:spacing w:before="280"/>
      </w:pPr>
      <w:r w:rsidRPr="00B84B88">
        <w:t>Maintaining best-practice pricing and institutional arrangements</w:t>
      </w:r>
    </w:p>
    <w:p w14:paraId="63E0EDE6" w14:textId="77777777" w:rsidR="001054C3" w:rsidRPr="003422B2" w:rsidRDefault="001054C3" w:rsidP="00234FBE">
      <w:pPr>
        <w:pStyle w:val="BodyText"/>
      </w:pPr>
      <w:r>
        <w:t xml:space="preserve">The key NWI principles of water services pricing, along with the institutional arrangements underpinning water service provision, remain sound and should be retained within an updated </w:t>
      </w:r>
      <w:r w:rsidRPr="000C4C2B">
        <w:rPr>
          <w:i/>
        </w:rPr>
        <w:t xml:space="preserve">Best </w:t>
      </w:r>
      <w:r>
        <w:rPr>
          <w:i/>
        </w:rPr>
        <w:t>P</w:t>
      </w:r>
      <w:r w:rsidRPr="000C4C2B">
        <w:rPr>
          <w:i/>
        </w:rPr>
        <w:t xml:space="preserve">ractice </w:t>
      </w:r>
      <w:r>
        <w:rPr>
          <w:i/>
        </w:rPr>
        <w:t>P</w:t>
      </w:r>
      <w:r w:rsidRPr="000C4C2B">
        <w:rPr>
          <w:i/>
        </w:rPr>
        <w:t xml:space="preserve">ricing and </w:t>
      </w:r>
      <w:r>
        <w:rPr>
          <w:i/>
        </w:rPr>
        <w:t>I</w:t>
      </w:r>
      <w:r w:rsidRPr="000C4C2B">
        <w:rPr>
          <w:i/>
        </w:rPr>
        <w:t xml:space="preserve">nstitutional </w:t>
      </w:r>
      <w:r>
        <w:rPr>
          <w:i/>
        </w:rPr>
        <w:t>A</w:t>
      </w:r>
      <w:r w:rsidRPr="000C4C2B">
        <w:rPr>
          <w:i/>
        </w:rPr>
        <w:t>rrangements</w:t>
      </w:r>
      <w:r>
        <w:t xml:space="preserve"> element. Jurisdictions should look to modernise the specific provisions where possible, while maintaining the core principles. The detailed </w:t>
      </w:r>
      <w:r w:rsidRPr="003422B2">
        <w:rPr>
          <w:i/>
          <w:iCs/>
        </w:rPr>
        <w:t>NWI Pricing Principles</w:t>
      </w:r>
      <w:r>
        <w:t xml:space="preserve"> should also be retained and updated, with a direct link made in a renewed NWI between the NWI pricing requirements and the guidance contained within the </w:t>
      </w:r>
      <w:r w:rsidRPr="00F6335B">
        <w:rPr>
          <w:i/>
          <w:iCs/>
        </w:rPr>
        <w:t>NWI</w:t>
      </w:r>
      <w:r>
        <w:t xml:space="preserve"> </w:t>
      </w:r>
      <w:r w:rsidRPr="003422B2">
        <w:rPr>
          <w:i/>
          <w:iCs/>
        </w:rPr>
        <w:t>Pricing Principles</w:t>
      </w:r>
      <w:r>
        <w:t>.</w:t>
      </w:r>
    </w:p>
    <w:p w14:paraId="47138D89" w14:textId="77777777" w:rsidR="001054C3" w:rsidRDefault="001054C3" w:rsidP="00234FBE">
      <w:pPr>
        <w:pStyle w:val="BodyText"/>
      </w:pPr>
      <w:r>
        <w:t>C</w:t>
      </w:r>
      <w:r w:rsidRPr="00991635">
        <w:t>ost</w:t>
      </w:r>
      <w:r w:rsidRPr="00991635">
        <w:noBreakHyphen/>
        <w:t>reflective, consumption</w:t>
      </w:r>
      <w:r w:rsidRPr="00991635">
        <w:noBreakHyphen/>
        <w:t>based pricing</w:t>
      </w:r>
      <w:r>
        <w:t xml:space="preserve"> should continue to underpin water service delivery wherever possible, and any subsidies to high</w:t>
      </w:r>
      <w:r>
        <w:noBreakHyphen/>
        <w:t xml:space="preserve">cost regional and remote community services should be transparent. The distinction between upper and lower bound pricing outcomes (whereby smaller regional providers are subject to a less stringent full cost recovery requirement — </w:t>
      </w:r>
      <w:r>
        <w:rPr>
          <w:i/>
          <w:iCs/>
        </w:rPr>
        <w:t>Assessment</w:t>
      </w:r>
      <w:r w:rsidRPr="00B76206">
        <w:t>:</w:t>
      </w:r>
      <w:r>
        <w:t xml:space="preserve"> section 3.1) should be maintained. The indicators used in performance monitoring and reporting should align with these pricing requirements to enable ongoing assessment of progress (discussed below).</w:t>
      </w:r>
    </w:p>
    <w:p w14:paraId="542999B5" w14:textId="77777777" w:rsidR="001054C3" w:rsidRPr="000975D8" w:rsidRDefault="001054C3" w:rsidP="00234FBE">
      <w:pPr>
        <w:pStyle w:val="BodyText"/>
        <w:rPr>
          <w:spacing w:val="-2"/>
        </w:rPr>
      </w:pPr>
      <w:r w:rsidRPr="000975D8">
        <w:rPr>
          <w:spacing w:val="-2"/>
        </w:rPr>
        <w:t xml:space="preserve">In addition, there is scope to improve the efficiency of the urban water sector by further refining the </w:t>
      </w:r>
      <w:r w:rsidRPr="000975D8">
        <w:rPr>
          <w:i/>
          <w:iCs/>
          <w:spacing w:val="-2"/>
        </w:rPr>
        <w:t>NWI Pricing Principles</w:t>
      </w:r>
      <w:r w:rsidRPr="000975D8">
        <w:rPr>
          <w:spacing w:val="-2"/>
        </w:rPr>
        <w:t xml:space="preserve"> with respect to the treatment of developer charges and stormwater management. Specific advice on refining these aspects of the NWI is outlined in chapter 12.</w:t>
      </w:r>
    </w:p>
    <w:p w14:paraId="5AFAA5E5" w14:textId="77777777" w:rsidR="001054C3" w:rsidRDefault="001054C3" w:rsidP="00234FBE">
      <w:pPr>
        <w:pStyle w:val="BodyText"/>
      </w:pPr>
      <w:r w:rsidRPr="001B2215">
        <w:t xml:space="preserve">Further, </w:t>
      </w:r>
      <w:r>
        <w:t xml:space="preserve">the </w:t>
      </w:r>
      <w:r w:rsidRPr="001B2215">
        <w:t>institutional separation of water resource management, standard setting and regulatory enforcement from service delivery should be maintained in a renewed NWI</w:t>
      </w:r>
      <w:r>
        <w:t xml:space="preserve">. These institutional arrangements help ensure clear accountability and reduce the risk of </w:t>
      </w:r>
      <w:r w:rsidRPr="002270FB">
        <w:t>politicis</w:t>
      </w:r>
      <w:r>
        <w:t>ed infrastructure investment and pricing decisions. More specific detail on how institutional arrangements can help enable integrated water management as part of best</w:t>
      </w:r>
      <w:r>
        <w:noBreakHyphen/>
        <w:t>practice system planning in major cities is discussed in chapter </w:t>
      </w:r>
      <w:r w:rsidRPr="00235DD5">
        <w:t>12</w:t>
      </w:r>
      <w:r>
        <w:t>.</w:t>
      </w:r>
    </w:p>
    <w:p w14:paraId="5CBB26AB" w14:textId="77777777" w:rsidR="001054C3" w:rsidRPr="006F0B7F" w:rsidRDefault="001054C3" w:rsidP="00431D6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6F0B7F" w14:paraId="0F94DFA1"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2C75E38" w14:textId="77777777" w:rsidR="001054C3" w:rsidRPr="006F0B7F" w:rsidRDefault="001054C3" w:rsidP="00234FBE">
            <w:pPr>
              <w:pStyle w:val="FindingTitle"/>
              <w:spacing w:before="120"/>
              <w:rPr>
                <w:noProof/>
              </w:rPr>
            </w:pPr>
            <w:r w:rsidRPr="006F0B7F">
              <w:t xml:space="preserve">NWI Renewal advice </w:t>
            </w:r>
            <w:r>
              <w:t>11.1:</w:t>
            </w:r>
            <w:r w:rsidRPr="006F0B7F">
              <w:t xml:space="preserve"> </w:t>
            </w:r>
            <w:r>
              <w:t>maintain</w:t>
            </w:r>
            <w:r w:rsidRPr="006F0B7F">
              <w:t xml:space="preserve"> </w:t>
            </w:r>
            <w:r>
              <w:t xml:space="preserve">key principles of </w:t>
            </w:r>
            <w:r w:rsidRPr="006F0B7F">
              <w:t xml:space="preserve">service </w:t>
            </w:r>
            <w:r>
              <w:t>delivery</w:t>
            </w:r>
          </w:p>
          <w:p w14:paraId="057633A2" w14:textId="77777777" w:rsidR="001054C3" w:rsidRDefault="001054C3" w:rsidP="00234FBE">
            <w:pPr>
              <w:pStyle w:val="Finding"/>
            </w:pPr>
            <w:r w:rsidRPr="006F0B7F">
              <w:t>Jurisdictions should maintain the core principle of cost</w:t>
            </w:r>
            <w:r w:rsidRPr="006F0B7F">
              <w:noBreakHyphen/>
              <w:t>reflective</w:t>
            </w:r>
            <w:r>
              <w:t>, consumption</w:t>
            </w:r>
            <w:r>
              <w:noBreakHyphen/>
              <w:t>based</w:t>
            </w:r>
            <w:r w:rsidRPr="006F0B7F">
              <w:t xml:space="preserve"> pricing</w:t>
            </w:r>
            <w:r>
              <w:t xml:space="preserve"> </w:t>
            </w:r>
            <w:r w:rsidRPr="00985E18">
              <w:t>in a renewed National Water Initiative</w:t>
            </w:r>
            <w:r>
              <w:t>,</w:t>
            </w:r>
            <w:r w:rsidRPr="00985E18">
              <w:t xml:space="preserve"> </w:t>
            </w:r>
            <w:r>
              <w:t xml:space="preserve">with cost recovery from users. Jurisdictions should also update and recommit to the </w:t>
            </w:r>
            <w:r w:rsidRPr="00985E18">
              <w:rPr>
                <w:i/>
                <w:iCs/>
              </w:rPr>
              <w:t>National Water Initiative Pricing Principles</w:t>
            </w:r>
            <w:r>
              <w:t xml:space="preserve"> to </w:t>
            </w:r>
            <w:r w:rsidRPr="00CC13B1">
              <w:t>provide</w:t>
            </w:r>
            <w:r>
              <w:t xml:space="preserve"> guidance on achieving those pricing requirements, with direct reference to the pricing principles included in a renewed NWI.</w:t>
            </w:r>
          </w:p>
          <w:p w14:paraId="22A7848D" w14:textId="77777777" w:rsidR="001054C3" w:rsidRPr="006F0B7F" w:rsidRDefault="001054C3" w:rsidP="00234FBE">
            <w:pPr>
              <w:pStyle w:val="Finding"/>
            </w:pPr>
            <w:r>
              <w:t xml:space="preserve">Similarly, jurisdictions should </w:t>
            </w:r>
            <w:r w:rsidRPr="006F0B7F">
              <w:t>maintain institutional separation of water resource management, standard setting and regulatory enforcement from service delivery</w:t>
            </w:r>
            <w:r>
              <w:t>.</w:t>
            </w:r>
          </w:p>
        </w:tc>
      </w:tr>
      <w:tr w:rsidR="001054C3" w:rsidRPr="006F0B7F" w14:paraId="7689DAF5"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D53E520" w14:textId="77777777" w:rsidR="001054C3" w:rsidRPr="006F0B7F" w:rsidRDefault="001054C3" w:rsidP="00234FBE">
            <w:pPr>
              <w:keepNext/>
              <w:keepLines/>
              <w:spacing w:line="120" w:lineRule="exact"/>
              <w:jc w:val="both"/>
              <w:rPr>
                <w:rFonts w:ascii="Arial" w:hAnsi="Arial"/>
                <w:sz w:val="20"/>
                <w:szCs w:val="20"/>
              </w:rPr>
            </w:pPr>
          </w:p>
        </w:tc>
      </w:tr>
      <w:tr w:rsidR="001054C3" w:rsidRPr="006F0B7F" w14:paraId="59AD9CE5" w14:textId="77777777" w:rsidTr="00234FBE">
        <w:tc>
          <w:tcPr>
            <w:tcW w:w="5000" w:type="pct"/>
            <w:tcBorders>
              <w:top w:val="single" w:sz="6" w:space="0" w:color="0070C0"/>
              <w:left w:val="nil"/>
              <w:bottom w:val="nil"/>
              <w:right w:val="nil"/>
            </w:tcBorders>
            <w:tcMar>
              <w:left w:w="170" w:type="dxa"/>
              <w:right w:w="170" w:type="dxa"/>
            </w:tcMar>
          </w:tcPr>
          <w:p w14:paraId="21A1DD25" w14:textId="77777777" w:rsidR="001054C3" w:rsidRPr="006F0B7F" w:rsidRDefault="001054C3" w:rsidP="00234FBE">
            <w:pPr>
              <w:keepLines/>
              <w:spacing w:before="60" w:after="60" w:line="80" w:lineRule="exact"/>
              <w:jc w:val="both"/>
              <w:rPr>
                <w:rFonts w:ascii="Arial" w:hAnsi="Arial"/>
                <w:sz w:val="14"/>
                <w:szCs w:val="20"/>
              </w:rPr>
            </w:pPr>
          </w:p>
        </w:tc>
      </w:tr>
    </w:tbl>
    <w:p w14:paraId="7468EFD4" w14:textId="77777777" w:rsidR="001054C3" w:rsidRDefault="001054C3" w:rsidP="00234FBE">
      <w:pPr>
        <w:pStyle w:val="Heading3"/>
      </w:pPr>
      <w:bookmarkStart w:id="158" w:name="_Toc63112496"/>
      <w:r>
        <w:t>Improving the quality of</w:t>
      </w:r>
      <w:r w:rsidRPr="006F0B7F">
        <w:t xml:space="preserve"> independent economic </w:t>
      </w:r>
      <w:r>
        <w:t>oversight</w:t>
      </w:r>
    </w:p>
    <w:bookmarkEnd w:id="158"/>
    <w:p w14:paraId="78C594C5" w14:textId="251E4ED2" w:rsidR="001054C3" w:rsidRDefault="001054C3" w:rsidP="00234FBE">
      <w:pPr>
        <w:pStyle w:val="BodyText"/>
      </w:pPr>
      <w:r w:rsidRPr="00845E89">
        <w:t>Water service</w:t>
      </w:r>
      <w:r>
        <w:t xml:space="preserve"> providers are subject to a broad range of regulation, including health, environmental and safety standards, as well as economic regulation. Where these regulations are not designed efficiently, they can unduly increase business costs (which are then passed on to users) or limit the scope for integrated management across the urban water cycle </w:t>
      </w:r>
      <w:r w:rsidR="00C67DB3" w:rsidRPr="00C67DB3">
        <w:rPr>
          <w:szCs w:val="24"/>
        </w:rPr>
        <w:t>(PC 2017b, section 6.4)</w:t>
      </w:r>
      <w:r>
        <w:t>.</w:t>
      </w:r>
    </w:p>
    <w:p w14:paraId="4EE9340A" w14:textId="77777777" w:rsidR="001054C3" w:rsidRPr="00431D61" w:rsidRDefault="001054C3" w:rsidP="00234FBE">
      <w:pPr>
        <w:pStyle w:val="BodyText"/>
        <w:rPr>
          <w:spacing w:val="-2"/>
        </w:rPr>
      </w:pPr>
      <w:r w:rsidRPr="00431D61">
        <w:rPr>
          <w:spacing w:val="-2"/>
        </w:rPr>
        <w:t>A renewed NWI should have regard for the impacts of those health, environmental and safety regulations on service providers, where applicable. Jurisdictions could commit to ensuring that those regulations are effective at protecting the public interest, without imposing unnecessary costs, or unduly impeding integrated management or innovative water supply options.</w:t>
      </w:r>
    </w:p>
    <w:p w14:paraId="637E41D1" w14:textId="77777777" w:rsidR="001054C3" w:rsidRPr="00845E89" w:rsidRDefault="001054C3" w:rsidP="00234FBE">
      <w:pPr>
        <w:pStyle w:val="BodyText"/>
      </w:pPr>
      <w:r>
        <w:t>More specifically, as part of the pricing element, jurisdictions should commit to principles of best</w:t>
      </w:r>
      <w:r>
        <w:noBreakHyphen/>
        <w:t>practice economic regulation, to oversee provider performance, as well as a fit</w:t>
      </w:r>
      <w:r>
        <w:noBreakHyphen/>
        <w:t>for</w:t>
      </w:r>
      <w:r>
        <w:noBreakHyphen/>
        <w:t xml:space="preserve">purpose </w:t>
      </w:r>
      <w:r w:rsidRPr="006F0B7F">
        <w:t xml:space="preserve">framework to guide where different models of economic oversight </w:t>
      </w:r>
      <w:r>
        <w:t>should</w:t>
      </w:r>
      <w:r w:rsidRPr="006F0B7F">
        <w:t xml:space="preserve"> be applied, based on context</w:t>
      </w:r>
      <w:r>
        <w:t>.</w:t>
      </w:r>
    </w:p>
    <w:p w14:paraId="7DAFD520" w14:textId="77777777" w:rsidR="001054C3" w:rsidRDefault="001054C3" w:rsidP="00234FBE">
      <w:pPr>
        <w:pStyle w:val="Heading4"/>
        <w:spacing w:before="240"/>
      </w:pPr>
      <w:r>
        <w:t>Defining best-practice independent economic regulation</w:t>
      </w:r>
    </w:p>
    <w:p w14:paraId="5D902389" w14:textId="77777777" w:rsidR="001054C3" w:rsidRDefault="001054C3" w:rsidP="00234FBE">
      <w:pPr>
        <w:pStyle w:val="BodyText"/>
      </w:pPr>
      <w:r w:rsidRPr="006F0B7F">
        <w:t>Best</w:t>
      </w:r>
      <w:r>
        <w:noBreakHyphen/>
      </w:r>
      <w:r w:rsidRPr="006F0B7F">
        <w:t xml:space="preserve">practice independent economic regulation delivers transparent scrutiny of </w:t>
      </w:r>
      <w:r>
        <w:t>service providers.</w:t>
      </w:r>
      <w:r w:rsidRPr="006F0B7F">
        <w:t xml:space="preserve"> </w:t>
      </w:r>
      <w:r>
        <w:t xml:space="preserve">It </w:t>
      </w:r>
      <w:r w:rsidRPr="006F0B7F">
        <w:t>support</w:t>
      </w:r>
      <w:r>
        <w:t>s</w:t>
      </w:r>
      <w:r w:rsidRPr="006F0B7F">
        <w:t xml:space="preserve"> customer preferences</w:t>
      </w:r>
      <w:r>
        <w:t xml:space="preserve"> and protects their interests, while</w:t>
      </w:r>
      <w:r w:rsidRPr="006F0B7F">
        <w:t xml:space="preserve"> avoiding excessive costs on regulated entities, </w:t>
      </w:r>
      <w:r>
        <w:t>customers</w:t>
      </w:r>
      <w:r w:rsidRPr="006F0B7F">
        <w:t xml:space="preserve"> </w:t>
      </w:r>
      <w:r>
        <w:t xml:space="preserve">and </w:t>
      </w:r>
      <w:r w:rsidRPr="006F0B7F">
        <w:t xml:space="preserve">taxpayers. </w:t>
      </w:r>
      <w:r>
        <w:t>Done well, i</w:t>
      </w:r>
      <w:r w:rsidRPr="006F0B7F">
        <w:t xml:space="preserve">t prevents water service providers from </w:t>
      </w:r>
      <w:r>
        <w:t>exercising market power</w:t>
      </w:r>
      <w:r w:rsidRPr="006F0B7F">
        <w:t xml:space="preserve"> by charging excessive prices and/or providing poorer service quality</w:t>
      </w:r>
      <w:r>
        <w:t>, while ensuring those providers can be financially sustainable</w:t>
      </w:r>
      <w:r w:rsidRPr="006F0B7F">
        <w:t>. It also reduces the risk that government</w:t>
      </w:r>
      <w:r w:rsidRPr="006F0B7F">
        <w:noBreakHyphen/>
        <w:t xml:space="preserve">owned </w:t>
      </w:r>
      <w:r>
        <w:t xml:space="preserve">providers </w:t>
      </w:r>
      <w:r w:rsidRPr="006F0B7F">
        <w:t>may be directed to keep water prices low (meaning less resourcing for maintenance and renewals</w:t>
      </w:r>
      <w:r>
        <w:t>,</w:t>
      </w:r>
      <w:r w:rsidRPr="006F0B7F">
        <w:t xml:space="preserve"> and deferral of investment in ways that undermine long</w:t>
      </w:r>
      <w:r w:rsidRPr="006F0B7F">
        <w:noBreakHyphen/>
        <w:t>term planning)</w:t>
      </w:r>
      <w:r>
        <w:t>, or directed to undertake investments that may not be in the interest of the community</w:t>
      </w:r>
      <w:r w:rsidRPr="006F0B7F">
        <w:t>. And it drives governments to provide clear policy direction by outlining their expectations for service providers, while improving the transparency of planning, investment and management decisions.</w:t>
      </w:r>
    </w:p>
    <w:p w14:paraId="7DB022CC" w14:textId="77777777" w:rsidR="001054C3" w:rsidRPr="001D3E28" w:rsidRDefault="001054C3" w:rsidP="00234FBE">
      <w:pPr>
        <w:pStyle w:val="BodyText"/>
      </w:pPr>
      <w:r w:rsidRPr="006F0B7F">
        <w:lastRenderedPageBreak/>
        <w:t>Under the NWI, governments agreed to use independent bodies to set or review prices</w:t>
      </w:r>
      <w:r>
        <w:t xml:space="preserve"> for government</w:t>
      </w:r>
      <w:r>
        <w:noBreakHyphen/>
        <w:t>owned service providers</w:t>
      </w:r>
      <w:r w:rsidRPr="006F0B7F">
        <w:t xml:space="preserve"> on a case</w:t>
      </w:r>
      <w:r w:rsidRPr="006F0B7F">
        <w:noBreakHyphen/>
        <w:t>by</w:t>
      </w:r>
      <w:r w:rsidRPr="006F0B7F">
        <w:noBreakHyphen/>
        <w:t>case basis</w:t>
      </w:r>
      <w:r>
        <w:t>.</w:t>
      </w:r>
      <w:r>
        <w:rPr>
          <w:rStyle w:val="FootnoteReference"/>
        </w:rPr>
        <w:footnoteReference w:id="37"/>
      </w:r>
      <w:r w:rsidRPr="006F0B7F">
        <w:t xml:space="preserve"> This has </w:t>
      </w:r>
      <w:r>
        <w:t>enabled</w:t>
      </w:r>
      <w:r w:rsidRPr="006F0B7F">
        <w:t xml:space="preserve"> significant diversity in the quality of independent economic regulation across the water sector and inquiry participants have highlighted shortcomings: VPA (sub. 20, p. 3) noted that the current model has constrained innovation; LGAQ (sub. 32, p. 5) supported it in principle, but </w:t>
      </w:r>
      <w:r>
        <w:t xml:space="preserve">noted that </w:t>
      </w:r>
      <w:r w:rsidRPr="006F0B7F">
        <w:t>experience has shown that it can be ‘an expensive exercise which added to retailer costs’ without demonstrating effectiveness; and WSAA (sub. 88, p. 3</w:t>
      </w:r>
      <w:r>
        <w:t>8</w:t>
      </w:r>
      <w:r w:rsidRPr="006F0B7F">
        <w:t>) noted that further improvements are needed to meet best practice</w:t>
      </w:r>
      <w:r>
        <w:t>.</w:t>
      </w:r>
    </w:p>
    <w:p w14:paraId="6933D8C1" w14:textId="77777777" w:rsidR="001054C3" w:rsidRPr="006F0B7F" w:rsidRDefault="001054C3" w:rsidP="00234FBE">
      <w:pPr>
        <w:pStyle w:val="BodyText"/>
        <w:keepNext/>
      </w:pPr>
      <w:r w:rsidRPr="006F0B7F">
        <w:t>Best</w:t>
      </w:r>
      <w:r>
        <w:noBreakHyphen/>
      </w:r>
      <w:r w:rsidRPr="006F0B7F">
        <w:t xml:space="preserve">practice independent economic regulation </w:t>
      </w:r>
      <w:r>
        <w:t>of urban, rural and bulk water service providers</w:t>
      </w:r>
      <w:r w:rsidRPr="006F0B7F">
        <w:t xml:space="preserve"> has a number of </w:t>
      </w:r>
      <w:r>
        <w:t xml:space="preserve">key </w:t>
      </w:r>
      <w:r w:rsidRPr="006F0B7F">
        <w:t xml:space="preserve">characteristics, and principles in line with </w:t>
      </w:r>
      <w:r>
        <w:t>those characteristics sh</w:t>
      </w:r>
      <w:r w:rsidRPr="006F0B7F">
        <w:t>ould be included in a renewed NWI.</w:t>
      </w:r>
    </w:p>
    <w:p w14:paraId="050F4CA4" w14:textId="77777777" w:rsidR="001054C3" w:rsidRPr="006F0B7F" w:rsidRDefault="001054C3" w:rsidP="00234FBE">
      <w:pPr>
        <w:pStyle w:val="ListBullet"/>
      </w:pPr>
      <w:r w:rsidRPr="006F0B7F">
        <w:rPr>
          <w:i/>
          <w:iCs/>
          <w:spacing w:val="-2"/>
        </w:rPr>
        <w:t>Regulators’ primary objective is to promote the long</w:t>
      </w:r>
      <w:r w:rsidRPr="006F0B7F">
        <w:rPr>
          <w:i/>
          <w:iCs/>
          <w:spacing w:val="-2"/>
        </w:rPr>
        <w:noBreakHyphen/>
        <w:t>term interests of customers.</w:t>
      </w:r>
      <w:r w:rsidRPr="006F0B7F">
        <w:rPr>
          <w:spacing w:val="-2"/>
        </w:rPr>
        <w:t xml:space="preserve"> Best</w:t>
      </w:r>
      <w:r>
        <w:rPr>
          <w:spacing w:val="-2"/>
        </w:rPr>
        <w:noBreakHyphen/>
      </w:r>
      <w:r w:rsidRPr="006F0B7F">
        <w:rPr>
          <w:spacing w:val="-2"/>
        </w:rPr>
        <w:t>practice regulat</w:t>
      </w:r>
      <w:r>
        <w:rPr>
          <w:spacing w:val="-2"/>
        </w:rPr>
        <w:t>ion</w:t>
      </w:r>
      <w:r w:rsidRPr="006F0B7F">
        <w:rPr>
          <w:spacing w:val="-2"/>
        </w:rPr>
        <w:t xml:space="preserve"> </w:t>
      </w:r>
      <w:r w:rsidRPr="006F0B7F">
        <w:t>focus</w:t>
      </w:r>
      <w:r>
        <w:t>es</w:t>
      </w:r>
      <w:r w:rsidRPr="006F0B7F">
        <w:t xml:space="preserve"> on ensuring that customers receive services of the desired quality at the lowest sustainable cost, while encouraging innovation if customers ultimately benefit — that is, </w:t>
      </w:r>
      <w:r w:rsidRPr="006F0B7F">
        <w:rPr>
          <w:i/>
          <w:iCs/>
        </w:rPr>
        <w:t>utilities face incentives to innovate and increase efficiency</w:t>
      </w:r>
      <w:r w:rsidRPr="006F0B7F">
        <w:t>.</w:t>
      </w:r>
    </w:p>
    <w:p w14:paraId="36FBF1F7" w14:textId="77777777" w:rsidR="001054C3" w:rsidRPr="006F0B7F" w:rsidRDefault="001054C3" w:rsidP="00234FBE">
      <w:pPr>
        <w:pStyle w:val="ListBullet"/>
      </w:pPr>
      <w:r w:rsidRPr="006F0B7F">
        <w:rPr>
          <w:i/>
          <w:iCs/>
        </w:rPr>
        <w:t>Regulato</w:t>
      </w:r>
      <w:r>
        <w:rPr>
          <w:i/>
          <w:iCs/>
        </w:rPr>
        <w:t>ry decision</w:t>
      </w:r>
      <w:r>
        <w:rPr>
          <w:i/>
          <w:iCs/>
        </w:rPr>
        <w:noBreakHyphen/>
        <w:t>making</w:t>
      </w:r>
      <w:r w:rsidRPr="006F0B7F">
        <w:rPr>
          <w:i/>
          <w:iCs/>
        </w:rPr>
        <w:t xml:space="preserve"> </w:t>
      </w:r>
      <w:r>
        <w:rPr>
          <w:i/>
          <w:iCs/>
        </w:rPr>
        <w:t xml:space="preserve">processes take </w:t>
      </w:r>
      <w:r w:rsidRPr="006F0B7F">
        <w:rPr>
          <w:i/>
          <w:iCs/>
        </w:rPr>
        <w:t>customer and community preferences</w:t>
      </w:r>
      <w:r>
        <w:rPr>
          <w:i/>
          <w:iCs/>
        </w:rPr>
        <w:t xml:space="preserve"> into account</w:t>
      </w:r>
      <w:r w:rsidRPr="006F0B7F">
        <w:rPr>
          <w:i/>
          <w:iCs/>
        </w:rPr>
        <w:t>,</w:t>
      </w:r>
      <w:r>
        <w:rPr>
          <w:i/>
          <w:iCs/>
        </w:rPr>
        <w:t xml:space="preserve"> as</w:t>
      </w:r>
      <w:r w:rsidRPr="006F0B7F">
        <w:rPr>
          <w:i/>
          <w:iCs/>
        </w:rPr>
        <w:t xml:space="preserve"> determined through transparent engagement with </w:t>
      </w:r>
      <w:r>
        <w:rPr>
          <w:i/>
          <w:iCs/>
        </w:rPr>
        <w:t>those parties</w:t>
      </w:r>
      <w:r w:rsidRPr="006F0B7F">
        <w:rPr>
          <w:i/>
          <w:iCs/>
        </w:rPr>
        <w:t>.</w:t>
      </w:r>
      <w:r w:rsidRPr="006F0B7F">
        <w:t xml:space="preserve"> This </w:t>
      </w:r>
      <w:r>
        <w:t>ensures that</w:t>
      </w:r>
      <w:r w:rsidRPr="006F0B7F">
        <w:t xml:space="preserve"> utilities tailor their services to what </w:t>
      </w:r>
      <w:r>
        <w:t xml:space="preserve">their </w:t>
      </w:r>
      <w:r w:rsidRPr="006F0B7F">
        <w:t>customers value.</w:t>
      </w:r>
    </w:p>
    <w:p w14:paraId="7A7E6805" w14:textId="77777777" w:rsidR="001054C3" w:rsidRPr="006F0B7F" w:rsidRDefault="001054C3" w:rsidP="00234FBE">
      <w:pPr>
        <w:pStyle w:val="ListBullet"/>
      </w:pPr>
      <w:r w:rsidRPr="006F0B7F">
        <w:rPr>
          <w:i/>
          <w:iCs/>
        </w:rPr>
        <w:t>Prices reflect efficient costs.</w:t>
      </w:r>
      <w:r w:rsidRPr="006F0B7F">
        <w:t xml:space="preserve"> Pricing below the full cost of service provision tends to impose higher costs in the future through inflating demand for water, imposing fiscal costs on governments or constraining the ability of utilities to invest sustainably to maintain and replace their assets. Moreover, while regulatory decisions typically constrain prices, </w:t>
      </w:r>
      <w:r w:rsidRPr="006F0B7F">
        <w:rPr>
          <w:i/>
        </w:rPr>
        <w:t xml:space="preserve">regulatory </w:t>
      </w:r>
      <w:r w:rsidRPr="006F0B7F">
        <w:rPr>
          <w:i/>
          <w:iCs/>
        </w:rPr>
        <w:t>decisions do not compromise the financial viability of utilities</w:t>
      </w:r>
      <w:r w:rsidRPr="006F0B7F">
        <w:t>.</w:t>
      </w:r>
      <w:r>
        <w:t xml:space="preserve"> Regulators should identify where the b</w:t>
      </w:r>
      <w:r w:rsidRPr="00A253BD">
        <w:t xml:space="preserve">orrowing or dividend decisions </w:t>
      </w:r>
      <w:r>
        <w:t>of utility</w:t>
      </w:r>
      <w:r w:rsidRPr="00A253BD">
        <w:t xml:space="preserve"> shareholders place </w:t>
      </w:r>
      <w:r>
        <w:t>a</w:t>
      </w:r>
      <w:r w:rsidRPr="00A253BD">
        <w:t xml:space="preserve"> utility in a financially unsustainable position</w:t>
      </w:r>
      <w:r>
        <w:t xml:space="preserve"> and </w:t>
      </w:r>
      <w:r w:rsidRPr="00A253BD">
        <w:t xml:space="preserve">refer </w:t>
      </w:r>
      <w:r>
        <w:t xml:space="preserve">those decisions </w:t>
      </w:r>
      <w:r w:rsidRPr="00A253BD">
        <w:t>to the utility and shareholders to address</w:t>
      </w:r>
      <w:r>
        <w:t xml:space="preserve"> (IPART, sub. DR168, p. 3).</w:t>
      </w:r>
    </w:p>
    <w:p w14:paraId="5E69791B" w14:textId="77777777" w:rsidR="001054C3" w:rsidRPr="006F0B7F" w:rsidRDefault="001054C3" w:rsidP="00234FBE">
      <w:pPr>
        <w:pStyle w:val="ListBullet"/>
      </w:pPr>
      <w:r w:rsidRPr="006F0B7F">
        <w:rPr>
          <w:i/>
          <w:iCs/>
        </w:rPr>
        <w:t>Regulatory processes facilitate competition</w:t>
      </w:r>
      <w:r w:rsidRPr="006F0B7F">
        <w:t>. Processes do not affect whether services are delivered by incumbent monopoly utilities or alternative providers. To support competition</w:t>
      </w:r>
      <w:r>
        <w:t xml:space="preserve"> in potentially contestable parts of the industry</w:t>
      </w:r>
      <w:r w:rsidRPr="006F0B7F">
        <w:t xml:space="preserve">, </w:t>
      </w:r>
      <w:r>
        <w:t xml:space="preserve">processes should </w:t>
      </w:r>
      <w:r w:rsidRPr="006F0B7F">
        <w:t>make the costs of sub</w:t>
      </w:r>
      <w:r w:rsidRPr="006F0B7F">
        <w:noBreakHyphen/>
        <w:t xml:space="preserve">components of the water supply chain transparent, allowing providers to compete on a level playing field to supply different components. This should include consideration of an access regime </w:t>
      </w:r>
      <w:r>
        <w:t>whereby</w:t>
      </w:r>
      <w:r w:rsidRPr="006F0B7F">
        <w:t xml:space="preserve"> private participants </w:t>
      </w:r>
      <w:r>
        <w:t xml:space="preserve">can </w:t>
      </w:r>
      <w:r w:rsidRPr="006F0B7F">
        <w:t>access monopoly infrastructure</w:t>
      </w:r>
      <w:r>
        <w:t>.</w:t>
      </w:r>
    </w:p>
    <w:p w14:paraId="0F57F33A" w14:textId="77777777" w:rsidR="001054C3" w:rsidRPr="006F0B7F" w:rsidRDefault="001054C3" w:rsidP="00234FBE">
      <w:pPr>
        <w:pStyle w:val="ListBullet"/>
      </w:pPr>
      <w:r w:rsidRPr="006F0B7F">
        <w:rPr>
          <w:i/>
          <w:iCs/>
        </w:rPr>
        <w:t>Regulators’ processes are transparent and feedback is accommodated.</w:t>
      </w:r>
      <w:r w:rsidRPr="006F0B7F">
        <w:t xml:space="preserve"> In particular, the rationale underlying any regulatory decisions is detailed and </w:t>
      </w:r>
      <w:r w:rsidRPr="00F1171E">
        <w:rPr>
          <w:i/>
        </w:rPr>
        <w:t>regulatory frameworks can adapt</w:t>
      </w:r>
      <w:r w:rsidRPr="006F0B7F">
        <w:t xml:space="preserve"> where feedback suggests it would promote customers’ interests.</w:t>
      </w:r>
    </w:p>
    <w:p w14:paraId="3C1AB98F" w14:textId="77777777" w:rsidR="001054C3" w:rsidRDefault="001054C3" w:rsidP="00234FBE">
      <w:pPr>
        <w:pStyle w:val="BodyText"/>
      </w:pPr>
      <w:r w:rsidRPr="006F0B7F">
        <w:t>Regulators must also be supported by appropriate governance and institutional arrangements. Ensuring that economic regulation is transparent and independent provides accountability, better aligning regulatory decisions with long</w:t>
      </w:r>
      <w:r w:rsidRPr="006F0B7F">
        <w:noBreakHyphen/>
        <w:t>term consumer interests.</w:t>
      </w:r>
    </w:p>
    <w:p w14:paraId="684D7358" w14:textId="77777777" w:rsidR="001054C3" w:rsidRPr="006F0B7F"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rsidRPr="006F0B7F" w14:paraId="35DA8B41" w14:textId="77777777" w:rsidTr="00234FBE">
        <w:trPr>
          <w:cantSplit/>
          <w:tblHeader/>
        </w:trPr>
        <w:tc>
          <w:tcPr>
            <w:tcW w:w="5000" w:type="pct"/>
            <w:tcBorders>
              <w:top w:val="single" w:sz="6" w:space="0" w:color="0070C0"/>
              <w:left w:val="nil"/>
              <w:bottom w:val="nil"/>
              <w:right w:val="nil"/>
            </w:tcBorders>
            <w:shd w:val="clear" w:color="auto" w:fill="CBDDF2" w:themeFill="background2" w:themeFillTint="33"/>
          </w:tcPr>
          <w:p w14:paraId="7E4EF359" w14:textId="77777777" w:rsidR="001054C3" w:rsidRPr="006F0B7F" w:rsidRDefault="001054C3" w:rsidP="00234FBE">
            <w:pPr>
              <w:pStyle w:val="FindingTitle"/>
              <w:spacing w:before="120"/>
            </w:pPr>
            <w:r w:rsidRPr="006C08D8">
              <w:t>NWI</w:t>
            </w:r>
            <w:r w:rsidRPr="006F0B7F">
              <w:t xml:space="preserve"> Renewal advice </w:t>
            </w:r>
            <w:r>
              <w:t>11.2:</w:t>
            </w:r>
            <w:r w:rsidRPr="006F0B7F">
              <w:t xml:space="preserve"> Principles for best</w:t>
            </w:r>
            <w:r>
              <w:noBreakHyphen/>
            </w:r>
            <w:r w:rsidRPr="006F0B7F">
              <w:t xml:space="preserve">practice </w:t>
            </w:r>
            <w:r>
              <w:t xml:space="preserve">Independent </w:t>
            </w:r>
            <w:r w:rsidRPr="006F0B7F">
              <w:t>economic regulation</w:t>
            </w:r>
          </w:p>
        </w:tc>
      </w:tr>
      <w:tr w:rsidR="001054C3" w:rsidRPr="006F0B7F" w14:paraId="3619EA01" w14:textId="77777777" w:rsidTr="00234FBE">
        <w:trPr>
          <w:cantSplit/>
        </w:trPr>
        <w:tc>
          <w:tcPr>
            <w:tcW w:w="5000" w:type="pct"/>
            <w:tcBorders>
              <w:top w:val="nil"/>
              <w:left w:val="nil"/>
              <w:bottom w:val="nil"/>
              <w:right w:val="nil"/>
            </w:tcBorders>
            <w:shd w:val="clear" w:color="auto" w:fill="CBDDF2" w:themeFill="background2" w:themeFillTint="33"/>
          </w:tcPr>
          <w:p w14:paraId="1C1D0213" w14:textId="77777777" w:rsidR="001054C3" w:rsidRPr="006F0B7F" w:rsidRDefault="001054C3" w:rsidP="00234FBE">
            <w:pPr>
              <w:pStyle w:val="Rec"/>
              <w:keepNext/>
            </w:pPr>
            <w:r w:rsidRPr="006F0B7F">
              <w:t xml:space="preserve">The following national </w:t>
            </w:r>
            <w:r>
              <w:t>best</w:t>
            </w:r>
            <w:r>
              <w:noBreakHyphen/>
              <w:t xml:space="preserve">practice </w:t>
            </w:r>
            <w:r w:rsidRPr="006F0B7F">
              <w:t>principles would improve the quality and consistency of</w:t>
            </w:r>
            <w:r>
              <w:t xml:space="preserve"> independent</w:t>
            </w:r>
            <w:r w:rsidRPr="006F0B7F">
              <w:t xml:space="preserve"> economic regulation </w:t>
            </w:r>
            <w:r>
              <w:t>of</w:t>
            </w:r>
            <w:r w:rsidRPr="006F0B7F">
              <w:t xml:space="preserve"> water </w:t>
            </w:r>
            <w:r>
              <w:t>service providers</w:t>
            </w:r>
            <w:r w:rsidRPr="006F0B7F">
              <w:t>.</w:t>
            </w:r>
          </w:p>
          <w:p w14:paraId="1FE554FE" w14:textId="77777777" w:rsidR="001054C3" w:rsidRPr="006F0B7F" w:rsidRDefault="001054C3" w:rsidP="00234FBE">
            <w:pPr>
              <w:pStyle w:val="RecBullet"/>
              <w:keepNext/>
              <w:rPr>
                <w:iCs/>
              </w:rPr>
            </w:pPr>
            <w:r w:rsidRPr="00D43320">
              <w:rPr>
                <w:iCs/>
              </w:rPr>
              <w:t xml:space="preserve">Regulatory </w:t>
            </w:r>
            <w:r>
              <w:rPr>
                <w:iCs/>
              </w:rPr>
              <w:t>d</w:t>
            </w:r>
            <w:r w:rsidRPr="006F0B7F">
              <w:rPr>
                <w:iCs/>
              </w:rPr>
              <w:t>ecisions are guided by the objective of promoting the long</w:t>
            </w:r>
            <w:r w:rsidRPr="006F0B7F">
              <w:rPr>
                <w:iCs/>
              </w:rPr>
              <w:noBreakHyphen/>
              <w:t>term interests of customers.</w:t>
            </w:r>
          </w:p>
          <w:p w14:paraId="3BFA4FB1" w14:textId="77777777" w:rsidR="001054C3" w:rsidRPr="006F0B7F" w:rsidRDefault="001054C3" w:rsidP="00234FBE">
            <w:pPr>
              <w:pStyle w:val="RecBullet"/>
              <w:keepNext/>
              <w:rPr>
                <w:iCs/>
              </w:rPr>
            </w:pPr>
            <w:r w:rsidRPr="006F0B7F">
              <w:rPr>
                <w:iCs/>
              </w:rPr>
              <w:t>Utilities have incentives to innovate and improve their efficiency.</w:t>
            </w:r>
          </w:p>
          <w:p w14:paraId="0CD014B7" w14:textId="77777777" w:rsidR="001054C3" w:rsidRPr="006F0B7F" w:rsidRDefault="001054C3" w:rsidP="00234FBE">
            <w:pPr>
              <w:pStyle w:val="RecBullet"/>
              <w:keepNext/>
              <w:rPr>
                <w:iCs/>
              </w:rPr>
            </w:pPr>
            <w:r w:rsidRPr="006F0B7F">
              <w:rPr>
                <w:iCs/>
              </w:rPr>
              <w:t>Regulatory decision</w:t>
            </w:r>
            <w:r>
              <w:rPr>
                <w:iCs/>
              </w:rPr>
              <w:noBreakHyphen/>
              <w:t>making processes</w:t>
            </w:r>
            <w:r w:rsidRPr="006F0B7F">
              <w:rPr>
                <w:iCs/>
              </w:rPr>
              <w:t xml:space="preserve"> include effective customer and community engagement.</w:t>
            </w:r>
          </w:p>
          <w:p w14:paraId="25B77B09" w14:textId="77777777" w:rsidR="001054C3" w:rsidRPr="006F0B7F" w:rsidRDefault="001054C3" w:rsidP="00234FBE">
            <w:pPr>
              <w:pStyle w:val="RecBullet"/>
              <w:keepNext/>
              <w:rPr>
                <w:iCs/>
              </w:rPr>
            </w:pPr>
            <w:r w:rsidRPr="006F0B7F">
              <w:rPr>
                <w:iCs/>
              </w:rPr>
              <w:t>Prices reflect the full efficient cost of service provision.</w:t>
            </w:r>
          </w:p>
          <w:p w14:paraId="0AF7D7D9" w14:textId="77777777" w:rsidR="001054C3" w:rsidRPr="006F0B7F" w:rsidRDefault="001054C3" w:rsidP="00234FBE">
            <w:pPr>
              <w:pStyle w:val="RecBullet"/>
              <w:keepNext/>
              <w:rPr>
                <w:iCs/>
              </w:rPr>
            </w:pPr>
            <w:r w:rsidRPr="006F0B7F">
              <w:rPr>
                <w:iCs/>
              </w:rPr>
              <w:t>Regulatory decisions consider the long</w:t>
            </w:r>
            <w:r w:rsidRPr="006F0B7F">
              <w:rPr>
                <w:iCs/>
              </w:rPr>
              <w:noBreakHyphen/>
              <w:t>term financial viability of utilities.</w:t>
            </w:r>
          </w:p>
          <w:p w14:paraId="61204F8F" w14:textId="77777777" w:rsidR="001054C3" w:rsidRPr="006F0B7F" w:rsidRDefault="001054C3" w:rsidP="00234FBE">
            <w:pPr>
              <w:pStyle w:val="RecBullet"/>
              <w:keepNext/>
              <w:rPr>
                <w:iCs/>
              </w:rPr>
            </w:pPr>
            <w:r w:rsidRPr="006F0B7F">
              <w:rPr>
                <w:iCs/>
              </w:rPr>
              <w:t>Regulatory processes facilitate effective competition in potentially contestable parts of the industry.</w:t>
            </w:r>
          </w:p>
          <w:p w14:paraId="2F9915D7" w14:textId="77777777" w:rsidR="001054C3" w:rsidRPr="006F0B7F" w:rsidRDefault="001054C3" w:rsidP="00234FBE">
            <w:pPr>
              <w:pStyle w:val="RecBullet"/>
              <w:keepNext/>
              <w:rPr>
                <w:iCs/>
              </w:rPr>
            </w:pPr>
            <w:r w:rsidRPr="006F0B7F">
              <w:rPr>
                <w:iCs/>
              </w:rPr>
              <w:t>Regulatory processes are transparent to allow scrutiny.</w:t>
            </w:r>
          </w:p>
          <w:p w14:paraId="1EE79A5F" w14:textId="77777777" w:rsidR="001054C3" w:rsidRPr="006F0B7F" w:rsidRDefault="001054C3" w:rsidP="00234FBE">
            <w:pPr>
              <w:pStyle w:val="RecBullet"/>
              <w:keepNext/>
            </w:pPr>
            <w:r w:rsidRPr="006F0B7F">
              <w:rPr>
                <w:iCs/>
              </w:rPr>
              <w:t>Regulatory frameworks are adaptable and flexible.</w:t>
            </w:r>
          </w:p>
        </w:tc>
      </w:tr>
      <w:tr w:rsidR="001054C3" w:rsidRPr="006F0B7F" w14:paraId="103007D3" w14:textId="77777777" w:rsidTr="00234FBE">
        <w:trPr>
          <w:cantSplit/>
        </w:trPr>
        <w:tc>
          <w:tcPr>
            <w:tcW w:w="5000" w:type="pct"/>
            <w:tcBorders>
              <w:top w:val="nil"/>
              <w:left w:val="nil"/>
              <w:bottom w:val="single" w:sz="6" w:space="0" w:color="0070C0"/>
              <w:right w:val="nil"/>
            </w:tcBorders>
            <w:shd w:val="clear" w:color="auto" w:fill="CBDDF2" w:themeFill="background2" w:themeFillTint="33"/>
          </w:tcPr>
          <w:p w14:paraId="1B330ABF" w14:textId="77777777" w:rsidR="001054C3" w:rsidRPr="006F0B7F" w:rsidRDefault="001054C3" w:rsidP="00234FBE">
            <w:pPr>
              <w:pStyle w:val="Box"/>
              <w:spacing w:before="0" w:line="120" w:lineRule="exact"/>
            </w:pPr>
          </w:p>
        </w:tc>
      </w:tr>
      <w:tr w:rsidR="001054C3" w:rsidRPr="006F0B7F" w14:paraId="70BC9DBA" w14:textId="77777777" w:rsidTr="00234FBE">
        <w:trPr>
          <w:cantSplit/>
        </w:trPr>
        <w:tc>
          <w:tcPr>
            <w:tcW w:w="5000" w:type="pct"/>
            <w:tcBorders>
              <w:top w:val="single" w:sz="6" w:space="0" w:color="0070C0"/>
              <w:left w:val="nil"/>
              <w:bottom w:val="nil"/>
              <w:right w:val="nil"/>
            </w:tcBorders>
          </w:tcPr>
          <w:p w14:paraId="1DA8D33D" w14:textId="77777777" w:rsidR="001054C3" w:rsidRPr="006F0B7F" w:rsidRDefault="001054C3" w:rsidP="00234FBE">
            <w:pPr>
              <w:pStyle w:val="BoxSpaceBelow"/>
            </w:pPr>
          </w:p>
        </w:tc>
      </w:tr>
    </w:tbl>
    <w:p w14:paraId="0EFBEF38" w14:textId="77777777" w:rsidR="001054C3" w:rsidRDefault="001054C3" w:rsidP="00234FBE">
      <w:pPr>
        <w:pStyle w:val="Heading4"/>
      </w:pPr>
      <w:r w:rsidRPr="006F0B7F">
        <w:t xml:space="preserve">Economic </w:t>
      </w:r>
      <w:r>
        <w:t>oversight</w:t>
      </w:r>
      <w:r w:rsidRPr="006F0B7F">
        <w:t xml:space="preserve"> needs to be fit for </w:t>
      </w:r>
      <w:r>
        <w:t>purpose</w:t>
      </w:r>
    </w:p>
    <w:p w14:paraId="7214FA8D" w14:textId="77777777" w:rsidR="001054C3" w:rsidRDefault="001054C3" w:rsidP="00234FBE">
      <w:pPr>
        <w:pStyle w:val="BodyText"/>
      </w:pPr>
      <w:r>
        <w:t>Some minimum standards would apply in all contexts, such as environmental and health standards, monitoring and public reporting requirements, and commitments to a basic level of service for urban customers (chapter </w:t>
      </w:r>
      <w:r w:rsidRPr="009F3633">
        <w:t>12</w:t>
      </w:r>
      <w:r>
        <w:t>). For economic regulation, however, the degree of oversight could vary based on the costs and benefits of the specific case (depending on the size, sophistication and environment of the regulated entity). For example, user</w:t>
      </w:r>
      <w:r>
        <w:noBreakHyphen/>
        <w:t>owned service providers (such as an irrigation distribution network) generally have adequate incentives to efficiently price and deliver services without the need for independent price or revenue setting.</w:t>
      </w:r>
    </w:p>
    <w:p w14:paraId="29DCF0CE" w14:textId="77777777" w:rsidR="001054C3" w:rsidRDefault="001054C3" w:rsidP="00234FBE">
      <w:pPr>
        <w:pStyle w:val="BodyText"/>
      </w:pPr>
      <w:r w:rsidRPr="006F0B7F">
        <w:t>Some aspects of economic regulation, such as setting prices or revenues, are complex and costly processes. These costs are generally outweighed by the wider benefits for larger service providers, but this is less likely to be the case for smaller entities. Hence the</w:t>
      </w:r>
      <w:r>
        <w:t xml:space="preserve"> 2004</w:t>
      </w:r>
      <w:r w:rsidRPr="006F0B7F">
        <w:t xml:space="preserve"> NWI allows for independent oversight ‘on a case</w:t>
      </w:r>
      <w:r w:rsidRPr="006F0B7F">
        <w:noBreakHyphen/>
        <w:t>by</w:t>
      </w:r>
      <w:r w:rsidRPr="006F0B7F">
        <w:noBreakHyphen/>
        <w:t>case basis’.</w:t>
      </w:r>
      <w:r w:rsidRPr="004174C6">
        <w:rPr>
          <w:rStyle w:val="FootnoteReference"/>
        </w:rPr>
        <w:footnoteReference w:id="38"/>
      </w:r>
    </w:p>
    <w:p w14:paraId="1C0ED2CC" w14:textId="77777777" w:rsidR="001054C3" w:rsidRPr="006F0B7F" w:rsidRDefault="001054C3" w:rsidP="00234FBE">
      <w:pPr>
        <w:pStyle w:val="BodyText"/>
        <w:keepNext/>
      </w:pPr>
      <w:r w:rsidRPr="006F0B7F">
        <w:t>In practice, ‘case</w:t>
      </w:r>
      <w:r w:rsidRPr="006F0B7F">
        <w:noBreakHyphen/>
        <w:t>by</w:t>
      </w:r>
      <w:r w:rsidRPr="006F0B7F">
        <w:noBreakHyphen/>
        <w:t xml:space="preserve">case’ application of oversight varies significantly </w:t>
      </w:r>
      <w:r>
        <w:t>across</w:t>
      </w:r>
      <w:r w:rsidRPr="006F0B7F">
        <w:t xml:space="preserve"> the country — which is not to say that economic regulation </w:t>
      </w:r>
      <w:r w:rsidRPr="006F0B7F">
        <w:rPr>
          <w:i/>
        </w:rPr>
        <w:t>should</w:t>
      </w:r>
      <w:r w:rsidRPr="006F0B7F">
        <w:t xml:space="preserve"> be imposed symmetrically on all providers. But the justifications for particular models are not consistent, without a clear basis, and some large </w:t>
      </w:r>
      <w:r>
        <w:t xml:space="preserve">urban water </w:t>
      </w:r>
      <w:r w:rsidRPr="006F0B7F">
        <w:t>utilities are not subject to independent oversight.</w:t>
      </w:r>
    </w:p>
    <w:p w14:paraId="7FB9AC47" w14:textId="77777777" w:rsidR="001054C3" w:rsidRPr="006F0B7F" w:rsidRDefault="001054C3" w:rsidP="00234FBE">
      <w:pPr>
        <w:pStyle w:val="ListBullet"/>
      </w:pPr>
      <w:r w:rsidRPr="006F0B7F">
        <w:t>Unlike most major water utilities, jurisdiction</w:t>
      </w:r>
      <w:r w:rsidRPr="006F0B7F">
        <w:noBreakHyphen/>
        <w:t>wide providers in Western Australia and the Northern Territory, as well as</w:t>
      </w:r>
      <w:r>
        <w:t xml:space="preserve"> urban</w:t>
      </w:r>
      <w:r w:rsidRPr="006F0B7F">
        <w:t xml:space="preserve"> retailer</w:t>
      </w:r>
      <w:r w:rsidRPr="006F0B7F">
        <w:noBreakHyphen/>
        <w:t>distributers in south</w:t>
      </w:r>
      <w:r w:rsidRPr="006F0B7F">
        <w:noBreakHyphen/>
        <w:t>east Queensland, are not subject to independent price or revenue determinations.</w:t>
      </w:r>
    </w:p>
    <w:p w14:paraId="11132DA3" w14:textId="77777777" w:rsidR="001054C3" w:rsidRPr="006F0B7F" w:rsidRDefault="001054C3" w:rsidP="00234FBE">
      <w:pPr>
        <w:pStyle w:val="ListBullet"/>
      </w:pPr>
      <w:r w:rsidRPr="006F0B7F">
        <w:lastRenderedPageBreak/>
        <w:t>Regional</w:t>
      </w:r>
      <w:r>
        <w:t xml:space="preserve"> urban</w:t>
      </w:r>
      <w:r w:rsidRPr="006F0B7F">
        <w:t xml:space="preserve"> utilities in New South Wales and Queensland are not subject to any independent economic oversight, whereas economic regulators licence small utilities in Western Australia and South Australia.</w:t>
      </w:r>
    </w:p>
    <w:p w14:paraId="27CA73D9" w14:textId="77777777" w:rsidR="001054C3" w:rsidRDefault="001054C3" w:rsidP="00234FBE">
      <w:pPr>
        <w:pStyle w:val="BodyText"/>
      </w:pPr>
      <w:r w:rsidRPr="006F0B7F">
        <w:t xml:space="preserve">Instead of the current </w:t>
      </w:r>
      <w:r>
        <w:t xml:space="preserve">patchy </w:t>
      </w:r>
      <w:r w:rsidRPr="006F0B7F">
        <w:t>application of independent economic regulation, the NWI should in</w:t>
      </w:r>
      <w:r>
        <w:t xml:space="preserve">corporate </w:t>
      </w:r>
      <w:r w:rsidRPr="006F0B7F">
        <w:t xml:space="preserve">a </w:t>
      </w:r>
      <w:r>
        <w:t>fit</w:t>
      </w:r>
      <w:r>
        <w:noBreakHyphen/>
        <w:t>for</w:t>
      </w:r>
      <w:r>
        <w:noBreakHyphen/>
        <w:t xml:space="preserve">purpose </w:t>
      </w:r>
      <w:r w:rsidRPr="006F0B7F">
        <w:t xml:space="preserve">framework </w:t>
      </w:r>
      <w:r>
        <w:t>that</w:t>
      </w:r>
      <w:r w:rsidRPr="006F0B7F">
        <w:t xml:space="preserve"> guide</w:t>
      </w:r>
      <w:r>
        <w:t>s</w:t>
      </w:r>
      <w:r w:rsidRPr="006F0B7F">
        <w:t xml:space="preserve"> where different models of economic oversight ca</w:t>
      </w:r>
      <w:r>
        <w:t>n be applied, based on context. It should recognise the diversity of water service delivery models, and ensure a transparent assessment guides the application of different forms of economic oversight.</w:t>
      </w:r>
    </w:p>
    <w:p w14:paraId="1CCB1710" w14:textId="77777777" w:rsidR="001054C3" w:rsidRDefault="001054C3" w:rsidP="00234FBE">
      <w:pPr>
        <w:pStyle w:val="BodyText"/>
      </w:pPr>
      <w:r w:rsidRPr="006F0B7F">
        <w:t>In the Commission’s view, all large providers should be subject to best</w:t>
      </w:r>
      <w:r>
        <w:noBreakHyphen/>
      </w:r>
      <w:r w:rsidRPr="006F0B7F">
        <w:t>practice independent economic regulation</w:t>
      </w:r>
      <w:r>
        <w:t xml:space="preserve"> (including price or revenue setting)</w:t>
      </w:r>
      <w:r w:rsidRPr="006F0B7F">
        <w:t>, unless a transparent analysis of regulatory costs and benefits shows that economic regulation imposes net costs.</w:t>
      </w:r>
    </w:p>
    <w:p w14:paraId="36408260" w14:textId="77777777" w:rsidR="001054C3" w:rsidRDefault="001054C3" w:rsidP="00234FBE">
      <w:pPr>
        <w:pStyle w:val="BodyText"/>
      </w:pPr>
      <w:r w:rsidRPr="006F0B7F">
        <w:t xml:space="preserve">Where costs </w:t>
      </w:r>
      <w:r>
        <w:t>of price regulation are likely to</w:t>
      </w:r>
      <w:r w:rsidRPr="006F0B7F">
        <w:t xml:space="preserve"> outweigh benefits, jurisdictions should agree to a consistent assessment framework to inform decisions concerning the type of economic regulation to apply, based on the risk (and potential impact) of a </w:t>
      </w:r>
      <w:r>
        <w:t>provider</w:t>
      </w:r>
      <w:r w:rsidRPr="006F0B7F">
        <w:t xml:space="preserve"> </w:t>
      </w:r>
      <w:r>
        <w:t xml:space="preserve">exercising </w:t>
      </w:r>
      <w:r w:rsidRPr="006F0B7F">
        <w:t>market power, and the cost of regulation.</w:t>
      </w:r>
    </w:p>
    <w:p w14:paraId="63D6743D" w14:textId="77777777" w:rsidR="001054C3" w:rsidRPr="006F0B7F" w:rsidRDefault="001054C3" w:rsidP="00234FBE">
      <w:pPr>
        <w:pStyle w:val="BodyText"/>
      </w:pPr>
      <w:r>
        <w:t>Jurisdictions should commit to ‘light touch’ independent oversight of small providers (SP G </w:t>
      </w:r>
      <w:r>
        <w:rPr>
          <w:i/>
          <w:iCs/>
        </w:rPr>
        <w:t>Regional</w:t>
      </w:r>
      <w:r>
        <w:t>). Where the operating context for these providers is similar within a jurisdiction, they could be assessed as a class (forgoing the need for, and cost of, case</w:t>
      </w:r>
      <w:r>
        <w:noBreakHyphen/>
        <w:t>by</w:t>
      </w:r>
      <w:r>
        <w:noBreakHyphen/>
        <w:t xml:space="preserve">case assessments). ‘Light touch’ oversight could include wider use of independent economic licensing, to provide assurance of utility capability, alongside </w:t>
      </w:r>
      <w:r w:rsidRPr="006F0B7F">
        <w:t>price monitoring, public reporting</w:t>
      </w:r>
      <w:r>
        <w:t>, independent performance comparison and/or</w:t>
      </w:r>
      <w:r w:rsidRPr="006F0B7F">
        <w:t xml:space="preserve"> regular audit. </w:t>
      </w:r>
      <w:r>
        <w:t>T</w:t>
      </w:r>
      <w:r w:rsidRPr="000F32BD">
        <w:t>hese alternatives</w:t>
      </w:r>
      <w:r w:rsidRPr="000F32BD" w:rsidDel="00E014EE">
        <w:t xml:space="preserve"> </w:t>
      </w:r>
      <w:r w:rsidRPr="000F32BD">
        <w:t>provide a degree of transparency to support public scrutiny, which (alongside the threat of more stringent regulation) can encourage providers to improve</w:t>
      </w:r>
      <w:r>
        <w:t xml:space="preserve"> performance</w:t>
      </w:r>
      <w:r w:rsidRPr="000F32BD">
        <w:t>.</w:t>
      </w:r>
    </w:p>
    <w:p w14:paraId="3536406C" w14:textId="77777777" w:rsidR="001054C3" w:rsidRPr="006F0B7F" w:rsidRDefault="001054C3" w:rsidP="00234FBE">
      <w:pPr>
        <w:pStyle w:val="BodyText"/>
        <w:keepNext/>
      </w:pPr>
      <w:r>
        <w:t>Any</w:t>
      </w:r>
      <w:r w:rsidRPr="006F0B7F">
        <w:t xml:space="preserve"> assessment of </w:t>
      </w:r>
      <w:r>
        <w:t>whether to apply full price regulation, or a lighter</w:t>
      </w:r>
      <w:r>
        <w:noBreakHyphen/>
        <w:t xml:space="preserve">touch </w:t>
      </w:r>
      <w:r w:rsidRPr="006F0B7F">
        <w:t>model of economic regulation</w:t>
      </w:r>
      <w:r>
        <w:t>,</w:t>
      </w:r>
      <w:r w:rsidRPr="006F0B7F">
        <w:t xml:space="preserve"> </w:t>
      </w:r>
      <w:r>
        <w:t>should</w:t>
      </w:r>
      <w:r w:rsidRPr="006F0B7F">
        <w:t xml:space="preserve"> consider:</w:t>
      </w:r>
    </w:p>
    <w:p w14:paraId="7D52372A" w14:textId="77777777" w:rsidR="001054C3" w:rsidRPr="006F0B7F" w:rsidRDefault="001054C3" w:rsidP="00234FBE">
      <w:pPr>
        <w:pStyle w:val="ListBullet"/>
      </w:pPr>
      <w:r w:rsidRPr="006F0B7F">
        <w:t xml:space="preserve">the risk of a </w:t>
      </w:r>
      <w:r>
        <w:t>provider</w:t>
      </w:r>
      <w:r w:rsidRPr="006F0B7F">
        <w:t xml:space="preserve"> </w:t>
      </w:r>
      <w:r>
        <w:t>exercising</w:t>
      </w:r>
      <w:r w:rsidRPr="006F0B7F">
        <w:t xml:space="preserve"> market power, based on the scope and costs of that abuse</w:t>
      </w:r>
    </w:p>
    <w:p w14:paraId="561B2E7B" w14:textId="77777777" w:rsidR="001054C3" w:rsidRPr="006F0B7F" w:rsidRDefault="001054C3" w:rsidP="00234FBE">
      <w:pPr>
        <w:pStyle w:val="ListBullet"/>
      </w:pPr>
      <w:r w:rsidRPr="006F0B7F">
        <w:t>the costs of different economic oversight models (to regulated entities and taxpayers)</w:t>
      </w:r>
    </w:p>
    <w:p w14:paraId="6BD317FF" w14:textId="77777777" w:rsidR="001054C3" w:rsidRPr="006F0B7F" w:rsidRDefault="001054C3" w:rsidP="00234FBE">
      <w:pPr>
        <w:pStyle w:val="ListBullet"/>
      </w:pPr>
      <w:r w:rsidRPr="006F0B7F">
        <w:t xml:space="preserve">ownership and governance of the </w:t>
      </w:r>
      <w:r>
        <w:t xml:space="preserve">provider </w:t>
      </w:r>
      <w:r w:rsidRPr="006F0B7F">
        <w:t xml:space="preserve">(for example, State or </w:t>
      </w:r>
      <w:r>
        <w:t>l</w:t>
      </w:r>
      <w:r w:rsidRPr="006F0B7F">
        <w:t>ocal government ownership</w:t>
      </w:r>
      <w:r>
        <w:t>, or user ownership</w:t>
      </w:r>
      <w:r w:rsidRPr="006F0B7F">
        <w:t>)</w:t>
      </w:r>
    </w:p>
    <w:p w14:paraId="1C4C8062" w14:textId="77777777" w:rsidR="001054C3" w:rsidRPr="006F0B7F" w:rsidRDefault="001054C3" w:rsidP="00234FBE">
      <w:pPr>
        <w:pStyle w:val="ListBullet"/>
      </w:pPr>
      <w:r w:rsidRPr="006F0B7F">
        <w:t xml:space="preserve">other forms of oversight imposed on </w:t>
      </w:r>
      <w:r>
        <w:t>the provider</w:t>
      </w:r>
      <w:r w:rsidRPr="006F0B7F">
        <w:t>.</w:t>
      </w:r>
    </w:p>
    <w:p w14:paraId="3DE5F50F" w14:textId="77777777" w:rsidR="001054C3" w:rsidRDefault="001054C3" w:rsidP="00234FBE">
      <w:pPr>
        <w:pStyle w:val="BodyText"/>
      </w:pPr>
      <w:r w:rsidRPr="006F0B7F">
        <w:t xml:space="preserve">Irrespective of the model selected, the principles </w:t>
      </w:r>
      <w:r>
        <w:t>of</w:t>
      </w:r>
      <w:r w:rsidRPr="006F0B7F">
        <w:t xml:space="preserve"> best</w:t>
      </w:r>
      <w:r>
        <w:noBreakHyphen/>
      </w:r>
      <w:r w:rsidRPr="006F0B7F">
        <w:t>practice economic regulation should guide regulatory processes wherever possible.</w:t>
      </w:r>
    </w:p>
    <w:p w14:paraId="39F728E6" w14:textId="77777777" w:rsidR="001054C3" w:rsidRPr="006F0B7F" w:rsidRDefault="001054C3" w:rsidP="00234FBE">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6F0B7F" w14:paraId="49689811"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9E8E156" w14:textId="77777777" w:rsidR="001054C3" w:rsidRPr="006F0B7F" w:rsidRDefault="001054C3" w:rsidP="00234FBE">
            <w:pPr>
              <w:pStyle w:val="FindingTitle"/>
              <w:spacing w:before="120"/>
              <w:rPr>
                <w:noProof/>
              </w:rPr>
            </w:pPr>
            <w:r w:rsidRPr="006F0B7F">
              <w:t xml:space="preserve">NWI Renewal advice </w:t>
            </w:r>
            <w:r>
              <w:t>11.3:</w:t>
            </w:r>
            <w:r w:rsidRPr="006F0B7F">
              <w:t xml:space="preserve"> Improving pricing and service outcomes</w:t>
            </w:r>
          </w:p>
          <w:p w14:paraId="56197BA7" w14:textId="77777777" w:rsidR="001054C3" w:rsidRPr="006F0B7F" w:rsidRDefault="001054C3" w:rsidP="00234FBE">
            <w:pPr>
              <w:pStyle w:val="Finding"/>
            </w:pPr>
            <w:r w:rsidRPr="006F0B7F">
              <w:t xml:space="preserve">The </w:t>
            </w:r>
            <w:r>
              <w:t>National Water Initiative</w:t>
            </w:r>
            <w:r w:rsidRPr="006F0B7F">
              <w:t xml:space="preserve"> should include a framework to guide where different models of economic oversight can be applied, based on context. All large providers should be subject to best</w:t>
            </w:r>
            <w:r>
              <w:noBreakHyphen/>
            </w:r>
            <w:r w:rsidRPr="006F0B7F">
              <w:t xml:space="preserve">practice independent economic regulation, unless a transparent analysis of regulatory costs and benefits shows that </w:t>
            </w:r>
            <w:r>
              <w:t xml:space="preserve">economic </w:t>
            </w:r>
            <w:r w:rsidRPr="006F0B7F">
              <w:t xml:space="preserve">regulation imposes </w:t>
            </w:r>
            <w:r>
              <w:t xml:space="preserve">significant </w:t>
            </w:r>
            <w:r w:rsidRPr="006F0B7F">
              <w:t>net costs. Where costs do outweigh benefits</w:t>
            </w:r>
            <w:r>
              <w:t>,</w:t>
            </w:r>
            <w:r w:rsidRPr="006F0B7F">
              <w:t xml:space="preserve"> jurisdictions should agree to a consistent assessment framework to inform decisions concerning the type of economic regulation</w:t>
            </w:r>
            <w:r>
              <w:t xml:space="preserve"> to apply</w:t>
            </w:r>
            <w:r w:rsidRPr="006F0B7F">
              <w:t xml:space="preserve">, based on the risk (and potential impact) of a </w:t>
            </w:r>
            <w:r>
              <w:t>provider</w:t>
            </w:r>
            <w:r w:rsidRPr="006F0B7F">
              <w:t xml:space="preserve"> </w:t>
            </w:r>
            <w:r>
              <w:t xml:space="preserve">exercising </w:t>
            </w:r>
            <w:r w:rsidRPr="006F0B7F">
              <w:t>market power, and the cost of regulation.</w:t>
            </w:r>
          </w:p>
          <w:p w14:paraId="2AA9A696" w14:textId="77777777" w:rsidR="001054C3" w:rsidRPr="006F0B7F" w:rsidRDefault="001054C3" w:rsidP="00234FBE">
            <w:pPr>
              <w:pStyle w:val="Finding"/>
            </w:pPr>
            <w:r w:rsidRPr="006F0B7F">
              <w:t xml:space="preserve">Jurisdictions should commit to light touch independent economic oversight for </w:t>
            </w:r>
            <w:r>
              <w:t>sm</w:t>
            </w:r>
            <w:r w:rsidRPr="006F0B7F">
              <w:t xml:space="preserve">all regional and remote </w:t>
            </w:r>
            <w:r>
              <w:t xml:space="preserve">urban </w:t>
            </w:r>
            <w:r w:rsidRPr="006F0B7F">
              <w:t>water providers.</w:t>
            </w:r>
          </w:p>
        </w:tc>
      </w:tr>
      <w:tr w:rsidR="001054C3" w:rsidRPr="006F0B7F" w14:paraId="7B911797"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C9E9A45" w14:textId="77777777" w:rsidR="001054C3" w:rsidRPr="006F0B7F" w:rsidRDefault="001054C3" w:rsidP="00234FBE">
            <w:pPr>
              <w:keepNext/>
              <w:keepLines/>
              <w:spacing w:line="120" w:lineRule="exact"/>
              <w:jc w:val="both"/>
              <w:rPr>
                <w:rFonts w:ascii="Arial" w:hAnsi="Arial"/>
                <w:sz w:val="20"/>
                <w:szCs w:val="20"/>
              </w:rPr>
            </w:pPr>
          </w:p>
        </w:tc>
      </w:tr>
      <w:tr w:rsidR="001054C3" w:rsidRPr="006F0B7F" w14:paraId="091DC79E" w14:textId="77777777" w:rsidTr="00234FBE">
        <w:tc>
          <w:tcPr>
            <w:tcW w:w="5000" w:type="pct"/>
            <w:tcBorders>
              <w:top w:val="single" w:sz="6" w:space="0" w:color="0070C0"/>
              <w:left w:val="nil"/>
              <w:bottom w:val="nil"/>
              <w:right w:val="nil"/>
            </w:tcBorders>
            <w:tcMar>
              <w:left w:w="170" w:type="dxa"/>
              <w:right w:w="170" w:type="dxa"/>
            </w:tcMar>
          </w:tcPr>
          <w:p w14:paraId="0842E37C" w14:textId="77777777" w:rsidR="001054C3" w:rsidRPr="006F0B7F" w:rsidRDefault="001054C3" w:rsidP="00234FBE">
            <w:pPr>
              <w:keepLines/>
              <w:spacing w:before="60" w:after="60" w:line="80" w:lineRule="exact"/>
              <w:jc w:val="both"/>
              <w:rPr>
                <w:rFonts w:ascii="Arial" w:hAnsi="Arial"/>
                <w:sz w:val="14"/>
                <w:szCs w:val="20"/>
              </w:rPr>
            </w:pPr>
          </w:p>
        </w:tc>
      </w:tr>
    </w:tbl>
    <w:p w14:paraId="567FBB62" w14:textId="77777777" w:rsidR="001054C3" w:rsidRPr="004574F8" w:rsidRDefault="001054C3" w:rsidP="00234FBE">
      <w:pPr>
        <w:pStyle w:val="Heading3"/>
      </w:pPr>
      <w:r>
        <w:t>Modernising performance monitoring and reporting</w:t>
      </w:r>
    </w:p>
    <w:p w14:paraId="7D448746" w14:textId="77777777" w:rsidR="001054C3" w:rsidRPr="00431D61" w:rsidRDefault="001054C3" w:rsidP="00234FBE">
      <w:pPr>
        <w:pStyle w:val="BodyText"/>
        <w:rPr>
          <w:spacing w:val="-4"/>
        </w:rPr>
      </w:pPr>
      <w:r w:rsidRPr="00431D61">
        <w:rPr>
          <w:spacing w:val="-4"/>
        </w:rPr>
        <w:t>Monitoring and public reporting of water service outcomes provides transparency of water service delivery and can contribute to improved pricing and service outcomes. Public reporting informs customers about how their provider compares with others, which can lead to scrutiny over apparent underperformance, while service providers can utilise the available data to improve operational performance. Further, public reporting provides input to State and Territory government regulation and policy development (including oversight of utility performance), and to the Commission’s triennial assessment of progress against NWI commitments — each of which would support continuous improvement in water service delivery.</w:t>
      </w:r>
    </w:p>
    <w:p w14:paraId="49067F1E" w14:textId="77777777" w:rsidR="001054C3" w:rsidRDefault="001054C3" w:rsidP="00234FBE">
      <w:pPr>
        <w:pStyle w:val="BodyText"/>
      </w:pPr>
      <w:r>
        <w:t>The concept of performance monitoring and reporting should be maintained in a future NWI, but the agreement could be updated to clarify the objectives of those processes — particularly for bulk and urban water providers, although the merits of reintroducing a degree of national reporting for government</w:t>
      </w:r>
      <w:r>
        <w:noBreakHyphen/>
        <w:t>owned rural providers could be considered by jurisdictions.</w:t>
      </w:r>
      <w:r>
        <w:rPr>
          <w:rStyle w:val="FootnoteReference"/>
        </w:rPr>
        <w:footnoteReference w:id="39"/>
      </w:r>
    </w:p>
    <w:p w14:paraId="194770F3" w14:textId="77777777" w:rsidR="001054C3" w:rsidRDefault="001054C3" w:rsidP="00234FBE">
      <w:pPr>
        <w:pStyle w:val="BodyText"/>
      </w:pPr>
      <w:r>
        <w:t>Consistent with the Commission’s principles for a renewed NWI, any national performance monitoring and reporting requirements should be fit for purpose — proportionate to the size of an entity and the risk and consequences of poor performance, such that the benefits of those requirements are likely to exceed the costs.</w:t>
      </w:r>
    </w:p>
    <w:p w14:paraId="64C4E5F4" w14:textId="77777777" w:rsidR="001054C3" w:rsidRDefault="001054C3" w:rsidP="00234FBE">
      <w:pPr>
        <w:pStyle w:val="BodyText"/>
      </w:pPr>
      <w:r>
        <w:t>In the urban water sector, NWI renewal should build on, and align with, the ongoing National Performance Report Indicator Review, including any assessment of the benefits and costs of expanding national reporting requirements to small urban providers (discussed in chapter 12).</w:t>
      </w:r>
    </w:p>
    <w:p w14:paraId="70B6AD03" w14:textId="77777777" w:rsidR="001054C3" w:rsidRPr="006F0B7F" w:rsidRDefault="001054C3" w:rsidP="00234FBE">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6F0B7F" w14:paraId="1BBF6179"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B183118" w14:textId="77777777" w:rsidR="001054C3" w:rsidRPr="006F0B7F" w:rsidRDefault="001054C3" w:rsidP="00234FBE">
            <w:pPr>
              <w:pStyle w:val="FindingTitle"/>
              <w:spacing w:before="120"/>
              <w:rPr>
                <w:noProof/>
              </w:rPr>
            </w:pPr>
            <w:r w:rsidRPr="006F0B7F">
              <w:t xml:space="preserve">NWI Renewal advice </w:t>
            </w:r>
            <w:r>
              <w:t>11.4:</w:t>
            </w:r>
            <w:r w:rsidRPr="006F0B7F">
              <w:t xml:space="preserve"> </w:t>
            </w:r>
            <w:r>
              <w:t>PErformance monitoring and reporting</w:t>
            </w:r>
          </w:p>
          <w:p w14:paraId="5A2039DD" w14:textId="77777777" w:rsidR="001054C3" w:rsidRPr="006F0B7F" w:rsidRDefault="001054C3" w:rsidP="00234FBE">
            <w:pPr>
              <w:pStyle w:val="Finding"/>
            </w:pPr>
            <w:r>
              <w:t>Water service provider performance m</w:t>
            </w:r>
            <w:r w:rsidRPr="006F0B7F">
              <w:t xml:space="preserve">onitoring and reporting </w:t>
            </w:r>
            <w:r>
              <w:t xml:space="preserve">should be maintained under a future NWI with agreed objectives. Monitoring and reporting </w:t>
            </w:r>
            <w:r w:rsidRPr="006F0B7F">
              <w:t xml:space="preserve">should </w:t>
            </w:r>
            <w:r>
              <w:t xml:space="preserve">aim </w:t>
            </w:r>
            <w:r w:rsidRPr="006F0B7F">
              <w:t>to:</w:t>
            </w:r>
          </w:p>
          <w:p w14:paraId="2158AC74" w14:textId="77777777" w:rsidR="001054C3" w:rsidRPr="006F0B7F" w:rsidRDefault="001054C3" w:rsidP="00234FBE">
            <w:pPr>
              <w:pStyle w:val="FindingBullet"/>
            </w:pPr>
            <w:r w:rsidRPr="006F0B7F">
              <w:t>increase transparency of service delivery</w:t>
            </w:r>
          </w:p>
          <w:p w14:paraId="61DC9776" w14:textId="77777777" w:rsidR="001054C3" w:rsidRDefault="001054C3" w:rsidP="00234FBE">
            <w:pPr>
              <w:pStyle w:val="FindingBullet"/>
            </w:pPr>
            <w:r>
              <w:t>enable performance comparisons to support continuous improvement by providers</w:t>
            </w:r>
          </w:p>
          <w:p w14:paraId="66AB61FB" w14:textId="77777777" w:rsidR="001054C3" w:rsidRPr="006F0B7F" w:rsidRDefault="001054C3" w:rsidP="00234FBE">
            <w:pPr>
              <w:pStyle w:val="FindingBullet"/>
            </w:pPr>
            <w:r w:rsidRPr="006F0B7F">
              <w:t>feed into economic oversight</w:t>
            </w:r>
          </w:p>
          <w:p w14:paraId="57DACB66" w14:textId="77777777" w:rsidR="001054C3" w:rsidRPr="006F0B7F" w:rsidRDefault="001054C3" w:rsidP="00234FBE">
            <w:pPr>
              <w:pStyle w:val="FindingBullet"/>
            </w:pPr>
            <w:r w:rsidRPr="006F0B7F">
              <w:t>contribute to State and Territory government policy decisions</w:t>
            </w:r>
            <w:r>
              <w:t xml:space="preserve"> and performance oversight</w:t>
            </w:r>
          </w:p>
          <w:p w14:paraId="7FB9F380" w14:textId="77777777" w:rsidR="001054C3" w:rsidRPr="006F0B7F" w:rsidRDefault="001054C3" w:rsidP="00234FBE">
            <w:pPr>
              <w:pStyle w:val="FindingBullet"/>
            </w:pPr>
            <w:r w:rsidRPr="006F0B7F">
              <w:t xml:space="preserve">underpin regular assessments of progress of </w:t>
            </w:r>
            <w:r>
              <w:t>NWI</w:t>
            </w:r>
            <w:r w:rsidRPr="006F0B7F">
              <w:t xml:space="preserve"> implementation.</w:t>
            </w:r>
          </w:p>
        </w:tc>
      </w:tr>
      <w:tr w:rsidR="001054C3" w:rsidRPr="006F0B7F" w14:paraId="00190C99"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80B2F0F" w14:textId="77777777" w:rsidR="001054C3" w:rsidRPr="006F0B7F" w:rsidRDefault="001054C3" w:rsidP="00234FBE">
            <w:pPr>
              <w:keepNext/>
              <w:keepLines/>
              <w:spacing w:line="120" w:lineRule="exact"/>
              <w:jc w:val="both"/>
              <w:rPr>
                <w:rFonts w:ascii="Arial" w:hAnsi="Arial"/>
                <w:sz w:val="20"/>
                <w:szCs w:val="20"/>
              </w:rPr>
            </w:pPr>
          </w:p>
        </w:tc>
      </w:tr>
      <w:tr w:rsidR="001054C3" w:rsidRPr="006F0B7F" w14:paraId="4627FD3A" w14:textId="77777777" w:rsidTr="00234FBE">
        <w:tc>
          <w:tcPr>
            <w:tcW w:w="5000" w:type="pct"/>
            <w:tcBorders>
              <w:top w:val="single" w:sz="6" w:space="0" w:color="0070C0"/>
              <w:left w:val="nil"/>
              <w:bottom w:val="nil"/>
              <w:right w:val="nil"/>
            </w:tcBorders>
            <w:tcMar>
              <w:left w:w="170" w:type="dxa"/>
              <w:right w:w="170" w:type="dxa"/>
            </w:tcMar>
          </w:tcPr>
          <w:p w14:paraId="5C04FB42" w14:textId="77777777" w:rsidR="001054C3" w:rsidRPr="006F0B7F" w:rsidRDefault="001054C3" w:rsidP="00234FBE">
            <w:pPr>
              <w:keepLines/>
              <w:spacing w:before="60" w:after="60" w:line="80" w:lineRule="exact"/>
              <w:jc w:val="both"/>
              <w:rPr>
                <w:rFonts w:ascii="Arial" w:hAnsi="Arial"/>
                <w:sz w:val="14"/>
                <w:szCs w:val="20"/>
              </w:rPr>
            </w:pPr>
          </w:p>
        </w:tc>
      </w:tr>
      <w:bookmarkEnd w:id="151"/>
      <w:bookmarkEnd w:id="152"/>
    </w:tbl>
    <w:p w14:paraId="072A70EA" w14:textId="77777777" w:rsidR="001054C3" w:rsidRDefault="001054C3" w:rsidP="00234FBE"/>
    <w:p w14:paraId="023A887E" w14:textId="77777777" w:rsidR="001054C3" w:rsidRDefault="001054C3" w:rsidP="001054C3">
      <w:pPr>
        <w:sectPr w:rsidR="001054C3" w:rsidSect="001054C3">
          <w:headerReference w:type="even" r:id="rId126"/>
          <w:headerReference w:type="default" r:id="rId127"/>
          <w:footerReference w:type="even" r:id="rId128"/>
          <w:footerReference w:type="default" r:id="rId129"/>
          <w:type w:val="oddPage"/>
          <w:pgSz w:w="11907" w:h="16840" w:code="9"/>
          <w:pgMar w:top="1985" w:right="1304" w:bottom="1247" w:left="1814" w:header="1701" w:footer="397" w:gutter="0"/>
          <w:pgNumType w:chapSep="period"/>
          <w:cols w:space="720"/>
          <w:docGrid w:linePitch="326"/>
        </w:sectPr>
      </w:pPr>
    </w:p>
    <w:p w14:paraId="1A930831" w14:textId="77777777" w:rsidR="001054C3" w:rsidRDefault="001054C3" w:rsidP="00234FBE">
      <w:pPr>
        <w:pStyle w:val="Heading1"/>
        <w:spacing w:before="0"/>
      </w:pPr>
      <w:bookmarkStart w:id="159" w:name="_Toc63112491"/>
      <w:bookmarkStart w:id="160" w:name="_Toc72939533"/>
      <w:r>
        <w:lastRenderedPageBreak/>
        <w:t>12</w:t>
      </w:r>
      <w:r>
        <w:tab/>
        <w:t>Urban water services</w:t>
      </w:r>
      <w:bookmarkEnd w:id="159"/>
      <w:bookmarkEnd w:id="160"/>
    </w:p>
    <w:p w14:paraId="15ADFF0C" w14:textId="77777777" w:rsidR="001054C3" w:rsidRPr="006F0B7F" w:rsidRDefault="001054C3" w:rsidP="00431D61">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1054C3" w:rsidRPr="006F0B7F" w14:paraId="519E63C0" w14:textId="77777777" w:rsidTr="00234FBE">
        <w:tc>
          <w:tcPr>
            <w:tcW w:w="5000" w:type="pct"/>
            <w:tcBorders>
              <w:top w:val="single" w:sz="4" w:space="0" w:color="78A22F" w:themeColor="accent1"/>
              <w:left w:val="nil"/>
              <w:bottom w:val="nil"/>
              <w:right w:val="nil"/>
            </w:tcBorders>
            <w:shd w:val="clear" w:color="auto" w:fill="F2F2F2" w:themeFill="background1" w:themeFillShade="F2"/>
          </w:tcPr>
          <w:p w14:paraId="4F1E1F2A" w14:textId="77777777" w:rsidR="001054C3" w:rsidRPr="006F0B7F" w:rsidRDefault="001054C3" w:rsidP="00234FBE">
            <w:pPr>
              <w:pStyle w:val="BoxTitle"/>
            </w:pPr>
            <w:r w:rsidRPr="006F0B7F">
              <w:t>Key points</w:t>
            </w:r>
          </w:p>
        </w:tc>
      </w:tr>
      <w:tr w:rsidR="001054C3" w:rsidRPr="006F0B7F" w14:paraId="1D2723D2" w14:textId="77777777" w:rsidTr="00234FBE">
        <w:tc>
          <w:tcPr>
            <w:tcW w:w="5000" w:type="pct"/>
            <w:tcBorders>
              <w:top w:val="nil"/>
              <w:left w:val="nil"/>
              <w:bottom w:val="nil"/>
              <w:right w:val="nil"/>
            </w:tcBorders>
            <w:shd w:val="clear" w:color="auto" w:fill="F2F2F2" w:themeFill="background1" w:themeFillShade="F2"/>
          </w:tcPr>
          <w:p w14:paraId="4465A041" w14:textId="77777777" w:rsidR="001054C3" w:rsidRPr="006F0B7F" w:rsidRDefault="001054C3" w:rsidP="00234FBE">
            <w:pPr>
              <w:pStyle w:val="KeyPointsListBullet"/>
              <w:rPr>
                <w:spacing w:val="-2"/>
              </w:rPr>
            </w:pPr>
            <w:r>
              <w:t>T</w:t>
            </w:r>
            <w:r w:rsidRPr="006F0B7F">
              <w:t>he 2004 National Water Initiative (NWI)</w:t>
            </w:r>
            <w:r>
              <w:t xml:space="preserve"> included commitments</w:t>
            </w:r>
            <w:r w:rsidRPr="006F0B7F">
              <w:t xml:space="preserve"> to best</w:t>
            </w:r>
            <w:r>
              <w:noBreakHyphen/>
            </w:r>
            <w:r w:rsidRPr="006F0B7F">
              <w:t>practice pricing and institutional arrangements for urban water services</w:t>
            </w:r>
            <w:r>
              <w:t xml:space="preserve"> alongside specific</w:t>
            </w:r>
            <w:r w:rsidRPr="006F0B7F">
              <w:t xml:space="preserve"> urban water reform</w:t>
            </w:r>
            <w:r>
              <w:t>s.</w:t>
            </w:r>
            <w:r w:rsidRPr="006F0B7F">
              <w:t xml:space="preserve"> COAG subsequently </w:t>
            </w:r>
            <w:r w:rsidRPr="006F0B7F">
              <w:rPr>
                <w:spacing w:val="-2"/>
              </w:rPr>
              <w:t xml:space="preserve">endorsed </w:t>
            </w:r>
            <w:r>
              <w:rPr>
                <w:spacing w:val="-2"/>
              </w:rPr>
              <w:t xml:space="preserve">the </w:t>
            </w:r>
            <w:r w:rsidRPr="006F0B7F">
              <w:rPr>
                <w:i/>
                <w:spacing w:val="-2"/>
              </w:rPr>
              <w:t>National Urban Water Planning Principles</w:t>
            </w:r>
            <w:r w:rsidRPr="006F0B7F">
              <w:rPr>
                <w:spacing w:val="-2"/>
              </w:rPr>
              <w:t xml:space="preserve"> (2008) and </w:t>
            </w:r>
            <w:r>
              <w:rPr>
                <w:spacing w:val="-2"/>
              </w:rPr>
              <w:t>the</w:t>
            </w:r>
            <w:r w:rsidRPr="006F0B7F">
              <w:rPr>
                <w:spacing w:val="-2"/>
              </w:rPr>
              <w:t xml:space="preserve"> </w:t>
            </w:r>
            <w:r w:rsidRPr="006F0B7F">
              <w:rPr>
                <w:i/>
                <w:spacing w:val="-2"/>
              </w:rPr>
              <w:t>NWI Pricing Principles</w:t>
            </w:r>
            <w:r w:rsidRPr="006F0B7F">
              <w:rPr>
                <w:spacing w:val="-2"/>
              </w:rPr>
              <w:t xml:space="preserve"> (2010).</w:t>
            </w:r>
          </w:p>
          <w:p w14:paraId="09C1BFD9" w14:textId="77777777" w:rsidR="001054C3" w:rsidRPr="006F0B7F" w:rsidRDefault="001054C3" w:rsidP="00234FBE">
            <w:pPr>
              <w:pStyle w:val="KeyPointsListBullet"/>
            </w:pPr>
            <w:r>
              <w:t>U</w:t>
            </w:r>
            <w:r w:rsidRPr="006F0B7F">
              <w:t xml:space="preserve">rban water reform has brought </w:t>
            </w:r>
            <w:r>
              <w:t xml:space="preserve">significant </w:t>
            </w:r>
            <w:r w:rsidRPr="006F0B7F">
              <w:t>benefits</w:t>
            </w:r>
            <w:r>
              <w:t>.</w:t>
            </w:r>
            <w:r w:rsidRPr="006F0B7F">
              <w:t xml:space="preserve"> </w:t>
            </w:r>
            <w:r>
              <w:t>G</w:t>
            </w:r>
            <w:r w:rsidRPr="006F0B7F">
              <w:t>ood progress has been made towards improving urban water service outcomes, as well as efficient and financially sustainable service provision. But there are shortcomings in pricing and the application of economic regulation, and there is a strong case for NWI renewal to help address emerging challenges.</w:t>
            </w:r>
          </w:p>
          <w:p w14:paraId="68E9A053" w14:textId="77777777" w:rsidR="001054C3" w:rsidRPr="006F0B7F" w:rsidRDefault="001054C3" w:rsidP="00234FBE">
            <w:pPr>
              <w:pStyle w:val="KeyPointsListBullet2"/>
            </w:pPr>
            <w:r w:rsidRPr="006F0B7F">
              <w:t>Climate change, population growth and changing community expectations will place pressure on urban water service providers, necessitating changes to business</w:t>
            </w:r>
            <w:r w:rsidRPr="006F0B7F">
              <w:noBreakHyphen/>
              <w:t>as</w:t>
            </w:r>
            <w:r w:rsidRPr="006F0B7F">
              <w:noBreakHyphen/>
            </w:r>
            <w:r>
              <w:t>usual water services provision.</w:t>
            </w:r>
          </w:p>
          <w:p w14:paraId="65B88EB4" w14:textId="77777777" w:rsidR="001054C3" w:rsidRPr="006F0B7F" w:rsidRDefault="001054C3" w:rsidP="00234FBE">
            <w:pPr>
              <w:pStyle w:val="KeyPointsListBullet2"/>
            </w:pPr>
            <w:r w:rsidRPr="006F0B7F">
              <w:t>Safe and reliable drinking water can be more challenging and costly to supply to regional and remote communities than to major cities. Drought, bushfires and COVID</w:t>
            </w:r>
            <w:r w:rsidRPr="006F0B7F">
              <w:noBreakHyphen/>
              <w:t>19 have brought service delivery issues into sharp relief, including water security challenges in regional New South Wales and Queensland, and drinking water quality iss</w:t>
            </w:r>
            <w:r>
              <w:t>ues in some remote communities.</w:t>
            </w:r>
          </w:p>
          <w:p w14:paraId="74478793" w14:textId="77777777" w:rsidR="001054C3" w:rsidRPr="006F0B7F" w:rsidRDefault="001054C3" w:rsidP="00234FBE">
            <w:pPr>
              <w:pStyle w:val="KeyPointsListBullet"/>
            </w:pPr>
            <w:r w:rsidRPr="006F0B7F">
              <w:t>A renewed NWI should include significantly enhanced treatment of urban water</w:t>
            </w:r>
            <w:r>
              <w:t xml:space="preserve"> services (water supply, wastewater and stormwater management), including </w:t>
            </w:r>
            <w:r w:rsidRPr="006F0B7F">
              <w:t>best</w:t>
            </w:r>
            <w:r w:rsidRPr="006F0B7F">
              <w:noBreakHyphen/>
              <w:t>practice system planning, pricing and institutional arrangements</w:t>
            </w:r>
            <w:r>
              <w:t xml:space="preserve">. This would </w:t>
            </w:r>
            <w:r w:rsidRPr="006F0B7F">
              <w:t xml:space="preserve">help the sector </w:t>
            </w:r>
            <w:r w:rsidRPr="006F0B7F" w:rsidDel="00E97003">
              <w:t>adjust and</w:t>
            </w:r>
            <w:r w:rsidRPr="006F0B7F">
              <w:t xml:space="preserve"> avoid imposing unnecessary costs on customers</w:t>
            </w:r>
            <w:r>
              <w:t>.</w:t>
            </w:r>
          </w:p>
          <w:p w14:paraId="7728F9BA" w14:textId="77777777" w:rsidR="001054C3" w:rsidRPr="006F0B7F" w:rsidRDefault="001054C3" w:rsidP="00234FBE">
            <w:pPr>
              <w:pStyle w:val="KeyPointsListBullet"/>
            </w:pPr>
            <w:r w:rsidRPr="006F0B7F">
              <w:t>Best</w:t>
            </w:r>
            <w:r w:rsidRPr="006F0B7F">
              <w:noBreakHyphen/>
              <w:t>practice system planning should</w:t>
            </w:r>
            <w:r>
              <w:t>:</w:t>
            </w:r>
            <w:r w:rsidRPr="006F0B7F">
              <w:t xml:space="preserve"> be guided by agreed levels of service that establish long</w:t>
            </w:r>
            <w:r w:rsidRPr="006F0B7F">
              <w:noBreakHyphen/>
              <w:t>term supply objectives</w:t>
            </w:r>
            <w:r>
              <w:t>;</w:t>
            </w:r>
            <w:r w:rsidRPr="006F0B7F">
              <w:t xml:space="preserve"> incorporate an integrated approach across water supply, wastewater and stormwater management</w:t>
            </w:r>
            <w:r>
              <w:t>; embody</w:t>
            </w:r>
            <w:r w:rsidRPr="006F0B7F">
              <w:t xml:space="preserve"> a commitment to </w:t>
            </w:r>
            <w:r>
              <w:t xml:space="preserve">ensuring </w:t>
            </w:r>
            <w:r w:rsidRPr="006F0B7F">
              <w:t xml:space="preserve">all options </w:t>
            </w:r>
            <w:r>
              <w:t xml:space="preserve">are </w:t>
            </w:r>
            <w:r w:rsidRPr="006F0B7F">
              <w:t>on the table</w:t>
            </w:r>
            <w:r>
              <w:t xml:space="preserve">; </w:t>
            </w:r>
            <w:r w:rsidRPr="006F0B7F">
              <w:t xml:space="preserve">and </w:t>
            </w:r>
            <w:r>
              <w:t xml:space="preserve">set out </w:t>
            </w:r>
            <w:r w:rsidRPr="006F0B7F">
              <w:t>clear roles and responsibilities for governments, utilities, regulators, developers and land</w:t>
            </w:r>
            <w:r w:rsidRPr="006F0B7F">
              <w:noBreakHyphen/>
              <w:t>use planners.</w:t>
            </w:r>
          </w:p>
          <w:p w14:paraId="7A0140FD" w14:textId="77777777" w:rsidR="001054C3" w:rsidRPr="006F0B7F" w:rsidRDefault="001054C3" w:rsidP="00234FBE">
            <w:pPr>
              <w:pStyle w:val="KeyPointsListBullet"/>
            </w:pPr>
            <w:r w:rsidRPr="006F0B7F">
              <w:t xml:space="preserve">State and Territory </w:t>
            </w:r>
            <w:r>
              <w:t>G</w:t>
            </w:r>
            <w:r w:rsidRPr="006F0B7F">
              <w:t>overnments should also commit to defining and ensuring access to a basic level of service,</w:t>
            </w:r>
            <w:r>
              <w:t xml:space="preserve"> based on safe and reliable drinking water</w:t>
            </w:r>
            <w:r w:rsidRPr="006F0B7F">
              <w:t>.</w:t>
            </w:r>
            <w:r>
              <w:t xml:space="preserve"> Funding</w:t>
            </w:r>
            <w:r w:rsidRPr="00310FC3">
              <w:t xml:space="preserve"> to local government</w:t>
            </w:r>
            <w:r>
              <w:noBreakHyphen/>
            </w:r>
            <w:r w:rsidRPr="00310FC3">
              <w:t xml:space="preserve">owned providers should be </w:t>
            </w:r>
            <w:r>
              <w:t>targeted at</w:t>
            </w:r>
            <w:r w:rsidRPr="00310FC3">
              <w:t xml:space="preserve"> </w:t>
            </w:r>
            <w:r>
              <w:t>ensuring</w:t>
            </w:r>
            <w:r w:rsidRPr="00310FC3">
              <w:t xml:space="preserve"> </w:t>
            </w:r>
            <w:r>
              <w:t>this</w:t>
            </w:r>
            <w:r w:rsidRPr="00310FC3">
              <w:t xml:space="preserve"> basic level of service </w:t>
            </w:r>
            <w:r>
              <w:t>in high</w:t>
            </w:r>
            <w:r>
              <w:noBreakHyphen/>
              <w:t xml:space="preserve">cost areas </w:t>
            </w:r>
            <w:r w:rsidRPr="00310FC3">
              <w:t xml:space="preserve">where such service provision would otherwise be </w:t>
            </w:r>
            <w:r>
              <w:t>considered un</w:t>
            </w:r>
            <w:r w:rsidRPr="00310FC3">
              <w:t>affordable.</w:t>
            </w:r>
          </w:p>
        </w:tc>
      </w:tr>
      <w:tr w:rsidR="001054C3" w:rsidRPr="006F0B7F" w14:paraId="713727B2" w14:textId="77777777" w:rsidTr="00234FBE">
        <w:tc>
          <w:tcPr>
            <w:tcW w:w="5000" w:type="pct"/>
            <w:tcBorders>
              <w:top w:val="nil"/>
              <w:left w:val="nil"/>
              <w:bottom w:val="single" w:sz="4" w:space="0" w:color="78A22F" w:themeColor="accent1"/>
              <w:right w:val="nil"/>
            </w:tcBorders>
            <w:shd w:val="clear" w:color="auto" w:fill="F2F2F2" w:themeFill="background1" w:themeFillShade="F2"/>
          </w:tcPr>
          <w:p w14:paraId="0195F726" w14:textId="77777777" w:rsidR="001054C3" w:rsidRPr="006F0B7F" w:rsidRDefault="001054C3" w:rsidP="00234FBE">
            <w:pPr>
              <w:pStyle w:val="Box"/>
              <w:spacing w:before="0" w:line="120" w:lineRule="exact"/>
            </w:pPr>
          </w:p>
        </w:tc>
      </w:tr>
      <w:tr w:rsidR="001054C3" w:rsidRPr="006F0B7F" w14:paraId="0FE50C33" w14:textId="77777777" w:rsidTr="00234FBE">
        <w:tc>
          <w:tcPr>
            <w:tcW w:w="5000" w:type="pct"/>
            <w:tcBorders>
              <w:top w:val="single" w:sz="4" w:space="0" w:color="78A22F" w:themeColor="accent1"/>
              <w:left w:val="nil"/>
              <w:bottom w:val="nil"/>
              <w:right w:val="nil"/>
            </w:tcBorders>
          </w:tcPr>
          <w:p w14:paraId="6BFACF06" w14:textId="77777777" w:rsidR="001054C3" w:rsidRPr="006F0B7F" w:rsidRDefault="001054C3" w:rsidP="00234FBE">
            <w:pPr>
              <w:pStyle w:val="Box"/>
              <w:keepNext w:val="0"/>
              <w:spacing w:before="60" w:after="60" w:line="80" w:lineRule="exact"/>
            </w:pPr>
          </w:p>
        </w:tc>
      </w:tr>
    </w:tbl>
    <w:p w14:paraId="6111AD1C" w14:textId="77777777" w:rsidR="001054C3" w:rsidRDefault="001054C3" w:rsidP="00234FBE">
      <w:pPr>
        <w:pStyle w:val="BodyText"/>
      </w:pPr>
      <w:r w:rsidRPr="0051313D">
        <w:rPr>
          <w:i/>
        </w:rPr>
        <w:t>This chap</w:t>
      </w:r>
      <w:r>
        <w:rPr>
          <w:i/>
        </w:rPr>
        <w:t>ter summarises both Supporting Paper F</w:t>
      </w:r>
      <w:r w:rsidRPr="0051313D">
        <w:rPr>
          <w:i/>
        </w:rPr>
        <w:t xml:space="preserve">: </w:t>
      </w:r>
      <w:r>
        <w:rPr>
          <w:i/>
        </w:rPr>
        <w:t xml:space="preserve">Urban water services </w:t>
      </w:r>
      <w:r w:rsidRPr="0051313D">
        <w:rPr>
          <w:i/>
        </w:rPr>
        <w:t>(SP</w:t>
      </w:r>
      <w:r>
        <w:rPr>
          <w:i/>
        </w:rPr>
        <w:t> F Urban</w:t>
      </w:r>
      <w:r w:rsidRPr="0051313D">
        <w:rPr>
          <w:i/>
        </w:rPr>
        <w:t>)</w:t>
      </w:r>
      <w:r>
        <w:rPr>
          <w:i/>
        </w:rPr>
        <w:t xml:space="preserve"> and Supporting Paper G: </w:t>
      </w:r>
      <w:r w:rsidRPr="0051313D">
        <w:rPr>
          <w:i/>
        </w:rPr>
        <w:t>Urban water services: regional and remote communities</w:t>
      </w:r>
      <w:r>
        <w:rPr>
          <w:i/>
        </w:rPr>
        <w:t xml:space="preserve"> (SP G Regional)</w:t>
      </w:r>
      <w:r w:rsidRPr="0051313D">
        <w:rPr>
          <w:i/>
        </w:rPr>
        <w:t xml:space="preserve">. Further detail and analysis can be found in </w:t>
      </w:r>
      <w:r>
        <w:rPr>
          <w:i/>
        </w:rPr>
        <w:t>those</w:t>
      </w:r>
      <w:r w:rsidRPr="0051313D">
        <w:rPr>
          <w:i/>
        </w:rPr>
        <w:t xml:space="preserve"> paper</w:t>
      </w:r>
      <w:r>
        <w:rPr>
          <w:i/>
        </w:rPr>
        <w:t>s</w:t>
      </w:r>
      <w:r w:rsidRPr="0051313D">
        <w:t>.</w:t>
      </w:r>
    </w:p>
    <w:p w14:paraId="7E2AE7EE" w14:textId="77777777" w:rsidR="001054C3" w:rsidRPr="006F0B7F" w:rsidRDefault="001054C3" w:rsidP="00234FBE">
      <w:pPr>
        <w:pStyle w:val="Heading2"/>
      </w:pPr>
      <w:bookmarkStart w:id="161" w:name="_Toc72939534"/>
      <w:r>
        <w:lastRenderedPageBreak/>
        <w:t>12</w:t>
      </w:r>
      <w:r w:rsidRPr="006F0B7F">
        <w:t>.1</w:t>
      </w:r>
      <w:r w:rsidRPr="006F0B7F">
        <w:tab/>
        <w:t>Australia has seen significant urban water reform</w:t>
      </w:r>
      <w:bookmarkEnd w:id="161"/>
    </w:p>
    <w:p w14:paraId="4F1090B8" w14:textId="75F52251" w:rsidR="001054C3" w:rsidRPr="006F0B7F" w:rsidRDefault="001054C3" w:rsidP="00234FBE">
      <w:pPr>
        <w:pStyle w:val="BodyText"/>
        <w:keepNext/>
        <w:rPr>
          <w:spacing w:val="-2"/>
        </w:rPr>
      </w:pPr>
      <w:r w:rsidRPr="006F0B7F">
        <w:t xml:space="preserve">Reform from the 1990s drove major changes to pricing practices, institutional arrangements and ownership structures in the urban water sector </w:t>
      </w:r>
      <w:r w:rsidRPr="006F0B7F">
        <w:rPr>
          <w:szCs w:val="24"/>
        </w:rPr>
        <w:t>(Salisbury, Head and Groom 2017)</w:t>
      </w:r>
      <w:r>
        <w:t>. T</w:t>
      </w:r>
      <w:r w:rsidRPr="006F0B7F">
        <w:t>he 2004</w:t>
      </w:r>
      <w:r>
        <w:t xml:space="preserve"> National Water Initiative</w:t>
      </w:r>
      <w:r w:rsidRPr="006F0B7F">
        <w:t xml:space="preserve"> </w:t>
      </w:r>
      <w:r>
        <w:t>(</w:t>
      </w:r>
      <w:r w:rsidRPr="006F0B7F">
        <w:t>NWI</w:t>
      </w:r>
      <w:r>
        <w:t>)</w:t>
      </w:r>
      <w:r w:rsidRPr="006F0B7F">
        <w:t xml:space="preserve"> built on this effort</w:t>
      </w:r>
      <w:r>
        <w:t xml:space="preserve">, including further commitments </w:t>
      </w:r>
      <w:r w:rsidRPr="006F0B7F">
        <w:rPr>
          <w:spacing w:val="-2"/>
        </w:rPr>
        <w:t>to</w:t>
      </w:r>
      <w:r>
        <w:rPr>
          <w:spacing w:val="-2"/>
        </w:rPr>
        <w:t xml:space="preserve"> improve pricing and institutional arrangements across all water services (chapter 11), as well as reforms specific to urban water.</w:t>
      </w:r>
    </w:p>
    <w:p w14:paraId="498CB50A" w14:textId="77777777" w:rsidR="001054C3" w:rsidRPr="006F0B7F" w:rsidRDefault="001054C3" w:rsidP="00234FBE">
      <w:pPr>
        <w:pStyle w:val="BodyText"/>
        <w:keepNext/>
      </w:pPr>
      <w:r>
        <w:t xml:space="preserve">COAG subsequently adopted further guidance to guide urban water reform, which </w:t>
      </w:r>
      <w:r w:rsidRPr="006F0B7F">
        <w:t>came with the:</w:t>
      </w:r>
    </w:p>
    <w:p w14:paraId="360A2470" w14:textId="3D9452E3" w:rsidR="001054C3" w:rsidRPr="006F0B7F" w:rsidRDefault="001054C3" w:rsidP="00234FBE">
      <w:pPr>
        <w:pStyle w:val="ListBullet"/>
      </w:pPr>
      <w:r w:rsidRPr="006F0B7F">
        <w:rPr>
          <w:i/>
        </w:rPr>
        <w:t>National Urban Water Planning Principles</w:t>
      </w:r>
      <w:r w:rsidRPr="006F0B7F">
        <w:t xml:space="preserve"> </w:t>
      </w:r>
      <w:r w:rsidRPr="004C3779">
        <w:rPr>
          <w:szCs w:val="24"/>
        </w:rPr>
        <w:t>(DAWE (Cth) 2019)</w:t>
      </w:r>
      <w:r w:rsidRPr="006F0B7F">
        <w:t xml:space="preserve"> in 2008 — designed to help governments and water utilities plan the development of water and wastewater services</w:t>
      </w:r>
    </w:p>
    <w:p w14:paraId="3E24B46E" w14:textId="20A81F2E" w:rsidR="001054C3" w:rsidRPr="006F0B7F" w:rsidRDefault="001054C3" w:rsidP="00234FBE">
      <w:pPr>
        <w:pStyle w:val="ListBullet"/>
      </w:pPr>
      <w:r w:rsidRPr="005358A3">
        <w:rPr>
          <w:i/>
        </w:rPr>
        <w:t>National Water Initiative Pricing Principles</w:t>
      </w:r>
      <w:r w:rsidRPr="006F0B7F">
        <w:t xml:space="preserve"> </w:t>
      </w:r>
      <w:r w:rsidRPr="005358A3">
        <w:rPr>
          <w:szCs w:val="24"/>
        </w:rPr>
        <w:t>(NRMMC 2010)</w:t>
      </w:r>
      <w:r w:rsidRPr="006F0B7F">
        <w:t xml:space="preserve"> in 2010 — technical guidance to improve how jurisdictions set water charges; particularly, for recovering capital costs in line with NWI requirements.</w:t>
      </w:r>
    </w:p>
    <w:p w14:paraId="212AAE57" w14:textId="77777777" w:rsidR="001054C3" w:rsidRPr="006F0B7F" w:rsidRDefault="001054C3" w:rsidP="00234FBE">
      <w:pPr>
        <w:pStyle w:val="Heading2"/>
      </w:pPr>
      <w:bookmarkStart w:id="162" w:name="_Toc72939535"/>
      <w:r>
        <w:t>12</w:t>
      </w:r>
      <w:r w:rsidRPr="006F0B7F">
        <w:t>.2</w:t>
      </w:r>
      <w:r w:rsidRPr="006F0B7F">
        <w:tab/>
        <w:t>Much has been achieved but the case for further action is clear</w:t>
      </w:r>
      <w:bookmarkEnd w:id="162"/>
    </w:p>
    <w:p w14:paraId="7D6EF2EE" w14:textId="77777777" w:rsidR="001054C3" w:rsidRPr="006F0B7F" w:rsidRDefault="001054C3" w:rsidP="00234FBE">
      <w:pPr>
        <w:pStyle w:val="BodyText"/>
      </w:pPr>
      <w:r>
        <w:t>As outlined in chapter 2, past water r</w:t>
      </w:r>
      <w:r w:rsidRPr="006F0B7F">
        <w:t>eforms have provided significant benefits</w:t>
      </w:r>
      <w:r>
        <w:t xml:space="preserve"> for</w:t>
      </w:r>
      <w:r w:rsidRPr="006F0B7F">
        <w:t xml:space="preserve"> </w:t>
      </w:r>
      <w:r>
        <w:t xml:space="preserve">urban </w:t>
      </w:r>
      <w:r w:rsidRPr="006F0B7F">
        <w:t>water users</w:t>
      </w:r>
      <w:r>
        <w:t>, including through: the w</w:t>
      </w:r>
      <w:r w:rsidRPr="006F0B7F">
        <w:t>idespread adoption of cost</w:t>
      </w:r>
      <w:r w:rsidRPr="006F0B7F">
        <w:noBreakHyphen/>
        <w:t>reflective and consumption</w:t>
      </w:r>
      <w:r w:rsidRPr="006F0B7F">
        <w:noBreakHyphen/>
        <w:t>based pricing</w:t>
      </w:r>
      <w:r>
        <w:t>; the i</w:t>
      </w:r>
      <w:r w:rsidRPr="006F0B7F">
        <w:t>nstitutional separation of policy making, service delivery and regulation</w:t>
      </w:r>
      <w:r>
        <w:t>; and</w:t>
      </w:r>
      <w:r w:rsidRPr="006F0B7F">
        <w:t xml:space="preserve"> the introduction of independent economic regulation.</w:t>
      </w:r>
    </w:p>
    <w:p w14:paraId="246A7E90" w14:textId="77777777" w:rsidR="001054C3" w:rsidRPr="006F0B7F" w:rsidRDefault="001054C3" w:rsidP="00234FBE">
      <w:pPr>
        <w:pStyle w:val="BodyText"/>
      </w:pPr>
      <w:r>
        <w:t>Although these reforms have delivered benefits, most were delivered by the early 2000s with a period of relative inaction since. And there is no guarantee that they will be adequate for the future.</w:t>
      </w:r>
      <w:r w:rsidRPr="006F0B7F">
        <w:t xml:space="preserve"> </w:t>
      </w:r>
      <w:r>
        <w:t>S</w:t>
      </w:r>
      <w:r w:rsidRPr="006F0B7F">
        <w:t xml:space="preserve">hortcomings of the NWI, </w:t>
      </w:r>
      <w:r>
        <w:t xml:space="preserve">alongside </w:t>
      </w:r>
      <w:r w:rsidRPr="006F0B7F">
        <w:t xml:space="preserve">unfinished </w:t>
      </w:r>
      <w:r>
        <w:t xml:space="preserve">reform </w:t>
      </w:r>
      <w:r w:rsidRPr="006F0B7F">
        <w:t xml:space="preserve">business and </w:t>
      </w:r>
      <w:r>
        <w:t xml:space="preserve">the </w:t>
      </w:r>
      <w:r w:rsidRPr="006F0B7F">
        <w:t xml:space="preserve">challenges </w:t>
      </w:r>
      <w:r>
        <w:t xml:space="preserve">emerging </w:t>
      </w:r>
      <w:r w:rsidRPr="006F0B7F">
        <w:t>from changing water supply and demand</w:t>
      </w:r>
      <w:r>
        <w:t xml:space="preserve"> conditions</w:t>
      </w:r>
      <w:r w:rsidRPr="006F0B7F">
        <w:t>, create a</w:t>
      </w:r>
      <w:r>
        <w:t xml:space="preserve">n </w:t>
      </w:r>
      <w:r w:rsidRPr="006F0B7F">
        <w:t xml:space="preserve">imperative </w:t>
      </w:r>
      <w:r>
        <w:t xml:space="preserve">to reinvigorate the urban water </w:t>
      </w:r>
      <w:r w:rsidRPr="006F0B7F">
        <w:t>reform effort.</w:t>
      </w:r>
    </w:p>
    <w:p w14:paraId="24861595" w14:textId="77777777" w:rsidR="001054C3" w:rsidRPr="006F0B7F" w:rsidRDefault="001054C3" w:rsidP="00234FBE">
      <w:pPr>
        <w:pStyle w:val="Heading3"/>
      </w:pPr>
      <w:r w:rsidRPr="006F0B7F">
        <w:t>Blind spots in the NWI, and unfinished reform business</w:t>
      </w:r>
    </w:p>
    <w:p w14:paraId="46F6C29B" w14:textId="77777777" w:rsidR="001054C3" w:rsidRPr="006F0B7F" w:rsidRDefault="001054C3" w:rsidP="00234FBE">
      <w:pPr>
        <w:pStyle w:val="BodyText"/>
        <w:keepNext/>
      </w:pPr>
      <w:r w:rsidRPr="006F0B7F">
        <w:t xml:space="preserve">The NWI included </w:t>
      </w:r>
      <w:r>
        <w:t xml:space="preserve">only a </w:t>
      </w:r>
      <w:r w:rsidRPr="006F0B7F">
        <w:t xml:space="preserve">few actions specific to urban water </w:t>
      </w:r>
      <w:r>
        <w:t>(</w:t>
      </w:r>
      <w:r w:rsidRPr="006F0B7F">
        <w:t>now largely completed or outdated</w:t>
      </w:r>
      <w:r>
        <w:t>)</w:t>
      </w:r>
      <w:r w:rsidRPr="006F0B7F">
        <w:t xml:space="preserve"> while a number of key areas were overlooked at the time.</w:t>
      </w:r>
    </w:p>
    <w:p w14:paraId="0394871C" w14:textId="51A27836" w:rsidR="001054C3" w:rsidRPr="006F0B7F" w:rsidRDefault="001054C3" w:rsidP="00234FBE">
      <w:pPr>
        <w:pStyle w:val="ListBullet"/>
      </w:pPr>
      <w:r>
        <w:t>Although they contain</w:t>
      </w:r>
      <w:r w:rsidRPr="006F0B7F">
        <w:t xml:space="preserve"> sound guidance</w:t>
      </w:r>
      <w:r>
        <w:t>,</w:t>
      </w:r>
      <w:r w:rsidRPr="006F0B7F" w:rsidDel="00EF55C6">
        <w:t xml:space="preserve"> </w:t>
      </w:r>
      <w:r>
        <w:t>t</w:t>
      </w:r>
      <w:r w:rsidRPr="006F0B7F">
        <w:t>he</w:t>
      </w:r>
      <w:r>
        <w:t xml:space="preserve"> 2010</w:t>
      </w:r>
      <w:r w:rsidRPr="006F0B7F">
        <w:t xml:space="preserve"> </w:t>
      </w:r>
      <w:r w:rsidRPr="006F0B7F">
        <w:rPr>
          <w:i/>
        </w:rPr>
        <w:t>National Urban Water Planning Principles</w:t>
      </w:r>
      <w:r w:rsidRPr="006F0B7F">
        <w:t xml:space="preserve"> </w:t>
      </w:r>
      <w:r>
        <w:t xml:space="preserve">do </w:t>
      </w:r>
      <w:r w:rsidRPr="006F0B7F">
        <w:t xml:space="preserve">not form part of the NWI. Jurisdictions </w:t>
      </w:r>
      <w:r>
        <w:t xml:space="preserve">have not committed </w:t>
      </w:r>
      <w:r w:rsidRPr="006F0B7F">
        <w:t xml:space="preserve">to </w:t>
      </w:r>
      <w:r>
        <w:t xml:space="preserve">implement </w:t>
      </w:r>
      <w:r w:rsidRPr="006F0B7F">
        <w:t>the</w:t>
      </w:r>
      <w:r>
        <w:t>se</w:t>
      </w:r>
      <w:r w:rsidRPr="006F0B7F">
        <w:t xml:space="preserve"> principles, and </w:t>
      </w:r>
      <w:r>
        <w:t xml:space="preserve">to date, </w:t>
      </w:r>
      <w:r w:rsidRPr="006F0B7F">
        <w:t xml:space="preserve">they have been unevenly embedded in utility planning </w:t>
      </w:r>
      <w:r w:rsidRPr="004C3779">
        <w:rPr>
          <w:szCs w:val="24"/>
        </w:rPr>
        <w:t>(DOE (Cth) 2015)</w:t>
      </w:r>
      <w:r w:rsidRPr="006F0B7F">
        <w:t>.</w:t>
      </w:r>
    </w:p>
    <w:p w14:paraId="740FE5A1" w14:textId="77777777" w:rsidR="001054C3" w:rsidRPr="006F0B7F" w:rsidRDefault="001054C3" w:rsidP="00234FBE">
      <w:pPr>
        <w:pStyle w:val="ListBullet"/>
      </w:pPr>
      <w:r w:rsidRPr="006F0B7F">
        <w:t>Pricing and institutional commitments were quite detailed in some areas, but relatively minimal in others (such as independent economic regulation)</w:t>
      </w:r>
      <w:r>
        <w:t>.</w:t>
      </w:r>
      <w:r w:rsidRPr="006F0B7F">
        <w:t xml:space="preserve"> Further, they applied only </w:t>
      </w:r>
      <w:r w:rsidRPr="006F0B7F">
        <w:lastRenderedPageBreak/>
        <w:t>to water and wastewater services</w:t>
      </w:r>
      <w:r>
        <w:t>;</w:t>
      </w:r>
      <w:r w:rsidRPr="006F0B7F">
        <w:t xml:space="preserve"> </w:t>
      </w:r>
      <w:r>
        <w:t xml:space="preserve">and </w:t>
      </w:r>
      <w:r w:rsidRPr="006F0B7F">
        <w:t>although there was a commitment to develop stormwater pricing policies, stormwater management was not mentioned.</w:t>
      </w:r>
    </w:p>
    <w:p w14:paraId="20E954FD" w14:textId="77777777" w:rsidR="001054C3" w:rsidRPr="006F0B7F" w:rsidRDefault="001054C3" w:rsidP="00234FBE">
      <w:pPr>
        <w:pStyle w:val="ListBullet"/>
      </w:pPr>
      <w:r w:rsidRPr="006F0B7F">
        <w:t>Beyond a high</w:t>
      </w:r>
      <w:r w:rsidRPr="006F0B7F">
        <w:noBreakHyphen/>
        <w:t>level commitment to ‘safe, healthy and reliable water’, the agreement said little about water service quality.</w:t>
      </w:r>
    </w:p>
    <w:p w14:paraId="326E3F5C" w14:textId="77777777" w:rsidR="001054C3" w:rsidRPr="006F0B7F" w:rsidRDefault="001054C3" w:rsidP="00234FBE">
      <w:pPr>
        <w:pStyle w:val="BodyText"/>
        <w:keepNext/>
      </w:pPr>
      <w:r>
        <w:t xml:space="preserve">The lack of detailed actions pertaining to the urban water sector, </w:t>
      </w:r>
      <w:r w:rsidRPr="008E191B">
        <w:t>alongside</w:t>
      </w:r>
      <w:r>
        <w:t xml:space="preserve"> lessons from subsequent extreme events, have made the NWI largely irrelevant to the sector.</w:t>
      </w:r>
    </w:p>
    <w:p w14:paraId="4A8170E8" w14:textId="77777777" w:rsidR="001054C3" w:rsidRDefault="001054C3" w:rsidP="00234FBE">
      <w:pPr>
        <w:pStyle w:val="Quote"/>
      </w:pPr>
      <w:r w:rsidRPr="006F0B7F">
        <w:t>For many in the sector, and governments more broadly, the National Water Initiative (NWI) has become an irrelevant factor in planning and investment decisions. Lessons from the Millennium Drought, which exposed poor planning and an absence of accountability, remain largely unaddressed, and progress in water pricing reform is inadequate. (Infrastructure Partnerships Australia, sub. 71, p. 2)</w:t>
      </w:r>
    </w:p>
    <w:p w14:paraId="62D54EDE" w14:textId="77777777" w:rsidR="001054C3" w:rsidRPr="006F0B7F" w:rsidRDefault="001054C3" w:rsidP="00234FBE">
      <w:pPr>
        <w:pStyle w:val="BodyText"/>
      </w:pPr>
      <w:r>
        <w:t>Further, there is still u</w:t>
      </w:r>
      <w:r w:rsidRPr="006F0B7F">
        <w:t xml:space="preserve">nfinished business against the NWI </w:t>
      </w:r>
      <w:r>
        <w:t xml:space="preserve">— </w:t>
      </w:r>
      <w:r w:rsidRPr="006F0B7F">
        <w:t>principally within pricing practices and in the application of economic regulation</w:t>
      </w:r>
      <w:r>
        <w:t xml:space="preserve"> (chapter 11)</w:t>
      </w:r>
      <w:r w:rsidRPr="006F0B7F">
        <w:t xml:space="preserve">. </w:t>
      </w:r>
    </w:p>
    <w:p w14:paraId="2C3F8BA4" w14:textId="77777777" w:rsidR="001054C3" w:rsidRPr="006F0B7F" w:rsidRDefault="001054C3" w:rsidP="00234FBE">
      <w:pPr>
        <w:pStyle w:val="Heading3"/>
      </w:pPr>
      <w:r>
        <w:t>The s</w:t>
      </w:r>
      <w:r w:rsidRPr="006F0B7F">
        <w:t xml:space="preserve">ignificant </w:t>
      </w:r>
      <w:r>
        <w:t xml:space="preserve">costs of addressing the </w:t>
      </w:r>
      <w:r w:rsidRPr="006F0B7F">
        <w:t>challenges ahead reinforce the need for clear national guidance</w:t>
      </w:r>
    </w:p>
    <w:p w14:paraId="1CDCE91F" w14:textId="5E4A2A3C" w:rsidR="001054C3" w:rsidRPr="006F0B7F" w:rsidRDefault="001054C3" w:rsidP="00234FBE">
      <w:pPr>
        <w:pStyle w:val="BodyText"/>
      </w:pPr>
      <w:r w:rsidRPr="006F0B7F">
        <w:t>Challenges confronting water management in Australia are significant (</w:t>
      </w:r>
      <w:r>
        <w:t>chapter</w:t>
      </w:r>
      <w:r w:rsidRPr="006F0B7F">
        <w:t> </w:t>
      </w:r>
      <w:r>
        <w:t>2</w:t>
      </w:r>
      <w:r w:rsidRPr="006F0B7F">
        <w:t>). A changing climate threatens long</w:t>
      </w:r>
      <w:r w:rsidRPr="006F0B7F">
        <w:noBreakHyphen/>
        <w:t xml:space="preserve">term urban water security. ‘[O]f all the forms of infrastructure, the potential risks and costs of climate change are greatest in the water sector’ </w:t>
      </w:r>
      <w:r w:rsidRPr="006F0B7F">
        <w:rPr>
          <w:szCs w:val="24"/>
        </w:rPr>
        <w:t>(IA 2019, p. 601)</w:t>
      </w:r>
      <w:r w:rsidRPr="006F0B7F">
        <w:t>. Extreme events (including floods and bushfires) are also likely to occur more frequently, and these water supply shocks will especially challenge the ability of smaller regional and remote service providers to maintain water quality and availability.</w:t>
      </w:r>
    </w:p>
    <w:p w14:paraId="61E81C3B" w14:textId="77777777" w:rsidR="001054C3" w:rsidRPr="006F0B7F" w:rsidRDefault="001054C3" w:rsidP="00234FBE">
      <w:pPr>
        <w:pStyle w:val="BodyText"/>
        <w:keepNext/>
      </w:pPr>
      <w:r w:rsidRPr="006F0B7F">
        <w:t>Demand for water services is also increasing, with rising populations in major cities and regional centres</w:t>
      </w:r>
      <w:r>
        <w:t xml:space="preserve"> (chapter 2: figure 2.8)</w:t>
      </w:r>
      <w:r w:rsidRPr="006F0B7F">
        <w:t>.</w:t>
      </w:r>
    </w:p>
    <w:p w14:paraId="208FF8B3" w14:textId="77777777" w:rsidR="001054C3" w:rsidRPr="006F0B7F" w:rsidRDefault="001054C3" w:rsidP="00234FBE">
      <w:pPr>
        <w:pStyle w:val="Quote"/>
      </w:pPr>
      <w:r w:rsidRPr="006F0B7F">
        <w:t>Growth impacts for the water sector include obvious needs like greater water supply, but it also means more hard surfaces, increased wastewater discharges to manage within environmental protection constraints, large and costly new treatment infrastructure, and considerations of stormwater and flood management as the urban footprint expands. (WSAA</w:t>
      </w:r>
      <w:r>
        <w:t>,</w:t>
      </w:r>
      <w:r w:rsidRPr="006F0B7F">
        <w:t xml:space="preserve"> sub. 88, p. 13)</w:t>
      </w:r>
    </w:p>
    <w:p w14:paraId="4E44A8C5" w14:textId="77777777" w:rsidR="001054C3" w:rsidRPr="006F0B7F" w:rsidRDefault="001054C3" w:rsidP="00234FBE">
      <w:pPr>
        <w:pStyle w:val="BodyText"/>
        <w:keepNext/>
      </w:pPr>
      <w:r>
        <w:t>In some areas, for example in the Hawkesbury</w:t>
      </w:r>
      <w:r>
        <w:noBreakHyphen/>
        <w:t>Nepean River catchment in Sydney, the expanding populations in Sydney’s western growth corridor mean local waterways are increasingly important for recreation, alongside increased need to consider flood mitigation during extreme events. More generally, c</w:t>
      </w:r>
      <w:r w:rsidRPr="006F0B7F">
        <w:t xml:space="preserve">ommunities </w:t>
      </w:r>
      <w:r>
        <w:t>have rising expectations of</w:t>
      </w:r>
      <w:r w:rsidRPr="006F0B7F">
        <w:t xml:space="preserve"> </w:t>
      </w:r>
      <w:r>
        <w:t xml:space="preserve">water services, </w:t>
      </w:r>
      <w:r w:rsidRPr="006F0B7F">
        <w:t>with increasing recognition of the importance of liveability and urban amenity to health and wellbeing. COVID</w:t>
      </w:r>
      <w:r>
        <w:noBreakHyphen/>
        <w:t>19</w:t>
      </w:r>
      <w:r w:rsidRPr="006F0B7F">
        <w:t xml:space="preserve"> lockdowns have accentuated this awareness and:</w:t>
      </w:r>
    </w:p>
    <w:p w14:paraId="3B0B5AD1" w14:textId="77777777" w:rsidR="001054C3" w:rsidRPr="006F0B7F" w:rsidRDefault="001054C3" w:rsidP="00234FBE">
      <w:pPr>
        <w:pStyle w:val="Quote"/>
      </w:pPr>
      <w:r w:rsidRPr="006F0B7F">
        <w:t>The community will maintain its desire for high quality open space, interaction with healthy waterways, and preservation of bushland and the natural environment as they seek opportunities for local recreation, and seek refuge from increasing threats, such as urban heat. (Sydney Water, sub. 94, p. 10)</w:t>
      </w:r>
    </w:p>
    <w:p w14:paraId="3DA7E82E" w14:textId="137F17EA" w:rsidR="001054C3" w:rsidRDefault="001054C3" w:rsidP="00234FBE">
      <w:pPr>
        <w:pStyle w:val="BodyText"/>
      </w:pPr>
      <w:r w:rsidRPr="006F0B7F">
        <w:lastRenderedPageBreak/>
        <w:t xml:space="preserve">Governments and urban water utilities are aware of these pressures, and </w:t>
      </w:r>
      <w:r>
        <w:t>of the associated need for</w:t>
      </w:r>
      <w:r w:rsidRPr="006F0B7F">
        <w:t xml:space="preserve"> significant investment. Across the Australian urban water sector, data to 2022</w:t>
      </w:r>
      <w:r w:rsidRPr="006F0B7F">
        <w:noBreakHyphen/>
        <w:t xml:space="preserve">23 show capital expenditure rising to over $6 billion a year, </w:t>
      </w:r>
      <w:r>
        <w:t>with</w:t>
      </w:r>
      <w:r w:rsidRPr="006F0B7F">
        <w:t xml:space="preserve"> a significant increase in renewals and maintenance expenditure</w:t>
      </w:r>
      <w:r>
        <w:t xml:space="preserve"> for water supply and wastewater assets </w:t>
      </w:r>
      <w:r w:rsidRPr="006F0B7F">
        <w:t xml:space="preserve">(WSAA, pers. comm., 10 December 2020). </w:t>
      </w:r>
      <w:r>
        <w:t>This planned expenditure also</w:t>
      </w:r>
      <w:r w:rsidDel="000E7A67">
        <w:t xml:space="preserve"> </w:t>
      </w:r>
      <w:r>
        <w:t>covers anticipated supply augmentation investments. Decisions on</w:t>
      </w:r>
      <w:r w:rsidDel="003F5856">
        <w:t xml:space="preserve"> </w:t>
      </w:r>
      <w:r>
        <w:t xml:space="preserve">these investments are complicated by </w:t>
      </w:r>
      <w:r>
        <w:rPr>
          <w:spacing w:val="-2"/>
        </w:rPr>
        <w:t>uncertainty over the likely timing and nature of climate change</w:t>
      </w:r>
      <w:r>
        <w:rPr>
          <w:spacing w:val="-2"/>
        </w:rPr>
        <w:noBreakHyphen/>
        <w:t xml:space="preserve">induced shifts in water availability (chapters 2 and 13). </w:t>
      </w:r>
      <w:r>
        <w:t>Future investment in</w:t>
      </w:r>
      <w:r w:rsidRPr="006F0B7F">
        <w:t xml:space="preserve"> stormwater </w:t>
      </w:r>
      <w:r>
        <w:t xml:space="preserve">infrastructure </w:t>
      </w:r>
      <w:r w:rsidRPr="006F0B7F">
        <w:t>(</w:t>
      </w:r>
      <w:r>
        <w:t xml:space="preserve">which is </w:t>
      </w:r>
      <w:r w:rsidRPr="006F0B7F">
        <w:t xml:space="preserve">usually under the purview of local government) </w:t>
      </w:r>
      <w:r>
        <w:t xml:space="preserve">is also likely to </w:t>
      </w:r>
      <w:r w:rsidRPr="006F0B7F">
        <w:t xml:space="preserve">be substantial — Melbourne Water has proposed $244 million of capital expenditure for waterway and drainage services </w:t>
      </w:r>
      <w:r>
        <w:t xml:space="preserve">each year </w:t>
      </w:r>
      <w:r w:rsidRPr="006F0B7F">
        <w:t>from 2021</w:t>
      </w:r>
      <w:r w:rsidRPr="006F0B7F">
        <w:noBreakHyphen/>
        <w:t xml:space="preserve">22 </w:t>
      </w:r>
      <w:r>
        <w:t>to 2026</w:t>
      </w:r>
      <w:r>
        <w:noBreakHyphen/>
        <w:t xml:space="preserve">27 </w:t>
      </w:r>
      <w:r w:rsidRPr="00C90DB3">
        <w:rPr>
          <w:spacing w:val="-2"/>
          <w:szCs w:val="24"/>
        </w:rPr>
        <w:t>(Melbourne Water 2020, p. 197)</w:t>
      </w:r>
      <w:r w:rsidRPr="000D5F1C">
        <w:rPr>
          <w:spacing w:val="-2"/>
        </w:rPr>
        <w:t>.</w:t>
      </w:r>
    </w:p>
    <w:p w14:paraId="6D8307E5" w14:textId="77777777" w:rsidR="001054C3" w:rsidRPr="00431D61" w:rsidRDefault="001054C3" w:rsidP="00234FBE">
      <w:pPr>
        <w:pStyle w:val="BodyText"/>
        <w:rPr>
          <w:spacing w:val="-2"/>
        </w:rPr>
      </w:pPr>
      <w:r w:rsidRPr="00431D61">
        <w:rPr>
          <w:spacing w:val="-2"/>
        </w:rPr>
        <w:t>The billion dollar capital investment pipeline in major cities presents opportunities and risks — opportunities to improve water service outcomes for customers, as well as broader community outcomes like liveability and urban amenity; but with the risks of inefficient investments imposing legacy costs on water customers, or failing to secure an adequate level of service. Strong urban water policy settings that provide guidance on best</w:t>
      </w:r>
      <w:r w:rsidRPr="00431D61">
        <w:rPr>
          <w:spacing w:val="-2"/>
        </w:rPr>
        <w:noBreakHyphen/>
        <w:t>practice system planning, pricing and institutional arrangements will help the sector meet those challenges, in turn, helping to manage the impact of these investments on water prices, service outcomes and broader community outcomes, yielding the best overall outcomes possible for customers.</w:t>
      </w:r>
    </w:p>
    <w:p w14:paraId="56D2DE91" w14:textId="77777777" w:rsidR="001054C3" w:rsidRPr="00FA2FB8" w:rsidRDefault="001054C3" w:rsidP="00234FBE">
      <w:pPr>
        <w:pStyle w:val="Heading4"/>
      </w:pPr>
      <w:r>
        <w:t>Water service provision can be more complex (and costly) outside major cities</w:t>
      </w:r>
    </w:p>
    <w:p w14:paraId="72B13C9C" w14:textId="77777777" w:rsidR="001054C3" w:rsidRDefault="001054C3" w:rsidP="00234FBE">
      <w:pPr>
        <w:pStyle w:val="BodyText"/>
        <w:keepNext/>
      </w:pPr>
      <w:r>
        <w:t>Regional and remote urban water systems face additional challenges.</w:t>
      </w:r>
    </w:p>
    <w:p w14:paraId="146F2802" w14:textId="77777777" w:rsidR="001054C3" w:rsidRDefault="001054C3" w:rsidP="00234FBE">
      <w:pPr>
        <w:pStyle w:val="BodyText"/>
      </w:pPr>
      <w:r>
        <w:t>Regional towns are smaller, with connections typically spread over a large area, such that fewer users are serviced by (and pay for) fixed infrastructure, such as water treatment plants. This leads to higher costs per connection and can mean a particular level of service is more expensive to provide in regional areas (Engineers Australia, sub. 63, p. 17). Declining populations and shrinking user bases in some towns exacerbate this financial challenge.</w:t>
      </w:r>
    </w:p>
    <w:p w14:paraId="075E879B" w14:textId="77777777" w:rsidR="001054C3" w:rsidRDefault="001054C3" w:rsidP="00234FBE">
      <w:pPr>
        <w:pStyle w:val="BodyText"/>
      </w:pPr>
      <w:r>
        <w:t xml:space="preserve">Although regional and remote service providers face less onerous pricing commitments under the NWI than major utilities, compliance with the agreement has nonetheless been mixed. A number of smaller utilities in New South Wales and Queensland are not achieving full cost recovery, and cross subsidies are not always transparent. Most State government funding provided to these local utilities does not meet the NWI’s criteria of a transparent community service obligation (CSO) payment </w:t>
      </w:r>
      <w:r w:rsidRPr="000E4585">
        <w:t>(</w:t>
      </w:r>
      <w:r w:rsidRPr="000E4585">
        <w:rPr>
          <w:i/>
        </w:rPr>
        <w:t>Assessment</w:t>
      </w:r>
      <w:r>
        <w:t>:</w:t>
      </w:r>
      <w:r w:rsidRPr="000E4585">
        <w:t xml:space="preserve"> section </w:t>
      </w:r>
      <w:r>
        <w:t>3.1</w:t>
      </w:r>
      <w:r w:rsidRPr="000E4585">
        <w:t>)</w:t>
      </w:r>
      <w:r>
        <w:t>.</w:t>
      </w:r>
    </w:p>
    <w:p w14:paraId="50850599" w14:textId="77777777" w:rsidR="001054C3" w:rsidRPr="000E4585" w:rsidRDefault="001054C3" w:rsidP="00234FBE">
      <w:pPr>
        <w:pStyle w:val="BodyText"/>
      </w:pPr>
      <w:r>
        <w:t xml:space="preserve">Climate conditions vary significantly across regional and remote Australia, but rainfall can be less frequent or reliable, particularly in inland areas, and there may be fewer alternative supply options (such as seawater desalination or potable groundwater). </w:t>
      </w:r>
      <w:r w:rsidRPr="000E4585">
        <w:t xml:space="preserve">Some remote communities are entirely reliant on a single groundwater source, without opportunity to access surface water resources or to share bulk infrastructure (such as dams). And water quality issues can arise from many causes, including bushfires, algal blooms and other </w:t>
      </w:r>
      <w:r w:rsidRPr="000E4585">
        <w:lastRenderedPageBreak/>
        <w:t>contaminants (NHM</w:t>
      </w:r>
      <w:r>
        <w:t>R</w:t>
      </w:r>
      <w:r w:rsidRPr="000E4585">
        <w:t>C, sub. 93, p. 4). A lack of alternative water sources can make a water supply system vulnerable in the face of a water quality issue.</w:t>
      </w:r>
    </w:p>
    <w:p w14:paraId="1A349294" w14:textId="77777777" w:rsidR="001054C3" w:rsidRDefault="001054C3" w:rsidP="00234FBE">
      <w:pPr>
        <w:pStyle w:val="BodyText"/>
      </w:pPr>
      <w:r w:rsidRPr="000E4585">
        <w:t>Access to safe and reliable water is also an issue</w:t>
      </w:r>
      <w:r>
        <w:t>, particularly</w:t>
      </w:r>
      <w:r w:rsidRPr="000E4585">
        <w:t xml:space="preserve"> in some remote Aboriginal and Torres Strait Islander communities, with limited access to adequate quality drinking water in some places (</w:t>
      </w:r>
      <w:r w:rsidRPr="000E4585">
        <w:rPr>
          <w:i/>
        </w:rPr>
        <w:t>Assessment</w:t>
      </w:r>
      <w:r>
        <w:t>:</w:t>
      </w:r>
      <w:r w:rsidRPr="000E4585">
        <w:t xml:space="preserve"> section 6</w:t>
      </w:r>
      <w:r>
        <w:t>.1</w:t>
      </w:r>
      <w:r w:rsidRPr="000E4585">
        <w:t xml:space="preserve">). This can be due to poor quality water sources, </w:t>
      </w:r>
      <w:r w:rsidRPr="00FB7071">
        <w:t>inadequate</w:t>
      </w:r>
      <w:r w:rsidRPr="000E4585">
        <w:t xml:space="preserve"> water distribution and treatment infrastructure, and fragmented arrangements for service delivery.</w:t>
      </w:r>
    </w:p>
    <w:p w14:paraId="6DE802FE" w14:textId="77777777" w:rsidR="001054C3" w:rsidRDefault="001054C3" w:rsidP="00234FBE">
      <w:pPr>
        <w:pStyle w:val="BodyText"/>
      </w:pPr>
      <w:r>
        <w:t xml:space="preserve">The </w:t>
      </w:r>
      <w:r w:rsidRPr="006F0B7F">
        <w:t>recent drought has brought shortcomings in planning and service delivery into sharp relief in some regional areas</w:t>
      </w:r>
      <w:r>
        <w:t xml:space="preserve">. Persistent drought and severe bushfires across eastern Australia have stretched local water supplies, and led to emergency water carting and infrastructure works in </w:t>
      </w:r>
      <w:r w:rsidRPr="006F0B7F">
        <w:t>New South Wales and Queensland</w:t>
      </w:r>
      <w:r>
        <w:t>. Although these drought conditions were, in some ways, unparalleled, some government responses indicated a lack of preparation, or inadequacies in the emergency response plans in place prior to the drought.</w:t>
      </w:r>
    </w:p>
    <w:p w14:paraId="78C7B232" w14:textId="77777777" w:rsidR="001054C3" w:rsidRPr="006F0B7F" w:rsidRDefault="001054C3" w:rsidP="00234FBE">
      <w:pPr>
        <w:pStyle w:val="BodyText"/>
      </w:pPr>
      <w:r>
        <w:t>Looking ahead, a changing climate will threaten long</w:t>
      </w:r>
      <w:r>
        <w:noBreakHyphen/>
        <w:t>term water security in regional and remote Australia, just as in major cities (SP F </w:t>
      </w:r>
      <w:r>
        <w:rPr>
          <w:i/>
        </w:rPr>
        <w:t>Urban</w:t>
      </w:r>
      <w:r>
        <w:t>). Extreme events (including floods and bushfires) are also likely to occur more frequently. And unanticipated water supply shocks will challenge the ability of regional providers (especially smaller ones) to maintain water quality and sustain reliable water services.</w:t>
      </w:r>
    </w:p>
    <w:p w14:paraId="200C25F9" w14:textId="77777777" w:rsidR="001054C3" w:rsidRPr="006F0B7F" w:rsidRDefault="001054C3" w:rsidP="00234FBE">
      <w:pPr>
        <w:pStyle w:val="Heading2"/>
      </w:pPr>
      <w:bookmarkStart w:id="163" w:name="_Toc72939536"/>
      <w:r w:rsidRPr="006F0B7F">
        <w:t>1</w:t>
      </w:r>
      <w:r>
        <w:t>2</w:t>
      </w:r>
      <w:r w:rsidRPr="006F0B7F">
        <w:t>.3</w:t>
      </w:r>
      <w:r w:rsidRPr="006F0B7F">
        <w:tab/>
        <w:t>NWI renewal is an opportunity to embed the foundations of success</w:t>
      </w:r>
      <w:bookmarkEnd w:id="163"/>
    </w:p>
    <w:p w14:paraId="0D197409" w14:textId="77777777" w:rsidR="001054C3" w:rsidRPr="006F0B7F" w:rsidRDefault="001054C3" w:rsidP="00234FBE">
      <w:pPr>
        <w:pStyle w:val="Heading3"/>
        <w:spacing w:before="280"/>
      </w:pPr>
      <w:r w:rsidRPr="006F0B7F">
        <w:t>A</w:t>
      </w:r>
      <w:r>
        <w:t>n</w:t>
      </w:r>
      <w:r w:rsidRPr="006F0B7F">
        <w:t xml:space="preserve"> </w:t>
      </w:r>
      <w:r>
        <w:t xml:space="preserve">enhanced </w:t>
      </w:r>
      <w:r w:rsidRPr="006F0B7F">
        <w:t>urban water element in support of refreshed objectives</w:t>
      </w:r>
    </w:p>
    <w:p w14:paraId="2485480D" w14:textId="77777777" w:rsidR="001054C3" w:rsidRPr="006F0B7F" w:rsidRDefault="001054C3" w:rsidP="00234FBE">
      <w:pPr>
        <w:pStyle w:val="BodyText"/>
      </w:pPr>
      <w:r w:rsidRPr="006F0B7F">
        <w:t xml:space="preserve">NWI </w:t>
      </w:r>
      <w:r>
        <w:t xml:space="preserve">renewal </w:t>
      </w:r>
      <w:r w:rsidRPr="006F0B7F">
        <w:t xml:space="preserve">is an </w:t>
      </w:r>
      <w:r w:rsidRPr="006008FE">
        <w:t>opportunity</w:t>
      </w:r>
      <w:r w:rsidRPr="006F0B7F">
        <w:t xml:space="preserve"> for jurisdictions to </w:t>
      </w:r>
      <w:r>
        <w:t>develop agreed</w:t>
      </w:r>
      <w:r w:rsidRPr="006F0B7F">
        <w:t xml:space="preserve"> objectives for the urban water sector and include national principles for best practice in the planning, pricing and delivery of urban water services. It also provides an opportunity to improve service delivery in regional and remote areas, including facilitating commitments made under </w:t>
      </w:r>
      <w:r>
        <w:t xml:space="preserve">the </w:t>
      </w:r>
      <w:r w:rsidRPr="001E398A">
        <w:t>National Agreement on Closing the Gap</w:t>
      </w:r>
      <w:r w:rsidRPr="006F0B7F">
        <w:rPr>
          <w:i/>
        </w:rPr>
        <w:t xml:space="preserve"> </w:t>
      </w:r>
      <w:r w:rsidRPr="006F0B7F">
        <w:rPr>
          <w:iCs/>
        </w:rPr>
        <w:t>towards equity in access to essential services</w:t>
      </w:r>
      <w:r>
        <w:rPr>
          <w:iCs/>
        </w:rPr>
        <w:t>. And a</w:t>
      </w:r>
      <w:r>
        <w:t xml:space="preserve"> renewed NWI should provide the vehicle to meet the water</w:t>
      </w:r>
      <w:r>
        <w:noBreakHyphen/>
        <w:t>related Sustainable Development Goals that Australia committed to by endorsing the United Nations 2030 Agenda for Sustainable Development in 2015.</w:t>
      </w:r>
    </w:p>
    <w:p w14:paraId="2829D8D7" w14:textId="77777777" w:rsidR="001054C3" w:rsidRDefault="001054C3" w:rsidP="00234FBE">
      <w:pPr>
        <w:pStyle w:val="BodyText"/>
      </w:pPr>
      <w:r w:rsidRPr="006F0B7F">
        <w:t xml:space="preserve">The Commission has </w:t>
      </w:r>
      <w:r>
        <w:t>proposed</w:t>
      </w:r>
      <w:r w:rsidRPr="006F0B7F">
        <w:t xml:space="preserve"> </w:t>
      </w:r>
      <w:r>
        <w:t xml:space="preserve">modernised </w:t>
      </w:r>
      <w:r w:rsidRPr="006008FE">
        <w:t>objectives</w:t>
      </w:r>
      <w:r w:rsidRPr="006F0B7F">
        <w:t xml:space="preserve"> for the urban water sector, in support of an overall aspiration for water service provision of ‘effective, efficient and equitable provision of water services that meet the needs of customers and communities in a changing climate’</w:t>
      </w:r>
      <w:r>
        <w:t xml:space="preserve"> (chapter 3), and has recommended that jurisdictions tweak and recommit to the existing </w:t>
      </w:r>
      <w:r>
        <w:rPr>
          <w:i/>
          <w:iCs/>
        </w:rPr>
        <w:t>Best Practice Pricing and Institutional Arrangements</w:t>
      </w:r>
      <w:r>
        <w:t xml:space="preserve"> element to support pricing and service outcomes across all water services (chapter </w:t>
      </w:r>
      <w:r w:rsidRPr="00C25E6A">
        <w:t>11</w:t>
      </w:r>
      <w:r>
        <w:t>)</w:t>
      </w:r>
      <w:r w:rsidRPr="006F0B7F">
        <w:t>.</w:t>
      </w:r>
    </w:p>
    <w:p w14:paraId="687079D5" w14:textId="77777777" w:rsidR="001054C3" w:rsidRDefault="001054C3" w:rsidP="00234FBE">
      <w:pPr>
        <w:pStyle w:val="BodyText"/>
      </w:pPr>
      <w:r>
        <w:lastRenderedPageBreak/>
        <w:t xml:space="preserve">The minimalist </w:t>
      </w:r>
      <w:r w:rsidRPr="00205702">
        <w:rPr>
          <w:i/>
        </w:rPr>
        <w:t>Urban Water Reform</w:t>
      </w:r>
      <w:r>
        <w:t xml:space="preserve"> element under the original NWI should be expanded significantly to outline an agreed aspiration for the sector, along with clearer guidelines for best</w:t>
      </w:r>
      <w:r>
        <w:noBreakHyphen/>
        <w:t xml:space="preserve">practice urban water planning. </w:t>
      </w:r>
    </w:p>
    <w:p w14:paraId="3DFED664" w14:textId="77777777" w:rsidR="001054C3" w:rsidRDefault="001054C3" w:rsidP="00234FBE">
      <w:pPr>
        <w:pStyle w:val="Heading3"/>
      </w:pPr>
      <w:r>
        <w:t>A stronger focus on best-practice planning</w:t>
      </w:r>
    </w:p>
    <w:p w14:paraId="74739763" w14:textId="77777777" w:rsidR="001054C3" w:rsidRPr="006F0B7F" w:rsidRDefault="001054C3" w:rsidP="00234FBE">
      <w:pPr>
        <w:pStyle w:val="BodyText"/>
      </w:pPr>
      <w:r w:rsidRPr="006F0B7F">
        <w:t xml:space="preserve">Governments and urban water utilities are working to understand and plan for potential shifts in </w:t>
      </w:r>
      <w:r>
        <w:t xml:space="preserve">water </w:t>
      </w:r>
      <w:r w:rsidRPr="006F0B7F">
        <w:t>supply and demand.</w:t>
      </w:r>
    </w:p>
    <w:p w14:paraId="1183A1BC" w14:textId="77777777" w:rsidR="001054C3" w:rsidRDefault="001054C3" w:rsidP="00234FBE">
      <w:pPr>
        <w:pStyle w:val="BodyText"/>
      </w:pPr>
      <w:r w:rsidRPr="006F0B7F">
        <w:t xml:space="preserve">In some parts of the country, significant supply augmentation decisions have already been </w:t>
      </w:r>
      <w:r>
        <w:t>undertaken</w:t>
      </w:r>
      <w:r w:rsidRPr="006F0B7F">
        <w:t>. Water Corporation, Perth’s major urban utility, explored a range of options in response to long</w:t>
      </w:r>
      <w:r w:rsidRPr="006F0B7F">
        <w:noBreakHyphen/>
        <w:t>run declines in stream inflows in Perth’s catchments</w:t>
      </w:r>
      <w:r>
        <w:t xml:space="preserve"> (chapter 2)</w:t>
      </w:r>
      <w:r w:rsidRPr="006F0B7F">
        <w:t>, eventually incorporating groundwater, desalination and groundwater replenishment into t</w:t>
      </w:r>
      <w:r>
        <w:t>he city’s water supply network.</w:t>
      </w:r>
    </w:p>
    <w:p w14:paraId="01E06B03" w14:textId="5E6A73FE" w:rsidR="001054C3" w:rsidRPr="006F0B7F" w:rsidRDefault="001054C3" w:rsidP="00234FBE">
      <w:pPr>
        <w:pStyle w:val="BodyText"/>
      </w:pPr>
      <w:r w:rsidRPr="006F0B7F">
        <w:t xml:space="preserve">In </w:t>
      </w:r>
      <w:r>
        <w:t>other cases, events have overtaken the planning process. The</w:t>
      </w:r>
      <w:r w:rsidRPr="006F0B7F">
        <w:t xml:space="preserve"> Millennium Drought across eastern Australia (</w:t>
      </w:r>
      <w:r>
        <w:t xml:space="preserve">1997 </w:t>
      </w:r>
      <w:r w:rsidRPr="006F0B7F">
        <w:t>to 20</w:t>
      </w:r>
      <w:r>
        <w:t>09</w:t>
      </w:r>
      <w:r w:rsidRPr="006F0B7F" w:rsidDel="009A779E">
        <w:t>)</w:t>
      </w:r>
      <w:r w:rsidRPr="006F0B7F">
        <w:t xml:space="preserve"> posed water security risks to most major cities, but a lack of effective planning and poor execution resulted in rushed investments into desalination and water recycling </w:t>
      </w:r>
      <w:r w:rsidRPr="00FF290F">
        <w:rPr>
          <w:szCs w:val="24"/>
        </w:rPr>
        <w:t>(BOM 2015; IA 2019, p. 623)</w:t>
      </w:r>
      <w:r w:rsidRPr="006F0B7F">
        <w:t xml:space="preserve">. These investments then sat idle for </w:t>
      </w:r>
      <w:r>
        <w:t>some</w:t>
      </w:r>
      <w:r w:rsidRPr="006F0B7F">
        <w:t xml:space="preserve"> years, ‘fuelling backlash against what was widely perceived as unnecessarily expensive water infrastructure’ (CRCWSC, sub. 83, p. 4). The recent drought has put some of these schemes into action, but this does not mean that planning could not have been better, nor that those schemes were necessarily the best augmentation options.</w:t>
      </w:r>
    </w:p>
    <w:p w14:paraId="19761108" w14:textId="77777777" w:rsidR="001054C3" w:rsidRPr="006F0B7F" w:rsidRDefault="001054C3" w:rsidP="00234FBE">
      <w:pPr>
        <w:pStyle w:val="BodyText"/>
      </w:pPr>
      <w:r>
        <w:t>Water system planning (and the associated</w:t>
      </w:r>
      <w:r w:rsidRPr="006F0B7F">
        <w:t xml:space="preserve"> billion</w:t>
      </w:r>
      <w:r w:rsidRPr="006F0B7F">
        <w:noBreakHyphen/>
        <w:t>dollar investment pipeline</w:t>
      </w:r>
      <w:r>
        <w:t>)</w:t>
      </w:r>
      <w:r w:rsidRPr="006F0B7F">
        <w:t xml:space="preserve"> </w:t>
      </w:r>
      <w:r>
        <w:t>is already underway. NWI renewal</w:t>
      </w:r>
      <w:r w:rsidRPr="006F0B7F">
        <w:t xml:space="preserve"> presents </w:t>
      </w:r>
      <w:r>
        <w:t>an opportunity,</w:t>
      </w:r>
      <w:r w:rsidRPr="006F0B7F">
        <w:t xml:space="preserve"> </w:t>
      </w:r>
      <w:r>
        <w:t>through inclusion of principles on best</w:t>
      </w:r>
      <w:r>
        <w:noBreakHyphen/>
        <w:t xml:space="preserve">practice planning, </w:t>
      </w:r>
      <w:r w:rsidRPr="006F0B7F">
        <w:t xml:space="preserve">to both improve water services and contribute to liveability and urban amenity, as well as </w:t>
      </w:r>
      <w:r>
        <w:t xml:space="preserve">avoid </w:t>
      </w:r>
      <w:r w:rsidRPr="006F0B7F">
        <w:t xml:space="preserve">poor choices </w:t>
      </w:r>
      <w:r>
        <w:t>that would</w:t>
      </w:r>
      <w:r w:rsidRPr="006F0B7F">
        <w:t xml:space="preserve"> impose unnecessary costs on customers or fail to secure an adequate level of service.</w:t>
      </w:r>
    </w:p>
    <w:p w14:paraId="61782990" w14:textId="77777777" w:rsidR="001054C3" w:rsidRPr="006F0B7F" w:rsidRDefault="001054C3" w:rsidP="00234FBE">
      <w:pPr>
        <w:pStyle w:val="Heading2"/>
      </w:pPr>
      <w:bookmarkStart w:id="164" w:name="_Toc72939537"/>
      <w:bookmarkStart w:id="165" w:name="_Toc63112495"/>
      <w:r w:rsidRPr="006F0B7F">
        <w:t>1</w:t>
      </w:r>
      <w:r>
        <w:t>2</w:t>
      </w:r>
      <w:r w:rsidRPr="006F0B7F">
        <w:t>.4</w:t>
      </w:r>
      <w:r w:rsidRPr="006F0B7F">
        <w:tab/>
        <w:t>Best-practice system planning</w:t>
      </w:r>
      <w:bookmarkEnd w:id="164"/>
      <w:r w:rsidRPr="006F0B7F">
        <w:t xml:space="preserve"> </w:t>
      </w:r>
      <w:bookmarkEnd w:id="165"/>
    </w:p>
    <w:p w14:paraId="59DF58FF" w14:textId="77777777" w:rsidR="001054C3" w:rsidRPr="006F0B7F" w:rsidRDefault="001054C3" w:rsidP="00234FBE">
      <w:pPr>
        <w:pStyle w:val="BodyText"/>
      </w:pPr>
      <w:r w:rsidRPr="006F0B7F">
        <w:t xml:space="preserve">Urban water system planning has developed significantly </w:t>
      </w:r>
      <w:r>
        <w:t>from</w:t>
      </w:r>
      <w:r w:rsidRPr="006F0B7F">
        <w:t xml:space="preserve"> the Millennium Drought, but progress towards integrated system planning</w:t>
      </w:r>
      <w:r>
        <w:t xml:space="preserve"> remains slow</w:t>
      </w:r>
      <w:r w:rsidRPr="006F0B7F">
        <w:t>. Best</w:t>
      </w:r>
      <w:r w:rsidRPr="006F0B7F">
        <w:noBreakHyphen/>
        <w:t>practice system planning</w:t>
      </w:r>
      <w:r>
        <w:t xml:space="preserve"> — that is, planning that </w:t>
      </w:r>
      <w:r w:rsidRPr="006F0B7F">
        <w:t>integrates water supply, wastewater and stormwater planning and management</w:t>
      </w:r>
      <w:r>
        <w:t xml:space="preserve"> — enables</w:t>
      </w:r>
      <w:r w:rsidRPr="006F0B7F">
        <w:t xml:space="preserve"> utilities to efficiently pursue the full suite of water security, public health, environmental and amenity outcomes sought by the communities they serve.</w:t>
      </w:r>
    </w:p>
    <w:p w14:paraId="686606C0" w14:textId="77777777" w:rsidR="001054C3" w:rsidRDefault="001054C3" w:rsidP="00234FBE">
      <w:pPr>
        <w:pStyle w:val="BodyText"/>
      </w:pPr>
      <w:r w:rsidRPr="006F0B7F">
        <w:t xml:space="preserve">While the </w:t>
      </w:r>
      <w:r w:rsidRPr="006F0B7F">
        <w:rPr>
          <w:i/>
        </w:rPr>
        <w:t>National Urban Water Planning Principles</w:t>
      </w:r>
      <w:r w:rsidRPr="006F0B7F">
        <w:rPr>
          <w:iCs/>
        </w:rPr>
        <w:t xml:space="preserve"> are a good foundation</w:t>
      </w:r>
      <w:r w:rsidRPr="006F0B7F">
        <w:t>, a focus on three areas that have not yet been widely adopted would take utilities closer to best practice</w:t>
      </w:r>
      <w:r>
        <w:t>:</w:t>
      </w:r>
    </w:p>
    <w:p w14:paraId="2D1DE4F8" w14:textId="77777777" w:rsidR="001054C3" w:rsidRDefault="001054C3" w:rsidP="00234FBE">
      <w:pPr>
        <w:pStyle w:val="ListNumber"/>
      </w:pPr>
      <w:r>
        <w:t>adopting an integrated approach to urban water planning</w:t>
      </w:r>
    </w:p>
    <w:p w14:paraId="6EE5C32D" w14:textId="77777777" w:rsidR="001054C3" w:rsidRDefault="001054C3" w:rsidP="00234FBE">
      <w:pPr>
        <w:pStyle w:val="ListNumber"/>
      </w:pPr>
      <w:r>
        <w:t>ensuring all options (including demand management) are on the table</w:t>
      </w:r>
    </w:p>
    <w:p w14:paraId="7F7D8151" w14:textId="77777777" w:rsidR="001054C3" w:rsidRDefault="001054C3" w:rsidP="00234FBE">
      <w:pPr>
        <w:pStyle w:val="ListNumber"/>
      </w:pPr>
      <w:r>
        <w:lastRenderedPageBreak/>
        <w:t>clarifying roles and responsibilities to enable greater coordination.</w:t>
      </w:r>
    </w:p>
    <w:p w14:paraId="0CD6F6E4" w14:textId="77777777" w:rsidR="001054C3" w:rsidRPr="006F0B7F" w:rsidRDefault="001054C3" w:rsidP="00234FBE">
      <w:pPr>
        <w:pStyle w:val="BodyText"/>
      </w:pPr>
      <w:r>
        <w:t xml:space="preserve">In addition, </w:t>
      </w:r>
      <w:r w:rsidRPr="006F0B7F">
        <w:t>guidance on some aspects of planning could also help regional and remote utilities improve their planning practices</w:t>
      </w:r>
      <w:r>
        <w:t xml:space="preserve"> and better align with </w:t>
      </w:r>
      <w:r w:rsidRPr="006F0B7F">
        <w:t>regional</w:t>
      </w:r>
      <w:r>
        <w:t xml:space="preserve"> water resource planning</w:t>
      </w:r>
      <w:r w:rsidRPr="006F0B7F">
        <w:t>.</w:t>
      </w:r>
    </w:p>
    <w:p w14:paraId="2DCA430D" w14:textId="77777777" w:rsidR="001054C3" w:rsidRPr="006F0B7F" w:rsidRDefault="001054C3" w:rsidP="00234FBE">
      <w:pPr>
        <w:pStyle w:val="Heading3"/>
      </w:pPr>
      <w:r w:rsidRPr="006F0B7F">
        <w:t>First, adopt an integrated approach that aligns with community preferences, connects across scales and with land planning, and incorporates stormwater</w:t>
      </w:r>
    </w:p>
    <w:p w14:paraId="437B025E" w14:textId="77777777" w:rsidR="001054C3" w:rsidRPr="006F0B7F" w:rsidRDefault="001054C3" w:rsidP="00234FBE">
      <w:pPr>
        <w:pStyle w:val="BodyText"/>
      </w:pPr>
      <w:r w:rsidRPr="006F0B7F">
        <w:t>Traditional water service delivery treats water supply and wastewater management separately. And stormwater is often managed by a separate entity, with a focus on ensuring drainage of urban areas rather than treating stormwater as a resource.</w:t>
      </w:r>
    </w:p>
    <w:p w14:paraId="6116B646" w14:textId="19A8C97E" w:rsidR="001054C3" w:rsidRPr="006F0B7F" w:rsidRDefault="001054C3" w:rsidP="00234FBE">
      <w:pPr>
        <w:pStyle w:val="BodyText"/>
        <w:keepNext/>
      </w:pPr>
      <w:r w:rsidRPr="006F0B7F">
        <w:t>Integrating these elements of water cycle management could deliver lower</w:t>
      </w:r>
      <w:r>
        <w:noBreakHyphen/>
      </w:r>
      <w:r w:rsidRPr="006F0B7F">
        <w:t xml:space="preserve">cost solutions to multiple water management objectives. </w:t>
      </w:r>
      <w:r>
        <w:t>An</w:t>
      </w:r>
      <w:r w:rsidDel="0006677D">
        <w:t xml:space="preserve"> integrated approach </w:t>
      </w:r>
      <w:r>
        <w:t xml:space="preserve">can </w:t>
      </w:r>
      <w:r w:rsidRPr="006F0B7F">
        <w:t xml:space="preserve">enhance the resilience of water systems by increasing the diversity of sources — potentially delaying the need </w:t>
      </w:r>
      <w:r>
        <w:t>for expensive</w:t>
      </w:r>
      <w:r w:rsidRPr="006F0B7F">
        <w:t xml:space="preserve"> augment</w:t>
      </w:r>
      <w:r>
        <w:t>ations of</w:t>
      </w:r>
      <w:r w:rsidRPr="006F0B7F">
        <w:t xml:space="preserve"> the water supply and distribution system </w:t>
      </w:r>
      <w:r w:rsidR="00C67DB3" w:rsidRPr="00C67DB3">
        <w:rPr>
          <w:szCs w:val="24"/>
        </w:rPr>
        <w:t>(PC 2020a, p. 23)</w:t>
      </w:r>
      <w:r w:rsidRPr="006F0B7F">
        <w:t>. More specific</w:t>
      </w:r>
      <w:r>
        <w:t xml:space="preserve"> opportunities include</w:t>
      </w:r>
      <w:r w:rsidRPr="006F0B7F">
        <w:t>:</w:t>
      </w:r>
    </w:p>
    <w:p w14:paraId="3F5B8B5F" w14:textId="77777777" w:rsidR="001054C3" w:rsidRPr="006F0B7F" w:rsidRDefault="001054C3" w:rsidP="00234FBE">
      <w:pPr>
        <w:pStyle w:val="ListBullet"/>
        <w:rPr>
          <w:spacing w:val="-2"/>
        </w:rPr>
      </w:pPr>
      <w:r w:rsidRPr="006F0B7F">
        <w:rPr>
          <w:spacing w:val="-2"/>
        </w:rPr>
        <w:t>water demand be</w:t>
      </w:r>
      <w:r>
        <w:rPr>
          <w:spacing w:val="-2"/>
        </w:rPr>
        <w:t>ing</w:t>
      </w:r>
      <w:r w:rsidRPr="006F0B7F">
        <w:rPr>
          <w:spacing w:val="-2"/>
        </w:rPr>
        <w:t xml:space="preserve"> met using fit</w:t>
      </w:r>
      <w:r w:rsidRPr="006F0B7F">
        <w:rPr>
          <w:spacing w:val="-2"/>
        </w:rPr>
        <w:noBreakHyphen/>
        <w:t>for</w:t>
      </w:r>
      <w:r w:rsidRPr="006F0B7F">
        <w:rPr>
          <w:spacing w:val="-2"/>
        </w:rPr>
        <w:noBreakHyphen/>
        <w:t>purpose supply sources rather than just potable water</w:t>
      </w:r>
    </w:p>
    <w:p w14:paraId="35FEA397" w14:textId="77777777" w:rsidR="001054C3" w:rsidRPr="006F0B7F" w:rsidRDefault="001054C3" w:rsidP="00234FBE">
      <w:pPr>
        <w:pStyle w:val="ListBullet"/>
      </w:pPr>
      <w:r w:rsidRPr="006F0B7F">
        <w:t>wastewater provid</w:t>
      </w:r>
      <w:r>
        <w:t>ing</w:t>
      </w:r>
      <w:r w:rsidRPr="006F0B7F">
        <w:t xml:space="preserve"> a climate</w:t>
      </w:r>
      <w:r w:rsidRPr="006F0B7F">
        <w:noBreakHyphen/>
        <w:t>independent source of fit</w:t>
      </w:r>
      <w:r w:rsidRPr="006F0B7F">
        <w:noBreakHyphen/>
        <w:t>for</w:t>
      </w:r>
      <w:r w:rsidRPr="006F0B7F">
        <w:noBreakHyphen/>
        <w:t>purpose water for a range of consumptive, amenity and/or environmental uses</w:t>
      </w:r>
    </w:p>
    <w:p w14:paraId="04D696CD" w14:textId="77777777" w:rsidR="001054C3" w:rsidRPr="006F0B7F" w:rsidRDefault="001054C3" w:rsidP="00234FBE">
      <w:pPr>
        <w:pStyle w:val="ListBullet"/>
      </w:pPr>
      <w:r w:rsidRPr="006F0B7F">
        <w:t xml:space="preserve">stormwater </w:t>
      </w:r>
      <w:r>
        <w:t>being</w:t>
      </w:r>
      <w:r w:rsidRPr="006F0B7F">
        <w:t xml:space="preserve"> managed in ways that keep water in the landscape and contribute to urban amenity, create urban habitat, improve the health of rivers and wetlands, reduce localised flooding and/or provide alternative sources of water supply.</w:t>
      </w:r>
    </w:p>
    <w:p w14:paraId="3763D9C4" w14:textId="77777777" w:rsidR="001054C3" w:rsidRDefault="001054C3" w:rsidP="00234FBE">
      <w:pPr>
        <w:pStyle w:val="BodyText"/>
      </w:pPr>
      <w:r>
        <w:t>However, the process of m</w:t>
      </w:r>
      <w:r w:rsidRPr="006F0B7F">
        <w:t xml:space="preserve">oving to an integrated water management approach is complex, </w:t>
      </w:r>
      <w:r>
        <w:t>and that transition may take substantial investment in planning and workforce capability over several years to implement. For some utilities, particularly smaller ones in regional and remote areas, such initiatives should only be considered where the benefits outweigh the costs, particularly if there are challenges with existing service delivery.</w:t>
      </w:r>
    </w:p>
    <w:p w14:paraId="0CA5FCE3" w14:textId="77777777" w:rsidR="001054C3" w:rsidRPr="006F0B7F" w:rsidRDefault="001054C3" w:rsidP="00234FBE">
      <w:pPr>
        <w:pStyle w:val="BodyText"/>
      </w:pPr>
      <w:r w:rsidRPr="006F0B7F">
        <w:t>Effective integrated system planning has a number of pre</w:t>
      </w:r>
      <w:r w:rsidRPr="006F0B7F">
        <w:noBreakHyphen/>
        <w:t>requisites.</w:t>
      </w:r>
    </w:p>
    <w:p w14:paraId="56E34B48" w14:textId="77777777" w:rsidR="001054C3" w:rsidRPr="006F0B7F" w:rsidRDefault="001054C3" w:rsidP="00234FBE">
      <w:pPr>
        <w:pStyle w:val="ListBullet"/>
      </w:pPr>
      <w:r>
        <w:rPr>
          <w:i/>
          <w:iCs/>
        </w:rPr>
        <w:t>Agreed and c</w:t>
      </w:r>
      <w:r w:rsidRPr="006F0B7F">
        <w:rPr>
          <w:i/>
          <w:iCs/>
        </w:rPr>
        <w:t>lear objectives for levels of water security and quality, the environment and urban amenity.</w:t>
      </w:r>
      <w:r w:rsidRPr="006F0B7F">
        <w:t xml:space="preserve"> </w:t>
      </w:r>
      <w:r>
        <w:t>These objectives should be e</w:t>
      </w:r>
      <w:r w:rsidRPr="006F0B7F">
        <w:t>stablished by governments</w:t>
      </w:r>
      <w:r>
        <w:t xml:space="preserve"> and grounded in </w:t>
      </w:r>
      <w:r w:rsidRPr="006F0B7F">
        <w:t xml:space="preserve">effective engagement with customers and communities to uncover their preferences. </w:t>
      </w:r>
      <w:r>
        <w:t>And t</w:t>
      </w:r>
      <w:r w:rsidRPr="006F0B7F">
        <w:t>he</w:t>
      </w:r>
      <w:r>
        <w:t>y should</w:t>
      </w:r>
      <w:r w:rsidRPr="006F0B7F">
        <w:t xml:space="preserve"> </w:t>
      </w:r>
      <w:r>
        <w:t xml:space="preserve">then </w:t>
      </w:r>
      <w:r w:rsidRPr="006F0B7F">
        <w:t xml:space="preserve">serve as the foundation for planning, </w:t>
      </w:r>
      <w:r>
        <w:t>helping to</w:t>
      </w:r>
      <w:r w:rsidRPr="006F0B7F">
        <w:t xml:space="preserve"> keep governments accountable to the planning process.</w:t>
      </w:r>
    </w:p>
    <w:p w14:paraId="68CBF98C" w14:textId="28313168" w:rsidR="001054C3" w:rsidRPr="00431D61" w:rsidRDefault="001054C3" w:rsidP="00234FBE">
      <w:pPr>
        <w:pStyle w:val="ListBullet"/>
        <w:rPr>
          <w:spacing w:val="-2"/>
        </w:rPr>
      </w:pPr>
      <w:r w:rsidRPr="00431D61">
        <w:rPr>
          <w:i/>
          <w:iCs/>
          <w:spacing w:val="-2"/>
        </w:rPr>
        <w:t>Water system planning that is linked across scales.</w:t>
      </w:r>
      <w:r w:rsidRPr="00431D61">
        <w:rPr>
          <w:spacing w:val="-2"/>
        </w:rPr>
        <w:t xml:space="preserve"> At the city</w:t>
      </w:r>
      <w:r w:rsidRPr="00431D61">
        <w:rPr>
          <w:spacing w:val="-2"/>
        </w:rPr>
        <w:noBreakHyphen/>
        <w:t>scale, water system planning has traditionally focused on centralised infrastructure for water and wastewater services. At the local scale: water system planning has generally involved connecting the centralised infrastructure to end users; local wastewater management has provided fit</w:t>
      </w:r>
      <w:r w:rsidRPr="00431D61">
        <w:rPr>
          <w:spacing w:val="-2"/>
        </w:rPr>
        <w:noBreakHyphen/>
        <w:t>for</w:t>
      </w:r>
      <w:r w:rsidRPr="00431D61">
        <w:rPr>
          <w:spacing w:val="-2"/>
        </w:rPr>
        <w:noBreakHyphen/>
        <w:t xml:space="preserve">purpose </w:t>
      </w:r>
      <w:r w:rsidRPr="00431D61">
        <w:rPr>
          <w:spacing w:val="-2"/>
        </w:rPr>
        <w:lastRenderedPageBreak/>
        <w:t xml:space="preserve">recycled water for local uses; and stormwater management services are delivered by local governments </w:t>
      </w:r>
      <w:r w:rsidR="00C67DB3" w:rsidRPr="00431D61">
        <w:rPr>
          <w:spacing w:val="-2"/>
          <w:szCs w:val="24"/>
        </w:rPr>
        <w:t>(PC 2017a, p. 184)</w:t>
      </w:r>
      <w:r w:rsidRPr="00431D61">
        <w:rPr>
          <w:spacing w:val="-2"/>
        </w:rPr>
        <w:t>. This fragmented approach — where city</w:t>
      </w:r>
      <w:r w:rsidRPr="00431D61">
        <w:rPr>
          <w:spacing w:val="-2"/>
        </w:rPr>
        <w:noBreakHyphen/>
        <w:t>scale and local</w:t>
      </w:r>
      <w:r w:rsidRPr="00431D61">
        <w:rPr>
          <w:spacing w:val="-2"/>
        </w:rPr>
        <w:noBreakHyphen/>
        <w:t>scale considerations are managed differently — means that supply augmentation options that require an understanding of the costs and benefits across the scales may be overlooked. Recycled water is an example. It may not be cost</w:t>
      </w:r>
      <w:r w:rsidRPr="00431D61">
        <w:rPr>
          <w:spacing w:val="-2"/>
        </w:rPr>
        <w:noBreakHyphen/>
        <w:t>effective at city</w:t>
      </w:r>
      <w:r w:rsidRPr="00431D61">
        <w:rPr>
          <w:spacing w:val="-2"/>
        </w:rPr>
        <w:noBreakHyphen/>
        <w:t>scale but might be fit</w:t>
      </w:r>
      <w:r w:rsidRPr="00431D61">
        <w:rPr>
          <w:spacing w:val="-2"/>
        </w:rPr>
        <w:noBreakHyphen/>
        <w:t>for</w:t>
      </w:r>
      <w:r w:rsidRPr="00431D61">
        <w:rPr>
          <w:spacing w:val="-2"/>
        </w:rPr>
        <w:noBreakHyphen/>
        <w:t>purpose at a local level. Under an integrated approach, water system planning now needs to incorporate both centralised and local systems to best effect.</w:t>
      </w:r>
    </w:p>
    <w:p w14:paraId="74315B61" w14:textId="4F3902F6" w:rsidR="001054C3" w:rsidRPr="006F0B7F" w:rsidRDefault="001054C3" w:rsidP="00234FBE">
      <w:pPr>
        <w:pStyle w:val="ListBullet"/>
      </w:pPr>
      <w:r w:rsidRPr="006F0B7F">
        <w:rPr>
          <w:i/>
          <w:iCs/>
        </w:rPr>
        <w:t xml:space="preserve">Water </w:t>
      </w:r>
      <w:r>
        <w:rPr>
          <w:i/>
          <w:iCs/>
        </w:rPr>
        <w:t xml:space="preserve">system </w:t>
      </w:r>
      <w:r w:rsidRPr="006F0B7F">
        <w:rPr>
          <w:i/>
          <w:iCs/>
        </w:rPr>
        <w:t xml:space="preserve">planning </w:t>
      </w:r>
      <w:r>
        <w:rPr>
          <w:i/>
          <w:iCs/>
        </w:rPr>
        <w:t>that</w:t>
      </w:r>
      <w:r w:rsidRPr="006F0B7F">
        <w:rPr>
          <w:i/>
          <w:iCs/>
        </w:rPr>
        <w:t xml:space="preserve"> is linked with land</w:t>
      </w:r>
      <w:r w:rsidRPr="006F0B7F">
        <w:rPr>
          <w:i/>
          <w:iCs/>
        </w:rPr>
        <w:noBreakHyphen/>
        <w:t xml:space="preserve">use planning. </w:t>
      </w:r>
      <w:r w:rsidRPr="006F0B7F">
        <w:t>Identifying the best options for water services in growth corridors and major new developments</w:t>
      </w:r>
      <w:r>
        <w:t>, particularly to enhance urban amenity,</w:t>
      </w:r>
      <w:r w:rsidRPr="006F0B7F">
        <w:t xml:space="preserve"> requires formal links between land</w:t>
      </w:r>
      <w:r w:rsidRPr="006F0B7F">
        <w:noBreakHyphen/>
        <w:t>use planning and local water planning</w:t>
      </w:r>
      <w:r>
        <w:t xml:space="preserve"> at a range of spatial scales (including city, growth corridor, precinct and development) and at the appropriate times.</w:t>
      </w:r>
      <w:r w:rsidRPr="006F0B7F">
        <w:t xml:space="preserve"> Unfortunately, formal processes linking water </w:t>
      </w:r>
      <w:r>
        <w:t xml:space="preserve">system </w:t>
      </w:r>
      <w:r w:rsidRPr="006F0B7F">
        <w:t>planning and land</w:t>
      </w:r>
      <w:r w:rsidRPr="006F0B7F">
        <w:noBreakHyphen/>
        <w:t xml:space="preserve">use planning are rare </w:t>
      </w:r>
      <w:r w:rsidR="00C67DB3" w:rsidRPr="00C67DB3">
        <w:rPr>
          <w:szCs w:val="24"/>
        </w:rPr>
        <w:t>(PC 2020a, p. 47)</w:t>
      </w:r>
      <w:r w:rsidRPr="006F0B7F">
        <w:t>.</w:t>
      </w:r>
    </w:p>
    <w:p w14:paraId="248B8B2E" w14:textId="77777777" w:rsidR="001054C3" w:rsidRPr="006F0B7F" w:rsidRDefault="001054C3" w:rsidP="00234FBE">
      <w:pPr>
        <w:pStyle w:val="ListBullet"/>
      </w:pPr>
      <w:r>
        <w:rPr>
          <w:i/>
          <w:iCs/>
        </w:rPr>
        <w:t>Incorporating s</w:t>
      </w:r>
      <w:r w:rsidRPr="006F0B7F">
        <w:rPr>
          <w:i/>
          <w:iCs/>
        </w:rPr>
        <w:t>tormwater management.</w:t>
      </w:r>
      <w:r w:rsidRPr="006F0B7F">
        <w:t xml:space="preserve"> In major cities, stormwater is generally managed by local governments rather than water utilities. Stormwater management has not been subject to the same level of detailed, consistent policy direction, nor economic and environmental regulation, as water supply and wastewater management. Breaking down silos between stormwater and other water service functions would unlock stormwater as a water source</w:t>
      </w:r>
      <w:r>
        <w:t>, enable more water in the landscape for urban amenity</w:t>
      </w:r>
      <w:r w:rsidRPr="006F0B7F">
        <w:t xml:space="preserve"> and improve the efficiency and effectiveness of stormwater management.</w:t>
      </w:r>
    </w:p>
    <w:p w14:paraId="18672FC4" w14:textId="77777777" w:rsidR="001054C3" w:rsidRPr="006F0B7F" w:rsidRDefault="001054C3" w:rsidP="00234FBE">
      <w:pPr>
        <w:pStyle w:val="Heading3"/>
      </w:pPr>
      <w:r w:rsidRPr="006F0B7F">
        <w:t>Second, consider all options — including demand management</w:t>
      </w:r>
    </w:p>
    <w:p w14:paraId="49A033B1" w14:textId="77777777" w:rsidR="001054C3" w:rsidRPr="006F0B7F" w:rsidRDefault="001054C3" w:rsidP="00234FBE">
      <w:pPr>
        <w:pStyle w:val="BodyText"/>
        <w:keepNext/>
      </w:pPr>
      <w:r w:rsidRPr="006F0B7F">
        <w:t xml:space="preserve">In working to </w:t>
      </w:r>
      <w:r>
        <w:t>balance declining</w:t>
      </w:r>
      <w:r w:rsidRPr="006F0B7F">
        <w:t xml:space="preserve"> surface water </w:t>
      </w:r>
      <w:r>
        <w:t>availability with</w:t>
      </w:r>
      <w:r w:rsidRPr="006F0B7F">
        <w:t xml:space="preserve"> increasing water demand, water service providers </w:t>
      </w:r>
      <w:r>
        <w:t xml:space="preserve">may </w:t>
      </w:r>
      <w:r w:rsidRPr="006F0B7F">
        <w:t xml:space="preserve">have a number of supply augmentation options: </w:t>
      </w:r>
      <w:r>
        <w:t xml:space="preserve">alternative </w:t>
      </w:r>
      <w:r w:rsidRPr="006F0B7F">
        <w:t>surface water</w:t>
      </w:r>
      <w:r>
        <w:t xml:space="preserve"> sources</w:t>
      </w:r>
      <w:r w:rsidRPr="006F0B7F">
        <w:t xml:space="preserve">, groundwater, stormwater harvesting, purified recycled water for drinking, </w:t>
      </w:r>
      <w:r>
        <w:t>non</w:t>
      </w:r>
      <w:r>
        <w:noBreakHyphen/>
        <w:t>potable</w:t>
      </w:r>
      <w:r w:rsidRPr="006F0B7F">
        <w:t xml:space="preserve"> recycled water, desalination or transferring water between sectors or regions. Conversely, they can look to increase water </w:t>
      </w:r>
      <w:r>
        <w:t>distribution</w:t>
      </w:r>
      <w:r w:rsidRPr="006F0B7F">
        <w:t xml:space="preserve"> efficiency or manage water demand to avoid </w:t>
      </w:r>
      <w:r>
        <w:t xml:space="preserve">(or delay) </w:t>
      </w:r>
      <w:r w:rsidRPr="006F0B7F">
        <w:t>the need for major augmentations.</w:t>
      </w:r>
      <w:r>
        <w:t xml:space="preserve"> This requires a commitment to ‘all options on the table’.</w:t>
      </w:r>
    </w:p>
    <w:p w14:paraId="21EBDDB3" w14:textId="76E9B8A7" w:rsidR="001054C3" w:rsidRPr="006F0B7F" w:rsidRDefault="001054C3" w:rsidP="00234FBE">
      <w:pPr>
        <w:pStyle w:val="Quote"/>
      </w:pPr>
      <w:r w:rsidRPr="006F0B7F">
        <w:t xml:space="preserve">Ensuring all options are on the table, and can be deployed when required, is likely to be essential for governments and operators to effectively and efficiently ensure secure supply over the long term. </w:t>
      </w:r>
      <w:r w:rsidRPr="006F0B7F">
        <w:rPr>
          <w:szCs w:val="24"/>
        </w:rPr>
        <w:t>(IA 2019, p. 623)</w:t>
      </w:r>
    </w:p>
    <w:p w14:paraId="70A4F20B" w14:textId="77777777" w:rsidR="001054C3" w:rsidRDefault="001054C3" w:rsidP="00234FBE">
      <w:pPr>
        <w:pStyle w:val="BodyText"/>
      </w:pPr>
      <w:r w:rsidRPr="006F0B7F">
        <w:t xml:space="preserve">Credible decisions on whether to augment supply, increase water </w:t>
      </w:r>
      <w:r>
        <w:t>distribution</w:t>
      </w:r>
      <w:r w:rsidRPr="006F0B7F">
        <w:t xml:space="preserve"> efficiency or manage water demand will be supported by rigorous, consistent and transparent comparison of the relative costs</w:t>
      </w:r>
      <w:r>
        <w:t xml:space="preserve">, </w:t>
      </w:r>
      <w:r w:rsidRPr="006F0B7F">
        <w:t xml:space="preserve">benefits </w:t>
      </w:r>
      <w:r>
        <w:t>and risks</w:t>
      </w:r>
      <w:r w:rsidRPr="006F0B7F">
        <w:t xml:space="preserve"> of alternative approaches to balancing supply and demand</w:t>
      </w:r>
      <w:r>
        <w:t xml:space="preserve"> over time</w:t>
      </w:r>
      <w:r w:rsidRPr="006F0B7F">
        <w:t xml:space="preserve">. </w:t>
      </w:r>
      <w:r>
        <w:t xml:space="preserve">Developing </w:t>
      </w:r>
      <w:r w:rsidDel="00A216FB">
        <w:t>scenarios, and</w:t>
      </w:r>
      <w:r>
        <w:t xml:space="preserve"> assessing the probabilities of these scenarios eventuating as more information becomes available, helps utilities plan for the most appropriate suite of supply augmentation decisions and demand management strategies to ensure urban water security.</w:t>
      </w:r>
      <w:r w:rsidRPr="006F0B7F">
        <w:t xml:space="preserve"> The option</w:t>
      </w:r>
      <w:r>
        <w:t>s</w:t>
      </w:r>
      <w:r w:rsidRPr="006F0B7F">
        <w:t xml:space="preserve"> that generate the largest net benefit should be chosen</w:t>
      </w:r>
      <w:r>
        <w:t>, recognising that the optimal solution may be a suite of water supply and demand options balancing reliability, timing and cost</w:t>
      </w:r>
      <w:r w:rsidRPr="006F0B7F">
        <w:t>.</w:t>
      </w:r>
    </w:p>
    <w:p w14:paraId="02E67DEC" w14:textId="77777777" w:rsidR="001054C3" w:rsidRPr="006F0B7F" w:rsidRDefault="001054C3" w:rsidP="00234FBE">
      <w:pPr>
        <w:pStyle w:val="BodyText"/>
      </w:pPr>
      <w:r>
        <w:lastRenderedPageBreak/>
        <w:t>P</w:t>
      </w:r>
      <w:r w:rsidRPr="006F0B7F">
        <w:t>olicy bans</w:t>
      </w:r>
      <w:r>
        <w:t xml:space="preserve"> </w:t>
      </w:r>
      <w:r w:rsidRPr="006F0B7F">
        <w:t>prohibit choice</w:t>
      </w:r>
      <w:r>
        <w:t>s</w:t>
      </w:r>
      <w:r w:rsidRPr="006F0B7F">
        <w:t xml:space="preserve"> by imposing restrictions</w:t>
      </w:r>
      <w:r>
        <w:t xml:space="preserve"> on the options that can be deployed</w:t>
      </w:r>
      <w:r w:rsidRPr="006F0B7F">
        <w:t xml:space="preserve">, such as </w:t>
      </w:r>
      <w:r>
        <w:t xml:space="preserve">bans </w:t>
      </w:r>
      <w:r w:rsidRPr="006F0B7F">
        <w:t>on purified recycled water for drinking (making non</w:t>
      </w:r>
      <w:r w:rsidRPr="006F0B7F">
        <w:noBreakHyphen/>
        <w:t>potable recycled water more expensive due to the need for separate distribution systems)</w:t>
      </w:r>
      <w:r>
        <w:t xml:space="preserve">. Such policy bans are rarely appropriate and, in general, </w:t>
      </w:r>
      <w:r w:rsidRPr="006F0B7F">
        <w:t>should be removed</w:t>
      </w:r>
      <w:r w:rsidRPr="00D2162E" w:rsidDel="008177BE">
        <w:t>.</w:t>
      </w:r>
    </w:p>
    <w:p w14:paraId="5F7965D4" w14:textId="77777777" w:rsidR="001054C3" w:rsidRPr="006F0B7F" w:rsidRDefault="001054C3" w:rsidP="00234FBE">
      <w:pPr>
        <w:pStyle w:val="Heading3"/>
      </w:pPr>
      <w:r w:rsidRPr="006F0B7F">
        <w:t xml:space="preserve">Third, assign clear roles and responsibilities for relevant entities </w:t>
      </w:r>
      <w:r>
        <w:t>to enable coordination</w:t>
      </w:r>
    </w:p>
    <w:p w14:paraId="4F445E78" w14:textId="77777777" w:rsidR="001054C3" w:rsidRPr="006F0B7F" w:rsidRDefault="001054C3" w:rsidP="00234FBE">
      <w:pPr>
        <w:pStyle w:val="BodyText"/>
        <w:keepNext/>
      </w:pPr>
      <w:r w:rsidRPr="006F0B7F">
        <w:t>Integrated system planning involves utilities, state and local governments, regulators, urban planners and developers — raising the risk that a task will ‘fall between the cracks’.</w:t>
      </w:r>
    </w:p>
    <w:p w14:paraId="0CE8F405" w14:textId="77777777" w:rsidR="001054C3" w:rsidRPr="006F0B7F" w:rsidRDefault="001054C3" w:rsidP="00234FBE">
      <w:pPr>
        <w:pStyle w:val="Quote"/>
      </w:pPr>
      <w:r w:rsidRPr="006F0B7F">
        <w:t>Current institutional arrangements have resulted in complicated governance arrangements where no one party has full responsibility for managing all aspects of the urban water cycle. (WSAA</w:t>
      </w:r>
      <w:r>
        <w:t>,</w:t>
      </w:r>
      <w:r w:rsidRPr="006F0B7F">
        <w:t xml:space="preserve"> sub. 88, p. 28)</w:t>
      </w:r>
    </w:p>
    <w:p w14:paraId="5FE60FCC" w14:textId="77777777" w:rsidR="001054C3" w:rsidRPr="006F0B7F" w:rsidRDefault="001054C3" w:rsidP="00234FBE">
      <w:pPr>
        <w:pStyle w:val="BodyText"/>
      </w:pPr>
      <w:r w:rsidRPr="006F0B7F">
        <w:t>With poorly defined roles and responsibilities, entities may neglect elements of the planning framework, potentially causing delays and leading to ad</w:t>
      </w:r>
      <w:r w:rsidRPr="006F0B7F">
        <w:noBreakHyphen/>
        <w:t>hoc solutions that are not in the long</w:t>
      </w:r>
      <w:r w:rsidRPr="006F0B7F">
        <w:noBreakHyphen/>
        <w:t>term interest of customers.</w:t>
      </w:r>
    </w:p>
    <w:p w14:paraId="17F8F6DA" w14:textId="77777777" w:rsidR="001054C3" w:rsidRPr="00431D61" w:rsidRDefault="001054C3" w:rsidP="00234FBE">
      <w:pPr>
        <w:pStyle w:val="BodyText"/>
        <w:keepNext/>
        <w:rPr>
          <w:spacing w:val="-2"/>
        </w:rPr>
      </w:pPr>
      <w:r w:rsidRPr="00431D61">
        <w:rPr>
          <w:spacing w:val="-2"/>
        </w:rPr>
        <w:t>An effective integrated approach requires clarity concerning the roles and responsibilities of each relevant planning entity. Governments are ultimately accountable for delivering the full suite of outcomes sought by the community through</w:t>
      </w:r>
      <w:r w:rsidRPr="00431D61" w:rsidDel="008378D2">
        <w:rPr>
          <w:spacing w:val="-2"/>
        </w:rPr>
        <w:t xml:space="preserve"> </w:t>
      </w:r>
      <w:r w:rsidRPr="00431D61">
        <w:rPr>
          <w:spacing w:val="-2"/>
        </w:rPr>
        <w:t>the policy and regulatory processes that they establish. These processes need to enable coordination, aligning incentives through appropriate institutional arrangements such that each planning entity can leverage their expertise and contribute to integrated outcomes. But current arrangements do not always support this.</w:t>
      </w:r>
    </w:p>
    <w:p w14:paraId="4522D8B2" w14:textId="77777777" w:rsidR="001054C3" w:rsidRPr="006F0B7F" w:rsidRDefault="001054C3" w:rsidP="00234FBE">
      <w:pPr>
        <w:pStyle w:val="Quote"/>
      </w:pPr>
      <w:r w:rsidRPr="006F0B7F">
        <w:t>Key entities operate according to the obligations set for them by their enabling legislation and decision</w:t>
      </w:r>
      <w:r w:rsidRPr="006F0B7F">
        <w:noBreakHyphen/>
        <w:t>makers. This necessarily diverse operating environment limits the ability to deliver integrated outcomes. (VPA, sub. 20, p. 2)</w:t>
      </w:r>
    </w:p>
    <w:p w14:paraId="64DFF3C9" w14:textId="77777777" w:rsidR="001054C3" w:rsidRPr="006F0B7F" w:rsidRDefault="001054C3" w:rsidP="00234FBE">
      <w:pPr>
        <w:pStyle w:val="Heading3"/>
      </w:pPr>
      <w:r>
        <w:t>Last, develop g</w:t>
      </w:r>
      <w:r w:rsidRPr="006F0B7F">
        <w:t>uidelines for system and contingency planning in regional and remote areas</w:t>
      </w:r>
    </w:p>
    <w:p w14:paraId="7E985F06" w14:textId="77777777" w:rsidR="001054C3" w:rsidRDefault="001054C3" w:rsidP="00234FBE">
      <w:pPr>
        <w:pStyle w:val="BodyText"/>
      </w:pPr>
      <w:r w:rsidRPr="006F0B7F">
        <w:t>In line with best</w:t>
      </w:r>
      <w:r w:rsidRPr="006F0B7F">
        <w:noBreakHyphen/>
        <w:t xml:space="preserve">practice system planning principles for major utilities, the NWI could also include guidelines for both </w:t>
      </w:r>
      <w:r>
        <w:t>long</w:t>
      </w:r>
      <w:r>
        <w:noBreakHyphen/>
        <w:t xml:space="preserve">term </w:t>
      </w:r>
      <w:r w:rsidRPr="006F0B7F">
        <w:t>system planning and contingency planning for regional and remote communities to assist smaller providers in maintaining service standards. Any guidelines should be consistent with best</w:t>
      </w:r>
      <w:r w:rsidRPr="006F0B7F">
        <w:noBreakHyphen/>
        <w:t>practice</w:t>
      </w:r>
      <w:r>
        <w:t xml:space="preserve"> planning under the NWI</w:t>
      </w:r>
      <w:r w:rsidRPr="006F0B7F">
        <w:t>, but emphasise the importance of fit</w:t>
      </w:r>
      <w:r w:rsidRPr="006F0B7F">
        <w:noBreakHyphen/>
        <w:t>for</w:t>
      </w:r>
      <w:r w:rsidRPr="006F0B7F">
        <w:noBreakHyphen/>
        <w:t>purpose water supply options</w:t>
      </w:r>
      <w:r>
        <w:t xml:space="preserve"> at the local scale</w:t>
      </w:r>
      <w:r w:rsidRPr="006F0B7F">
        <w:t xml:space="preserve">, in line with relevant levels of service, and ensuring that local planning is integrated with </w:t>
      </w:r>
      <w:r>
        <w:t>system</w:t>
      </w:r>
      <w:r w:rsidRPr="006F0B7F">
        <w:noBreakHyphen/>
        <w:t>level water resource planning</w:t>
      </w:r>
      <w:r>
        <w:t>.</w:t>
      </w:r>
    </w:p>
    <w:p w14:paraId="368276CC" w14:textId="77777777" w:rsidR="001054C3" w:rsidRDefault="001054C3" w:rsidP="00234FBE">
      <w:pPr>
        <w:pStyle w:val="BodyText"/>
      </w:pPr>
      <w:r>
        <w:t>System planning should be undertaken at the right regional scale necessary to ensure all supply augmentation options (</w:t>
      </w:r>
      <w:bookmarkStart w:id="166" w:name="_Hlk61345811"/>
      <w:r>
        <w:t>including transferring water between sectors or regions</w:t>
      </w:r>
      <w:bookmarkEnd w:id="166"/>
      <w:r>
        <w:t>) can be identified and the most cost</w:t>
      </w:r>
      <w:r>
        <w:noBreakHyphen/>
        <w:t xml:space="preserve">effective option (or options) selected. This would allow scope </w:t>
      </w:r>
      <w:r>
        <w:lastRenderedPageBreak/>
        <w:t>for collaboration between small providers to share infrastructure and realise economies of scale, alongside State or Territory government involvement.</w:t>
      </w:r>
    </w:p>
    <w:p w14:paraId="46142F46" w14:textId="77777777" w:rsidR="001054C3" w:rsidRPr="006F0B7F" w:rsidRDefault="001054C3" w:rsidP="00234FBE">
      <w:pPr>
        <w:pStyle w:val="BodyText"/>
      </w:pPr>
      <w:r>
        <w:t>Contingency planning should ensure that responses to extreme events are determined in advance, consistent with water resource planning, and aligned with realistic timeframes for planned augmentations under the relevant long</w:t>
      </w:r>
      <w:r>
        <w:noBreakHyphen/>
        <w:t>term system plan. They should also clarify if, when and how State and Territory Governments intervene to alleviate critical supply shortages as a provider of last resort.</w:t>
      </w:r>
    </w:p>
    <w:p w14:paraId="0F666EFE" w14:textId="77777777" w:rsidR="001054C3" w:rsidRPr="006F0B7F" w:rsidRDefault="001054C3" w:rsidP="00234FBE">
      <w:pPr>
        <w:pStyle w:val="BodyText"/>
      </w:pPr>
      <w:r>
        <w:t>Other issues concerning regional urban water planning, such as the role of collaboration between small utilities to realise economies of scale, relate only to a few jurisdictions, and do not form part of the Commission’s NWI renewal advice. These are discussed in SP G </w:t>
      </w:r>
      <w:r>
        <w:rPr>
          <w:i/>
        </w:rPr>
        <w:t>Regional</w:t>
      </w:r>
      <w:r>
        <w:t>.</w:t>
      </w:r>
    </w:p>
    <w:p w14:paraId="67BCC297" w14:textId="77777777" w:rsidR="001054C3" w:rsidRPr="006F0B7F"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6F0B7F" w14:paraId="24A787A4"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F81FD29" w14:textId="77777777" w:rsidR="001054C3" w:rsidRPr="006F0B7F" w:rsidRDefault="001054C3" w:rsidP="00234FBE">
            <w:pPr>
              <w:pStyle w:val="FindingTitle"/>
              <w:spacing w:before="120"/>
              <w:rPr>
                <w:noProof/>
              </w:rPr>
            </w:pPr>
            <w:r w:rsidRPr="006F0B7F">
              <w:t xml:space="preserve">NWI Renewal Advice </w:t>
            </w:r>
            <w:r>
              <w:t xml:space="preserve">12.1: </w:t>
            </w:r>
            <w:r w:rsidRPr="006F0B7F">
              <w:t>best</w:t>
            </w:r>
            <w:r>
              <w:noBreakHyphen/>
            </w:r>
            <w:r w:rsidRPr="006F0B7F">
              <w:t>practice urban water system planning</w:t>
            </w:r>
          </w:p>
          <w:p w14:paraId="48D9F3B9" w14:textId="77777777" w:rsidR="001054C3" w:rsidRPr="006F0B7F" w:rsidRDefault="001054C3" w:rsidP="00234FBE">
            <w:pPr>
              <w:pStyle w:val="Rec"/>
            </w:pPr>
            <w:r w:rsidRPr="006F0B7F">
              <w:t xml:space="preserve">Updating the </w:t>
            </w:r>
            <w:r w:rsidRPr="006F0B7F">
              <w:rPr>
                <w:i/>
              </w:rPr>
              <w:t>National Urban Water Planning Principles</w:t>
            </w:r>
            <w:r w:rsidRPr="006F0B7F">
              <w:t xml:space="preserve"> and formally embedding them within the </w:t>
            </w:r>
            <w:r>
              <w:t xml:space="preserve">National Water Initiative </w:t>
            </w:r>
            <w:r w:rsidRPr="006F0B7F">
              <w:t>would establish a standard for best</w:t>
            </w:r>
            <w:r>
              <w:noBreakHyphen/>
            </w:r>
            <w:r w:rsidRPr="006F0B7F">
              <w:t xml:space="preserve">practice urban water system planning. A renewed </w:t>
            </w:r>
            <w:r>
              <w:t>National Water Initiative</w:t>
            </w:r>
            <w:r w:rsidRPr="006F0B7F">
              <w:t xml:space="preserve"> should include the following principles:</w:t>
            </w:r>
          </w:p>
          <w:p w14:paraId="6C67D446" w14:textId="77777777" w:rsidR="001054C3" w:rsidRPr="006F0B7F" w:rsidRDefault="001054C3" w:rsidP="00234FBE">
            <w:pPr>
              <w:pStyle w:val="RecBullet"/>
            </w:pPr>
            <w:r w:rsidRPr="006F0B7F">
              <w:t>Integrated management of water supply, wastewater and stormwater is embedded in urban water planning and management systems</w:t>
            </w:r>
            <w:r>
              <w:t>.</w:t>
            </w:r>
          </w:p>
          <w:p w14:paraId="664779FD" w14:textId="77777777" w:rsidR="001054C3" w:rsidRPr="006F0B7F" w:rsidRDefault="001054C3" w:rsidP="00234FBE">
            <w:pPr>
              <w:pStyle w:val="RecBullet"/>
            </w:pPr>
            <w:r w:rsidRPr="006F0B7F">
              <w:t>Planning decisions align with system objectives for levels of water security, service quality, the environment and urban amenity.</w:t>
            </w:r>
          </w:p>
          <w:p w14:paraId="5F1FC2CA" w14:textId="77777777" w:rsidR="001054C3" w:rsidRPr="006F0B7F" w:rsidRDefault="001054C3" w:rsidP="00234FBE">
            <w:pPr>
              <w:pStyle w:val="RecBullet"/>
            </w:pPr>
            <w:r w:rsidRPr="006F0B7F">
              <w:t xml:space="preserve">System objectives are discovered through a transparent and consultative approach and </w:t>
            </w:r>
            <w:r>
              <w:t>approved by governments</w:t>
            </w:r>
            <w:r w:rsidRPr="006F0B7F">
              <w:t xml:space="preserve"> in line with customer and community preferences.</w:t>
            </w:r>
          </w:p>
          <w:p w14:paraId="60809E17" w14:textId="77777777" w:rsidR="001054C3" w:rsidRPr="006F0B7F" w:rsidRDefault="001054C3" w:rsidP="00234FBE">
            <w:pPr>
              <w:pStyle w:val="RecBullet"/>
            </w:pPr>
            <w:r w:rsidRPr="006F0B7F">
              <w:t>Urban water planning connects water planning across different scales and with land</w:t>
            </w:r>
            <w:r w:rsidRPr="006F0B7F">
              <w:noBreakHyphen/>
              <w:t>use planning.</w:t>
            </w:r>
          </w:p>
          <w:p w14:paraId="413DC8F9" w14:textId="77777777" w:rsidR="001054C3" w:rsidRPr="006F0B7F" w:rsidRDefault="001054C3" w:rsidP="00234FBE">
            <w:pPr>
              <w:pStyle w:val="RecBullet"/>
            </w:pPr>
            <w:r w:rsidRPr="006F0B7F">
              <w:t xml:space="preserve">All supply options are considered and their relative merits subject to </w:t>
            </w:r>
            <w:r>
              <w:t xml:space="preserve">a </w:t>
            </w:r>
            <w:r w:rsidRPr="006F0B7F">
              <w:t>rigorous, consistent and transparent assessment of costs and benefits.</w:t>
            </w:r>
          </w:p>
          <w:p w14:paraId="7A53D285" w14:textId="77777777" w:rsidR="001054C3" w:rsidRPr="006F0B7F" w:rsidRDefault="001054C3" w:rsidP="00234FBE">
            <w:pPr>
              <w:pStyle w:val="RecBullet"/>
            </w:pPr>
            <w:r w:rsidRPr="006F0B7F">
              <w:t>Roles and responsibilities in the planning and management process are clearly assigned between relevant governments, utilities and other planning entities.</w:t>
            </w:r>
          </w:p>
          <w:p w14:paraId="7CC01EE4" w14:textId="77777777" w:rsidR="001054C3" w:rsidRPr="006F0B7F" w:rsidRDefault="001054C3" w:rsidP="00234FBE">
            <w:pPr>
              <w:pStyle w:val="RecBullet"/>
            </w:pPr>
            <w:r>
              <w:t>Governments enable effective coordination between u</w:t>
            </w:r>
            <w:r w:rsidRPr="006F0B7F">
              <w:t xml:space="preserve">tilities, regulators, developers and </w:t>
            </w:r>
            <w:r>
              <w:t>land</w:t>
            </w:r>
            <w:r>
              <w:noBreakHyphen/>
              <w:t>use</w:t>
            </w:r>
            <w:r w:rsidRPr="006F0B7F">
              <w:t xml:space="preserve"> planners.</w:t>
            </w:r>
          </w:p>
          <w:p w14:paraId="716E044A" w14:textId="77777777" w:rsidR="001054C3" w:rsidRPr="006F0B7F" w:rsidRDefault="001054C3" w:rsidP="00234FBE">
            <w:pPr>
              <w:pStyle w:val="Rec"/>
            </w:pPr>
            <w:r w:rsidRPr="006F0B7F">
              <w:t>To support efficient service delivery by smaller providers, jurisdictions should consider developing national guidelines for both long</w:t>
            </w:r>
            <w:r w:rsidRPr="006F0B7F">
              <w:noBreakHyphen/>
              <w:t>term system planning and contingency planning for regional and remote water systems.</w:t>
            </w:r>
          </w:p>
        </w:tc>
      </w:tr>
      <w:tr w:rsidR="001054C3" w:rsidRPr="006F0B7F" w14:paraId="31D5D80C"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A0B62B0" w14:textId="77777777" w:rsidR="001054C3" w:rsidRPr="006F0B7F" w:rsidRDefault="001054C3" w:rsidP="00234FBE">
            <w:pPr>
              <w:keepNext/>
              <w:keepLines/>
              <w:spacing w:line="120" w:lineRule="exact"/>
              <w:jc w:val="both"/>
              <w:rPr>
                <w:rFonts w:ascii="Arial" w:hAnsi="Arial"/>
                <w:sz w:val="20"/>
                <w:szCs w:val="20"/>
              </w:rPr>
            </w:pPr>
          </w:p>
        </w:tc>
      </w:tr>
      <w:tr w:rsidR="001054C3" w:rsidRPr="006F0B7F" w14:paraId="463852E3" w14:textId="77777777" w:rsidTr="00234FBE">
        <w:tc>
          <w:tcPr>
            <w:tcW w:w="5000" w:type="pct"/>
            <w:tcBorders>
              <w:top w:val="single" w:sz="6" w:space="0" w:color="0070C0"/>
              <w:left w:val="nil"/>
              <w:bottom w:val="nil"/>
              <w:right w:val="nil"/>
            </w:tcBorders>
            <w:tcMar>
              <w:left w:w="170" w:type="dxa"/>
              <w:right w:w="170" w:type="dxa"/>
            </w:tcMar>
          </w:tcPr>
          <w:p w14:paraId="73CE2397" w14:textId="77777777" w:rsidR="001054C3" w:rsidRPr="006F0B7F" w:rsidRDefault="001054C3" w:rsidP="00234FBE">
            <w:pPr>
              <w:keepLines/>
              <w:spacing w:before="60" w:after="60" w:line="80" w:lineRule="exact"/>
              <w:jc w:val="both"/>
              <w:rPr>
                <w:rFonts w:ascii="Arial" w:hAnsi="Arial"/>
                <w:sz w:val="14"/>
                <w:szCs w:val="20"/>
              </w:rPr>
            </w:pPr>
          </w:p>
        </w:tc>
      </w:tr>
    </w:tbl>
    <w:p w14:paraId="79D0B231" w14:textId="77777777" w:rsidR="001054C3" w:rsidRPr="006F0B7F" w:rsidRDefault="001054C3" w:rsidP="00234FBE">
      <w:pPr>
        <w:pStyle w:val="Heading2"/>
      </w:pPr>
      <w:bookmarkStart w:id="167" w:name="_Toc72939538"/>
      <w:r w:rsidRPr="006F0B7F">
        <w:lastRenderedPageBreak/>
        <w:t>1</w:t>
      </w:r>
      <w:r>
        <w:t>2</w:t>
      </w:r>
      <w:r w:rsidRPr="006F0B7F">
        <w:t>.5</w:t>
      </w:r>
      <w:r w:rsidRPr="006F0B7F">
        <w:tab/>
        <w:t>Pricing and service outcomes — another focus</w:t>
      </w:r>
      <w:bookmarkEnd w:id="167"/>
    </w:p>
    <w:p w14:paraId="5650F8F0" w14:textId="77777777" w:rsidR="001054C3" w:rsidRDefault="001054C3" w:rsidP="00234FBE">
      <w:pPr>
        <w:pStyle w:val="BodyText"/>
        <w:keepNext/>
      </w:pPr>
      <w:r>
        <w:t>Although many of the principles guiding water service provision remain sound — particularly, cost</w:t>
      </w:r>
      <w:r>
        <w:noBreakHyphen/>
        <w:t>reflective pricing and institutional separation — there is scope to expand their treatment in the NWI to guide best</w:t>
      </w:r>
      <w:r>
        <w:noBreakHyphen/>
        <w:t>practice outcomes. This should include:</w:t>
      </w:r>
    </w:p>
    <w:p w14:paraId="7B6AE1D5" w14:textId="77777777" w:rsidR="001054C3" w:rsidRDefault="001054C3" w:rsidP="00234FBE">
      <w:pPr>
        <w:pStyle w:val="ListBullet"/>
      </w:pPr>
      <w:r>
        <w:t>enhancements to pricing principles</w:t>
      </w:r>
    </w:p>
    <w:p w14:paraId="4E668FA1" w14:textId="77777777" w:rsidR="001054C3" w:rsidRDefault="001054C3" w:rsidP="00234FBE">
      <w:pPr>
        <w:pStyle w:val="ListBullet"/>
      </w:pPr>
      <w:r>
        <w:t>recommitment to performance monitoring and reporting of service outcomes.</w:t>
      </w:r>
    </w:p>
    <w:p w14:paraId="4FA0F904" w14:textId="77777777" w:rsidR="001054C3" w:rsidRPr="006F0B7F" w:rsidRDefault="001054C3" w:rsidP="00234FBE">
      <w:pPr>
        <w:pStyle w:val="BodyText"/>
      </w:pPr>
      <w:r>
        <w:t>M</w:t>
      </w:r>
      <w:r w:rsidRPr="002B22B7">
        <w:t xml:space="preserve">ore detailed guidance on </w:t>
      </w:r>
      <w:r>
        <w:t xml:space="preserve">the quality and coverage of </w:t>
      </w:r>
      <w:r w:rsidRPr="002B22B7">
        <w:t>independent economic regulation</w:t>
      </w:r>
      <w:r>
        <w:t xml:space="preserve"> is also important for the continued oversight of the urban water sector, in line with other water services. The Commission’s advice on this topic is outlined in chapter 11. </w:t>
      </w:r>
    </w:p>
    <w:p w14:paraId="6D7DED03" w14:textId="77777777" w:rsidR="001054C3" w:rsidRPr="006F0B7F" w:rsidRDefault="001054C3" w:rsidP="00234FBE">
      <w:pPr>
        <w:pStyle w:val="Heading3"/>
      </w:pPr>
      <w:r w:rsidRPr="006F0B7F">
        <w:t>There is scope for improvement in some pricing practices</w:t>
      </w:r>
    </w:p>
    <w:p w14:paraId="12FA6EC6" w14:textId="77777777" w:rsidR="001054C3" w:rsidRDefault="001054C3" w:rsidP="00234FBE">
      <w:pPr>
        <w:pStyle w:val="BodyText"/>
      </w:pPr>
      <w:r>
        <w:t>The core principles of cost</w:t>
      </w:r>
      <w:r>
        <w:noBreakHyphen/>
        <w:t>reflective, consumption</w:t>
      </w:r>
      <w:r>
        <w:noBreakHyphen/>
        <w:t xml:space="preserve">based pricing, with cost recovery from users, should be maintained in a renewed NWI, alongside a recommitment to the </w:t>
      </w:r>
      <w:r w:rsidRPr="00B578E6">
        <w:rPr>
          <w:i/>
          <w:iCs/>
        </w:rPr>
        <w:t>NWI</w:t>
      </w:r>
      <w:r>
        <w:t xml:space="preserve"> </w:t>
      </w:r>
      <w:r w:rsidRPr="00B578E6">
        <w:rPr>
          <w:i/>
          <w:iCs/>
        </w:rPr>
        <w:t>Pricing Principles</w:t>
      </w:r>
      <w:r>
        <w:t xml:space="preserve"> (chapter 11). However, there is also scope to refine those principles to encourage jurisdictions to better use pricing mechanisms to improve the efficiency of the urban water sector.</w:t>
      </w:r>
    </w:p>
    <w:p w14:paraId="2C785DF3" w14:textId="77777777" w:rsidR="001054C3" w:rsidRPr="006F0B7F" w:rsidRDefault="001054C3" w:rsidP="00234FBE">
      <w:pPr>
        <w:pStyle w:val="BodyText"/>
      </w:pPr>
      <w:r w:rsidRPr="006F0B7F">
        <w:t xml:space="preserve">While the </w:t>
      </w:r>
      <w:r w:rsidRPr="006F0B7F">
        <w:rPr>
          <w:i/>
        </w:rPr>
        <w:t>NWI Pricing Principles</w:t>
      </w:r>
      <w:r w:rsidRPr="006F0B7F">
        <w:t xml:space="preserve"> provided guidance on pricing recycled water and stormwater</w:t>
      </w:r>
      <w:r>
        <w:t xml:space="preserve"> as a water source</w:t>
      </w:r>
      <w:r w:rsidRPr="006F0B7F">
        <w:t>, progress on including these sources in pricing frameworks has been slow. A pricing regime for stormwater management (coupled with entitlement reforms</w:t>
      </w:r>
      <w:r>
        <w:t xml:space="preserve"> in</w:t>
      </w:r>
      <w:r w:rsidRPr="006F0B7F">
        <w:t xml:space="preserve"> </w:t>
      </w:r>
      <w:r>
        <w:t>chapter</w:t>
      </w:r>
      <w:r w:rsidRPr="006F0B7F">
        <w:t> </w:t>
      </w:r>
      <w:r>
        <w:t>6</w:t>
      </w:r>
      <w:r w:rsidRPr="006F0B7F">
        <w:t xml:space="preserve">) would help </w:t>
      </w:r>
      <w:r>
        <w:t xml:space="preserve">ensure that stormwater management services are efficient and effective, as well as </w:t>
      </w:r>
      <w:r w:rsidRPr="006F0B7F">
        <w:t>enabl</w:t>
      </w:r>
      <w:r>
        <w:t>ing</w:t>
      </w:r>
      <w:r w:rsidRPr="006F0B7F">
        <w:t xml:space="preserve"> stormwater to be considered as a water supply option on a basis consistent with other water sources, allowing for the lowest</w:t>
      </w:r>
      <w:r>
        <w:noBreakHyphen/>
      </w:r>
      <w:r w:rsidRPr="006F0B7F">
        <w:t>cost source of fit</w:t>
      </w:r>
      <w:r w:rsidRPr="006F0B7F">
        <w:noBreakHyphen/>
        <w:t>for</w:t>
      </w:r>
      <w:r w:rsidRPr="006F0B7F">
        <w:noBreakHyphen/>
        <w:t>purpose water to be utilised in a particular context</w:t>
      </w:r>
      <w:r>
        <w:t>.</w:t>
      </w:r>
    </w:p>
    <w:p w14:paraId="20B8F9B6" w14:textId="3D912AA8" w:rsidR="001054C3" w:rsidRDefault="001054C3" w:rsidP="00234FBE">
      <w:pPr>
        <w:pStyle w:val="BodyText"/>
      </w:pPr>
      <w:r w:rsidRPr="006F0B7F">
        <w:t xml:space="preserve">The </w:t>
      </w:r>
      <w:r w:rsidRPr="006F0B7F">
        <w:rPr>
          <w:i/>
          <w:iCs/>
        </w:rPr>
        <w:t>NWI Pricing</w:t>
      </w:r>
      <w:r w:rsidRPr="006F0B7F">
        <w:t xml:space="preserve"> </w:t>
      </w:r>
      <w:r w:rsidRPr="006F0B7F">
        <w:rPr>
          <w:i/>
        </w:rPr>
        <w:t xml:space="preserve">Principles </w:t>
      </w:r>
      <w:r w:rsidRPr="006F0B7F">
        <w:rPr>
          <w:iCs/>
        </w:rPr>
        <w:t xml:space="preserve">also </w:t>
      </w:r>
      <w:r w:rsidRPr="006F0B7F">
        <w:t xml:space="preserve">included guidance on setting, capping and using revenue from developer charges </w:t>
      </w:r>
      <w:r w:rsidRPr="00FF290F">
        <w:rPr>
          <w:szCs w:val="24"/>
        </w:rPr>
        <w:t>(NRMMC 2010, p. 11)</w:t>
      </w:r>
      <w:r w:rsidRPr="006F0B7F">
        <w:t xml:space="preserve">, but some State and Territory </w:t>
      </w:r>
      <w:r>
        <w:t>G</w:t>
      </w:r>
      <w:r w:rsidRPr="006F0B7F">
        <w:t>overnments have policy settings in place that suppress them. Charges levied on developers allow utilities to recover the costs of investments required to service a new development from the beneficiaries, rather than all water users. Where cost</w:t>
      </w:r>
      <w:r w:rsidRPr="006F0B7F">
        <w:noBreakHyphen/>
        <w:t xml:space="preserve">reflective, they provide incentives </w:t>
      </w:r>
      <w:r>
        <w:t>to adopt (or create) more cost</w:t>
      </w:r>
      <w:r>
        <w:noBreakHyphen/>
        <w:t>effective</w:t>
      </w:r>
      <w:r w:rsidRPr="006F0B7F">
        <w:t xml:space="preserve"> water supply approaches</w:t>
      </w:r>
      <w:r>
        <w:t xml:space="preserve"> </w:t>
      </w:r>
      <w:r w:rsidRPr="006F0B7F">
        <w:t>(Langford, sub. 91, p. 5). But when set below cost</w:t>
      </w:r>
      <w:r w:rsidRPr="006F0B7F">
        <w:noBreakHyphen/>
        <w:t xml:space="preserve">reflective levels, they blunt incentives to invest in </w:t>
      </w:r>
      <w:r>
        <w:t>alternative supply</w:t>
      </w:r>
      <w:r w:rsidRPr="006F0B7F">
        <w:t xml:space="preserve"> options. For example, a precinct developer is less likely to consider a water recycling scheme if the cost of connecting to the existing potable network is in effect subsidised.</w:t>
      </w:r>
    </w:p>
    <w:p w14:paraId="73508B10" w14:textId="77777777" w:rsidR="001054C3" w:rsidRPr="006F0B7F" w:rsidRDefault="001054C3" w:rsidP="00234FBE">
      <w:pPr>
        <w:pStyle w:val="BodyText"/>
      </w:pPr>
      <w:r>
        <w:t xml:space="preserve">In redeveloping the </w:t>
      </w:r>
      <w:r w:rsidRPr="00AF6786">
        <w:rPr>
          <w:i/>
        </w:rPr>
        <w:t>NWI</w:t>
      </w:r>
      <w:r>
        <w:t xml:space="preserve"> </w:t>
      </w:r>
      <w:r>
        <w:rPr>
          <w:i/>
        </w:rPr>
        <w:t>Pricing Principles</w:t>
      </w:r>
      <w:r>
        <w:t xml:space="preserve">, </w:t>
      </w:r>
      <w:r w:rsidRPr="00C274CB">
        <w:t>jurisdictions could</w:t>
      </w:r>
      <w:r>
        <w:t xml:space="preserve"> also give greater consideration to </w:t>
      </w:r>
      <w:r w:rsidRPr="00AF6786">
        <w:t>nodal pricing and flexible pricing approaches</w:t>
      </w:r>
      <w:r>
        <w:t>, where they present opportunities to improve the efficiency of the urban water sector.</w:t>
      </w:r>
    </w:p>
    <w:p w14:paraId="73F3DDBE" w14:textId="77777777" w:rsidR="001054C3" w:rsidRPr="006F0B7F" w:rsidRDefault="001054C3" w:rsidP="00234FBE">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6F0B7F" w14:paraId="0F22F89E"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D8EC8D1" w14:textId="77777777" w:rsidR="001054C3" w:rsidRPr="006F0B7F" w:rsidRDefault="001054C3" w:rsidP="00234FBE">
            <w:pPr>
              <w:pStyle w:val="FindingTitle"/>
              <w:spacing w:before="120"/>
              <w:rPr>
                <w:noProof/>
              </w:rPr>
            </w:pPr>
            <w:r w:rsidRPr="006F0B7F">
              <w:t xml:space="preserve">NWI Renewal advice </w:t>
            </w:r>
            <w:r>
              <w:t>12.2:</w:t>
            </w:r>
            <w:r w:rsidRPr="006F0B7F">
              <w:t xml:space="preserve"> Improving pricing and service outcomes</w:t>
            </w:r>
          </w:p>
          <w:p w14:paraId="19BAF170" w14:textId="77777777" w:rsidR="001054C3" w:rsidRPr="006F0B7F" w:rsidRDefault="001054C3" w:rsidP="00234FBE">
            <w:pPr>
              <w:pStyle w:val="Finding"/>
            </w:pPr>
            <w:r>
              <w:t xml:space="preserve">In updating </w:t>
            </w:r>
            <w:r w:rsidRPr="006F0B7F">
              <w:t xml:space="preserve">the </w:t>
            </w:r>
            <w:r w:rsidRPr="006F0B7F">
              <w:rPr>
                <w:i/>
              </w:rPr>
              <w:t>N</w:t>
            </w:r>
            <w:r>
              <w:rPr>
                <w:i/>
              </w:rPr>
              <w:t xml:space="preserve">ational </w:t>
            </w:r>
            <w:r w:rsidRPr="006F0B7F">
              <w:rPr>
                <w:i/>
              </w:rPr>
              <w:t>W</w:t>
            </w:r>
            <w:r>
              <w:rPr>
                <w:i/>
              </w:rPr>
              <w:t xml:space="preserve">ater </w:t>
            </w:r>
            <w:r w:rsidRPr="006F0B7F">
              <w:rPr>
                <w:i/>
              </w:rPr>
              <w:t>I</w:t>
            </w:r>
            <w:r>
              <w:rPr>
                <w:i/>
              </w:rPr>
              <w:t>nitiative</w:t>
            </w:r>
            <w:r w:rsidRPr="006F0B7F">
              <w:rPr>
                <w:i/>
              </w:rPr>
              <w:t xml:space="preserve"> Pricing Principles</w:t>
            </w:r>
            <w:r>
              <w:rPr>
                <w:i/>
              </w:rPr>
              <w:t xml:space="preserve"> </w:t>
            </w:r>
            <w:r>
              <w:t>(NWI renewal advice 11.1),</w:t>
            </w:r>
            <w:r w:rsidRPr="006F0B7F">
              <w:t xml:space="preserve"> </w:t>
            </w:r>
            <w:r>
              <w:t xml:space="preserve">jurisdictions </w:t>
            </w:r>
            <w:r w:rsidRPr="006F0B7F">
              <w:t>should:</w:t>
            </w:r>
          </w:p>
          <w:p w14:paraId="33CD24BD" w14:textId="77777777" w:rsidR="001054C3" w:rsidRPr="006F0B7F" w:rsidRDefault="001054C3" w:rsidP="00234FBE">
            <w:pPr>
              <w:pStyle w:val="FindingBullet"/>
              <w:rPr>
                <w:sz w:val="24"/>
              </w:rPr>
            </w:pPr>
            <w:r w:rsidRPr="006F0B7F">
              <w:t xml:space="preserve">develop improved, practical guidance on </w:t>
            </w:r>
            <w:r>
              <w:t xml:space="preserve">funding stormwater management and </w:t>
            </w:r>
            <w:r w:rsidRPr="006F0B7F">
              <w:t>incorporating stormwater into pricing frameworks</w:t>
            </w:r>
          </w:p>
          <w:p w14:paraId="60073256" w14:textId="77777777" w:rsidR="001054C3" w:rsidRPr="006F0B7F" w:rsidRDefault="001054C3" w:rsidP="00234FBE">
            <w:pPr>
              <w:pStyle w:val="FindingBullet"/>
            </w:pPr>
            <w:r w:rsidRPr="006F0B7F">
              <w:t>recommit to the principle that developer charges are cost</w:t>
            </w:r>
            <w:r>
              <w:t xml:space="preserve"> </w:t>
            </w:r>
            <w:r w:rsidRPr="006F0B7F">
              <w:t>reflective.</w:t>
            </w:r>
          </w:p>
        </w:tc>
      </w:tr>
      <w:tr w:rsidR="001054C3" w:rsidRPr="006F0B7F" w14:paraId="1ADE47C8"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BA8840A" w14:textId="77777777" w:rsidR="001054C3" w:rsidRPr="006F0B7F" w:rsidRDefault="001054C3" w:rsidP="00234FBE">
            <w:pPr>
              <w:keepNext/>
              <w:keepLines/>
              <w:spacing w:line="120" w:lineRule="exact"/>
              <w:jc w:val="both"/>
              <w:rPr>
                <w:rFonts w:ascii="Arial" w:hAnsi="Arial"/>
                <w:sz w:val="20"/>
                <w:szCs w:val="20"/>
              </w:rPr>
            </w:pPr>
          </w:p>
        </w:tc>
      </w:tr>
      <w:tr w:rsidR="001054C3" w:rsidRPr="006F0B7F" w14:paraId="7AF1462F" w14:textId="77777777" w:rsidTr="00234FBE">
        <w:tc>
          <w:tcPr>
            <w:tcW w:w="5000" w:type="pct"/>
            <w:tcBorders>
              <w:top w:val="single" w:sz="6" w:space="0" w:color="0070C0"/>
              <w:left w:val="nil"/>
              <w:bottom w:val="nil"/>
              <w:right w:val="nil"/>
            </w:tcBorders>
            <w:tcMar>
              <w:left w:w="170" w:type="dxa"/>
              <w:right w:w="170" w:type="dxa"/>
            </w:tcMar>
          </w:tcPr>
          <w:p w14:paraId="5C747675" w14:textId="77777777" w:rsidR="001054C3" w:rsidRPr="006F0B7F" w:rsidRDefault="001054C3" w:rsidP="00234FBE">
            <w:pPr>
              <w:keepLines/>
              <w:spacing w:before="60" w:after="60" w:line="80" w:lineRule="exact"/>
              <w:jc w:val="both"/>
              <w:rPr>
                <w:rFonts w:ascii="Arial" w:hAnsi="Arial"/>
                <w:sz w:val="14"/>
                <w:szCs w:val="20"/>
              </w:rPr>
            </w:pPr>
          </w:p>
        </w:tc>
      </w:tr>
    </w:tbl>
    <w:p w14:paraId="151E778E" w14:textId="77777777" w:rsidR="001054C3" w:rsidRPr="006F0B7F" w:rsidRDefault="001054C3" w:rsidP="00234FBE">
      <w:pPr>
        <w:pStyle w:val="Heading3"/>
      </w:pPr>
      <w:r>
        <w:t>Monitoring</w:t>
      </w:r>
      <w:r w:rsidRPr="006F0B7F">
        <w:t xml:space="preserve"> and reporting pricing and service outcomes should be maintained</w:t>
      </w:r>
    </w:p>
    <w:p w14:paraId="4CDD4D70" w14:textId="77777777" w:rsidR="001054C3" w:rsidRPr="006F0B7F" w:rsidRDefault="001054C3" w:rsidP="00234FBE">
      <w:pPr>
        <w:pStyle w:val="BodyText"/>
      </w:pPr>
      <w:r w:rsidRPr="006F0B7F">
        <w:t xml:space="preserve">The NWI actions on benchmarking efficient performance for urban water services are currently implemented through the National Performance Report (NPR) under the stewardship of the </w:t>
      </w:r>
      <w:r>
        <w:t>Bureau of Meteorology</w:t>
      </w:r>
      <w:r w:rsidRPr="006F0B7F">
        <w:t xml:space="preserve">. </w:t>
      </w:r>
      <w:r>
        <w:t>Monitoring</w:t>
      </w:r>
      <w:r w:rsidRPr="006F0B7F">
        <w:t xml:space="preserve"> and reporting of pricing and service outcomes provides transparency in the absence of formal price</w:t>
      </w:r>
      <w:r w:rsidRPr="006F0B7F">
        <w:noBreakHyphen/>
        <w:t>setting or price</w:t>
      </w:r>
      <w:r w:rsidRPr="006F0B7F">
        <w:noBreakHyphen/>
        <w:t xml:space="preserve">monitoring processes. It can inform customers about how their provider compares with others, potentially leading to </w:t>
      </w:r>
      <w:r>
        <w:t>scrutiny</w:t>
      </w:r>
      <w:r w:rsidRPr="006F0B7F">
        <w:t xml:space="preserve"> </w:t>
      </w:r>
      <w:r>
        <w:t>over</w:t>
      </w:r>
      <w:r w:rsidRPr="006F0B7F">
        <w:t xml:space="preserve"> apparent underperformance that </w:t>
      </w:r>
      <w:r>
        <w:t>can</w:t>
      </w:r>
      <w:r w:rsidRPr="006F0B7F">
        <w:t xml:space="preserve"> improve pricing and service outcomes.</w:t>
      </w:r>
      <w:r>
        <w:t xml:space="preserve"> And it provides information to support the Commission’s triennial assessment of progress against NWI commitments.</w:t>
      </w:r>
    </w:p>
    <w:p w14:paraId="60F0AD22" w14:textId="77777777" w:rsidR="001054C3" w:rsidRPr="006F0B7F" w:rsidRDefault="001054C3" w:rsidP="00234FBE">
      <w:pPr>
        <w:pStyle w:val="BodyText"/>
        <w:keepNext/>
      </w:pPr>
      <w:r w:rsidRPr="006F0B7F">
        <w:t>The NPR, however, has shortcomings. It does not report on service providers with fewer than 10 000</w:t>
      </w:r>
      <w:r>
        <w:t> </w:t>
      </w:r>
      <w:r w:rsidRPr="006F0B7F">
        <w:t xml:space="preserve">connections. It lacks the data needed to assess urban water service providers’ progress towards full cost recovery </w:t>
      </w:r>
      <w:r>
        <w:t xml:space="preserve">(as </w:t>
      </w:r>
      <w:r w:rsidRPr="006F0B7F">
        <w:t xml:space="preserve">the only measure for cost recovery, the economic real rate of return, is inconsistent with the NWI and the </w:t>
      </w:r>
      <w:r w:rsidRPr="006F0B7F">
        <w:rPr>
          <w:i/>
          <w:iCs/>
        </w:rPr>
        <w:t>NWI Pricing Principles</w:t>
      </w:r>
      <w:r>
        <w:t>)</w:t>
      </w:r>
      <w:r w:rsidRPr="006F0B7F">
        <w:t>. And there are shortcomings in data quality</w:t>
      </w:r>
      <w:r>
        <w:t>: according to the Goldenfields Water County Council (sub. 25, p 2), ‘</w:t>
      </w:r>
      <w:r w:rsidRPr="006F0B7F">
        <w:t>data referring to local water utility management within the NPR is either incorrect, very limited or not available</w:t>
      </w:r>
      <w:r>
        <w:t>’</w:t>
      </w:r>
      <w:r w:rsidRPr="006F0B7F">
        <w:t>.</w:t>
      </w:r>
    </w:p>
    <w:p w14:paraId="0C2EDD54" w14:textId="77777777" w:rsidR="001054C3" w:rsidRPr="006F0B7F" w:rsidRDefault="001054C3" w:rsidP="00234FBE">
      <w:pPr>
        <w:pStyle w:val="BodyText"/>
      </w:pPr>
      <w:r w:rsidRPr="006F0B7F">
        <w:t>Overall, the NPR is not fit</w:t>
      </w:r>
      <w:r>
        <w:t xml:space="preserve"> </w:t>
      </w:r>
      <w:r w:rsidRPr="006F0B7F">
        <w:t>for</w:t>
      </w:r>
      <w:r>
        <w:t xml:space="preserve"> </w:t>
      </w:r>
      <w:r w:rsidRPr="006F0B7F">
        <w:t xml:space="preserve">purpose in </w:t>
      </w:r>
      <w:r>
        <w:t xml:space="preserve">reporting </w:t>
      </w:r>
      <w:r w:rsidRPr="006F0B7F">
        <w:t xml:space="preserve">service quality, as envisioned under the NWI, nor is it adequate to assess progress against NWI commitments. An </w:t>
      </w:r>
      <w:r w:rsidRPr="006F0B7F">
        <w:rPr>
          <w:i/>
        </w:rPr>
        <w:t>NPR Indicator Review</w:t>
      </w:r>
      <w:r w:rsidRPr="006F0B7F">
        <w:t xml:space="preserve"> is scheduled for completion in March 2022. It is well</w:t>
      </w:r>
      <w:r w:rsidRPr="006F0B7F">
        <w:noBreakHyphen/>
        <w:t>placed to address the</w:t>
      </w:r>
      <w:r>
        <w:t>se</w:t>
      </w:r>
      <w:r w:rsidRPr="006F0B7F">
        <w:t xml:space="preserve"> shortcomings.</w:t>
      </w:r>
    </w:p>
    <w:p w14:paraId="7CED892C" w14:textId="77777777" w:rsidR="001054C3" w:rsidRPr="006F0B7F"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054C3" w:rsidRPr="006F0B7F" w14:paraId="055C4CB5" w14:textId="77777777" w:rsidTr="00234FB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FB45CE3" w14:textId="77777777" w:rsidR="001054C3" w:rsidRPr="006F0B7F" w:rsidRDefault="001054C3" w:rsidP="00234FBE">
            <w:pPr>
              <w:pStyle w:val="FindingTitle"/>
              <w:spacing w:before="120"/>
              <w:rPr>
                <w:noProof/>
              </w:rPr>
            </w:pPr>
            <w:r>
              <w:t>Finding 12.1</w:t>
            </w:r>
          </w:p>
        </w:tc>
      </w:tr>
      <w:tr w:rsidR="001054C3" w:rsidRPr="006F0B7F" w14:paraId="5ADBA59C" w14:textId="77777777" w:rsidTr="00234FBE">
        <w:trPr>
          <w:cantSplit/>
        </w:trPr>
        <w:tc>
          <w:tcPr>
            <w:tcW w:w="5000" w:type="pct"/>
            <w:tcBorders>
              <w:top w:val="nil"/>
              <w:left w:val="nil"/>
              <w:bottom w:val="nil"/>
              <w:right w:val="nil"/>
            </w:tcBorders>
            <w:shd w:val="clear" w:color="auto" w:fill="F2F2F2"/>
            <w:tcMar>
              <w:left w:w="170" w:type="dxa"/>
              <w:right w:w="170" w:type="dxa"/>
            </w:tcMar>
          </w:tcPr>
          <w:p w14:paraId="40F75FDF" w14:textId="77777777" w:rsidR="001054C3" w:rsidRDefault="001054C3" w:rsidP="00234FBE">
            <w:pPr>
              <w:pStyle w:val="Finding"/>
              <w:keepNext/>
            </w:pPr>
            <w:r w:rsidRPr="006F0B7F">
              <w:t>The National Performance Report is not fit</w:t>
            </w:r>
            <w:r>
              <w:t xml:space="preserve"> </w:t>
            </w:r>
            <w:r w:rsidRPr="006F0B7F">
              <w:t>for</w:t>
            </w:r>
            <w:r>
              <w:t xml:space="preserve"> </w:t>
            </w:r>
            <w:r w:rsidRPr="006F0B7F">
              <w:t xml:space="preserve">purpose in </w:t>
            </w:r>
            <w:r>
              <w:t>reporting</w:t>
            </w:r>
            <w:r w:rsidRPr="006F0B7F">
              <w:t xml:space="preserve"> service quality, as envisioned under the </w:t>
            </w:r>
            <w:r>
              <w:t>National Water Initiative (</w:t>
            </w:r>
            <w:r w:rsidRPr="006F0B7F">
              <w:t>NWI</w:t>
            </w:r>
            <w:r>
              <w:t>)</w:t>
            </w:r>
            <w:r w:rsidRPr="006F0B7F">
              <w:t xml:space="preserve">, nor is it adequate to assess progress against NWI commitments. The only measure for cost recovery, the economic real rate of return, is inconsistent with the NWI and the </w:t>
            </w:r>
            <w:r w:rsidRPr="001547DB">
              <w:rPr>
                <w:i/>
                <w:iCs/>
              </w:rPr>
              <w:t>NWI Pricing Principles</w:t>
            </w:r>
            <w:r w:rsidRPr="006F0B7F">
              <w:t xml:space="preserve">. </w:t>
            </w:r>
          </w:p>
          <w:p w14:paraId="6D25B69D" w14:textId="29438EA3" w:rsidR="001054C3" w:rsidRPr="006F0B7F" w:rsidRDefault="001054C3" w:rsidP="00234FBE">
            <w:pPr>
              <w:pStyle w:val="Finding"/>
              <w:keepNext/>
            </w:pPr>
            <w:r w:rsidRPr="006F0B7F">
              <w:t xml:space="preserve">The current </w:t>
            </w:r>
            <w:r>
              <w:t>National Performance Report</w:t>
            </w:r>
            <w:r w:rsidRPr="006F0B7F">
              <w:t xml:space="preserve"> </w:t>
            </w:r>
            <w:r>
              <w:t>I</w:t>
            </w:r>
            <w:r w:rsidRPr="006F0B7F">
              <w:t>ndicator</w:t>
            </w:r>
            <w:r>
              <w:t xml:space="preserve"> Review</w:t>
            </w:r>
            <w:r w:rsidRPr="006F0B7F">
              <w:t xml:space="preserve"> is well</w:t>
            </w:r>
            <w:r w:rsidR="00160848">
              <w:t xml:space="preserve"> </w:t>
            </w:r>
            <w:r w:rsidRPr="006F0B7F">
              <w:t>placed to address these inadequacies.</w:t>
            </w:r>
          </w:p>
        </w:tc>
      </w:tr>
      <w:tr w:rsidR="001054C3" w:rsidRPr="006F0B7F" w14:paraId="762A6438" w14:textId="77777777" w:rsidTr="00234FBE">
        <w:trPr>
          <w:cantSplit/>
        </w:trPr>
        <w:tc>
          <w:tcPr>
            <w:tcW w:w="5000" w:type="pct"/>
            <w:tcBorders>
              <w:top w:val="nil"/>
              <w:left w:val="nil"/>
              <w:bottom w:val="single" w:sz="6" w:space="0" w:color="78A22F"/>
              <w:right w:val="nil"/>
            </w:tcBorders>
            <w:shd w:val="clear" w:color="auto" w:fill="F2F2F2"/>
            <w:tcMar>
              <w:left w:w="170" w:type="dxa"/>
              <w:right w:w="170" w:type="dxa"/>
            </w:tcMar>
          </w:tcPr>
          <w:p w14:paraId="376D4630" w14:textId="77777777" w:rsidR="001054C3" w:rsidRPr="006F0B7F" w:rsidRDefault="001054C3" w:rsidP="00234FBE">
            <w:pPr>
              <w:pStyle w:val="Space"/>
              <w:keepLines/>
            </w:pPr>
          </w:p>
        </w:tc>
      </w:tr>
      <w:tr w:rsidR="001054C3" w:rsidRPr="006F0B7F" w14:paraId="4C65F56B" w14:textId="77777777" w:rsidTr="00234FBE">
        <w:trPr>
          <w:cantSplit/>
        </w:trPr>
        <w:tc>
          <w:tcPr>
            <w:tcW w:w="5000" w:type="pct"/>
            <w:tcBorders>
              <w:top w:val="single" w:sz="6" w:space="0" w:color="78A22F"/>
              <w:left w:val="nil"/>
              <w:bottom w:val="nil"/>
              <w:right w:val="nil"/>
            </w:tcBorders>
            <w:tcMar>
              <w:left w:w="170" w:type="dxa"/>
              <w:right w:w="170" w:type="dxa"/>
            </w:tcMar>
          </w:tcPr>
          <w:p w14:paraId="5353AECE" w14:textId="77777777" w:rsidR="001054C3" w:rsidRPr="006F0B7F" w:rsidRDefault="001054C3" w:rsidP="00234FBE">
            <w:pPr>
              <w:pStyle w:val="BoxSpaceBelow"/>
              <w:keepLines/>
            </w:pPr>
          </w:p>
        </w:tc>
      </w:tr>
    </w:tbl>
    <w:p w14:paraId="7E84E8E0"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740D3F4D" w14:textId="77777777" w:rsidTr="00234FBE">
        <w:trPr>
          <w:tblHeader/>
        </w:trPr>
        <w:tc>
          <w:tcPr>
            <w:tcW w:w="5000" w:type="pct"/>
            <w:tcBorders>
              <w:top w:val="single" w:sz="6" w:space="0" w:color="78A22F"/>
              <w:left w:val="nil"/>
              <w:bottom w:val="nil"/>
              <w:right w:val="nil"/>
            </w:tcBorders>
            <w:shd w:val="clear" w:color="auto" w:fill="E5F1D0"/>
            <w:tcMar>
              <w:left w:w="170" w:type="dxa"/>
              <w:right w:w="170" w:type="dxa"/>
            </w:tcMar>
          </w:tcPr>
          <w:p w14:paraId="4BE6E5DD" w14:textId="77777777" w:rsidR="001054C3" w:rsidRPr="00CE4C64" w:rsidRDefault="001054C3" w:rsidP="00234FBE">
            <w:pPr>
              <w:pStyle w:val="RecTitle"/>
              <w:spacing w:before="120"/>
              <w:rPr>
                <w:noProof/>
              </w:rPr>
            </w:pPr>
            <w:r>
              <w:t>Recommendation 12.1: Report an NWI</w:t>
            </w:r>
            <w:r>
              <w:noBreakHyphen/>
              <w:t>consistent financial return metric</w:t>
            </w:r>
          </w:p>
        </w:tc>
      </w:tr>
      <w:tr w:rsidR="001054C3" w:rsidRPr="00750BE2" w14:paraId="65249AFA" w14:textId="77777777" w:rsidTr="00234FBE">
        <w:tc>
          <w:tcPr>
            <w:tcW w:w="5000" w:type="pct"/>
            <w:tcBorders>
              <w:top w:val="nil"/>
              <w:left w:val="nil"/>
              <w:bottom w:val="nil"/>
              <w:right w:val="nil"/>
            </w:tcBorders>
            <w:shd w:val="clear" w:color="auto" w:fill="E5F1D0"/>
            <w:tcMar>
              <w:left w:w="170" w:type="dxa"/>
              <w:right w:w="170" w:type="dxa"/>
            </w:tcMar>
          </w:tcPr>
          <w:p w14:paraId="3B425C04" w14:textId="77777777" w:rsidR="001054C3" w:rsidRPr="006F0B7F" w:rsidRDefault="001054C3" w:rsidP="00234FBE">
            <w:pPr>
              <w:pStyle w:val="Rec"/>
              <w:keepNext/>
            </w:pPr>
            <w:r w:rsidRPr="006F0B7F">
              <w:t>State and Territory Governments, through the National Performance Report, should require urban water service providers to report a financial return</w:t>
            </w:r>
            <w:r w:rsidRPr="006F0B7F" w:rsidDel="00CB042B">
              <w:t xml:space="preserve"> </w:t>
            </w:r>
            <w:r w:rsidRPr="006F0B7F">
              <w:t xml:space="preserve">metric consistent with the </w:t>
            </w:r>
            <w:r>
              <w:rPr>
                <w:i/>
              </w:rPr>
              <w:t>National Water Initiative</w:t>
            </w:r>
            <w:r w:rsidRPr="006F0B7F">
              <w:rPr>
                <w:i/>
              </w:rPr>
              <w:t xml:space="preserve"> Pricing Principles</w:t>
            </w:r>
            <w:r w:rsidRPr="006F0B7F">
              <w:t>, alongside the existing economic real rate of return metric. This should include:</w:t>
            </w:r>
          </w:p>
          <w:p w14:paraId="7BD0E6C8" w14:textId="77777777" w:rsidR="001054C3" w:rsidRPr="006F0B7F" w:rsidRDefault="001054C3" w:rsidP="00234FBE">
            <w:pPr>
              <w:pStyle w:val="RecBullet"/>
            </w:pPr>
            <w:r w:rsidRPr="006F0B7F">
              <w:t>an income measure that excludes developer charges and contributed assets</w:t>
            </w:r>
          </w:p>
          <w:p w14:paraId="183284FD" w14:textId="77777777" w:rsidR="001054C3" w:rsidRDefault="001054C3" w:rsidP="00234FBE">
            <w:pPr>
              <w:pStyle w:val="RecBullet"/>
            </w:pPr>
            <w:r w:rsidRPr="006F0B7F">
              <w:t xml:space="preserve">an asset base measure determined by a methodology consistent with the </w:t>
            </w:r>
            <w:r>
              <w:rPr>
                <w:i/>
              </w:rPr>
              <w:t>National Water Initiative</w:t>
            </w:r>
            <w:r w:rsidRPr="006F0B7F">
              <w:rPr>
                <w:i/>
              </w:rPr>
              <w:t xml:space="preserve"> Pricing Principles</w:t>
            </w:r>
            <w:r w:rsidRPr="006F0B7F">
              <w:t>.</w:t>
            </w:r>
          </w:p>
        </w:tc>
      </w:tr>
      <w:tr w:rsidR="001054C3" w14:paraId="49F2BC9C" w14:textId="77777777" w:rsidTr="00234FBE">
        <w:tc>
          <w:tcPr>
            <w:tcW w:w="5000" w:type="pct"/>
            <w:tcBorders>
              <w:top w:val="nil"/>
              <w:left w:val="nil"/>
              <w:bottom w:val="single" w:sz="6" w:space="0" w:color="78A22F"/>
              <w:right w:val="nil"/>
            </w:tcBorders>
            <w:shd w:val="clear" w:color="auto" w:fill="E5F1D0"/>
            <w:tcMar>
              <w:left w:w="170" w:type="dxa"/>
              <w:right w:w="170" w:type="dxa"/>
            </w:tcMar>
          </w:tcPr>
          <w:p w14:paraId="485A4415" w14:textId="77777777" w:rsidR="001054C3" w:rsidRDefault="001054C3" w:rsidP="00234FBE">
            <w:pPr>
              <w:pStyle w:val="Space"/>
              <w:keepLines/>
            </w:pPr>
          </w:p>
        </w:tc>
      </w:tr>
      <w:tr w:rsidR="001054C3" w:rsidRPr="000863A5" w14:paraId="5FF984C0" w14:textId="77777777" w:rsidTr="00234FBE">
        <w:tc>
          <w:tcPr>
            <w:tcW w:w="5000" w:type="pct"/>
            <w:tcBorders>
              <w:top w:val="single" w:sz="6" w:space="0" w:color="78A22F"/>
              <w:left w:val="nil"/>
              <w:bottom w:val="nil"/>
              <w:right w:val="nil"/>
            </w:tcBorders>
            <w:tcMar>
              <w:left w:w="170" w:type="dxa"/>
              <w:right w:w="170" w:type="dxa"/>
            </w:tcMar>
          </w:tcPr>
          <w:p w14:paraId="003A847E" w14:textId="77777777" w:rsidR="001054C3" w:rsidRPr="00626D32" w:rsidRDefault="001054C3" w:rsidP="00234FBE">
            <w:pPr>
              <w:pStyle w:val="BoxSpaceBelow"/>
              <w:keepLines/>
            </w:pPr>
          </w:p>
        </w:tc>
      </w:tr>
    </w:tbl>
    <w:p w14:paraId="0266B5B0" w14:textId="77777777" w:rsidR="001054C3" w:rsidRDefault="001054C3" w:rsidP="00234FBE">
      <w:pPr>
        <w:pStyle w:val="BodyText"/>
      </w:pPr>
      <w:r w:rsidRPr="006F0B7F">
        <w:t xml:space="preserve">Irrespective of the shortcomings of the NPR, there are sound reasons to maintain the requirements to </w:t>
      </w:r>
      <w:r>
        <w:t xml:space="preserve">monitor </w:t>
      </w:r>
      <w:r w:rsidRPr="006F0B7F">
        <w:t>and report on service provider performance in a renewed NWI</w:t>
      </w:r>
      <w:r>
        <w:t>. As discussed in chapter 11, monitoring and reporting should aim to:</w:t>
      </w:r>
    </w:p>
    <w:p w14:paraId="3954CD12" w14:textId="77777777" w:rsidR="001054C3" w:rsidRDefault="001054C3" w:rsidP="00234FBE">
      <w:pPr>
        <w:pStyle w:val="ListBullet"/>
      </w:pPr>
      <w:r>
        <w:t>increase transparency of service delivery</w:t>
      </w:r>
    </w:p>
    <w:p w14:paraId="054C04DC" w14:textId="77777777" w:rsidR="001054C3" w:rsidRDefault="001054C3" w:rsidP="00234FBE">
      <w:pPr>
        <w:pStyle w:val="ListBullet"/>
      </w:pPr>
      <w:r>
        <w:t>enable performance comparisons to support continuous improvement by providers</w:t>
      </w:r>
    </w:p>
    <w:p w14:paraId="506323D1" w14:textId="77777777" w:rsidR="001054C3" w:rsidRDefault="001054C3" w:rsidP="00234FBE">
      <w:pPr>
        <w:pStyle w:val="ListBullet"/>
      </w:pPr>
      <w:r>
        <w:t>feed into economic oversight</w:t>
      </w:r>
    </w:p>
    <w:p w14:paraId="0661F61A" w14:textId="77777777" w:rsidR="001054C3" w:rsidRDefault="001054C3" w:rsidP="00234FBE">
      <w:pPr>
        <w:pStyle w:val="ListBullet"/>
      </w:pPr>
      <w:r>
        <w:t>contribute to State and Territory government policy decisions and performance oversight</w:t>
      </w:r>
    </w:p>
    <w:p w14:paraId="772AE981" w14:textId="77777777" w:rsidR="001054C3" w:rsidRDefault="001054C3" w:rsidP="00234FBE">
      <w:pPr>
        <w:pStyle w:val="ListBullet"/>
      </w:pPr>
      <w:r>
        <w:t>underpin regular assessments of progress of NWI implementation.</w:t>
      </w:r>
    </w:p>
    <w:p w14:paraId="444D048E" w14:textId="77777777" w:rsidR="001054C3" w:rsidRPr="006F0B7F" w:rsidRDefault="001054C3" w:rsidP="00234FBE">
      <w:pPr>
        <w:pStyle w:val="BodyText"/>
      </w:pPr>
      <w:r>
        <w:t>K</w:t>
      </w:r>
      <w:r w:rsidRPr="006F0B7F">
        <w:t>ey performance indicators</w:t>
      </w:r>
      <w:r>
        <w:t>, including o</w:t>
      </w:r>
      <w:r w:rsidRPr="006F0B7F">
        <w:t>perational and financial indicators</w:t>
      </w:r>
      <w:r>
        <w:t xml:space="preserve">, should be </w:t>
      </w:r>
      <w:r w:rsidRPr="006F0B7F">
        <w:t>publicly repo</w:t>
      </w:r>
      <w:r>
        <w:t>rted for urban water providers of all sizes to</w:t>
      </w:r>
      <w:r w:rsidRPr="006F0B7F">
        <w:t xml:space="preserve"> contribute to economic oversight and policy making.</w:t>
      </w:r>
      <w:r>
        <w:t xml:space="preserve"> The benefits and costs of expanding national reporting requirements to small utilities should be considered by the NPR Indicator Review, but, at a minimum, they should be subject to state</w:t>
      </w:r>
      <w:r>
        <w:noBreakHyphen/>
        <w:t xml:space="preserve">based monitoring and reporting. </w:t>
      </w:r>
    </w:p>
    <w:p w14:paraId="59B49DD1" w14:textId="77777777" w:rsidR="001054C3" w:rsidRPr="00431D61" w:rsidRDefault="001054C3" w:rsidP="00234FBE">
      <w:pPr>
        <w:pStyle w:val="BodyText"/>
        <w:rPr>
          <w:spacing w:val="-2"/>
        </w:rPr>
      </w:pPr>
      <w:r w:rsidRPr="00431D61">
        <w:rPr>
          <w:spacing w:val="-2"/>
        </w:rPr>
        <w:t>Moreover, performance data should be collected or overseen by an independent body (as is currently the case for the NPR under the Bureau of Meteorology), particularly where that information is used to calculate or determine eligibility for CSO payments, and to feed into economic oversight. An independent body should also scrutinise outcomes and highlight where performance improvements are required, particularly for regional and remote providers.</w:t>
      </w:r>
    </w:p>
    <w:p w14:paraId="011739CA" w14:textId="77777777" w:rsidR="001054C3" w:rsidRPr="006F0B7F" w:rsidRDefault="001054C3" w:rsidP="00234FBE">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6F0B7F" w14:paraId="72D44884"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310AC35" w14:textId="77777777" w:rsidR="001054C3" w:rsidRPr="006F0B7F" w:rsidRDefault="001054C3" w:rsidP="00234FBE">
            <w:pPr>
              <w:pStyle w:val="FindingTitle"/>
              <w:spacing w:before="120"/>
              <w:rPr>
                <w:noProof/>
              </w:rPr>
            </w:pPr>
            <w:r w:rsidRPr="006F0B7F">
              <w:t xml:space="preserve">NWI Renewal advice </w:t>
            </w:r>
            <w:r>
              <w:t>12.3:</w:t>
            </w:r>
            <w:r w:rsidRPr="006F0B7F">
              <w:t xml:space="preserve"> Improving pricing and service outcomes</w:t>
            </w:r>
          </w:p>
          <w:p w14:paraId="61AB6570" w14:textId="77777777" w:rsidR="001054C3" w:rsidRDefault="001054C3" w:rsidP="00234FBE">
            <w:pPr>
              <w:pStyle w:val="Finding"/>
            </w:pPr>
            <w:r>
              <w:t xml:space="preserve">All urban water service </w:t>
            </w:r>
            <w:r w:rsidRPr="006F0B7F">
              <w:t xml:space="preserve">providers, </w:t>
            </w:r>
            <w:r>
              <w:t xml:space="preserve">including those with fewer </w:t>
            </w:r>
            <w:r w:rsidRPr="005C58A8">
              <w:t>than 10</w:t>
            </w:r>
            <w:r>
              <w:t> </w:t>
            </w:r>
            <w:r w:rsidRPr="005C58A8">
              <w:t>000</w:t>
            </w:r>
            <w:r>
              <w:t> </w:t>
            </w:r>
            <w:r w:rsidRPr="005C58A8">
              <w:t>connections</w:t>
            </w:r>
            <w:r w:rsidRPr="006F0B7F">
              <w:t>, should be subj</w:t>
            </w:r>
            <w:r>
              <w:t>ect to jurisdictional monitoring and public reporting.</w:t>
            </w:r>
          </w:p>
          <w:p w14:paraId="075F6C8E" w14:textId="77777777" w:rsidR="001054C3" w:rsidRPr="006F0B7F" w:rsidRDefault="001054C3" w:rsidP="00234FBE">
            <w:pPr>
              <w:pStyle w:val="Finding"/>
            </w:pPr>
            <w:r>
              <w:t>Through the National Water Initiative, j</w:t>
            </w:r>
            <w:r w:rsidRPr="006F0B7F">
              <w:t>urisdictions should recommit to independent, public and annual reporting of key pricing and service quality indicators</w:t>
            </w:r>
            <w:r>
              <w:t xml:space="preserve"> at a national level for all major urban water service providers (consistent with the objectives outlined in NWI renewal advice 11.4).</w:t>
            </w:r>
          </w:p>
        </w:tc>
      </w:tr>
      <w:tr w:rsidR="001054C3" w:rsidRPr="006F0B7F" w14:paraId="6E20F909"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4EEF45A" w14:textId="77777777" w:rsidR="001054C3" w:rsidRPr="006F0B7F" w:rsidRDefault="001054C3" w:rsidP="00234FBE">
            <w:pPr>
              <w:keepNext/>
              <w:keepLines/>
              <w:spacing w:line="120" w:lineRule="exact"/>
              <w:jc w:val="both"/>
              <w:rPr>
                <w:rFonts w:ascii="Arial" w:hAnsi="Arial"/>
                <w:sz w:val="20"/>
                <w:szCs w:val="20"/>
              </w:rPr>
            </w:pPr>
          </w:p>
        </w:tc>
      </w:tr>
      <w:tr w:rsidR="001054C3" w:rsidRPr="006F0B7F" w14:paraId="226721C7" w14:textId="77777777" w:rsidTr="00234FBE">
        <w:tc>
          <w:tcPr>
            <w:tcW w:w="5000" w:type="pct"/>
            <w:tcBorders>
              <w:top w:val="single" w:sz="6" w:space="0" w:color="0070C0"/>
              <w:left w:val="nil"/>
              <w:bottom w:val="nil"/>
              <w:right w:val="nil"/>
            </w:tcBorders>
            <w:tcMar>
              <w:left w:w="170" w:type="dxa"/>
              <w:right w:w="170" w:type="dxa"/>
            </w:tcMar>
          </w:tcPr>
          <w:p w14:paraId="01FEAE08" w14:textId="77777777" w:rsidR="001054C3" w:rsidRPr="006F0B7F" w:rsidRDefault="001054C3" w:rsidP="00234FBE">
            <w:pPr>
              <w:keepLines/>
              <w:spacing w:before="60" w:after="60" w:line="80" w:lineRule="exact"/>
              <w:jc w:val="both"/>
              <w:rPr>
                <w:rFonts w:ascii="Arial" w:hAnsi="Arial"/>
                <w:sz w:val="14"/>
                <w:szCs w:val="20"/>
              </w:rPr>
            </w:pPr>
          </w:p>
        </w:tc>
      </w:tr>
    </w:tbl>
    <w:p w14:paraId="6987A3F6" w14:textId="77777777" w:rsidR="001054C3" w:rsidRDefault="001054C3" w:rsidP="00234FBE">
      <w:pPr>
        <w:pStyle w:val="Heading2"/>
      </w:pPr>
      <w:bookmarkStart w:id="168" w:name="_Toc63112497"/>
      <w:bookmarkStart w:id="169" w:name="_Toc72939539"/>
      <w:r>
        <w:lastRenderedPageBreak/>
        <w:t>12.6</w:t>
      </w:r>
      <w:r>
        <w:tab/>
        <w:t>Additional tailored advice for regional and remote urban water services</w:t>
      </w:r>
      <w:bookmarkEnd w:id="168"/>
      <w:bookmarkEnd w:id="169"/>
    </w:p>
    <w:p w14:paraId="13AA0EF4" w14:textId="77777777" w:rsidR="001054C3" w:rsidRDefault="001054C3" w:rsidP="00234FBE">
      <w:pPr>
        <w:pStyle w:val="BodyText"/>
      </w:pPr>
      <w:r>
        <w:t>As noted above, it can be more costly, per consumer, to provide safe and reliable water supplies in regional and remote communities and there are fragilities in some supply systems. Local circumstances (such as population density and water source availability) affect the delivery of affordable and reliable water services.</w:t>
      </w:r>
    </w:p>
    <w:p w14:paraId="7E0C6068" w14:textId="77777777" w:rsidR="001054C3" w:rsidRDefault="001054C3" w:rsidP="00234FBE">
      <w:pPr>
        <w:pStyle w:val="BodyText"/>
      </w:pPr>
      <w:r>
        <w:t>As in major cities, there is ultimately a trade</w:t>
      </w:r>
      <w:r>
        <w:noBreakHyphen/>
        <w:t>off between service quality (including drinking water quality, the reliability of water supply and the expected frequency of water restrictions) against the affordability of the service for each community. Maintaining levels of service in some regional and remote communities will require some combination of external funding, a sharp increase in operational efficiency, and/or higher user charges.</w:t>
      </w:r>
    </w:p>
    <w:p w14:paraId="3BDB77B5" w14:textId="77777777" w:rsidR="001054C3" w:rsidRPr="00400E0D" w:rsidRDefault="001054C3" w:rsidP="00234FBE">
      <w:pPr>
        <w:pStyle w:val="BodyText"/>
      </w:pPr>
      <w:r>
        <w:t>The Commission has provided tailored reform advice for regional and remote urban water services, centred on a commitment to a ‘basic level of service’ to guide State and Territory government assistance for high</w:t>
      </w:r>
      <w:r>
        <w:noBreakHyphen/>
        <w:t>cost areas.</w:t>
      </w:r>
    </w:p>
    <w:p w14:paraId="6D8C3364" w14:textId="77777777" w:rsidR="001054C3" w:rsidRPr="006F0B7F" w:rsidRDefault="001054C3" w:rsidP="00234FBE">
      <w:pPr>
        <w:pStyle w:val="Heading3"/>
      </w:pPr>
      <w:r w:rsidRPr="006F0B7F">
        <w:t>Governments should ensure access to a basic level of service</w:t>
      </w:r>
    </w:p>
    <w:p w14:paraId="369C7EF6" w14:textId="77777777" w:rsidR="001054C3" w:rsidRPr="006F0B7F" w:rsidRDefault="001054C3" w:rsidP="00234FBE">
      <w:pPr>
        <w:pStyle w:val="BodyText"/>
      </w:pPr>
      <w:r>
        <w:t>To support planning by smaller utilities, and to give effect to international commitments to provide safe drinking water (SP G </w:t>
      </w:r>
      <w:r w:rsidRPr="036CE4D9">
        <w:rPr>
          <w:i/>
          <w:iCs/>
        </w:rPr>
        <w:t>Regional</w:t>
      </w:r>
      <w:r>
        <w:t>), State and Territory Governments should define a ‘basic level of service’ which would specify the minimum standard of key aspects of service provision (including the provision of safe drinking water) that they would commit to make available to all households.</w:t>
      </w:r>
    </w:p>
    <w:p w14:paraId="2CBF721E" w14:textId="77777777" w:rsidR="001054C3" w:rsidRPr="006F0B7F" w:rsidRDefault="001054C3" w:rsidP="00234FBE">
      <w:pPr>
        <w:pStyle w:val="BodyText"/>
      </w:pPr>
      <w:r>
        <w:t>The precise definition of</w:t>
      </w:r>
      <w:r w:rsidRPr="006F0B7F">
        <w:t xml:space="preserve"> </w:t>
      </w:r>
      <w:r>
        <w:t>a</w:t>
      </w:r>
      <w:r w:rsidRPr="006F0B7F">
        <w:t xml:space="preserve"> basic level of safe and reliable water </w:t>
      </w:r>
      <w:r>
        <w:t>is</w:t>
      </w:r>
      <w:r w:rsidRPr="006F0B7F">
        <w:t xml:space="preserve"> a decision for </w:t>
      </w:r>
      <w:r>
        <w:t xml:space="preserve">each </w:t>
      </w:r>
      <w:r w:rsidRPr="006F0B7F">
        <w:t xml:space="preserve">State and Territory </w:t>
      </w:r>
      <w:r>
        <w:t>G</w:t>
      </w:r>
      <w:r w:rsidRPr="006F0B7F">
        <w:t xml:space="preserve">overnment, based on their own circumstances (although a definition of ‘safe’ water should </w:t>
      </w:r>
      <w:r>
        <w:t>align</w:t>
      </w:r>
      <w:r w:rsidRPr="006F0B7F">
        <w:t xml:space="preserve"> with existing health guidelines under the </w:t>
      </w:r>
      <w:r>
        <w:t>Australian Drinking Water Guidelines</w:t>
      </w:r>
      <w:r w:rsidRPr="006F0B7F">
        <w:t xml:space="preserve">). Service reliability could encompass judgments </w:t>
      </w:r>
      <w:r>
        <w:t xml:space="preserve">at the local scale </w:t>
      </w:r>
      <w:r w:rsidRPr="006F0B7F">
        <w:t>over the quantity of water available, the frequency of water restrictions, and/or clear arrangements to maintain services during extreme events.</w:t>
      </w:r>
      <w:r>
        <w:t xml:space="preserve"> </w:t>
      </w:r>
    </w:p>
    <w:p w14:paraId="4789BF11" w14:textId="77777777" w:rsidR="001054C3" w:rsidRPr="006F0B7F" w:rsidRDefault="001054C3" w:rsidP="00234FBE">
      <w:pPr>
        <w:pStyle w:val="BodyText"/>
      </w:pPr>
      <w:r w:rsidRPr="006F0B7F">
        <w:t xml:space="preserve">A commitment to a basic level of service does not necessarily imply government funding of that service — </w:t>
      </w:r>
      <w:r>
        <w:t>most</w:t>
      </w:r>
      <w:r w:rsidRPr="006F0B7F">
        <w:t xml:space="preserve"> services should</w:t>
      </w:r>
      <w:r>
        <w:t xml:space="preserve"> still</w:t>
      </w:r>
      <w:r w:rsidRPr="006F0B7F">
        <w:t xml:space="preserve"> be fully funded through user charges. And communities could, of course, agree to a higher standard of service, but this </w:t>
      </w:r>
      <w:r>
        <w:t xml:space="preserve">would instead </w:t>
      </w:r>
      <w:r w:rsidRPr="006F0B7F">
        <w:t xml:space="preserve">be funded through </w:t>
      </w:r>
      <w:r>
        <w:t xml:space="preserve">higher </w:t>
      </w:r>
      <w:r w:rsidRPr="006F0B7F">
        <w:t>user charges.</w:t>
      </w:r>
    </w:p>
    <w:p w14:paraId="0A73C4AC" w14:textId="77777777" w:rsidR="001054C3" w:rsidRPr="006F0B7F" w:rsidRDefault="001054C3" w:rsidP="00234FBE">
      <w:pPr>
        <w:pStyle w:val="Heading4"/>
      </w:pPr>
      <w:r w:rsidRPr="00EB1D3C">
        <w:t>State government funding of high-cost urban water systems</w:t>
      </w:r>
    </w:p>
    <w:p w14:paraId="164CB7A1" w14:textId="77777777" w:rsidR="001054C3" w:rsidRDefault="001054C3" w:rsidP="00234FBE">
      <w:pPr>
        <w:pStyle w:val="BodyText"/>
      </w:pPr>
      <w:r w:rsidRPr="006F0B7F">
        <w:t>In some regional and remote areas, the high cost of providing a basic level of service may make it uncommercial — that is</w:t>
      </w:r>
      <w:r w:rsidRPr="00EB1D3C">
        <w:t>, a commercial service provider would not provide the service</w:t>
      </w:r>
      <w:r>
        <w:t xml:space="preserve"> as consumers would be unwilling (or unable) to pay </w:t>
      </w:r>
      <w:r w:rsidRPr="00C6722A">
        <w:t>price</w:t>
      </w:r>
      <w:r>
        <w:t>s that would</w:t>
      </w:r>
      <w:r w:rsidRPr="00C6722A">
        <w:t xml:space="preserve"> meet the</w:t>
      </w:r>
      <w:r>
        <w:t xml:space="preserve"> full</w:t>
      </w:r>
      <w:r w:rsidRPr="00C6722A">
        <w:t xml:space="preserve"> cost of supply </w:t>
      </w:r>
      <w:r>
        <w:t>(</w:t>
      </w:r>
      <w:r w:rsidRPr="00C6722A">
        <w:t>inclusive of a competitive return on capital and</w:t>
      </w:r>
      <w:r>
        <w:t xml:space="preserve"> </w:t>
      </w:r>
      <w:r w:rsidRPr="00C6722A">
        <w:t>management</w:t>
      </w:r>
      <w:r>
        <w:t>)</w:t>
      </w:r>
      <w:r w:rsidRPr="00EB1D3C">
        <w:t xml:space="preserve">. </w:t>
      </w:r>
    </w:p>
    <w:p w14:paraId="182D575C" w14:textId="77777777" w:rsidR="001054C3" w:rsidRDefault="001054C3" w:rsidP="00234FBE">
      <w:pPr>
        <w:pStyle w:val="BodyText"/>
      </w:pPr>
      <w:r>
        <w:lastRenderedPageBreak/>
        <w:t xml:space="preserve">Even where a service is available, high prices can mean </w:t>
      </w:r>
      <w:r w:rsidRPr="00B23B60">
        <w:t>members of a community</w:t>
      </w:r>
      <w:r>
        <w:t xml:space="preserve"> </w:t>
      </w:r>
      <w:r w:rsidRPr="00B23B60">
        <w:t xml:space="preserve">may be unable to </w:t>
      </w:r>
      <w:r>
        <w:t>afford</w:t>
      </w:r>
      <w:r w:rsidRPr="00B23B60">
        <w:t xml:space="preserve"> their basic </w:t>
      </w:r>
      <w:r>
        <w:t xml:space="preserve">water needs — </w:t>
      </w:r>
      <w:r w:rsidRPr="00B23B60">
        <w:t xml:space="preserve">payment may represent </w:t>
      </w:r>
      <w:r>
        <w:t xml:space="preserve">an unacceptable </w:t>
      </w:r>
      <w:r w:rsidRPr="00B23B60">
        <w:t xml:space="preserve">cost burden, or </w:t>
      </w:r>
      <w:r>
        <w:t>some households</w:t>
      </w:r>
      <w:r w:rsidRPr="00B23B60">
        <w:t xml:space="preserve"> might underutilise what is an essential service, with health and welfare implications</w:t>
      </w:r>
      <w:r>
        <w:t>. Although some vulnerable groups can be targeted through rebates (as already occurs for pensioners), other community members may also face affordability issues. These circumstances can warrant a State or Territory government operational subsidy to reduce prices and prevent onerous cost imposts on customers.</w:t>
      </w:r>
    </w:p>
    <w:p w14:paraId="1E7D1CEC" w14:textId="77777777" w:rsidR="001054C3" w:rsidRDefault="001054C3" w:rsidP="00234FBE">
      <w:pPr>
        <w:pStyle w:val="BodyText"/>
      </w:pPr>
      <w:r>
        <w:t>Under the NWI,</w:t>
      </w:r>
      <w:r w:rsidRPr="00EB1D3C">
        <w:t xml:space="preserve"> </w:t>
      </w:r>
      <w:r>
        <w:t xml:space="preserve">any operational subsidies </w:t>
      </w:r>
      <w:r w:rsidRPr="00EB1D3C">
        <w:t>should be provided as transparent and untied CSO payment</w:t>
      </w:r>
      <w:r>
        <w:t>s</w:t>
      </w:r>
      <w:r w:rsidRPr="00EB1D3C">
        <w:t xml:space="preserve">. But beyond stating a preference for support in the form of CSO payments, the NWI </w:t>
      </w:r>
      <w:r>
        <w:t>does</w:t>
      </w:r>
      <w:r w:rsidRPr="00EB1D3C">
        <w:t xml:space="preserve"> not specify how payments to unviable urban water systems </w:t>
      </w:r>
      <w:r>
        <w:t>should</w:t>
      </w:r>
      <w:r w:rsidRPr="00EB1D3C">
        <w:t xml:space="preserve"> be calculated, nor did it define scheme viability, leaving both as decisions for State and Territory </w:t>
      </w:r>
      <w:r>
        <w:t>G</w:t>
      </w:r>
      <w:r w:rsidRPr="00EB1D3C">
        <w:t>overnments.</w:t>
      </w:r>
    </w:p>
    <w:p w14:paraId="40CB3B90" w14:textId="77777777" w:rsidR="001054C3" w:rsidRDefault="001054C3" w:rsidP="00234FBE">
      <w:pPr>
        <w:pStyle w:val="BodyText"/>
      </w:pPr>
      <w:r w:rsidRPr="00165D4D">
        <w:t xml:space="preserve">The lack of prescription has allowed State and Territory </w:t>
      </w:r>
      <w:r>
        <w:t>G</w:t>
      </w:r>
      <w:r w:rsidRPr="00165D4D">
        <w:t xml:space="preserve">overnments to approach funding decisions in ways that reflect the diversity in </w:t>
      </w:r>
      <w:r>
        <w:t xml:space="preserve">their </w:t>
      </w:r>
      <w:r w:rsidRPr="00165D4D">
        <w:t xml:space="preserve">service delivery models. But it has also meant that there are no agreed principles on how to fund regional and remote community services — which has arguably </w:t>
      </w:r>
      <w:r>
        <w:t>enabled</w:t>
      </w:r>
      <w:r w:rsidRPr="00165D4D">
        <w:t xml:space="preserve"> inefficient funding processes </w:t>
      </w:r>
      <w:r>
        <w:t xml:space="preserve">(such as capital grants) </w:t>
      </w:r>
      <w:r w:rsidRPr="00165D4D">
        <w:t>in jurisdictions with many smaller regional providers.</w:t>
      </w:r>
      <w:r>
        <w:t xml:space="preserve"> Capital grants introduce a number of distortions: they are often poorly targeted on the basis of need; can be at risk of political interference; and</w:t>
      </w:r>
      <w:r w:rsidRPr="008C0511">
        <w:t xml:space="preserve"> </w:t>
      </w:r>
      <w:r>
        <w:t xml:space="preserve">introduce ‘capital bias’ by linking funding to infrastructure projects, rather than other forms of operational expenditure. </w:t>
      </w:r>
    </w:p>
    <w:p w14:paraId="4FB8D522" w14:textId="77777777" w:rsidR="001054C3" w:rsidRDefault="001054C3" w:rsidP="00234FBE">
      <w:pPr>
        <w:pStyle w:val="BodyText"/>
      </w:pPr>
      <w:r>
        <w:t xml:space="preserve">There is therefore a case to include principles in a renewed NWI to guide CSO payments to unviable areas, with a focus on how governments can sustainably fund smaller providers while maintaining incentives for </w:t>
      </w:r>
      <w:r w:rsidRPr="00901EDF">
        <w:t>efficient service delivery</w:t>
      </w:r>
      <w:r>
        <w:t>.</w:t>
      </w:r>
    </w:p>
    <w:p w14:paraId="00D560AF" w14:textId="77777777" w:rsidR="001054C3" w:rsidRPr="006F0B7F" w:rsidRDefault="001054C3" w:rsidP="00234FBE">
      <w:pPr>
        <w:pStyle w:val="Heading5"/>
      </w:pPr>
      <w:r>
        <w:t>Recommended principles for CSO payments</w:t>
      </w:r>
    </w:p>
    <w:p w14:paraId="14EAB932" w14:textId="77777777" w:rsidR="001054C3" w:rsidRPr="006F0B7F" w:rsidRDefault="001054C3" w:rsidP="00234FBE">
      <w:pPr>
        <w:pStyle w:val="BodyText"/>
      </w:pPr>
      <w:r w:rsidRPr="006F0B7F">
        <w:t>CSO payments to local government</w:t>
      </w:r>
      <w:r w:rsidRPr="006F0B7F">
        <w:noBreakHyphen/>
        <w:t xml:space="preserve">owned utilities should </w:t>
      </w:r>
      <w:r>
        <w:t>conform to a number of principles.</w:t>
      </w:r>
    </w:p>
    <w:p w14:paraId="0BCF7FAC" w14:textId="77777777" w:rsidR="001054C3" w:rsidRDefault="001054C3" w:rsidP="00234FBE">
      <w:pPr>
        <w:pStyle w:val="BodyText"/>
      </w:pPr>
      <w:r>
        <w:t xml:space="preserve">First, they should be </w:t>
      </w:r>
      <w:r w:rsidRPr="00093287">
        <w:rPr>
          <w:i/>
        </w:rPr>
        <w:t xml:space="preserve">designed to </w:t>
      </w:r>
      <w:r>
        <w:rPr>
          <w:i/>
        </w:rPr>
        <w:t>ensure</w:t>
      </w:r>
      <w:r w:rsidRPr="00093287">
        <w:rPr>
          <w:i/>
        </w:rPr>
        <w:t xml:space="preserve"> access to a basic level of service</w:t>
      </w:r>
      <w:r>
        <w:rPr>
          <w:i/>
        </w:rPr>
        <w:t xml:space="preserve"> </w:t>
      </w:r>
      <w:r w:rsidRPr="00093287">
        <w:rPr>
          <w:i/>
        </w:rPr>
        <w:t xml:space="preserve">(as defined by the relevant State or Territory </w:t>
      </w:r>
      <w:r>
        <w:rPr>
          <w:i/>
        </w:rPr>
        <w:t>G</w:t>
      </w:r>
      <w:r w:rsidRPr="00093287">
        <w:rPr>
          <w:i/>
        </w:rPr>
        <w:t>overnment)</w:t>
      </w:r>
      <w:r>
        <w:rPr>
          <w:i/>
        </w:rPr>
        <w:t xml:space="preserve"> in </w:t>
      </w:r>
      <w:r w:rsidRPr="00093287">
        <w:rPr>
          <w:i/>
        </w:rPr>
        <w:t xml:space="preserve">those communities </w:t>
      </w:r>
      <w:r>
        <w:rPr>
          <w:i/>
        </w:rPr>
        <w:t>where such service provision would otherwise be unviable</w:t>
      </w:r>
      <w:r>
        <w:t xml:space="preserve">. In the absence of a market or economic regulation, establishing that a service is commercially unviable requires a judgment on the service standard that </w:t>
      </w:r>
      <w:r>
        <w:rPr>
          <w:i/>
        </w:rPr>
        <w:t xml:space="preserve">should </w:t>
      </w:r>
      <w:r>
        <w:t xml:space="preserve">be provided (which forms the basis of the government objective) and </w:t>
      </w:r>
      <w:r w:rsidRPr="00665CE9">
        <w:t xml:space="preserve">the willingness of the community to meet the associated </w:t>
      </w:r>
      <w:r>
        <w:t>cost, given both their ability to pay and level of access to alternative supplies. A basic level of service (as outlined above) should form the basis of the government’s CSO objective.</w:t>
      </w:r>
    </w:p>
    <w:p w14:paraId="3261938F" w14:textId="77777777" w:rsidR="001054C3" w:rsidRDefault="001054C3" w:rsidP="00234FBE">
      <w:pPr>
        <w:pStyle w:val="BodyText"/>
        <w:keepNext/>
      </w:pPr>
      <w:r>
        <w:lastRenderedPageBreak/>
        <w:t xml:space="preserve">Second, the level of CSO payments provided should be </w:t>
      </w:r>
      <w:r w:rsidRPr="003E170A">
        <w:rPr>
          <w:i/>
        </w:rPr>
        <w:t>adequate</w:t>
      </w:r>
      <w:r>
        <w:t xml:space="preserve"> </w:t>
      </w:r>
      <w:r>
        <w:rPr>
          <w:i/>
        </w:rPr>
        <w:t xml:space="preserve">to </w:t>
      </w:r>
      <w:r w:rsidRPr="003E170A">
        <w:rPr>
          <w:i/>
        </w:rPr>
        <w:t xml:space="preserve">ensure </w:t>
      </w:r>
      <w:r w:rsidRPr="0062171C">
        <w:rPr>
          <w:i/>
        </w:rPr>
        <w:t>a</w:t>
      </w:r>
      <w:r w:rsidRPr="0040153D">
        <w:rPr>
          <w:i/>
        </w:rPr>
        <w:t xml:space="preserve"> basic level of service</w:t>
      </w:r>
      <w:r>
        <w:rPr>
          <w:i/>
        </w:rPr>
        <w:t xml:space="preserve"> is considered affordable</w:t>
      </w:r>
      <w:r>
        <w:t>. That is, CSO funding should provide operational subsidies that allow the utility to achieve and maintain lower bound cost recovery, subject to:</w:t>
      </w:r>
    </w:p>
    <w:p w14:paraId="64669B44" w14:textId="77777777" w:rsidR="001054C3" w:rsidRDefault="001054C3" w:rsidP="00234FBE">
      <w:pPr>
        <w:pStyle w:val="ListBullet"/>
      </w:pPr>
      <w:r>
        <w:t>there being no other more cost effective means to supply a basic level of service (such as self</w:t>
      </w:r>
      <w:r>
        <w:noBreakHyphen/>
        <w:t>supply)</w:t>
      </w:r>
    </w:p>
    <w:p w14:paraId="4F5F7EBE" w14:textId="77777777" w:rsidR="001054C3" w:rsidRDefault="001054C3" w:rsidP="00234FBE">
      <w:pPr>
        <w:pStyle w:val="ListBullet"/>
      </w:pPr>
      <w:r>
        <w:t xml:space="preserve">the utility charging a price considered to be affordable. </w:t>
      </w:r>
    </w:p>
    <w:p w14:paraId="1D8E2AEC" w14:textId="77777777" w:rsidR="001054C3" w:rsidRDefault="001054C3" w:rsidP="00234FBE">
      <w:pPr>
        <w:pStyle w:val="BodyText"/>
      </w:pPr>
      <w:r w:rsidRPr="00B12253">
        <w:t xml:space="preserve">Ultimately, </w:t>
      </w:r>
      <w:r>
        <w:t xml:space="preserve">assessing affordability </w:t>
      </w:r>
      <w:r w:rsidRPr="00B12253">
        <w:t>is a decision for government, depending on its budget priorities</w:t>
      </w:r>
      <w:r>
        <w:t>. Any specific affordability concerns for vulnerable community members should continue to be addressed through separate policy tools, such as the concessional rebates provided by governments for groups such as pensioners.</w:t>
      </w:r>
    </w:p>
    <w:p w14:paraId="721168C9" w14:textId="085BFE13" w:rsidR="001054C3" w:rsidRDefault="001054C3" w:rsidP="00234FBE">
      <w:pPr>
        <w:pStyle w:val="BodyText"/>
      </w:pPr>
      <w:r>
        <w:t xml:space="preserve">Third, the process of determining the cost of a </w:t>
      </w:r>
      <w:r w:rsidRPr="00637B95">
        <w:t xml:space="preserve">basic level of service </w:t>
      </w:r>
      <w:r>
        <w:t xml:space="preserve">(and the associated CSO funding) should be </w:t>
      </w:r>
      <w:r w:rsidRPr="004C0E2A">
        <w:rPr>
          <w:i/>
        </w:rPr>
        <w:t>based on a credible estimate of efficient service costs, subject to a degree of independent oversight, following State or Territory government involvement in system planning</w:t>
      </w:r>
      <w:r>
        <w:t xml:space="preserve">. These are difficult estimations, and there are a number of ways to determine the cost of providing a CSO </w:t>
      </w:r>
      <w:r w:rsidRPr="00E327F5">
        <w:rPr>
          <w:szCs w:val="24"/>
        </w:rPr>
        <w:t>(IC 1997)</w:t>
      </w:r>
      <w:r>
        <w:t>. As such, a high</w:t>
      </w:r>
      <w:r>
        <w:noBreakHyphen/>
        <w:t xml:space="preserve">quality estimate is needed to ensure the estimate of commercial viability is credible, and that the subsidy is set at a prudent level and does not overly burden taxpayers. </w:t>
      </w:r>
    </w:p>
    <w:p w14:paraId="20EDEB0C" w14:textId="77777777" w:rsidR="001054C3" w:rsidRDefault="001054C3" w:rsidP="00234FBE">
      <w:pPr>
        <w:pStyle w:val="BodyText"/>
      </w:pPr>
      <w:r>
        <w:t>Fourth</w:t>
      </w:r>
      <w:r w:rsidRPr="00B23B60">
        <w:t xml:space="preserve">, CSO payments </w:t>
      </w:r>
      <w:r w:rsidRPr="000E6897">
        <w:rPr>
          <w:iCs/>
        </w:rPr>
        <w:t>should be</w:t>
      </w:r>
      <w:r w:rsidRPr="00B23B60">
        <w:rPr>
          <w:i/>
          <w:iCs/>
        </w:rPr>
        <w:t xml:space="preserve"> calculated in a predictable fashion</w:t>
      </w:r>
      <w:r w:rsidRPr="00B23B60">
        <w:t xml:space="preserve"> </w:t>
      </w:r>
      <w:r w:rsidRPr="003E170A">
        <w:rPr>
          <w:i/>
        </w:rPr>
        <w:t>to provide a reliable source of funding</w:t>
      </w:r>
      <w:r w:rsidRPr="00B23B60">
        <w:t>. This would help provide certainty for long</w:t>
      </w:r>
      <w:r>
        <w:noBreakHyphen/>
      </w:r>
      <w:r w:rsidRPr="00B23B60">
        <w:t>term water system planning by regional and remote providers</w:t>
      </w:r>
      <w:r>
        <w:t>.</w:t>
      </w:r>
    </w:p>
    <w:p w14:paraId="625EE0EE" w14:textId="77777777" w:rsidR="001054C3" w:rsidRDefault="001054C3" w:rsidP="00234FBE">
      <w:pPr>
        <w:pStyle w:val="BodyText"/>
      </w:pPr>
      <w:r>
        <w:t>Finally,</w:t>
      </w:r>
      <w:r w:rsidDel="00637B95">
        <w:t xml:space="preserve"> </w:t>
      </w:r>
      <w:r>
        <w:t xml:space="preserve">CSO payments should be </w:t>
      </w:r>
      <w:r w:rsidRPr="004C0E2A">
        <w:rPr>
          <w:i/>
        </w:rPr>
        <w:t xml:space="preserve">conditional on ongoing operational improvements, such as improvements to utility governance, </w:t>
      </w:r>
      <w:r w:rsidRPr="003E170A">
        <w:rPr>
          <w:i/>
        </w:rPr>
        <w:t xml:space="preserve">better service outcomes (based on performance </w:t>
      </w:r>
      <w:r>
        <w:rPr>
          <w:i/>
        </w:rPr>
        <w:t>monitoring</w:t>
      </w:r>
      <w:r w:rsidRPr="003E170A">
        <w:rPr>
          <w:i/>
        </w:rPr>
        <w:t>),</w:t>
      </w:r>
      <w:r>
        <w:t xml:space="preserve"> </w:t>
      </w:r>
      <w:r w:rsidRPr="004C0E2A">
        <w:rPr>
          <w:i/>
        </w:rPr>
        <w:t xml:space="preserve">compliance with guidelines for system and contingency planning, or </w:t>
      </w:r>
      <w:r>
        <w:rPr>
          <w:i/>
        </w:rPr>
        <w:t xml:space="preserve">for </w:t>
      </w:r>
      <w:r w:rsidRPr="004C0E2A">
        <w:rPr>
          <w:i/>
        </w:rPr>
        <w:t>pursuing collaboration</w:t>
      </w:r>
      <w:r w:rsidRPr="003E170A">
        <w:t>.</w:t>
      </w:r>
      <w:r>
        <w:t xml:space="preserve"> This would allow the State or Territory Government to leverage the subsidy to improve utility efficiency, and maintain incentives for local utilities to efficiently deliver services.</w:t>
      </w:r>
    </w:p>
    <w:p w14:paraId="6CE805CA" w14:textId="77777777" w:rsidR="001054C3" w:rsidRPr="006F0B7F" w:rsidRDefault="001054C3" w:rsidP="00234FBE">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6F0B7F" w14:paraId="20CF3BB5"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C3315D7" w14:textId="77777777" w:rsidR="001054C3" w:rsidRPr="006F0B7F" w:rsidRDefault="001054C3" w:rsidP="00234FBE">
            <w:pPr>
              <w:pStyle w:val="FindingTitle"/>
              <w:spacing w:before="120"/>
            </w:pPr>
            <w:r w:rsidRPr="006F0B7F">
              <w:t xml:space="preserve">NWI </w:t>
            </w:r>
            <w:r w:rsidRPr="00731A24">
              <w:t>r</w:t>
            </w:r>
            <w:r w:rsidRPr="006F0B7F">
              <w:t xml:space="preserve">enewal advice </w:t>
            </w:r>
            <w:r>
              <w:t>12.4:</w:t>
            </w:r>
            <w:r w:rsidRPr="006F0B7F">
              <w:t xml:space="preserve"> Ensuring access to a basic level of service</w:t>
            </w:r>
          </w:p>
          <w:p w14:paraId="6ED98B88" w14:textId="77777777" w:rsidR="001054C3" w:rsidRDefault="001054C3" w:rsidP="00234FBE">
            <w:pPr>
              <w:pStyle w:val="Finding"/>
            </w:pPr>
            <w:r>
              <w:t>A renewed National Water Initiative should include a commitment by State and Territory Governments to each develop a definition of, and to ensure access to, a basic level of water services for all Australians. At a minimum, this would include safe and reliable drinking water. The definition of ‘safe’ could be nationally consistent, while the definition of ‘reliable’ will vary according to local circumstances.</w:t>
            </w:r>
          </w:p>
          <w:p w14:paraId="2ACAC39D" w14:textId="77777777" w:rsidR="001054C3" w:rsidRPr="006F0B7F" w:rsidRDefault="001054C3" w:rsidP="00234FBE">
            <w:pPr>
              <w:pStyle w:val="Finding"/>
            </w:pPr>
            <w:r>
              <w:t>C</w:t>
            </w:r>
            <w:r w:rsidRPr="006F0B7F">
              <w:t>ost</w:t>
            </w:r>
            <w:r w:rsidRPr="006F0B7F">
              <w:noBreakHyphen/>
              <w:t xml:space="preserve">reflective user charges should remain the default arrangement, </w:t>
            </w:r>
            <w:r>
              <w:t xml:space="preserve">but </w:t>
            </w:r>
            <w:r w:rsidRPr="006F0B7F">
              <w:t xml:space="preserve">some regional and remote services in </w:t>
            </w:r>
            <w:r>
              <w:t>high</w:t>
            </w:r>
            <w:r>
              <w:noBreakHyphen/>
              <w:t>cost</w:t>
            </w:r>
            <w:r w:rsidRPr="006F0B7F">
              <w:t xml:space="preserve"> areas will require </w:t>
            </w:r>
            <w:r>
              <w:t xml:space="preserve">operational </w:t>
            </w:r>
            <w:r w:rsidRPr="006F0B7F">
              <w:t>subsidies to maintain a basic level of service</w:t>
            </w:r>
            <w:r>
              <w:t xml:space="preserve"> to all customers</w:t>
            </w:r>
            <w:r w:rsidRPr="006F0B7F">
              <w:t>. Any subsidies to those areas should be provided as transparent community service obligation payments. Payments to local government</w:t>
            </w:r>
            <w:r w:rsidRPr="006F0B7F">
              <w:noBreakHyphen/>
              <w:t>owned providers should be:</w:t>
            </w:r>
          </w:p>
          <w:p w14:paraId="3FBF2465" w14:textId="77777777" w:rsidR="001054C3" w:rsidRPr="00E4755C" w:rsidRDefault="001054C3" w:rsidP="00234FBE">
            <w:pPr>
              <w:pStyle w:val="FindingBullet"/>
            </w:pPr>
            <w:r w:rsidRPr="003E170A">
              <w:t xml:space="preserve">designed to ensure access to a basic level of service in those communities where </w:t>
            </w:r>
            <w:r>
              <w:t xml:space="preserve">such service provision </w:t>
            </w:r>
            <w:r w:rsidRPr="003E170A">
              <w:t>would otherwise be unviable</w:t>
            </w:r>
          </w:p>
          <w:p w14:paraId="22E3FFAC" w14:textId="77777777" w:rsidR="001054C3" w:rsidRPr="0062171C" w:rsidRDefault="001054C3" w:rsidP="00234FBE">
            <w:pPr>
              <w:pStyle w:val="FindingBullet"/>
            </w:pPr>
            <w:r w:rsidRPr="0062171C">
              <w:t>adequate to ensure a basic level of service is considered affordable</w:t>
            </w:r>
          </w:p>
          <w:p w14:paraId="1FD4402E" w14:textId="77777777" w:rsidR="001054C3" w:rsidRDefault="001054C3" w:rsidP="00234FBE">
            <w:pPr>
              <w:pStyle w:val="FindingBullet"/>
            </w:pPr>
            <w:r w:rsidRPr="006F0B7F">
              <w:t>based on credible data on efficient service costs, subject to a degree of independent oversight, following State or Territory government involvement in system planning</w:t>
            </w:r>
          </w:p>
          <w:p w14:paraId="2CAEDE42" w14:textId="77777777" w:rsidR="001054C3" w:rsidRPr="006F0B7F" w:rsidRDefault="001054C3" w:rsidP="00234FBE">
            <w:pPr>
              <w:pStyle w:val="FindingBullet"/>
            </w:pPr>
            <w:r w:rsidRPr="006F0B7F">
              <w:t>calculated in a predictable fashion to provide a reliable source of funding</w:t>
            </w:r>
          </w:p>
          <w:p w14:paraId="4B9150A2" w14:textId="77777777" w:rsidR="001054C3" w:rsidRPr="006F0B7F" w:rsidRDefault="001054C3" w:rsidP="00234FBE">
            <w:pPr>
              <w:pStyle w:val="FindingBullet"/>
            </w:pPr>
            <w:r w:rsidRPr="006F0B7F">
              <w:t xml:space="preserve">conditional on ongoing operational improvements, such as improvements to utility governance, </w:t>
            </w:r>
            <w:r>
              <w:t xml:space="preserve">better service outcomes (based on performance monitoring), </w:t>
            </w:r>
            <w:r w:rsidRPr="006F0B7F">
              <w:t>compliance with guidelines for system and contingency planning, or for pursuing collaboration.</w:t>
            </w:r>
          </w:p>
        </w:tc>
      </w:tr>
      <w:tr w:rsidR="001054C3" w:rsidRPr="006F0B7F" w14:paraId="2AF242C7"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93254F6" w14:textId="77777777" w:rsidR="001054C3" w:rsidRPr="006F0B7F" w:rsidRDefault="001054C3" w:rsidP="00234FBE">
            <w:pPr>
              <w:keepNext/>
              <w:keepLines/>
              <w:spacing w:line="120" w:lineRule="exact"/>
              <w:jc w:val="both"/>
              <w:rPr>
                <w:rFonts w:ascii="Arial" w:hAnsi="Arial"/>
                <w:sz w:val="20"/>
                <w:szCs w:val="20"/>
              </w:rPr>
            </w:pPr>
          </w:p>
        </w:tc>
      </w:tr>
      <w:tr w:rsidR="001054C3" w:rsidRPr="006F0B7F" w14:paraId="1B0DF172" w14:textId="77777777" w:rsidTr="00234FBE">
        <w:tc>
          <w:tcPr>
            <w:tcW w:w="5000" w:type="pct"/>
            <w:tcBorders>
              <w:top w:val="single" w:sz="6" w:space="0" w:color="0070C0"/>
              <w:left w:val="nil"/>
              <w:bottom w:val="nil"/>
              <w:right w:val="nil"/>
            </w:tcBorders>
            <w:tcMar>
              <w:left w:w="170" w:type="dxa"/>
              <w:right w:w="170" w:type="dxa"/>
            </w:tcMar>
          </w:tcPr>
          <w:p w14:paraId="2AF884DE" w14:textId="77777777" w:rsidR="001054C3" w:rsidRPr="006F0B7F" w:rsidRDefault="001054C3" w:rsidP="00234FBE">
            <w:pPr>
              <w:keepLines/>
              <w:spacing w:before="60" w:after="60" w:line="80" w:lineRule="exact"/>
              <w:jc w:val="both"/>
              <w:rPr>
                <w:rFonts w:ascii="Arial" w:hAnsi="Arial"/>
                <w:sz w:val="14"/>
                <w:szCs w:val="20"/>
              </w:rPr>
            </w:pPr>
          </w:p>
        </w:tc>
      </w:tr>
    </w:tbl>
    <w:p w14:paraId="00F4701E" w14:textId="77777777" w:rsidR="001054C3" w:rsidRPr="006F0B7F" w:rsidRDefault="001054C3" w:rsidP="00234FBE">
      <w:pPr>
        <w:pStyle w:val="Heading4"/>
      </w:pPr>
      <w:r w:rsidRPr="006F0B7F">
        <w:t>Governance of regional and remote water services</w:t>
      </w:r>
    </w:p>
    <w:p w14:paraId="3C7DF03D" w14:textId="77777777" w:rsidR="001054C3" w:rsidRPr="006F0B7F" w:rsidRDefault="001054C3" w:rsidP="00234FBE">
      <w:pPr>
        <w:pStyle w:val="BodyText"/>
      </w:pPr>
      <w:r w:rsidRPr="006F0B7F">
        <w:t xml:space="preserve">As under the current NWI, institutional separation </w:t>
      </w:r>
      <w:r>
        <w:t>represents best practice</w:t>
      </w:r>
      <w:r w:rsidRPr="006F0B7F">
        <w:t xml:space="preserve"> </w:t>
      </w:r>
      <w:r>
        <w:t>in</w:t>
      </w:r>
      <w:r w:rsidRPr="006F0B7F">
        <w:t xml:space="preserve"> ensuring efficient water service delivery. Service providers should continue to adopt a commercial focus to supplying services in line with the needs of their customers, while complying with the standards set by governments.</w:t>
      </w:r>
    </w:p>
    <w:p w14:paraId="4676169F" w14:textId="77777777" w:rsidR="001054C3" w:rsidRPr="00431D61" w:rsidRDefault="001054C3" w:rsidP="00234FBE">
      <w:pPr>
        <w:pStyle w:val="BodyText"/>
        <w:rPr>
          <w:spacing w:val="-2"/>
        </w:rPr>
      </w:pPr>
      <w:r w:rsidRPr="00431D61">
        <w:rPr>
          <w:spacing w:val="-2"/>
        </w:rPr>
        <w:t>However, governance arrangements for local government</w:t>
      </w:r>
      <w:r w:rsidRPr="00431D61">
        <w:rPr>
          <w:spacing w:val="-2"/>
        </w:rPr>
        <w:noBreakHyphen/>
        <w:t>owned water services are more complex; clarity could be provided in the NWI to better define roles and improve transparency. Ideally, water service providers should be fully distinct entities, however institutional separation is not always warranted. At a minimum, there should be financial separation, with utility finances ringfenced from local government finances, and any cross subsidies transparent. The roles of State and Territory Governments, including setting and enforcing health, safety and environmental standards, building capacity and (in limited cases) operating as a provider of last resort to ensure a basic level of service, should also be clarified.</w:t>
      </w:r>
    </w:p>
    <w:p w14:paraId="3B4EBB7C" w14:textId="77777777" w:rsidR="001054C3" w:rsidRPr="006F0B7F" w:rsidRDefault="001054C3" w:rsidP="00234FBE">
      <w:pPr>
        <w:pStyle w:val="BodyText"/>
      </w:pPr>
      <w:r w:rsidRPr="006F0B7F">
        <w:t>Further, governance of water service provision in remote Aboriginal and Torres Strait Islander communities can be fragmented and opaque, particularly where the roles of different service providers are not clear. Clarifying these arrangements would contribute to improved outcomes</w:t>
      </w:r>
      <w:r>
        <w:t xml:space="preserve"> in those communities</w:t>
      </w:r>
      <w:r w:rsidRPr="006F0B7F">
        <w:t>.</w:t>
      </w:r>
    </w:p>
    <w:p w14:paraId="567B6933" w14:textId="77777777" w:rsidR="001054C3" w:rsidRPr="006F0B7F" w:rsidRDefault="001054C3" w:rsidP="00234FBE">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6F0B7F" w14:paraId="600BB7A6"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77FAB9B" w14:textId="77777777" w:rsidR="001054C3" w:rsidRPr="006F0B7F" w:rsidRDefault="001054C3" w:rsidP="00234FBE">
            <w:pPr>
              <w:pStyle w:val="FindingTitle"/>
              <w:spacing w:before="120"/>
              <w:rPr>
                <w:noProof/>
              </w:rPr>
            </w:pPr>
            <w:r w:rsidRPr="006F0B7F">
              <w:t xml:space="preserve">NWI Renewal advice </w:t>
            </w:r>
            <w:r>
              <w:t>12.5:</w:t>
            </w:r>
            <w:r w:rsidRPr="006F0B7F">
              <w:t xml:space="preserve"> Governance of regional and remote services</w:t>
            </w:r>
          </w:p>
          <w:p w14:paraId="57E75098" w14:textId="77777777" w:rsidR="001054C3" w:rsidRPr="006F0B7F" w:rsidRDefault="001054C3" w:rsidP="00234FBE">
            <w:pPr>
              <w:pStyle w:val="Finding"/>
            </w:pPr>
            <w:r w:rsidRPr="006F0B7F">
              <w:t>A renewed</w:t>
            </w:r>
            <w:r>
              <w:t xml:space="preserve"> National Water Initiative</w:t>
            </w:r>
            <w:r w:rsidRPr="006F0B7F">
              <w:t xml:space="preserve"> should contain agreed principles for governance of regional and remote water services where local governments retain ownership of utilities. </w:t>
            </w:r>
            <w:r>
              <w:t>Financial</w:t>
            </w:r>
            <w:r w:rsidRPr="006F0B7F">
              <w:t xml:space="preserve"> separation should be maintained, with utility finances ring</w:t>
            </w:r>
            <w:r w:rsidRPr="006F0B7F">
              <w:noBreakHyphen/>
              <w:t xml:space="preserve">fenced from local government finances. Clear roles for State and </w:t>
            </w:r>
            <w:r>
              <w:t>L</w:t>
            </w:r>
            <w:r w:rsidRPr="006F0B7F">
              <w:t xml:space="preserve">ocal </w:t>
            </w:r>
            <w:r>
              <w:t>G</w:t>
            </w:r>
            <w:r w:rsidRPr="006F0B7F">
              <w:t>overnments during extreme events should be defined.</w:t>
            </w:r>
          </w:p>
        </w:tc>
      </w:tr>
      <w:tr w:rsidR="001054C3" w:rsidRPr="006F0B7F" w14:paraId="2E200B08"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C9152BE" w14:textId="77777777" w:rsidR="001054C3" w:rsidRPr="006F0B7F" w:rsidRDefault="001054C3" w:rsidP="00234FBE">
            <w:pPr>
              <w:keepNext/>
              <w:keepLines/>
              <w:spacing w:line="120" w:lineRule="exact"/>
              <w:jc w:val="both"/>
              <w:rPr>
                <w:rFonts w:ascii="Arial" w:hAnsi="Arial"/>
                <w:sz w:val="20"/>
                <w:szCs w:val="20"/>
              </w:rPr>
            </w:pPr>
          </w:p>
        </w:tc>
      </w:tr>
      <w:tr w:rsidR="001054C3" w:rsidRPr="006F0B7F" w14:paraId="16C6ED6B" w14:textId="77777777" w:rsidTr="00234FBE">
        <w:tc>
          <w:tcPr>
            <w:tcW w:w="5000" w:type="pct"/>
            <w:tcBorders>
              <w:top w:val="single" w:sz="6" w:space="0" w:color="0070C0"/>
              <w:left w:val="nil"/>
              <w:bottom w:val="nil"/>
              <w:right w:val="nil"/>
            </w:tcBorders>
            <w:tcMar>
              <w:left w:w="170" w:type="dxa"/>
              <w:right w:w="170" w:type="dxa"/>
            </w:tcMar>
          </w:tcPr>
          <w:p w14:paraId="1E53FABD" w14:textId="77777777" w:rsidR="001054C3" w:rsidRPr="006F0B7F" w:rsidRDefault="001054C3" w:rsidP="00234FBE">
            <w:pPr>
              <w:keepLines/>
              <w:spacing w:before="60" w:after="60" w:line="80" w:lineRule="exact"/>
              <w:jc w:val="both"/>
              <w:rPr>
                <w:rFonts w:ascii="Arial" w:hAnsi="Arial"/>
                <w:sz w:val="14"/>
                <w:szCs w:val="20"/>
              </w:rPr>
            </w:pPr>
          </w:p>
        </w:tc>
      </w:tr>
    </w:tbl>
    <w:p w14:paraId="688EE3A8" w14:textId="77777777" w:rsidR="001054C3" w:rsidRPr="006F0B7F" w:rsidRDefault="001054C3" w:rsidP="00234FBE">
      <w:pPr>
        <w:pStyle w:val="Heading3"/>
      </w:pPr>
      <w:r>
        <w:t>Water quality issues</w:t>
      </w:r>
      <w:r w:rsidRPr="006F0B7F">
        <w:t xml:space="preserve"> in remote Aboriginal and Torres Strait Islander communities require attention</w:t>
      </w:r>
    </w:p>
    <w:p w14:paraId="4CC0904D" w14:textId="77777777" w:rsidR="001054C3" w:rsidRDefault="001054C3" w:rsidP="00234FBE">
      <w:pPr>
        <w:pStyle w:val="BodyText"/>
      </w:pPr>
      <w:r>
        <w:t>Remote Aboriginal and Torres Strait Islander communities may be serviced by state</w:t>
      </w:r>
      <w:r>
        <w:noBreakHyphen/>
        <w:t>wide providers, regional water utilities or be self</w:t>
      </w:r>
      <w:r>
        <w:noBreakHyphen/>
        <w:t>supplied. Although data are patchy, evidence from state</w:t>
      </w:r>
      <w:r>
        <w:noBreakHyphen/>
        <w:t xml:space="preserve">level data </w:t>
      </w:r>
      <w:r w:rsidRPr="009F0539">
        <w:t>and case stud</w:t>
      </w:r>
      <w:r>
        <w:t>ies suggest that</w:t>
      </w:r>
      <w:r w:rsidRPr="009F0539">
        <w:t xml:space="preserve"> </w:t>
      </w:r>
      <w:r>
        <w:t xml:space="preserve">water quality </w:t>
      </w:r>
      <w:r w:rsidRPr="009F0539">
        <w:t xml:space="preserve">problems </w:t>
      </w:r>
      <w:r>
        <w:t xml:space="preserve">persist in many of these communities, with </w:t>
      </w:r>
      <w:r w:rsidRPr="009F0539">
        <w:t>chemical and biological contamination</w:t>
      </w:r>
      <w:r>
        <w:t>,</w:t>
      </w:r>
      <w:r w:rsidRPr="009F0539">
        <w:t xml:space="preserve"> palatability issues</w:t>
      </w:r>
      <w:r>
        <w:t xml:space="preserve"> and water security concerns.</w:t>
      </w:r>
    </w:p>
    <w:p w14:paraId="126CC5DF" w14:textId="77777777" w:rsidR="001054C3" w:rsidRDefault="001054C3" w:rsidP="00234FBE">
      <w:pPr>
        <w:pStyle w:val="BodyText"/>
      </w:pPr>
      <w:r>
        <w:t>A lack of safe and reliable water and sanitation can increase the risk of preventable, hygiene</w:t>
      </w:r>
      <w:r>
        <w:noBreakHyphen/>
        <w:t xml:space="preserve">related infections </w:t>
      </w:r>
      <w:r w:rsidRPr="00FB7071">
        <w:t>in these communities. A lack of access to safe water and adequate sanitation can also worsen existing health issues. Furthermore, clean water</w:t>
      </w:r>
      <w:r w:rsidRPr="001C08A3">
        <w:t xml:space="preserve"> is needed for the treatment of </w:t>
      </w:r>
      <w:r>
        <w:t xml:space="preserve">some </w:t>
      </w:r>
      <w:r w:rsidRPr="001C08A3">
        <w:t>health conditions, such as dialysis to treat kidney disease.</w:t>
      </w:r>
      <w:r>
        <w:t xml:space="preserve"> In addition to addressing health concerns, provision of higher quality water services can lead to </w:t>
      </w:r>
      <w:r w:rsidRPr="00F21855">
        <w:t xml:space="preserve">economic benefits, both </w:t>
      </w:r>
      <w:r>
        <w:t>from</w:t>
      </w:r>
      <w:r w:rsidRPr="00F21855">
        <w:t xml:space="preserve"> reduc</w:t>
      </w:r>
      <w:r>
        <w:t>tions in</w:t>
      </w:r>
      <w:r w:rsidRPr="00F21855">
        <w:t xml:space="preserve"> the </w:t>
      </w:r>
      <w:r>
        <w:t>burden of disease on individuals and communities, and in reductions of the burden on health systems.</w:t>
      </w:r>
    </w:p>
    <w:p w14:paraId="71EFC510" w14:textId="77777777" w:rsidR="001054C3" w:rsidRDefault="001054C3" w:rsidP="00234FBE">
      <w:pPr>
        <w:pStyle w:val="BodyText"/>
      </w:pPr>
      <w:r>
        <w:t xml:space="preserve">Governments have made a number of commitments to provide healthy water in remote communities. The </w:t>
      </w:r>
      <w:r w:rsidRPr="002F30C4">
        <w:t>NWI</w:t>
      </w:r>
      <w:r>
        <w:t xml:space="preserve"> calls for the provision of ‘</w:t>
      </w:r>
      <w:r w:rsidRPr="002F30C4">
        <w:t>healthy, safe and reliable water</w:t>
      </w:r>
      <w:r>
        <w:t xml:space="preserve"> supplies’. The United Nations Sustainable Development Goal 6 focuses on improving outcomes in water and sanitation. The National Agreement on Closing the Gap will include a target on community infrastructure, and the Australian Drinking Water Guidelines provide for safe drinking water supplies.</w:t>
      </w:r>
    </w:p>
    <w:p w14:paraId="1667FAD7" w14:textId="77777777" w:rsidR="001054C3" w:rsidRDefault="001054C3" w:rsidP="00234FBE">
      <w:pPr>
        <w:pStyle w:val="BodyText"/>
      </w:pPr>
      <w:r>
        <w:t>However, consultations have highlighted a number of</w:t>
      </w:r>
      <w:r w:rsidRPr="00D20F41">
        <w:t xml:space="preserve"> </w:t>
      </w:r>
      <w:r>
        <w:t xml:space="preserve">specific </w:t>
      </w:r>
      <w:r w:rsidRPr="00D20F41">
        <w:t xml:space="preserve">barriers to the provision of safe water </w:t>
      </w:r>
      <w:r>
        <w:t>in remote Aboriginal and Torres Strait Islander communities. W</w:t>
      </w:r>
      <w:r w:rsidRPr="0082339A">
        <w:t>ater sources can be of especially poor quality</w:t>
      </w:r>
      <w:r>
        <w:t xml:space="preserve"> in remote areas and often require additional treatment to ensure drinking water is safe for human consumption. Government arrangements for delivery of safe water supplies and associated infrastructure for remote communities can be complicated and fragmented. In some jurisdictions, multiple agencies need to come together and coordinate activities to provide required services. This sort of complexity can result in confusion, reduce transparency and lessen public accountability. </w:t>
      </w:r>
    </w:p>
    <w:p w14:paraId="2E0EBFAE" w14:textId="77777777" w:rsidR="001054C3" w:rsidRPr="00E96224" w:rsidRDefault="001054C3" w:rsidP="00234FBE">
      <w:pPr>
        <w:pStyle w:val="BodyText"/>
      </w:pPr>
      <w:r>
        <w:t xml:space="preserve">Although many water service delivery issues in remote Aboriginal and Torres Strait Islander communities are similar to those experienced elsewhere, </w:t>
      </w:r>
      <w:r w:rsidRPr="002E01D6">
        <w:t xml:space="preserve">the consequences of poor water </w:t>
      </w:r>
      <w:r w:rsidRPr="002E01D6">
        <w:lastRenderedPageBreak/>
        <w:t>service provision can be more serious in these communities</w:t>
      </w:r>
      <w:r>
        <w:t>. More tailored policy attention is needed to ensure access to safe and reliable water supplies.</w:t>
      </w:r>
    </w:p>
    <w:p w14:paraId="06DC4B2F" w14:textId="77777777" w:rsidR="001054C3" w:rsidRPr="00D50031" w:rsidRDefault="001054C3" w:rsidP="00234FBE">
      <w:pPr>
        <w:pStyle w:val="BodyText"/>
      </w:pPr>
      <w:r>
        <w:t>Coupled with a commitment to a basic level of service, a</w:t>
      </w:r>
      <w:r w:rsidRPr="00254BA0">
        <w:t xml:space="preserve"> renewed NWI could help </w:t>
      </w:r>
      <w:r>
        <w:t>ensure</w:t>
      </w:r>
      <w:r w:rsidRPr="00254BA0">
        <w:t xml:space="preserve"> safe </w:t>
      </w:r>
      <w:r>
        <w:t xml:space="preserve">and reliable </w:t>
      </w:r>
      <w:r w:rsidRPr="00254BA0">
        <w:t xml:space="preserve">water </w:t>
      </w:r>
      <w:r>
        <w:t xml:space="preserve">in remote communities </w:t>
      </w:r>
      <w:r w:rsidRPr="00254BA0">
        <w:t xml:space="preserve">by </w:t>
      </w:r>
      <w:r>
        <w:t xml:space="preserve">ensuring the </w:t>
      </w:r>
      <w:r w:rsidRPr="00D50031">
        <w:t>community</w:t>
      </w:r>
      <w:r>
        <w:t xml:space="preserve"> infrastructure target under the </w:t>
      </w:r>
      <w:r w:rsidRPr="00D50031">
        <w:t xml:space="preserve">National Agreement on Closing the Gap </w:t>
      </w:r>
      <w:r>
        <w:t xml:space="preserve">is reflected in the renewed agreement. Performance monitoring and reporting activities under the NWI could also be aligned with data collection and reporting undertaken as part of </w:t>
      </w:r>
      <w:r w:rsidRPr="00D50031">
        <w:t>the National Agreement on Closing the Gap.</w:t>
      </w:r>
    </w:p>
    <w:p w14:paraId="4C3CFCCD" w14:textId="77777777" w:rsidR="001054C3" w:rsidRPr="006F0B7F" w:rsidRDefault="001054C3" w:rsidP="00234FBE">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F94210" w14:paraId="6FB03553"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ABB1D30" w14:textId="77777777" w:rsidR="001054C3" w:rsidRPr="006F0B7F" w:rsidRDefault="001054C3" w:rsidP="00234FBE">
            <w:pPr>
              <w:pStyle w:val="FindingTitle"/>
              <w:spacing w:before="120"/>
              <w:rPr>
                <w:noProof/>
              </w:rPr>
            </w:pPr>
            <w:r w:rsidRPr="006F0B7F">
              <w:t xml:space="preserve">NWI Renewal advice </w:t>
            </w:r>
            <w:r>
              <w:t>12.6:</w:t>
            </w:r>
            <w:r w:rsidRPr="006F0B7F">
              <w:t xml:space="preserve"> Monitoring and reporting on regional and remote service quality</w:t>
            </w:r>
          </w:p>
          <w:p w14:paraId="575B96AC" w14:textId="77777777" w:rsidR="001054C3" w:rsidRPr="00F94210" w:rsidRDefault="001054C3" w:rsidP="00234FBE">
            <w:pPr>
              <w:pStyle w:val="Finding"/>
            </w:pPr>
            <w:r w:rsidRPr="006F0B7F">
              <w:t>Monitoring and reporting of water quality and service outcomes in remote Aboriginal and Torres Strait Islander communities should be coordinated with the development of data collection required to measure progress against the community infrastructure target</w:t>
            </w:r>
            <w:r>
              <w:t xml:space="preserve"> under the National Agreement on Closing the Gap</w:t>
            </w:r>
            <w:r w:rsidRPr="006F0B7F">
              <w:t>.</w:t>
            </w:r>
          </w:p>
        </w:tc>
      </w:tr>
      <w:tr w:rsidR="001054C3" w:rsidRPr="00F94210" w14:paraId="0ADD9F8E"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5FAA01F" w14:textId="77777777" w:rsidR="001054C3" w:rsidRPr="00F94210" w:rsidRDefault="001054C3" w:rsidP="00234FBE">
            <w:pPr>
              <w:keepNext/>
              <w:keepLines/>
              <w:spacing w:line="120" w:lineRule="exact"/>
              <w:jc w:val="both"/>
              <w:rPr>
                <w:rFonts w:ascii="Arial" w:hAnsi="Arial"/>
                <w:sz w:val="20"/>
                <w:szCs w:val="20"/>
              </w:rPr>
            </w:pPr>
          </w:p>
        </w:tc>
      </w:tr>
      <w:tr w:rsidR="001054C3" w:rsidRPr="00F94210" w14:paraId="485925A2" w14:textId="77777777" w:rsidTr="00234FBE">
        <w:tc>
          <w:tcPr>
            <w:tcW w:w="5000" w:type="pct"/>
            <w:tcBorders>
              <w:top w:val="single" w:sz="6" w:space="0" w:color="0070C0"/>
              <w:left w:val="nil"/>
              <w:bottom w:val="nil"/>
              <w:right w:val="nil"/>
            </w:tcBorders>
            <w:tcMar>
              <w:left w:w="170" w:type="dxa"/>
              <w:right w:w="170" w:type="dxa"/>
            </w:tcMar>
          </w:tcPr>
          <w:p w14:paraId="733EB957" w14:textId="77777777" w:rsidR="001054C3" w:rsidRPr="00F94210" w:rsidRDefault="001054C3" w:rsidP="00234FBE">
            <w:pPr>
              <w:keepLines/>
              <w:spacing w:before="60" w:after="60" w:line="80" w:lineRule="exact"/>
              <w:jc w:val="both"/>
              <w:rPr>
                <w:rFonts w:ascii="Arial" w:hAnsi="Arial"/>
                <w:sz w:val="14"/>
                <w:szCs w:val="20"/>
              </w:rPr>
            </w:pPr>
          </w:p>
        </w:tc>
      </w:tr>
    </w:tbl>
    <w:p w14:paraId="1F058867" w14:textId="77777777" w:rsidR="001054C3" w:rsidRDefault="001054C3" w:rsidP="00120072">
      <w:pPr>
        <w:pStyle w:val="BodyText"/>
      </w:pPr>
    </w:p>
    <w:p w14:paraId="324E9503" w14:textId="77777777" w:rsidR="001054C3" w:rsidRDefault="001054C3" w:rsidP="001054C3">
      <w:pPr>
        <w:sectPr w:rsidR="001054C3" w:rsidSect="001054C3">
          <w:headerReference w:type="even" r:id="rId130"/>
          <w:headerReference w:type="default" r:id="rId131"/>
          <w:footerReference w:type="even" r:id="rId132"/>
          <w:footerReference w:type="default" r:id="rId133"/>
          <w:type w:val="oddPage"/>
          <w:pgSz w:w="11907" w:h="16840" w:code="9"/>
          <w:pgMar w:top="1985" w:right="1304" w:bottom="1247" w:left="1814" w:header="1701" w:footer="397" w:gutter="0"/>
          <w:pgNumType w:chapSep="period"/>
          <w:cols w:space="720"/>
          <w:docGrid w:linePitch="326"/>
        </w:sectPr>
      </w:pPr>
    </w:p>
    <w:p w14:paraId="0BB75368" w14:textId="77777777" w:rsidR="001054C3" w:rsidRDefault="001054C3" w:rsidP="00234FBE">
      <w:pPr>
        <w:pStyle w:val="Heading1"/>
      </w:pPr>
      <w:bookmarkStart w:id="170" w:name="_Toc72939540"/>
      <w:r>
        <w:lastRenderedPageBreak/>
        <w:t>13</w:t>
      </w:r>
      <w:r>
        <w:tab/>
        <w:t>Water reform in rural Australia</w:t>
      </w:r>
      <w:bookmarkEnd w:id="170"/>
    </w:p>
    <w:p w14:paraId="130782EB"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12476979" w14:textId="77777777" w:rsidTr="00234FBE">
        <w:trPr>
          <w:tblHeader/>
        </w:trPr>
        <w:tc>
          <w:tcPr>
            <w:tcW w:w="5000" w:type="pct"/>
            <w:tcBorders>
              <w:top w:val="single" w:sz="6" w:space="0" w:color="78A22F"/>
              <w:left w:val="nil"/>
              <w:bottom w:val="nil"/>
              <w:right w:val="nil"/>
            </w:tcBorders>
            <w:shd w:val="clear" w:color="auto" w:fill="F2F2F2"/>
          </w:tcPr>
          <w:p w14:paraId="22362573" w14:textId="77777777" w:rsidR="001054C3" w:rsidRDefault="001054C3" w:rsidP="00234FBE">
            <w:pPr>
              <w:pStyle w:val="BoxTitle"/>
            </w:pPr>
            <w:r>
              <w:t>Key points</w:t>
            </w:r>
          </w:p>
        </w:tc>
      </w:tr>
      <w:tr w:rsidR="001054C3" w14:paraId="27D55B08" w14:textId="77777777" w:rsidTr="00234FBE">
        <w:tc>
          <w:tcPr>
            <w:tcW w:w="5000" w:type="pct"/>
            <w:tcBorders>
              <w:top w:val="nil"/>
              <w:left w:val="nil"/>
              <w:bottom w:val="nil"/>
              <w:right w:val="nil"/>
            </w:tcBorders>
            <w:shd w:val="clear" w:color="auto" w:fill="F2F2F2"/>
          </w:tcPr>
          <w:p w14:paraId="58A5FF60" w14:textId="77777777" w:rsidR="001054C3" w:rsidRDefault="001054C3" w:rsidP="00234FBE">
            <w:pPr>
              <w:pStyle w:val="KeyPointsListBullet"/>
            </w:pPr>
            <w:r>
              <w:t>Over the past 25 years, r</w:t>
            </w:r>
            <w:r w:rsidRPr="00B61A29">
              <w:t xml:space="preserve">eforms promoting the efficient use of water have enabled significant </w:t>
            </w:r>
            <w:r>
              <w:t>gains for rural water users.</w:t>
            </w:r>
          </w:p>
          <w:p w14:paraId="7342FD75" w14:textId="77777777" w:rsidR="001054C3" w:rsidRDefault="001054C3" w:rsidP="00234FBE">
            <w:pPr>
              <w:pStyle w:val="KeyPointsListBullet"/>
            </w:pPr>
            <w:r w:rsidRPr="00692827">
              <w:t xml:space="preserve">A drying climate and more variable seasonal conditions will </w:t>
            </w:r>
            <w:r>
              <w:t xml:space="preserve">further </w:t>
            </w:r>
            <w:r w:rsidRPr="00692827">
              <w:t>challenge irrigators and communities</w:t>
            </w:r>
            <w:r>
              <w:t>. E</w:t>
            </w:r>
            <w:r w:rsidRPr="00AE5ABC">
              <w:t xml:space="preserve">ntitlement holders </w:t>
            </w:r>
            <w:r>
              <w:t xml:space="preserve">are well positioned </w:t>
            </w:r>
            <w:r w:rsidRPr="00AE5ABC">
              <w:t xml:space="preserve">to </w:t>
            </w:r>
            <w:r>
              <w:t>deal with</w:t>
            </w:r>
            <w:r w:rsidRPr="00AE5ABC">
              <w:t xml:space="preserve"> </w:t>
            </w:r>
            <w:r>
              <w:t xml:space="preserve">future </w:t>
            </w:r>
            <w:r w:rsidRPr="00AE5ABC">
              <w:t>challenges</w:t>
            </w:r>
            <w:r>
              <w:t xml:space="preserve"> and adapt to lower water availability. The ability to trade entitlements allows </w:t>
            </w:r>
            <w:r w:rsidRPr="00522B27">
              <w:t>business</w:t>
            </w:r>
            <w:r>
              <w:t>es</w:t>
            </w:r>
            <w:r w:rsidRPr="00522B27">
              <w:t xml:space="preserve"> </w:t>
            </w:r>
            <w:r>
              <w:t xml:space="preserve">to </w:t>
            </w:r>
            <w:r w:rsidRPr="00522B27">
              <w:t>adjust their water portfolios to better reflect their risk profile</w:t>
            </w:r>
            <w:r>
              <w:t>s and assists less viable businesses to adjust or exit.</w:t>
            </w:r>
          </w:p>
          <w:p w14:paraId="6C026DCF" w14:textId="77777777" w:rsidR="001054C3" w:rsidRPr="0037085C" w:rsidRDefault="001054C3" w:rsidP="00234FBE">
            <w:pPr>
              <w:pStyle w:val="KeyPointsListBullet"/>
            </w:pPr>
            <w:r w:rsidRPr="0037085C">
              <w:t>N</w:t>
            </w:r>
            <w:r>
              <w:t xml:space="preserve">ational </w:t>
            </w:r>
            <w:r w:rsidRPr="0037085C">
              <w:t>W</w:t>
            </w:r>
            <w:r>
              <w:t xml:space="preserve">ater </w:t>
            </w:r>
            <w:r w:rsidRPr="0037085C">
              <w:t>I</w:t>
            </w:r>
            <w:r>
              <w:t>nitiative (NWI)</w:t>
            </w:r>
            <w:r w:rsidRPr="0037085C">
              <w:t xml:space="preserve"> renewal is an opportunity to strengthen </w:t>
            </w:r>
            <w:r>
              <w:t>the foundations of water resource management and better support rural water users</w:t>
            </w:r>
            <w:r w:rsidRPr="0037085C">
              <w:t>.</w:t>
            </w:r>
            <w:r>
              <w:t xml:space="preserve"> For example:</w:t>
            </w:r>
          </w:p>
          <w:p w14:paraId="343B853A" w14:textId="77777777" w:rsidR="001054C3" w:rsidRDefault="001054C3" w:rsidP="00234FBE">
            <w:pPr>
              <w:pStyle w:val="KeyPointsListBullet2"/>
            </w:pPr>
            <w:r>
              <w:t>r</w:t>
            </w:r>
            <w:r w:rsidRPr="0037085C">
              <w:t>isk</w:t>
            </w:r>
            <w:r>
              <w:noBreakHyphen/>
            </w:r>
            <w:r w:rsidRPr="0037085C">
              <w:t xml:space="preserve">based frameworks for </w:t>
            </w:r>
            <w:r>
              <w:t xml:space="preserve">managing </w:t>
            </w:r>
            <w:r w:rsidRPr="0037085C">
              <w:t xml:space="preserve">water uses within entitlement regimes </w:t>
            </w:r>
            <w:r>
              <w:t>w</w:t>
            </w:r>
            <w:r w:rsidRPr="0037085C">
              <w:t xml:space="preserve">ould </w:t>
            </w:r>
            <w:r>
              <w:t xml:space="preserve">better </w:t>
            </w:r>
            <w:r w:rsidRPr="0037085C">
              <w:t>promote efficient management of shared resources</w:t>
            </w:r>
          </w:p>
          <w:p w14:paraId="6A72D29E" w14:textId="77777777" w:rsidR="001054C3" w:rsidRPr="0037085C" w:rsidRDefault="001054C3" w:rsidP="00234FBE">
            <w:pPr>
              <w:pStyle w:val="KeyPointsListBullet2"/>
            </w:pPr>
            <w:r w:rsidRPr="00DF5511">
              <w:t>best</w:t>
            </w:r>
            <w:r>
              <w:noBreakHyphen/>
            </w:r>
            <w:r w:rsidRPr="00DF5511">
              <w:t>practice principles for community partnership and engagement would help to ensure water planning processes and outcomes reflect the diverse needs of rural communities</w:t>
            </w:r>
          </w:p>
          <w:p w14:paraId="5206DB5A" w14:textId="77777777" w:rsidR="001054C3" w:rsidRPr="0037085C" w:rsidRDefault="001054C3" w:rsidP="00234FBE">
            <w:pPr>
              <w:pStyle w:val="KeyPointsListBullet2"/>
            </w:pPr>
            <w:r>
              <w:t>a</w:t>
            </w:r>
            <w:r w:rsidRPr="0037085C">
              <w:t xml:space="preserve"> new integrity element would build greater confidence in water resource management</w:t>
            </w:r>
          </w:p>
          <w:p w14:paraId="6C19F15F" w14:textId="77777777" w:rsidR="001054C3" w:rsidRDefault="001054C3">
            <w:pPr>
              <w:pStyle w:val="KeyPointsListBullet2"/>
            </w:pPr>
            <w:r>
              <w:t>s</w:t>
            </w:r>
            <w:r w:rsidRPr="0037085C">
              <w:t>tronger trading foundations and better market information would provide greater support for commercial decision</w:t>
            </w:r>
            <w:r>
              <w:t xml:space="preserve"> </w:t>
            </w:r>
            <w:r w:rsidRPr="0037085C">
              <w:t>making</w:t>
            </w:r>
          </w:p>
          <w:p w14:paraId="3A4DB602" w14:textId="77777777" w:rsidR="001054C3" w:rsidRPr="004C7CA6" w:rsidRDefault="001054C3" w:rsidP="00234FBE">
            <w:pPr>
              <w:pStyle w:val="KeyPointsListBullet2"/>
            </w:pPr>
            <w:r>
              <w:t>g</w:t>
            </w:r>
            <w:r w:rsidRPr="0037085C">
              <w:t>uiding principles that help ensure government</w:t>
            </w:r>
            <w:r w:rsidRPr="0037085C">
              <w:noBreakHyphen/>
              <w:t>funded infrastructure investment is economically viable would avoid future burdens on rural water users and communities.</w:t>
            </w:r>
          </w:p>
          <w:p w14:paraId="524C452A" w14:textId="77777777" w:rsidR="001054C3" w:rsidRDefault="001054C3" w:rsidP="00234FBE">
            <w:pPr>
              <w:pStyle w:val="KeyPointsListBullet"/>
            </w:pPr>
            <w:r>
              <w:rPr>
                <w:rFonts w:asciiTheme="minorHAnsi" w:hAnsiTheme="minorHAnsi" w:cstheme="minorHAnsi"/>
                <w:szCs w:val="22"/>
              </w:rPr>
              <w:t xml:space="preserve">Inclusion of guiding </w:t>
            </w:r>
            <w:r w:rsidRPr="001A720A">
              <w:rPr>
                <w:rFonts w:asciiTheme="minorHAnsi" w:hAnsiTheme="minorHAnsi" w:cstheme="minorHAnsi"/>
                <w:szCs w:val="22"/>
              </w:rPr>
              <w:t xml:space="preserve">principles </w:t>
            </w:r>
            <w:r>
              <w:rPr>
                <w:rFonts w:asciiTheme="minorHAnsi" w:hAnsiTheme="minorHAnsi" w:cstheme="minorHAnsi"/>
                <w:szCs w:val="22"/>
              </w:rPr>
              <w:t xml:space="preserve">in a renewed NWI would clarify how governments can best </w:t>
            </w:r>
            <w:r w:rsidRPr="001A720A">
              <w:rPr>
                <w:rFonts w:asciiTheme="minorHAnsi" w:hAnsiTheme="minorHAnsi" w:cstheme="minorHAnsi"/>
                <w:szCs w:val="22"/>
              </w:rPr>
              <w:t>respon</w:t>
            </w:r>
            <w:r>
              <w:rPr>
                <w:rFonts w:asciiTheme="minorHAnsi" w:hAnsiTheme="minorHAnsi" w:cstheme="minorHAnsi"/>
                <w:szCs w:val="22"/>
              </w:rPr>
              <w:t>d</w:t>
            </w:r>
            <w:r w:rsidRPr="001A720A">
              <w:rPr>
                <w:rFonts w:asciiTheme="minorHAnsi" w:hAnsiTheme="minorHAnsi" w:cstheme="minorHAnsi"/>
                <w:szCs w:val="22"/>
              </w:rPr>
              <w:t xml:space="preserve"> to </w:t>
            </w:r>
            <w:r>
              <w:rPr>
                <w:rFonts w:asciiTheme="minorHAnsi" w:hAnsiTheme="minorHAnsi" w:cstheme="minorHAnsi"/>
                <w:szCs w:val="22"/>
              </w:rPr>
              <w:t xml:space="preserve">any significant </w:t>
            </w:r>
            <w:r w:rsidRPr="001A720A">
              <w:rPr>
                <w:rFonts w:asciiTheme="minorHAnsi" w:hAnsiTheme="minorHAnsi" w:cstheme="minorHAnsi"/>
                <w:szCs w:val="22"/>
              </w:rPr>
              <w:t xml:space="preserve">adjustment pressures </w:t>
            </w:r>
            <w:r>
              <w:rPr>
                <w:rFonts w:asciiTheme="minorHAnsi" w:hAnsiTheme="minorHAnsi" w:cstheme="minorHAnsi"/>
                <w:szCs w:val="22"/>
              </w:rPr>
              <w:t>faced by rural communities as a result of</w:t>
            </w:r>
            <w:r w:rsidRPr="001A720A">
              <w:rPr>
                <w:rFonts w:asciiTheme="minorHAnsi" w:hAnsiTheme="minorHAnsi" w:cstheme="minorHAnsi"/>
                <w:szCs w:val="22"/>
              </w:rPr>
              <w:t xml:space="preserve"> refor</w:t>
            </w:r>
            <w:r>
              <w:rPr>
                <w:rFonts w:asciiTheme="minorHAnsi" w:hAnsiTheme="minorHAnsi" w:cstheme="minorHAnsi"/>
                <w:szCs w:val="22"/>
              </w:rPr>
              <w:t>m</w:t>
            </w:r>
            <w:r>
              <w:rPr>
                <w:rFonts w:asciiTheme="minorHAnsi" w:hAnsiTheme="minorHAnsi" w:cstheme="minorHAnsi"/>
                <w:szCs w:val="22"/>
              </w:rPr>
              <w:noBreakHyphen/>
              <w:t>induced reductions in</w:t>
            </w:r>
            <w:r w:rsidRPr="001A720A">
              <w:rPr>
                <w:rFonts w:asciiTheme="minorHAnsi" w:hAnsiTheme="minorHAnsi" w:cstheme="minorHAnsi"/>
                <w:szCs w:val="22"/>
              </w:rPr>
              <w:t xml:space="preserve"> water availability</w:t>
            </w:r>
            <w:r>
              <w:rPr>
                <w:rFonts w:asciiTheme="minorHAnsi" w:hAnsiTheme="minorHAnsi" w:cstheme="minorHAnsi"/>
                <w:szCs w:val="22"/>
              </w:rPr>
              <w:t>.</w:t>
            </w:r>
          </w:p>
          <w:p w14:paraId="53063F50" w14:textId="77777777" w:rsidR="001054C3" w:rsidRPr="00463B6B" w:rsidRDefault="001054C3" w:rsidP="00234FBE">
            <w:pPr>
              <w:pStyle w:val="KeyPointsListBullet2"/>
            </w:pPr>
            <w:r w:rsidRPr="00D02D1F">
              <w:t>Generally</w:t>
            </w:r>
            <w:r>
              <w:noBreakHyphen/>
            </w:r>
            <w:r w:rsidRPr="00D02D1F">
              <w:t xml:space="preserve">available measures </w:t>
            </w:r>
            <w:r>
              <w:t xml:space="preserve">targeting the </w:t>
            </w:r>
            <w:r w:rsidRPr="00D02D1F">
              <w:t>welfare</w:t>
            </w:r>
            <w:r>
              <w:t xml:space="preserve"> and </w:t>
            </w:r>
            <w:r w:rsidRPr="00D02D1F">
              <w:t>skill</w:t>
            </w:r>
            <w:r>
              <w:t xml:space="preserve">s of </w:t>
            </w:r>
            <w:r w:rsidRPr="00D02D1F">
              <w:t>individuals, and regional development planning t</w:t>
            </w:r>
            <w:r>
              <w:t>hat</w:t>
            </w:r>
            <w:r w:rsidRPr="00D02D1F">
              <w:t xml:space="preserve"> </w:t>
            </w:r>
            <w:r>
              <w:t>builds on</w:t>
            </w:r>
            <w:r w:rsidRPr="00D02D1F">
              <w:t xml:space="preserve"> </w:t>
            </w:r>
            <w:r>
              <w:t>community</w:t>
            </w:r>
            <w:r>
              <w:noBreakHyphen/>
              <w:t xml:space="preserve">level </w:t>
            </w:r>
            <w:r w:rsidRPr="00D02D1F">
              <w:t>capabilities and competitive advantages</w:t>
            </w:r>
            <w:r>
              <w:t>,</w:t>
            </w:r>
            <w:r w:rsidRPr="00D02D1F">
              <w:t xml:space="preserve"> are usually the most appropriate responses to adjustment pressures.</w:t>
            </w:r>
          </w:p>
          <w:p w14:paraId="31B7BED9" w14:textId="77777777" w:rsidR="001054C3" w:rsidRDefault="001054C3" w:rsidP="00234FBE">
            <w:pPr>
              <w:pStyle w:val="KeyPointsListBullet2"/>
            </w:pPr>
            <w:r>
              <w:t xml:space="preserve">Where specific assistance is warranted, governments should facilitate change by focusing any direct assistance on building adaptive capacity in affected communities and </w:t>
            </w:r>
            <w:r w:rsidRPr="00482145">
              <w:t>securing employment or business opportunities</w:t>
            </w:r>
            <w:r>
              <w:t xml:space="preserve"> for the most</w:t>
            </w:r>
            <w:r w:rsidRPr="00482145">
              <w:t xml:space="preserve"> vulnerable </w:t>
            </w:r>
            <w:r>
              <w:t>individuals (those at risk of permanent disadvantage)</w:t>
            </w:r>
            <w:r w:rsidRPr="00482145">
              <w:t>.</w:t>
            </w:r>
          </w:p>
          <w:p w14:paraId="71215C0D" w14:textId="77777777" w:rsidR="001054C3" w:rsidRDefault="001054C3" w:rsidP="00234FBE">
            <w:pPr>
              <w:pStyle w:val="KeyPointsListBullet2"/>
            </w:pPr>
            <w:r>
              <w:t xml:space="preserve">Assistance </w:t>
            </w:r>
            <w:r w:rsidRPr="0068113C">
              <w:t>should</w:t>
            </w:r>
            <w:r>
              <w:t xml:space="preserve"> reflect the needs of communities and be backed by a commitment to public monitoring and evaluation of outcomes.</w:t>
            </w:r>
          </w:p>
        </w:tc>
      </w:tr>
      <w:tr w:rsidR="001054C3" w14:paraId="30F96B83" w14:textId="77777777" w:rsidTr="00234FBE">
        <w:tc>
          <w:tcPr>
            <w:tcW w:w="5000" w:type="pct"/>
            <w:tcBorders>
              <w:top w:val="nil"/>
              <w:left w:val="nil"/>
              <w:bottom w:val="single" w:sz="6" w:space="0" w:color="78A22F"/>
              <w:right w:val="nil"/>
            </w:tcBorders>
            <w:shd w:val="clear" w:color="auto" w:fill="F2F2F2"/>
          </w:tcPr>
          <w:p w14:paraId="3F120292" w14:textId="77777777" w:rsidR="001054C3" w:rsidRDefault="001054C3" w:rsidP="00234FBE">
            <w:pPr>
              <w:pStyle w:val="Box"/>
              <w:spacing w:before="0" w:line="120" w:lineRule="exact"/>
            </w:pPr>
          </w:p>
        </w:tc>
      </w:tr>
      <w:tr w:rsidR="001054C3" w:rsidRPr="000863A5" w14:paraId="3578BA34" w14:textId="77777777" w:rsidTr="00234FBE">
        <w:tc>
          <w:tcPr>
            <w:tcW w:w="5000" w:type="pct"/>
            <w:tcBorders>
              <w:top w:val="single" w:sz="6" w:space="0" w:color="78A22F"/>
              <w:left w:val="nil"/>
              <w:bottom w:val="nil"/>
              <w:right w:val="nil"/>
            </w:tcBorders>
          </w:tcPr>
          <w:p w14:paraId="6B9E5D93" w14:textId="77777777" w:rsidR="001054C3" w:rsidRPr="00626D32" w:rsidRDefault="001054C3" w:rsidP="00234FBE">
            <w:pPr>
              <w:pStyle w:val="BoxSpaceBelow"/>
            </w:pPr>
          </w:p>
        </w:tc>
      </w:tr>
    </w:tbl>
    <w:p w14:paraId="738C22A5" w14:textId="77777777" w:rsidR="001054C3" w:rsidRPr="00956AF4" w:rsidRDefault="001054C3" w:rsidP="00120072">
      <w:pPr>
        <w:pStyle w:val="BodyText"/>
        <w:rPr>
          <w:i/>
          <w:iCs/>
        </w:rPr>
      </w:pPr>
      <w:r w:rsidRPr="00956AF4">
        <w:rPr>
          <w:i/>
          <w:iCs/>
        </w:rPr>
        <w:t xml:space="preserve">This chapter summarises Supporting Paper </w:t>
      </w:r>
      <w:r>
        <w:rPr>
          <w:i/>
          <w:iCs/>
        </w:rPr>
        <w:t>H</w:t>
      </w:r>
      <w:r w:rsidRPr="00956AF4">
        <w:rPr>
          <w:i/>
          <w:iCs/>
        </w:rPr>
        <w:t>: Water reform in rural Australia (SP</w:t>
      </w:r>
      <w:r>
        <w:rPr>
          <w:i/>
          <w:iCs/>
        </w:rPr>
        <w:t> H Rural)</w:t>
      </w:r>
      <w:r w:rsidRPr="00956AF4">
        <w:rPr>
          <w:i/>
          <w:iCs/>
        </w:rPr>
        <w:t>. Further detail and analysis can be found in that paper.</w:t>
      </w:r>
    </w:p>
    <w:p w14:paraId="621A1843" w14:textId="77777777" w:rsidR="001054C3" w:rsidRDefault="001054C3" w:rsidP="00120072">
      <w:pPr>
        <w:pStyle w:val="BodyText"/>
      </w:pPr>
      <w:r>
        <w:lastRenderedPageBreak/>
        <w:t>National water reform has transformed water resource management and water service provision in rural Australia, and delivered substantial benefits. However, recent d</w:t>
      </w:r>
      <w:r w:rsidRPr="00A3626C">
        <w:t>rought</w:t>
      </w:r>
      <w:r>
        <w:t>s</w:t>
      </w:r>
      <w:r w:rsidRPr="00A3626C">
        <w:t>, long</w:t>
      </w:r>
      <w:r>
        <w:noBreakHyphen/>
      </w:r>
      <w:r w:rsidRPr="00A3626C">
        <w:t xml:space="preserve">term declines in inflows </w:t>
      </w:r>
      <w:r>
        <w:t xml:space="preserve">across southern Australia </w:t>
      </w:r>
      <w:r w:rsidRPr="00A3626C">
        <w:t xml:space="preserve">and </w:t>
      </w:r>
      <w:r>
        <w:t xml:space="preserve">the risks posed by </w:t>
      </w:r>
      <w:r w:rsidRPr="00A3626C">
        <w:t>climate change</w:t>
      </w:r>
      <w:r>
        <w:t xml:space="preserve"> have</w:t>
      </w:r>
      <w:r w:rsidRPr="00A56CCC">
        <w:rPr>
          <w:color w:val="265A9A" w:themeColor="background2"/>
        </w:rPr>
        <w:t xml:space="preserve"> </w:t>
      </w:r>
      <w:r>
        <w:t>created significant challenges for irrigators and other rural water users and their water</w:t>
      </w:r>
      <w:r>
        <w:noBreakHyphen/>
        <w:t xml:space="preserve">dependent communities. Looking forward, irrigators will likely need to contend with </w:t>
      </w:r>
      <w:r w:rsidRPr="001B3C72">
        <w:t>more frequent and severe droughts</w:t>
      </w:r>
      <w:r>
        <w:t>,</w:t>
      </w:r>
      <w:r w:rsidRPr="001B3C72" w:rsidDel="001B3C72">
        <w:t xml:space="preserve"> </w:t>
      </w:r>
      <w:r>
        <w:t xml:space="preserve">and their businesses and communities will need to adapt to a world with </w:t>
      </w:r>
      <w:r w:rsidRPr="001B3C72">
        <w:t>less water</w:t>
      </w:r>
      <w:r>
        <w:t>. Current national water policy settings, strengthened as suggested in this report, will leave irrigators well placed to deal with these challenges.</w:t>
      </w:r>
    </w:p>
    <w:p w14:paraId="1E21BA27" w14:textId="61E13F7F" w:rsidR="001054C3" w:rsidRDefault="001054C3" w:rsidP="00234FBE">
      <w:pPr>
        <w:pStyle w:val="Heading2"/>
      </w:pPr>
      <w:bookmarkStart w:id="171" w:name="_Toc72939541"/>
      <w:r>
        <w:t>13.</w:t>
      </w:r>
      <w:r>
        <w:rPr>
          <w:noProof/>
        </w:rPr>
        <w:t>1</w:t>
      </w:r>
      <w:bookmarkStart w:id="172" w:name="_Toc63112499"/>
      <w:r>
        <w:tab/>
        <w:t>NWI-consistent reforms have delivered large benefits to rural users</w:t>
      </w:r>
      <w:bookmarkEnd w:id="171"/>
      <w:bookmarkEnd w:id="172"/>
    </w:p>
    <w:p w14:paraId="0EEF2EA8" w14:textId="70568A1C" w:rsidR="001054C3" w:rsidRDefault="001054C3" w:rsidP="00234FBE">
      <w:pPr>
        <w:pStyle w:val="BodyText"/>
      </w:pPr>
      <w:r>
        <w:t xml:space="preserve">Secure property rights, separate from land, </w:t>
      </w:r>
      <w:r w:rsidRPr="00A052ED">
        <w:t>provide the foundations for better management of water resources</w:t>
      </w:r>
      <w:r>
        <w:t>. Water trade and m</w:t>
      </w:r>
      <w:r w:rsidRPr="00DB7769">
        <w:t>ar</w:t>
      </w:r>
      <w:r>
        <w:t>kets, enabled by these rights, provide irrigators with flexibility in running their businesses and open up new opportunities. They</w:t>
      </w:r>
      <w:r w:rsidRPr="00B463B9">
        <w:t xml:space="preserve"> can make decisions about water</w:t>
      </w:r>
      <w:r>
        <w:noBreakHyphen/>
      </w:r>
      <w:r w:rsidRPr="00B463B9">
        <w:t>dependent aspects of their business with greater certainty, including decisions to change production or exit irrigated agriculture</w:t>
      </w:r>
      <w:r>
        <w:t>. And</w:t>
      </w:r>
      <w:r w:rsidRPr="00B463B9">
        <w:t xml:space="preserve"> irrigators </w:t>
      </w:r>
      <w:r>
        <w:t xml:space="preserve">can </w:t>
      </w:r>
      <w:r w:rsidRPr="00B463B9">
        <w:t xml:space="preserve">now own valuable assets that </w:t>
      </w:r>
      <w:r>
        <w:t xml:space="preserve">are able to </w:t>
      </w:r>
      <w:r w:rsidRPr="00B463B9">
        <w:t>be used as collateral for loans</w:t>
      </w:r>
      <w:r>
        <w:t xml:space="preserve">. The </w:t>
      </w:r>
      <w:r w:rsidRPr="00DB7769">
        <w:t xml:space="preserve">value of entitlements in the southern </w:t>
      </w:r>
      <w:r>
        <w:t>Murray–Darling Basin (MDB) is estimated at more than</w:t>
      </w:r>
      <w:r w:rsidRPr="00DB7769">
        <w:t xml:space="preserve"> $2</w:t>
      </w:r>
      <w:r>
        <w:t xml:space="preserve">6 billion </w:t>
      </w:r>
      <w:r w:rsidRPr="00D07AC7">
        <w:rPr>
          <w:szCs w:val="24"/>
        </w:rPr>
        <w:t>(Aither 2020, p. 5)</w:t>
      </w:r>
      <w:r w:rsidRPr="00B463B9">
        <w:t>.</w:t>
      </w:r>
    </w:p>
    <w:p w14:paraId="08DD9743" w14:textId="75A70012" w:rsidR="001054C3" w:rsidRDefault="001054C3" w:rsidP="00234FBE">
      <w:pPr>
        <w:pStyle w:val="BodyText"/>
      </w:pPr>
      <w:r w:rsidRPr="00AE601C">
        <w:t xml:space="preserve">Water reforms have </w:t>
      </w:r>
      <w:r>
        <w:t xml:space="preserve">also </w:t>
      </w:r>
      <w:r w:rsidRPr="00AE601C">
        <w:t xml:space="preserve">led to </w:t>
      </w:r>
      <w:r>
        <w:t xml:space="preserve">significant efficiency gains by changing </w:t>
      </w:r>
      <w:r w:rsidRPr="00AE601C">
        <w:t xml:space="preserve">where and how water is used in rural Australia. </w:t>
      </w:r>
      <w:r>
        <w:t>Across the agricultural sector, water resources are now able to move to higher</w:t>
      </w:r>
      <w:r>
        <w:noBreakHyphen/>
        <w:t>value uses, resulting in thriving new irrigated</w:t>
      </w:r>
      <w:r w:rsidRPr="00DB7769">
        <w:t xml:space="preserve"> industries</w:t>
      </w:r>
      <w:r>
        <w:t>. On</w:t>
      </w:r>
      <w:r>
        <w:noBreakHyphen/>
        <w:t>farm efficiency has been encouraged by price signals that highlight the true value (or opportunity cost)</w:t>
      </w:r>
      <w:r w:rsidRPr="005C1D8A">
        <w:t xml:space="preserve"> </w:t>
      </w:r>
      <w:r>
        <w:t xml:space="preserve">of water </w:t>
      </w:r>
      <w:r w:rsidRPr="007465CD">
        <w:rPr>
          <w:szCs w:val="24"/>
        </w:rPr>
        <w:t>(ACCC 2020, p. 84)</w:t>
      </w:r>
      <w:r>
        <w:t xml:space="preserve">, </w:t>
      </w:r>
      <w:r w:rsidRPr="00E861BA">
        <w:t xml:space="preserve">freeing up </w:t>
      </w:r>
      <w:r>
        <w:t>water for other productive uses. Research and development have also led to advances in technology and infrastructure that have improved water use efficiency (</w:t>
      </w:r>
      <w:r w:rsidRPr="00EB0C83">
        <w:t>chapter 1</w:t>
      </w:r>
      <w:r>
        <w:t>6).</w:t>
      </w:r>
    </w:p>
    <w:p w14:paraId="3800899B" w14:textId="77777777" w:rsidR="001054C3" w:rsidRDefault="001054C3" w:rsidP="00234FBE">
      <w:pPr>
        <w:pStyle w:val="BodyText"/>
      </w:pPr>
      <w:r>
        <w:t>M</w:t>
      </w:r>
      <w:r w:rsidRPr="00DB7769">
        <w:t>ar</w:t>
      </w:r>
      <w:r>
        <w:t>ket</w:t>
      </w:r>
      <w:r>
        <w:noBreakHyphen/>
        <w:t xml:space="preserve">driven water trade has also enabled equitable </w:t>
      </w:r>
      <w:r w:rsidRPr="005A0916">
        <w:t>water</w:t>
      </w:r>
      <w:r>
        <w:t xml:space="preserve"> recovery for the environment, and the strength of water property rights has been fundamental to addressing overallocation, particularly in the MDB, where farmers have been compensated for water recovery through a mix of market purchases and on</w:t>
      </w:r>
      <w:r>
        <w:noBreakHyphen/>
        <w:t>farm water efficiency measures.</w:t>
      </w:r>
    </w:p>
    <w:p w14:paraId="07ABD5DB" w14:textId="1166FB08" w:rsidR="001054C3" w:rsidRDefault="001054C3" w:rsidP="00234FBE">
      <w:pPr>
        <w:pStyle w:val="BodyText"/>
      </w:pPr>
      <w:r>
        <w:t>E</w:t>
      </w:r>
      <w:r w:rsidRPr="00492840">
        <w:t>conomic regulation and local ownership and management</w:t>
      </w:r>
      <w:r>
        <w:t xml:space="preserve"> </w:t>
      </w:r>
      <w:r w:rsidRPr="00492840">
        <w:t>(especially by irrigators)</w:t>
      </w:r>
      <w:r>
        <w:t xml:space="preserve"> of rural</w:t>
      </w:r>
      <w:r w:rsidRPr="00262F0F">
        <w:t xml:space="preserve"> water service</w:t>
      </w:r>
      <w:r>
        <w:t xml:space="preserve"> providers</w:t>
      </w:r>
      <w:r w:rsidRPr="00492840">
        <w:t xml:space="preserve"> </w:t>
      </w:r>
      <w:r>
        <w:t xml:space="preserve">have </w:t>
      </w:r>
      <w:r w:rsidRPr="00492840">
        <w:t xml:space="preserve">improved </w:t>
      </w:r>
      <w:r w:rsidRPr="00262F0F">
        <w:t xml:space="preserve">the accountability, productivity, efficiency and responsiveness of </w:t>
      </w:r>
      <w:r>
        <w:t xml:space="preserve">providers to the needs of rural water users </w:t>
      </w:r>
      <w:r w:rsidR="00C67DB3" w:rsidRPr="00C67DB3">
        <w:rPr>
          <w:szCs w:val="24"/>
        </w:rPr>
        <w:t>(PC 2017b, p. 237)</w:t>
      </w:r>
      <w:r>
        <w:t>.</w:t>
      </w:r>
    </w:p>
    <w:p w14:paraId="6637DE2A" w14:textId="77777777" w:rsidR="001054C3" w:rsidRDefault="001054C3" w:rsidP="00120072">
      <w:pPr>
        <w:pStyle w:val="BodyText"/>
      </w:pPr>
      <w:r>
        <w:t xml:space="preserve">Reform benefits have been particularly evident during droughts. Entitlement holders are now able to sell water allocations to </w:t>
      </w:r>
      <w:r w:rsidRPr="00FF3DCE">
        <w:t>provide revenue to support production changes</w:t>
      </w:r>
      <w:r>
        <w:t>, farm maintenance</w:t>
      </w:r>
      <w:r w:rsidRPr="00FF3DCE">
        <w:t xml:space="preserve"> and </w:t>
      </w:r>
      <w:r>
        <w:t>debt management; allocation purchasers have been able to maintain high</w:t>
      </w:r>
      <w:r>
        <w:noBreakHyphen/>
        <w:t>value production and permanent plantings. A</w:t>
      </w:r>
      <w:r w:rsidRPr="00317874">
        <w:t xml:space="preserve">llocation trade </w:t>
      </w:r>
      <w:r>
        <w:t xml:space="preserve">in particular allows </w:t>
      </w:r>
      <w:r w:rsidRPr="00317874">
        <w:t xml:space="preserve">water </w:t>
      </w:r>
      <w:r>
        <w:t xml:space="preserve">to </w:t>
      </w:r>
      <w:r w:rsidRPr="00317874">
        <w:t xml:space="preserve">move from producers with </w:t>
      </w:r>
      <w:r>
        <w:t xml:space="preserve">more </w:t>
      </w:r>
      <w:r w:rsidRPr="00317874">
        <w:t xml:space="preserve">flexible irrigation demands (such as rice and cotton </w:t>
      </w:r>
      <w:r w:rsidRPr="00317874">
        <w:lastRenderedPageBreak/>
        <w:t xml:space="preserve">growers) to those with </w:t>
      </w:r>
      <w:r>
        <w:t xml:space="preserve">less </w:t>
      </w:r>
      <w:r w:rsidRPr="00317874">
        <w:t xml:space="preserve">flexible demands (such as horticulturalists with perennial crops) </w:t>
      </w:r>
      <w:r>
        <w:t>as water availability varies from year to year.</w:t>
      </w:r>
    </w:p>
    <w:p w14:paraId="0852E686" w14:textId="78061767" w:rsidR="001054C3" w:rsidRDefault="001054C3" w:rsidP="00234FBE">
      <w:pPr>
        <w:pStyle w:val="BodyText"/>
      </w:pPr>
      <w:r>
        <w:t>Studies of the economic benefits of water trading have pointed to substantial value. For example, regional GDP in the southern MDB was estimated to be $5.2 billion (in 2020</w:t>
      </w:r>
      <w:r>
        <w:noBreakHyphen/>
        <w:t>21 dollars) higher over the five years to 2010</w:t>
      </w:r>
      <w:r>
        <w:noBreakHyphen/>
        <w:t xml:space="preserve">11 than it would have been without trading. Gains were largest in </w:t>
      </w:r>
      <w:r w:rsidRPr="004A52B4">
        <w:t>2007</w:t>
      </w:r>
      <w:r>
        <w:noBreakHyphen/>
      </w:r>
      <w:r w:rsidRPr="004A52B4">
        <w:t>08 and 2008</w:t>
      </w:r>
      <w:r>
        <w:noBreakHyphen/>
      </w:r>
      <w:r w:rsidRPr="004A52B4">
        <w:t xml:space="preserve">09 </w:t>
      </w:r>
      <w:r>
        <w:t xml:space="preserve">at the height of Millennium Drought </w:t>
      </w:r>
      <w:r w:rsidRPr="00A33418">
        <w:rPr>
          <w:szCs w:val="24"/>
        </w:rPr>
        <w:t>(NWC 2012, p. xii)</w:t>
      </w:r>
      <w:r>
        <w:t>. A more recent study found that water markets generated benefits to water users in the southern MDB of $117 million per year on average, due to both inter</w:t>
      </w:r>
      <w:r>
        <w:noBreakHyphen/>
        <w:t xml:space="preserve">regional trading and carryover </w:t>
      </w:r>
      <w:r w:rsidRPr="00390211">
        <w:rPr>
          <w:szCs w:val="24"/>
        </w:rPr>
        <w:t>(Hughes et al. 2021, p. vi)</w:t>
      </w:r>
      <w:r>
        <w:t>.</w:t>
      </w:r>
    </w:p>
    <w:p w14:paraId="6F62606B" w14:textId="77777777" w:rsidR="001054C3" w:rsidRDefault="001054C3" w:rsidP="00120072">
      <w:pPr>
        <w:pStyle w:val="BodyText"/>
      </w:pPr>
      <w:r w:rsidRPr="00F87F3E">
        <w:t xml:space="preserve">And trading has allowed </w:t>
      </w:r>
      <w:r>
        <w:t xml:space="preserve">Australia’s gross value of irrigated agricultural production to increase in most years over the past decade despite </w:t>
      </w:r>
      <w:r w:rsidRPr="004A52B4">
        <w:t>considerabl</w:t>
      </w:r>
      <w:r>
        <w:t>e</w:t>
      </w:r>
      <w:r w:rsidRPr="004A52B4">
        <w:t xml:space="preserve"> </w:t>
      </w:r>
      <w:r>
        <w:t xml:space="preserve">variation in water use </w:t>
      </w:r>
      <w:r w:rsidRPr="004A52B4">
        <w:t xml:space="preserve">between wet and dry years </w:t>
      </w:r>
      <w:r>
        <w:t>(figure 13.1).</w:t>
      </w:r>
    </w:p>
    <w:p w14:paraId="2C19DC7D" w14:textId="77777777" w:rsidR="001054C3" w:rsidRDefault="001054C3" w:rsidP="00234FBE">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7D39F607" w14:textId="77777777" w:rsidTr="00234FBE">
        <w:trPr>
          <w:tblHeader/>
        </w:trPr>
        <w:tc>
          <w:tcPr>
            <w:tcW w:w="5000" w:type="pct"/>
            <w:tcBorders>
              <w:top w:val="single" w:sz="6" w:space="0" w:color="78A22F"/>
              <w:left w:val="nil"/>
              <w:bottom w:val="nil"/>
              <w:right w:val="nil"/>
            </w:tcBorders>
            <w:shd w:val="clear" w:color="auto" w:fill="auto"/>
          </w:tcPr>
          <w:p w14:paraId="772C655F" w14:textId="77777777" w:rsidR="001054C3" w:rsidRPr="00A33418" w:rsidRDefault="001054C3" w:rsidP="00234FBE">
            <w:pPr>
              <w:pStyle w:val="ListNumber"/>
              <w:keepNext/>
              <w:keepLines/>
              <w:numPr>
                <w:ilvl w:val="0"/>
                <w:numId w:val="0"/>
              </w:numPr>
              <w:spacing w:after="80" w:line="280" w:lineRule="exact"/>
              <w:ind w:left="1474" w:hanging="1474"/>
              <w:jc w:val="left"/>
              <w:rPr>
                <w:rFonts w:ascii="Arial" w:hAnsi="Arial"/>
                <w:szCs w:val="24"/>
              </w:rPr>
            </w:pPr>
            <w:r w:rsidRPr="00944BB1">
              <w:rPr>
                <w:rFonts w:ascii="Arial" w:hAnsi="Arial"/>
                <w:szCs w:val="24"/>
              </w:rPr>
              <w:t>Figure</w:t>
            </w:r>
            <w:r>
              <w:rPr>
                <w:rFonts w:ascii="Arial" w:hAnsi="Arial"/>
                <w:szCs w:val="24"/>
              </w:rPr>
              <w:t> 13.1</w:t>
            </w:r>
            <w:r>
              <w:tab/>
            </w:r>
            <w:r>
              <w:rPr>
                <w:rFonts w:ascii="Arial" w:hAnsi="Arial"/>
                <w:b/>
                <w:szCs w:val="24"/>
              </w:rPr>
              <w:t>Australia’s g</w:t>
            </w:r>
            <w:r w:rsidRPr="00494132">
              <w:rPr>
                <w:rFonts w:ascii="Arial" w:hAnsi="Arial"/>
                <w:b/>
                <w:szCs w:val="24"/>
              </w:rPr>
              <w:t xml:space="preserve">ross value of irrigated agricultural production increased </w:t>
            </w:r>
            <w:r>
              <w:rPr>
                <w:rFonts w:ascii="Arial" w:hAnsi="Arial"/>
                <w:b/>
                <w:szCs w:val="24"/>
              </w:rPr>
              <w:t xml:space="preserve">in most years </w:t>
            </w:r>
            <w:r w:rsidRPr="00494132">
              <w:rPr>
                <w:rFonts w:ascii="Arial" w:hAnsi="Arial"/>
                <w:b/>
                <w:szCs w:val="24"/>
              </w:rPr>
              <w:t>despite variable water use</w:t>
            </w:r>
            <w:r>
              <w:rPr>
                <w:rStyle w:val="NoteLabel"/>
              </w:rPr>
              <w:t>a</w:t>
            </w:r>
          </w:p>
        </w:tc>
      </w:tr>
      <w:tr w:rsidR="001054C3" w14:paraId="3A406E5B" w14:textId="77777777" w:rsidTr="00234FB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054C3" w:rsidRPr="00B1465D" w14:paraId="2BE6F63D" w14:textId="77777777" w:rsidTr="00234FBE">
              <w:trPr>
                <w:tblHeader/>
                <w:jc w:val="center"/>
              </w:trPr>
              <w:tc>
                <w:tcPr>
                  <w:tcW w:w="5000" w:type="pct"/>
                  <w:tcBorders>
                    <w:top w:val="nil"/>
                    <w:bottom w:val="nil"/>
                  </w:tcBorders>
                </w:tcPr>
                <w:p w14:paraId="33A068F3" w14:textId="77777777" w:rsidR="001054C3" w:rsidRPr="002A46BF" w:rsidRDefault="001054C3" w:rsidP="00234FBE">
                  <w:pPr>
                    <w:pStyle w:val="Figure"/>
                  </w:pPr>
                  <w:r>
                    <w:t xml:space="preserve"> </w:t>
                  </w:r>
                  <w:r w:rsidRPr="000E33DA">
                    <w:rPr>
                      <w:noProof/>
                    </w:rPr>
                    <w:drawing>
                      <wp:inline distT="0" distB="0" distL="0" distR="0" wp14:anchorId="21FE49FC" wp14:editId="3369199F">
                        <wp:extent cx="4998720" cy="2712720"/>
                        <wp:effectExtent l="0" t="0" r="0" b="0"/>
                        <wp:docPr id="29" name="Picture 29" descr="Figure 13.1. This figure shows how agricultural water consumption has changed between 2008-09 and 2018-19 – increasing in most years. The figure also shows how the gross value of irrigated agricultural production (in nominal and real terms) has increased between 2008-09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3.1. This figure shows how agricultural water consumption has changed between 2008-09 and 2018-19 – increasing in most years. The figure also shows how the gross value of irrigated agricultural production (in nominal and real terms) has increased between 2008-09 and 2018-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98720" cy="2712720"/>
                                </a:xfrm>
                                <a:prstGeom prst="rect">
                                  <a:avLst/>
                                </a:prstGeom>
                                <a:noFill/>
                                <a:ln>
                                  <a:noFill/>
                                </a:ln>
                              </pic:spPr>
                            </pic:pic>
                          </a:graphicData>
                        </a:graphic>
                      </wp:inline>
                    </w:drawing>
                  </w:r>
                </w:p>
              </w:tc>
            </w:tr>
          </w:tbl>
          <w:p w14:paraId="56815255" w14:textId="77777777" w:rsidR="001054C3" w:rsidRDefault="001054C3" w:rsidP="00234FBE">
            <w:pPr>
              <w:pStyle w:val="Figure"/>
            </w:pPr>
          </w:p>
        </w:tc>
      </w:tr>
      <w:tr w:rsidR="001054C3" w:rsidRPr="00176D3F" w14:paraId="411F9D72" w14:textId="77777777" w:rsidTr="00234FBE">
        <w:tc>
          <w:tcPr>
            <w:tcW w:w="5000" w:type="pct"/>
            <w:tcBorders>
              <w:top w:val="nil"/>
              <w:left w:val="nil"/>
              <w:bottom w:val="nil"/>
              <w:right w:val="nil"/>
            </w:tcBorders>
            <w:shd w:val="clear" w:color="auto" w:fill="auto"/>
          </w:tcPr>
          <w:p w14:paraId="54D66CFA" w14:textId="77777777" w:rsidR="001054C3" w:rsidRPr="00176D3F" w:rsidRDefault="001054C3" w:rsidP="00234FBE">
            <w:pPr>
              <w:pStyle w:val="Note"/>
            </w:pPr>
            <w:r>
              <w:rPr>
                <w:rStyle w:val="NoteLabel"/>
              </w:rPr>
              <w:t>a</w:t>
            </w:r>
            <w:r>
              <w:t> The real 2018</w:t>
            </w:r>
            <w:r>
              <w:noBreakHyphen/>
              <w:t>19 gross value of irrigated agricultural production was estimated using December quarter values for the consumer price index.</w:t>
            </w:r>
          </w:p>
        </w:tc>
      </w:tr>
      <w:tr w:rsidR="001054C3" w:rsidRPr="00176D3F" w14:paraId="7F266A12" w14:textId="77777777" w:rsidTr="00234FBE">
        <w:tc>
          <w:tcPr>
            <w:tcW w:w="5000" w:type="pct"/>
            <w:tcBorders>
              <w:top w:val="nil"/>
              <w:left w:val="nil"/>
              <w:bottom w:val="nil"/>
              <w:right w:val="nil"/>
            </w:tcBorders>
            <w:shd w:val="clear" w:color="auto" w:fill="auto"/>
          </w:tcPr>
          <w:p w14:paraId="74E7E418" w14:textId="77777777" w:rsidR="001054C3" w:rsidRPr="00176D3F" w:rsidRDefault="001054C3" w:rsidP="00234FBE">
            <w:pPr>
              <w:pStyle w:val="Subtitle"/>
              <w:keepNext w:val="0"/>
              <w:spacing w:before="80" w:after="0" w:line="220" w:lineRule="exact"/>
              <w:ind w:left="0"/>
              <w:jc w:val="both"/>
            </w:pPr>
            <w:r w:rsidRPr="00944BB1">
              <w:rPr>
                <w:i/>
                <w:sz w:val="18"/>
                <w:szCs w:val="20"/>
              </w:rPr>
              <w:t>Source</w:t>
            </w:r>
            <w:r>
              <w:rPr>
                <w:i/>
                <w:sz w:val="18"/>
                <w:szCs w:val="20"/>
              </w:rPr>
              <w:t>s</w:t>
            </w:r>
            <w:r w:rsidRPr="00944BB1">
              <w:rPr>
                <w:sz w:val="18"/>
                <w:szCs w:val="20"/>
              </w:rPr>
              <w:t xml:space="preserve">: </w:t>
            </w:r>
            <w:r w:rsidRPr="00655BF5">
              <w:rPr>
                <w:sz w:val="18"/>
                <w:szCs w:val="20"/>
              </w:rPr>
              <w:t>AB</w:t>
            </w:r>
            <w:r>
              <w:rPr>
                <w:sz w:val="18"/>
                <w:szCs w:val="20"/>
              </w:rPr>
              <w:t>S (</w:t>
            </w:r>
            <w:r w:rsidRPr="001070A4">
              <w:rPr>
                <w:i/>
                <w:iCs/>
                <w:sz w:val="18"/>
                <w:szCs w:val="20"/>
              </w:rPr>
              <w:t>Water Account, Australia, 2016</w:t>
            </w:r>
            <w:r w:rsidRPr="001070A4">
              <w:rPr>
                <w:i/>
                <w:iCs/>
                <w:sz w:val="18"/>
                <w:szCs w:val="20"/>
              </w:rPr>
              <w:noBreakHyphen/>
              <w:t>17, table 12</w:t>
            </w:r>
            <w:r>
              <w:rPr>
                <w:sz w:val="18"/>
                <w:szCs w:val="20"/>
              </w:rPr>
              <w:t>,</w:t>
            </w:r>
            <w:r w:rsidRPr="00655BF5">
              <w:rPr>
                <w:sz w:val="18"/>
                <w:szCs w:val="20"/>
              </w:rPr>
              <w:t xml:space="preserve"> Cat. no. 4610.0; </w:t>
            </w:r>
            <w:r w:rsidRPr="001070A4">
              <w:rPr>
                <w:i/>
                <w:iCs/>
                <w:sz w:val="18"/>
                <w:szCs w:val="20"/>
              </w:rPr>
              <w:t>Water use on Australian Farms</w:t>
            </w:r>
            <w:r>
              <w:rPr>
                <w:i/>
                <w:iCs/>
                <w:sz w:val="18"/>
                <w:szCs w:val="20"/>
              </w:rPr>
              <w:t xml:space="preserve">, </w:t>
            </w:r>
            <w:r w:rsidRPr="001070A4">
              <w:rPr>
                <w:i/>
                <w:iCs/>
                <w:sz w:val="18"/>
                <w:szCs w:val="20"/>
              </w:rPr>
              <w:t>2017</w:t>
            </w:r>
            <w:r>
              <w:rPr>
                <w:i/>
                <w:iCs/>
                <w:sz w:val="18"/>
                <w:szCs w:val="20"/>
              </w:rPr>
              <w:noBreakHyphen/>
            </w:r>
            <w:r w:rsidRPr="001070A4">
              <w:rPr>
                <w:i/>
                <w:iCs/>
                <w:sz w:val="18"/>
                <w:szCs w:val="20"/>
              </w:rPr>
              <w:t>18 and 2018</w:t>
            </w:r>
            <w:r>
              <w:rPr>
                <w:i/>
                <w:iCs/>
                <w:sz w:val="18"/>
                <w:szCs w:val="20"/>
              </w:rPr>
              <w:noBreakHyphen/>
            </w:r>
            <w:r w:rsidRPr="001070A4">
              <w:rPr>
                <w:i/>
                <w:iCs/>
                <w:sz w:val="18"/>
                <w:szCs w:val="20"/>
              </w:rPr>
              <w:t>19, table 1</w:t>
            </w:r>
            <w:r>
              <w:rPr>
                <w:sz w:val="18"/>
                <w:szCs w:val="20"/>
              </w:rPr>
              <w:t>,</w:t>
            </w:r>
            <w:r w:rsidRPr="00655BF5">
              <w:rPr>
                <w:sz w:val="18"/>
                <w:szCs w:val="20"/>
              </w:rPr>
              <w:t xml:space="preserve"> Cat. no. 461</w:t>
            </w:r>
            <w:r>
              <w:rPr>
                <w:sz w:val="18"/>
                <w:szCs w:val="20"/>
              </w:rPr>
              <w:t>8</w:t>
            </w:r>
            <w:r w:rsidRPr="00655BF5">
              <w:rPr>
                <w:sz w:val="18"/>
                <w:szCs w:val="20"/>
              </w:rPr>
              <w:t>.0</w:t>
            </w:r>
            <w:r>
              <w:rPr>
                <w:sz w:val="18"/>
                <w:szCs w:val="20"/>
              </w:rPr>
              <w:t xml:space="preserve">; </w:t>
            </w:r>
            <w:r w:rsidRPr="001070A4">
              <w:rPr>
                <w:i/>
                <w:iCs/>
                <w:sz w:val="18"/>
                <w:szCs w:val="20"/>
              </w:rPr>
              <w:t>Water Account, Australia, 2018</w:t>
            </w:r>
            <w:r w:rsidRPr="001070A4">
              <w:rPr>
                <w:i/>
                <w:iCs/>
                <w:sz w:val="18"/>
                <w:szCs w:val="20"/>
              </w:rPr>
              <w:noBreakHyphen/>
              <w:t>19, table 13.1</w:t>
            </w:r>
            <w:r>
              <w:rPr>
                <w:sz w:val="18"/>
                <w:szCs w:val="20"/>
              </w:rPr>
              <w:t>,</w:t>
            </w:r>
            <w:r w:rsidRPr="00655BF5">
              <w:rPr>
                <w:sz w:val="18"/>
                <w:szCs w:val="20"/>
              </w:rPr>
              <w:t xml:space="preserve"> Cat. no. 4610.0</w:t>
            </w:r>
            <w:r>
              <w:rPr>
                <w:sz w:val="18"/>
                <w:szCs w:val="20"/>
              </w:rPr>
              <w:t xml:space="preserve">; </w:t>
            </w:r>
            <w:r w:rsidRPr="001070A4">
              <w:rPr>
                <w:i/>
                <w:iCs/>
                <w:sz w:val="18"/>
                <w:szCs w:val="20"/>
              </w:rPr>
              <w:t>Consumer Price Index, Australia, Sep 2020, Series ID A2325846C,</w:t>
            </w:r>
            <w:r>
              <w:rPr>
                <w:sz w:val="18"/>
                <w:szCs w:val="20"/>
              </w:rPr>
              <w:t xml:space="preserve"> Cat. no. 6401.0</w:t>
            </w:r>
            <w:r w:rsidRPr="00944BB1">
              <w:rPr>
                <w:sz w:val="18"/>
                <w:szCs w:val="20"/>
              </w:rPr>
              <w:t>).</w:t>
            </w:r>
          </w:p>
        </w:tc>
      </w:tr>
      <w:tr w:rsidR="001054C3" w14:paraId="0B0D7646" w14:textId="77777777" w:rsidTr="00234FBE">
        <w:tc>
          <w:tcPr>
            <w:tcW w:w="5000" w:type="pct"/>
            <w:tcBorders>
              <w:top w:val="nil"/>
              <w:left w:val="nil"/>
              <w:bottom w:val="single" w:sz="6" w:space="0" w:color="78A22F"/>
              <w:right w:val="nil"/>
            </w:tcBorders>
            <w:shd w:val="clear" w:color="auto" w:fill="auto"/>
          </w:tcPr>
          <w:p w14:paraId="7FC03064" w14:textId="77777777" w:rsidR="001054C3" w:rsidRDefault="001054C3" w:rsidP="00234FBE">
            <w:pPr>
              <w:pStyle w:val="Figurespace"/>
            </w:pPr>
          </w:p>
        </w:tc>
      </w:tr>
      <w:tr w:rsidR="001054C3" w:rsidRPr="000863A5" w14:paraId="0DBBD151" w14:textId="77777777" w:rsidTr="00234FBE">
        <w:tc>
          <w:tcPr>
            <w:tcW w:w="5000" w:type="pct"/>
            <w:tcBorders>
              <w:top w:val="single" w:sz="6" w:space="0" w:color="78A22F"/>
              <w:left w:val="nil"/>
              <w:bottom w:val="nil"/>
              <w:right w:val="nil"/>
            </w:tcBorders>
          </w:tcPr>
          <w:p w14:paraId="1E7F1E58" w14:textId="77777777" w:rsidR="001054C3" w:rsidRPr="00626D32" w:rsidRDefault="001054C3" w:rsidP="00234FBE">
            <w:pPr>
              <w:pStyle w:val="BoxSpaceBelow"/>
            </w:pPr>
          </w:p>
        </w:tc>
      </w:tr>
    </w:tbl>
    <w:p w14:paraId="7959BE81" w14:textId="5F5A616A" w:rsidR="001054C3" w:rsidRDefault="001054C3" w:rsidP="00234FBE">
      <w:pPr>
        <w:pStyle w:val="Heading2"/>
      </w:pPr>
      <w:bookmarkStart w:id="173" w:name="_Toc72939542"/>
      <w:r>
        <w:lastRenderedPageBreak/>
        <w:t>13.</w:t>
      </w:r>
      <w:r>
        <w:rPr>
          <w:noProof/>
        </w:rPr>
        <w:t>2</w:t>
      </w:r>
      <w:bookmarkStart w:id="174" w:name="_Toc63112500"/>
      <w:r>
        <w:tab/>
        <w:t>Reforms have also</w:t>
      </w:r>
      <w:r w:rsidRPr="008834F1">
        <w:t xml:space="preserve"> prepare</w:t>
      </w:r>
      <w:r>
        <w:t>d</w:t>
      </w:r>
      <w:r w:rsidRPr="008834F1">
        <w:t xml:space="preserve"> water users to address future challenges</w:t>
      </w:r>
      <w:bookmarkEnd w:id="173"/>
      <w:bookmarkEnd w:id="174"/>
    </w:p>
    <w:p w14:paraId="02EE4FE8" w14:textId="77777777" w:rsidR="001054C3" w:rsidRDefault="001054C3" w:rsidP="00234FBE">
      <w:pPr>
        <w:pStyle w:val="BodyText"/>
      </w:pPr>
      <w:r w:rsidRPr="00522B27">
        <w:t xml:space="preserve">Looking forward, </w:t>
      </w:r>
      <w:r>
        <w:t>irrigators</w:t>
      </w:r>
      <w:r w:rsidRPr="00522B27">
        <w:t xml:space="preserve"> will </w:t>
      </w:r>
      <w:r>
        <w:t xml:space="preserve">likely </w:t>
      </w:r>
      <w:r w:rsidRPr="00522B27">
        <w:t xml:space="preserve">need to adapt their farming practices in response </w:t>
      </w:r>
      <w:bookmarkStart w:id="175" w:name="_Hlk58229029"/>
      <w:r w:rsidRPr="00522B27">
        <w:t xml:space="preserve">to </w:t>
      </w:r>
      <w:r>
        <w:t xml:space="preserve">changing </w:t>
      </w:r>
      <w:r w:rsidRPr="00522B27">
        <w:t>water availability</w:t>
      </w:r>
      <w:r>
        <w:t xml:space="preserve"> (due to changing rainfall patterns) and commodity </w:t>
      </w:r>
      <w:r w:rsidRPr="00522B27">
        <w:t>market trends</w:t>
      </w:r>
      <w:bookmarkEnd w:id="175"/>
      <w:r>
        <w:t>.</w:t>
      </w:r>
      <w:r w:rsidRPr="00522B27">
        <w:t xml:space="preserve"> </w:t>
      </w:r>
      <w:r>
        <w:t>T</w:t>
      </w:r>
      <w:r w:rsidRPr="00522B27">
        <w:t>rade will help business</w:t>
      </w:r>
      <w:r>
        <w:t>es</w:t>
      </w:r>
      <w:r w:rsidRPr="00522B27">
        <w:t xml:space="preserve"> adjust their water portfolios to better reflect their </w:t>
      </w:r>
      <w:r>
        <w:t xml:space="preserve">water needs and </w:t>
      </w:r>
      <w:r w:rsidRPr="00522B27">
        <w:t>risk profile.</w:t>
      </w:r>
    </w:p>
    <w:p w14:paraId="0B7C2045" w14:textId="1753B946" w:rsidR="001054C3" w:rsidRDefault="001054C3" w:rsidP="00234FBE">
      <w:pPr>
        <w:pStyle w:val="BodyText"/>
      </w:pPr>
      <w:r>
        <w:t xml:space="preserve">A continued transition toward </w:t>
      </w:r>
      <w:r w:rsidRPr="00420DF7">
        <w:t>higher</w:t>
      </w:r>
      <w:r>
        <w:noBreakHyphen/>
      </w:r>
      <w:r w:rsidRPr="00420DF7">
        <w:t xml:space="preserve">value industries </w:t>
      </w:r>
      <w:r>
        <w:t xml:space="preserve">will help to maintain the value of irrigated agricultural production. For example, an </w:t>
      </w:r>
      <w:r w:rsidRPr="00FF3DCE">
        <w:t xml:space="preserve">analysis </w:t>
      </w:r>
      <w:r>
        <w:t>of</w:t>
      </w:r>
      <w:r w:rsidRPr="00FF3DCE">
        <w:t xml:space="preserve"> the</w:t>
      </w:r>
      <w:r>
        <w:t xml:space="preserve"> southern</w:t>
      </w:r>
      <w:r w:rsidRPr="00FF3DCE">
        <w:t xml:space="preserve"> MDB </w:t>
      </w:r>
      <w:r>
        <w:t xml:space="preserve">examined a scenario where planned future water recovery is completed and water demand increases </w:t>
      </w:r>
      <w:bookmarkStart w:id="176" w:name="_Hlk58240265"/>
      <w:r>
        <w:t>compared with recent years</w:t>
      </w:r>
      <w:bookmarkEnd w:id="176"/>
      <w:r>
        <w:t>, and estimated that the value of production could be maintained through shifts in the</w:t>
      </w:r>
      <w:r w:rsidRPr="00440C87">
        <w:t xml:space="preserve"> composition of production</w:t>
      </w:r>
      <w:r>
        <w:t>,</w:t>
      </w:r>
      <w:r w:rsidRPr="00440C87">
        <w:t xml:space="preserve"> supported by water trading</w:t>
      </w:r>
      <w:r>
        <w:t xml:space="preserve"> </w:t>
      </w:r>
      <w:r w:rsidRPr="00273396">
        <w:rPr>
          <w:szCs w:val="24"/>
        </w:rPr>
        <w:t>(Gupta et al. 2020, pp. </w:t>
      </w:r>
      <w:r w:rsidRPr="00F623A0">
        <w:rPr>
          <w:szCs w:val="24"/>
        </w:rPr>
        <w:t>14, 19)</w:t>
      </w:r>
      <w:r w:rsidRPr="00440C87">
        <w:t>.</w:t>
      </w:r>
      <w:r>
        <w:t xml:space="preserve"> And, with a further 11 per cent reduction in water availability, the analysis estimated a fall in water use of 12 per cent, but a fall in production value of only 4 per cent.</w:t>
      </w:r>
    </w:p>
    <w:p w14:paraId="33EEB842" w14:textId="651117A4" w:rsidR="001054C3" w:rsidRDefault="001054C3" w:rsidP="00234FBE">
      <w:pPr>
        <w:pStyle w:val="Heading2"/>
      </w:pPr>
      <w:bookmarkStart w:id="177" w:name="_Toc72939543"/>
      <w:bookmarkStart w:id="178" w:name="_Hlk58315270"/>
      <w:bookmarkStart w:id="179" w:name="_Hlk61344856"/>
      <w:r>
        <w:t>13.</w:t>
      </w:r>
      <w:r>
        <w:rPr>
          <w:noProof/>
        </w:rPr>
        <w:t>3</w:t>
      </w:r>
      <w:bookmarkStart w:id="180" w:name="_Toc63112501"/>
      <w:r>
        <w:tab/>
        <w:t>A renewed NWI would lock in past benefits and enable adaptation</w:t>
      </w:r>
      <w:bookmarkEnd w:id="177"/>
      <w:bookmarkEnd w:id="180"/>
    </w:p>
    <w:bookmarkEnd w:id="178"/>
    <w:p w14:paraId="681F877E" w14:textId="77777777" w:rsidR="001054C3" w:rsidRDefault="001054C3" w:rsidP="00234FBE">
      <w:pPr>
        <w:pStyle w:val="BodyText"/>
      </w:pPr>
      <w:r>
        <w:t>Attention to a number of issues through NWI renewal would lock in the benefits of reforms to date and</w:t>
      </w:r>
      <w:r w:rsidRPr="00C52786">
        <w:t xml:space="preserve"> </w:t>
      </w:r>
      <w:r>
        <w:t>provide greater support to</w:t>
      </w:r>
      <w:r w:rsidRPr="00C52786">
        <w:t xml:space="preserve"> irrigators </w:t>
      </w:r>
      <w:r>
        <w:t xml:space="preserve">when they need to </w:t>
      </w:r>
      <w:r w:rsidRPr="00C52786">
        <w:t>adapt</w:t>
      </w:r>
      <w:r>
        <w:t xml:space="preserve"> to change</w:t>
      </w:r>
      <w:r w:rsidRPr="00C52786">
        <w:t>.</w:t>
      </w:r>
      <w:r>
        <w:t xml:space="preserve"> These issues include the management of </w:t>
      </w:r>
      <w:r w:rsidRPr="00D93E91">
        <w:t>interception activities</w:t>
      </w:r>
      <w:r>
        <w:t xml:space="preserve">, </w:t>
      </w:r>
      <w:r w:rsidRPr="00D93E91">
        <w:t>planning provisions</w:t>
      </w:r>
      <w:r>
        <w:t xml:space="preserve"> to deal with a drying climate and extreme events, </w:t>
      </w:r>
      <w:r w:rsidRPr="00D93E91">
        <w:t>safeguarding the integrity of water management systems</w:t>
      </w:r>
      <w:r>
        <w:t xml:space="preserve">, </w:t>
      </w:r>
      <w:r w:rsidRPr="00D93E91">
        <w:t>strengthen</w:t>
      </w:r>
      <w:r>
        <w:t>ing water</w:t>
      </w:r>
      <w:r w:rsidRPr="00D93E91">
        <w:t xml:space="preserve"> market frameworks</w:t>
      </w:r>
      <w:r>
        <w:t xml:space="preserve"> and </w:t>
      </w:r>
      <w:r w:rsidRPr="00D93E91">
        <w:t xml:space="preserve">better guidance on </w:t>
      </w:r>
      <w:r>
        <w:t xml:space="preserve">assessing the merits of </w:t>
      </w:r>
      <w:r w:rsidRPr="00D93E91">
        <w:t>water infrastructure investments</w:t>
      </w:r>
      <w:r>
        <w:t>.</w:t>
      </w:r>
    </w:p>
    <w:p w14:paraId="1C9DE154" w14:textId="77777777" w:rsidR="001054C3" w:rsidRDefault="001054C3" w:rsidP="00234FBE">
      <w:pPr>
        <w:pStyle w:val="BodyText"/>
      </w:pPr>
      <w:r>
        <w:t xml:space="preserve">Inaccurate measurement of </w:t>
      </w:r>
      <w:r w:rsidRPr="00A97C30">
        <w:t xml:space="preserve">interception activities </w:t>
      </w:r>
      <w:r>
        <w:t xml:space="preserve">(for example, </w:t>
      </w:r>
      <w:r w:rsidRPr="00012002">
        <w:t>on</w:t>
      </w:r>
      <w:r>
        <w:noBreakHyphen/>
      </w:r>
      <w:r w:rsidRPr="00012002">
        <w:t>farm dams</w:t>
      </w:r>
      <w:r>
        <w:t xml:space="preserve"> and plantations) </w:t>
      </w:r>
      <w:r w:rsidRPr="00A97C30">
        <w:t>pose a risk to water availability and undermine the integrity of the entitlements system</w:t>
      </w:r>
      <w:r>
        <w:t xml:space="preserve"> (</w:t>
      </w:r>
      <w:r w:rsidRPr="00B3294B">
        <w:t>chapters 6 and 10</w:t>
      </w:r>
      <w:r>
        <w:t>)</w:t>
      </w:r>
      <w:r w:rsidRPr="00A97C30">
        <w:t>.</w:t>
      </w:r>
      <w:r>
        <w:t xml:space="preserve"> S</w:t>
      </w:r>
      <w:r w:rsidRPr="00D5605B">
        <w:t>pecify</w:t>
      </w:r>
      <w:r>
        <w:t xml:space="preserve">ing </w:t>
      </w:r>
      <w:r w:rsidRPr="00D5605B">
        <w:t>a risk</w:t>
      </w:r>
      <w:r>
        <w:noBreakHyphen/>
      </w:r>
      <w:r w:rsidRPr="00D5605B">
        <w:t xml:space="preserve">based </w:t>
      </w:r>
      <w:r>
        <w:t>approach</w:t>
      </w:r>
      <w:r w:rsidRPr="00D5605B">
        <w:t xml:space="preserve"> for </w:t>
      </w:r>
      <w:r>
        <w:t xml:space="preserve">managing interception </w:t>
      </w:r>
      <w:r w:rsidRPr="00D5605B">
        <w:t xml:space="preserve">within entitlement regimes </w:t>
      </w:r>
      <w:r>
        <w:t xml:space="preserve">would </w:t>
      </w:r>
      <w:r w:rsidRPr="00D5605B">
        <w:t>increase transparency and promote efficient management of shared resources</w:t>
      </w:r>
      <w:r>
        <w:t>.</w:t>
      </w:r>
    </w:p>
    <w:p w14:paraId="6FDA0890" w14:textId="77777777" w:rsidR="001054C3" w:rsidRDefault="001054C3" w:rsidP="00234FBE">
      <w:pPr>
        <w:pStyle w:val="BodyText"/>
      </w:pPr>
      <w:bookmarkStart w:id="181" w:name="_Hlk61353749"/>
      <w:r w:rsidRPr="001544A8">
        <w:t>Planning provisions proved inadequate to deal with the Millennium Drought and the recent drought in New South Wales and Queensland</w:t>
      </w:r>
      <w:r>
        <w:t>, and processes for rebalancing water use in response to climate change are unclear (</w:t>
      </w:r>
      <w:r w:rsidRPr="00027A59">
        <w:t>chapter 6</w:t>
      </w:r>
      <w:r>
        <w:t xml:space="preserve">). Provisions </w:t>
      </w:r>
      <w:r w:rsidRPr="00D5605B">
        <w:t>in water plans</w:t>
      </w:r>
      <w:r>
        <w:t xml:space="preserve"> to deal with </w:t>
      </w:r>
      <w:r w:rsidRPr="00D5605B">
        <w:t>low flows</w:t>
      </w:r>
      <w:r>
        <w:t>, and increased</w:t>
      </w:r>
      <w:r w:rsidRPr="00D5605B">
        <w:t xml:space="preserve"> robustness in processes for adjusting the relative shares </w:t>
      </w:r>
      <w:r>
        <w:t xml:space="preserve">between </w:t>
      </w:r>
      <w:r w:rsidRPr="00D5605B">
        <w:t>consumptive users and the environment</w:t>
      </w:r>
      <w:r>
        <w:t>,</w:t>
      </w:r>
      <w:r w:rsidRPr="00D5605B">
        <w:t xml:space="preserve"> </w:t>
      </w:r>
      <w:r>
        <w:t xml:space="preserve">would </w:t>
      </w:r>
      <w:r w:rsidRPr="00D5605B">
        <w:t xml:space="preserve">give greater certainty to </w:t>
      </w:r>
      <w:r>
        <w:t xml:space="preserve">rural </w:t>
      </w:r>
      <w:r w:rsidRPr="00D5605B">
        <w:t>water users</w:t>
      </w:r>
      <w:r>
        <w:t xml:space="preserve">. </w:t>
      </w:r>
      <w:bookmarkEnd w:id="181"/>
      <w:r>
        <w:t xml:space="preserve">And, adoption of </w:t>
      </w:r>
      <w:r w:rsidRPr="00A5420C">
        <w:t>best</w:t>
      </w:r>
      <w:r>
        <w:noBreakHyphen/>
      </w:r>
      <w:r w:rsidRPr="00A5420C">
        <w:t xml:space="preserve">practice principles for </w:t>
      </w:r>
      <w:r>
        <w:t xml:space="preserve">community </w:t>
      </w:r>
      <w:r w:rsidRPr="00A5420C">
        <w:t xml:space="preserve">engagement </w:t>
      </w:r>
      <w:r w:rsidRPr="004C2317">
        <w:t>(chapter 15) would</w:t>
      </w:r>
      <w:r>
        <w:t xml:space="preserve"> help to ensure that water planning processes and outcomes consider and reflect the diverse needs of rural communities.</w:t>
      </w:r>
    </w:p>
    <w:p w14:paraId="1A876D3B" w14:textId="77777777" w:rsidR="001054C3" w:rsidRDefault="001054C3" w:rsidP="00234FBE">
      <w:pPr>
        <w:pStyle w:val="BodyText"/>
      </w:pPr>
      <w:r>
        <w:lastRenderedPageBreak/>
        <w:t>A</w:t>
      </w:r>
      <w:r w:rsidRPr="00955D2B">
        <w:t xml:space="preserve"> lack of c</w:t>
      </w:r>
      <w:r>
        <w:t xml:space="preserve">ommitment by some governments to </w:t>
      </w:r>
      <w:r w:rsidRPr="00955D2B">
        <w:t xml:space="preserve">monitoring and compliance </w:t>
      </w:r>
      <w:r>
        <w:t xml:space="preserve">has undermined investor and community confidence, and trust in water resource </w:t>
      </w:r>
      <w:r w:rsidRPr="004C084B">
        <w:t>management (chapter 10).</w:t>
      </w:r>
      <w:r>
        <w:t xml:space="preserve"> A focus on safeguarding</w:t>
      </w:r>
      <w:r w:rsidRPr="002A2E51">
        <w:t xml:space="preserve"> the integrity of water </w:t>
      </w:r>
      <w:r>
        <w:t>use and system management would help to address this issue.</w:t>
      </w:r>
    </w:p>
    <w:p w14:paraId="58764015" w14:textId="77777777" w:rsidR="001054C3" w:rsidRDefault="001054C3" w:rsidP="00234FBE">
      <w:pPr>
        <w:pStyle w:val="BodyText"/>
      </w:pPr>
      <w:r w:rsidRPr="00012002">
        <w:t xml:space="preserve">Experiences from water markets and trading in the MDB </w:t>
      </w:r>
      <w:r>
        <w:t>highlight the o</w:t>
      </w:r>
      <w:r w:rsidRPr="00012002">
        <w:t xml:space="preserve">pportunity </w:t>
      </w:r>
      <w:r>
        <w:t xml:space="preserve">to </w:t>
      </w:r>
      <w:r w:rsidRPr="00012002">
        <w:t>strengthen</w:t>
      </w:r>
      <w:r>
        <w:t xml:space="preserve"> </w:t>
      </w:r>
      <w:r w:rsidRPr="00012002">
        <w:t xml:space="preserve">market frameworks and information to </w:t>
      </w:r>
      <w:r>
        <w:t xml:space="preserve">better </w:t>
      </w:r>
      <w:r w:rsidRPr="00012002">
        <w:t xml:space="preserve">enable businesses to confidently make </w:t>
      </w:r>
      <w:r w:rsidRPr="00A0525A">
        <w:t>decisions (chapter 7).</w:t>
      </w:r>
      <w:r>
        <w:t xml:space="preserve"> Actions by jurisdictions </w:t>
      </w:r>
      <w:r w:rsidRPr="00012002">
        <w:t>to proactively anticipate, identify and manage market risks</w:t>
      </w:r>
      <w:r>
        <w:t xml:space="preserve"> </w:t>
      </w:r>
      <w:bookmarkStart w:id="182" w:name="_Hlk61434016"/>
      <w:r>
        <w:t xml:space="preserve">would help </w:t>
      </w:r>
      <w:r w:rsidRPr="00012002">
        <w:t>ensure water markets are fit</w:t>
      </w:r>
      <w:r>
        <w:t xml:space="preserve"> </w:t>
      </w:r>
      <w:r w:rsidRPr="00012002">
        <w:t>for</w:t>
      </w:r>
      <w:r>
        <w:t xml:space="preserve"> </w:t>
      </w:r>
      <w:r w:rsidRPr="00012002">
        <w:t>the</w:t>
      </w:r>
      <w:r>
        <w:t xml:space="preserve"> </w:t>
      </w:r>
      <w:r w:rsidRPr="00012002">
        <w:t>future.</w:t>
      </w:r>
      <w:r>
        <w:t xml:space="preserve"> </w:t>
      </w:r>
      <w:bookmarkEnd w:id="182"/>
      <w:r>
        <w:t>And, improvements in</w:t>
      </w:r>
      <w:r w:rsidRPr="00A5420C">
        <w:t xml:space="preserve"> the timeliness, transparency and completeness of market information </w:t>
      </w:r>
      <w:r>
        <w:t>would better support</w:t>
      </w:r>
      <w:r w:rsidRPr="00A5420C">
        <w:t xml:space="preserve"> </w:t>
      </w:r>
      <w:r>
        <w:t xml:space="preserve">rural water users in making </w:t>
      </w:r>
      <w:r w:rsidRPr="00A5420C">
        <w:t>informed decision</w:t>
      </w:r>
      <w:r>
        <w:t>s</w:t>
      </w:r>
      <w:r w:rsidRPr="00A5420C">
        <w:t xml:space="preserve"> </w:t>
      </w:r>
      <w:r>
        <w:t>in response to short</w:t>
      </w:r>
      <w:r>
        <w:noBreakHyphen/>
        <w:t xml:space="preserve"> and long</w:t>
      </w:r>
      <w:r>
        <w:noBreakHyphen/>
        <w:t>term challenges and opportunities.</w:t>
      </w:r>
    </w:p>
    <w:p w14:paraId="4B8542B1" w14:textId="77777777" w:rsidR="001054C3" w:rsidRDefault="001054C3" w:rsidP="00234FBE">
      <w:pPr>
        <w:pStyle w:val="BodyText"/>
      </w:pPr>
      <w:r w:rsidRPr="005E0526">
        <w:rPr>
          <w:spacing w:val="-2"/>
        </w:rPr>
        <w:t xml:space="preserve">Finally, better guidance on what constitutes economically viable and </w:t>
      </w:r>
      <w:r>
        <w:rPr>
          <w:spacing w:val="-2"/>
        </w:rPr>
        <w:t>environmentally</w:t>
      </w:r>
      <w:r w:rsidRPr="005E0526">
        <w:rPr>
          <w:spacing w:val="-2"/>
        </w:rPr>
        <w:t xml:space="preserve"> sustainable</w:t>
      </w:r>
      <w:r w:rsidRPr="00012002">
        <w:t xml:space="preserve"> water infrastructure investments</w:t>
      </w:r>
      <w:r>
        <w:t xml:space="preserve"> would ensure that </w:t>
      </w:r>
      <w:r w:rsidRPr="002927D8">
        <w:t xml:space="preserve">investments </w:t>
      </w:r>
      <w:r>
        <w:t xml:space="preserve">aimed at supporting irrigators and rural communities </w:t>
      </w:r>
      <w:r w:rsidRPr="002927D8">
        <w:t>do not leave a fi</w:t>
      </w:r>
      <w:r>
        <w:t>nancial burden for future users</w:t>
      </w:r>
      <w:r w:rsidRPr="002927D8">
        <w:t xml:space="preserve"> </w:t>
      </w:r>
      <w:r>
        <w:t xml:space="preserve">or have adverse </w:t>
      </w:r>
      <w:r w:rsidRPr="002927D8">
        <w:t>impacts on downstream communities and environments</w:t>
      </w:r>
      <w:r>
        <w:t xml:space="preserve"> </w:t>
      </w:r>
      <w:r w:rsidRPr="00CB54D3">
        <w:t>(chapter 14).</w:t>
      </w:r>
    </w:p>
    <w:p w14:paraId="525C4AB4" w14:textId="0FAD0679" w:rsidR="001054C3" w:rsidRPr="0018266E" w:rsidRDefault="001054C3" w:rsidP="00234FBE">
      <w:pPr>
        <w:pStyle w:val="Heading2"/>
      </w:pPr>
      <w:bookmarkStart w:id="183" w:name="_Toc72939544"/>
      <w:bookmarkEnd w:id="179"/>
      <w:r>
        <w:t>13.</w:t>
      </w:r>
      <w:r>
        <w:rPr>
          <w:noProof/>
        </w:rPr>
        <w:t>4</w:t>
      </w:r>
      <w:bookmarkStart w:id="184" w:name="_Toc63112502"/>
      <w:r>
        <w:tab/>
        <w:t>Community adjustment to lower water availability</w:t>
      </w:r>
      <w:bookmarkEnd w:id="183"/>
      <w:bookmarkEnd w:id="184"/>
    </w:p>
    <w:p w14:paraId="39AAC364" w14:textId="77777777" w:rsidR="001054C3" w:rsidRDefault="001054C3" w:rsidP="00234FBE">
      <w:pPr>
        <w:pStyle w:val="BodyText"/>
      </w:pPr>
      <w:r>
        <w:t>Rural communities and economies are dynamic — continually adjusting in response to changing market forces and policy settings.</w:t>
      </w:r>
      <w:r w:rsidRPr="00645B2D">
        <w:t xml:space="preserve"> </w:t>
      </w:r>
      <w:r>
        <w:t>Change, uncertainty and adjustment will continue to be a fact of life for irrigators and irrigation</w:t>
      </w:r>
      <w:r>
        <w:noBreakHyphen/>
        <w:t>dependent communities. Indeed, the NWI expects that entitlement holders bear the risks of changes to the quantity or reliability of water allocations as a result of seasonal or long</w:t>
      </w:r>
      <w:r>
        <w:noBreakHyphen/>
        <w:t>term changes in climate, and natural events such as bushfires and drought.</w:t>
      </w:r>
      <w:r w:rsidRPr="001513C6">
        <w:rPr>
          <w:rStyle w:val="FootnoteReference"/>
        </w:rPr>
        <w:footnoteReference w:id="40"/>
      </w:r>
    </w:p>
    <w:p w14:paraId="6716B1A9" w14:textId="77777777" w:rsidR="001054C3" w:rsidRDefault="001054C3" w:rsidP="00234FBE">
      <w:pPr>
        <w:pStyle w:val="BodyText"/>
        <w:keepNext/>
        <w:rPr>
          <w:spacing w:val="-2"/>
        </w:rPr>
      </w:pPr>
      <w:r w:rsidRPr="00472581">
        <w:rPr>
          <w:spacing w:val="-2"/>
        </w:rPr>
        <w:t>The NWI recognised that water policy reform would lead to reduced water for consumptive use in some communities, contributing to adjustment pressures. In 2004, jurisdictions agreed:</w:t>
      </w:r>
    </w:p>
    <w:p w14:paraId="6CAA9488" w14:textId="77777777" w:rsidR="001054C3" w:rsidRDefault="001054C3" w:rsidP="00234FBE">
      <w:pPr>
        <w:pStyle w:val="Quote"/>
      </w:pPr>
      <w:r>
        <w:t xml:space="preserve">… to address </w:t>
      </w:r>
      <w:r w:rsidRPr="00472581">
        <w:t>significant</w:t>
      </w:r>
      <w:r>
        <w:t xml:space="preserve"> adjustment issues affecting water access entitlement holders and communities that may arise from reductions in water availability as a result of implementing the reforms proposed in this Agreement.</w:t>
      </w:r>
      <w:r w:rsidRPr="001513C6">
        <w:rPr>
          <w:rStyle w:val="FootnoteReference"/>
        </w:rPr>
        <w:footnoteReference w:id="41"/>
      </w:r>
    </w:p>
    <w:p w14:paraId="67111413" w14:textId="62D8FB77" w:rsidR="001054C3" w:rsidRDefault="001054C3" w:rsidP="00234FBE">
      <w:pPr>
        <w:pStyle w:val="BodyText"/>
      </w:pPr>
      <w:r w:rsidRPr="00D93E91">
        <w:t xml:space="preserve">Since </w:t>
      </w:r>
      <w:r>
        <w:t>then</w:t>
      </w:r>
      <w:r w:rsidRPr="00D93E91">
        <w:t>, concerns about significant adjustment issues associated with water reforms have mainly arisen in the MDB, where most highly</w:t>
      </w:r>
      <w:r>
        <w:noBreakHyphen/>
      </w:r>
      <w:r w:rsidRPr="00D93E91">
        <w:t>developed water resources are located</w:t>
      </w:r>
      <w:r>
        <w:t>, and where there has been significant water recovery efforts by</w:t>
      </w:r>
      <w:r w:rsidRPr="00595F97">
        <w:t xml:space="preserve"> </w:t>
      </w:r>
      <w:r>
        <w:t xml:space="preserve">government. </w:t>
      </w:r>
      <w:bookmarkStart w:id="185" w:name="_Hlk58318316"/>
      <w:r>
        <w:t xml:space="preserve">Although governments implemented water recovery in ways they considered would moderate impacts, </w:t>
      </w:r>
      <w:bookmarkEnd w:id="185"/>
      <w:r>
        <w:t>there have still been significant effects in some communities, and governments have provided assistance in response.</w:t>
      </w:r>
      <w:r w:rsidRPr="00A30C56">
        <w:t xml:space="preserve"> </w:t>
      </w:r>
      <w:r>
        <w:t xml:space="preserve">By 2018, government spending on specific assistance programs was $189 million </w:t>
      </w:r>
      <w:r w:rsidRPr="001D3FBD">
        <w:rPr>
          <w:szCs w:val="24"/>
        </w:rPr>
        <w:t>(PC 2018, p.</w:t>
      </w:r>
      <w:r w:rsidRPr="00AB195F">
        <w:rPr>
          <w:szCs w:val="24"/>
        </w:rPr>
        <w:t> 114)</w:t>
      </w:r>
      <w:r>
        <w:t xml:space="preserve">, and in </w:t>
      </w:r>
      <w:r w:rsidRPr="002927D8">
        <w:t xml:space="preserve">2019 </w:t>
      </w:r>
      <w:r>
        <w:t xml:space="preserve">the </w:t>
      </w:r>
      <w:r w:rsidRPr="002927D8">
        <w:t>Australian Government approved further funding of up to $39</w:t>
      </w:r>
      <w:r>
        <w:t> </w:t>
      </w:r>
      <w:r w:rsidRPr="002927D8">
        <w:t xml:space="preserve">million for </w:t>
      </w:r>
      <w:r>
        <w:t>MDB</w:t>
      </w:r>
      <w:r w:rsidRPr="002927D8">
        <w:t xml:space="preserve"> communities</w:t>
      </w:r>
      <w:r>
        <w:t xml:space="preserve"> </w:t>
      </w:r>
      <w:r w:rsidRPr="002927D8">
        <w:t>(</w:t>
      </w:r>
      <w:r w:rsidRPr="006C0D40">
        <w:rPr>
          <w:i/>
          <w:iCs/>
        </w:rPr>
        <w:t>Assessment</w:t>
      </w:r>
      <w:r w:rsidRPr="002927D8">
        <w:t>).</w:t>
      </w:r>
    </w:p>
    <w:p w14:paraId="153C01AF" w14:textId="756F9287" w:rsidR="001054C3" w:rsidRDefault="001054C3" w:rsidP="00234FBE">
      <w:pPr>
        <w:pStyle w:val="BodyText"/>
      </w:pPr>
      <w:r>
        <w:lastRenderedPageBreak/>
        <w:t xml:space="preserve">But there is little evidence that past programs have been effective in supporting communities to adjust </w:t>
      </w:r>
      <w:r w:rsidRPr="001126FC">
        <w:rPr>
          <w:szCs w:val="24"/>
        </w:rPr>
        <w:t>(PC 2018, p.</w:t>
      </w:r>
      <w:r w:rsidRPr="000104EA">
        <w:rPr>
          <w:szCs w:val="24"/>
        </w:rPr>
        <w:t> 116)</w:t>
      </w:r>
      <w:r>
        <w:t>. Many</w:t>
      </w:r>
      <w:r w:rsidRPr="00C1502A">
        <w:t xml:space="preserve"> </w:t>
      </w:r>
      <w:r>
        <w:t>inquiry participants</w:t>
      </w:r>
      <w:r w:rsidRPr="00C1502A">
        <w:t xml:space="preserve"> </w:t>
      </w:r>
      <w:r>
        <w:t>cited</w:t>
      </w:r>
      <w:r w:rsidRPr="00C1502A">
        <w:t xml:space="preserve"> inadequate monitoring and public</w:t>
      </w:r>
      <w:r>
        <w:t xml:space="preserve"> reporting of program outcomes, and observed </w:t>
      </w:r>
      <w:r w:rsidRPr="00C1502A">
        <w:t>that program</w:t>
      </w:r>
      <w:r>
        <w:t xml:space="preserve">s had been poorly implemented and/or </w:t>
      </w:r>
      <w:r w:rsidRPr="00C1502A">
        <w:t>ineffective</w:t>
      </w:r>
      <w:r w:rsidRPr="00C07B18">
        <w:t>. A</w:t>
      </w:r>
      <w:r>
        <w:t>nd a</w:t>
      </w:r>
      <w:r w:rsidRPr="00C07B18">
        <w:t xml:space="preserve"> recent assessment has highlighted the ongoing adjustment challenges facing some MDB communities</w:t>
      </w:r>
      <w:r>
        <w:t xml:space="preserve"> </w:t>
      </w:r>
      <w:r w:rsidR="00C67DB3" w:rsidRPr="00C67DB3">
        <w:rPr>
          <w:szCs w:val="24"/>
        </w:rPr>
        <w:t>(Sefton et al. 2020a)</w:t>
      </w:r>
      <w:r>
        <w:t>.</w:t>
      </w:r>
    </w:p>
    <w:p w14:paraId="3A1955D0" w14:textId="51A2A484" w:rsidR="001054C3" w:rsidRDefault="001054C3" w:rsidP="00234FBE">
      <w:pPr>
        <w:pStyle w:val="BodyText"/>
      </w:pPr>
      <w:r>
        <w:t xml:space="preserve">Governments have a role to play in supporting communities to adjust to change where it is policy induced. Previous work by the Commission provides some general guidance on how this can be achieved most effectively </w:t>
      </w:r>
      <w:r w:rsidR="00C67DB3" w:rsidRPr="00C67DB3">
        <w:rPr>
          <w:szCs w:val="24"/>
        </w:rPr>
        <w:t>(PC 2001, 2017c)</w:t>
      </w:r>
      <w:r>
        <w:t>.</w:t>
      </w:r>
    </w:p>
    <w:p w14:paraId="78FDF216" w14:textId="77777777" w:rsidR="001054C3" w:rsidRDefault="001054C3" w:rsidP="00234FBE">
      <w:pPr>
        <w:pStyle w:val="BodyText"/>
      </w:pPr>
      <w:bookmarkStart w:id="186" w:name="_Hlk58243338"/>
      <w:r>
        <w:t>As a first step, evaluation of the potential socioeconomic impacts of a major policy proposal can help identify the types of support a community might need. Critical to this is e</w:t>
      </w:r>
      <w:r w:rsidRPr="005B6C55">
        <w:t>ffective community partnerships and engagement</w:t>
      </w:r>
      <w:r>
        <w:t xml:space="preserve">, and building an </w:t>
      </w:r>
      <w:r w:rsidRPr="005B6C55">
        <w:t xml:space="preserve">understanding </w:t>
      </w:r>
      <w:r>
        <w:t xml:space="preserve">of </w:t>
      </w:r>
      <w:r w:rsidRPr="005B6C55">
        <w:t>the wider context</w:t>
      </w:r>
      <w:r>
        <w:t xml:space="preserve"> shaping </w:t>
      </w:r>
      <w:r w:rsidRPr="005B6C55">
        <w:t>regional communities</w:t>
      </w:r>
      <w:r>
        <w:t xml:space="preserve"> other than, or in addition to, water availability.</w:t>
      </w:r>
    </w:p>
    <w:bookmarkEnd w:id="186"/>
    <w:p w14:paraId="413D3AEA" w14:textId="77777777" w:rsidR="001054C3" w:rsidRDefault="001054C3" w:rsidP="00234FBE">
      <w:pPr>
        <w:pStyle w:val="BodyText"/>
      </w:pPr>
      <w:r>
        <w:t xml:space="preserve">When adjustment pressures emerge, </w:t>
      </w:r>
      <w:r w:rsidRPr="002B63F4">
        <w:t xml:space="preserve">governments </w:t>
      </w:r>
      <w:r>
        <w:t>provide</w:t>
      </w:r>
      <w:r w:rsidRPr="002B63F4">
        <w:t xml:space="preserve"> </w:t>
      </w:r>
      <w:r>
        <w:t>a range of generally</w:t>
      </w:r>
      <w:r>
        <w:noBreakHyphen/>
        <w:t xml:space="preserve">available supports. Social security and welfare services (primarily the responsibility of the Australian Government) provide support to individuals and families </w:t>
      </w:r>
      <w:bookmarkStart w:id="187" w:name="_Hlk58243579"/>
      <w:r>
        <w:t>where adjustment pressures lead to falls in income</w:t>
      </w:r>
      <w:bookmarkEnd w:id="187"/>
      <w:r>
        <w:t>. And measures such as education and training and advice about new business opportunities (usually a State or Territory Government responsibility) may help individuals transition to new employment.</w:t>
      </w:r>
    </w:p>
    <w:p w14:paraId="650A05D6" w14:textId="4FCCE509" w:rsidR="001054C3" w:rsidRDefault="001054C3" w:rsidP="00234FBE">
      <w:pPr>
        <w:pStyle w:val="BodyText"/>
      </w:pPr>
      <w:r>
        <w:t xml:space="preserve">Additional supports are also generally available for those living in rural communities. For example, the Australian Government funds the Rural Financial Counselling Service which aims to support farmers, forest growers and harvesters, and related small business owners experiencing, or at risk of, financial hardship </w:t>
      </w:r>
      <w:r w:rsidRPr="001577F5">
        <w:rPr>
          <w:szCs w:val="24"/>
        </w:rPr>
        <w:t>(DAWE 2020)</w:t>
      </w:r>
      <w:r>
        <w:t>.</w:t>
      </w:r>
    </w:p>
    <w:p w14:paraId="4C8ED2FC" w14:textId="77777777" w:rsidR="001054C3" w:rsidRDefault="001054C3" w:rsidP="00234FBE">
      <w:pPr>
        <w:pStyle w:val="BodyText"/>
      </w:pPr>
      <w:r>
        <w:t>For wider rural communities, regional development policy</w:t>
      </w:r>
      <w:r w:rsidRPr="00B00991">
        <w:t xml:space="preserve"> </w:t>
      </w:r>
      <w:r>
        <w:t xml:space="preserve">and strategic planning (the responsibility of </w:t>
      </w:r>
      <w:r>
        <w:rPr>
          <w:spacing w:val="-2"/>
        </w:rPr>
        <w:t>S</w:t>
      </w:r>
      <w:r w:rsidRPr="000269C8">
        <w:rPr>
          <w:spacing w:val="-2"/>
        </w:rPr>
        <w:t xml:space="preserve">tate, </w:t>
      </w:r>
      <w:r>
        <w:rPr>
          <w:spacing w:val="-2"/>
        </w:rPr>
        <w:t>T</w:t>
      </w:r>
      <w:r w:rsidRPr="000269C8">
        <w:rPr>
          <w:spacing w:val="-2"/>
        </w:rPr>
        <w:t xml:space="preserve">erritory and </w:t>
      </w:r>
      <w:r>
        <w:rPr>
          <w:spacing w:val="-2"/>
        </w:rPr>
        <w:t>L</w:t>
      </w:r>
      <w:r w:rsidRPr="000269C8">
        <w:rPr>
          <w:spacing w:val="-2"/>
        </w:rPr>
        <w:t xml:space="preserve">ocal </w:t>
      </w:r>
      <w:r>
        <w:rPr>
          <w:spacing w:val="-2"/>
        </w:rPr>
        <w:t>G</w:t>
      </w:r>
      <w:r w:rsidRPr="000269C8">
        <w:rPr>
          <w:spacing w:val="-2"/>
        </w:rPr>
        <w:t xml:space="preserve">overnments) </w:t>
      </w:r>
      <w:r>
        <w:rPr>
          <w:spacing w:val="-2"/>
        </w:rPr>
        <w:t xml:space="preserve">should </w:t>
      </w:r>
      <w:r w:rsidRPr="000269C8">
        <w:rPr>
          <w:spacing w:val="-2"/>
        </w:rPr>
        <w:t>identify priorities for transition</w:t>
      </w:r>
      <w:r>
        <w:t xml:space="preserve"> and development that build on regional capabilities and</w:t>
      </w:r>
      <w:r w:rsidRPr="00BD3BF0">
        <w:t xml:space="preserve"> local competitive advantages.</w:t>
      </w:r>
    </w:p>
    <w:p w14:paraId="1E40EB22" w14:textId="77777777" w:rsidR="001054C3" w:rsidRDefault="001054C3" w:rsidP="00234FBE">
      <w:pPr>
        <w:pStyle w:val="BodyText"/>
      </w:pPr>
      <w:r>
        <w:t>Several inquiry participants agreed that generally</w:t>
      </w:r>
      <w:r>
        <w:noBreakHyphen/>
        <w:t>available measures are the most appropriate response to adjustment pressures (for example, CNSWJO, sub. DR164, p. 16; IWF, sub. DR120, p. 6; LBA, sub. DR133, p. 15).</w:t>
      </w:r>
    </w:p>
    <w:p w14:paraId="3B894C2C" w14:textId="77777777" w:rsidR="001054C3" w:rsidRDefault="001054C3" w:rsidP="00234FBE">
      <w:pPr>
        <w:pStyle w:val="BodyText"/>
      </w:pPr>
      <w:r>
        <w:t xml:space="preserve">Nevertheless, in rare circumstances, water policy changes that are beneficial to the wider community can impose increased risk </w:t>
      </w:r>
      <w:r w:rsidRPr="00AF00D4">
        <w:t xml:space="preserve">of permanent disadvantage for </w:t>
      </w:r>
      <w:r>
        <w:t xml:space="preserve">some </w:t>
      </w:r>
      <w:r w:rsidRPr="00AF00D4">
        <w:t>group</w:t>
      </w:r>
      <w:r>
        <w:t>s</w:t>
      </w:r>
      <w:r w:rsidRPr="00AF00D4">
        <w:t xml:space="preserve"> </w:t>
      </w:r>
      <w:r>
        <w:t>that cannot be adequately addressed through generally</w:t>
      </w:r>
      <w:r>
        <w:noBreakHyphen/>
        <w:t xml:space="preserve">available </w:t>
      </w:r>
      <w:r w:rsidRPr="005E4A0B">
        <w:t xml:space="preserve">adjustment </w:t>
      </w:r>
      <w:r>
        <w:t>assistance. In these circumstances, additional support may be warranted</w:t>
      </w:r>
      <w:r w:rsidRPr="00373578">
        <w:t xml:space="preserve"> </w:t>
      </w:r>
      <w:r>
        <w:t>— particularly if it</w:t>
      </w:r>
      <w:r w:rsidRPr="00373578">
        <w:t xml:space="preserve"> improve</w:t>
      </w:r>
      <w:r>
        <w:t>s</w:t>
      </w:r>
      <w:r w:rsidRPr="00373578">
        <w:t xml:space="preserve"> the efficiency of the adjustment process by </w:t>
      </w:r>
      <w:r>
        <w:t>helping those affected adapt to change</w:t>
      </w:r>
      <w:r w:rsidRPr="00373578">
        <w:t>.</w:t>
      </w:r>
    </w:p>
    <w:p w14:paraId="1D3BFF24" w14:textId="58FBF6B4" w:rsidR="001054C3" w:rsidRDefault="001054C3" w:rsidP="00234FBE">
      <w:pPr>
        <w:pStyle w:val="BodyText"/>
      </w:pPr>
      <w:bookmarkStart w:id="188" w:name="_Hlk57713321"/>
      <w:r>
        <w:t>This s</w:t>
      </w:r>
      <w:r w:rsidRPr="00F752E2">
        <w:t xml:space="preserve">upport could take the form of policy </w:t>
      </w:r>
      <w:r w:rsidRPr="007D1153">
        <w:t xml:space="preserve">modification, </w:t>
      </w:r>
      <w:r w:rsidRPr="00F752E2">
        <w:t xml:space="preserve">but this risks conferring benefits on a </w:t>
      </w:r>
      <w:r>
        <w:t>minority,</w:t>
      </w:r>
      <w:r w:rsidRPr="00F752E2">
        <w:t xml:space="preserve"> and larger</w:t>
      </w:r>
      <w:r>
        <w:noBreakHyphen/>
      </w:r>
      <w:r w:rsidRPr="00F752E2">
        <w:t>than</w:t>
      </w:r>
      <w:r>
        <w:noBreakHyphen/>
      </w:r>
      <w:r w:rsidRPr="00F752E2">
        <w:t xml:space="preserve">necessary costs on the broader community. </w:t>
      </w:r>
      <w:bookmarkEnd w:id="188"/>
      <w:r>
        <w:t>For example, r</w:t>
      </w:r>
      <w:r w:rsidRPr="00F752E2">
        <w:t>ecover</w:t>
      </w:r>
      <w:r>
        <w:t xml:space="preserve">ing water by modernising infrastructure in the MDB, rather than directly purchasing entitlements, is estimated to have increased the budgetary cost by about $2 billion </w:t>
      </w:r>
      <w:r w:rsidRPr="00791BF7">
        <w:rPr>
          <w:szCs w:val="24"/>
        </w:rPr>
        <w:t xml:space="preserve">(PC 2018, </w:t>
      </w:r>
      <w:r w:rsidRPr="00791BF7">
        <w:rPr>
          <w:szCs w:val="24"/>
        </w:rPr>
        <w:lastRenderedPageBreak/>
        <w:t>p. 81)</w:t>
      </w:r>
      <w:r>
        <w:t xml:space="preserve">. Moreover, it has </w:t>
      </w:r>
      <w:r w:rsidRPr="00F752E2">
        <w:t xml:space="preserve">put entitlement holders </w:t>
      </w:r>
      <w:r>
        <w:t>who</w:t>
      </w:r>
      <w:r w:rsidRPr="00F752E2">
        <w:t xml:space="preserve"> participated in earlier water market purchases and the communities that depend on them at a relative disadvantage</w:t>
      </w:r>
      <w:r>
        <w:t>.</w:t>
      </w:r>
    </w:p>
    <w:p w14:paraId="21B7C2AD" w14:textId="36540CC2" w:rsidR="001054C3" w:rsidRDefault="001054C3" w:rsidP="00234FBE">
      <w:pPr>
        <w:pStyle w:val="Quote"/>
      </w:pPr>
      <w:r>
        <w:t>Farms, farming regions and towns that have more water recovered through on</w:t>
      </w:r>
      <w:r>
        <w:noBreakHyphen/>
        <w:t xml:space="preserve">farm irrigation infrastructure upgrades have gained a competitive advantage compared with farms, farming regions and towns that have sold more of their water to the Australian Government through open tender buybacks. </w:t>
      </w:r>
      <w:r w:rsidR="00C67DB3" w:rsidRPr="00C67DB3">
        <w:rPr>
          <w:szCs w:val="24"/>
        </w:rPr>
        <w:t>(Sefton et al. 2020a, p. 22)</w:t>
      </w:r>
    </w:p>
    <w:p w14:paraId="21B41BF9" w14:textId="598B481A" w:rsidR="001054C3" w:rsidRDefault="001054C3">
      <w:pPr>
        <w:pStyle w:val="BodyText"/>
      </w:pPr>
      <w:bookmarkStart w:id="189" w:name="_Hlk58246196"/>
      <w:r>
        <w:t>B</w:t>
      </w:r>
      <w:r w:rsidRPr="007E0379">
        <w:t xml:space="preserve">etter outcomes could be achieved at </w:t>
      </w:r>
      <w:r>
        <w:t xml:space="preserve">a </w:t>
      </w:r>
      <w:r w:rsidRPr="007E0379">
        <w:t>lower cost</w:t>
      </w:r>
      <w:r>
        <w:t xml:space="preserve"> by addressing adjustment separately from the main policy reform. </w:t>
      </w:r>
      <w:r w:rsidRPr="00B65262">
        <w:t xml:space="preserve">For example, Wittwer </w:t>
      </w:r>
      <w:r w:rsidRPr="00F623A0">
        <w:rPr>
          <w:szCs w:val="24"/>
        </w:rPr>
        <w:t>(2020, p. 18)</w:t>
      </w:r>
      <w:r w:rsidRPr="00B65262">
        <w:t xml:space="preserve"> found that each dollar spent on human services (the health, education and community care sectors) creates four times as many jobs as spending on </w:t>
      </w:r>
      <w:r>
        <w:t xml:space="preserve">water </w:t>
      </w:r>
      <w:r w:rsidRPr="00B65262">
        <w:t>infrastructure upgrades.</w:t>
      </w:r>
    </w:p>
    <w:p w14:paraId="15A1F0FB" w14:textId="77777777" w:rsidR="001054C3" w:rsidRDefault="001054C3" w:rsidP="00234FBE">
      <w:pPr>
        <w:pStyle w:val="BodyText"/>
      </w:pPr>
      <w:r>
        <w:t>Before establishing new stand</w:t>
      </w:r>
      <w:r>
        <w:noBreakHyphen/>
        <w:t>alone community assistance programs, jurisdictions should consider how existing regional and economic development programs (not related to water) could support the adjustment process.</w:t>
      </w:r>
      <w:r w:rsidRPr="005B6C55">
        <w:t xml:space="preserve"> They should also consider whether </w:t>
      </w:r>
      <w:r>
        <w:t xml:space="preserve">broader </w:t>
      </w:r>
      <w:r w:rsidRPr="005B6C55">
        <w:t>policies and regulations (not directly related to water) unnecessarily impede change.</w:t>
      </w:r>
    </w:p>
    <w:p w14:paraId="00A698A4" w14:textId="77777777" w:rsidR="001054C3" w:rsidRDefault="001054C3" w:rsidP="00234FBE">
      <w:pPr>
        <w:pStyle w:val="BodyText"/>
      </w:pPr>
      <w:r>
        <w:t>Options for assistance need to be considered on a case</w:t>
      </w:r>
      <w:r>
        <w:noBreakHyphen/>
        <w:t>by</w:t>
      </w:r>
      <w:r>
        <w:noBreakHyphen/>
        <w:t>case basis and consider all factors affecting a community (not just changing water availability).</w:t>
      </w:r>
      <w:r w:rsidRPr="00D6207F">
        <w:t xml:space="preserve"> </w:t>
      </w:r>
      <w:r>
        <w:t>T</w:t>
      </w:r>
      <w:r w:rsidRPr="00D6207F">
        <w:t>he chosen option should be the one that is expected to deliver the largest benefits relative to costs.</w:t>
      </w:r>
    </w:p>
    <w:p w14:paraId="123A7BAF" w14:textId="77777777" w:rsidR="001054C3" w:rsidRDefault="001054C3" w:rsidP="00234FBE">
      <w:pPr>
        <w:pStyle w:val="BodyText"/>
      </w:pPr>
      <w:bookmarkStart w:id="190" w:name="_Hlk57715534"/>
      <w:bookmarkEnd w:id="189"/>
      <w:r>
        <w:t xml:space="preserve">Any further assistance should </w:t>
      </w:r>
      <w:r w:rsidRPr="0025035E">
        <w:t xml:space="preserve">build on existing support </w:t>
      </w:r>
      <w:r>
        <w:t xml:space="preserve">and be focused </w:t>
      </w:r>
      <w:r w:rsidRPr="00FA69F1">
        <w:t xml:space="preserve">on </w:t>
      </w:r>
      <w:r>
        <w:t xml:space="preserve">supporting communities to </w:t>
      </w:r>
      <w:r w:rsidRPr="006E79AF">
        <w:t>adapt</w:t>
      </w:r>
      <w:r>
        <w:t xml:space="preserve"> </w:t>
      </w:r>
      <w:r w:rsidRPr="006E79AF">
        <w:t>to a future with less water</w:t>
      </w:r>
      <w:r>
        <w:t>. Measures should aim to</w:t>
      </w:r>
      <w:r w:rsidRPr="00FA69F1">
        <w:t xml:space="preserve"> </w:t>
      </w:r>
      <w:r>
        <w:t xml:space="preserve">improve adaptive capacity and </w:t>
      </w:r>
      <w:r w:rsidRPr="00FA69F1">
        <w:t>secur</w:t>
      </w:r>
      <w:r>
        <w:t>e</w:t>
      </w:r>
      <w:r w:rsidRPr="00FA69F1">
        <w:t xml:space="preserve"> employment or business opportunities</w:t>
      </w:r>
      <w:r>
        <w:t xml:space="preserve"> and be </w:t>
      </w:r>
      <w:r w:rsidRPr="00AC40F3">
        <w:t>targeted to individuals who are most vulnerable (at risk of permanent disadvantage)</w:t>
      </w:r>
      <w:r>
        <w:t>. For example, this could include targeted programs</w:t>
      </w:r>
      <w:r w:rsidRPr="00053435">
        <w:t xml:space="preserve"> to </w:t>
      </w:r>
      <w:r>
        <w:t xml:space="preserve">help </w:t>
      </w:r>
      <w:r w:rsidRPr="00053435">
        <w:t xml:space="preserve">people </w:t>
      </w:r>
      <w:r>
        <w:t>gain</w:t>
      </w:r>
      <w:r w:rsidRPr="00053435">
        <w:t xml:space="preserve"> new skills and </w:t>
      </w:r>
      <w:r>
        <w:t>find</w:t>
      </w:r>
      <w:r w:rsidRPr="00053435">
        <w:t xml:space="preserve"> employment in more </w:t>
      </w:r>
      <w:r w:rsidRPr="00522004">
        <w:t>profitable and viable industries or occupations (within or outside of their community).</w:t>
      </w:r>
    </w:p>
    <w:p w14:paraId="68A7B394" w14:textId="77777777" w:rsidR="001054C3" w:rsidRDefault="001054C3" w:rsidP="00234FBE">
      <w:pPr>
        <w:pStyle w:val="BodyText"/>
      </w:pPr>
      <w:r w:rsidRPr="00446F6B">
        <w:t>Industry assistance and subsidies should be avoided as they have a tendency to lead to inequitable outcomes or lock in inefficient production (which is subsidised by taxpayers and diverts resources from other uses in the region or the broader economy).</w:t>
      </w:r>
    </w:p>
    <w:p w14:paraId="04A1134B" w14:textId="77777777" w:rsidR="001054C3" w:rsidRDefault="001054C3" w:rsidP="00234FBE">
      <w:pPr>
        <w:pStyle w:val="BodyText"/>
      </w:pPr>
      <w:r>
        <w:t>Some inquiry participants disagreed, arguing that industry assistance is needed in some cases (NFF, sub. DR178, p. 42; NIC, sub. DR174, p. 30; SunRice and RGA, sub. DR181, p. 12). SunRice and Ricegrowers’ Association of Australia noted that:</w:t>
      </w:r>
    </w:p>
    <w:p w14:paraId="326DC9DC" w14:textId="77777777" w:rsidR="001054C3" w:rsidRDefault="001054C3" w:rsidP="00234FBE">
      <w:pPr>
        <w:pStyle w:val="Quote"/>
      </w:pPr>
      <w:r>
        <w:t xml:space="preserve">[There are] … limits to the creation of new jobs and busines opportunities in the impacted communities … </w:t>
      </w:r>
      <w:r w:rsidRPr="007F3460">
        <w:t xml:space="preserve">These individuals are often irrigation farmers who have invested much of their equity in developing their irrigation business. When water reform </w:t>
      </w:r>
      <w:r>
        <w:t>…</w:t>
      </w:r>
      <w:r w:rsidRPr="007F3460">
        <w:t xml:space="preserve"> significantly handicaps their irrigation enterprise they cannot simply just leave their businesses and change careers</w:t>
      </w:r>
      <w:r>
        <w:t>.</w:t>
      </w:r>
      <w:r w:rsidRPr="00036778">
        <w:t xml:space="preserve"> </w:t>
      </w:r>
      <w:r>
        <w:t>(sub. DR181, pp. 11–12)</w:t>
      </w:r>
    </w:p>
    <w:p w14:paraId="38E5DDCE" w14:textId="6C84BA63" w:rsidR="001054C3" w:rsidRDefault="001054C3" w:rsidP="00234FBE">
      <w:pPr>
        <w:pStyle w:val="BodyText"/>
      </w:pPr>
      <w:r>
        <w:t xml:space="preserve">The Commission maintains its view that industry assistance and subsidies should be avoided as they are often costly, ineffective, poorly targeted, inequitable and reduce incentives for industries to plan and adapt to change </w:t>
      </w:r>
      <w:r w:rsidR="00C67DB3" w:rsidRPr="00C67DB3">
        <w:rPr>
          <w:szCs w:val="24"/>
        </w:rPr>
        <w:t>(Daly and Lancy 2011, pp. 25–27; PC 2009, p. 123, 2017c, p. 185)</w:t>
      </w:r>
      <w:r>
        <w:t>. Measures that help impacted communities adapt to changing water availability would be more effective and sustainable in the longer term.</w:t>
      </w:r>
    </w:p>
    <w:p w14:paraId="657AFC5A" w14:textId="77777777" w:rsidR="001054C3" w:rsidRDefault="001054C3" w:rsidP="00234FBE">
      <w:pPr>
        <w:pStyle w:val="BodyText"/>
      </w:pPr>
      <w:r>
        <w:lastRenderedPageBreak/>
        <w:t>Finally, monitoring and publicly reporting evaluations of outcomes of any assistance programs should also be part of any specific response to adjustment issues. Without an understanding of the outcomes of past assistance initiatives, and what drove them, it is difficult to improve future initiatives. Evaluation information from past assistance programs also enables stakeholders in community consultations to have more informed input into decision</w:t>
      </w:r>
      <w:r>
        <w:noBreakHyphen/>
        <w:t>making processes. And, project evaluations serve an important transparency and accountability function that can deter future poor decisions on adjustment assistance.</w:t>
      </w:r>
    </w:p>
    <w:bookmarkEnd w:id="190"/>
    <w:p w14:paraId="3A3004B4"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98BBE5" w:themeFill="background2" w:themeFillTint="66"/>
        <w:tblCellMar>
          <w:left w:w="142" w:type="dxa"/>
          <w:right w:w="142" w:type="dxa"/>
        </w:tblCellMar>
        <w:tblLook w:val="0000" w:firstRow="0" w:lastRow="0" w:firstColumn="0" w:lastColumn="0" w:noHBand="0" w:noVBand="0"/>
        <w:tblDescription w:val="Table used for design layout: recommendation"/>
      </w:tblPr>
      <w:tblGrid>
        <w:gridCol w:w="8789"/>
      </w:tblGrid>
      <w:tr w:rsidR="001054C3" w:rsidRPr="00386625" w14:paraId="7E502D94" w14:textId="77777777" w:rsidTr="00234FBE">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5F313878" w14:textId="77777777" w:rsidR="001054C3" w:rsidRPr="00386625" w:rsidRDefault="001054C3" w:rsidP="00234FBE">
            <w:pPr>
              <w:pStyle w:val="RecTitle"/>
              <w:spacing w:before="120"/>
              <w:rPr>
                <w:noProof/>
                <w:spacing w:val="-2"/>
              </w:rPr>
            </w:pPr>
            <w:r w:rsidRPr="00386625">
              <w:rPr>
                <w:spacing w:val="-2"/>
              </w:rPr>
              <w:t>NWI Renewal Advice 1</w:t>
            </w:r>
            <w:r>
              <w:rPr>
                <w:spacing w:val="-2"/>
              </w:rPr>
              <w:t>3</w:t>
            </w:r>
            <w:r w:rsidRPr="00386625">
              <w:rPr>
                <w:spacing w:val="-2"/>
              </w:rPr>
              <w:t>.1: helping communities deal with adjustment pressures</w:t>
            </w:r>
          </w:p>
        </w:tc>
      </w:tr>
      <w:tr w:rsidR="001054C3" w:rsidRPr="00750BE2" w14:paraId="3C82D41B"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64F18CBC" w14:textId="77777777" w:rsidR="001054C3" w:rsidRDefault="001054C3" w:rsidP="00234FBE">
            <w:pPr>
              <w:pStyle w:val="Rec"/>
              <w:keepNext/>
              <w:rPr>
                <w:rFonts w:asciiTheme="minorHAnsi" w:hAnsiTheme="minorHAnsi" w:cstheme="minorHAnsi"/>
                <w:szCs w:val="22"/>
              </w:rPr>
            </w:pPr>
            <w:r>
              <w:rPr>
                <w:rFonts w:asciiTheme="minorHAnsi" w:hAnsiTheme="minorHAnsi" w:cstheme="minorHAnsi"/>
                <w:szCs w:val="22"/>
              </w:rPr>
              <w:t xml:space="preserve">Inclusion of guiding </w:t>
            </w:r>
            <w:r w:rsidRPr="001A720A">
              <w:rPr>
                <w:rFonts w:asciiTheme="minorHAnsi" w:hAnsiTheme="minorHAnsi" w:cstheme="minorHAnsi"/>
                <w:szCs w:val="22"/>
              </w:rPr>
              <w:t xml:space="preserve">principles </w:t>
            </w:r>
            <w:r>
              <w:rPr>
                <w:rFonts w:asciiTheme="minorHAnsi" w:hAnsiTheme="minorHAnsi" w:cstheme="minorHAnsi"/>
                <w:szCs w:val="22"/>
              </w:rPr>
              <w:t xml:space="preserve">in a renewed National Water Initiative would clarify how governments can </w:t>
            </w:r>
            <w:r w:rsidRPr="001A720A">
              <w:rPr>
                <w:rFonts w:asciiTheme="minorHAnsi" w:hAnsiTheme="minorHAnsi" w:cstheme="minorHAnsi"/>
                <w:szCs w:val="22"/>
              </w:rPr>
              <w:t>respond</w:t>
            </w:r>
            <w:r>
              <w:rPr>
                <w:rFonts w:asciiTheme="minorHAnsi" w:hAnsiTheme="minorHAnsi" w:cstheme="minorHAnsi"/>
                <w:szCs w:val="22"/>
              </w:rPr>
              <w:t xml:space="preserve"> </w:t>
            </w:r>
            <w:r w:rsidRPr="001A720A">
              <w:rPr>
                <w:rFonts w:asciiTheme="minorHAnsi" w:hAnsiTheme="minorHAnsi" w:cstheme="minorHAnsi"/>
                <w:szCs w:val="22"/>
              </w:rPr>
              <w:t xml:space="preserve">to </w:t>
            </w:r>
            <w:r>
              <w:rPr>
                <w:rFonts w:asciiTheme="minorHAnsi" w:hAnsiTheme="minorHAnsi" w:cstheme="minorHAnsi"/>
                <w:szCs w:val="22"/>
              </w:rPr>
              <w:t xml:space="preserve">any significant community </w:t>
            </w:r>
            <w:r w:rsidRPr="001A720A">
              <w:rPr>
                <w:rFonts w:asciiTheme="minorHAnsi" w:hAnsiTheme="minorHAnsi" w:cstheme="minorHAnsi"/>
                <w:szCs w:val="22"/>
              </w:rPr>
              <w:t xml:space="preserve">adjustment pressures </w:t>
            </w:r>
            <w:r>
              <w:rPr>
                <w:rFonts w:asciiTheme="minorHAnsi" w:hAnsiTheme="minorHAnsi" w:cstheme="minorHAnsi"/>
                <w:szCs w:val="22"/>
              </w:rPr>
              <w:t>resulting from policy</w:t>
            </w:r>
            <w:r>
              <w:rPr>
                <w:rFonts w:asciiTheme="minorHAnsi" w:hAnsiTheme="minorHAnsi" w:cstheme="minorHAnsi"/>
                <w:szCs w:val="22"/>
              </w:rPr>
              <w:noBreakHyphen/>
              <w:t>induced reductions in</w:t>
            </w:r>
            <w:r w:rsidRPr="001A720A">
              <w:rPr>
                <w:rFonts w:asciiTheme="minorHAnsi" w:hAnsiTheme="minorHAnsi" w:cstheme="minorHAnsi"/>
                <w:szCs w:val="22"/>
              </w:rPr>
              <w:t xml:space="preserve"> water availability</w:t>
            </w:r>
            <w:r>
              <w:rPr>
                <w:rFonts w:asciiTheme="minorHAnsi" w:hAnsiTheme="minorHAnsi" w:cstheme="minorHAnsi"/>
                <w:szCs w:val="22"/>
              </w:rPr>
              <w:t>.</w:t>
            </w:r>
          </w:p>
          <w:p w14:paraId="21B0FFCF" w14:textId="77777777" w:rsidR="001054C3" w:rsidRPr="00ED5D9C" w:rsidRDefault="001054C3" w:rsidP="00234FBE">
            <w:pPr>
              <w:pStyle w:val="RecBullet"/>
            </w:pPr>
            <w:r w:rsidRPr="00ED5D9C">
              <w:t>The socioeconomic impacts of any major potential policy change</w:t>
            </w:r>
            <w:r>
              <w:t xml:space="preserve"> </w:t>
            </w:r>
            <w:r w:rsidRPr="00D321AF">
              <w:t>be assessed to identify possible community needs.</w:t>
            </w:r>
            <w:r>
              <w:t xml:space="preserve"> </w:t>
            </w:r>
            <w:r w:rsidRPr="001C37FC">
              <w:t>Effective community partnerships and engagement are critical to understanding the wider context</w:t>
            </w:r>
            <w:r>
              <w:t>.</w:t>
            </w:r>
          </w:p>
          <w:p w14:paraId="1E52772D" w14:textId="77777777" w:rsidR="001054C3" w:rsidRPr="001A720A" w:rsidRDefault="001054C3" w:rsidP="00234FBE">
            <w:pPr>
              <w:pStyle w:val="RecBullet"/>
            </w:pPr>
            <w:r w:rsidRPr="00ED5D9C">
              <w:t>Generally</w:t>
            </w:r>
            <w:r>
              <w:noBreakHyphen/>
            </w:r>
            <w:r w:rsidRPr="00ED5D9C">
              <w:t>available measures</w:t>
            </w:r>
            <w:r>
              <w:t xml:space="preserve"> </w:t>
            </w:r>
            <w:r w:rsidRPr="00E77616">
              <w:t xml:space="preserve">targeting the welfare and skills of individuals, and regional development planning </w:t>
            </w:r>
            <w:r>
              <w:t>and initiatives to leverage</w:t>
            </w:r>
            <w:r w:rsidRPr="00E77616">
              <w:t xml:space="preserve"> community capabilities and competitive advantages are usually the most appropriate responses to adjustment pressures.</w:t>
            </w:r>
          </w:p>
          <w:p w14:paraId="5CB2BE0E" w14:textId="77777777" w:rsidR="001054C3" w:rsidRDefault="001054C3" w:rsidP="00234FBE">
            <w:pPr>
              <w:pStyle w:val="RecBullet"/>
            </w:pPr>
            <w:r>
              <w:t xml:space="preserve">In rare circumstances, it may be appropriate to take additional steps to address adjustment issues if policy changes that are beneficial to the wider community impose increased risk of permanent disadvantage for groups of individuals. Where </w:t>
            </w:r>
            <w:r w:rsidRPr="002D3B97">
              <w:t>generally</w:t>
            </w:r>
            <w:r>
              <w:noBreakHyphen/>
            </w:r>
            <w:r w:rsidRPr="002D3B97">
              <w:t xml:space="preserve">available measures </w:t>
            </w:r>
            <w:r>
              <w:t xml:space="preserve">will be </w:t>
            </w:r>
            <w:r w:rsidRPr="002D3B97">
              <w:t>inadequate</w:t>
            </w:r>
            <w:r>
              <w:t>, more support could improve the efficiency of the adjustment process by addressing impediments to change</w:t>
            </w:r>
            <w:r w:rsidRPr="00B6762A">
              <w:t>.</w:t>
            </w:r>
          </w:p>
          <w:p w14:paraId="50320E94" w14:textId="77777777" w:rsidR="001054C3" w:rsidRDefault="001054C3" w:rsidP="00234FBE">
            <w:pPr>
              <w:pStyle w:val="RecBullet"/>
            </w:pPr>
            <w:r>
              <w:t>Where further support is warranted:</w:t>
            </w:r>
          </w:p>
          <w:p w14:paraId="2B662865" w14:textId="77777777" w:rsidR="001054C3" w:rsidRPr="00EF1543" w:rsidRDefault="001054C3" w:rsidP="008C565C">
            <w:pPr>
              <w:pStyle w:val="RecBullet2"/>
              <w:numPr>
                <w:ilvl w:val="0"/>
                <w:numId w:val="29"/>
              </w:numPr>
            </w:pPr>
            <w:r>
              <w:t>c</w:t>
            </w:r>
            <w:r w:rsidRPr="00EF1543">
              <w:t xml:space="preserve">onsideration should be given to how existing regional development programs support the adjustment process and whether policies and regulations not directly related to water unnecessarily impede </w:t>
            </w:r>
            <w:r>
              <w:t>change</w:t>
            </w:r>
          </w:p>
          <w:p w14:paraId="0928825C" w14:textId="77777777" w:rsidR="001054C3" w:rsidRPr="00EF1543" w:rsidRDefault="001054C3" w:rsidP="008C565C">
            <w:pPr>
              <w:pStyle w:val="RecBullet2"/>
              <w:numPr>
                <w:ilvl w:val="0"/>
                <w:numId w:val="29"/>
              </w:numPr>
            </w:pPr>
            <w:r>
              <w:t>o</w:t>
            </w:r>
            <w:r w:rsidRPr="00EF1543">
              <w:t xml:space="preserve">ptions </w:t>
            </w:r>
            <w:r>
              <w:t xml:space="preserve">for further support </w:t>
            </w:r>
            <w:r w:rsidRPr="00EF1543">
              <w:t>need to be considered on a case</w:t>
            </w:r>
            <w:r>
              <w:noBreakHyphen/>
            </w:r>
            <w:r w:rsidRPr="00EF1543">
              <w:t>by</w:t>
            </w:r>
            <w:r>
              <w:noBreakHyphen/>
            </w:r>
            <w:r w:rsidRPr="00EF1543">
              <w:t>case basis and consider all factors affecting a community (not just changing water availability) and the chosen option should be the one that delivers the largest benefits relative to costs</w:t>
            </w:r>
          </w:p>
          <w:p w14:paraId="721DCAD3" w14:textId="77777777" w:rsidR="001054C3" w:rsidRDefault="001054C3" w:rsidP="008C565C">
            <w:pPr>
              <w:pStyle w:val="RecBullet2"/>
              <w:numPr>
                <w:ilvl w:val="0"/>
                <w:numId w:val="29"/>
              </w:numPr>
            </w:pPr>
            <w:r>
              <w:t xml:space="preserve">measures </w:t>
            </w:r>
            <w:r w:rsidRPr="001A720A">
              <w:t xml:space="preserve">that </w:t>
            </w:r>
            <w:r>
              <w:t xml:space="preserve">are likely to build adaptive capacity and </w:t>
            </w:r>
            <w:r w:rsidRPr="001A720A">
              <w:t>secur</w:t>
            </w:r>
            <w:r>
              <w:t>e</w:t>
            </w:r>
            <w:r w:rsidRPr="001A720A">
              <w:t xml:space="preserve"> employment or business opportunities</w:t>
            </w:r>
            <w:r>
              <w:t xml:space="preserve"> should be the focus, </w:t>
            </w:r>
            <w:r w:rsidRPr="001A720A">
              <w:t xml:space="preserve">and targeted to </w:t>
            </w:r>
            <w:r>
              <w:t xml:space="preserve">the most </w:t>
            </w:r>
            <w:r w:rsidRPr="001A720A">
              <w:t xml:space="preserve">vulnerable </w:t>
            </w:r>
            <w:r>
              <w:t xml:space="preserve">individuals </w:t>
            </w:r>
            <w:r w:rsidRPr="001A720A">
              <w:t>(</w:t>
            </w:r>
            <w:r>
              <w:t xml:space="preserve">those </w:t>
            </w:r>
            <w:r w:rsidRPr="001A720A">
              <w:t>at risk of permanent disadvantage)</w:t>
            </w:r>
          </w:p>
          <w:p w14:paraId="7BFB04D3" w14:textId="77777777" w:rsidR="001054C3" w:rsidRDefault="001054C3" w:rsidP="008C565C">
            <w:pPr>
              <w:pStyle w:val="RecBullet2"/>
              <w:numPr>
                <w:ilvl w:val="0"/>
                <w:numId w:val="29"/>
              </w:numPr>
            </w:pPr>
            <w:r>
              <w:t>industry</w:t>
            </w:r>
            <w:r w:rsidRPr="002D3B97">
              <w:t xml:space="preserve"> assistance </w:t>
            </w:r>
            <w:r>
              <w:t>and subsidies should be avoided</w:t>
            </w:r>
          </w:p>
          <w:p w14:paraId="67F4FC60" w14:textId="77777777" w:rsidR="001054C3" w:rsidRPr="00077A27" w:rsidRDefault="001054C3" w:rsidP="008C565C">
            <w:pPr>
              <w:pStyle w:val="RecBullet2"/>
              <w:numPr>
                <w:ilvl w:val="0"/>
                <w:numId w:val="29"/>
              </w:numPr>
            </w:pPr>
            <w:r>
              <w:t xml:space="preserve">a </w:t>
            </w:r>
            <w:r w:rsidRPr="00B27F8A">
              <w:t xml:space="preserve">commitment </w:t>
            </w:r>
            <w:r>
              <w:t xml:space="preserve">should be made </w:t>
            </w:r>
            <w:r w:rsidRPr="00B27F8A">
              <w:t xml:space="preserve">to public monitoring and evaluation of </w:t>
            </w:r>
            <w:r>
              <w:t>the effectiveness of any assistance.</w:t>
            </w:r>
          </w:p>
        </w:tc>
      </w:tr>
      <w:tr w:rsidR="001054C3" w14:paraId="340B1EF0" w14:textId="77777777" w:rsidTr="00234FBE">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020FD280" w14:textId="77777777" w:rsidR="001054C3" w:rsidRDefault="001054C3" w:rsidP="00234FBE">
            <w:pPr>
              <w:pStyle w:val="Space"/>
              <w:keepLines/>
            </w:pPr>
          </w:p>
        </w:tc>
      </w:tr>
      <w:tr w:rsidR="001054C3" w:rsidRPr="000863A5" w14:paraId="2FBBC431" w14:textId="77777777" w:rsidTr="00234FBE">
        <w:tc>
          <w:tcPr>
            <w:tcW w:w="5000" w:type="pct"/>
            <w:tcBorders>
              <w:top w:val="single" w:sz="4" w:space="0" w:color="265A9A" w:themeColor="background2"/>
              <w:left w:val="nil"/>
              <w:bottom w:val="nil"/>
              <w:right w:val="nil"/>
            </w:tcBorders>
            <w:shd w:val="clear" w:color="auto" w:fill="auto"/>
            <w:tcMar>
              <w:left w:w="170" w:type="dxa"/>
              <w:right w:w="170" w:type="dxa"/>
            </w:tcMar>
          </w:tcPr>
          <w:p w14:paraId="29AEBE00" w14:textId="77777777" w:rsidR="001054C3" w:rsidRPr="00626D32" w:rsidRDefault="001054C3" w:rsidP="00234FBE">
            <w:pPr>
              <w:pStyle w:val="BoxSpaceBelow"/>
              <w:keepLines/>
            </w:pPr>
          </w:p>
        </w:tc>
      </w:tr>
    </w:tbl>
    <w:p w14:paraId="51625C7F" w14:textId="77777777" w:rsidR="001054C3" w:rsidRDefault="001054C3" w:rsidP="00234FBE">
      <w:pPr>
        <w:pStyle w:val="BodyText"/>
      </w:pPr>
    </w:p>
    <w:p w14:paraId="45836607" w14:textId="77777777" w:rsidR="001054C3" w:rsidRDefault="001054C3" w:rsidP="001054C3">
      <w:pPr>
        <w:sectPr w:rsidR="001054C3" w:rsidSect="001054C3">
          <w:headerReference w:type="even" r:id="rId135"/>
          <w:headerReference w:type="default" r:id="rId136"/>
          <w:footerReference w:type="even" r:id="rId137"/>
          <w:footerReference w:type="default" r:id="rId138"/>
          <w:type w:val="oddPage"/>
          <w:pgSz w:w="11907" w:h="16840" w:code="9"/>
          <w:pgMar w:top="1985" w:right="1304" w:bottom="1247" w:left="1814" w:header="1701" w:footer="397" w:gutter="0"/>
          <w:pgNumType w:chapSep="period"/>
          <w:cols w:space="720"/>
          <w:docGrid w:linePitch="326"/>
        </w:sectPr>
      </w:pPr>
    </w:p>
    <w:p w14:paraId="5CEDF7FA" w14:textId="77777777" w:rsidR="001054C3" w:rsidRPr="00605E2E" w:rsidRDefault="001054C3" w:rsidP="00234FBE">
      <w:pPr>
        <w:pStyle w:val="Heading1"/>
        <w:spacing w:after="720"/>
      </w:pPr>
      <w:bookmarkStart w:id="191" w:name="_Toc72939545"/>
      <w:r w:rsidRPr="00605E2E">
        <w:lastRenderedPageBreak/>
        <w:t>14</w:t>
      </w:r>
      <w:r w:rsidRPr="00605E2E">
        <w:tab/>
        <w:t>Government investment in major water infrastructure</w:t>
      </w:r>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1054C3" w14:paraId="6667A292" w14:textId="77777777" w:rsidTr="00234FBE">
        <w:tc>
          <w:tcPr>
            <w:tcW w:w="5000" w:type="pct"/>
            <w:tcBorders>
              <w:top w:val="single" w:sz="4" w:space="0" w:color="78A22F" w:themeColor="accent1"/>
              <w:left w:val="nil"/>
              <w:bottom w:val="nil"/>
              <w:right w:val="nil"/>
            </w:tcBorders>
            <w:shd w:val="clear" w:color="auto" w:fill="F2F2F2"/>
          </w:tcPr>
          <w:p w14:paraId="304F1F11" w14:textId="77777777" w:rsidR="001054C3" w:rsidRDefault="001054C3">
            <w:pPr>
              <w:pStyle w:val="BoxTitle"/>
            </w:pPr>
            <w:r>
              <w:t>Key points</w:t>
            </w:r>
          </w:p>
        </w:tc>
      </w:tr>
      <w:tr w:rsidR="001054C3" w14:paraId="1B8FAB5E" w14:textId="77777777" w:rsidTr="00234FBE">
        <w:tc>
          <w:tcPr>
            <w:tcW w:w="5000" w:type="pct"/>
            <w:tcBorders>
              <w:top w:val="nil"/>
              <w:left w:val="nil"/>
              <w:bottom w:val="nil"/>
              <w:right w:val="nil"/>
            </w:tcBorders>
            <w:shd w:val="clear" w:color="auto" w:fill="F2F2F2"/>
          </w:tcPr>
          <w:p w14:paraId="30D49B40" w14:textId="77777777" w:rsidR="001054C3" w:rsidRDefault="001054C3" w:rsidP="00234FBE">
            <w:pPr>
              <w:pStyle w:val="KeyPointsListBullet"/>
            </w:pPr>
            <w:r>
              <w:t>Under the</w:t>
            </w:r>
            <w:r w:rsidRPr="009D08CC">
              <w:t xml:space="preserve"> National Water Initiative (NWI)</w:t>
            </w:r>
            <w:r>
              <w:t>, all jurisdictions agreed</w:t>
            </w:r>
            <w:r w:rsidRPr="009D08CC">
              <w:t xml:space="preserve"> that </w:t>
            </w:r>
            <w:r>
              <w:t xml:space="preserve">proposals for </w:t>
            </w:r>
            <w:r w:rsidRPr="009D08CC">
              <w:t xml:space="preserve">new and refurbished water </w:t>
            </w:r>
            <w:r>
              <w:t>infrastructure would</w:t>
            </w:r>
            <w:r w:rsidRPr="009D08CC">
              <w:t xml:space="preserve"> be assessed as economically viable and ecologically sustainable prio</w:t>
            </w:r>
            <w:r>
              <w:t>r to any investment occurring, with costs recovered from users in most cases.</w:t>
            </w:r>
          </w:p>
          <w:p w14:paraId="6754A26A" w14:textId="77777777" w:rsidR="001054C3" w:rsidRDefault="001054C3" w:rsidP="00234FBE">
            <w:pPr>
              <w:pStyle w:val="KeyPointsListBullet2"/>
            </w:pPr>
            <w:r w:rsidRPr="007158C7">
              <w:rPr>
                <w:spacing w:val="-2"/>
              </w:rPr>
              <w:t>Failure to abide by these requirements can burden taxpayers with ongoing costs, discourage</w:t>
            </w:r>
            <w:r>
              <w:t xml:space="preserve"> efficient water use and result in long</w:t>
            </w:r>
            <w:r>
              <w:noBreakHyphen/>
              <w:t>lived impacts on communities and the environment.</w:t>
            </w:r>
          </w:p>
          <w:p w14:paraId="34E7B73E" w14:textId="77777777" w:rsidR="001054C3" w:rsidRDefault="001054C3" w:rsidP="00234FBE">
            <w:pPr>
              <w:pStyle w:val="KeyPointsListBullet"/>
            </w:pPr>
            <w:r>
              <w:t>The NWI requirements are sound and should be retained</w:t>
            </w:r>
            <w:r w:rsidDel="007333AF">
              <w:t>,</w:t>
            </w:r>
            <w:r>
              <w:t xml:space="preserve"> but the agreement says little on</w:t>
            </w:r>
            <w:r w:rsidRPr="00DF40AB">
              <w:t xml:space="preserve"> </w:t>
            </w:r>
            <w:r>
              <w:t xml:space="preserve">how to meet those requirements, or the role of </w:t>
            </w:r>
            <w:r w:rsidRPr="00DF40AB">
              <w:t xml:space="preserve">government </w:t>
            </w:r>
            <w:r>
              <w:t>in funding water infrastructure. Poor project selection and funding decisions still occur — including those made by governments.</w:t>
            </w:r>
          </w:p>
          <w:p w14:paraId="386D8D3B" w14:textId="77777777" w:rsidR="001054C3" w:rsidRDefault="001054C3" w:rsidP="00234FBE">
            <w:pPr>
              <w:pStyle w:val="KeyPointsListBullet"/>
            </w:pPr>
            <w:r>
              <w:t>The National Water Grid Authority’s investment policy may improve scrutiny of future Australian Government</w:t>
            </w:r>
            <w:r>
              <w:noBreakHyphen/>
              <w:t>funded projects, but the policy’s project assessment criteria include a broad rationale for government investment that may result in funding for projects that will not maximise national economic benefits.</w:t>
            </w:r>
          </w:p>
          <w:p w14:paraId="5DCFE3C1" w14:textId="77777777" w:rsidR="001054C3" w:rsidRDefault="001054C3" w:rsidP="00234FBE">
            <w:pPr>
              <w:pStyle w:val="KeyPointsListBullet2"/>
            </w:pPr>
            <w:r w:rsidRPr="00171BBE">
              <w:rPr>
                <w:spacing w:val="-2"/>
              </w:rPr>
              <w:t xml:space="preserve">Further, the </w:t>
            </w:r>
            <w:r>
              <w:rPr>
                <w:spacing w:val="-2"/>
              </w:rPr>
              <w:t>a</w:t>
            </w:r>
            <w:r w:rsidRPr="00171BBE">
              <w:rPr>
                <w:spacing w:val="-2"/>
              </w:rPr>
              <w:t>uthority can only invest in infrastructure that provides water for primary industry.</w:t>
            </w:r>
            <w:r>
              <w:t xml:space="preserve"> This limitation should be removed to ensure that the most beneficial projects can be funded.</w:t>
            </w:r>
          </w:p>
          <w:p w14:paraId="0B613C5B" w14:textId="77777777" w:rsidR="001054C3" w:rsidRDefault="001054C3" w:rsidP="00234FBE">
            <w:pPr>
              <w:pStyle w:val="KeyPointsListBullet"/>
            </w:pPr>
            <w:r>
              <w:t>A renewed NWI should set a higher standard for project selection and funding decisions for major water infrastructure. This should form the basis of a new element that includes:</w:t>
            </w:r>
          </w:p>
          <w:p w14:paraId="2C552F59" w14:textId="77777777" w:rsidR="001054C3" w:rsidRDefault="001054C3" w:rsidP="00234FBE">
            <w:pPr>
              <w:pStyle w:val="KeyPointsListBullet2"/>
            </w:pPr>
            <w:r>
              <w:t>a commitment to all options being on the table, including both infrastructure and non</w:t>
            </w:r>
            <w:r>
              <w:noBreakHyphen/>
              <w:t>infrastructure options, where these can meet the investment objective</w:t>
            </w:r>
          </w:p>
          <w:p w14:paraId="5B063D53" w14:textId="77777777" w:rsidR="001054C3" w:rsidRDefault="001054C3" w:rsidP="00234FBE">
            <w:pPr>
              <w:pStyle w:val="KeyPointsListBullet2"/>
            </w:pPr>
            <w:r>
              <w:t>expanded requirements that include a commitment to infrastructure decision</w:t>
            </w:r>
            <w:r>
              <w:noBreakHyphen/>
              <w:t>making processes being culturally responsive to the interests of Traditional Owners</w:t>
            </w:r>
          </w:p>
          <w:p w14:paraId="196B8ABF" w14:textId="77777777" w:rsidR="001054C3" w:rsidRDefault="001054C3" w:rsidP="00234FBE">
            <w:pPr>
              <w:pStyle w:val="KeyPointsListBullet2"/>
            </w:pPr>
            <w:r>
              <w:t>criteria for how project proposals can demonstrate adherence to the NWI requirements, including conditions for ecologically sustainable, economically viable and culturally responsive infrastructure decision</w:t>
            </w:r>
            <w:r>
              <w:noBreakHyphen/>
              <w:t>making processes, as well as principles for cost sharing between users and governments, and water allocation</w:t>
            </w:r>
          </w:p>
          <w:p w14:paraId="4DB682F3" w14:textId="77777777" w:rsidR="001054C3" w:rsidRDefault="001054C3" w:rsidP="00234FBE">
            <w:pPr>
              <w:pStyle w:val="KeyPointsListBullet2"/>
            </w:pPr>
            <w:r>
              <w:t>a framework for government investment in major water infrastructure, including project assessment and selection processes, and institutional arrangements.</w:t>
            </w:r>
          </w:p>
          <w:p w14:paraId="6DCA7BA4" w14:textId="77777777" w:rsidR="001054C3" w:rsidRPr="00B81982" w:rsidRDefault="001054C3" w:rsidP="00234FBE">
            <w:pPr>
              <w:pStyle w:val="KeyPointsListBullet"/>
            </w:pPr>
            <w:r>
              <w:t>Where governments choose to subsidise major water infrastructure in pursuit of broader strategic objectives, such as regional development, additional scrutiny is necessary to ensure water infrastructure is the best means of achieving that objective compared with alternatives.</w:t>
            </w:r>
          </w:p>
          <w:p w14:paraId="0BF63AD7" w14:textId="77777777" w:rsidR="001054C3" w:rsidRPr="00B81982" w:rsidRDefault="001054C3" w:rsidP="00234FBE">
            <w:pPr>
              <w:pStyle w:val="KeyPointsListBullet2"/>
            </w:pPr>
            <w:r>
              <w:t>Any investments made in pursuit of regional development must align with</w:t>
            </w:r>
            <w:r w:rsidRPr="00B81982">
              <w:t xml:space="preserve"> </w:t>
            </w:r>
            <w:r>
              <w:t>high</w:t>
            </w:r>
            <w:r>
              <w:noBreakHyphen/>
              <w:t xml:space="preserve">quality regional </w:t>
            </w:r>
            <w:r w:rsidRPr="00B81982">
              <w:t>strategic planning</w:t>
            </w:r>
            <w:r>
              <w:t>, and only occur where water infrastructure has been shown to be a critical component of the most effective regional development option compared with alternatives (</w:t>
            </w:r>
            <w:r w:rsidRPr="0003694F">
              <w:t xml:space="preserve">including </w:t>
            </w:r>
            <w:r>
              <w:t xml:space="preserve">those not reliant </w:t>
            </w:r>
            <w:r w:rsidRPr="0003694F">
              <w:t xml:space="preserve">on </w:t>
            </w:r>
            <w:r>
              <w:t xml:space="preserve">new or redeveloped </w:t>
            </w:r>
            <w:r w:rsidRPr="0003694F">
              <w:t>water infrastructure</w:t>
            </w:r>
            <w:r>
              <w:t>).</w:t>
            </w:r>
          </w:p>
          <w:p w14:paraId="003C121E" w14:textId="77777777" w:rsidR="001054C3" w:rsidRDefault="001054C3" w:rsidP="00234FBE">
            <w:pPr>
              <w:pStyle w:val="KeyPointsListBullet"/>
              <w:numPr>
                <w:ilvl w:val="0"/>
                <w:numId w:val="1"/>
              </w:numPr>
              <w:spacing w:line="270" w:lineRule="atLeast"/>
            </w:pPr>
            <w:r>
              <w:t>State and Territory Governments have primary responsibility for overseeing major water infrastructure, with a limited (if any) role for the Australian Government. Independent bodies should assess major business cases prior to funding decisions, and publish their findings.</w:t>
            </w:r>
          </w:p>
        </w:tc>
      </w:tr>
      <w:tr w:rsidR="001054C3" w14:paraId="3AF27D75" w14:textId="77777777" w:rsidTr="00234FBE">
        <w:tc>
          <w:tcPr>
            <w:tcW w:w="5000" w:type="pct"/>
            <w:tcBorders>
              <w:top w:val="nil"/>
              <w:left w:val="nil"/>
              <w:bottom w:val="single" w:sz="4" w:space="0" w:color="78A22F" w:themeColor="accent1"/>
              <w:right w:val="nil"/>
            </w:tcBorders>
            <w:shd w:val="clear" w:color="auto" w:fill="F2F2F2"/>
          </w:tcPr>
          <w:p w14:paraId="71ADFDE7" w14:textId="77777777" w:rsidR="001054C3" w:rsidRDefault="001054C3">
            <w:pPr>
              <w:pStyle w:val="Box"/>
              <w:spacing w:before="0" w:line="120" w:lineRule="exact"/>
            </w:pPr>
          </w:p>
        </w:tc>
      </w:tr>
      <w:tr w:rsidR="001054C3" w14:paraId="05ADEB10" w14:textId="77777777" w:rsidTr="00234FBE">
        <w:tc>
          <w:tcPr>
            <w:tcW w:w="5000" w:type="pct"/>
            <w:tcBorders>
              <w:top w:val="single" w:sz="4" w:space="0" w:color="78A22F" w:themeColor="accent1"/>
              <w:left w:val="nil"/>
              <w:bottom w:val="nil"/>
              <w:right w:val="nil"/>
            </w:tcBorders>
          </w:tcPr>
          <w:p w14:paraId="03C3B2C5" w14:textId="77777777" w:rsidR="001054C3" w:rsidRDefault="001054C3">
            <w:pPr>
              <w:pStyle w:val="Box"/>
              <w:keepNext w:val="0"/>
              <w:spacing w:before="60" w:after="60" w:line="80" w:lineRule="exact"/>
            </w:pPr>
          </w:p>
        </w:tc>
      </w:tr>
    </w:tbl>
    <w:p w14:paraId="7C1F80D4" w14:textId="77777777" w:rsidR="001054C3" w:rsidRPr="00AC0C58" w:rsidRDefault="001054C3" w:rsidP="00234FBE">
      <w:pPr>
        <w:pStyle w:val="BodyText"/>
        <w:rPr>
          <w:i/>
        </w:rPr>
      </w:pPr>
      <w:r w:rsidRPr="00AC0C58">
        <w:rPr>
          <w:i/>
        </w:rPr>
        <w:lastRenderedPageBreak/>
        <w:t xml:space="preserve">This chapter summarises </w:t>
      </w:r>
      <w:r>
        <w:rPr>
          <w:i/>
        </w:rPr>
        <w:t>Supporting Paper </w:t>
      </w:r>
      <w:r w:rsidRPr="00AC0C58">
        <w:rPr>
          <w:i/>
        </w:rPr>
        <w:t>I</w:t>
      </w:r>
      <w:r>
        <w:rPr>
          <w:i/>
        </w:rPr>
        <w:t>:</w:t>
      </w:r>
      <w:r w:rsidRPr="00AC0C58">
        <w:rPr>
          <w:i/>
        </w:rPr>
        <w:t xml:space="preserve"> </w:t>
      </w:r>
      <w:r w:rsidRPr="005D2766">
        <w:rPr>
          <w:i/>
        </w:rPr>
        <w:t xml:space="preserve">Government investment in major water infrastructure </w:t>
      </w:r>
      <w:r>
        <w:rPr>
          <w:i/>
        </w:rPr>
        <w:t>(SP I Infrastructure)</w:t>
      </w:r>
      <w:r w:rsidRPr="00AC0C58">
        <w:rPr>
          <w:i/>
        </w:rPr>
        <w:t xml:space="preserve">. Further detail and analysis </w:t>
      </w:r>
      <w:r>
        <w:rPr>
          <w:i/>
        </w:rPr>
        <w:t>c</w:t>
      </w:r>
      <w:r w:rsidRPr="00AC0C58">
        <w:rPr>
          <w:i/>
        </w:rPr>
        <w:t>an be found in that paper</w:t>
      </w:r>
      <w:r>
        <w:rPr>
          <w:i/>
        </w:rPr>
        <w:t>.</w:t>
      </w:r>
    </w:p>
    <w:p w14:paraId="5F9E31CF" w14:textId="77777777" w:rsidR="001054C3" w:rsidRDefault="001054C3" w:rsidP="00234FBE">
      <w:pPr>
        <w:pStyle w:val="BodyText"/>
      </w:pPr>
      <w:r>
        <w:t>Major water infrastructure (including dams, weirs, distr</w:t>
      </w:r>
      <w:r w:rsidRPr="0046235F">
        <w:rPr>
          <w:rStyle w:val="BodyTextChar"/>
        </w:rPr>
        <w:t>ib</w:t>
      </w:r>
      <w:r>
        <w:t>ution networks, desalination plants and water recycling facilities) is essential to delivering water services. But it is costly to build, maintain and ultimately replace, and can have significant (and at times detrimental) environmental, social and cultural impacts.</w:t>
      </w:r>
    </w:p>
    <w:p w14:paraId="52E9C883" w14:textId="77777777" w:rsidR="001054C3" w:rsidRDefault="001054C3" w:rsidP="00234FBE">
      <w:pPr>
        <w:pStyle w:val="BodyText"/>
      </w:pPr>
      <w:r>
        <w:t xml:space="preserve">Many of these costs are borne upfront, while the benefits accrue over a long period and may be difficult to estimate in advance, creating uncertainty over the viability of any proposed development. Anticipated shifts in </w:t>
      </w:r>
      <w:r w:rsidRPr="00875B56">
        <w:t xml:space="preserve">the availability </w:t>
      </w:r>
      <w:r>
        <w:t xml:space="preserve">and use </w:t>
      </w:r>
      <w:r w:rsidRPr="00875B56">
        <w:t xml:space="preserve">of water resources </w:t>
      </w:r>
      <w:r>
        <w:t>with</w:t>
      </w:r>
      <w:r w:rsidRPr="00875B56">
        <w:t xml:space="preserve"> climate </w:t>
      </w:r>
      <w:r>
        <w:t xml:space="preserve">and demographic </w:t>
      </w:r>
      <w:r w:rsidRPr="00875B56">
        <w:t>change</w:t>
      </w:r>
      <w:r>
        <w:t xml:space="preserve"> compound</w:t>
      </w:r>
      <w:r w:rsidRPr="00875B56">
        <w:t xml:space="preserve"> </w:t>
      </w:r>
      <w:r>
        <w:t>this uncertainty</w:t>
      </w:r>
      <w:r w:rsidRPr="00875B56">
        <w:t>.</w:t>
      </w:r>
    </w:p>
    <w:p w14:paraId="6DBE1C29" w14:textId="77777777" w:rsidR="001054C3" w:rsidRDefault="001054C3" w:rsidP="00234FBE">
      <w:pPr>
        <w:pStyle w:val="BodyText"/>
      </w:pPr>
      <w:r>
        <w:t>Uncertainty reinforces the need for good decision making — particularly by governments, who must look to maximise the benefits of taxpayer funding and avoid facilitating developments that are not in the best interests of the community.</w:t>
      </w:r>
    </w:p>
    <w:p w14:paraId="314B312E" w14:textId="77777777" w:rsidR="001054C3" w:rsidRPr="009D6179" w:rsidRDefault="001054C3" w:rsidP="00234FBE">
      <w:pPr>
        <w:pStyle w:val="Heading2"/>
      </w:pPr>
      <w:bookmarkStart w:id="192" w:name="_Toc63112504"/>
      <w:bookmarkStart w:id="193" w:name="_Toc72939546"/>
      <w:r>
        <w:t>14.1</w:t>
      </w:r>
      <w:r>
        <w:tab/>
      </w:r>
      <w:r w:rsidRPr="009D6179">
        <w:t xml:space="preserve">The NWI targets </w:t>
      </w:r>
      <w:r>
        <w:t xml:space="preserve">economically </w:t>
      </w:r>
      <w:r w:rsidRPr="009D6179">
        <w:t>viable and ecologically sustainable infrastructure</w:t>
      </w:r>
      <w:bookmarkEnd w:id="192"/>
      <w:bookmarkEnd w:id="193"/>
    </w:p>
    <w:p w14:paraId="2CAA74EC" w14:textId="77777777" w:rsidR="001054C3" w:rsidRDefault="001054C3" w:rsidP="00234FBE">
      <w:pPr>
        <w:pStyle w:val="BodyText"/>
        <w:keepNext/>
      </w:pPr>
      <w:r>
        <w:t>The desire to avoid burdening water users and taxpayers with the costs of uneconomic investment decisions was one of the key drivers of national water reform. To guide investment in water infrastructure, signatories to the National Water Initiative (NWI) agreed:</w:t>
      </w:r>
    </w:p>
    <w:p w14:paraId="225458F4" w14:textId="77777777" w:rsidR="001054C3" w:rsidRPr="0027399F" w:rsidRDefault="001054C3" w:rsidP="00234FBE">
      <w:pPr>
        <w:pStyle w:val="Quote"/>
        <w:rPr>
          <w:spacing w:val="-2"/>
        </w:rPr>
      </w:pPr>
      <w:r w:rsidRPr="0027399F">
        <w:rPr>
          <w:spacing w:val="-2"/>
          <w:sz w:val="24"/>
        </w:rPr>
        <w:t>…</w:t>
      </w:r>
      <w:r w:rsidRPr="0027399F">
        <w:rPr>
          <w:spacing w:val="-2"/>
        </w:rPr>
        <w:t xml:space="preserve"> to ensure that proposals for investment in new or refurbished water infrastructure continue to be assessed as economically viable and ecologically sustainable prior to the investment occurring.</w:t>
      </w:r>
      <w:r w:rsidRPr="00B75E07">
        <w:rPr>
          <w:rStyle w:val="FootnoteReference"/>
          <w:spacing w:val="-2"/>
        </w:rPr>
        <w:footnoteReference w:id="42"/>
      </w:r>
    </w:p>
    <w:p w14:paraId="18E54C9A" w14:textId="5CF92866" w:rsidR="001054C3" w:rsidRDefault="001054C3" w:rsidP="00234FBE">
      <w:pPr>
        <w:pStyle w:val="BodyText"/>
      </w:pPr>
      <w:r>
        <w:t xml:space="preserve">The NWI requires that, in most cases, the costs of infrastructure construction be borne by users. Under the </w:t>
      </w:r>
      <w:r w:rsidRPr="00DB2EC5">
        <w:rPr>
          <w:i/>
        </w:rPr>
        <w:t>NWI Pricing Principles</w:t>
      </w:r>
      <w:r>
        <w:t xml:space="preserve"> </w:t>
      </w:r>
      <w:r w:rsidRPr="00D911BF">
        <w:rPr>
          <w:szCs w:val="24"/>
        </w:rPr>
        <w:t>(NRMMC 2010, p. 6)</w:t>
      </w:r>
      <w:r>
        <w:t>, user charges are to be set to achieve full cost recovery of capital expenditures — but net of any offsets for assets contributed by government (or another party, such as a housing developer) and transparent community service obligations. In these latter cases, the government investment, or an infrastructure subsidy, does not need to be recovered from users — taxpayers bear a share of the cost.</w:t>
      </w:r>
    </w:p>
    <w:p w14:paraId="2FB8801F" w14:textId="77777777" w:rsidR="001054C3" w:rsidRDefault="001054C3" w:rsidP="00234FBE">
      <w:pPr>
        <w:pStyle w:val="BodyText"/>
      </w:pPr>
      <w:r>
        <w:t>Most infrastructure investment decisions are the responsibility of corporatised water service providers (</w:t>
      </w:r>
      <w:r w:rsidRPr="007A1001">
        <w:t>urban water utilities, bulk water providers and irrigation operators</w:t>
      </w:r>
      <w:r>
        <w:t xml:space="preserve">). Their decisions are, ideally, guided by assessments of the infrastructure needed to provide an agreed level of service to their customers, and the benefits and costs of alternative options. Governments can also invest in infrastructure primarily for the benefit of the environment, such as infrastructure that helps deliver water to key environmental sites (chapter 8). Economic regulators (in most cases) scrutinise proposed investments, contributing to </w:t>
      </w:r>
      <w:r>
        <w:lastRenderedPageBreak/>
        <w:t xml:space="preserve">confidence in their economic viability. Proposals are then subject to environmental, social, cultural heritage and other government approval processes — including water planning — which help demonstrate the proposed infrastructure is ecologically sustainable. </w:t>
      </w:r>
    </w:p>
    <w:p w14:paraId="5417E660" w14:textId="77777777" w:rsidR="001054C3" w:rsidRPr="007158C7" w:rsidRDefault="001054C3" w:rsidP="00234FBE">
      <w:pPr>
        <w:pStyle w:val="Heading2"/>
        <w:rPr>
          <w:spacing w:val="-2"/>
        </w:rPr>
      </w:pPr>
      <w:bookmarkStart w:id="194" w:name="_Toc63112505"/>
      <w:bookmarkStart w:id="195" w:name="_Toc72939547"/>
      <w:r w:rsidRPr="007158C7">
        <w:rPr>
          <w:spacing w:val="-2"/>
        </w:rPr>
        <w:t>1</w:t>
      </w:r>
      <w:r>
        <w:rPr>
          <w:spacing w:val="-2"/>
        </w:rPr>
        <w:t>4</w:t>
      </w:r>
      <w:r w:rsidRPr="007158C7">
        <w:rPr>
          <w:spacing w:val="-2"/>
        </w:rPr>
        <w:t>.2</w:t>
      </w:r>
      <w:r w:rsidRPr="007158C7">
        <w:rPr>
          <w:spacing w:val="-2"/>
        </w:rPr>
        <w:tab/>
        <w:t>Some past government commitments raise red flags</w:t>
      </w:r>
      <w:bookmarkEnd w:id="194"/>
      <w:bookmarkEnd w:id="195"/>
    </w:p>
    <w:p w14:paraId="33EDC4CC" w14:textId="110F7356" w:rsidR="001054C3" w:rsidRPr="00784BE6" w:rsidRDefault="001054C3" w:rsidP="00234FBE">
      <w:pPr>
        <w:pStyle w:val="BodyText"/>
      </w:pPr>
      <w:r>
        <w:t>In addition, Governments have made significant commitments to invest in new or refurbished water infrastructure — particularly to support irrigated agriculture. Up to $3.5 billion has been made available through the Australian Government’s 10</w:t>
      </w:r>
      <w:r>
        <w:noBreakHyphen/>
        <w:t xml:space="preserve">year National Water Grid Fund for projects that deliver water to agriculture and primary industry </w:t>
      </w:r>
      <w:r w:rsidRPr="0012205E">
        <w:rPr>
          <w:szCs w:val="24"/>
        </w:rPr>
        <w:t>(NWGA 2020, p. 10)</w:t>
      </w:r>
      <w:r>
        <w:t xml:space="preserve">. The fund is now administered by the National Water Grid Authority (NWGA), and investment decisions are subject to an </w:t>
      </w:r>
      <w:r w:rsidRPr="00D80474">
        <w:rPr>
          <w:i/>
          <w:iCs/>
        </w:rPr>
        <w:t>Investment Policy Framework</w:t>
      </w:r>
      <w:r>
        <w:t xml:space="preserve"> </w:t>
      </w:r>
      <w:r w:rsidRPr="00F82DCF">
        <w:rPr>
          <w:szCs w:val="24"/>
        </w:rPr>
        <w:t>(NWGA 2020)</w:t>
      </w:r>
      <w:r>
        <w:t>. Water projects are also eligible for concessional finance from the $5 billion Northern Australia Infrastructure Facility.</w:t>
      </w:r>
    </w:p>
    <w:p w14:paraId="43A38A5F" w14:textId="77777777" w:rsidR="001054C3" w:rsidRDefault="001054C3" w:rsidP="00234FBE">
      <w:pPr>
        <w:pStyle w:val="BodyText"/>
      </w:pPr>
      <w:r>
        <w:t xml:space="preserve">However, government infrastructure decision making has not always demonstrated the rigour of water service providers’ processes. Since 2017, governments have committed to two </w:t>
      </w:r>
      <w:r w:rsidRPr="006E5AD0">
        <w:t>major water projects</w:t>
      </w:r>
      <w:r>
        <w:t xml:space="preserve"> (Rookwood Weir and Haughton Pipeline Stage 2) with business cases demonstrating benefit–cost ratios of less than 1 — that is, the projects are likely to impose net costs on the community.</w:t>
      </w:r>
      <w:r>
        <w:rPr>
          <w:rStyle w:val="FootnoteReference"/>
        </w:rPr>
        <w:footnoteReference w:id="43"/>
      </w:r>
      <w:r>
        <w:t xml:space="preserve"> Other projects are anticipated to deliver marginal economic benefits, or have been committed to without a robust business case (</w:t>
      </w:r>
      <w:r w:rsidRPr="009D6179">
        <w:rPr>
          <w:i/>
        </w:rPr>
        <w:t>Assessment</w:t>
      </w:r>
      <w:r>
        <w:t>).</w:t>
      </w:r>
    </w:p>
    <w:p w14:paraId="74002431" w14:textId="77777777" w:rsidR="001054C3" w:rsidRDefault="001054C3" w:rsidP="00234FBE">
      <w:pPr>
        <w:pStyle w:val="BodyText"/>
        <w:keepNext/>
      </w:pPr>
      <w:r>
        <w:t>These decisions reflect shortcomings in project selection processes, a number of which were highlighted by inquiry participants.</w:t>
      </w:r>
    </w:p>
    <w:p w14:paraId="44796928" w14:textId="77777777" w:rsidR="001054C3" w:rsidRPr="00D86B88" w:rsidRDefault="001054C3" w:rsidP="00234FBE">
      <w:pPr>
        <w:pStyle w:val="ListBullet"/>
      </w:pPr>
      <w:r>
        <w:t xml:space="preserve">Project selection processes do not always identify a clear issue, or consider the full suite of </w:t>
      </w:r>
      <w:r w:rsidRPr="00D86B88">
        <w:t>options</w:t>
      </w:r>
      <w:r>
        <w:t xml:space="preserve"> (including non</w:t>
      </w:r>
      <w:r>
        <w:noBreakHyphen/>
        <w:t>infrastructure) to address that issue (</w:t>
      </w:r>
      <w:r w:rsidRPr="00832FD0">
        <w:t>Smit et. al., sub. 3</w:t>
      </w:r>
      <w:r>
        <w:t>1, p. 3).</w:t>
      </w:r>
    </w:p>
    <w:p w14:paraId="00C3F907" w14:textId="77777777" w:rsidR="001054C3" w:rsidRDefault="001054C3" w:rsidP="00234FBE">
      <w:pPr>
        <w:pStyle w:val="ListBullet"/>
      </w:pPr>
      <w:r>
        <w:t>Business cases are not long</w:t>
      </w:r>
      <w:r>
        <w:noBreakHyphen/>
        <w:t xml:space="preserve">term or comprehensive, and assumptions are not always rigorous or transparent </w:t>
      </w:r>
      <w:r w:rsidRPr="00832FD0">
        <w:t>(</w:t>
      </w:r>
      <w:r>
        <w:t xml:space="preserve">IWF, sub. 30, pp. 16–20, FNQROC, sub. 51, pp. 2–3; </w:t>
      </w:r>
      <w:r w:rsidRPr="00832FD0">
        <w:t>Engineers Australia, sub. 63</w:t>
      </w:r>
      <w:r>
        <w:t>, p. 19</w:t>
      </w:r>
      <w:r w:rsidRPr="00832FD0">
        <w:t xml:space="preserve">; </w:t>
      </w:r>
      <w:r>
        <w:t>Wentworth Group of Concerned Scientists, sub. 68, p. 5).</w:t>
      </w:r>
    </w:p>
    <w:p w14:paraId="79353EAE" w14:textId="77777777" w:rsidR="001054C3" w:rsidRPr="00F977F5" w:rsidRDefault="001054C3" w:rsidP="00234FBE">
      <w:pPr>
        <w:pStyle w:val="ListBullet"/>
        <w:keepNext/>
      </w:pPr>
      <w:r>
        <w:t>Decision</w:t>
      </w:r>
      <w:r>
        <w:noBreakHyphen/>
        <w:t>making processes have lacked transparency. For example, in its first submission to this inquiry, the IWF (sub. 30, p. 16) observed that:</w:t>
      </w:r>
    </w:p>
    <w:p w14:paraId="0AB2A1CF" w14:textId="77777777" w:rsidR="001054C3" w:rsidRDefault="001054C3" w:rsidP="00234FBE">
      <w:pPr>
        <w:pStyle w:val="Quote"/>
      </w:pPr>
      <w:r>
        <w:t xml:space="preserve">There </w:t>
      </w:r>
      <w:r w:rsidRPr="00BE18F1">
        <w:t>is insufficient publicly available information to assess 21</w:t>
      </w:r>
      <w:r>
        <w:t> </w:t>
      </w:r>
      <w:r w:rsidRPr="00BE18F1">
        <w:t>projects</w:t>
      </w:r>
      <w:r>
        <w:t xml:space="preserve"> (with a total Australian Government funding commitment of $1.15 billion) </w:t>
      </w:r>
      <w:r w:rsidRPr="00BE18F1">
        <w:t>against all NWI criteria</w:t>
      </w:r>
      <w:r>
        <w:t>.</w:t>
      </w:r>
      <w:r>
        <w:rPr>
          <w:rStyle w:val="FootnoteReference"/>
        </w:rPr>
        <w:footnoteReference w:id="44"/>
      </w:r>
    </w:p>
    <w:p w14:paraId="01F64650" w14:textId="77777777" w:rsidR="001054C3" w:rsidRDefault="001054C3" w:rsidP="00234FBE">
      <w:pPr>
        <w:pStyle w:val="BodyText"/>
        <w:keepNext/>
      </w:pPr>
      <w:r>
        <w:t xml:space="preserve">Further concerns include that Australian and State </w:t>
      </w:r>
      <w:r w:rsidRPr="004924BE">
        <w:t>gove</w:t>
      </w:r>
      <w:r>
        <w:t xml:space="preserve">rnment infrastructure priorities are not clear, consistent or aligned, leading to unnecessary duplication, and that multiple projects are being proposed in the same catchment without consideration of interdependencies. For example, some State government funding commitments (such as for Stage 2 of the Haughton </w:t>
      </w:r>
      <w:r>
        <w:lastRenderedPageBreak/>
        <w:t>Pipeline) disregard the recommendations of Infrastructure Australia’s independent project evaluations.</w:t>
      </w:r>
    </w:p>
    <w:p w14:paraId="5FF422CF" w14:textId="166AC4D8" w:rsidR="001054C3" w:rsidRDefault="001054C3" w:rsidP="00234FBE">
      <w:pPr>
        <w:pStyle w:val="BodyText"/>
      </w:pPr>
      <w:r>
        <w:t xml:space="preserve">As of 22 March 2021, the Australian Government had public commitments to five projects prior to the completion of business cases, including three that were already under contract with the State government </w:t>
      </w:r>
      <w:r w:rsidRPr="00BF7276">
        <w:rPr>
          <w:szCs w:val="24"/>
        </w:rPr>
        <w:t>(NWGA 2021a, p. 1)</w:t>
      </w:r>
      <w:r>
        <w:t xml:space="preserve">. This situation is of particular concern; commitments of public funding </w:t>
      </w:r>
      <w:r>
        <w:rPr>
          <w:i/>
        </w:rPr>
        <w:t>before</w:t>
      </w:r>
      <w:r w:rsidRPr="002C5691">
        <w:rPr>
          <w:iCs/>
        </w:rPr>
        <w:t xml:space="preserve"> </w:t>
      </w:r>
      <w:r>
        <w:rPr>
          <w:iCs/>
        </w:rPr>
        <w:t xml:space="preserve">development and publication of </w:t>
      </w:r>
      <w:r>
        <w:t>robust business cases (which substantiate whether the infrastructure is in the public interest) put governments in a situation where they are unlikely to back away from these commitments, even if a project is later shown to impose significant net costs, creating a risk that projects that are not in the best interests of the community are funded.</w:t>
      </w:r>
    </w:p>
    <w:p w14:paraId="33E83E70" w14:textId="77777777" w:rsidR="001054C3" w:rsidRDefault="001054C3" w:rsidP="00234FBE">
      <w:pPr>
        <w:pStyle w:val="BodyText"/>
        <w:keepNext/>
      </w:pPr>
      <w:r>
        <w:t>Indeed, it is common for the costs of major water infrastructure projects to increase substantially between early feasibility work and final construction, threatening the overall viability of a project. As outlined by the Institute for Water Futures (sub. 30, p. 17):</w:t>
      </w:r>
    </w:p>
    <w:p w14:paraId="6FB013FE" w14:textId="77777777" w:rsidR="001054C3" w:rsidRDefault="001054C3" w:rsidP="00234FBE">
      <w:pPr>
        <w:pStyle w:val="Quote"/>
      </w:pPr>
      <w:r>
        <w:t>Best</w:t>
      </w:r>
      <w:r>
        <w:noBreakHyphen/>
        <w:t>practice processes for public investment are particularly important for construction of new large dams because these projects are highly susceptible to major cost overruns (see Ansar et al. 2014 for a global review). In an Australian context, Petheram et al. (2019) found that the median and mean cost overruns (relative to immediate pre</w:t>
      </w:r>
      <w:r>
        <w:noBreakHyphen/>
        <w:t>construction estimates) were 49% and 120% respectively for a sample of 40 historical projects where sufficient data was available.</w:t>
      </w:r>
    </w:p>
    <w:p w14:paraId="50FBF826" w14:textId="77777777" w:rsidR="001054C3" w:rsidRDefault="001054C3" w:rsidP="00234FBE">
      <w:pPr>
        <w:pStyle w:val="BodyText"/>
      </w:pPr>
      <w:r>
        <w:t>The public commitment to construct a new</w:t>
      </w:r>
      <w:r w:rsidRPr="00E02CA8">
        <w:t xml:space="preserve"> Dungowan Dam </w:t>
      </w:r>
      <w:r>
        <w:t xml:space="preserve">and pipeline </w:t>
      </w:r>
      <w:r w:rsidRPr="00E02CA8">
        <w:t>(</w:t>
      </w:r>
      <w:r>
        <w:t xml:space="preserve">in </w:t>
      </w:r>
      <w:r w:rsidRPr="00E02CA8">
        <w:t xml:space="preserve">the Peel </w:t>
      </w:r>
      <w:r>
        <w:t xml:space="preserve">Valley of </w:t>
      </w:r>
      <w:r w:rsidRPr="00E02CA8">
        <w:t>New South Wales)</w:t>
      </w:r>
      <w:r>
        <w:t xml:space="preserve"> prior to the development of a full business case</w:t>
      </w:r>
      <w:r w:rsidRPr="00E02CA8">
        <w:t xml:space="preserve"> </w:t>
      </w:r>
      <w:r>
        <w:t xml:space="preserve">exemplifies </w:t>
      </w:r>
      <w:r w:rsidRPr="00E02CA8">
        <w:t>many of the</w:t>
      </w:r>
      <w:r>
        <w:t>se</w:t>
      </w:r>
      <w:r w:rsidRPr="00E02CA8">
        <w:t xml:space="preserve"> project assessment and selection </w:t>
      </w:r>
      <w:r>
        <w:t xml:space="preserve">shortcomings </w:t>
      </w:r>
      <w:r w:rsidRPr="00E02CA8">
        <w:t>(box 1</w:t>
      </w:r>
      <w:r>
        <w:t>4</w:t>
      </w:r>
      <w:r w:rsidRPr="00E02CA8">
        <w:t>.1).</w:t>
      </w:r>
      <w:r>
        <w:rPr>
          <w:rStyle w:val="FootnoteReference"/>
        </w:rPr>
        <w:footnoteReference w:id="45"/>
      </w:r>
    </w:p>
    <w:p w14:paraId="6D6BB3D3" w14:textId="77777777" w:rsidR="001054C3"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13AD32F6" w14:textId="77777777" w:rsidTr="00234FBE">
        <w:trPr>
          <w:tblHeader/>
        </w:trPr>
        <w:tc>
          <w:tcPr>
            <w:tcW w:w="5000" w:type="pct"/>
            <w:tcBorders>
              <w:top w:val="single" w:sz="6" w:space="0" w:color="78A22F"/>
              <w:left w:val="nil"/>
              <w:bottom w:val="nil"/>
              <w:right w:val="nil"/>
            </w:tcBorders>
            <w:shd w:val="clear" w:color="auto" w:fill="F2F2F2"/>
          </w:tcPr>
          <w:p w14:paraId="57DEA6AE" w14:textId="77777777" w:rsidR="001054C3" w:rsidRDefault="001054C3" w:rsidP="00234FBE">
            <w:pPr>
              <w:pStyle w:val="BoxTitle"/>
            </w:pPr>
            <w:r>
              <w:rPr>
                <w:b w:val="0"/>
              </w:rPr>
              <w:t>Box 14.1</w:t>
            </w:r>
            <w:r>
              <w:tab/>
              <w:t>Poor decision making for Dungowan Dam</w:t>
            </w:r>
          </w:p>
        </w:tc>
      </w:tr>
      <w:tr w:rsidR="001054C3" w14:paraId="37CBC368" w14:textId="77777777" w:rsidTr="00234FBE">
        <w:tc>
          <w:tcPr>
            <w:tcW w:w="5000" w:type="pct"/>
            <w:tcBorders>
              <w:top w:val="nil"/>
              <w:left w:val="nil"/>
              <w:bottom w:val="nil"/>
              <w:right w:val="nil"/>
            </w:tcBorders>
            <w:shd w:val="clear" w:color="auto" w:fill="F2F2F2"/>
          </w:tcPr>
          <w:p w14:paraId="7688C15C" w14:textId="26C91B24" w:rsidR="001054C3" w:rsidRPr="00DD51FF" w:rsidRDefault="001054C3" w:rsidP="00234FBE">
            <w:pPr>
              <w:pStyle w:val="Box"/>
            </w:pPr>
            <w:r w:rsidRPr="00DD51FF">
              <w:t xml:space="preserve">In 2016, the </w:t>
            </w:r>
            <w:r>
              <w:t xml:space="preserve">Australian and </w:t>
            </w:r>
            <w:r w:rsidRPr="00DD51FF">
              <w:t xml:space="preserve">New South Wales Governments committed $150 million to the construction of </w:t>
            </w:r>
            <w:r>
              <w:t xml:space="preserve">a new </w:t>
            </w:r>
            <w:r w:rsidRPr="00DD51FF">
              <w:t xml:space="preserve">Dungowan Dam </w:t>
            </w:r>
            <w:r w:rsidR="00C67DB3" w:rsidRPr="00C67DB3">
              <w:rPr>
                <w:rFonts w:cs="Arial"/>
                <w:szCs w:val="24"/>
              </w:rPr>
              <w:t>(PC 2017b, p. 266)</w:t>
            </w:r>
            <w:r w:rsidRPr="00DD51FF">
              <w:t xml:space="preserve">. The rationale for the project was that growth in Tamworth’s urban water demand would affect reliability for general security </w:t>
            </w:r>
            <w:r>
              <w:t xml:space="preserve">licences </w:t>
            </w:r>
            <w:r w:rsidRPr="00DD51FF">
              <w:t>in the Peel</w:t>
            </w:r>
            <w:r>
              <w:t xml:space="preserve"> system</w:t>
            </w:r>
            <w:r w:rsidRPr="00DD51FF">
              <w:t>, as well as downstream licences in the Namoi</w:t>
            </w:r>
            <w:r>
              <w:t xml:space="preserve"> </w:t>
            </w:r>
            <w:r w:rsidRPr="00DD51FF">
              <w:t>(WaterNSW 2018, p. 26).</w:t>
            </w:r>
          </w:p>
          <w:p w14:paraId="776ED6E3" w14:textId="7EB5CF26" w:rsidR="001054C3" w:rsidRDefault="001054C3" w:rsidP="00234FBE">
            <w:pPr>
              <w:pStyle w:val="Box"/>
            </w:pPr>
            <w:r>
              <w:t xml:space="preserve">A 2017 feasibility study estimated a benefit–cost ratio of 1.06 for constructing a new </w:t>
            </w:r>
            <w:r w:rsidRPr="00457554">
              <w:t>22.5</w:t>
            </w:r>
            <w:r>
              <w:t> </w:t>
            </w:r>
            <w:r w:rsidRPr="00457554">
              <w:t xml:space="preserve">GL </w:t>
            </w:r>
            <w:r>
              <w:t xml:space="preserve">dam and pipeline, </w:t>
            </w:r>
            <w:r w:rsidRPr="00457554">
              <w:t>increasing water availability by 6</w:t>
            </w:r>
            <w:r>
              <w:t> </w:t>
            </w:r>
            <w:r w:rsidRPr="00457554">
              <w:t>GL a year on average</w:t>
            </w:r>
            <w:r w:rsidRPr="00457554" w:rsidDel="00D936BA">
              <w:t xml:space="preserve"> </w:t>
            </w:r>
            <w:r>
              <w:t xml:space="preserve">with a total project cost of $484 million </w:t>
            </w:r>
            <w:r w:rsidRPr="0078770D">
              <w:t>(including $282 million for a new dam)</w:t>
            </w:r>
            <w:r>
              <w:t xml:space="preserve"> </w:t>
            </w:r>
            <w:r w:rsidRPr="00BA7311">
              <w:rPr>
                <w:rFonts w:cs="Arial"/>
                <w:szCs w:val="24"/>
              </w:rPr>
              <w:t>(GHD 2017, pp. i, 13, 56, 68)</w:t>
            </w:r>
            <w:r>
              <w:t xml:space="preserve">. Most of the estimated benefits </w:t>
            </w:r>
            <w:r w:rsidR="00C941E7">
              <w:t xml:space="preserve">were </w:t>
            </w:r>
            <w:r>
              <w:t xml:space="preserve">derived from improving Tamworth’s town water security, with increased irrigated agricultural production representing less than 2 per cent of the project benefits </w:t>
            </w:r>
            <w:r w:rsidRPr="00BA67A2">
              <w:rPr>
                <w:rFonts w:cs="Arial"/>
                <w:szCs w:val="24"/>
              </w:rPr>
              <w:t>(GHD 2017, p. 68)</w:t>
            </w:r>
            <w:r>
              <w:t>.</w:t>
            </w:r>
          </w:p>
          <w:p w14:paraId="7236B507" w14:textId="77777777" w:rsidR="001054C3" w:rsidRPr="007E4026" w:rsidRDefault="001054C3" w:rsidP="00234FBE">
            <w:pPr>
              <w:pStyle w:val="Continued"/>
            </w:pPr>
            <w:r>
              <w:t>(continued next page)</w:t>
            </w:r>
          </w:p>
        </w:tc>
      </w:tr>
      <w:tr w:rsidR="001054C3" w14:paraId="664DE5CC" w14:textId="77777777" w:rsidTr="00234FBE">
        <w:tc>
          <w:tcPr>
            <w:tcW w:w="5000" w:type="pct"/>
            <w:tcBorders>
              <w:top w:val="nil"/>
              <w:left w:val="nil"/>
              <w:bottom w:val="single" w:sz="6" w:space="0" w:color="78A22F"/>
              <w:right w:val="nil"/>
            </w:tcBorders>
            <w:shd w:val="clear" w:color="auto" w:fill="F2F2F2"/>
          </w:tcPr>
          <w:p w14:paraId="1F143BFC" w14:textId="77777777" w:rsidR="001054C3" w:rsidRDefault="001054C3" w:rsidP="00234FBE">
            <w:pPr>
              <w:pStyle w:val="Box"/>
              <w:spacing w:before="0" w:line="120" w:lineRule="exact"/>
            </w:pPr>
          </w:p>
        </w:tc>
      </w:tr>
      <w:tr w:rsidR="001054C3" w:rsidRPr="000863A5" w14:paraId="1D7757EA" w14:textId="77777777" w:rsidTr="00234FBE">
        <w:tc>
          <w:tcPr>
            <w:tcW w:w="5000" w:type="pct"/>
            <w:tcBorders>
              <w:top w:val="single" w:sz="6" w:space="0" w:color="78A22F"/>
              <w:left w:val="nil"/>
              <w:bottom w:val="nil"/>
              <w:right w:val="nil"/>
            </w:tcBorders>
          </w:tcPr>
          <w:p w14:paraId="5575A63D" w14:textId="77777777" w:rsidR="001054C3" w:rsidRPr="00626D32" w:rsidRDefault="001054C3" w:rsidP="00234FBE">
            <w:pPr>
              <w:pStyle w:val="BoxSpaceBelow"/>
            </w:pPr>
          </w:p>
        </w:tc>
      </w:tr>
    </w:tbl>
    <w:p w14:paraId="0674791D" w14:textId="77777777" w:rsidR="001054C3" w:rsidRPr="00E072E5"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14:paraId="4D4787D7" w14:textId="77777777" w:rsidTr="00234FBE">
        <w:trPr>
          <w:tblHeader/>
        </w:trPr>
        <w:tc>
          <w:tcPr>
            <w:tcW w:w="5000" w:type="pct"/>
            <w:tcBorders>
              <w:top w:val="single" w:sz="6" w:space="0" w:color="78A22F"/>
              <w:left w:val="nil"/>
              <w:bottom w:val="nil"/>
              <w:right w:val="nil"/>
            </w:tcBorders>
            <w:shd w:val="clear" w:color="auto" w:fill="F2F2F2"/>
          </w:tcPr>
          <w:p w14:paraId="3D56FD7D" w14:textId="77777777" w:rsidR="001054C3" w:rsidRPr="00913095" w:rsidRDefault="001054C3" w:rsidP="00234FBE">
            <w:pPr>
              <w:pStyle w:val="BoxTitle"/>
              <w:rPr>
                <w:rStyle w:val="Continuedintitle"/>
              </w:rPr>
            </w:pPr>
            <w:r>
              <w:rPr>
                <w:b w:val="0"/>
              </w:rPr>
              <w:t>Box 14.1</w:t>
            </w:r>
            <w:r>
              <w:tab/>
            </w:r>
            <w:r w:rsidRPr="00913095">
              <w:rPr>
                <w:rStyle w:val="Continuedintitle"/>
              </w:rPr>
              <w:t>(continued)</w:t>
            </w:r>
          </w:p>
        </w:tc>
      </w:tr>
      <w:tr w:rsidR="001054C3" w14:paraId="38937B36" w14:textId="77777777" w:rsidTr="00234FBE">
        <w:tc>
          <w:tcPr>
            <w:tcW w:w="5000" w:type="pct"/>
            <w:tcBorders>
              <w:top w:val="nil"/>
              <w:left w:val="nil"/>
              <w:bottom w:val="nil"/>
              <w:right w:val="nil"/>
            </w:tcBorders>
            <w:shd w:val="clear" w:color="auto" w:fill="F2F2F2"/>
          </w:tcPr>
          <w:p w14:paraId="4C331E5E" w14:textId="339644F8" w:rsidR="001054C3" w:rsidRDefault="001054C3" w:rsidP="00234FBE">
            <w:pPr>
              <w:pStyle w:val="Box"/>
            </w:pPr>
            <w:r>
              <w:t xml:space="preserve">In 2019, the Australian and New South Wales Governments each committed to provide half of the project cost </w:t>
            </w:r>
            <w:r w:rsidRPr="00115707">
              <w:rPr>
                <w:rFonts w:cs="Arial"/>
                <w:szCs w:val="24"/>
              </w:rPr>
              <w:t>(McCormack et al. 2019)</w:t>
            </w:r>
            <w:r>
              <w:t xml:space="preserve">, with a contract signed by the two governments on 22 January 2021 </w:t>
            </w:r>
            <w:r w:rsidRPr="000471AB">
              <w:rPr>
                <w:rFonts w:cs="Arial"/>
                <w:szCs w:val="24"/>
              </w:rPr>
              <w:t>(NWGA 2021c)</w:t>
            </w:r>
            <w:r>
              <w:t>. The contract</w:t>
            </w:r>
            <w:r w:rsidRPr="003F4E8A">
              <w:t xml:space="preserve"> </w:t>
            </w:r>
            <w:r>
              <w:t xml:space="preserve">includes </w:t>
            </w:r>
            <w:r w:rsidRPr="003F4E8A">
              <w:t xml:space="preserve">a ‘pause point’ </w:t>
            </w:r>
            <w:r>
              <w:t>that</w:t>
            </w:r>
            <w:r w:rsidRPr="003F4E8A">
              <w:t xml:space="preserve"> allow</w:t>
            </w:r>
            <w:r>
              <w:t>s</w:t>
            </w:r>
            <w:r w:rsidRPr="003F4E8A">
              <w:t xml:space="preserve"> the Australian Government to reassess its funding contributions following the outcomes of the </w:t>
            </w:r>
            <w:r>
              <w:t xml:space="preserve">full </w:t>
            </w:r>
            <w:r w:rsidRPr="003F4E8A">
              <w:t xml:space="preserve">business case </w:t>
            </w:r>
            <w:r w:rsidRPr="001E017E">
              <w:rPr>
                <w:szCs w:val="24"/>
              </w:rPr>
              <w:t>(RRATLC 2021, pp. 47–48)</w:t>
            </w:r>
            <w:r>
              <w:t>, which is</w:t>
            </w:r>
            <w:r w:rsidR="00B55846">
              <w:t xml:space="preserve"> expected</w:t>
            </w:r>
            <w:r>
              <w:t xml:space="preserve"> to be completed in late 2021, alongside environmental impact assessments </w:t>
            </w:r>
            <w:r w:rsidRPr="00626C2B">
              <w:rPr>
                <w:rFonts w:cs="Arial"/>
                <w:szCs w:val="24"/>
              </w:rPr>
              <w:t>(WaterNSW 2020)</w:t>
            </w:r>
            <w:r>
              <w:t>.</w:t>
            </w:r>
          </w:p>
          <w:p w14:paraId="6020DF21" w14:textId="77777777" w:rsidR="001054C3" w:rsidRDefault="001054C3" w:rsidP="00234FBE">
            <w:pPr>
              <w:pStyle w:val="BoxHeading1"/>
              <w:spacing w:before="120"/>
            </w:pPr>
            <w:r>
              <w:t>Discussion</w:t>
            </w:r>
          </w:p>
          <w:p w14:paraId="681CCCCD" w14:textId="77777777" w:rsidR="001054C3" w:rsidRDefault="001054C3" w:rsidP="00234FBE">
            <w:pPr>
              <w:pStyle w:val="Box"/>
            </w:pPr>
            <w:r>
              <w:t>The feasibility study underpinning this funding commitment has three key shortcomings.</w:t>
            </w:r>
          </w:p>
          <w:p w14:paraId="33E9D02E" w14:textId="77777777" w:rsidR="001054C3" w:rsidRPr="005A2150" w:rsidRDefault="001054C3" w:rsidP="00234FBE">
            <w:pPr>
              <w:pStyle w:val="BoxListBullet"/>
              <w:rPr>
                <w:spacing w:val="-2"/>
              </w:rPr>
            </w:pPr>
            <w:r>
              <w:t>The benefit</w:t>
            </w:r>
            <w:r>
              <w:noBreakHyphen/>
              <w:t>cost ratio of 1.06 is marginally viable and contingent on many assumptions (such as the willingness of Tamworth residents to pay to avoid water restrictions).</w:t>
            </w:r>
            <w:r>
              <w:rPr>
                <w:rStyle w:val="NoteLabel"/>
              </w:rPr>
              <w:t>a</w:t>
            </w:r>
            <w:r>
              <w:t xml:space="preserve"> Any changes to assumptions, including increases in construction cost, risk the project becoming unviable.</w:t>
            </w:r>
          </w:p>
          <w:p w14:paraId="2BE44A48" w14:textId="5E9CEB97" w:rsidR="001054C3" w:rsidRPr="00E072E5" w:rsidRDefault="001054C3" w:rsidP="00234FBE">
            <w:pPr>
              <w:pStyle w:val="BoxListBullet"/>
              <w:rPr>
                <w:spacing w:val="-2"/>
              </w:rPr>
            </w:pPr>
            <w:r w:rsidRPr="00E072E5">
              <w:rPr>
                <w:spacing w:val="-2"/>
              </w:rPr>
              <w:t>Non</w:t>
            </w:r>
            <w:r w:rsidRPr="00E072E5">
              <w:rPr>
                <w:spacing w:val="-2"/>
              </w:rPr>
              <w:noBreakHyphen/>
            </w:r>
            <w:r w:rsidRPr="005A2150">
              <w:t>infrastructure</w:t>
            </w:r>
            <w:r w:rsidRPr="00E072E5">
              <w:rPr>
                <w:spacing w:val="-2"/>
              </w:rPr>
              <w:t xml:space="preserve"> options to improve Tamworth’s water security were explicitly excluded from the analysis </w:t>
            </w:r>
            <w:r w:rsidRPr="00E072E5">
              <w:rPr>
                <w:rFonts w:cs="Arial"/>
                <w:spacing w:val="-2"/>
                <w:szCs w:val="24"/>
              </w:rPr>
              <w:t>(GHD 2017, p. 14)</w:t>
            </w:r>
            <w:r w:rsidRPr="00E072E5">
              <w:rPr>
                <w:spacing w:val="-2"/>
              </w:rPr>
              <w:t>. Some of these options may be</w:t>
            </w:r>
            <w:r w:rsidR="00B55846">
              <w:rPr>
                <w:spacing w:val="-2"/>
              </w:rPr>
              <w:t xml:space="preserve"> a</w:t>
            </w:r>
            <w:r w:rsidRPr="00E072E5">
              <w:rPr>
                <w:spacing w:val="-2"/>
              </w:rPr>
              <w:t xml:space="preserve"> considerably more cost</w:t>
            </w:r>
            <w:r w:rsidRPr="00E072E5">
              <w:rPr>
                <w:spacing w:val="-2"/>
              </w:rPr>
              <w:noBreakHyphen/>
              <w:t>effective means for the New South Wales Government to secure Tamworth’s water needs.</w:t>
            </w:r>
          </w:p>
          <w:p w14:paraId="70027043" w14:textId="77777777" w:rsidR="001054C3" w:rsidRPr="00CD4CBE" w:rsidRDefault="001054C3" w:rsidP="00234FBE">
            <w:pPr>
              <w:pStyle w:val="BoxListBullet2"/>
              <w:rPr>
                <w:rStyle w:val="NoteLabel"/>
                <w:b w:val="0"/>
                <w:position w:val="0"/>
                <w:sz w:val="20"/>
              </w:rPr>
            </w:pPr>
            <w:r w:rsidRPr="006D31C5">
              <w:t>For</w:t>
            </w:r>
            <w:r>
              <w:t xml:space="preserve"> example, Tamworth City Council could purchase equivalent general security entitlements (in long</w:t>
            </w:r>
            <w:r>
              <w:noBreakHyphen/>
              <w:t>term annual average terms) for about 2 per cent of the cost of Dungowan Dam.</w:t>
            </w:r>
            <w:r>
              <w:rPr>
                <w:rStyle w:val="NoteLabel"/>
              </w:rPr>
              <w:t>b</w:t>
            </w:r>
          </w:p>
          <w:p w14:paraId="2899BED1" w14:textId="77777777" w:rsidR="001054C3" w:rsidRDefault="001054C3" w:rsidP="00234FBE">
            <w:pPr>
              <w:pStyle w:val="BoxListBullet"/>
            </w:pPr>
            <w:r>
              <w:t xml:space="preserve">The project scope was narrowly defined. Although the study was prompted by pressure on Tamworth’s bulk water supplies during the Millennium Drought, the analysis focused on </w:t>
            </w:r>
            <w:r w:rsidRPr="00B24E11">
              <w:t>long</w:t>
            </w:r>
            <w:r>
              <w:noBreakHyphen/>
            </w:r>
            <w:r w:rsidRPr="00B24E11">
              <w:t xml:space="preserve">term water </w:t>
            </w:r>
            <w:r>
              <w:t>supply, rather than ensuring water security during extreme events.</w:t>
            </w:r>
          </w:p>
          <w:p w14:paraId="2D3A10CC" w14:textId="3548FD79" w:rsidR="001054C3" w:rsidRDefault="001054C3" w:rsidP="00234FBE">
            <w:pPr>
              <w:pStyle w:val="BoxListBullet2"/>
            </w:pPr>
            <w:r>
              <w:t>T</w:t>
            </w:r>
            <w:r w:rsidRPr="00973D79">
              <w:t>he NSW Water Directorate (sub.</w:t>
            </w:r>
            <w:r>
              <w:t> </w:t>
            </w:r>
            <w:r w:rsidRPr="00973D79">
              <w:t>37, p.</w:t>
            </w:r>
            <w:r>
              <w:t> </w:t>
            </w:r>
            <w:r w:rsidRPr="00973D79">
              <w:t>7)</w:t>
            </w:r>
            <w:r>
              <w:t xml:space="preserve"> observed that, during the 2017–19 drought, the seasonal water allocation process under the catchment water plan was </w:t>
            </w:r>
            <w:r w:rsidRPr="00973D79">
              <w:t xml:space="preserve">not </w:t>
            </w:r>
            <w:r>
              <w:t xml:space="preserve">as </w:t>
            </w:r>
            <w:r w:rsidRPr="00973D79">
              <w:t xml:space="preserve">effective </w:t>
            </w:r>
            <w:r>
              <w:t>as it could have been in</w:t>
            </w:r>
            <w:r w:rsidRPr="00973D79">
              <w:t xml:space="preserve"> protecting town water </w:t>
            </w:r>
            <w:r>
              <w:t xml:space="preserve">security, even with the expansion at Chaffey Dam. Indeed, </w:t>
            </w:r>
            <w:r w:rsidRPr="00F714C4">
              <w:t xml:space="preserve">in the year </w:t>
            </w:r>
            <w:r>
              <w:t xml:space="preserve">prior </w:t>
            </w:r>
            <w:r w:rsidRPr="00F714C4">
              <w:t>to Tamworth’s level</w:t>
            </w:r>
            <w:r>
              <w:t> </w:t>
            </w:r>
            <w:r w:rsidRPr="00F714C4">
              <w:t xml:space="preserve">5 restrictions, more water was </w:t>
            </w:r>
            <w:r>
              <w:t>allocated</w:t>
            </w:r>
            <w:r w:rsidRPr="00F714C4">
              <w:t xml:space="preserve"> to general security licence holders than for urban water use</w:t>
            </w:r>
            <w:r>
              <w:t xml:space="preserve"> </w:t>
            </w:r>
            <w:r w:rsidRPr="003A616F">
              <w:rPr>
                <w:rFonts w:cs="Arial"/>
                <w:szCs w:val="24"/>
              </w:rPr>
              <w:t>(WaterNSW 2019)</w:t>
            </w:r>
            <w:r>
              <w:t>.</w:t>
            </w:r>
          </w:p>
          <w:p w14:paraId="27A336C8" w14:textId="26E0A966" w:rsidR="001054C3" w:rsidRDefault="001054C3" w:rsidP="00234FBE">
            <w:pPr>
              <w:pStyle w:val="Box"/>
            </w:pPr>
            <w:r>
              <w:t>The justification for the project is to ensure water security for Tamworth while maintaining access for general security irrigators. However, doing so through the proposed dam is likely to be costly relative to the value of that water. The project is estimated to provide an additional 6 GL of water a year (on average) which, based on current market prices for general security entitlements, would cost about $</w:t>
            </w:r>
            <w:r w:rsidRPr="007551E6">
              <w:t>11</w:t>
            </w:r>
            <w:r>
              <w:t> million.</w:t>
            </w:r>
            <w:r>
              <w:rPr>
                <w:rStyle w:val="NoteLabel"/>
              </w:rPr>
              <w:t>c</w:t>
            </w:r>
            <w:r>
              <w:t xml:space="preserve"> If the additional water from the project were sold to </w:t>
            </w:r>
            <w:r w:rsidRPr="00987C1C">
              <w:t>irrigators</w:t>
            </w:r>
            <w:r>
              <w:t xml:space="preserve"> at full cost, it would cost more than $</w:t>
            </w:r>
            <w:r w:rsidDel="007551E6">
              <w:t>60</w:t>
            </w:r>
            <w:r>
              <w:t> 000/ML.</w:t>
            </w:r>
          </w:p>
          <w:p w14:paraId="3B7953E0" w14:textId="13CF7697" w:rsidR="001054C3" w:rsidRPr="007E4026" w:rsidRDefault="001054C3" w:rsidP="00234FBE">
            <w:pPr>
              <w:pStyle w:val="Box"/>
            </w:pPr>
            <w:r>
              <w:t>Moreover, as the proposed project is within a fully</w:t>
            </w:r>
            <w:r w:rsidR="00C219DC">
              <w:t>-</w:t>
            </w:r>
            <w:r>
              <w:t xml:space="preserve">allocated water system, it will result in an implicit (and expensive) transfer of water. Any infrastructure that improves reliability for one user will affect water availability for others. In this case, the feasibility study identified that a larger storage would lead to the Peel water sharing plan cap becoming binding, </w:t>
            </w:r>
            <w:r w:rsidR="00F719D4">
              <w:t xml:space="preserve">thereby </w:t>
            </w:r>
            <w:r>
              <w:t>reducing supplementary access (water extractions during infrequent high</w:t>
            </w:r>
            <w:r>
              <w:noBreakHyphen/>
              <w:t xml:space="preserve">flow events) for Namoi River irrigators </w:t>
            </w:r>
            <w:r w:rsidRPr="00BA67A2">
              <w:rPr>
                <w:rFonts w:cs="Arial"/>
                <w:szCs w:val="24"/>
              </w:rPr>
              <w:t>(GHD 2017, p. 19)</w:t>
            </w:r>
            <w:r>
              <w:t>.</w:t>
            </w:r>
          </w:p>
        </w:tc>
      </w:tr>
      <w:tr w:rsidR="001054C3" w14:paraId="203CF8A0" w14:textId="77777777" w:rsidTr="00234FBE">
        <w:tc>
          <w:tcPr>
            <w:tcW w:w="5000" w:type="pct"/>
            <w:tcBorders>
              <w:top w:val="nil"/>
              <w:left w:val="nil"/>
              <w:bottom w:val="nil"/>
              <w:right w:val="nil"/>
            </w:tcBorders>
            <w:shd w:val="clear" w:color="auto" w:fill="F2F2F2"/>
          </w:tcPr>
          <w:p w14:paraId="0CEAA15C" w14:textId="19052BBD" w:rsidR="001054C3" w:rsidRDefault="001054C3" w:rsidP="00234FBE">
            <w:pPr>
              <w:pStyle w:val="Note"/>
              <w:spacing w:line="260" w:lineRule="exact"/>
            </w:pPr>
            <w:r>
              <w:rPr>
                <w:rStyle w:val="NoteLabel"/>
              </w:rPr>
              <w:t>a </w:t>
            </w:r>
            <w:r>
              <w:t>The study assume</w:t>
            </w:r>
            <w:r w:rsidR="00307B5C">
              <w:t>d</w:t>
            </w:r>
            <w:r>
              <w:t xml:space="preserve"> </w:t>
            </w:r>
            <w:r w:rsidR="00F719D4">
              <w:t xml:space="preserve">that </w:t>
            </w:r>
            <w:r>
              <w:t xml:space="preserve">the current pipeline is replaced under the base case, and the estimated project </w:t>
            </w:r>
            <w:r w:rsidRPr="004D1833">
              <w:t>benefit</w:t>
            </w:r>
            <w:r>
              <w:t>–</w:t>
            </w:r>
            <w:r w:rsidRPr="004D1833">
              <w:t xml:space="preserve">cost ratio </w:t>
            </w:r>
            <w:r>
              <w:t xml:space="preserve">includes the avoided cost of this capital </w:t>
            </w:r>
            <w:r w:rsidRPr="002A3EA1">
              <w:rPr>
                <w:rFonts w:cs="Arial"/>
                <w:szCs w:val="24"/>
              </w:rPr>
              <w:t>(GHD 2017, pp. 54–55)</w:t>
            </w:r>
            <w:r>
              <w:t xml:space="preserve">. </w:t>
            </w:r>
            <w:r>
              <w:rPr>
                <w:rStyle w:val="NoteLabel"/>
              </w:rPr>
              <w:t>b </w:t>
            </w:r>
            <w:r>
              <w:t xml:space="preserve">Based on 75 per cent reliability, Peel </w:t>
            </w:r>
            <w:r w:rsidRPr="00987C1C">
              <w:t xml:space="preserve">General Security entitlement </w:t>
            </w:r>
            <w:r>
              <w:t>price of $1341/ML (2018</w:t>
            </w:r>
            <w:r>
              <w:noBreakHyphen/>
              <w:t>19 w</w:t>
            </w:r>
            <w:r w:rsidRPr="00393782">
              <w:t>eight</w:t>
            </w:r>
            <w:r>
              <w:t xml:space="preserve">ed average Peel General Security entitlement price </w:t>
            </w:r>
            <w:r w:rsidRPr="00393782">
              <w:rPr>
                <w:rFonts w:cs="Arial"/>
                <w:szCs w:val="24"/>
              </w:rPr>
              <w:t>(Aither 2019)</w:t>
            </w:r>
            <w:r>
              <w:t xml:space="preserve">), and a maximum potential shortfall of 5.5 GL a year by 2065. </w:t>
            </w:r>
            <w:r>
              <w:rPr>
                <w:rStyle w:val="NoteLabel"/>
              </w:rPr>
              <w:t>c </w:t>
            </w:r>
            <w:r>
              <w:t xml:space="preserve">Based on 75 per cent reliability and a Peel </w:t>
            </w:r>
            <w:r w:rsidRPr="00987C1C">
              <w:t xml:space="preserve">General Security entitlement </w:t>
            </w:r>
            <w:r>
              <w:t>price of $1341/ML.</w:t>
            </w:r>
          </w:p>
        </w:tc>
      </w:tr>
      <w:tr w:rsidR="001054C3" w14:paraId="48208851" w14:textId="77777777" w:rsidTr="00234FBE">
        <w:tc>
          <w:tcPr>
            <w:tcW w:w="5000" w:type="pct"/>
            <w:tcBorders>
              <w:top w:val="nil"/>
              <w:left w:val="nil"/>
              <w:bottom w:val="single" w:sz="6" w:space="0" w:color="78A22F"/>
              <w:right w:val="nil"/>
            </w:tcBorders>
            <w:shd w:val="clear" w:color="auto" w:fill="F2F2F2"/>
          </w:tcPr>
          <w:p w14:paraId="5E1AE06C" w14:textId="77777777" w:rsidR="001054C3" w:rsidRDefault="001054C3" w:rsidP="00234FBE">
            <w:pPr>
              <w:pStyle w:val="Box"/>
              <w:spacing w:before="0" w:line="120" w:lineRule="exact"/>
            </w:pPr>
          </w:p>
        </w:tc>
      </w:tr>
      <w:tr w:rsidR="001054C3" w:rsidRPr="000863A5" w14:paraId="49B99033" w14:textId="77777777" w:rsidTr="00234FBE">
        <w:tc>
          <w:tcPr>
            <w:tcW w:w="5000" w:type="pct"/>
            <w:tcBorders>
              <w:top w:val="single" w:sz="6" w:space="0" w:color="78A22F"/>
              <w:left w:val="nil"/>
              <w:bottom w:val="nil"/>
              <w:right w:val="nil"/>
            </w:tcBorders>
          </w:tcPr>
          <w:p w14:paraId="231A79A6" w14:textId="77777777" w:rsidR="001054C3" w:rsidRPr="00626D32" w:rsidRDefault="001054C3" w:rsidP="00234FBE">
            <w:pPr>
              <w:pStyle w:val="BoxSpaceBelow"/>
            </w:pPr>
          </w:p>
        </w:tc>
      </w:tr>
    </w:tbl>
    <w:p w14:paraId="6EDDC586" w14:textId="77777777" w:rsidR="001054C3" w:rsidRDefault="001054C3" w:rsidP="00234FBE">
      <w:pPr>
        <w:pStyle w:val="Heading3"/>
      </w:pPr>
      <w:r>
        <w:lastRenderedPageBreak/>
        <w:t>T</w:t>
      </w:r>
      <w:r w:rsidRPr="003F7402">
        <w:t xml:space="preserve">he case </w:t>
      </w:r>
      <w:r w:rsidRPr="000C59D9">
        <w:t>for</w:t>
      </w:r>
      <w:r w:rsidRPr="003F7402">
        <w:t xml:space="preserve"> rural water infrastructure </w:t>
      </w:r>
      <w:r>
        <w:t xml:space="preserve">subsidies </w:t>
      </w:r>
      <w:r w:rsidRPr="003F7402">
        <w:t xml:space="preserve">is </w:t>
      </w:r>
      <w:r>
        <w:t xml:space="preserve">not </w:t>
      </w:r>
      <w:r w:rsidRPr="003F7402">
        <w:t>clear</w:t>
      </w:r>
    </w:p>
    <w:p w14:paraId="4CEF8D15" w14:textId="0B281FFE" w:rsidR="001054C3" w:rsidRDefault="001054C3" w:rsidP="00234FBE">
      <w:pPr>
        <w:pStyle w:val="BodyText"/>
      </w:pPr>
      <w:r>
        <w:t>In principle, government subsidies can be warranted where projects generate public benefits — for example, where non</w:t>
      </w:r>
      <w:r>
        <w:noBreakHyphen/>
        <w:t>users receive economic benefits from the infrastructure (indirect beneficiaries),</w:t>
      </w:r>
      <w:r w:rsidRPr="004E6669">
        <w:t xml:space="preserve"> or </w:t>
      </w:r>
      <w:r>
        <w:t xml:space="preserve">where it would be too costly (or inequitable) to identify and charge each </w:t>
      </w:r>
      <w:r w:rsidRPr="004E6669">
        <w:t>individual</w:t>
      </w:r>
      <w:r>
        <w:t xml:space="preserve"> user. The presence of public benefits may lead to under</w:t>
      </w:r>
      <w:r>
        <w:noBreakHyphen/>
        <w:t xml:space="preserve">provision of otherwise worthwhile infrastructure if investment funding is left solely to the private sector </w:t>
      </w:r>
      <w:r w:rsidRPr="001C61DC">
        <w:rPr>
          <w:szCs w:val="24"/>
        </w:rPr>
        <w:t>(PC 2014, p. 110)</w:t>
      </w:r>
      <w:r>
        <w:t>. Where this is the case, an upfront government funding contribution may be necessary to ensure a worthwhile project proceeds, and that contribution would not be fully recovered from users. In the case of water infrastructure, public benefits can include flood mitigation and dam safety.</w:t>
      </w:r>
    </w:p>
    <w:p w14:paraId="1D042B95" w14:textId="77777777" w:rsidR="001054C3" w:rsidRDefault="001054C3" w:rsidP="00234FBE">
      <w:pPr>
        <w:pStyle w:val="BodyText"/>
      </w:pPr>
      <w:r>
        <w:t>Similarly, for high</w:t>
      </w:r>
      <w:r>
        <w:noBreakHyphen/>
        <w:t>cost regional urban water supply systems, a degree of government subsidy may be justified on equity grounds to ensure access to a basic level of service (chapter </w:t>
      </w:r>
      <w:r w:rsidRPr="00F832E0">
        <w:t>12</w:t>
      </w:r>
      <w:r>
        <w:t>).</w:t>
      </w:r>
    </w:p>
    <w:p w14:paraId="4408BB82" w14:textId="7102BB6C" w:rsidR="001054C3" w:rsidRPr="00C71AEE" w:rsidRDefault="001054C3" w:rsidP="00234FBE">
      <w:pPr>
        <w:pStyle w:val="BodyText"/>
        <w:keepNext/>
      </w:pPr>
      <w:r>
        <w:t>The creation of a dedicated Australian Government body to assess water infrastructure projects suggests greater scrutiny of decision making, and many aspects of t</w:t>
      </w:r>
      <w:r w:rsidRPr="00B66D50">
        <w:t xml:space="preserve">he </w:t>
      </w:r>
      <w:r>
        <w:t>National Water Grid Authority’s</w:t>
      </w:r>
      <w:r w:rsidRPr="00B66D50">
        <w:t xml:space="preserve"> </w:t>
      </w:r>
      <w:r>
        <w:t>(</w:t>
      </w:r>
      <w:r w:rsidRPr="00B66D50">
        <w:t>NWGA’s</w:t>
      </w:r>
      <w:r>
        <w:t>) recently released</w:t>
      </w:r>
      <w:r w:rsidRPr="00B66D50">
        <w:t xml:space="preserve"> </w:t>
      </w:r>
      <w:r w:rsidRPr="000B5C35">
        <w:rPr>
          <w:i/>
        </w:rPr>
        <w:t>Investment Policy Framework</w:t>
      </w:r>
      <w:r w:rsidRPr="00B66D50">
        <w:t xml:space="preserve"> </w:t>
      </w:r>
      <w:r w:rsidRPr="00822C2B">
        <w:rPr>
          <w:szCs w:val="24"/>
        </w:rPr>
        <w:t>(NWGA 2020)</w:t>
      </w:r>
      <w:r w:rsidRPr="00B66D50">
        <w:t xml:space="preserve"> </w:t>
      </w:r>
      <w:r>
        <w:t xml:space="preserve">represent potential improvements in project assessment and selection. However, the framework takes a relatively broad view of the rationale for government investment, with an emphasis on regional development. The NWGA </w:t>
      </w:r>
      <w:r w:rsidRPr="00822C2B">
        <w:rPr>
          <w:szCs w:val="24"/>
        </w:rPr>
        <w:t>(2020, p. 4)</w:t>
      </w:r>
      <w:r>
        <w:t xml:space="preserve"> will consider Australian Government </w:t>
      </w:r>
      <w:r w:rsidRPr="00B66D50">
        <w:t>fund</w:t>
      </w:r>
      <w:r>
        <w:t>ing for</w:t>
      </w:r>
      <w:r w:rsidRPr="00B66D50">
        <w:t xml:space="preserve"> projects that are:</w:t>
      </w:r>
    </w:p>
    <w:p w14:paraId="1E0E55E7" w14:textId="77777777" w:rsidR="001054C3" w:rsidRPr="00C71AEE" w:rsidRDefault="001054C3" w:rsidP="00234FBE">
      <w:pPr>
        <w:pStyle w:val="Quote"/>
      </w:pPr>
      <w:r>
        <w:t xml:space="preserve">… </w:t>
      </w:r>
      <w:r w:rsidRPr="00EA0228">
        <w:t>of demonstrable public benefit and have a national interest element, including through securing the nation</w:t>
      </w:r>
      <w:r>
        <w:t>’</w:t>
      </w:r>
      <w:r w:rsidRPr="00EA0228">
        <w:t>s water security, building resilience to future drought, supporting primary industries and promoting regional prosperity, including through the creation of jobs</w:t>
      </w:r>
      <w:r>
        <w:t>.</w:t>
      </w:r>
    </w:p>
    <w:p w14:paraId="27023312" w14:textId="77777777" w:rsidR="001054C3" w:rsidRDefault="001054C3" w:rsidP="00234FBE">
      <w:pPr>
        <w:pStyle w:val="BodyText"/>
      </w:pPr>
      <w:r>
        <w:t xml:space="preserve">Unless governments recover </w:t>
      </w:r>
      <w:r w:rsidRPr="00392937">
        <w:t xml:space="preserve">from users </w:t>
      </w:r>
      <w:r>
        <w:t>funding provided for water infrastructure developed for the benefit of primary industries, then this equates to subsidising a commercial operation. This is the case for both new developments and redevelopments that aim to improve reliability for existing users.</w:t>
      </w:r>
    </w:p>
    <w:p w14:paraId="1A6DFD34" w14:textId="2059C7BF" w:rsidR="001054C3" w:rsidRPr="00393782" w:rsidRDefault="001054C3" w:rsidP="00234FBE">
      <w:pPr>
        <w:pStyle w:val="BodyText"/>
      </w:pPr>
      <w:r>
        <w:t>T</w:t>
      </w:r>
      <w:r w:rsidRPr="004E6669">
        <w:t>he NWGA framework exclude</w:t>
      </w:r>
      <w:r>
        <w:t>s</w:t>
      </w:r>
      <w:r w:rsidRPr="004E6669">
        <w:t xml:space="preserve"> projects that supply water for the exclusive use of a private business or individual, </w:t>
      </w:r>
      <w:r>
        <w:t>and</w:t>
      </w:r>
      <w:r w:rsidRPr="004E6669">
        <w:t xml:space="preserve"> prioritise</w:t>
      </w:r>
      <w:r>
        <w:t>s</w:t>
      </w:r>
      <w:r w:rsidRPr="004E6669">
        <w:t xml:space="preserve"> investments that ‘provide the highest net benefit of all options available to increase access to water, taking into account economic, social and environmental impacts</w:t>
      </w:r>
      <w:r>
        <w:t xml:space="preserve">’ </w:t>
      </w:r>
      <w:r w:rsidRPr="00822C2B">
        <w:rPr>
          <w:szCs w:val="24"/>
        </w:rPr>
        <w:t>(NWGA 2020, p. 4)</w:t>
      </w:r>
      <w:r w:rsidRPr="004E6669">
        <w:t>.</w:t>
      </w:r>
      <w:r>
        <w:t xml:space="preserve"> While selecting the option with the highest net benefit is good practice, the framework does not strictly require a </w:t>
      </w:r>
      <w:r>
        <w:rPr>
          <w:i/>
        </w:rPr>
        <w:t xml:space="preserve">positive </w:t>
      </w:r>
      <w:r>
        <w:t>net benefit from improved water access. Moreover, the NWGA does not fund solutions that may address the investment objective through non</w:t>
      </w:r>
      <w:r>
        <w:noBreakHyphen/>
        <w:t>water infrastructure means, such as inter</w:t>
      </w:r>
      <w:r>
        <w:noBreakHyphen/>
        <w:t>sectoral trade, or changes to seasonal water allocation policies.</w:t>
      </w:r>
    </w:p>
    <w:p w14:paraId="08976832" w14:textId="77777777" w:rsidR="001054C3" w:rsidRDefault="001054C3" w:rsidP="00234FBE">
      <w:pPr>
        <w:pStyle w:val="BodyText"/>
      </w:pPr>
      <w:r>
        <w:t xml:space="preserve">In addition, the NWGA framework includes a broad ‘national interest’ test to guide investment decisions. Some of the framework’s objectives for investment, such as </w:t>
      </w:r>
      <w:r w:rsidRPr="002F22C1">
        <w:t>promoting regional prosperity</w:t>
      </w:r>
      <w:r>
        <w:t xml:space="preserve">, are not considered as part of </w:t>
      </w:r>
      <w:r w:rsidRPr="002F22C1">
        <w:t>a strict economic viability test</w:t>
      </w:r>
      <w:r>
        <w:t xml:space="preserve">, and there is a risk that pursuit of those objectives may enable funding for projects that are not </w:t>
      </w:r>
      <w:r>
        <w:lastRenderedPageBreak/>
        <w:t>economically viable. Secondary impacts, such as regional job creation, do not necessarily justify a particular investment — a</w:t>
      </w:r>
      <w:r w:rsidRPr="00E74680">
        <w:t xml:space="preserve">ll public </w:t>
      </w:r>
      <w:r>
        <w:t>expenditure</w:t>
      </w:r>
      <w:r w:rsidRPr="00E74680">
        <w:t xml:space="preserve"> create</w:t>
      </w:r>
      <w:r>
        <w:t>s</w:t>
      </w:r>
      <w:r w:rsidRPr="00E74680">
        <w:t xml:space="preserve"> flow</w:t>
      </w:r>
      <w:r w:rsidRPr="00E74680">
        <w:noBreakHyphen/>
        <w:t>on economic impacts, but these often represent a transfer of resources and jobs between regions.</w:t>
      </w:r>
    </w:p>
    <w:p w14:paraId="3384F166" w14:textId="77777777" w:rsidR="001054C3" w:rsidRDefault="001054C3" w:rsidP="00234FBE">
      <w:pPr>
        <w:pStyle w:val="BodyText"/>
      </w:pPr>
      <w:r>
        <w:t>With governments looking to increase infrastructure spending, a ‘just add water’ approach assumes that increasing access to water, in itself, is a cost</w:t>
      </w:r>
      <w:r>
        <w:noBreakHyphen/>
        <w:t>effective way to deliver the government’s objectives. The availability of Australian Government funding through the National Water Grid Fund risks biasing State and Territory priorities towards infrastructure solutions — ignoring other, more cost</w:t>
      </w:r>
      <w:r>
        <w:noBreakHyphen/>
        <w:t>effective means (outside of water infrastructure) to enable regional economic growth or improve water security.</w:t>
      </w:r>
    </w:p>
    <w:p w14:paraId="0E2DA87B" w14:textId="77777777" w:rsidR="001054C3" w:rsidRDefault="001054C3" w:rsidP="00234FBE">
      <w:pPr>
        <w:pStyle w:val="BodyText"/>
      </w:pPr>
      <w:r>
        <w:t xml:space="preserve">A focus on increased water access, without </w:t>
      </w:r>
      <w:r w:rsidRPr="008E1EF4">
        <w:t xml:space="preserve">rigorous demand </w:t>
      </w:r>
      <w:r>
        <w:t>testing, assumes that additional water will necessarily be put to productive uses and generate employment — an assumption that is not always borne out.</w:t>
      </w:r>
      <w:r w:rsidRPr="00CD4CBE">
        <w:rPr>
          <w:rStyle w:val="FootnoteReference"/>
        </w:rPr>
        <w:footnoteReference w:id="46"/>
      </w:r>
      <w:r>
        <w:t xml:space="preserve"> Major water infrastructure often creates few ongoing jobs, and usually at a high cost (</w:t>
      </w:r>
      <w:r w:rsidRPr="00236A58">
        <w:t>SP I</w:t>
      </w:r>
      <w:r w:rsidRPr="0075730C">
        <w:rPr>
          <w:i/>
          <w:iCs/>
        </w:rPr>
        <w:t> Infrastructure</w:t>
      </w:r>
      <w:r>
        <w:t>, table 1).</w:t>
      </w:r>
    </w:p>
    <w:p w14:paraId="08A522AC" w14:textId="251D6D1B" w:rsidR="001054C3" w:rsidRDefault="001054C3" w:rsidP="00234FBE">
      <w:pPr>
        <w:pStyle w:val="BodyText"/>
      </w:pPr>
      <w:r>
        <w:t>S</w:t>
      </w:r>
      <w:r w:rsidRPr="00B55E15">
        <w:t xml:space="preserve">ome </w:t>
      </w:r>
      <w:r>
        <w:t>major</w:t>
      </w:r>
      <w:r w:rsidRPr="00B55E15">
        <w:t xml:space="preserve"> investment decisions have </w:t>
      </w:r>
      <w:r>
        <w:t>similarly lacked a</w:t>
      </w:r>
      <w:r w:rsidRPr="00B55E15">
        <w:t xml:space="preserve"> demonstrated demand for water</w:t>
      </w:r>
      <w:r>
        <w:t xml:space="preserve"> prior to the decision being made, as well as little connection with broader regional development strategies. The business case for Rookwood Weir, for example, highlighted a ‘potential opportunity’ to expand agricultural production </w:t>
      </w:r>
      <w:r w:rsidRPr="00B84761">
        <w:rPr>
          <w:szCs w:val="24"/>
        </w:rPr>
        <w:t>(Building Queensland 2017, p. 14)</w:t>
      </w:r>
      <w:r>
        <w:t xml:space="preserve">, but this was not determined through a holistic regional development strategy, nor was the weir identified in the regional water security strategy as being critical to supplying increased agricultural demand for water </w:t>
      </w:r>
      <w:r w:rsidRPr="006E7435">
        <w:rPr>
          <w:szCs w:val="24"/>
        </w:rPr>
        <w:t>(Queensland Government 2016)</w:t>
      </w:r>
      <w:r>
        <w:t xml:space="preserve">. </w:t>
      </w:r>
    </w:p>
    <w:p w14:paraId="422FC580" w14:textId="77777777" w:rsidR="001054C3" w:rsidRDefault="001054C3" w:rsidP="00234FBE">
      <w:pPr>
        <w:pStyle w:val="Heading2"/>
      </w:pPr>
      <w:bookmarkStart w:id="196" w:name="_Toc63112506"/>
      <w:bookmarkStart w:id="197" w:name="_Toc72939548"/>
      <w:r>
        <w:t>14.3</w:t>
      </w:r>
      <w:r>
        <w:tab/>
        <w:t>NWI renewal can contribute to improved decision making</w:t>
      </w:r>
      <w:bookmarkEnd w:id="196"/>
      <w:bookmarkEnd w:id="197"/>
    </w:p>
    <w:p w14:paraId="3DB88F00" w14:textId="77777777" w:rsidR="001054C3" w:rsidRDefault="001054C3" w:rsidP="00234FBE">
      <w:pPr>
        <w:pStyle w:val="BodyText"/>
      </w:pPr>
      <w:r>
        <w:t>The terms of reference ask the Commission to consider t</w:t>
      </w:r>
      <w:r w:rsidRPr="00F27A4B">
        <w:t xml:space="preserve">he </w:t>
      </w:r>
      <w:r>
        <w:t>‘</w:t>
      </w:r>
      <w:r w:rsidRPr="00F27A4B">
        <w:t>principles to be satisfied for any government investment in major water infrastructure projects</w:t>
      </w:r>
      <w:r>
        <w:t>’.</w:t>
      </w:r>
    </w:p>
    <w:p w14:paraId="6C52C21F" w14:textId="77777777" w:rsidR="001054C3" w:rsidRDefault="001054C3" w:rsidP="00234FBE">
      <w:pPr>
        <w:pStyle w:val="BodyText"/>
      </w:pPr>
      <w:r>
        <w:t>The existing requirements of economic viability, ecological sustainability and user pays are sound and should be retained in a renewed NWI. If adhered to, they would ensure that government investment occurs rarely and only where clearly justified, without impeding worthwhile investments. However, a lack of specificity in the NWI about when government subsidies should be provided has left it ineffective in ensuring that only the most beneficial projects are selected</w:t>
      </w:r>
      <w:r w:rsidRPr="00BC524B">
        <w:t xml:space="preserve"> </w:t>
      </w:r>
      <w:r>
        <w:t>(or funded) by governments.</w:t>
      </w:r>
    </w:p>
    <w:p w14:paraId="3DEE1845" w14:textId="77777777" w:rsidR="001054C3" w:rsidRDefault="001054C3" w:rsidP="00234FBE">
      <w:pPr>
        <w:pStyle w:val="BodyText"/>
      </w:pPr>
      <w:r>
        <w:t>Further, the high</w:t>
      </w:r>
      <w:r>
        <w:noBreakHyphen/>
        <w:t xml:space="preserve">level requirement should be expanded to ensure that the development of major water infrastructure is culturally responsive to the interests of Aboriginal and Torres Strait Islander people. As discussed below, for major projects this could include </w:t>
      </w:r>
      <w:r>
        <w:lastRenderedPageBreak/>
        <w:t>commitments to deep engagement with affected Traditional Owners, and identifying and addressing impacts on cultural heritage.</w:t>
      </w:r>
    </w:p>
    <w:p w14:paraId="7225F664" w14:textId="77777777" w:rsidR="001054C3" w:rsidRDefault="001054C3" w:rsidP="00234FBE">
      <w:pPr>
        <w:pStyle w:val="BodyText"/>
      </w:pPr>
      <w:r>
        <w:t>Given the gaps in the NWI, and observed issues with project selection, a new element devoted to water infrastructure investments should be included in a renewed agreement. It should include an agreed framework to guide government decision making concerning major water infrastructure. Content should aim to: improve project selection processes; clarify how adherence to the requirements of economic viability, ecological sustainability and culturally responsive infrastructure development can be demonstrated; and set out principles for cost sharing (including government subsidies) and allocating water from new developments. These enhancements should be underpinned by clear institutional arrangements.</w:t>
      </w:r>
    </w:p>
    <w:p w14:paraId="356A46AD" w14:textId="77777777" w:rsidR="001054C3" w:rsidRDefault="001054C3" w:rsidP="00234FBE">
      <w:pPr>
        <w:pStyle w:val="BodyText"/>
      </w:pPr>
      <w:r>
        <w:t>Some shortcomings in decision</w:t>
      </w:r>
      <w:r>
        <w:noBreakHyphen/>
        <w:t>making processes are being addressed through other policy frameworks, including some State</w:t>
      </w:r>
      <w:r>
        <w:noBreakHyphen/>
        <w:t xml:space="preserve">based infrastructure prioritisation publications, as well as the NWGA’s 2020 </w:t>
      </w:r>
      <w:r>
        <w:rPr>
          <w:i/>
        </w:rPr>
        <w:t>Investment Policy Framework</w:t>
      </w:r>
      <w:r>
        <w:rPr>
          <w:iCs/>
        </w:rPr>
        <w:t>.</w:t>
      </w:r>
    </w:p>
    <w:p w14:paraId="49262780" w14:textId="77777777" w:rsidR="001054C3" w:rsidRPr="00DD5386" w:rsidRDefault="001054C3" w:rsidP="00234FBE">
      <w:pPr>
        <w:pStyle w:val="BodyText"/>
      </w:pPr>
      <w:r>
        <w:t>Endorsement of a decision</w:t>
      </w:r>
      <w:r>
        <w:noBreakHyphen/>
        <w:t>making framework in the NWI would ensure that the agreed position of all Governments is embedded as part of longer</w:t>
      </w:r>
      <w:r>
        <w:noBreakHyphen/>
        <w:t>term water reform, helping ensure that government decisions can be held to account within that framework.</w:t>
      </w:r>
    </w:p>
    <w:p w14:paraId="57C62C5F" w14:textId="77777777" w:rsidR="001054C3" w:rsidRPr="00F94210" w:rsidRDefault="001054C3" w:rsidP="00234FBE">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F94210" w14:paraId="6581FAF0"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8A10E4D" w14:textId="77777777" w:rsidR="001054C3" w:rsidRPr="00F94210" w:rsidRDefault="001054C3" w:rsidP="00234FBE">
            <w:pPr>
              <w:pStyle w:val="FindingTitle"/>
              <w:spacing w:before="120"/>
              <w:rPr>
                <w:noProof/>
              </w:rPr>
            </w:pPr>
            <w:r>
              <w:t>NWI renewal advice 14.1: A New Water Infrastructure element</w:t>
            </w:r>
          </w:p>
          <w:p w14:paraId="05AE9F5B" w14:textId="77777777" w:rsidR="001054C3" w:rsidRDefault="001054C3" w:rsidP="00234FBE">
            <w:pPr>
              <w:pStyle w:val="Finding"/>
            </w:pPr>
            <w:r w:rsidRPr="00345B07">
              <w:t xml:space="preserve">In renegotiating the </w:t>
            </w:r>
            <w:r>
              <w:t>National Water Initiative, jurisdictions should develop an element to guide investment in water infrastructure.</w:t>
            </w:r>
          </w:p>
          <w:p w14:paraId="17241172" w14:textId="77777777" w:rsidR="001054C3" w:rsidRDefault="001054C3" w:rsidP="00234FBE">
            <w:pPr>
              <w:pStyle w:val="Finding"/>
            </w:pPr>
            <w:r>
              <w:t>The new element should restate the high</w:t>
            </w:r>
            <w:r>
              <w:noBreakHyphen/>
            </w:r>
            <w:r w:rsidRPr="00733DFD">
              <w:t xml:space="preserve">level </w:t>
            </w:r>
            <w:r>
              <w:t>requirements for</w:t>
            </w:r>
            <w:r w:rsidRPr="00733DFD">
              <w:t xml:space="preserve"> all infrastructure</w:t>
            </w:r>
            <w:r>
              <w:t xml:space="preserve"> to</w:t>
            </w:r>
            <w:r w:rsidRPr="00733DFD">
              <w:t xml:space="preserve"> be </w:t>
            </w:r>
            <w:r>
              <w:t>assessed</w:t>
            </w:r>
            <w:r w:rsidRPr="00733DFD">
              <w:t xml:space="preserve"> as economically viable</w:t>
            </w:r>
            <w:r>
              <w:t xml:space="preserve"> and ecologically</w:t>
            </w:r>
            <w:r w:rsidRPr="00733DFD">
              <w:t xml:space="preserve"> sustainable prio</w:t>
            </w:r>
            <w:r>
              <w:t xml:space="preserve">r to the commitment of funding, with </w:t>
            </w:r>
            <w:r w:rsidRPr="00345B07">
              <w:t>cost</w:t>
            </w:r>
            <w:r>
              <w:t xml:space="preserve"> </w:t>
            </w:r>
            <w:r w:rsidRPr="00345B07">
              <w:t xml:space="preserve">recovery from users as the </w:t>
            </w:r>
            <w:r>
              <w:t>norm, and add a further requirement that infrastructure development processes are culturally responsive to the interests of Traditional Owners.</w:t>
            </w:r>
          </w:p>
          <w:p w14:paraId="5C89123F" w14:textId="77777777" w:rsidR="001054C3" w:rsidRDefault="001054C3" w:rsidP="00234FBE">
            <w:pPr>
              <w:pStyle w:val="Finding"/>
            </w:pPr>
            <w:r>
              <w:t>The new element should also include:</w:t>
            </w:r>
          </w:p>
          <w:p w14:paraId="118DED61" w14:textId="77777777" w:rsidR="001054C3" w:rsidRDefault="001054C3" w:rsidP="00234FBE">
            <w:pPr>
              <w:pStyle w:val="FindingBullet"/>
            </w:pPr>
            <w:r>
              <w:t>an agreed framework to guide government investment in major water infrastructure, incorporating project selection and assessment processes and clear roles and responsibilities for governments and service providers</w:t>
            </w:r>
          </w:p>
          <w:p w14:paraId="0CD86AB3" w14:textId="77777777" w:rsidR="001054C3" w:rsidRPr="00F94210" w:rsidRDefault="001054C3" w:rsidP="00234FBE">
            <w:pPr>
              <w:pStyle w:val="FindingBullet"/>
            </w:pPr>
            <w:r>
              <w:t>principles for cost sharing (including government subsidies) and allocating water from new developments.</w:t>
            </w:r>
          </w:p>
        </w:tc>
      </w:tr>
      <w:tr w:rsidR="001054C3" w:rsidRPr="00F94210" w14:paraId="6EAA98F2"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684C5F1" w14:textId="77777777" w:rsidR="001054C3" w:rsidRPr="00F94210" w:rsidRDefault="001054C3" w:rsidP="00234FBE">
            <w:pPr>
              <w:keepNext/>
              <w:keepLines/>
              <w:spacing w:line="120" w:lineRule="exact"/>
              <w:jc w:val="both"/>
              <w:rPr>
                <w:rFonts w:ascii="Arial" w:hAnsi="Arial"/>
                <w:sz w:val="20"/>
                <w:szCs w:val="20"/>
              </w:rPr>
            </w:pPr>
          </w:p>
        </w:tc>
      </w:tr>
      <w:tr w:rsidR="001054C3" w:rsidRPr="00F94210" w14:paraId="09D0E14E" w14:textId="77777777" w:rsidTr="00234FBE">
        <w:tc>
          <w:tcPr>
            <w:tcW w:w="5000" w:type="pct"/>
            <w:tcBorders>
              <w:top w:val="single" w:sz="6" w:space="0" w:color="0070C0"/>
              <w:left w:val="nil"/>
              <w:bottom w:val="nil"/>
              <w:right w:val="nil"/>
            </w:tcBorders>
            <w:tcMar>
              <w:left w:w="170" w:type="dxa"/>
              <w:right w:w="170" w:type="dxa"/>
            </w:tcMar>
          </w:tcPr>
          <w:p w14:paraId="21BA796C" w14:textId="77777777" w:rsidR="001054C3" w:rsidRPr="00F94210" w:rsidRDefault="001054C3" w:rsidP="00234FBE">
            <w:pPr>
              <w:keepLines/>
              <w:spacing w:before="60" w:after="60" w:line="80" w:lineRule="exact"/>
              <w:jc w:val="both"/>
              <w:rPr>
                <w:rFonts w:ascii="Arial" w:hAnsi="Arial"/>
                <w:sz w:val="14"/>
                <w:szCs w:val="20"/>
              </w:rPr>
            </w:pPr>
          </w:p>
        </w:tc>
      </w:tr>
    </w:tbl>
    <w:p w14:paraId="2D60223D" w14:textId="77777777" w:rsidR="001054C3" w:rsidRDefault="001054C3" w:rsidP="00234FBE">
      <w:pPr>
        <w:pStyle w:val="BodyText"/>
      </w:pPr>
      <w:r>
        <w:t>The following discussion proposes content for the water infrastructure element in a renewed NWI.</w:t>
      </w:r>
    </w:p>
    <w:p w14:paraId="5C0E3AC7" w14:textId="77777777" w:rsidR="001054C3" w:rsidRDefault="001054C3" w:rsidP="00234FBE">
      <w:pPr>
        <w:pStyle w:val="Heading3"/>
      </w:pPr>
      <w:r>
        <w:t>Project assessment and selection processes</w:t>
      </w:r>
    </w:p>
    <w:p w14:paraId="28F1BC1C" w14:textId="77777777" w:rsidR="001054C3" w:rsidRDefault="001054C3" w:rsidP="00234FBE">
      <w:pPr>
        <w:pStyle w:val="BodyText"/>
        <w:keepNext/>
      </w:pPr>
      <w:r>
        <w:t xml:space="preserve">The objective of project selection should be to ensure that any new or redeveloped major water infrastructure development is in the public interest, and that the option conferring the </w:t>
      </w:r>
      <w:r>
        <w:lastRenderedPageBreak/>
        <w:t>highest positive net benefit on the community is selected. To that end, project proponents should ensure that they:</w:t>
      </w:r>
    </w:p>
    <w:p w14:paraId="5CCA5384" w14:textId="77777777" w:rsidR="001054C3" w:rsidRPr="00FD20DF" w:rsidRDefault="001054C3" w:rsidP="00234FBE">
      <w:pPr>
        <w:pStyle w:val="ListBullet"/>
      </w:pPr>
      <w:r w:rsidRPr="00FD20DF">
        <w:t xml:space="preserve">identify </w:t>
      </w:r>
      <w:r>
        <w:t xml:space="preserve">and quantify </w:t>
      </w:r>
      <w:r w:rsidRPr="00FD20DF">
        <w:t>a</w:t>
      </w:r>
      <w:r>
        <w:t xml:space="preserve"> clear problem or opportunity,</w:t>
      </w:r>
      <w:r w:rsidRPr="00FD20DF">
        <w:t xml:space="preserve"> </w:t>
      </w:r>
      <w:r>
        <w:t>with reference to existing long</w:t>
      </w:r>
      <w:r>
        <w:noBreakHyphen/>
        <w:t>term planning</w:t>
      </w:r>
    </w:p>
    <w:p w14:paraId="58F2C485" w14:textId="77777777" w:rsidR="001054C3" w:rsidRPr="00FD20DF" w:rsidRDefault="001054C3" w:rsidP="00234FBE">
      <w:pPr>
        <w:pStyle w:val="ListBullet"/>
      </w:pPr>
      <w:r>
        <w:t>undertake options assessments and feasibility studies to identify the most promising solutions (which may not involve water infrastructure, nor government investment — all options should be on the table)</w:t>
      </w:r>
    </w:p>
    <w:p w14:paraId="746A0CC9" w14:textId="77777777" w:rsidR="001054C3" w:rsidRDefault="001054C3" w:rsidP="00234FBE">
      <w:pPr>
        <w:pStyle w:val="ListBullet"/>
      </w:pPr>
      <w:r>
        <w:t>develop</w:t>
      </w:r>
      <w:r w:rsidRPr="000D3F92">
        <w:t xml:space="preserve"> a robust business case to establish whether th</w:t>
      </w:r>
      <w:r>
        <w:t>os</w:t>
      </w:r>
      <w:r w:rsidRPr="000D3F92">
        <w:t>e</w:t>
      </w:r>
      <w:r>
        <w:t xml:space="preserve"> options are </w:t>
      </w:r>
      <w:r w:rsidRPr="000D3F92">
        <w:t>economically and</w:t>
      </w:r>
      <w:r>
        <w:t>/or</w:t>
      </w:r>
      <w:r w:rsidRPr="000D3F92">
        <w:t xml:space="preserve"> commercially viable</w:t>
      </w:r>
      <w:r>
        <w:t xml:space="preserve"> (based on criteria discussed below)</w:t>
      </w:r>
    </w:p>
    <w:p w14:paraId="23797F7F" w14:textId="77777777" w:rsidR="001054C3" w:rsidRDefault="001054C3" w:rsidP="00234FBE">
      <w:pPr>
        <w:pStyle w:val="ListBullet"/>
      </w:pPr>
      <w:r>
        <w:t xml:space="preserve">subject the business case to </w:t>
      </w:r>
      <w:r w:rsidRPr="00192FA1">
        <w:t>public and/or independent critique</w:t>
      </w:r>
    </w:p>
    <w:p w14:paraId="071CE403" w14:textId="77777777" w:rsidR="001054C3" w:rsidRDefault="001054C3" w:rsidP="00234FBE">
      <w:pPr>
        <w:pStyle w:val="ListBullet"/>
      </w:pPr>
      <w:r>
        <w:t>select the most worthwhile option based on that business case.</w:t>
      </w:r>
    </w:p>
    <w:p w14:paraId="7A63F564" w14:textId="77777777" w:rsidR="001054C3" w:rsidRDefault="001054C3" w:rsidP="00234FBE">
      <w:pPr>
        <w:pStyle w:val="BodyText"/>
      </w:pPr>
      <w:r>
        <w:t>Each stage of the decision</w:t>
      </w:r>
      <w:r>
        <w:noBreakHyphen/>
        <w:t xml:space="preserve">making process should be coupled with meaningful stakeholder engagement, including with </w:t>
      </w:r>
      <w:r w:rsidRPr="00C36561">
        <w:t xml:space="preserve">local </w:t>
      </w:r>
      <w:r>
        <w:t>governments</w:t>
      </w:r>
      <w:r w:rsidRPr="00C36561">
        <w:t xml:space="preserve">, </w:t>
      </w:r>
      <w:r>
        <w:t xml:space="preserve">communities, natural resource management bodies, Traditional Owners, </w:t>
      </w:r>
      <w:r w:rsidRPr="00C36561">
        <w:t xml:space="preserve">water service providers </w:t>
      </w:r>
      <w:r>
        <w:t xml:space="preserve">and </w:t>
      </w:r>
      <w:r w:rsidRPr="00C36561">
        <w:t>infrastructure</w:t>
      </w:r>
      <w:r>
        <w:t xml:space="preserve"> advisory bodies. Government funding or financing for a project should only be committed following assessment of all potential funding sources (done during preparation of the </w:t>
      </w:r>
      <w:r w:rsidRPr="007E440B">
        <w:t>business case</w:t>
      </w:r>
      <w:r>
        <w:t>). Finally, a post</w:t>
      </w:r>
      <w:r>
        <w:noBreakHyphen/>
        <w:t>completion review should be undertaken, with the aim of using insights to support improvements in future assessment and selection processes.</w:t>
      </w:r>
    </w:p>
    <w:p w14:paraId="67CA0745" w14:textId="77777777" w:rsidR="001054C3" w:rsidRDefault="001054C3" w:rsidP="00234FBE">
      <w:pPr>
        <w:pStyle w:val="BodyText"/>
      </w:pPr>
      <w:r>
        <w:t>These requirements align with principles developed by Infrastructure Australia to guide infrastructure decision</w:t>
      </w:r>
      <w:r>
        <w:noBreakHyphen/>
        <w:t>making processes across all sectors (SP I </w:t>
      </w:r>
      <w:r w:rsidRPr="009674DA">
        <w:rPr>
          <w:i/>
        </w:rPr>
        <w:t>Infrastructure</w:t>
      </w:r>
      <w:r w:rsidRPr="00DC35BB">
        <w:t>: box 5</w:t>
      </w:r>
      <w:r>
        <w:t>). These principles would provide a sound basis for water infrastructure project selection processes and a</w:t>
      </w:r>
      <w:r w:rsidRPr="009541F3">
        <w:t xml:space="preserve">dherence to </w:t>
      </w:r>
      <w:r>
        <w:t>them</w:t>
      </w:r>
      <w:r w:rsidRPr="009541F3">
        <w:t xml:space="preserve"> </w:t>
      </w:r>
      <w:r>
        <w:t>would help avoid uneconomic investments. An agreed approach to project assessment and selection should form the basis of the framework for government investment in major water infrastructure under a renewed NWI to allow for ongoing independent assessment of implementation of those principles.</w:t>
      </w:r>
    </w:p>
    <w:p w14:paraId="4C85CB57" w14:textId="77777777" w:rsidR="001054C3" w:rsidRDefault="001054C3" w:rsidP="00234FBE">
      <w:pPr>
        <w:pStyle w:val="Heading3"/>
      </w:pPr>
      <w:r>
        <w:t>Criteria for major infrastructure development under the NWI</w:t>
      </w:r>
    </w:p>
    <w:p w14:paraId="43D6AA50" w14:textId="77777777" w:rsidR="001054C3" w:rsidRDefault="001054C3" w:rsidP="00234FBE">
      <w:pPr>
        <w:pStyle w:val="BodyText"/>
      </w:pPr>
      <w:r>
        <w:t xml:space="preserve">The following considers the necessary criteria to be fulfilled in order for a major water infrastructure project to comply with the expanded NWI requirements — irrespective of whether it involves government funding. In many cases, these criteria simply embed existing practice under State and Territory project development and approval processes, as well as the NWGA’s </w:t>
      </w:r>
      <w:r>
        <w:rPr>
          <w:i/>
          <w:iCs/>
        </w:rPr>
        <w:t>Investment Policy Framework</w:t>
      </w:r>
      <w:r>
        <w:t>. However, some elements of the criteria represent improvements in project assessment to address identified shortcomings in infrastructure decision making.</w:t>
      </w:r>
    </w:p>
    <w:p w14:paraId="1D509382" w14:textId="77777777" w:rsidR="001054C3" w:rsidRDefault="001054C3" w:rsidP="00234FBE">
      <w:pPr>
        <w:pStyle w:val="Heading4"/>
      </w:pPr>
      <w:r>
        <w:t>Economic viability</w:t>
      </w:r>
    </w:p>
    <w:p w14:paraId="3737B0E7" w14:textId="61E09E7E" w:rsidR="001054C3" w:rsidRDefault="001054C3" w:rsidP="00234FBE">
      <w:pPr>
        <w:pStyle w:val="BodyText"/>
      </w:pPr>
      <w:r>
        <w:t xml:space="preserve">The economic viability of any new or redeveloped infrastructure proposal should be established through development of a business case. Transparent and rigorous assessment </w:t>
      </w:r>
      <w:r>
        <w:lastRenderedPageBreak/>
        <w:t>should be used to identify the option with the greatest positive net benefit to the community (and those entailing a net cost, which should be avoided), alongside an assessment of non</w:t>
      </w:r>
      <w:r>
        <w:noBreakHyphen/>
        <w:t>infrastructure options that may address the issue. Cost–benefit analysis, which allows</w:t>
      </w:r>
      <w:r w:rsidRPr="00E229D4">
        <w:t xml:space="preserve"> ‘the economic, social and environmental merit</w:t>
      </w:r>
      <w:r>
        <w:t>s</w:t>
      </w:r>
      <w:r w:rsidRPr="00E229D4">
        <w:t xml:space="preserve"> of a project proposal to be identified</w:t>
      </w:r>
      <w:r>
        <w:t xml:space="preserve">, measured, valued and compared’ </w:t>
      </w:r>
      <w:r w:rsidRPr="003A616F">
        <w:rPr>
          <w:szCs w:val="24"/>
        </w:rPr>
        <w:t>(IA 2018, p. 18)</w:t>
      </w:r>
      <w:r>
        <w:t>, is the key tool.</w:t>
      </w:r>
    </w:p>
    <w:p w14:paraId="6E8A5D1D" w14:textId="77777777" w:rsidR="001054C3" w:rsidRPr="00431D61" w:rsidRDefault="001054C3" w:rsidP="00234FBE">
      <w:pPr>
        <w:pStyle w:val="BodyText"/>
        <w:rPr>
          <w:spacing w:val="-2"/>
        </w:rPr>
      </w:pPr>
      <w:r w:rsidRPr="00431D61">
        <w:rPr>
          <w:spacing w:val="-2"/>
        </w:rPr>
        <w:t>Many benefits and costs will be difficult to quantify. Public scrutiny can help ensure that any estimates are robust; business cases should be published as a matter of course. This is not currently the case in all jurisdictions (</w:t>
      </w:r>
      <w:r w:rsidRPr="00431D61">
        <w:rPr>
          <w:i/>
          <w:spacing w:val="-2"/>
        </w:rPr>
        <w:t>Assessment</w:t>
      </w:r>
      <w:r w:rsidRPr="00431D61">
        <w:rPr>
          <w:spacing w:val="-2"/>
        </w:rPr>
        <w:t>: section 3). For example, the Queensland Government publishes business cases for projects funded under Australian Government water infrastructure programs (Queensland Government, pers. comm., 15 September 2020), while the New South Wales Government typically does not (sub. DR138, p. 12).</w:t>
      </w:r>
    </w:p>
    <w:p w14:paraId="4D232183" w14:textId="77777777" w:rsidR="001054C3" w:rsidRPr="00AF7482" w:rsidRDefault="001054C3" w:rsidP="00234FBE">
      <w:pPr>
        <w:pStyle w:val="BodyText"/>
        <w:rPr>
          <w:b/>
          <w:bCs/>
        </w:rPr>
      </w:pPr>
      <w:r>
        <w:t>Where commercial sensitivity limits business case publication, a qualified</w:t>
      </w:r>
      <w:r w:rsidRPr="00E669FD">
        <w:t xml:space="preserve"> </w:t>
      </w:r>
      <w:r>
        <w:t>independent body</w:t>
      </w:r>
      <w:r w:rsidRPr="00E669FD">
        <w:t xml:space="preserve"> </w:t>
      </w:r>
      <w:r>
        <w:t xml:space="preserve">should </w:t>
      </w:r>
      <w:r w:rsidRPr="00E669FD">
        <w:t xml:space="preserve">review </w:t>
      </w:r>
      <w:r>
        <w:t xml:space="preserve">the </w:t>
      </w:r>
      <w:r w:rsidRPr="00E669FD">
        <w:t xml:space="preserve">business cases for major </w:t>
      </w:r>
      <w:r>
        <w:t xml:space="preserve">water </w:t>
      </w:r>
      <w:r w:rsidRPr="00E669FD">
        <w:t xml:space="preserve">projects </w:t>
      </w:r>
      <w:r>
        <w:t xml:space="preserve">and </w:t>
      </w:r>
      <w:r w:rsidRPr="00E669FD">
        <w:t xml:space="preserve">demonstrate </w:t>
      </w:r>
      <w:r>
        <w:t xml:space="preserve">the analyses are </w:t>
      </w:r>
      <w:r w:rsidRPr="00E669FD">
        <w:t>rigoro</w:t>
      </w:r>
      <w:r>
        <w:t>us (or otherwise).</w:t>
      </w:r>
    </w:p>
    <w:p w14:paraId="57C981B8" w14:textId="77777777" w:rsidR="001054C3" w:rsidRPr="00431D61" w:rsidRDefault="001054C3" w:rsidP="00234FBE">
      <w:pPr>
        <w:pStyle w:val="BodyText"/>
        <w:rPr>
          <w:spacing w:val="-2"/>
        </w:rPr>
      </w:pPr>
      <w:r w:rsidRPr="00431D61">
        <w:rPr>
          <w:spacing w:val="-2"/>
        </w:rPr>
        <w:t>At a minimum, projects with a benefit–cost ratio less than one should not be funded (except in very limited cases, some of which are discussed below). Further, projects with marginal benefit–cost ratios should not be considered as economically sound unless sensitivity analysis is undertaken to test the strength of assumptions (and to address the risks of overly optimistic demand assessments). This analysis should consider the impacts of alternative scenarios — such as climate change and regional economic change — on demand and supply for water.</w:t>
      </w:r>
    </w:p>
    <w:p w14:paraId="68825598" w14:textId="77777777" w:rsidR="001054C3" w:rsidRPr="0061007D" w:rsidRDefault="001054C3" w:rsidP="00234FBE">
      <w:pPr>
        <w:pStyle w:val="BodyText"/>
      </w:pPr>
      <w:r>
        <w:t>It should also be common practice to secure demand for any major irrigation infrastructure upfront through entitlement pre</w:t>
      </w:r>
      <w:r>
        <w:noBreakHyphen/>
        <w:t>sales — as has been done in the Tasmanian Irrigation program. And the potential social and distributional impacts of a project should be assessed to help governments manage any negative adjustment pressures that might arise if the project goes ahead (chapter 12).</w:t>
      </w:r>
    </w:p>
    <w:p w14:paraId="6B1A9BAE" w14:textId="77777777" w:rsidR="001054C3" w:rsidRDefault="001054C3" w:rsidP="00234FBE">
      <w:pPr>
        <w:pStyle w:val="Heading4"/>
      </w:pPr>
      <w:r>
        <w:t>Ecological sustainability</w:t>
      </w:r>
    </w:p>
    <w:p w14:paraId="76D35EE3" w14:textId="77777777" w:rsidR="001054C3" w:rsidRDefault="001054C3" w:rsidP="00234FBE">
      <w:pPr>
        <w:pStyle w:val="BodyText"/>
        <w:keepNext/>
      </w:pPr>
      <w:r>
        <w:t>While the ecological sustainability of a proposed development should be identified through environmental assessments as part of the business case, it should also be contingent on a high</w:t>
      </w:r>
      <w:r>
        <w:noBreakHyphen/>
        <w:t xml:space="preserve">quality water plan (based on the best available information) being in place </w:t>
      </w:r>
      <w:r w:rsidRPr="00E370DB">
        <w:rPr>
          <w:i/>
        </w:rPr>
        <w:t>before</w:t>
      </w:r>
      <w:r>
        <w:t xml:space="preserve"> infrastructure is constructed. The plan should:</w:t>
      </w:r>
    </w:p>
    <w:p w14:paraId="25EC3443" w14:textId="77777777" w:rsidR="001054C3" w:rsidRDefault="001054C3" w:rsidP="00234FBE">
      <w:pPr>
        <w:pStyle w:val="ListBullet"/>
      </w:pPr>
      <w:r>
        <w:t>establish the environmental water provisions necessary to meet agreed environmental outcomes against anticipated regional</w:t>
      </w:r>
      <w:r>
        <w:noBreakHyphen/>
        <w:t>scale climate changes</w:t>
      </w:r>
    </w:p>
    <w:p w14:paraId="719DA350" w14:textId="77777777" w:rsidR="001054C3" w:rsidRDefault="001054C3" w:rsidP="00234FBE">
      <w:pPr>
        <w:pStyle w:val="ListBullet"/>
      </w:pPr>
      <w:r>
        <w:t>set out the social, economic and cultural outcomes sought from the water plan</w:t>
      </w:r>
    </w:p>
    <w:p w14:paraId="478F1E03" w14:textId="77777777" w:rsidR="001054C3" w:rsidRDefault="001054C3" w:rsidP="00234FBE">
      <w:pPr>
        <w:pStyle w:val="ListBullet"/>
      </w:pPr>
      <w:r>
        <w:t>clearly define the expected reliability of water rights, taking into account the likely impacts of climate change on the region</w:t>
      </w:r>
    </w:p>
    <w:p w14:paraId="587F2CEF" w14:textId="77777777" w:rsidR="001054C3" w:rsidRDefault="001054C3" w:rsidP="00234FBE">
      <w:pPr>
        <w:pStyle w:val="ListBullet"/>
      </w:pPr>
      <w:r>
        <w:t>be developed with robust community engagement to reflect community values.</w:t>
      </w:r>
    </w:p>
    <w:p w14:paraId="21EBB07B" w14:textId="77777777" w:rsidR="001054C3" w:rsidRDefault="001054C3" w:rsidP="00234FBE">
      <w:pPr>
        <w:pStyle w:val="BodyText"/>
      </w:pPr>
      <w:r w:rsidRPr="002C650D">
        <w:lastRenderedPageBreak/>
        <w:t xml:space="preserve">Where a major development is </w:t>
      </w:r>
      <w:r>
        <w:t>approved</w:t>
      </w:r>
      <w:r w:rsidRPr="002C650D">
        <w:t xml:space="preserve"> in an area without a water plan in place, the relevant State or Territory </w:t>
      </w:r>
      <w:r>
        <w:t>G</w:t>
      </w:r>
      <w:r w:rsidRPr="002C650D">
        <w:t xml:space="preserve">overnment should develop </w:t>
      </w:r>
      <w:r>
        <w:t xml:space="preserve">a </w:t>
      </w:r>
      <w:r w:rsidRPr="002C650D">
        <w:t xml:space="preserve">plan </w:t>
      </w:r>
      <w:r>
        <w:t xml:space="preserve">that accounts for the impact of that development, and ensure that the </w:t>
      </w:r>
      <w:r w:rsidRPr="002C650D">
        <w:t xml:space="preserve">plan </w:t>
      </w:r>
      <w:r>
        <w:t xml:space="preserve">is </w:t>
      </w:r>
      <w:r w:rsidRPr="002C650D">
        <w:t xml:space="preserve">in </w:t>
      </w:r>
      <w:r>
        <w:t>place</w:t>
      </w:r>
      <w:r w:rsidRPr="002C650D">
        <w:t xml:space="preserve"> before the infrastructure is commissioned.</w:t>
      </w:r>
    </w:p>
    <w:p w14:paraId="69DE287C" w14:textId="77777777" w:rsidR="001054C3" w:rsidRDefault="001054C3" w:rsidP="00234FBE">
      <w:pPr>
        <w:pStyle w:val="BodyText"/>
      </w:pPr>
      <w:r w:rsidRPr="00D255EC">
        <w:t xml:space="preserve">Where a major development is approved in </w:t>
      </w:r>
      <w:r>
        <w:t xml:space="preserve">an </w:t>
      </w:r>
      <w:r w:rsidRPr="00D255EC">
        <w:t xml:space="preserve">area </w:t>
      </w:r>
      <w:r>
        <w:t xml:space="preserve">subject to a </w:t>
      </w:r>
      <w:r w:rsidRPr="00D255EC">
        <w:t>water plan, all projections of water availability should be made with an understanding of the impact of climate change</w:t>
      </w:r>
      <w:r>
        <w:t>, as well as</w:t>
      </w:r>
      <w:r w:rsidRPr="00D255EC">
        <w:t xml:space="preserve"> the </w:t>
      </w:r>
      <w:r>
        <w:t xml:space="preserve">impact that the </w:t>
      </w:r>
      <w:r w:rsidRPr="00D255EC">
        <w:t>proposed development will have on existing entitlements and all aspects of current planned env</w:t>
      </w:r>
      <w:r>
        <w:t>ironmental</w:t>
      </w:r>
      <w:r w:rsidRPr="00D255EC">
        <w:t xml:space="preserve"> flows</w:t>
      </w:r>
      <w:r>
        <w:t>.</w:t>
      </w:r>
    </w:p>
    <w:p w14:paraId="0AC41A08" w14:textId="77777777" w:rsidR="001054C3" w:rsidRDefault="001054C3" w:rsidP="00234FBE">
      <w:pPr>
        <w:pStyle w:val="BodyText"/>
      </w:pPr>
      <w:r>
        <w:t>A project should also comply with State, Territory and/or Australian Government environmental approval processes (which occur after project selection).</w:t>
      </w:r>
    </w:p>
    <w:p w14:paraId="2027577C" w14:textId="77777777" w:rsidR="001054C3" w:rsidRDefault="001054C3" w:rsidP="00234FBE">
      <w:pPr>
        <w:pStyle w:val="Heading4"/>
      </w:pPr>
      <w:r>
        <w:t>Culturally responsive infrastructure development processes to incorporate the interests of Traditional Owners</w:t>
      </w:r>
    </w:p>
    <w:p w14:paraId="2053FAD4" w14:textId="77777777" w:rsidR="001054C3" w:rsidRDefault="001054C3" w:rsidP="00234FBE">
      <w:pPr>
        <w:pStyle w:val="BodyText"/>
      </w:pPr>
      <w:r>
        <w:t>Currently, proponents must account for the impacts of a proposed development on Aboriginal and Torres Strait Islander people’s heritage and other cultural values associated with water through State, Territory and Australian Government project approval processes. There is a case to elevate these values as part of a renewed NW</w:t>
      </w:r>
      <w:r w:rsidRPr="005162F2">
        <w:t>I</w:t>
      </w:r>
      <w:r>
        <w:t xml:space="preserve"> infrastructure requirement, distinct from ecological sustainability considerations.</w:t>
      </w:r>
    </w:p>
    <w:p w14:paraId="50CA5521" w14:textId="77777777" w:rsidR="001054C3" w:rsidRDefault="001054C3" w:rsidP="00234FBE">
      <w:pPr>
        <w:pStyle w:val="BodyText"/>
        <w:keepNext/>
      </w:pPr>
      <w:r>
        <w:t>A renewed NWI should ensure that processes for major infrastructure investments are culturally responsive to the interests of Traditional Owners. In the draft report, the Commission requested information on how a refreshed NWI could ensure that major water infrastructure investments most effectively promoted Traditional Owners’ aspirations. Feedback on the draft report supported an additional requirement to ensure infrastructure development is culturally responsive.</w:t>
      </w:r>
      <w:r>
        <w:rPr>
          <w:rStyle w:val="FootnoteReference"/>
        </w:rPr>
        <w:footnoteReference w:id="47"/>
      </w:r>
      <w:r>
        <w:t xml:space="preserve"> However, many participants requested that the requirement for cultural responsiveness stipulate what this would entail, particularly in relation to protecting heritage, sacred sites and culturally important places (NLC, sub. DR134, p. 28; MLDRIN, sub. DR185, p. 6) and requirements for consultation with affected Traditional Owners (LBA, sub. DR133, p. 16; MLDRIN, sub. DR185, p. 7). The Northern Land Council (sub. DR134, p. 29) suggested that:</w:t>
      </w:r>
    </w:p>
    <w:p w14:paraId="7D30C314" w14:textId="77777777" w:rsidR="001054C3" w:rsidRPr="00BE09D4" w:rsidRDefault="001054C3" w:rsidP="00234FBE">
      <w:pPr>
        <w:pStyle w:val="Quote"/>
      </w:pPr>
      <w:r>
        <w:t>T</w:t>
      </w:r>
      <w:r w:rsidRPr="00BE09D4">
        <w:t>he NWI refresh [should] promote the requirement to undertake activities that go beyond the minimum level of cultural site protection, and recognise that to promote the aspirations of Aboriginal people, effective and meaningful engagement must occur early and often.</w:t>
      </w:r>
    </w:p>
    <w:p w14:paraId="52B8CC47" w14:textId="77777777" w:rsidR="001054C3" w:rsidRDefault="001054C3" w:rsidP="00234FBE">
      <w:pPr>
        <w:pStyle w:val="BodyText"/>
        <w:keepNext/>
      </w:pPr>
      <w:r>
        <w:t>The Commission sees two criteria that could underpin a requirement for culturally responsive water infrastructure development. At a minimum, culturally responsive infrastructure development would:</w:t>
      </w:r>
    </w:p>
    <w:p w14:paraId="16819CEF" w14:textId="77777777" w:rsidR="001054C3" w:rsidRDefault="001054C3" w:rsidP="008C565C">
      <w:pPr>
        <w:pStyle w:val="ListNumber"/>
        <w:numPr>
          <w:ilvl w:val="0"/>
          <w:numId w:val="31"/>
        </w:numPr>
      </w:pPr>
      <w:r>
        <w:t>incorporate deep engagement with the Traditional Owners of potentially affected areas (both at the infrastructure site and downstream) as part of business case development</w:t>
      </w:r>
    </w:p>
    <w:p w14:paraId="056E27D6" w14:textId="77777777" w:rsidR="001054C3" w:rsidRPr="00114611" w:rsidRDefault="001054C3" w:rsidP="008C565C">
      <w:pPr>
        <w:pStyle w:val="ListNumber"/>
        <w:numPr>
          <w:ilvl w:val="0"/>
          <w:numId w:val="31"/>
        </w:numPr>
      </w:pPr>
      <w:r>
        <w:lastRenderedPageBreak/>
        <w:t xml:space="preserve">comprehensively </w:t>
      </w:r>
      <w:r w:rsidRPr="00114611">
        <w:t>identify and manage impacts on cultural heritage in affected areas</w:t>
      </w:r>
      <w:r>
        <w:t>.</w:t>
      </w:r>
    </w:p>
    <w:p w14:paraId="6DFAFA41" w14:textId="77777777" w:rsidR="001054C3" w:rsidRDefault="001054C3" w:rsidP="00234FBE">
      <w:pPr>
        <w:pStyle w:val="BodyText"/>
      </w:pPr>
      <w:r>
        <w:t>Determination of the specific criteria that should be met by major infrastructure developments and included in a renewed NWI should occur as part of the co</w:t>
      </w:r>
      <w:r>
        <w:noBreakHyphen/>
        <w:t>design process led by the Committee on Aboriginal Water Interests (SP D </w:t>
      </w:r>
      <w:r w:rsidRPr="00DA1C8C">
        <w:rPr>
          <w:i/>
          <w:iCs/>
        </w:rPr>
        <w:t>Cultural access</w:t>
      </w:r>
      <w:r>
        <w:t>). This process could consider existing frameworks for engagement with Indigenous Peoples, the principle of free, prior and informed consent (as set out under article 32 of the United Nations Declaration on the Rights of Indigenous Peoples), and look to align with (rather than duplicate) State and Territory cultural heritage protection legislation (if and where that legislation is considered adequate).</w:t>
      </w:r>
    </w:p>
    <w:p w14:paraId="505F94AF" w14:textId="77777777" w:rsidR="001054C3" w:rsidRPr="0067697F" w:rsidRDefault="001054C3" w:rsidP="00234FBE">
      <w:pPr>
        <w:pStyle w:val="BodyText"/>
        <w:rPr>
          <w:spacing w:val="-2"/>
        </w:rPr>
      </w:pPr>
      <w:r w:rsidRPr="0067697F">
        <w:rPr>
          <w:spacing w:val="-2"/>
        </w:rPr>
        <w:t>As chapter 9 suggests, where a major development is approved in an undeveloped area, governments should give consideration to whether reserving a share of any new water rights for Traditional Owners would be equitable in light of identified impacts on Aboriginal and Torres Strait Islander communities, and/or contribute to the development of those communities and the achievement of targets set under the National Agreement on Closing the Gap.</w:t>
      </w:r>
    </w:p>
    <w:p w14:paraId="7DD7EE30" w14:textId="77777777" w:rsidR="001054C3" w:rsidRDefault="001054C3" w:rsidP="00234FBE">
      <w:pPr>
        <w:pStyle w:val="BodyText"/>
      </w:pPr>
      <w:r>
        <w:t>The addition of a third headline requirement for infrastructure development to be culturally responsive may require governments to make trade</w:t>
      </w:r>
      <w:r>
        <w:noBreakHyphen/>
        <w:t>offs when proposing and approving projects. Any such trade</w:t>
      </w:r>
      <w:r>
        <w:noBreakHyphen/>
        <w:t>offs must occur transparently as part of the business case and environmental impact statement processes, be based on community input, and not form an excessive barrier to infrastructure development. The reasons for any deviation from criteria included in the NWI should be published.</w:t>
      </w:r>
    </w:p>
    <w:p w14:paraId="5FD9A7DD" w14:textId="77777777" w:rsidR="001054C3" w:rsidRDefault="001054C3" w:rsidP="00234FBE">
      <w:pPr>
        <w:pStyle w:val="Heading3"/>
      </w:pPr>
      <w:r>
        <w:t>Principles for cost sharing between users and governments</w:t>
      </w:r>
    </w:p>
    <w:p w14:paraId="3C09B003" w14:textId="77777777" w:rsidR="001054C3" w:rsidRPr="0067697F" w:rsidRDefault="001054C3" w:rsidP="00234FBE">
      <w:pPr>
        <w:pStyle w:val="BodyText"/>
        <w:rPr>
          <w:spacing w:val="-4"/>
        </w:rPr>
      </w:pPr>
      <w:r w:rsidRPr="0067697F">
        <w:rPr>
          <w:spacing w:val="-4"/>
        </w:rPr>
        <w:t>Funding and financing arrangements, including any government subsidies, should only be determined once a project has met all other criteria through the development of a business case.</w:t>
      </w:r>
    </w:p>
    <w:p w14:paraId="5AB23E0D" w14:textId="77777777" w:rsidR="001054C3" w:rsidRDefault="001054C3" w:rsidP="00234FBE">
      <w:pPr>
        <w:pStyle w:val="BodyText"/>
        <w:keepNext/>
      </w:pPr>
      <w:r>
        <w:t>As under the current NWI, any government subsidies for infrastructure must be provided transparently. In addition, all subsidies should have a clearly expressed policy rationale. The following high</w:t>
      </w:r>
      <w:r>
        <w:noBreakHyphen/>
        <w:t>level principles are suggested to guide cost sharing.</w:t>
      </w:r>
    </w:p>
    <w:p w14:paraId="03036632" w14:textId="77777777" w:rsidR="001054C3" w:rsidRDefault="001054C3" w:rsidP="00234FBE">
      <w:pPr>
        <w:pStyle w:val="ListBullet"/>
      </w:pPr>
      <w:r>
        <w:t>Investments that are both economically and commercially viable should be undertaken by the relevant water service provider, with full cost recovery from users and generally without government subsidy.</w:t>
      </w:r>
      <w:r w:rsidRPr="00CD4CBE">
        <w:rPr>
          <w:rStyle w:val="FootnoteReference"/>
        </w:rPr>
        <w:footnoteReference w:id="48"/>
      </w:r>
      <w:r>
        <w:t xml:space="preserve"> This should be the norm.</w:t>
      </w:r>
    </w:p>
    <w:p w14:paraId="34744E1A" w14:textId="77777777" w:rsidR="001054C3" w:rsidRDefault="001054C3" w:rsidP="00234FBE">
      <w:pPr>
        <w:pStyle w:val="ListBullet2"/>
      </w:pPr>
      <w:r>
        <w:t>The role of government should be limited to project approval,</w:t>
      </w:r>
      <w:r w:rsidRPr="002E3F76">
        <w:t xml:space="preserve"> except in cases of substantial public benefits that impose costs best borne by governments</w:t>
      </w:r>
      <w:r>
        <w:t>.</w:t>
      </w:r>
    </w:p>
    <w:p w14:paraId="6CE50F4A" w14:textId="77777777" w:rsidR="001054C3" w:rsidRDefault="001054C3" w:rsidP="00234FBE">
      <w:pPr>
        <w:pStyle w:val="ListBullet2"/>
      </w:pPr>
      <w:r>
        <w:lastRenderedPageBreak/>
        <w:t>Public benefits can include dam safety, flood mitigation and recreational use of dams, but do not extend to regional development or similar strategic investments.</w:t>
      </w:r>
    </w:p>
    <w:p w14:paraId="2A88848B" w14:textId="77777777" w:rsidR="001054C3" w:rsidRDefault="001054C3" w:rsidP="00234FBE">
      <w:pPr>
        <w:pStyle w:val="ListBullet2"/>
      </w:pPr>
      <w:bookmarkStart w:id="198" w:name="_Hlk69286565"/>
      <w:r w:rsidRPr="00EC1A77">
        <w:t xml:space="preserve">Governments should not </w:t>
      </w:r>
      <w:r>
        <w:t>fund</w:t>
      </w:r>
      <w:r w:rsidRPr="00EC1A77">
        <w:t xml:space="preserve"> public benefits </w:t>
      </w:r>
      <w:r>
        <w:t xml:space="preserve">that are </w:t>
      </w:r>
      <w:r w:rsidRPr="00EC1A77">
        <w:t>incidental</w:t>
      </w:r>
      <w:r>
        <w:t xml:space="preserve"> to the operation of the infrastructure, but should contribute </w:t>
      </w:r>
      <w:r w:rsidRPr="00EC1A77">
        <w:t xml:space="preserve">where additional expenditure </w:t>
      </w:r>
      <w:r>
        <w:t xml:space="preserve">is necessary to realise that public benefit </w:t>
      </w:r>
      <w:r w:rsidRPr="00EC1A77">
        <w:t>(such as a dam safety upgrade).</w:t>
      </w:r>
    </w:p>
    <w:bookmarkEnd w:id="198"/>
    <w:p w14:paraId="5251894F" w14:textId="77777777" w:rsidR="001054C3" w:rsidRDefault="001054C3" w:rsidP="00234FBE">
      <w:pPr>
        <w:pStyle w:val="ListBullet"/>
      </w:pPr>
      <w:r>
        <w:t>Major water infrastructure that is not economically viable should not proceed, except where an equity argument supports provision of an essential service.</w:t>
      </w:r>
    </w:p>
    <w:p w14:paraId="1D0D7A1C" w14:textId="77777777" w:rsidR="001054C3" w:rsidRDefault="001054C3" w:rsidP="00234FBE">
      <w:pPr>
        <w:pStyle w:val="ListBullet2"/>
      </w:pPr>
      <w:r>
        <w:t>Government funding should be t</w:t>
      </w:r>
      <w:r w:rsidRPr="00EB5E5C">
        <w:t>ransparen</w:t>
      </w:r>
      <w:r>
        <w:t>t</w:t>
      </w:r>
      <w:r w:rsidRPr="00EB5E5C">
        <w:t xml:space="preserve">, and water service </w:t>
      </w:r>
      <w:r>
        <w:t xml:space="preserve">provider </w:t>
      </w:r>
      <w:r w:rsidRPr="00EB5E5C">
        <w:t xml:space="preserve">planning should guide </w:t>
      </w:r>
      <w:r>
        <w:t>investments</w:t>
      </w:r>
      <w:r w:rsidRPr="00EB5E5C">
        <w:t>.</w:t>
      </w:r>
      <w:r>
        <w:t xml:space="preserve"> (However, a transparent community service obligation payment is generally preferable to infrastructure expenditure (chapter 11).)</w:t>
      </w:r>
    </w:p>
    <w:p w14:paraId="291258EB" w14:textId="77777777" w:rsidR="001054C3" w:rsidRDefault="001054C3" w:rsidP="00234FBE">
      <w:pPr>
        <w:pStyle w:val="ListBullet"/>
      </w:pPr>
      <w:r>
        <w:t>Where governments choose to subsidise infrastructure in pursuit of a strategic objective, including in support of projects that are not commercially viable, additional scrutiny is required to m</w:t>
      </w:r>
      <w:r w:rsidRPr="00532713">
        <w:t xml:space="preserve">aximise </w:t>
      </w:r>
      <w:r>
        <w:t>the effectiveness of that investment</w:t>
      </w:r>
      <w:r w:rsidRPr="00532713">
        <w:t xml:space="preserve"> while minimising the costs and risks to taxpayers</w:t>
      </w:r>
      <w:r>
        <w:t>.</w:t>
      </w:r>
    </w:p>
    <w:p w14:paraId="3FE9F38E" w14:textId="77777777" w:rsidR="001054C3" w:rsidRDefault="001054C3" w:rsidP="00234FBE">
      <w:pPr>
        <w:pStyle w:val="Heading4"/>
        <w:spacing w:before="440"/>
      </w:pPr>
      <w:r>
        <w:t>Government infrastructure funding in pursuit of strategic objectives</w:t>
      </w:r>
    </w:p>
    <w:p w14:paraId="0D3173AB" w14:textId="77777777" w:rsidR="001054C3" w:rsidRDefault="001054C3" w:rsidP="00234FBE">
      <w:pPr>
        <w:pStyle w:val="BodyText"/>
        <w:keepNext/>
      </w:pPr>
      <w:r>
        <w:t>At times, governments choose to fund major water infrastructure in pursuit of broader strategic objectives, which may include:</w:t>
      </w:r>
    </w:p>
    <w:p w14:paraId="3D2F1BDF" w14:textId="77777777" w:rsidR="001054C3" w:rsidRDefault="001054C3" w:rsidP="00234FBE">
      <w:pPr>
        <w:pStyle w:val="ListBullet"/>
      </w:pPr>
      <w:r>
        <w:t>regional or industry development, such as enabling irrigated agriculture or job creation in a particular region</w:t>
      </w:r>
    </w:p>
    <w:p w14:paraId="534D0F0E" w14:textId="77777777" w:rsidR="001054C3" w:rsidRDefault="001054C3" w:rsidP="00234FBE">
      <w:pPr>
        <w:pStyle w:val="ListBullet"/>
      </w:pPr>
      <w:r>
        <w:t>ensuring access to a basic essential service, such as town water supply (where supply of a basic level of service is considered unaffordable; discussed in chapter 12)</w:t>
      </w:r>
    </w:p>
    <w:p w14:paraId="4E476C25" w14:textId="77777777" w:rsidR="001054C3" w:rsidRDefault="001054C3" w:rsidP="00234FBE">
      <w:pPr>
        <w:pStyle w:val="ListBullet"/>
      </w:pPr>
      <w:r>
        <w:t>short</w:t>
      </w:r>
      <w:r>
        <w:noBreakHyphen/>
        <w:t>term stimulus in response to an economic shock.</w:t>
      </w:r>
    </w:p>
    <w:p w14:paraId="250C9C0A" w14:textId="77777777" w:rsidR="001054C3" w:rsidRDefault="001054C3" w:rsidP="00234FBE">
      <w:pPr>
        <w:pStyle w:val="BodyText"/>
      </w:pPr>
      <w:r>
        <w:t>Decisions to invest in pursuit of such objectives are ultimately a matter for governments — but this should not provide a blank cheque to bypass robust project selection processes.</w:t>
      </w:r>
    </w:p>
    <w:p w14:paraId="6FCAE1E1" w14:textId="77777777" w:rsidR="001054C3" w:rsidRDefault="001054C3" w:rsidP="00234FBE">
      <w:pPr>
        <w:pStyle w:val="BodyText"/>
      </w:pPr>
      <w:r>
        <w:t>Ultimately, governments should look to m</w:t>
      </w:r>
      <w:r w:rsidRPr="00532713">
        <w:t>aximise their chance of success</w:t>
      </w:r>
      <w:r>
        <w:t>fully achieving their objectives,</w:t>
      </w:r>
      <w:r w:rsidRPr="00532713">
        <w:t xml:space="preserve"> while minimising the costs and risks to taxpayers</w:t>
      </w:r>
      <w:r>
        <w:t>.</w:t>
      </w:r>
      <w:r w:rsidRPr="004F5B62">
        <w:t xml:space="preserve"> </w:t>
      </w:r>
      <w:r>
        <w:t>As a principle, they should justify how water infrastructure is the most effective means of achieving any broader strategic objectives, compared with alternative infrastructure or non</w:t>
      </w:r>
      <w:r>
        <w:noBreakHyphen/>
        <w:t>infrastructure options.</w:t>
      </w:r>
    </w:p>
    <w:p w14:paraId="5548620F" w14:textId="77777777" w:rsidR="001054C3" w:rsidRDefault="001054C3" w:rsidP="00234FBE">
      <w:pPr>
        <w:pStyle w:val="BodyText"/>
      </w:pPr>
      <w:r>
        <w:t xml:space="preserve">A key shortcoming with current decision making is the propensity of governments to view rural water infrastructure in isolation from other options to promote regional development. All public expenditure will create </w:t>
      </w:r>
      <w:r>
        <w:rPr>
          <w:i/>
        </w:rPr>
        <w:t xml:space="preserve">some </w:t>
      </w:r>
      <w:r>
        <w:t>degree of economic activity — but governments must direct their limited funds to projects that provide the greatest expected return on public investment over the long term.</w:t>
      </w:r>
    </w:p>
    <w:p w14:paraId="54E6B3E3" w14:textId="77777777" w:rsidR="001054C3" w:rsidRPr="00DC05CC" w:rsidRDefault="001054C3" w:rsidP="00234FBE">
      <w:pPr>
        <w:pStyle w:val="BodyText"/>
        <w:rPr>
          <w:spacing w:val="-4"/>
        </w:rPr>
      </w:pPr>
      <w:r w:rsidRPr="00DC05CC">
        <w:rPr>
          <w:spacing w:val="-4"/>
        </w:rPr>
        <w:t xml:space="preserve">The practical reality is that the evidence of job creation from large regional infrastructure projects is often weak. Further, the success of water infrastructure in supporting regional development is often dependent on factors like transport infrastructure and supporting industries. These may not </w:t>
      </w:r>
      <w:r w:rsidRPr="00DC05CC">
        <w:rPr>
          <w:spacing w:val="-4"/>
        </w:rPr>
        <w:lastRenderedPageBreak/>
        <w:t>be in place — or considered in infrastructure proposals — and are often a more substantive barrier to regional development than the absence of water infrastructure.</w:t>
      </w:r>
    </w:p>
    <w:p w14:paraId="318FEE85" w14:textId="77777777" w:rsidR="001054C3" w:rsidRPr="0067697F" w:rsidRDefault="001054C3" w:rsidP="00234FBE">
      <w:pPr>
        <w:pStyle w:val="BodyText"/>
        <w:rPr>
          <w:spacing w:val="-2"/>
        </w:rPr>
      </w:pPr>
      <w:r w:rsidRPr="0067697F">
        <w:rPr>
          <w:spacing w:val="-2"/>
        </w:rPr>
        <w:t>To help address these issues, governments should demonstrate that major water infrastructure forms part of a comprehensive and public regional strategic plan, and that any necessary supporting infrastructure is (or will be) in place to maximise the benefits of the investment. This planning should inform the strategic case for a major water infrastructure investment — rather than an infrastructure commitment pre</w:t>
      </w:r>
      <w:r w:rsidRPr="0067697F">
        <w:rPr>
          <w:spacing w:val="-2"/>
        </w:rPr>
        <w:noBreakHyphen/>
        <w:t>empting the development of any strategy.</w:t>
      </w:r>
    </w:p>
    <w:p w14:paraId="79BE4319" w14:textId="77777777" w:rsidR="001054C3" w:rsidRDefault="001054C3" w:rsidP="00234FBE">
      <w:pPr>
        <w:pStyle w:val="Heading3"/>
        <w:spacing w:before="480"/>
      </w:pPr>
      <w:r>
        <w:t>Water allocation</w:t>
      </w:r>
    </w:p>
    <w:p w14:paraId="13210DAC" w14:textId="77777777" w:rsidR="001054C3" w:rsidRPr="00D84B94" w:rsidRDefault="001054C3" w:rsidP="00234FBE">
      <w:pPr>
        <w:spacing w:before="240" w:line="300" w:lineRule="atLeast"/>
        <w:jc w:val="both"/>
        <w:rPr>
          <w:szCs w:val="20"/>
        </w:rPr>
      </w:pPr>
      <w:r w:rsidRPr="00D84B94">
        <w:rPr>
          <w:szCs w:val="20"/>
        </w:rPr>
        <w:t xml:space="preserve">Where a major project creates additional </w:t>
      </w:r>
      <w:r>
        <w:rPr>
          <w:szCs w:val="20"/>
        </w:rPr>
        <w:t xml:space="preserve">consumptive </w:t>
      </w:r>
      <w:r w:rsidRPr="00D84B94">
        <w:rPr>
          <w:szCs w:val="20"/>
        </w:rPr>
        <w:t xml:space="preserve">water rights, State and Territory </w:t>
      </w:r>
      <w:r>
        <w:rPr>
          <w:szCs w:val="20"/>
        </w:rPr>
        <w:t>G</w:t>
      </w:r>
      <w:r w:rsidRPr="00D84B94">
        <w:rPr>
          <w:szCs w:val="20"/>
        </w:rPr>
        <w:t>overnments must decide how those rights are assigned between different users.</w:t>
      </w:r>
    </w:p>
    <w:p w14:paraId="76162F10" w14:textId="77777777" w:rsidR="001054C3" w:rsidRDefault="001054C3" w:rsidP="00234FBE">
      <w:pPr>
        <w:pStyle w:val="BodyText"/>
      </w:pPr>
      <w:r w:rsidRPr="00D84B94">
        <w:rPr>
          <w:szCs w:val="24"/>
        </w:rPr>
        <w:t>The NWI suggests that market</w:t>
      </w:r>
      <w:r w:rsidRPr="00D84B94">
        <w:rPr>
          <w:szCs w:val="24"/>
        </w:rPr>
        <w:noBreakHyphen/>
        <w:t xml:space="preserve">based mechanisms should be used ‘to the extent practicable’, although acknowledges that allocations are a decision for State and Territory </w:t>
      </w:r>
      <w:r>
        <w:rPr>
          <w:szCs w:val="24"/>
        </w:rPr>
        <w:t>G</w:t>
      </w:r>
      <w:r w:rsidRPr="00D84B94">
        <w:rPr>
          <w:szCs w:val="24"/>
        </w:rPr>
        <w:t xml:space="preserve">overnments. </w:t>
      </w:r>
      <w:r w:rsidRPr="009E1257">
        <w:t>This remains sound as an approach</w:t>
      </w:r>
      <w:r>
        <w:t xml:space="preserve">: </w:t>
      </w:r>
      <w:r w:rsidRPr="009E1257">
        <w:t>market</w:t>
      </w:r>
      <w:r w:rsidRPr="009E1257">
        <w:noBreakHyphen/>
        <w:t>based approach</w:t>
      </w:r>
      <w:r>
        <w:t>es</w:t>
      </w:r>
      <w:r w:rsidRPr="009E1257">
        <w:t xml:space="preserve"> </w:t>
      </w:r>
      <w:r>
        <w:t>encourage efficiency by allowing water to be available to higher</w:t>
      </w:r>
      <w:r>
        <w:noBreakHyphen/>
        <w:t>value uses. And market</w:t>
      </w:r>
      <w:r>
        <w:noBreakHyphen/>
        <w:t xml:space="preserve">based mechanisms </w:t>
      </w:r>
      <w:r w:rsidRPr="009E1257">
        <w:t xml:space="preserve">include </w:t>
      </w:r>
      <w:r>
        <w:t xml:space="preserve">the </w:t>
      </w:r>
      <w:r w:rsidRPr="009E1257">
        <w:t>pre</w:t>
      </w:r>
      <w:r>
        <w:noBreakHyphen/>
      </w:r>
      <w:r w:rsidRPr="009E1257">
        <w:t>sale of entitlements prior to construction</w:t>
      </w:r>
      <w:r>
        <w:t>, which avoids optimism bias (overestimates of net benefits).</w:t>
      </w:r>
    </w:p>
    <w:p w14:paraId="4C185FC3" w14:textId="77777777" w:rsidR="001054C3" w:rsidRDefault="001054C3" w:rsidP="00234FBE">
      <w:pPr>
        <w:pStyle w:val="BodyText"/>
        <w:rPr>
          <w:i/>
        </w:rPr>
      </w:pPr>
      <w:r>
        <w:t>However, S</w:t>
      </w:r>
      <w:r w:rsidRPr="009E1257">
        <w:t xml:space="preserve">tate and Territory </w:t>
      </w:r>
      <w:r>
        <w:t>G</w:t>
      </w:r>
      <w:r w:rsidRPr="009E1257">
        <w:t xml:space="preserve">overnments may </w:t>
      </w:r>
      <w:r>
        <w:t xml:space="preserve">also </w:t>
      </w:r>
      <w:r w:rsidRPr="009E1257">
        <w:t xml:space="preserve">choose to </w:t>
      </w:r>
      <w:r>
        <w:t>allocate</w:t>
      </w:r>
      <w:r w:rsidRPr="009E1257">
        <w:t xml:space="preserve"> some entitlements </w:t>
      </w:r>
      <w:r>
        <w:t>to particular users</w:t>
      </w:r>
      <w:r w:rsidRPr="009E1257">
        <w:t xml:space="preserve">, </w:t>
      </w:r>
      <w:r>
        <w:t>including</w:t>
      </w:r>
      <w:r w:rsidRPr="009E1257">
        <w:t xml:space="preserve"> urban </w:t>
      </w:r>
      <w:r>
        <w:t>providers</w:t>
      </w:r>
      <w:r w:rsidRPr="009E1257">
        <w:t xml:space="preserve"> or Traditional Owners. </w:t>
      </w:r>
      <w:r>
        <w:t>Although not a market</w:t>
      </w:r>
      <w:r>
        <w:noBreakHyphen/>
        <w:t>based approach, this is not necessarily inconsistent with allocating water on the basis of efficiency. As discussed above, governments should consider providing water entitlements to Traditional Owners in less developed systems</w:t>
      </w:r>
      <w:r>
        <w:rPr>
          <w:i/>
        </w:rPr>
        <w:t>.</w:t>
      </w:r>
    </w:p>
    <w:p w14:paraId="5E1EABDB" w14:textId="77777777" w:rsidR="001054C3" w:rsidRPr="00DA2EF9"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F94210" w14:paraId="310B275D"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9B3DF9A" w14:textId="77777777" w:rsidR="001054C3" w:rsidRDefault="001054C3" w:rsidP="00234FBE">
            <w:pPr>
              <w:pStyle w:val="FindingTitle"/>
              <w:spacing w:before="120"/>
            </w:pPr>
            <w:r>
              <w:t>NWI renewal advice 14.2: Assessment Criteria for Water Infrastructure</w:t>
            </w:r>
          </w:p>
          <w:p w14:paraId="6495F820" w14:textId="77777777" w:rsidR="001054C3" w:rsidRDefault="001054C3" w:rsidP="00234FBE">
            <w:pPr>
              <w:pStyle w:val="Finding"/>
            </w:pPr>
            <w:r>
              <w:t>As part of the new infrastructure element, jurisdictions should agree to criteria on how major projects can demonstrate adherence to the NWI requirements for infrastructure.</w:t>
            </w:r>
          </w:p>
          <w:p w14:paraId="685CD404" w14:textId="77777777" w:rsidR="001054C3" w:rsidRDefault="001054C3" w:rsidP="00234FBE">
            <w:pPr>
              <w:pStyle w:val="Finding"/>
            </w:pPr>
            <w:r>
              <w:t>Economic viability should be demonstrated by a positive benefit–cost ratio determined through a transparent and rigorous cost–benefit assessment, with:</w:t>
            </w:r>
          </w:p>
          <w:p w14:paraId="4C3E88FA" w14:textId="77777777" w:rsidR="001054C3" w:rsidRDefault="001054C3" w:rsidP="00234FBE">
            <w:pPr>
              <w:pStyle w:val="FindingBullet"/>
            </w:pPr>
            <w:r>
              <w:t>an assessment of a range of options, including non</w:t>
            </w:r>
            <w:r>
              <w:noBreakHyphen/>
              <w:t xml:space="preserve">infrastructure options </w:t>
            </w:r>
            <w:r w:rsidRPr="006C253A">
              <w:t>where these can meet the investment objective</w:t>
            </w:r>
            <w:r>
              <w:t>, and selection based on the highest (positive) expected net benefit</w:t>
            </w:r>
          </w:p>
          <w:p w14:paraId="1619AB66" w14:textId="77777777" w:rsidR="001054C3" w:rsidRDefault="001054C3" w:rsidP="00234FBE">
            <w:pPr>
              <w:pStyle w:val="FindingBullet"/>
            </w:pPr>
            <w:r>
              <w:t>transparency supported by publication of business cases as a matter of course (except where commercially</w:t>
            </w:r>
            <w:r>
              <w:noBreakHyphen/>
              <w:t>sensitive data limits publication, in which case the business case should be reviewed by a qualified independent body)</w:t>
            </w:r>
          </w:p>
          <w:p w14:paraId="71D133F4" w14:textId="77777777" w:rsidR="001054C3" w:rsidRDefault="001054C3" w:rsidP="00234FBE">
            <w:pPr>
              <w:pStyle w:val="FindingBullet"/>
            </w:pPr>
            <w:r>
              <w:t xml:space="preserve">use of </w:t>
            </w:r>
            <w:r w:rsidRPr="00DE6E83">
              <w:t>entitlement pre</w:t>
            </w:r>
            <w:r>
              <w:noBreakHyphen/>
            </w:r>
            <w:r w:rsidRPr="00DE6E83">
              <w:t xml:space="preserve">sale </w:t>
            </w:r>
            <w:r>
              <w:t>to limit optimism bias</w:t>
            </w:r>
          </w:p>
          <w:p w14:paraId="01C317EC" w14:textId="0112C1DF" w:rsidR="001054C3" w:rsidRDefault="001054C3" w:rsidP="00234FBE">
            <w:pPr>
              <w:pStyle w:val="FindingBullet"/>
            </w:pPr>
            <w:r>
              <w:t>robust estimates of social and distributional impacts.</w:t>
            </w:r>
          </w:p>
          <w:p w14:paraId="23B8A199" w14:textId="77777777" w:rsidR="00BC6153" w:rsidRPr="00C81525" w:rsidRDefault="00BC6153" w:rsidP="00BC6153">
            <w:pPr>
              <w:pStyle w:val="Finding"/>
              <w:rPr>
                <w:spacing w:val="-2"/>
              </w:rPr>
            </w:pPr>
            <w:r w:rsidRPr="00C81525">
              <w:rPr>
                <w:spacing w:val="-2"/>
              </w:rPr>
              <w:t>Ecological sustainability should be demonstrated through environmental and social</w:t>
            </w:r>
            <w:r w:rsidRPr="00C81525" w:rsidDel="0015616D">
              <w:rPr>
                <w:spacing w:val="-2"/>
              </w:rPr>
              <w:t xml:space="preserve"> </w:t>
            </w:r>
            <w:r w:rsidRPr="00C81525">
              <w:rPr>
                <w:spacing w:val="-2"/>
              </w:rPr>
              <w:t>impact approvals, and compliance with a high</w:t>
            </w:r>
            <w:r w:rsidRPr="00C81525">
              <w:rPr>
                <w:spacing w:val="-2"/>
              </w:rPr>
              <w:noBreakHyphen/>
              <w:t>quality and NWI</w:t>
            </w:r>
            <w:r w:rsidRPr="00C81525">
              <w:rPr>
                <w:spacing w:val="-2"/>
              </w:rPr>
              <w:noBreakHyphen/>
              <w:t>consistent water plan that:</w:t>
            </w:r>
          </w:p>
          <w:p w14:paraId="7D1C3907" w14:textId="77777777" w:rsidR="00BC6153" w:rsidRDefault="00BC6153" w:rsidP="00BC6153">
            <w:pPr>
              <w:pStyle w:val="FindingBullet"/>
            </w:pPr>
            <w:r>
              <w:t>establishes the environmental water provisions necessary to meet agreed environmental outcomes under a changing climate</w:t>
            </w:r>
          </w:p>
          <w:p w14:paraId="3EC4C890" w14:textId="77777777" w:rsidR="00BC6153" w:rsidRDefault="00BC6153" w:rsidP="00BC6153">
            <w:pPr>
              <w:pStyle w:val="FindingBullet"/>
            </w:pPr>
            <w:r>
              <w:t>sets out the social, economic and cultural outcomes sought from the water plan</w:t>
            </w:r>
          </w:p>
          <w:p w14:paraId="1E4F2271" w14:textId="77777777" w:rsidR="00BC6153" w:rsidRDefault="00BC6153" w:rsidP="00BC6153">
            <w:pPr>
              <w:pStyle w:val="FindingBullet"/>
            </w:pPr>
            <w:r>
              <w:t>clearly defines the expected reliability of water rights, taking into account the likely impacts of climate change</w:t>
            </w:r>
          </w:p>
          <w:p w14:paraId="5CE912A1" w14:textId="77777777" w:rsidR="00BC6153" w:rsidRDefault="00BC6153" w:rsidP="00BC6153">
            <w:pPr>
              <w:pStyle w:val="FindingBullet"/>
            </w:pPr>
            <w:r>
              <w:t>is developed with robust community engagement to reflect community values.</w:t>
            </w:r>
          </w:p>
          <w:p w14:paraId="730734AE" w14:textId="753C6DFC" w:rsidR="00AD35F8" w:rsidRDefault="00AD35F8" w:rsidP="00AD35F8">
            <w:pPr>
              <w:pStyle w:val="Finding"/>
            </w:pPr>
            <w:r>
              <w:t xml:space="preserve">Criteria for culturally responsive infrastructure development should be determined through the co-design process led by the </w:t>
            </w:r>
            <w:r w:rsidR="00B32F03">
              <w:t xml:space="preserve">national </w:t>
            </w:r>
            <w:r>
              <w:t>Committee on Aboriginal Water Interests. At a minimum, culturally responsive infrastructure processes would:</w:t>
            </w:r>
          </w:p>
          <w:p w14:paraId="767CE62D" w14:textId="77777777" w:rsidR="00AD35F8" w:rsidRDefault="00AD35F8" w:rsidP="00AD35F8">
            <w:pPr>
              <w:pStyle w:val="FindingBullet"/>
            </w:pPr>
            <w:r>
              <w:t>incorporate deep engagement with the Traditional Owners of affected areas (both at the infrastructure site and downstream) as part of business case development</w:t>
            </w:r>
          </w:p>
          <w:p w14:paraId="30974D00" w14:textId="77777777" w:rsidR="00AD35F8" w:rsidRDefault="00AD35F8" w:rsidP="00AD35F8">
            <w:pPr>
              <w:pStyle w:val="FindingBullet"/>
            </w:pPr>
            <w:r>
              <w:t>comprehensively identify and manage impacts on cultural heritage in affected areas.</w:t>
            </w:r>
          </w:p>
          <w:p w14:paraId="3D6A9182" w14:textId="77777777" w:rsidR="00AD35F8" w:rsidRDefault="00AD35F8" w:rsidP="00AD35F8">
            <w:pPr>
              <w:pStyle w:val="Finding"/>
            </w:pPr>
            <w:r>
              <w:t xml:space="preserve">Costs should be recovered from users as the norm, with any government funding provided </w:t>
            </w:r>
            <w:r w:rsidRPr="00F2065A">
              <w:t xml:space="preserve">through </w:t>
            </w:r>
            <w:r>
              <w:t xml:space="preserve">a </w:t>
            </w:r>
            <w:r w:rsidRPr="00F2065A">
              <w:t xml:space="preserve">transparent </w:t>
            </w:r>
            <w:r>
              <w:t>subsidy. This should be limited to situations where:</w:t>
            </w:r>
          </w:p>
          <w:p w14:paraId="3C5CF122" w14:textId="77777777" w:rsidR="00AD35F8" w:rsidRDefault="00AD35F8" w:rsidP="00AD35F8">
            <w:pPr>
              <w:pStyle w:val="FindingBullet"/>
            </w:pPr>
            <w:r>
              <w:t>substantial public benefits associated with water infrastructure impose additional costs that are best borne by governments</w:t>
            </w:r>
          </w:p>
          <w:p w14:paraId="47A43B7D" w14:textId="5D010DF3" w:rsidR="00BC6153" w:rsidRDefault="00AD35F8" w:rsidP="00C219DC">
            <w:pPr>
              <w:pStyle w:val="FindingBullet"/>
            </w:pPr>
            <w:r>
              <w:t>an equity argument exists (for example, to support access to an essential service in</w:t>
            </w:r>
            <w:r w:rsidRPr="00F2065A">
              <w:t xml:space="preserve"> </w:t>
            </w:r>
            <w:r>
              <w:t>high</w:t>
            </w:r>
            <w:r>
              <w:noBreakHyphen/>
              <w:t xml:space="preserve">cost </w:t>
            </w:r>
            <w:r w:rsidRPr="00F2065A">
              <w:t xml:space="preserve">regional town water </w:t>
            </w:r>
            <w:r>
              <w:t>systems where the cost of supplying a basic level of services is considered unaffordable</w:t>
            </w:r>
            <w:r w:rsidRPr="00F2065A">
              <w:t>)</w:t>
            </w:r>
            <w:r>
              <w:t>.</w:t>
            </w:r>
          </w:p>
          <w:p w14:paraId="34796B03" w14:textId="77777777" w:rsidR="001054C3" w:rsidRPr="00F94210" w:rsidRDefault="001054C3" w:rsidP="00234FBE">
            <w:pPr>
              <w:pStyle w:val="Continued"/>
            </w:pPr>
            <w:r>
              <w:t>(continued next page)</w:t>
            </w:r>
          </w:p>
        </w:tc>
      </w:tr>
      <w:tr w:rsidR="001054C3" w:rsidRPr="00F94210" w14:paraId="4045FDB5"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3F1DA07" w14:textId="77777777" w:rsidR="001054C3" w:rsidRPr="00F94210" w:rsidRDefault="001054C3" w:rsidP="00234FBE">
            <w:pPr>
              <w:pStyle w:val="Space"/>
            </w:pPr>
          </w:p>
        </w:tc>
      </w:tr>
      <w:tr w:rsidR="001054C3" w:rsidRPr="00F94210" w14:paraId="4E10CABE" w14:textId="77777777" w:rsidTr="00234FBE">
        <w:tc>
          <w:tcPr>
            <w:tcW w:w="5000" w:type="pct"/>
            <w:tcBorders>
              <w:top w:val="single" w:sz="6" w:space="0" w:color="0070C0"/>
              <w:left w:val="nil"/>
              <w:bottom w:val="nil"/>
              <w:right w:val="nil"/>
            </w:tcBorders>
            <w:tcMar>
              <w:left w:w="170" w:type="dxa"/>
              <w:right w:w="170" w:type="dxa"/>
            </w:tcMar>
          </w:tcPr>
          <w:p w14:paraId="5822E750" w14:textId="77777777" w:rsidR="001054C3" w:rsidRPr="00F94210" w:rsidRDefault="001054C3" w:rsidP="00234FBE">
            <w:pPr>
              <w:keepLines/>
              <w:spacing w:before="60" w:after="60" w:line="80" w:lineRule="exact"/>
              <w:jc w:val="both"/>
              <w:rPr>
                <w:rFonts w:ascii="Arial" w:hAnsi="Arial"/>
                <w:sz w:val="14"/>
                <w:szCs w:val="20"/>
              </w:rPr>
            </w:pPr>
          </w:p>
        </w:tc>
      </w:tr>
    </w:tbl>
    <w:p w14:paraId="753EBD54" w14:textId="77777777" w:rsidR="001054C3" w:rsidRPr="00DA2EF9"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F94210" w14:paraId="6A0922D8"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2F22559" w14:textId="77777777" w:rsidR="001054C3" w:rsidRDefault="001054C3" w:rsidP="00234FBE">
            <w:pPr>
              <w:pStyle w:val="FindingTitle"/>
              <w:spacing w:before="120"/>
            </w:pPr>
            <w:r>
              <w:t xml:space="preserve">NWI renewal advice 14.2: Assessment Criteria for Water Infrastructure </w:t>
            </w:r>
            <w:r w:rsidRPr="00DC05CC">
              <w:rPr>
                <w:rStyle w:val="Continuedintitle"/>
                <w:b w:val="0"/>
                <w:bCs/>
              </w:rPr>
              <w:t>(Continued)</w:t>
            </w:r>
          </w:p>
          <w:p w14:paraId="64D5A1E1" w14:textId="77777777" w:rsidR="001054C3" w:rsidRDefault="001054C3" w:rsidP="00234FBE">
            <w:pPr>
              <w:pStyle w:val="Finding"/>
            </w:pPr>
            <w:r>
              <w:t>Governments should not subsidise major water infrastructure for strategic objectives, such as regional development, without first demonstrating that the project is the most effective means of addressing that objective. This requires alignment with broader high</w:t>
            </w:r>
            <w:r>
              <w:noBreakHyphen/>
              <w:t>quality and long</w:t>
            </w:r>
            <w:r>
              <w:noBreakHyphen/>
              <w:t>term strategic regional planning processes.</w:t>
            </w:r>
          </w:p>
          <w:p w14:paraId="72B021AF" w14:textId="77777777" w:rsidR="001054C3" w:rsidRPr="00F94210" w:rsidRDefault="001054C3" w:rsidP="00234FBE">
            <w:pPr>
              <w:pStyle w:val="Finding"/>
            </w:pPr>
            <w:r>
              <w:t>Jurisdictions should maintain the principle supporting use of market mechanisms for allocating water, although they should consider allocating a share of new entitlements in undeveloped systems to Traditional Owners.</w:t>
            </w:r>
          </w:p>
        </w:tc>
      </w:tr>
      <w:tr w:rsidR="001054C3" w:rsidRPr="00F94210" w14:paraId="10D35314"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B8AA470" w14:textId="77777777" w:rsidR="001054C3" w:rsidRPr="00F94210" w:rsidRDefault="001054C3" w:rsidP="00234FBE">
            <w:pPr>
              <w:pStyle w:val="Space"/>
            </w:pPr>
          </w:p>
        </w:tc>
      </w:tr>
      <w:tr w:rsidR="001054C3" w:rsidRPr="00F94210" w14:paraId="6B70A036" w14:textId="77777777" w:rsidTr="00234FBE">
        <w:tc>
          <w:tcPr>
            <w:tcW w:w="5000" w:type="pct"/>
            <w:tcBorders>
              <w:top w:val="single" w:sz="6" w:space="0" w:color="0070C0"/>
              <w:left w:val="nil"/>
              <w:bottom w:val="nil"/>
              <w:right w:val="nil"/>
            </w:tcBorders>
            <w:tcMar>
              <w:left w:w="170" w:type="dxa"/>
              <w:right w:w="170" w:type="dxa"/>
            </w:tcMar>
          </w:tcPr>
          <w:p w14:paraId="1626D972" w14:textId="77777777" w:rsidR="001054C3" w:rsidRPr="00F94210" w:rsidRDefault="001054C3" w:rsidP="00234FBE">
            <w:pPr>
              <w:keepLines/>
              <w:spacing w:before="60" w:after="60" w:line="80" w:lineRule="exact"/>
              <w:jc w:val="both"/>
              <w:rPr>
                <w:rFonts w:ascii="Arial" w:hAnsi="Arial"/>
                <w:sz w:val="14"/>
                <w:szCs w:val="20"/>
              </w:rPr>
            </w:pPr>
          </w:p>
        </w:tc>
      </w:tr>
    </w:tbl>
    <w:p w14:paraId="5ABF217D" w14:textId="77777777" w:rsidR="001054C3" w:rsidRDefault="001054C3" w:rsidP="00234FBE">
      <w:pPr>
        <w:pStyle w:val="Heading3"/>
      </w:pPr>
      <w:r>
        <w:t>Institutional arrangements</w:t>
      </w:r>
    </w:p>
    <w:p w14:paraId="7174AB92" w14:textId="77777777" w:rsidR="001054C3" w:rsidRDefault="001054C3" w:rsidP="00234FBE">
      <w:pPr>
        <w:pStyle w:val="BodyText"/>
      </w:pPr>
      <w:r>
        <w:t>Institutional roles and responsibilities for government investment in major water infrastructure should be clearly established as part of the framework in a renewed NWI.</w:t>
      </w:r>
    </w:p>
    <w:p w14:paraId="23E70736" w14:textId="77777777" w:rsidR="001054C3" w:rsidRDefault="001054C3" w:rsidP="00234FBE">
      <w:pPr>
        <w:pStyle w:val="BodyText"/>
      </w:pPr>
      <w:r>
        <w:t>State and Territory Governments should have primary responsibility for proposing (and overseeing) major water infrastructure developments in their jurisdictions. If and when government investment in major water infrastructure occurs, the relevant State or Territory Government should be responsible for assessing and selecting projects. This corresponds with their current ownership of bulk water service providers (in many cases), as well as their responsibilities for water resource management, infrastructure development, regional development and most stages of project approval.</w:t>
      </w:r>
      <w:r w:rsidRPr="00CD4CBE">
        <w:rPr>
          <w:rStyle w:val="FootnoteReference"/>
        </w:rPr>
        <w:footnoteReference w:id="49"/>
      </w:r>
    </w:p>
    <w:p w14:paraId="710C702A" w14:textId="77777777" w:rsidR="001054C3" w:rsidRDefault="001054C3" w:rsidP="00234FBE">
      <w:pPr>
        <w:pStyle w:val="BodyText"/>
      </w:pPr>
      <w:r>
        <w:t xml:space="preserve">The Commission does not see a national interest argument that justifies a general or ongoing role for the Australian Government in water infrastructure decision making. </w:t>
      </w:r>
      <w:r w:rsidRPr="00BE1649">
        <w:t xml:space="preserve">An exception may be in shared systems, where the benefits of infrastructure are divided across multiple jurisdictions. And </w:t>
      </w:r>
      <w:r>
        <w:t>agencies funded by the</w:t>
      </w:r>
      <w:r w:rsidRPr="00BE1649">
        <w:t xml:space="preserve"> Australian Government </w:t>
      </w:r>
      <w:r>
        <w:t>(for example, the Bureau of Meteorology and CSIRO) can</w:t>
      </w:r>
      <w:r w:rsidRPr="00BE1649">
        <w:t xml:space="preserve"> have a role </w:t>
      </w:r>
      <w:r>
        <w:t>in</w:t>
      </w:r>
      <w:r w:rsidRPr="00BE1649">
        <w:t xml:space="preserve"> providing credible information on climate change and water resource availability</w:t>
      </w:r>
      <w:r>
        <w:t>.</w:t>
      </w:r>
    </w:p>
    <w:p w14:paraId="0537FB64" w14:textId="77777777" w:rsidR="001054C3" w:rsidRDefault="001054C3" w:rsidP="00234FBE">
      <w:pPr>
        <w:pStyle w:val="BodyText"/>
      </w:pPr>
      <w:r>
        <w:t>Any Australian Government funding should only be provided where it aligns to nationally significant priorities (identified by Infrastructure Australia or a similar independent body), or where State and Territory prioritisation processes identify and select major projects with significant public benefits that accrue outside of their jurisdictions.</w:t>
      </w:r>
    </w:p>
    <w:p w14:paraId="4FB3CFD1" w14:textId="77777777" w:rsidR="001054C3" w:rsidRDefault="001054C3" w:rsidP="00234FBE">
      <w:pPr>
        <w:pStyle w:val="BodyText"/>
      </w:pPr>
      <w:r>
        <w:t>And Australian Government funding for major water infrastructure should not exceed the contribution of the relevant State or Territory Government. This helps ensure buy</w:t>
      </w:r>
      <w:r>
        <w:noBreakHyphen/>
        <w:t xml:space="preserve">in from the relevant government, supports consistency in priorities between levels of governments, </w:t>
      </w:r>
      <w:r>
        <w:lastRenderedPageBreak/>
        <w:t>and reflects the comparative advantage of State and Territory Governments in aligning any water infrastructure with local regional development planning.</w:t>
      </w:r>
    </w:p>
    <w:p w14:paraId="40387060" w14:textId="77777777" w:rsidR="001054C3" w:rsidRDefault="001054C3" w:rsidP="00234FBE">
      <w:pPr>
        <w:pStyle w:val="BodyText"/>
      </w:pPr>
      <w:r>
        <w:t>Such funding, if warranted, should be sector</w:t>
      </w:r>
      <w:r>
        <w:noBreakHyphen/>
        <w:t xml:space="preserve">blind; that is, Australian Government investment in worthwhile projects should not be limited to providing water for agriculture if there are material net benefits in investing in other sectors, such as in regional urban water projects. Projects that provide water for urban needs, without an irrigated agricultural component, are currently ineligible for funding under the NWGA’s </w:t>
      </w:r>
      <w:r>
        <w:rPr>
          <w:i/>
          <w:iCs/>
        </w:rPr>
        <w:t>Investment Policy Framework</w:t>
      </w:r>
      <w:r>
        <w:t>. This limitation should be removed.</w:t>
      </w:r>
    </w:p>
    <w:p w14:paraId="503BD87C" w14:textId="77777777" w:rsidR="001054C3" w:rsidRPr="004E3B94"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14:paraId="73E9D513" w14:textId="77777777" w:rsidTr="00234FBE">
        <w:trPr>
          <w:tblHeader/>
        </w:trPr>
        <w:tc>
          <w:tcPr>
            <w:tcW w:w="5000" w:type="pct"/>
            <w:tcBorders>
              <w:top w:val="single" w:sz="6" w:space="0" w:color="78A22F"/>
              <w:left w:val="nil"/>
              <w:bottom w:val="nil"/>
              <w:right w:val="nil"/>
            </w:tcBorders>
            <w:shd w:val="clear" w:color="auto" w:fill="E5F1D0"/>
            <w:tcMar>
              <w:left w:w="170" w:type="dxa"/>
              <w:right w:w="170" w:type="dxa"/>
            </w:tcMar>
          </w:tcPr>
          <w:p w14:paraId="22ECDD13" w14:textId="77777777" w:rsidR="001054C3" w:rsidRPr="00E02CA8" w:rsidRDefault="001054C3" w:rsidP="00234FBE">
            <w:pPr>
              <w:pStyle w:val="RecTitle"/>
              <w:spacing w:before="120"/>
            </w:pPr>
            <w:r w:rsidRPr="00E02CA8">
              <w:t>Recommendation 1</w:t>
            </w:r>
            <w:r>
              <w:t>4</w:t>
            </w:r>
            <w:r w:rsidRPr="00E02CA8">
              <w:t>.1</w:t>
            </w:r>
            <w:r>
              <w:t>: Broaden the remit of the NWGA’s investment policy</w:t>
            </w:r>
          </w:p>
        </w:tc>
      </w:tr>
      <w:tr w:rsidR="001054C3" w:rsidRPr="00750BE2" w14:paraId="5A3B0B9F" w14:textId="77777777" w:rsidTr="00234FBE">
        <w:tc>
          <w:tcPr>
            <w:tcW w:w="5000" w:type="pct"/>
            <w:tcBorders>
              <w:top w:val="nil"/>
              <w:left w:val="nil"/>
              <w:bottom w:val="nil"/>
              <w:right w:val="nil"/>
            </w:tcBorders>
            <w:shd w:val="clear" w:color="auto" w:fill="E5F1D0"/>
            <w:tcMar>
              <w:left w:w="170" w:type="dxa"/>
              <w:right w:w="170" w:type="dxa"/>
            </w:tcMar>
          </w:tcPr>
          <w:p w14:paraId="6CA03C6D" w14:textId="77777777" w:rsidR="001054C3" w:rsidRDefault="001054C3" w:rsidP="00234FBE">
            <w:pPr>
              <w:pStyle w:val="Rec"/>
              <w:keepNext/>
            </w:pPr>
            <w:r>
              <w:t xml:space="preserve">Australian Government investment in major water infrastructure, where it occurs, should neither prioritise a particular sector or class of water user, nor be limited to providing water for primary industry. The National Water Grid Authority should broaden its </w:t>
            </w:r>
            <w:r w:rsidRPr="0030448F">
              <w:rPr>
                <w:i/>
              </w:rPr>
              <w:t>Investment Policy Framework</w:t>
            </w:r>
            <w:r>
              <w:t xml:space="preserve"> to allow funding for all projects where government involvement may be warranted, including supporting access to essential town water supplies in regional and remote communities.</w:t>
            </w:r>
          </w:p>
        </w:tc>
      </w:tr>
      <w:tr w:rsidR="001054C3" w14:paraId="0DC1E012" w14:textId="77777777" w:rsidTr="00234FBE">
        <w:tc>
          <w:tcPr>
            <w:tcW w:w="5000" w:type="pct"/>
            <w:tcBorders>
              <w:top w:val="nil"/>
              <w:left w:val="nil"/>
              <w:bottom w:val="single" w:sz="6" w:space="0" w:color="78A22F"/>
              <w:right w:val="nil"/>
            </w:tcBorders>
            <w:shd w:val="clear" w:color="auto" w:fill="E5F1D0"/>
            <w:tcMar>
              <w:left w:w="170" w:type="dxa"/>
              <w:right w:w="170" w:type="dxa"/>
            </w:tcMar>
          </w:tcPr>
          <w:p w14:paraId="2639AD80" w14:textId="77777777" w:rsidR="001054C3" w:rsidRDefault="001054C3" w:rsidP="00234FBE">
            <w:pPr>
              <w:pStyle w:val="Space"/>
              <w:keepLines/>
            </w:pPr>
          </w:p>
        </w:tc>
      </w:tr>
      <w:tr w:rsidR="001054C3" w:rsidRPr="000863A5" w14:paraId="46A7AD0B" w14:textId="77777777" w:rsidTr="00234FBE">
        <w:tc>
          <w:tcPr>
            <w:tcW w:w="5000" w:type="pct"/>
            <w:tcBorders>
              <w:top w:val="single" w:sz="6" w:space="0" w:color="78A22F"/>
              <w:left w:val="nil"/>
              <w:bottom w:val="nil"/>
              <w:right w:val="nil"/>
            </w:tcBorders>
            <w:tcMar>
              <w:left w:w="170" w:type="dxa"/>
              <w:right w:w="170" w:type="dxa"/>
            </w:tcMar>
          </w:tcPr>
          <w:p w14:paraId="61BDBA79" w14:textId="77777777" w:rsidR="001054C3" w:rsidRPr="00626D32" w:rsidRDefault="001054C3" w:rsidP="00234FBE">
            <w:pPr>
              <w:pStyle w:val="BoxSpaceBelow"/>
              <w:keepLines/>
            </w:pPr>
          </w:p>
        </w:tc>
      </w:tr>
    </w:tbl>
    <w:p w14:paraId="29A646DB" w14:textId="77777777" w:rsidR="001054C3" w:rsidRDefault="001054C3" w:rsidP="00234FBE">
      <w:pPr>
        <w:pStyle w:val="BodyText"/>
      </w:pPr>
      <w:r>
        <w:t>Finally, a qualified</w:t>
      </w:r>
      <w:r w:rsidRPr="00E669FD">
        <w:t xml:space="preserve"> institution </w:t>
      </w:r>
      <w:r>
        <w:t xml:space="preserve">should </w:t>
      </w:r>
      <w:r w:rsidRPr="00E669FD">
        <w:t xml:space="preserve">review </w:t>
      </w:r>
      <w:r>
        <w:t xml:space="preserve">the </w:t>
      </w:r>
      <w:r w:rsidRPr="00E669FD">
        <w:t xml:space="preserve">business cases for major </w:t>
      </w:r>
      <w:r>
        <w:t xml:space="preserve">water </w:t>
      </w:r>
      <w:r w:rsidRPr="00E669FD">
        <w:t xml:space="preserve">projects </w:t>
      </w:r>
      <w:r>
        <w:t xml:space="preserve">and </w:t>
      </w:r>
      <w:r w:rsidRPr="00E669FD">
        <w:t xml:space="preserve">demonstrate </w:t>
      </w:r>
      <w:r>
        <w:t xml:space="preserve">the analyses are </w:t>
      </w:r>
      <w:r w:rsidRPr="00E669FD">
        <w:t>rigoro</w:t>
      </w:r>
      <w:r>
        <w:t>us (or otherwise). This requirement is in place for Australian Government investments — all water infrastructure proposals requesting more than $250 million of Australian Government funding are reviewed by Infrastructure Australia. However, the increase in the review threshold to $250 million (from $100 million prior to 2021) will reduce the number of major water projects that are subject to independent scrutiny. The NWGA’s assessment processes, including the role of the National Water Grid Advisory Body (which provides expert advice to the NWGA on water infrastructure), must be transparent to ensure proper scrutiny of projects below that threshold.</w:t>
      </w:r>
    </w:p>
    <w:p w14:paraId="6AF8FA73" w14:textId="77777777" w:rsidR="001054C3" w:rsidRPr="00F94210" w:rsidRDefault="001054C3" w:rsidP="00DE301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F94210" w14:paraId="763A8AFC"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CAD0523" w14:textId="77777777" w:rsidR="001054C3" w:rsidRDefault="001054C3" w:rsidP="00234FBE">
            <w:pPr>
              <w:pStyle w:val="FindingTitle"/>
              <w:spacing w:before="120"/>
            </w:pPr>
            <w:r w:rsidRPr="002E19B0">
              <w:t>NWI renewal advice 1</w:t>
            </w:r>
            <w:r>
              <w:t>4</w:t>
            </w:r>
            <w:r w:rsidRPr="002E19B0">
              <w:t>.3</w:t>
            </w:r>
            <w:r>
              <w:t>:</w:t>
            </w:r>
            <w:r w:rsidRPr="002E19B0">
              <w:t xml:space="preserve"> institutional arrangements</w:t>
            </w:r>
          </w:p>
          <w:p w14:paraId="44AAF731" w14:textId="77777777" w:rsidR="001054C3" w:rsidRDefault="001054C3" w:rsidP="00234FBE">
            <w:pPr>
              <w:pStyle w:val="Finding"/>
            </w:pPr>
            <w:r>
              <w:t>A new water infrastructure element should clarify relevant institutional roles and responsibilities underpinning government investment in major water infrastructure, if and when it occurs.</w:t>
            </w:r>
          </w:p>
          <w:p w14:paraId="6DD9E6CB" w14:textId="77777777" w:rsidR="001054C3" w:rsidRDefault="001054C3" w:rsidP="00234FBE">
            <w:pPr>
              <w:pStyle w:val="RecBullet"/>
            </w:pPr>
            <w:r>
              <w:t>State and Territory Governments should have primary responsibility for proposing (and overseeing) government involvement in major water infrastructure developments in their jurisdictions.</w:t>
            </w:r>
          </w:p>
          <w:p w14:paraId="5B77EB56" w14:textId="77777777" w:rsidR="001054C3" w:rsidRDefault="001054C3" w:rsidP="00234FBE">
            <w:pPr>
              <w:pStyle w:val="RecBullet"/>
            </w:pPr>
            <w:r>
              <w:t>Any Australian Government funding should not exceed the contribution of the relevant State or Territory Government.</w:t>
            </w:r>
          </w:p>
          <w:p w14:paraId="228C2A2B" w14:textId="77777777" w:rsidR="001054C3" w:rsidRPr="00F94210" w:rsidRDefault="001054C3" w:rsidP="00234FBE">
            <w:pPr>
              <w:pStyle w:val="RecBullet"/>
            </w:pPr>
            <w:r>
              <w:t>Independent infrastructure advisory bodies should transparently review the business cases of major projects.</w:t>
            </w:r>
          </w:p>
        </w:tc>
      </w:tr>
      <w:tr w:rsidR="001054C3" w:rsidRPr="00F94210" w14:paraId="06341636"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EF2DDCF" w14:textId="77777777" w:rsidR="001054C3" w:rsidRPr="00F94210" w:rsidRDefault="001054C3" w:rsidP="00234FBE">
            <w:pPr>
              <w:keepNext/>
              <w:keepLines/>
              <w:spacing w:line="120" w:lineRule="exact"/>
              <w:jc w:val="both"/>
              <w:rPr>
                <w:rFonts w:ascii="Arial" w:hAnsi="Arial"/>
                <w:sz w:val="20"/>
                <w:szCs w:val="20"/>
              </w:rPr>
            </w:pPr>
          </w:p>
        </w:tc>
      </w:tr>
      <w:tr w:rsidR="001054C3" w:rsidRPr="00F94210" w14:paraId="4256ECBF" w14:textId="77777777" w:rsidTr="00234FBE">
        <w:tc>
          <w:tcPr>
            <w:tcW w:w="5000" w:type="pct"/>
            <w:tcBorders>
              <w:top w:val="single" w:sz="6" w:space="0" w:color="0070C0"/>
              <w:left w:val="nil"/>
              <w:bottom w:val="nil"/>
              <w:right w:val="nil"/>
            </w:tcBorders>
            <w:tcMar>
              <w:left w:w="170" w:type="dxa"/>
              <w:right w:w="170" w:type="dxa"/>
            </w:tcMar>
          </w:tcPr>
          <w:p w14:paraId="1744B816" w14:textId="77777777" w:rsidR="001054C3" w:rsidRPr="00F94210" w:rsidRDefault="001054C3" w:rsidP="00234FBE">
            <w:pPr>
              <w:keepLines/>
              <w:spacing w:before="60" w:after="60" w:line="80" w:lineRule="exact"/>
              <w:jc w:val="both"/>
              <w:rPr>
                <w:rFonts w:ascii="Arial" w:hAnsi="Arial"/>
                <w:sz w:val="14"/>
                <w:szCs w:val="20"/>
              </w:rPr>
            </w:pPr>
          </w:p>
        </w:tc>
      </w:tr>
    </w:tbl>
    <w:p w14:paraId="1BC5438A" w14:textId="77777777" w:rsidR="001054C3" w:rsidRDefault="001054C3" w:rsidP="00120072">
      <w:pPr>
        <w:pStyle w:val="BodyText"/>
      </w:pPr>
    </w:p>
    <w:p w14:paraId="79BCCB0A" w14:textId="77777777" w:rsidR="001054C3" w:rsidRDefault="001054C3" w:rsidP="001054C3">
      <w:pPr>
        <w:sectPr w:rsidR="001054C3" w:rsidSect="001054C3">
          <w:headerReference w:type="even" r:id="rId139"/>
          <w:headerReference w:type="default" r:id="rId140"/>
          <w:footerReference w:type="even" r:id="rId141"/>
          <w:footerReference w:type="default" r:id="rId142"/>
          <w:type w:val="oddPage"/>
          <w:pgSz w:w="11907" w:h="16840" w:code="9"/>
          <w:pgMar w:top="1985" w:right="1304" w:bottom="1247" w:left="1814" w:header="1701" w:footer="397" w:gutter="0"/>
          <w:pgNumType w:chapSep="period"/>
          <w:cols w:space="720"/>
          <w:docGrid w:linePitch="326"/>
        </w:sectPr>
      </w:pPr>
    </w:p>
    <w:p w14:paraId="5AC62A87" w14:textId="77777777" w:rsidR="001054C3" w:rsidRDefault="001054C3" w:rsidP="00234FBE">
      <w:pPr>
        <w:pStyle w:val="Heading1"/>
        <w:spacing w:before="0"/>
      </w:pPr>
      <w:bookmarkStart w:id="199" w:name="_Toc72939549"/>
      <w:r>
        <w:lastRenderedPageBreak/>
        <w:t>15</w:t>
      </w:r>
      <w:r>
        <w:tab/>
        <w:t>Community engagement</w:t>
      </w:r>
      <w:bookmarkEnd w:id="19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1463FA" w14:paraId="4AFFC887" w14:textId="77777777" w:rsidTr="00234FB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F5A6C75" w14:textId="77777777" w:rsidR="001054C3" w:rsidRPr="001463FA" w:rsidRDefault="001054C3" w:rsidP="00234FBE">
            <w:pPr>
              <w:keepNext/>
              <w:keepLines/>
              <w:spacing w:before="120" w:line="280" w:lineRule="exact"/>
              <w:ind w:left="1474" w:hanging="1474"/>
              <w:rPr>
                <w:rFonts w:ascii="Arial" w:hAnsi="Arial"/>
                <w:b/>
                <w:noProof/>
              </w:rPr>
            </w:pPr>
            <w:r w:rsidRPr="001463FA">
              <w:rPr>
                <w:rFonts w:ascii="Arial" w:hAnsi="Arial"/>
                <w:b/>
              </w:rPr>
              <w:t>Key points</w:t>
            </w:r>
          </w:p>
        </w:tc>
      </w:tr>
      <w:tr w:rsidR="001054C3" w:rsidRPr="001463FA" w14:paraId="592CDE77" w14:textId="77777777" w:rsidTr="00234FBE">
        <w:trPr>
          <w:cantSplit/>
        </w:trPr>
        <w:tc>
          <w:tcPr>
            <w:tcW w:w="5000" w:type="pct"/>
            <w:tcBorders>
              <w:top w:val="nil"/>
              <w:left w:val="nil"/>
              <w:bottom w:val="nil"/>
              <w:right w:val="nil"/>
            </w:tcBorders>
            <w:shd w:val="clear" w:color="auto" w:fill="F2F2F2"/>
            <w:tcMar>
              <w:left w:w="170" w:type="dxa"/>
              <w:right w:w="170" w:type="dxa"/>
            </w:tcMar>
          </w:tcPr>
          <w:p w14:paraId="51BCBEFB" w14:textId="77777777" w:rsidR="001054C3" w:rsidRPr="001463FA" w:rsidRDefault="001054C3" w:rsidP="00234FBE">
            <w:pPr>
              <w:pStyle w:val="KeyPointsListBullet"/>
              <w:rPr>
                <w:b/>
                <w:bCs/>
              </w:rPr>
            </w:pPr>
            <w:r w:rsidRPr="001463FA">
              <w:t>Effective, thorough, well</w:t>
            </w:r>
            <w:r>
              <w:noBreakHyphen/>
            </w:r>
            <w:r w:rsidRPr="001463FA">
              <w:t xml:space="preserve">informed community engagement </w:t>
            </w:r>
            <w:r w:rsidRPr="001463FA">
              <w:rPr>
                <w:bCs/>
              </w:rPr>
              <w:t xml:space="preserve">is </w:t>
            </w:r>
            <w:r w:rsidRPr="001463FA">
              <w:t>needed to support reform in all aspects of water resource management and water services provision.</w:t>
            </w:r>
          </w:p>
          <w:p w14:paraId="50F77827" w14:textId="77777777" w:rsidR="001054C3" w:rsidRPr="001463FA" w:rsidRDefault="001054C3" w:rsidP="00234FBE">
            <w:pPr>
              <w:pStyle w:val="KeyPointsListBullet"/>
              <w:rPr>
                <w:spacing w:val="-2"/>
              </w:rPr>
            </w:pPr>
            <w:r w:rsidRPr="001463FA">
              <w:rPr>
                <w:spacing w:val="-2"/>
              </w:rPr>
              <w:t>The National Water Initiative (NWI) commits Australian governments to ensuring that community engagement happens, but provides little guidance on how they should go about it.</w:t>
            </w:r>
          </w:p>
          <w:p w14:paraId="40C94942" w14:textId="77777777" w:rsidR="001054C3" w:rsidRPr="001463FA" w:rsidRDefault="001054C3" w:rsidP="00234FBE">
            <w:pPr>
              <w:pStyle w:val="KeyPointsListBullet"/>
            </w:pPr>
            <w:r w:rsidRPr="001463FA">
              <w:t>Practice has improved since 2004, however its quality remains inconsistent.</w:t>
            </w:r>
          </w:p>
          <w:p w14:paraId="050C41B2" w14:textId="77777777" w:rsidR="001054C3" w:rsidRPr="001463FA" w:rsidRDefault="001054C3" w:rsidP="00234FBE">
            <w:pPr>
              <w:pStyle w:val="KeyPointsListBullet"/>
            </w:pPr>
            <w:bookmarkStart w:id="200" w:name="_Hlk57043707"/>
            <w:r w:rsidRPr="001463FA">
              <w:t>In redesigning the Community Partnership element of the NWI, Australian governments should consider developing an organising framework based on the following objectives:</w:t>
            </w:r>
          </w:p>
          <w:p w14:paraId="4240FF8A" w14:textId="77777777" w:rsidR="001054C3" w:rsidRDefault="001054C3" w:rsidP="00234FBE">
            <w:pPr>
              <w:pStyle w:val="KeyPointsListBullet2"/>
            </w:pPr>
            <w:r w:rsidRPr="001463FA">
              <w:t>continuously improving and sustaining government engagement effort across all aspects of water resource management and service provision</w:t>
            </w:r>
          </w:p>
          <w:p w14:paraId="52981B9C" w14:textId="77777777" w:rsidR="001054C3" w:rsidRPr="001463FA" w:rsidRDefault="001054C3" w:rsidP="00234FBE">
            <w:pPr>
              <w:pStyle w:val="KeyPointsListBullet2"/>
            </w:pPr>
            <w:r w:rsidRPr="00701464">
              <w:t>coordinating engagement actions between all levels of government, particularly in multi</w:t>
            </w:r>
            <w:r>
              <w:noBreakHyphen/>
            </w:r>
            <w:r w:rsidRPr="00701464">
              <w:t>jurisdictional activities</w:t>
            </w:r>
          </w:p>
          <w:p w14:paraId="30681EA4" w14:textId="77777777" w:rsidR="001054C3" w:rsidRDefault="001054C3" w:rsidP="00234FBE">
            <w:pPr>
              <w:pStyle w:val="KeyPointsListBullet2"/>
            </w:pPr>
            <w:r w:rsidRPr="001463FA">
              <w:t>ensuring that engagement effort and resourcing is fit</w:t>
            </w:r>
            <w:r>
              <w:noBreakHyphen/>
            </w:r>
            <w:r w:rsidRPr="001463FA">
              <w:t>for</w:t>
            </w:r>
            <w:r>
              <w:noBreakHyphen/>
            </w:r>
            <w:r w:rsidRPr="001463FA">
              <w:t>purpose</w:t>
            </w:r>
            <w:r>
              <w:t>,</w:t>
            </w:r>
            <w:r w:rsidRPr="001463FA">
              <w:t xml:space="preserve"> taking into account the scale of the proposed change or reform, its sensitivities and its impacts</w:t>
            </w:r>
          </w:p>
          <w:p w14:paraId="256C53CB" w14:textId="77777777" w:rsidR="001054C3" w:rsidRDefault="001054C3" w:rsidP="00234FBE">
            <w:pPr>
              <w:pStyle w:val="KeyPointsListBullet2"/>
            </w:pPr>
            <w:r>
              <w:t xml:space="preserve">ensuring </w:t>
            </w:r>
            <w:r w:rsidRPr="001463FA">
              <w:t>that governments are clear about the purpose of their engagement and the role of communities in decision making</w:t>
            </w:r>
          </w:p>
          <w:p w14:paraId="47D760E5" w14:textId="77777777" w:rsidR="001054C3" w:rsidRPr="001463FA" w:rsidRDefault="001054C3" w:rsidP="00234FBE">
            <w:pPr>
              <w:pStyle w:val="KeyPointsListBullet2"/>
            </w:pPr>
            <w:r>
              <w:t xml:space="preserve">ensuring </w:t>
            </w:r>
            <w:r w:rsidRPr="00C60234">
              <w:rPr>
                <w:rFonts w:asciiTheme="minorHAnsi" w:hAnsiTheme="minorHAnsi" w:cstheme="minorHAnsi"/>
              </w:rPr>
              <w:t>that</w:t>
            </w:r>
            <w:r>
              <w:t xml:space="preserve"> </w:t>
            </w:r>
            <w:r w:rsidRPr="00923969">
              <w:t xml:space="preserve">all stakeholders have </w:t>
            </w:r>
            <w:r w:rsidRPr="001D2974">
              <w:t xml:space="preserve">the opportunity to </w:t>
            </w:r>
            <w:r w:rsidRPr="00454703">
              <w:t xml:space="preserve">meaningfully </w:t>
            </w:r>
            <w:r w:rsidRPr="001D2974">
              <w:t>input to the engagement process, and are proactively encouraged to do so</w:t>
            </w:r>
          </w:p>
          <w:p w14:paraId="2CAD1C57" w14:textId="77777777" w:rsidR="001054C3" w:rsidRPr="001463FA" w:rsidRDefault="001054C3" w:rsidP="00234FBE">
            <w:pPr>
              <w:pStyle w:val="KeyPointsListBullet2"/>
            </w:pPr>
            <w:r w:rsidRPr="001463FA">
              <w:t>improving the effectiveness of community engagement through enhancing:</w:t>
            </w:r>
          </w:p>
          <w:p w14:paraId="082505B5" w14:textId="77777777" w:rsidR="001054C3" w:rsidRPr="001463FA" w:rsidRDefault="001054C3" w:rsidP="00234FBE">
            <w:pPr>
              <w:pStyle w:val="KeyPointsListBullet3"/>
            </w:pPr>
            <w:r w:rsidRPr="001463FA">
              <w:t>water information accessibility and comprehensibility (</w:t>
            </w:r>
            <w:bookmarkStart w:id="201" w:name="_Hlk59203692"/>
            <w:r w:rsidRPr="00A0679B">
              <w:t>chapter 1</w:t>
            </w:r>
            <w:bookmarkEnd w:id="201"/>
            <w:r w:rsidRPr="00A0679B">
              <w:t>0</w:t>
            </w:r>
            <w:r w:rsidRPr="001463FA">
              <w:t>)</w:t>
            </w:r>
          </w:p>
          <w:p w14:paraId="0F58AAE7" w14:textId="77777777" w:rsidR="001054C3" w:rsidRPr="001463FA" w:rsidRDefault="001054C3" w:rsidP="00234FBE">
            <w:pPr>
              <w:pStyle w:val="KeyPointsListBullet3"/>
            </w:pPr>
            <w:r w:rsidRPr="001463FA">
              <w:t>community water literacy (</w:t>
            </w:r>
            <w:r w:rsidRPr="00A0679B">
              <w:t>chapter 10</w:t>
            </w:r>
            <w:r w:rsidRPr="001463FA">
              <w:t>)</w:t>
            </w:r>
            <w:bookmarkEnd w:id="200"/>
            <w:r w:rsidRPr="001463FA">
              <w:t>.</w:t>
            </w:r>
          </w:p>
          <w:p w14:paraId="57A11198" w14:textId="77777777" w:rsidR="001054C3" w:rsidRPr="001463FA" w:rsidRDefault="001054C3" w:rsidP="00234FBE">
            <w:pPr>
              <w:pStyle w:val="KeyPointsListBullet"/>
            </w:pPr>
            <w:r w:rsidRPr="001463FA">
              <w:t xml:space="preserve">Characteristics of effective community engagement include inclusiveness, timeliness, partnership, respect, access to information, transparency, responsiveness and continuous improvement. These represent a foundation for </w:t>
            </w:r>
            <w:r w:rsidRPr="001463FA">
              <w:rPr>
                <w:spacing w:val="-2"/>
              </w:rPr>
              <w:t>guidance on best</w:t>
            </w:r>
            <w:r>
              <w:rPr>
                <w:spacing w:val="-2"/>
              </w:rPr>
              <w:t xml:space="preserve"> </w:t>
            </w:r>
            <w:r w:rsidRPr="001463FA">
              <w:rPr>
                <w:spacing w:val="-2"/>
              </w:rPr>
              <w:t>practice in a renewed NWI.</w:t>
            </w:r>
          </w:p>
        </w:tc>
      </w:tr>
      <w:tr w:rsidR="001054C3" w:rsidRPr="001463FA" w14:paraId="4C90FFB5" w14:textId="77777777" w:rsidTr="00234FBE">
        <w:trPr>
          <w:cantSplit/>
        </w:trPr>
        <w:tc>
          <w:tcPr>
            <w:tcW w:w="5000" w:type="pct"/>
            <w:tcBorders>
              <w:top w:val="nil"/>
              <w:left w:val="nil"/>
              <w:bottom w:val="single" w:sz="6" w:space="0" w:color="78A22F"/>
              <w:right w:val="nil"/>
            </w:tcBorders>
            <w:shd w:val="clear" w:color="auto" w:fill="F2F2F2"/>
            <w:tcMar>
              <w:left w:w="170" w:type="dxa"/>
              <w:right w:w="170" w:type="dxa"/>
            </w:tcMar>
          </w:tcPr>
          <w:p w14:paraId="295F6ACD" w14:textId="77777777" w:rsidR="001054C3" w:rsidRPr="001463FA" w:rsidRDefault="001054C3" w:rsidP="00234FBE">
            <w:pPr>
              <w:keepNext/>
              <w:keepLines/>
              <w:spacing w:line="120" w:lineRule="exact"/>
              <w:jc w:val="both"/>
              <w:rPr>
                <w:rFonts w:ascii="Arial" w:hAnsi="Arial"/>
                <w:sz w:val="20"/>
                <w:szCs w:val="20"/>
              </w:rPr>
            </w:pPr>
          </w:p>
        </w:tc>
      </w:tr>
      <w:tr w:rsidR="001054C3" w:rsidRPr="001463FA" w14:paraId="51C8CFC1" w14:textId="77777777" w:rsidTr="00234FBE">
        <w:trPr>
          <w:cantSplit/>
        </w:trPr>
        <w:tc>
          <w:tcPr>
            <w:tcW w:w="5000" w:type="pct"/>
            <w:tcBorders>
              <w:top w:val="single" w:sz="6" w:space="0" w:color="78A22F"/>
              <w:left w:val="nil"/>
              <w:bottom w:val="nil"/>
              <w:right w:val="nil"/>
            </w:tcBorders>
            <w:tcMar>
              <w:left w:w="170" w:type="dxa"/>
              <w:right w:w="170" w:type="dxa"/>
            </w:tcMar>
          </w:tcPr>
          <w:p w14:paraId="71AE964C" w14:textId="77777777" w:rsidR="001054C3" w:rsidRPr="001463FA" w:rsidRDefault="001054C3" w:rsidP="00234FBE">
            <w:pPr>
              <w:keepLines/>
              <w:spacing w:before="60" w:after="60" w:line="80" w:lineRule="exact"/>
              <w:jc w:val="both"/>
              <w:rPr>
                <w:rFonts w:ascii="Arial" w:hAnsi="Arial"/>
                <w:sz w:val="14"/>
                <w:szCs w:val="20"/>
              </w:rPr>
            </w:pPr>
          </w:p>
        </w:tc>
      </w:tr>
    </w:tbl>
    <w:p w14:paraId="1FD6F98E" w14:textId="77777777" w:rsidR="001054C3" w:rsidRPr="001463FA" w:rsidRDefault="001054C3" w:rsidP="00234FBE">
      <w:pPr>
        <w:spacing w:before="240" w:line="300" w:lineRule="atLeast"/>
        <w:jc w:val="both"/>
        <w:rPr>
          <w:i/>
          <w:iCs/>
          <w:szCs w:val="20"/>
        </w:rPr>
      </w:pPr>
      <w:r w:rsidRPr="001463FA">
        <w:rPr>
          <w:i/>
          <w:iCs/>
          <w:szCs w:val="20"/>
        </w:rPr>
        <w:t>This chapter summarises Supporting Paper J: Community engagement (Engagement). Further detail and analysis can be found in that paper.</w:t>
      </w:r>
    </w:p>
    <w:p w14:paraId="15307948" w14:textId="77777777" w:rsidR="001054C3" w:rsidRPr="001463FA" w:rsidRDefault="001054C3" w:rsidP="00234FBE">
      <w:pPr>
        <w:spacing w:before="240" w:line="300" w:lineRule="atLeast"/>
        <w:jc w:val="both"/>
        <w:rPr>
          <w:szCs w:val="20"/>
        </w:rPr>
      </w:pPr>
      <w:r w:rsidRPr="001463FA">
        <w:rPr>
          <w:szCs w:val="20"/>
        </w:rPr>
        <w:t xml:space="preserve">Water reform can be contentious. Water is a </w:t>
      </w:r>
      <w:r>
        <w:rPr>
          <w:szCs w:val="20"/>
        </w:rPr>
        <w:t xml:space="preserve">critical human need, a </w:t>
      </w:r>
      <w:r w:rsidRPr="001463FA">
        <w:rPr>
          <w:szCs w:val="20"/>
        </w:rPr>
        <w:t>valuable input to many business activities, particularly agriculture, and supports a range of environmental and other public benefit outcomes. Accordingly, difficult decisions have to be made that trade off the benefits of more water for some uses with less water for others. Given this, effective engagement is crucial to successful reform. As the National Farmers’ Federation reflected:</w:t>
      </w:r>
    </w:p>
    <w:p w14:paraId="7FA97793" w14:textId="77777777" w:rsidR="001054C3" w:rsidRPr="001463FA" w:rsidRDefault="001054C3" w:rsidP="00234FBE">
      <w:pPr>
        <w:spacing w:before="120" w:line="280" w:lineRule="exact"/>
        <w:ind w:left="340"/>
        <w:jc w:val="both"/>
        <w:rPr>
          <w:sz w:val="22"/>
          <w:szCs w:val="20"/>
        </w:rPr>
      </w:pPr>
      <w:r w:rsidRPr="001463FA">
        <w:rPr>
          <w:sz w:val="22"/>
          <w:szCs w:val="20"/>
        </w:rPr>
        <w:t>Genuine and meaningful consultation processes are required to address complex, interdependent and often contentious water reform processes. The trade</w:t>
      </w:r>
      <w:r>
        <w:rPr>
          <w:sz w:val="22"/>
          <w:szCs w:val="20"/>
        </w:rPr>
        <w:noBreakHyphen/>
      </w:r>
      <w:r w:rsidRPr="001463FA">
        <w:rPr>
          <w:sz w:val="22"/>
          <w:szCs w:val="20"/>
        </w:rPr>
        <w:t xml:space="preserve">off of poor consultation is often the </w:t>
      </w:r>
      <w:r w:rsidRPr="001463FA">
        <w:rPr>
          <w:sz w:val="22"/>
          <w:szCs w:val="20"/>
        </w:rPr>
        <w:lastRenderedPageBreak/>
        <w:t>erosion of trust and confidence from communities which has long</w:t>
      </w:r>
      <w:r>
        <w:rPr>
          <w:sz w:val="22"/>
          <w:szCs w:val="20"/>
        </w:rPr>
        <w:noBreakHyphen/>
      </w:r>
      <w:r w:rsidRPr="001463FA">
        <w:rPr>
          <w:sz w:val="22"/>
          <w:szCs w:val="20"/>
        </w:rPr>
        <w:t>term implications for achieving further reform processes. (sub. 42, p. 7)</w:t>
      </w:r>
    </w:p>
    <w:p w14:paraId="235D39FD" w14:textId="77777777" w:rsidR="001054C3" w:rsidRPr="001463FA" w:rsidRDefault="001054C3" w:rsidP="00234FBE">
      <w:pPr>
        <w:spacing w:before="240" w:line="300" w:lineRule="atLeast"/>
        <w:jc w:val="both"/>
        <w:rPr>
          <w:szCs w:val="20"/>
        </w:rPr>
      </w:pPr>
      <w:r w:rsidRPr="001463FA">
        <w:rPr>
          <w:szCs w:val="20"/>
        </w:rPr>
        <w:t>Done well, engagement ensures that the views of those who might be affected are seriously considered, and that all understand why decisions have been made (even if they do not agree with the outcomes). Done poorly, it can create distress and resistance to change.</w:t>
      </w:r>
    </w:p>
    <w:p w14:paraId="4A8674DA" w14:textId="77777777" w:rsidR="001054C3" w:rsidRPr="001463FA" w:rsidRDefault="001054C3" w:rsidP="00234FBE">
      <w:pPr>
        <w:spacing w:before="240" w:line="300" w:lineRule="atLeast"/>
        <w:jc w:val="both"/>
        <w:rPr>
          <w:szCs w:val="20"/>
        </w:rPr>
      </w:pPr>
      <w:r w:rsidRPr="001463FA">
        <w:rPr>
          <w:szCs w:val="20"/>
        </w:rPr>
        <w:t>Australian governments have successfully implemented a wide range of water reform initiatives over the past half century, with community engagement an important enabler. Looking ahead, many difficult decisions will have to be made to deal with the challenges facing water resource management and water service provision. Effective community engagement will be key to achieving the best possible outcomes.</w:t>
      </w:r>
    </w:p>
    <w:p w14:paraId="233DB626" w14:textId="77777777" w:rsidR="001054C3" w:rsidRPr="001463FA" w:rsidRDefault="001054C3" w:rsidP="00234FBE">
      <w:pPr>
        <w:pStyle w:val="Heading2"/>
      </w:pPr>
      <w:bookmarkStart w:id="202" w:name="_Toc63112508"/>
      <w:bookmarkStart w:id="203" w:name="_Toc72939550"/>
      <w:r w:rsidRPr="00F572C8">
        <w:t>1</w:t>
      </w:r>
      <w:r>
        <w:t>5</w:t>
      </w:r>
      <w:r w:rsidRPr="00F572C8">
        <w:t>.</w:t>
      </w:r>
      <w:r w:rsidRPr="00F572C8">
        <w:rPr>
          <w:noProof/>
        </w:rPr>
        <w:t>1</w:t>
      </w:r>
      <w:r>
        <w:tab/>
      </w:r>
      <w:r w:rsidRPr="001463FA">
        <w:t>The NWI has facilitated engagement but an update is needed</w:t>
      </w:r>
      <w:bookmarkEnd w:id="202"/>
      <w:bookmarkEnd w:id="203"/>
    </w:p>
    <w:p w14:paraId="11819950" w14:textId="77777777" w:rsidR="001054C3" w:rsidRPr="001463FA" w:rsidRDefault="001054C3" w:rsidP="00234FBE">
      <w:pPr>
        <w:spacing w:before="240" w:line="300" w:lineRule="atLeast"/>
        <w:jc w:val="both"/>
        <w:rPr>
          <w:szCs w:val="20"/>
        </w:rPr>
      </w:pPr>
      <w:r w:rsidRPr="001463FA">
        <w:rPr>
          <w:szCs w:val="20"/>
        </w:rPr>
        <w:t xml:space="preserve">The importance of community engagement is recognised in the NWI. </w:t>
      </w:r>
      <w:r>
        <w:rPr>
          <w:szCs w:val="20"/>
        </w:rPr>
        <w:t>To achieve the objectives of the agreement, the community partnerships</w:t>
      </w:r>
      <w:r w:rsidRPr="001463FA">
        <w:rPr>
          <w:szCs w:val="20"/>
        </w:rPr>
        <w:t xml:space="preserve"> element commits governments to engage water users and other stakeholders by:</w:t>
      </w:r>
    </w:p>
    <w:p w14:paraId="33E34CCF" w14:textId="77777777" w:rsidR="001054C3" w:rsidRPr="001463FA" w:rsidRDefault="001054C3" w:rsidP="00234FBE">
      <w:pPr>
        <w:pStyle w:val="ListBullet"/>
      </w:pPr>
      <w:r w:rsidRPr="001463FA">
        <w:t>improving certainty and building confidence with reform processes</w:t>
      </w:r>
    </w:p>
    <w:p w14:paraId="32066443" w14:textId="77777777" w:rsidR="001054C3" w:rsidRPr="001463FA" w:rsidRDefault="001054C3" w:rsidP="00234FBE">
      <w:pPr>
        <w:pStyle w:val="ListBullet"/>
      </w:pPr>
      <w:r>
        <w:t xml:space="preserve">assuring </w:t>
      </w:r>
      <w:r w:rsidRPr="001463FA">
        <w:t>transparency in decision making</w:t>
      </w:r>
    </w:p>
    <w:p w14:paraId="3A41279F" w14:textId="77777777" w:rsidR="001054C3" w:rsidRPr="001463FA" w:rsidRDefault="001054C3" w:rsidP="00234FBE">
      <w:pPr>
        <w:pStyle w:val="ListBullet"/>
      </w:pPr>
      <w:r w:rsidRPr="001463FA">
        <w:t>ensuring sound information is available to all sectors at key decision points.</w:t>
      </w:r>
    </w:p>
    <w:p w14:paraId="7099CAF6" w14:textId="77777777" w:rsidR="001054C3" w:rsidRPr="001463FA" w:rsidRDefault="001054C3" w:rsidP="00234FBE">
      <w:pPr>
        <w:spacing w:before="240" w:line="300" w:lineRule="atLeast"/>
        <w:jc w:val="both"/>
        <w:rPr>
          <w:szCs w:val="20"/>
        </w:rPr>
      </w:pPr>
      <w:r w:rsidRPr="001463FA">
        <w:rPr>
          <w:szCs w:val="20"/>
        </w:rPr>
        <w:t>However, there is little guidance on how governments should go about this task. And</w:t>
      </w:r>
      <w:r>
        <w:rPr>
          <w:szCs w:val="20"/>
        </w:rPr>
        <w:t>,</w:t>
      </w:r>
      <w:r w:rsidRPr="001463FA">
        <w:rPr>
          <w:szCs w:val="20"/>
        </w:rPr>
        <w:t xml:space="preserve"> the associated actions covering consultation and information provision are dated and focus only on specific aspects of water resource management (overallocation, water planning, entitlement security and water use sustainability). These aspects were key reform priorities in 2004. However, the range and nature of water management reform priorities has broadened considerably. Engagement is highly relevant to all aspects of water resource management and </w:t>
      </w:r>
      <w:r>
        <w:rPr>
          <w:szCs w:val="20"/>
        </w:rPr>
        <w:t xml:space="preserve">to </w:t>
      </w:r>
      <w:r w:rsidRPr="001463FA">
        <w:rPr>
          <w:szCs w:val="20"/>
        </w:rPr>
        <w:t>water service provision.</w:t>
      </w:r>
    </w:p>
    <w:p w14:paraId="570C3527" w14:textId="77777777" w:rsidR="001054C3" w:rsidRPr="001463FA" w:rsidRDefault="001054C3" w:rsidP="00234FBE">
      <w:pPr>
        <w:spacing w:before="240" w:line="300" w:lineRule="atLeast"/>
        <w:jc w:val="both"/>
        <w:rPr>
          <w:szCs w:val="20"/>
        </w:rPr>
      </w:pPr>
      <w:r w:rsidRPr="001463FA">
        <w:rPr>
          <w:szCs w:val="20"/>
        </w:rPr>
        <w:t>Discussion of issues with information provision and renewal advice to address them are presented in chapter 10. And engagement with Aboriginal and Torres Strait Islander people is discussed in chapter 9. This chapter focuses on engagement more broadly.</w:t>
      </w:r>
    </w:p>
    <w:p w14:paraId="0A6007B1" w14:textId="77777777" w:rsidR="001054C3" w:rsidRPr="001463FA" w:rsidRDefault="001054C3" w:rsidP="00234FBE">
      <w:pPr>
        <w:keepNext/>
        <w:spacing w:before="480" w:line="320" w:lineRule="exact"/>
        <w:outlineLvl w:val="3"/>
        <w:rPr>
          <w:rFonts w:ascii="Arial" w:hAnsi="Arial"/>
          <w:szCs w:val="20"/>
        </w:rPr>
      </w:pPr>
      <w:r w:rsidRPr="001463FA">
        <w:rPr>
          <w:rFonts w:ascii="Arial" w:hAnsi="Arial"/>
          <w:szCs w:val="20"/>
        </w:rPr>
        <w:t>Evidence on engagement practice is mixed</w:t>
      </w:r>
    </w:p>
    <w:p w14:paraId="2113C1B5" w14:textId="77777777" w:rsidR="001054C3" w:rsidRPr="001463FA" w:rsidRDefault="001054C3" w:rsidP="00234FBE">
      <w:pPr>
        <w:spacing w:before="240" w:line="300" w:lineRule="atLeast"/>
        <w:jc w:val="both"/>
      </w:pPr>
      <w:r w:rsidRPr="001463FA">
        <w:rPr>
          <w:szCs w:val="20"/>
        </w:rPr>
        <w:t>While governments are largely meeting their NWI commitments (</w:t>
      </w:r>
      <w:r w:rsidRPr="001463FA">
        <w:rPr>
          <w:i/>
          <w:iCs/>
          <w:szCs w:val="20"/>
        </w:rPr>
        <w:t>Assessment</w:t>
      </w:r>
      <w:r w:rsidRPr="001463FA">
        <w:rPr>
          <w:szCs w:val="20"/>
        </w:rPr>
        <w:t xml:space="preserve">), inquiry participants and others have </w:t>
      </w:r>
      <w:r w:rsidRPr="001463FA">
        <w:t xml:space="preserve">noted poor practice, </w:t>
      </w:r>
      <w:r>
        <w:rPr>
          <w:spacing w:val="-2"/>
        </w:rPr>
        <w:t>most notably</w:t>
      </w:r>
      <w:r w:rsidRPr="001463FA">
        <w:rPr>
          <w:spacing w:val="-2"/>
        </w:rPr>
        <w:t xml:space="preserve"> within</w:t>
      </w:r>
      <w:r w:rsidRPr="001463FA">
        <w:t xml:space="preserve"> the New South Wales portion of the Murray</w:t>
      </w:r>
      <w:r>
        <w:t>–</w:t>
      </w:r>
      <w:r w:rsidRPr="001463FA">
        <w:t>Darling Basin. Criticisms include inadequate inclusion</w:t>
      </w:r>
      <w:r>
        <w:t>.</w:t>
      </w:r>
    </w:p>
    <w:p w14:paraId="0DFAFD45" w14:textId="492FF2EE" w:rsidR="001054C3" w:rsidRPr="001463FA" w:rsidRDefault="001054C3" w:rsidP="00234FBE">
      <w:pPr>
        <w:spacing w:before="120" w:line="280" w:lineRule="exact"/>
        <w:ind w:left="340"/>
        <w:jc w:val="both"/>
        <w:rPr>
          <w:sz w:val="22"/>
          <w:szCs w:val="20"/>
        </w:rPr>
      </w:pPr>
      <w:r w:rsidRPr="001463FA">
        <w:rPr>
          <w:sz w:val="22"/>
          <w:szCs w:val="20"/>
        </w:rPr>
        <w:t>Across the [Murray–Darling] Basin trust in governments — particularly federal and state — to deliver good long</w:t>
      </w:r>
      <w:r w:rsidRPr="001463FA">
        <w:rPr>
          <w:sz w:val="22"/>
          <w:szCs w:val="20"/>
        </w:rPr>
        <w:noBreakHyphen/>
        <w:t xml:space="preserve">term policy and support rural and regional communities has been severely </w:t>
      </w:r>
      <w:r w:rsidRPr="001463FA">
        <w:rPr>
          <w:sz w:val="22"/>
          <w:szCs w:val="20"/>
        </w:rPr>
        <w:lastRenderedPageBreak/>
        <w:t xml:space="preserve">diminished. This fall in trust has resulted from a failure to adequately include people in conversations about government policy and their future, especially those who have not been on the upside of change. </w:t>
      </w:r>
      <w:r w:rsidR="00C67DB3" w:rsidRPr="00C67DB3">
        <w:t>(Sefton et al. 2020b, p. 1)</w:t>
      </w:r>
    </w:p>
    <w:p w14:paraId="70D3029A" w14:textId="77777777" w:rsidR="001054C3" w:rsidRPr="001463FA" w:rsidRDefault="001054C3" w:rsidP="00234FBE">
      <w:pPr>
        <w:keepNext/>
        <w:spacing w:before="240" w:line="300" w:lineRule="atLeast"/>
        <w:jc w:val="both"/>
        <w:rPr>
          <w:szCs w:val="20"/>
        </w:rPr>
      </w:pPr>
      <w:r w:rsidRPr="001463FA">
        <w:rPr>
          <w:szCs w:val="20"/>
        </w:rPr>
        <w:t>And, a lack of influence among those who are included.</w:t>
      </w:r>
    </w:p>
    <w:p w14:paraId="6A17B32C" w14:textId="77777777" w:rsidR="001054C3" w:rsidRPr="001463FA" w:rsidRDefault="001054C3" w:rsidP="00234FBE">
      <w:pPr>
        <w:spacing w:before="120" w:line="280" w:lineRule="exact"/>
        <w:ind w:left="340"/>
        <w:jc w:val="both"/>
        <w:rPr>
          <w:sz w:val="22"/>
          <w:szCs w:val="20"/>
        </w:rPr>
      </w:pPr>
      <w:r w:rsidRPr="001463FA">
        <w:rPr>
          <w:sz w:val="22"/>
          <w:szCs w:val="20"/>
        </w:rPr>
        <w:t>Many clients tell us that they do not think that they are able to influence outcomes through consultation processes (as they perceive outcomes as being largely pre</w:t>
      </w:r>
      <w:r w:rsidRPr="001463FA">
        <w:rPr>
          <w:sz w:val="22"/>
          <w:szCs w:val="20"/>
        </w:rPr>
        <w:noBreakHyphen/>
        <w:t>determined). Put differently, for many people the process itself lacks legitimacy which in turn means that they are suspicious of, and unwilling to accept, outcomes. (E</w:t>
      </w:r>
      <w:r>
        <w:rPr>
          <w:sz w:val="22"/>
          <w:szCs w:val="20"/>
        </w:rPr>
        <w:t>DO</w:t>
      </w:r>
      <w:r w:rsidRPr="001463FA">
        <w:rPr>
          <w:sz w:val="22"/>
          <w:szCs w:val="20"/>
        </w:rPr>
        <w:t>, sub. 54, p. 20)</w:t>
      </w:r>
    </w:p>
    <w:p w14:paraId="2A41881C" w14:textId="77777777" w:rsidR="001054C3" w:rsidRPr="001463FA" w:rsidRDefault="001054C3" w:rsidP="00234FBE">
      <w:pPr>
        <w:spacing w:before="240" w:line="300" w:lineRule="atLeast"/>
        <w:jc w:val="both"/>
        <w:rPr>
          <w:szCs w:val="20"/>
        </w:rPr>
      </w:pPr>
      <w:r w:rsidRPr="001463FA">
        <w:rPr>
          <w:szCs w:val="20"/>
        </w:rPr>
        <w:t>Practice also tends to involve discrete and issue</w:t>
      </w:r>
      <w:r>
        <w:rPr>
          <w:szCs w:val="20"/>
        </w:rPr>
        <w:noBreakHyphen/>
      </w:r>
      <w:r w:rsidRPr="001463FA">
        <w:rPr>
          <w:szCs w:val="20"/>
        </w:rPr>
        <w:t>based consultation. This is suitable for some water matters, but many of the water management challenges facing communities require ongoing engagement</w:t>
      </w:r>
      <w:r>
        <w:rPr>
          <w:szCs w:val="20"/>
        </w:rPr>
        <w:t xml:space="preserve"> </w:t>
      </w:r>
      <w:r w:rsidRPr="00331964">
        <w:rPr>
          <w:szCs w:val="20"/>
        </w:rPr>
        <w:t xml:space="preserve">(particularly any future rebalancing </w:t>
      </w:r>
      <w:r>
        <w:rPr>
          <w:szCs w:val="20"/>
        </w:rPr>
        <w:t>conversations</w:t>
      </w:r>
      <w:r w:rsidRPr="00331964">
        <w:rPr>
          <w:szCs w:val="20"/>
        </w:rPr>
        <w:t>)</w:t>
      </w:r>
      <w:r w:rsidRPr="001463FA">
        <w:rPr>
          <w:szCs w:val="20"/>
        </w:rPr>
        <w:t xml:space="preserve">. A more effective approach in these instances would be a </w:t>
      </w:r>
      <w:r>
        <w:rPr>
          <w:szCs w:val="20"/>
        </w:rPr>
        <w:t xml:space="preserve">genuine and meaningful </w:t>
      </w:r>
      <w:r w:rsidRPr="001463FA">
        <w:rPr>
          <w:szCs w:val="20"/>
        </w:rPr>
        <w:t>ongoing conversation with communities about the management of these challenges. Reflecting this</w:t>
      </w:r>
      <w:r>
        <w:rPr>
          <w:szCs w:val="20"/>
        </w:rPr>
        <w:t xml:space="preserve"> point</w:t>
      </w:r>
      <w:r w:rsidRPr="001463FA">
        <w:rPr>
          <w:szCs w:val="20"/>
        </w:rPr>
        <w:t>, the National Farmers’ Federation observed that:</w:t>
      </w:r>
    </w:p>
    <w:p w14:paraId="2F0F6DF1" w14:textId="77777777" w:rsidR="001054C3" w:rsidRPr="001463FA" w:rsidRDefault="001054C3" w:rsidP="00234FBE">
      <w:pPr>
        <w:spacing w:before="120" w:line="280" w:lineRule="exact"/>
        <w:ind w:left="340"/>
        <w:jc w:val="both"/>
        <w:rPr>
          <w:sz w:val="22"/>
          <w:szCs w:val="20"/>
        </w:rPr>
      </w:pPr>
      <w:r w:rsidRPr="001463FA">
        <w:rPr>
          <w:sz w:val="22"/>
          <w:szCs w:val="20"/>
        </w:rPr>
        <w:t>While significant progress has been made in jurisdictions to improve consultation processes, many elements of the Basin Plan are complex, interdependent and contentious (particularly the implementation of the supply measures) and require committed and extensive consultation with communities, and other relevant stakeholders, over a reasonable timeframe. (sub. 42, p. 7)</w:t>
      </w:r>
    </w:p>
    <w:p w14:paraId="7DF9933C" w14:textId="77777777" w:rsidR="001054C3" w:rsidRPr="001463FA" w:rsidRDefault="001054C3" w:rsidP="00234FBE">
      <w:pPr>
        <w:spacing w:before="240" w:line="300" w:lineRule="atLeast"/>
        <w:jc w:val="both"/>
        <w:rPr>
          <w:sz w:val="22"/>
          <w:szCs w:val="20"/>
        </w:rPr>
      </w:pPr>
      <w:r w:rsidRPr="00514B83">
        <w:rPr>
          <w:szCs w:val="20"/>
        </w:rPr>
        <w:t xml:space="preserve">Greater frequency in engagement also needs to be supported by better coordination of these efforts between all levels of government </w:t>
      </w:r>
      <w:r>
        <w:rPr>
          <w:szCs w:val="20"/>
        </w:rPr>
        <w:t xml:space="preserve">including local government </w:t>
      </w:r>
      <w:r w:rsidRPr="00514B83">
        <w:rPr>
          <w:szCs w:val="20"/>
        </w:rPr>
        <w:t>(LGNSW, sub.</w:t>
      </w:r>
      <w:r>
        <w:rPr>
          <w:szCs w:val="20"/>
        </w:rPr>
        <w:t> </w:t>
      </w:r>
      <w:r w:rsidRPr="00514B83">
        <w:rPr>
          <w:szCs w:val="20"/>
        </w:rPr>
        <w:t>DR140, p</w:t>
      </w:r>
      <w:r>
        <w:rPr>
          <w:szCs w:val="20"/>
        </w:rPr>
        <w:t>p</w:t>
      </w:r>
      <w:r w:rsidRPr="00514B83">
        <w:rPr>
          <w:szCs w:val="20"/>
        </w:rPr>
        <w:t>.</w:t>
      </w:r>
      <w:r>
        <w:rPr>
          <w:szCs w:val="20"/>
        </w:rPr>
        <w:t> </w:t>
      </w:r>
      <w:r w:rsidRPr="00514B83">
        <w:rPr>
          <w:szCs w:val="20"/>
        </w:rPr>
        <w:t>4,</w:t>
      </w:r>
      <w:r>
        <w:rPr>
          <w:szCs w:val="20"/>
        </w:rPr>
        <w:t> </w:t>
      </w:r>
      <w:r w:rsidRPr="00514B83">
        <w:rPr>
          <w:szCs w:val="20"/>
        </w:rPr>
        <w:t>9)</w:t>
      </w:r>
      <w:r>
        <w:rPr>
          <w:szCs w:val="20"/>
        </w:rPr>
        <w:t>, and particularly in multi</w:t>
      </w:r>
      <w:r>
        <w:rPr>
          <w:szCs w:val="20"/>
        </w:rPr>
        <w:noBreakHyphen/>
        <w:t>jurisdictional activities</w:t>
      </w:r>
      <w:r w:rsidRPr="00514B83">
        <w:rPr>
          <w:szCs w:val="20"/>
        </w:rPr>
        <w:t>.</w:t>
      </w:r>
    </w:p>
    <w:p w14:paraId="6A925915" w14:textId="77777777" w:rsidR="001054C3" w:rsidRPr="001463FA" w:rsidRDefault="001054C3" w:rsidP="00234FBE">
      <w:pPr>
        <w:pStyle w:val="Heading2"/>
      </w:pPr>
      <w:bookmarkStart w:id="204" w:name="_Toc63112509"/>
      <w:bookmarkStart w:id="205" w:name="_Toc72939551"/>
      <w:r w:rsidRPr="00F572C8">
        <w:rPr>
          <w:szCs w:val="26"/>
        </w:rPr>
        <w:t>1</w:t>
      </w:r>
      <w:r>
        <w:rPr>
          <w:szCs w:val="26"/>
        </w:rPr>
        <w:t>5</w:t>
      </w:r>
      <w:r w:rsidRPr="00F572C8">
        <w:rPr>
          <w:szCs w:val="26"/>
        </w:rPr>
        <w:t>.2</w:t>
      </w:r>
      <w:r w:rsidRPr="00F572C8">
        <w:rPr>
          <w:szCs w:val="26"/>
        </w:rPr>
        <w:tab/>
      </w:r>
      <w:r w:rsidRPr="001463FA">
        <w:t>Embedding effective practice through a renewed NWI</w:t>
      </w:r>
      <w:bookmarkEnd w:id="204"/>
      <w:bookmarkEnd w:id="205"/>
    </w:p>
    <w:p w14:paraId="0B70773D" w14:textId="77777777" w:rsidR="001054C3" w:rsidRPr="001463FA" w:rsidRDefault="001054C3" w:rsidP="00234FBE">
      <w:pPr>
        <w:spacing w:before="240" w:line="300" w:lineRule="atLeast"/>
        <w:jc w:val="both"/>
        <w:rPr>
          <w:szCs w:val="20"/>
        </w:rPr>
      </w:pPr>
      <w:r w:rsidRPr="0059770E">
        <w:rPr>
          <w:szCs w:val="20"/>
        </w:rPr>
        <w:t>Recent MDB experience offers lessons for renewal of this element, as i</w:t>
      </w:r>
      <w:r>
        <w:rPr>
          <w:szCs w:val="20"/>
        </w:rPr>
        <w:t>t</w:t>
      </w:r>
      <w:r w:rsidRPr="0059770E">
        <w:rPr>
          <w:szCs w:val="20"/>
        </w:rPr>
        <w:t xml:space="preserve"> does for other elements</w:t>
      </w:r>
      <w:r w:rsidRPr="001463FA">
        <w:rPr>
          <w:szCs w:val="20"/>
        </w:rPr>
        <w:t>. In the case of engagement, inclusion of a principles</w:t>
      </w:r>
      <w:r w:rsidRPr="001463FA">
        <w:rPr>
          <w:szCs w:val="20"/>
        </w:rPr>
        <w:noBreakHyphen/>
        <w:t xml:space="preserve">based framework </w:t>
      </w:r>
      <w:r>
        <w:rPr>
          <w:szCs w:val="20"/>
        </w:rPr>
        <w:t xml:space="preserve">in a renewed NWI </w:t>
      </w:r>
      <w:r w:rsidRPr="001463FA">
        <w:rPr>
          <w:szCs w:val="20"/>
        </w:rPr>
        <w:t>to provide guidance on how to conduct effective engagement practice on water matters would be of value.</w:t>
      </w:r>
    </w:p>
    <w:p w14:paraId="749B1541" w14:textId="566D3998" w:rsidR="001054C3" w:rsidRPr="001463FA" w:rsidRDefault="001054C3" w:rsidP="00234FBE">
      <w:pPr>
        <w:spacing w:before="240" w:line="300" w:lineRule="atLeast"/>
        <w:jc w:val="both"/>
        <w:rPr>
          <w:szCs w:val="20"/>
        </w:rPr>
      </w:pPr>
      <w:r w:rsidRPr="001463FA">
        <w:rPr>
          <w:szCs w:val="20"/>
        </w:rPr>
        <w:t>There are many guidelines for best</w:t>
      </w:r>
      <w:r>
        <w:rPr>
          <w:szCs w:val="20"/>
        </w:rPr>
        <w:noBreakHyphen/>
      </w:r>
      <w:r w:rsidRPr="001463FA">
        <w:rPr>
          <w:szCs w:val="20"/>
        </w:rPr>
        <w:t>practice community engagement, for example, from the Office of Best Practice Regulation (2016) and the O</w:t>
      </w:r>
      <w:r>
        <w:rPr>
          <w:szCs w:val="20"/>
        </w:rPr>
        <w:t>E</w:t>
      </w:r>
      <w:r w:rsidRPr="001463FA">
        <w:rPr>
          <w:szCs w:val="20"/>
        </w:rPr>
        <w:t>CD (2017)</w:t>
      </w:r>
      <w:r>
        <w:rPr>
          <w:szCs w:val="20"/>
        </w:rPr>
        <w:t>.</w:t>
      </w:r>
      <w:r w:rsidRPr="001463FA">
        <w:rPr>
          <w:szCs w:val="20"/>
        </w:rPr>
        <w:t xml:space="preserve"> Synthesising the available advice, characteristics of </w:t>
      </w:r>
      <w:r w:rsidRPr="001463FA">
        <w:rPr>
          <w:spacing w:val="-2"/>
          <w:szCs w:val="20"/>
        </w:rPr>
        <w:t>effective practice include inclusiveness, timeliness</w:t>
      </w:r>
      <w:r w:rsidRPr="001463FA">
        <w:rPr>
          <w:szCs w:val="20"/>
        </w:rPr>
        <w:t>, partnership, respect, access to information, transparency, responsiveness and continuous improvement.</w:t>
      </w:r>
    </w:p>
    <w:p w14:paraId="7C8B645B" w14:textId="77777777" w:rsidR="001054C3" w:rsidRPr="001463FA" w:rsidRDefault="001054C3" w:rsidP="00234FBE">
      <w:pPr>
        <w:spacing w:before="240" w:line="300" w:lineRule="atLeast"/>
        <w:jc w:val="both"/>
        <w:rPr>
          <w:szCs w:val="20"/>
        </w:rPr>
      </w:pPr>
      <w:r w:rsidRPr="001463FA">
        <w:rPr>
          <w:szCs w:val="20"/>
        </w:rPr>
        <w:t>And the approach adopted needs to be fit</w:t>
      </w:r>
      <w:r>
        <w:rPr>
          <w:szCs w:val="20"/>
        </w:rPr>
        <w:noBreakHyphen/>
      </w:r>
      <w:r w:rsidRPr="001463FA">
        <w:rPr>
          <w:szCs w:val="20"/>
        </w:rPr>
        <w:t>for</w:t>
      </w:r>
      <w:r>
        <w:rPr>
          <w:szCs w:val="20"/>
        </w:rPr>
        <w:noBreakHyphen/>
      </w:r>
      <w:r w:rsidRPr="001463FA">
        <w:rPr>
          <w:szCs w:val="20"/>
        </w:rPr>
        <w:t>purpose. A commonly cited spectrum for community engagement ranges from information provision to empowerment (figure 1</w:t>
      </w:r>
      <w:r>
        <w:rPr>
          <w:szCs w:val="20"/>
        </w:rPr>
        <w:t>5</w:t>
      </w:r>
      <w:r w:rsidRPr="001463FA">
        <w:rPr>
          <w:szCs w:val="20"/>
        </w:rPr>
        <w:t xml:space="preserve">.1), with increasing community influence on outcomes across the spectrum. The most appropriate approach will be context specific. For example, involvement might be sufficient for determining community objectives for water service provision. In contrast, collaboration and empowerment are more consistent with contemporary approaches to policy design with </w:t>
      </w:r>
      <w:r w:rsidRPr="001463FA">
        <w:rPr>
          <w:szCs w:val="20"/>
        </w:rPr>
        <w:lastRenderedPageBreak/>
        <w:t xml:space="preserve">Aboriginal and Torres Strait Islander people (chapter 9). </w:t>
      </w:r>
      <w:r>
        <w:rPr>
          <w:szCs w:val="20"/>
        </w:rPr>
        <w:t>K</w:t>
      </w:r>
      <w:r w:rsidRPr="001463FA">
        <w:rPr>
          <w:szCs w:val="20"/>
        </w:rPr>
        <w:t xml:space="preserve">ey </w:t>
      </w:r>
      <w:r>
        <w:rPr>
          <w:szCs w:val="20"/>
        </w:rPr>
        <w:t>requirements are</w:t>
      </w:r>
      <w:r w:rsidRPr="001463FA">
        <w:rPr>
          <w:szCs w:val="20"/>
        </w:rPr>
        <w:t xml:space="preserve"> that governments must be honest and transparent with communities about the purpose of their consultation and their role in decision making</w:t>
      </w:r>
      <w:r>
        <w:rPr>
          <w:szCs w:val="20"/>
        </w:rPr>
        <w:t xml:space="preserve">, </w:t>
      </w:r>
      <w:r w:rsidRPr="005C7DF6">
        <w:rPr>
          <w:szCs w:val="20"/>
        </w:rPr>
        <w:t xml:space="preserve">and ensure that all stakeholders are provided with a </w:t>
      </w:r>
      <w:r w:rsidRPr="00B865A0">
        <w:rPr>
          <w:szCs w:val="20"/>
        </w:rPr>
        <w:t xml:space="preserve">meaningful </w:t>
      </w:r>
      <w:r w:rsidRPr="005C7DF6">
        <w:rPr>
          <w:szCs w:val="20"/>
        </w:rPr>
        <w:t>opportunity to participate in the engagement process, and are proactively encouraged to do so</w:t>
      </w:r>
      <w:r>
        <w:t>.</w:t>
      </w:r>
    </w:p>
    <w:p w14:paraId="0A96001B" w14:textId="77777777" w:rsidR="001054C3" w:rsidRPr="001463FA" w:rsidRDefault="001054C3" w:rsidP="00234FBE">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054C3" w:rsidRPr="001463FA" w14:paraId="7B94D672" w14:textId="77777777" w:rsidTr="00234FBE">
        <w:trPr>
          <w:tblHeader/>
        </w:trPr>
        <w:tc>
          <w:tcPr>
            <w:tcW w:w="5000" w:type="pct"/>
            <w:tcBorders>
              <w:top w:val="single" w:sz="6" w:space="0" w:color="78A22F" w:themeColor="accent1"/>
              <w:left w:val="nil"/>
              <w:bottom w:val="nil"/>
              <w:right w:val="nil"/>
            </w:tcBorders>
            <w:shd w:val="clear" w:color="auto" w:fill="auto"/>
          </w:tcPr>
          <w:p w14:paraId="378EC7D4" w14:textId="77777777" w:rsidR="001054C3" w:rsidRPr="001463FA" w:rsidRDefault="001054C3" w:rsidP="00234FBE">
            <w:pPr>
              <w:keepNext/>
              <w:keepLines/>
              <w:spacing w:before="120" w:after="80" w:line="280" w:lineRule="exact"/>
              <w:ind w:left="1474" w:hanging="1474"/>
              <w:rPr>
                <w:rFonts w:ascii="Arial" w:hAnsi="Arial"/>
                <w:b/>
              </w:rPr>
            </w:pPr>
            <w:r w:rsidRPr="001463FA">
              <w:rPr>
                <w:rFonts w:ascii="Arial" w:hAnsi="Arial"/>
              </w:rPr>
              <w:t>Figure</w:t>
            </w:r>
            <w:r>
              <w:rPr>
                <w:rFonts w:ascii="Arial" w:hAnsi="Arial"/>
              </w:rPr>
              <w:t> </w:t>
            </w:r>
            <w:r w:rsidRPr="001463FA">
              <w:rPr>
                <w:rFonts w:ascii="Arial" w:hAnsi="Arial"/>
              </w:rPr>
              <w:t>1</w:t>
            </w:r>
            <w:r>
              <w:rPr>
                <w:rFonts w:ascii="Arial" w:hAnsi="Arial"/>
              </w:rPr>
              <w:t>5</w:t>
            </w:r>
            <w:r w:rsidRPr="001463FA">
              <w:rPr>
                <w:rFonts w:ascii="Arial" w:hAnsi="Arial"/>
              </w:rPr>
              <w:t>.1</w:t>
            </w:r>
            <w:r w:rsidRPr="001463FA">
              <w:rPr>
                <w:rFonts w:ascii="Arial" w:hAnsi="Arial"/>
                <w:b/>
              </w:rPr>
              <w:tab/>
              <w:t>IAP2 Community engagement spectrum</w:t>
            </w:r>
            <w:r w:rsidRPr="001463FA">
              <w:rPr>
                <w:rFonts w:ascii="Arial" w:hAnsi="Arial"/>
                <w:b/>
                <w:bCs/>
                <w:position w:val="6"/>
                <w:sz w:val="18"/>
              </w:rPr>
              <w:t>a</w:t>
            </w:r>
          </w:p>
        </w:tc>
      </w:tr>
      <w:tr w:rsidR="001054C3" w:rsidRPr="001463FA" w14:paraId="7E8EB736" w14:textId="77777777" w:rsidTr="00234FBE">
        <w:tc>
          <w:tcPr>
            <w:tcW w:w="5000" w:type="pct"/>
            <w:tcBorders>
              <w:top w:val="nil"/>
              <w:left w:val="nil"/>
              <w:bottom w:val="nil"/>
              <w:right w:val="nil"/>
            </w:tcBorders>
            <w:shd w:val="clear" w:color="auto" w:fill="auto"/>
            <w:tcMar>
              <w:top w:w="28" w:type="dxa"/>
              <w:bottom w:w="28" w:type="dxa"/>
            </w:tcMar>
          </w:tcPr>
          <w:p w14:paraId="17F3C9BB" w14:textId="77777777" w:rsidR="001054C3" w:rsidRPr="001463FA" w:rsidRDefault="001054C3" w:rsidP="00234FBE">
            <w:pPr>
              <w:keepNext/>
              <w:spacing w:before="120" w:after="120" w:line="240" w:lineRule="atLeast"/>
              <w:jc w:val="center"/>
              <w:rPr>
                <w:szCs w:val="20"/>
              </w:rPr>
            </w:pPr>
            <w:r w:rsidRPr="001463FA">
              <w:rPr>
                <w:noProof/>
                <w:szCs w:val="20"/>
              </w:rPr>
              <w:drawing>
                <wp:inline distT="0" distB="0" distL="0" distR="0" wp14:anchorId="6208B0C4" wp14:editId="02723E67">
                  <wp:extent cx="5379720" cy="3528060"/>
                  <wp:effectExtent l="0" t="0" r="0" b="0"/>
                  <wp:docPr id="30" name="Picture 30" descr="Figure 1. This figure illustrates an approach for ensuring that the extent of community influence on decision making matches the potential scale and sensitivity that the decision could have on the affected commun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79720" cy="3528060"/>
                          </a:xfrm>
                          <a:prstGeom prst="rect">
                            <a:avLst/>
                          </a:prstGeom>
                          <a:noFill/>
                          <a:ln>
                            <a:noFill/>
                          </a:ln>
                        </pic:spPr>
                      </pic:pic>
                    </a:graphicData>
                  </a:graphic>
                </wp:inline>
              </w:drawing>
            </w:r>
          </w:p>
        </w:tc>
      </w:tr>
      <w:tr w:rsidR="001054C3" w:rsidRPr="001463FA" w14:paraId="596ADCF6" w14:textId="77777777" w:rsidTr="00234FBE">
        <w:tc>
          <w:tcPr>
            <w:tcW w:w="5000" w:type="pct"/>
            <w:tcBorders>
              <w:top w:val="nil"/>
              <w:left w:val="nil"/>
              <w:bottom w:val="nil"/>
              <w:right w:val="nil"/>
            </w:tcBorders>
            <w:shd w:val="clear" w:color="auto" w:fill="auto"/>
          </w:tcPr>
          <w:p w14:paraId="4417A03B" w14:textId="77777777" w:rsidR="001054C3" w:rsidRPr="001463FA" w:rsidRDefault="001054C3" w:rsidP="00234FBE">
            <w:pPr>
              <w:keepLines/>
              <w:spacing w:before="80" w:line="220" w:lineRule="exact"/>
              <w:jc w:val="both"/>
              <w:rPr>
                <w:rFonts w:ascii="Arial" w:hAnsi="Arial"/>
                <w:b/>
                <w:position w:val="6"/>
                <w:sz w:val="18"/>
                <w:szCs w:val="20"/>
              </w:rPr>
            </w:pPr>
            <w:r w:rsidRPr="001463FA">
              <w:rPr>
                <w:rFonts w:ascii="Arial" w:hAnsi="Arial"/>
                <w:b/>
                <w:position w:val="6"/>
                <w:sz w:val="18"/>
                <w:szCs w:val="20"/>
              </w:rPr>
              <w:t>a</w:t>
            </w:r>
            <w:r w:rsidRPr="001463FA">
              <w:rPr>
                <w:rFonts w:ascii="Arial" w:hAnsi="Arial"/>
                <w:sz w:val="18"/>
                <w:szCs w:val="20"/>
              </w:rPr>
              <w:t xml:space="preserve"> IAP2 is the International Association for Public Participation’s framework for community engagement.</w:t>
            </w:r>
          </w:p>
        </w:tc>
      </w:tr>
      <w:tr w:rsidR="001054C3" w:rsidRPr="001463FA" w14:paraId="1B5611C8" w14:textId="77777777" w:rsidTr="00234FBE">
        <w:tc>
          <w:tcPr>
            <w:tcW w:w="5000" w:type="pct"/>
            <w:tcBorders>
              <w:top w:val="nil"/>
              <w:left w:val="nil"/>
              <w:bottom w:val="nil"/>
              <w:right w:val="nil"/>
            </w:tcBorders>
            <w:shd w:val="clear" w:color="auto" w:fill="auto"/>
          </w:tcPr>
          <w:p w14:paraId="73ABA7ED" w14:textId="527C381C" w:rsidR="001054C3" w:rsidRPr="001463FA" w:rsidRDefault="001054C3" w:rsidP="00234FBE">
            <w:pPr>
              <w:keepLines/>
              <w:spacing w:before="80" w:line="220" w:lineRule="exact"/>
              <w:jc w:val="both"/>
              <w:rPr>
                <w:rFonts w:ascii="Arial" w:hAnsi="Arial"/>
                <w:sz w:val="18"/>
                <w:szCs w:val="20"/>
              </w:rPr>
            </w:pPr>
            <w:r w:rsidRPr="001463FA">
              <w:rPr>
                <w:rFonts w:ascii="Arial" w:hAnsi="Arial"/>
                <w:i/>
                <w:sz w:val="18"/>
                <w:szCs w:val="20"/>
              </w:rPr>
              <w:t>Source</w:t>
            </w:r>
            <w:r w:rsidRPr="001463FA">
              <w:rPr>
                <w:rFonts w:ascii="Arial" w:hAnsi="Arial"/>
                <w:sz w:val="18"/>
                <w:szCs w:val="20"/>
              </w:rPr>
              <w:t xml:space="preserve">: IAP2 </w:t>
            </w:r>
            <w:r w:rsidRPr="001463FA">
              <w:rPr>
                <w:rFonts w:ascii="Arial" w:hAnsi="Arial" w:cs="Arial"/>
                <w:sz w:val="18"/>
                <w:szCs w:val="20"/>
              </w:rPr>
              <w:t>(2019)</w:t>
            </w:r>
            <w:r w:rsidR="00953CF5">
              <w:rPr>
                <w:rFonts w:ascii="Arial" w:hAnsi="Arial" w:cs="Arial"/>
                <w:sz w:val="18"/>
                <w:szCs w:val="20"/>
              </w:rPr>
              <w:t>.</w:t>
            </w:r>
          </w:p>
        </w:tc>
      </w:tr>
      <w:tr w:rsidR="001054C3" w:rsidRPr="001463FA" w14:paraId="00827049" w14:textId="77777777" w:rsidTr="00234FBE">
        <w:tc>
          <w:tcPr>
            <w:tcW w:w="5000" w:type="pct"/>
            <w:tcBorders>
              <w:top w:val="nil"/>
              <w:left w:val="nil"/>
              <w:bottom w:val="single" w:sz="6" w:space="0" w:color="78A22F" w:themeColor="accent1"/>
              <w:right w:val="nil"/>
            </w:tcBorders>
            <w:shd w:val="clear" w:color="auto" w:fill="auto"/>
          </w:tcPr>
          <w:p w14:paraId="4FF4E1AC" w14:textId="77777777" w:rsidR="001054C3" w:rsidRPr="001463FA" w:rsidRDefault="001054C3" w:rsidP="00234FBE">
            <w:pPr>
              <w:keepNext/>
              <w:spacing w:line="120" w:lineRule="exact"/>
              <w:jc w:val="both"/>
              <w:rPr>
                <w:rFonts w:ascii="Arial" w:hAnsi="Arial"/>
                <w:sz w:val="20"/>
                <w:szCs w:val="20"/>
              </w:rPr>
            </w:pPr>
          </w:p>
        </w:tc>
      </w:tr>
      <w:tr w:rsidR="001054C3" w:rsidRPr="001463FA" w14:paraId="3699C062" w14:textId="77777777" w:rsidTr="00234FBE">
        <w:tc>
          <w:tcPr>
            <w:tcW w:w="5000" w:type="pct"/>
            <w:tcBorders>
              <w:top w:val="single" w:sz="6" w:space="0" w:color="78A22F" w:themeColor="accent1"/>
              <w:left w:val="nil"/>
              <w:bottom w:val="nil"/>
              <w:right w:val="nil"/>
            </w:tcBorders>
          </w:tcPr>
          <w:p w14:paraId="271A4A1B" w14:textId="77777777" w:rsidR="001054C3" w:rsidRPr="001463FA" w:rsidRDefault="001054C3" w:rsidP="00234FBE">
            <w:pPr>
              <w:spacing w:before="60" w:after="60" w:line="80" w:lineRule="exact"/>
              <w:jc w:val="both"/>
              <w:rPr>
                <w:rFonts w:ascii="Arial" w:hAnsi="Arial"/>
                <w:sz w:val="14"/>
                <w:szCs w:val="20"/>
              </w:rPr>
            </w:pPr>
          </w:p>
        </w:tc>
      </w:tr>
    </w:tbl>
    <w:p w14:paraId="43763506" w14:textId="77777777" w:rsidR="001054C3" w:rsidRPr="001463FA" w:rsidRDefault="001054C3" w:rsidP="00234FBE">
      <w:pPr>
        <w:spacing w:before="240" w:line="300" w:lineRule="atLeast"/>
        <w:jc w:val="both"/>
        <w:rPr>
          <w:szCs w:val="20"/>
        </w:rPr>
      </w:pPr>
      <w:r w:rsidRPr="001463FA">
        <w:rPr>
          <w:szCs w:val="20"/>
        </w:rPr>
        <w:t>A useful starting point for Australian governments in redesigning the community partnership element of the NWI would be to develop an organising framework focused on:</w:t>
      </w:r>
    </w:p>
    <w:p w14:paraId="28DCF901" w14:textId="77777777" w:rsidR="001054C3" w:rsidRDefault="001054C3" w:rsidP="00234FBE">
      <w:pPr>
        <w:numPr>
          <w:ilvl w:val="0"/>
          <w:numId w:val="3"/>
        </w:numPr>
        <w:spacing w:before="120" w:line="300" w:lineRule="atLeast"/>
        <w:jc w:val="both"/>
        <w:rPr>
          <w:szCs w:val="20"/>
        </w:rPr>
      </w:pPr>
      <w:r w:rsidRPr="001463FA">
        <w:rPr>
          <w:szCs w:val="20"/>
        </w:rPr>
        <w:t>continuously improving and sustaining government engagement effort across all aspects of water resource management and water service provision</w:t>
      </w:r>
    </w:p>
    <w:p w14:paraId="40495C54" w14:textId="77777777" w:rsidR="001054C3" w:rsidRPr="001463FA" w:rsidRDefault="001054C3" w:rsidP="00234FBE">
      <w:pPr>
        <w:numPr>
          <w:ilvl w:val="0"/>
          <w:numId w:val="3"/>
        </w:numPr>
        <w:spacing w:before="120" w:line="300" w:lineRule="atLeast"/>
        <w:jc w:val="both"/>
        <w:rPr>
          <w:szCs w:val="20"/>
        </w:rPr>
      </w:pPr>
      <w:r w:rsidRPr="00D9464B">
        <w:rPr>
          <w:szCs w:val="20"/>
        </w:rPr>
        <w:t>coordinating engagement actions between all levels of government, particularly in multi</w:t>
      </w:r>
      <w:r>
        <w:rPr>
          <w:szCs w:val="20"/>
        </w:rPr>
        <w:noBreakHyphen/>
      </w:r>
      <w:r w:rsidRPr="00D9464B">
        <w:rPr>
          <w:szCs w:val="20"/>
        </w:rPr>
        <w:t>jurisdictional activities</w:t>
      </w:r>
    </w:p>
    <w:p w14:paraId="5967C87F" w14:textId="77777777" w:rsidR="001054C3" w:rsidRDefault="001054C3" w:rsidP="00234FBE">
      <w:pPr>
        <w:numPr>
          <w:ilvl w:val="0"/>
          <w:numId w:val="3"/>
        </w:numPr>
        <w:spacing w:before="120" w:line="300" w:lineRule="atLeast"/>
        <w:jc w:val="both"/>
        <w:rPr>
          <w:szCs w:val="20"/>
        </w:rPr>
      </w:pPr>
      <w:r w:rsidRPr="001463FA">
        <w:rPr>
          <w:szCs w:val="20"/>
        </w:rPr>
        <w:t>ensuring that engagement effort and its resourcing are fit</w:t>
      </w:r>
      <w:r>
        <w:rPr>
          <w:szCs w:val="20"/>
        </w:rPr>
        <w:noBreakHyphen/>
      </w:r>
      <w:r w:rsidRPr="001463FA">
        <w:rPr>
          <w:szCs w:val="20"/>
        </w:rPr>
        <w:t>for</w:t>
      </w:r>
      <w:r>
        <w:rPr>
          <w:szCs w:val="20"/>
        </w:rPr>
        <w:noBreakHyphen/>
      </w:r>
      <w:r w:rsidRPr="001463FA">
        <w:rPr>
          <w:szCs w:val="20"/>
        </w:rPr>
        <w:t>purpose taking into account the scale of proposed change or reform, its sensitivities and its impacts</w:t>
      </w:r>
    </w:p>
    <w:p w14:paraId="7D83A300" w14:textId="77777777" w:rsidR="001054C3" w:rsidRDefault="001054C3" w:rsidP="00234FBE">
      <w:pPr>
        <w:numPr>
          <w:ilvl w:val="0"/>
          <w:numId w:val="3"/>
        </w:numPr>
        <w:spacing w:before="120" w:line="300" w:lineRule="atLeast"/>
        <w:jc w:val="both"/>
        <w:rPr>
          <w:szCs w:val="20"/>
        </w:rPr>
      </w:pPr>
      <w:r>
        <w:rPr>
          <w:szCs w:val="20"/>
        </w:rPr>
        <w:t xml:space="preserve">ensuring </w:t>
      </w:r>
      <w:r w:rsidRPr="001463FA">
        <w:rPr>
          <w:szCs w:val="20"/>
        </w:rPr>
        <w:t>that governments are clear about the purpose of their engagement and the role of communities in decision making</w:t>
      </w:r>
    </w:p>
    <w:p w14:paraId="3E11224C" w14:textId="77777777" w:rsidR="001054C3" w:rsidRPr="001463FA" w:rsidRDefault="001054C3" w:rsidP="00234FBE">
      <w:pPr>
        <w:numPr>
          <w:ilvl w:val="0"/>
          <w:numId w:val="3"/>
        </w:numPr>
        <w:spacing w:before="120" w:line="300" w:lineRule="atLeast"/>
        <w:jc w:val="both"/>
        <w:rPr>
          <w:szCs w:val="20"/>
        </w:rPr>
      </w:pPr>
      <w:r>
        <w:lastRenderedPageBreak/>
        <w:t xml:space="preserve">ensuring that </w:t>
      </w:r>
      <w:r w:rsidRPr="002105DE">
        <w:t xml:space="preserve">all stakeholders have </w:t>
      </w:r>
      <w:r w:rsidRPr="007546A6">
        <w:t xml:space="preserve">the opportunity to </w:t>
      </w:r>
      <w:r w:rsidRPr="001624EB">
        <w:t xml:space="preserve">meaningfully </w:t>
      </w:r>
      <w:r w:rsidRPr="007546A6">
        <w:t>input to the engagement process, and are proactively encouraged to do so</w:t>
      </w:r>
    </w:p>
    <w:p w14:paraId="325D9BA5" w14:textId="77777777" w:rsidR="001054C3" w:rsidRPr="001463FA" w:rsidRDefault="001054C3" w:rsidP="00234FBE">
      <w:pPr>
        <w:numPr>
          <w:ilvl w:val="0"/>
          <w:numId w:val="3"/>
        </w:numPr>
        <w:spacing w:before="120" w:line="300" w:lineRule="atLeast"/>
        <w:jc w:val="both"/>
        <w:rPr>
          <w:szCs w:val="20"/>
        </w:rPr>
      </w:pPr>
      <w:r w:rsidRPr="001463FA">
        <w:rPr>
          <w:szCs w:val="20"/>
        </w:rPr>
        <w:t>improving the effectiveness of community engagement through enhancing:</w:t>
      </w:r>
    </w:p>
    <w:p w14:paraId="4C28E135" w14:textId="77777777" w:rsidR="001054C3" w:rsidRPr="001463FA" w:rsidRDefault="001054C3" w:rsidP="00234FBE">
      <w:pPr>
        <w:numPr>
          <w:ilvl w:val="0"/>
          <w:numId w:val="4"/>
        </w:numPr>
        <w:spacing w:before="120" w:line="300" w:lineRule="atLeast"/>
        <w:jc w:val="both"/>
        <w:rPr>
          <w:szCs w:val="20"/>
        </w:rPr>
      </w:pPr>
      <w:r w:rsidRPr="001463FA">
        <w:rPr>
          <w:szCs w:val="20"/>
        </w:rPr>
        <w:t>water information accessibility and comprehensibility (</w:t>
      </w:r>
      <w:r w:rsidRPr="001463FA">
        <w:t>chapter 10</w:t>
      </w:r>
      <w:r w:rsidRPr="001463FA">
        <w:rPr>
          <w:szCs w:val="20"/>
        </w:rPr>
        <w:t>)</w:t>
      </w:r>
    </w:p>
    <w:p w14:paraId="5754870B" w14:textId="200100B7" w:rsidR="001054C3" w:rsidRPr="001463FA" w:rsidRDefault="001054C3" w:rsidP="00234FBE">
      <w:pPr>
        <w:numPr>
          <w:ilvl w:val="0"/>
          <w:numId w:val="4"/>
        </w:numPr>
        <w:spacing w:before="120" w:line="300" w:lineRule="atLeast"/>
        <w:jc w:val="both"/>
        <w:rPr>
          <w:szCs w:val="20"/>
        </w:rPr>
      </w:pPr>
      <w:r w:rsidRPr="001463FA">
        <w:rPr>
          <w:szCs w:val="20"/>
        </w:rPr>
        <w:t>community water literacy (</w:t>
      </w:r>
      <w:r w:rsidRPr="001463FA">
        <w:t>chapter 10</w:t>
      </w:r>
      <w:r w:rsidRPr="001463FA">
        <w:rPr>
          <w:szCs w:val="20"/>
        </w:rPr>
        <w:t>)</w:t>
      </w:r>
      <w:r w:rsidR="008630CF">
        <w:rPr>
          <w:szCs w:val="20"/>
        </w:rPr>
        <w:t>.</w:t>
      </w:r>
    </w:p>
    <w:p w14:paraId="60CD9433" w14:textId="77777777" w:rsidR="001054C3" w:rsidRPr="001463FA" w:rsidRDefault="001054C3" w:rsidP="00234FBE">
      <w:pPr>
        <w:spacing w:before="240" w:line="300" w:lineRule="atLeast"/>
        <w:jc w:val="both"/>
        <w:rPr>
          <w:szCs w:val="20"/>
        </w:rPr>
      </w:pPr>
      <w:r w:rsidRPr="001463FA">
        <w:rPr>
          <w:szCs w:val="20"/>
        </w:rPr>
        <w:t>Development of best</w:t>
      </w:r>
      <w:r w:rsidRPr="001463FA">
        <w:rPr>
          <w:szCs w:val="20"/>
        </w:rPr>
        <w:noBreakHyphen/>
        <w:t>practice principles to support achievement of each of these objectives should aim to enabl</w:t>
      </w:r>
      <w:r>
        <w:rPr>
          <w:szCs w:val="20"/>
        </w:rPr>
        <w:t>e</w:t>
      </w:r>
      <w:r w:rsidRPr="001463FA">
        <w:rPr>
          <w:szCs w:val="20"/>
        </w:rPr>
        <w:t>:</w:t>
      </w:r>
    </w:p>
    <w:p w14:paraId="49BB553F" w14:textId="77777777" w:rsidR="001054C3" w:rsidRPr="001463FA" w:rsidRDefault="001054C3" w:rsidP="00234FBE">
      <w:pPr>
        <w:numPr>
          <w:ilvl w:val="0"/>
          <w:numId w:val="3"/>
        </w:numPr>
        <w:spacing w:before="120" w:line="300" w:lineRule="atLeast"/>
        <w:jc w:val="both"/>
        <w:rPr>
          <w:szCs w:val="20"/>
        </w:rPr>
      </w:pPr>
      <w:r w:rsidRPr="001463FA">
        <w:rPr>
          <w:szCs w:val="20"/>
        </w:rPr>
        <w:t>effective consideration of diverse interests and expectations</w:t>
      </w:r>
      <w:r>
        <w:rPr>
          <w:szCs w:val="20"/>
        </w:rPr>
        <w:t xml:space="preserve"> through processes that</w:t>
      </w:r>
      <w:r w:rsidRPr="001463FA">
        <w:rPr>
          <w:szCs w:val="20"/>
        </w:rPr>
        <w:t xml:space="preserve"> offer </w:t>
      </w:r>
      <w:r>
        <w:rPr>
          <w:szCs w:val="20"/>
        </w:rPr>
        <w:t xml:space="preserve">all </w:t>
      </w:r>
      <w:r w:rsidRPr="001463FA">
        <w:rPr>
          <w:szCs w:val="20"/>
        </w:rPr>
        <w:t>participants genuine opportunities to influence decisions</w:t>
      </w:r>
    </w:p>
    <w:p w14:paraId="32C2413B" w14:textId="77777777" w:rsidR="001054C3" w:rsidRPr="001463FA" w:rsidRDefault="001054C3" w:rsidP="00234FBE">
      <w:pPr>
        <w:numPr>
          <w:ilvl w:val="0"/>
          <w:numId w:val="3"/>
        </w:numPr>
        <w:spacing w:before="120" w:line="300" w:lineRule="atLeast"/>
        <w:jc w:val="both"/>
        <w:rPr>
          <w:szCs w:val="20"/>
        </w:rPr>
      </w:pPr>
      <w:r w:rsidRPr="001463FA">
        <w:rPr>
          <w:szCs w:val="20"/>
        </w:rPr>
        <w:t>design of engagement processes that are fit</w:t>
      </w:r>
      <w:r>
        <w:rPr>
          <w:szCs w:val="20"/>
        </w:rPr>
        <w:noBreakHyphen/>
      </w:r>
      <w:r w:rsidRPr="001463FA">
        <w:rPr>
          <w:szCs w:val="20"/>
        </w:rPr>
        <w:t>for</w:t>
      </w:r>
      <w:r>
        <w:rPr>
          <w:szCs w:val="20"/>
        </w:rPr>
        <w:noBreakHyphen/>
      </w:r>
      <w:r w:rsidRPr="001463FA">
        <w:rPr>
          <w:szCs w:val="20"/>
        </w:rPr>
        <w:t>purpose</w:t>
      </w:r>
    </w:p>
    <w:p w14:paraId="614D4B20" w14:textId="77777777" w:rsidR="001054C3" w:rsidRPr="001463FA" w:rsidRDefault="001054C3" w:rsidP="00234FBE">
      <w:pPr>
        <w:numPr>
          <w:ilvl w:val="0"/>
          <w:numId w:val="4"/>
        </w:numPr>
        <w:spacing w:before="120" w:line="300" w:lineRule="atLeast"/>
        <w:jc w:val="both"/>
        <w:rPr>
          <w:szCs w:val="20"/>
        </w:rPr>
      </w:pPr>
      <w:r w:rsidRPr="001463FA">
        <w:rPr>
          <w:szCs w:val="20"/>
        </w:rPr>
        <w:t>in line with the IAP2 spectrum, the participation promise, or planned level of engagement, should be clear at the outset of any process</w:t>
      </w:r>
    </w:p>
    <w:p w14:paraId="6D47EA88" w14:textId="77777777" w:rsidR="001054C3" w:rsidRPr="001463FA" w:rsidRDefault="001054C3" w:rsidP="00234FBE">
      <w:pPr>
        <w:numPr>
          <w:ilvl w:val="0"/>
          <w:numId w:val="3"/>
        </w:numPr>
        <w:spacing w:before="120" w:line="300" w:lineRule="atLeast"/>
        <w:jc w:val="both"/>
        <w:rPr>
          <w:szCs w:val="20"/>
        </w:rPr>
      </w:pPr>
      <w:r w:rsidRPr="001463FA">
        <w:rPr>
          <w:szCs w:val="20"/>
        </w:rPr>
        <w:t>participants to access the information, analysis and time to participate and contribute</w:t>
      </w:r>
    </w:p>
    <w:p w14:paraId="7AFD506C" w14:textId="77777777" w:rsidR="001054C3" w:rsidRPr="001463FA" w:rsidRDefault="001054C3" w:rsidP="00234FBE">
      <w:pPr>
        <w:numPr>
          <w:ilvl w:val="0"/>
          <w:numId w:val="3"/>
        </w:numPr>
        <w:spacing w:before="120" w:line="300" w:lineRule="atLeast"/>
        <w:jc w:val="both"/>
        <w:rPr>
          <w:szCs w:val="20"/>
        </w:rPr>
      </w:pPr>
      <w:r w:rsidRPr="001463FA">
        <w:rPr>
          <w:szCs w:val="20"/>
        </w:rPr>
        <w:t xml:space="preserve">building of an engagement culture where </w:t>
      </w:r>
      <w:r>
        <w:rPr>
          <w:szCs w:val="20"/>
        </w:rPr>
        <w:t xml:space="preserve">all </w:t>
      </w:r>
      <w:r w:rsidRPr="001463FA">
        <w:rPr>
          <w:szCs w:val="20"/>
        </w:rPr>
        <w:t>stakeholders’ views are valued</w:t>
      </w:r>
    </w:p>
    <w:p w14:paraId="63034A86" w14:textId="77777777" w:rsidR="001054C3" w:rsidRPr="001463FA" w:rsidRDefault="001054C3" w:rsidP="00234FBE">
      <w:pPr>
        <w:numPr>
          <w:ilvl w:val="0"/>
          <w:numId w:val="3"/>
        </w:numPr>
        <w:spacing w:before="120" w:line="300" w:lineRule="atLeast"/>
        <w:jc w:val="both"/>
        <w:rPr>
          <w:szCs w:val="20"/>
        </w:rPr>
      </w:pPr>
      <w:r w:rsidRPr="001463FA">
        <w:rPr>
          <w:szCs w:val="20"/>
        </w:rPr>
        <w:t>communication of decisions in an open, transparent and accessible manner</w:t>
      </w:r>
    </w:p>
    <w:p w14:paraId="104EEA4C" w14:textId="77777777" w:rsidR="001054C3" w:rsidRPr="001463FA" w:rsidRDefault="001054C3" w:rsidP="00234FBE">
      <w:pPr>
        <w:numPr>
          <w:ilvl w:val="0"/>
          <w:numId w:val="3"/>
        </w:numPr>
        <w:spacing w:before="120" w:line="300" w:lineRule="atLeast"/>
        <w:jc w:val="both"/>
        <w:rPr>
          <w:szCs w:val="20"/>
        </w:rPr>
      </w:pPr>
      <w:r w:rsidRPr="001463FA">
        <w:rPr>
          <w:szCs w:val="20"/>
        </w:rPr>
        <w:t>regular review and reporting by governments of their engagement efforts to ensure ongoing effectiveness.</w:t>
      </w:r>
    </w:p>
    <w:p w14:paraId="3E7F2380" w14:textId="5C45FABA" w:rsidR="001054C3" w:rsidRDefault="001054C3" w:rsidP="00234FBE">
      <w:pPr>
        <w:spacing w:before="240" w:line="300" w:lineRule="atLeast"/>
        <w:jc w:val="both"/>
      </w:pPr>
      <w:bookmarkStart w:id="206" w:name="_Hlk70416361"/>
      <w:r>
        <w:rPr>
          <w:szCs w:val="20"/>
        </w:rPr>
        <w:t>P</w:t>
      </w:r>
      <w:r w:rsidRPr="001463FA">
        <w:rPr>
          <w:szCs w:val="20"/>
        </w:rPr>
        <w:t xml:space="preserve">rinciples specifically for </w:t>
      </w:r>
      <w:r>
        <w:rPr>
          <w:szCs w:val="20"/>
        </w:rPr>
        <w:t xml:space="preserve">future engagement with </w:t>
      </w:r>
      <w:r w:rsidRPr="001463FA">
        <w:rPr>
          <w:szCs w:val="20"/>
        </w:rPr>
        <w:t>Aboriginal and Torres Strait Islander</w:t>
      </w:r>
      <w:r>
        <w:rPr>
          <w:szCs w:val="20"/>
        </w:rPr>
        <w:t xml:space="preserve"> people on water matters</w:t>
      </w:r>
      <w:r w:rsidRPr="001463FA">
        <w:rPr>
          <w:szCs w:val="20"/>
        </w:rPr>
        <w:t xml:space="preserve"> </w:t>
      </w:r>
      <w:r>
        <w:rPr>
          <w:szCs w:val="20"/>
        </w:rPr>
        <w:t>sh</w:t>
      </w:r>
      <w:r w:rsidRPr="001463FA">
        <w:rPr>
          <w:szCs w:val="20"/>
        </w:rPr>
        <w:t xml:space="preserve">ould be </w:t>
      </w:r>
      <w:r>
        <w:rPr>
          <w:szCs w:val="20"/>
        </w:rPr>
        <w:t>developed by</w:t>
      </w:r>
      <w:r w:rsidRPr="001463FA">
        <w:rPr>
          <w:szCs w:val="20"/>
        </w:rPr>
        <w:t xml:space="preserve"> the newly created </w:t>
      </w:r>
      <w:r>
        <w:rPr>
          <w:szCs w:val="20"/>
        </w:rPr>
        <w:t xml:space="preserve">national </w:t>
      </w:r>
      <w:r w:rsidRPr="001463FA">
        <w:rPr>
          <w:szCs w:val="20"/>
        </w:rPr>
        <w:t>Committee on Aboriginal Water Interests</w:t>
      </w:r>
      <w:bookmarkEnd w:id="206"/>
      <w:r w:rsidRPr="001463FA">
        <w:rPr>
          <w:szCs w:val="20"/>
        </w:rPr>
        <w:t>. Effective engagement of Traditional Owners in key areas including water planning, natural resource management and environmental water planning will need long</w:t>
      </w:r>
      <w:r w:rsidRPr="001463FA">
        <w:rPr>
          <w:szCs w:val="20"/>
        </w:rPr>
        <w:noBreakHyphen/>
        <w:t>term relationships with local agencies working on country.</w:t>
      </w:r>
      <w:r>
        <w:t xml:space="preserve"> This is likely to require the provision of government funding support.</w:t>
      </w:r>
    </w:p>
    <w:p w14:paraId="03B09202" w14:textId="77777777" w:rsidR="008630CF" w:rsidRDefault="008630CF">
      <w:r>
        <w:br w:type="page"/>
      </w:r>
    </w:p>
    <w:p w14:paraId="2E81C0B0" w14:textId="77777777" w:rsidR="001054C3" w:rsidRPr="001463FA" w:rsidRDefault="001054C3" w:rsidP="00234FBE">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054C3" w:rsidRPr="001463FA" w14:paraId="59D37537" w14:textId="77777777" w:rsidTr="00234FBE">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42C9FBF3" w14:textId="77777777" w:rsidR="001054C3" w:rsidRPr="001463FA" w:rsidRDefault="001054C3" w:rsidP="00234FBE">
            <w:pPr>
              <w:keepNext/>
              <w:keepLines/>
              <w:spacing w:before="120" w:line="280" w:lineRule="atLeast"/>
              <w:jc w:val="both"/>
              <w:rPr>
                <w:rFonts w:ascii="Arial" w:hAnsi="Arial"/>
                <w:caps/>
                <w:sz w:val="18"/>
                <w:szCs w:val="20"/>
              </w:rPr>
            </w:pPr>
            <w:r w:rsidRPr="001463FA">
              <w:rPr>
                <w:rFonts w:ascii="Arial" w:hAnsi="Arial"/>
                <w:caps/>
                <w:sz w:val="18"/>
                <w:szCs w:val="20"/>
              </w:rPr>
              <w:t>NWI renewal ADVICE</w:t>
            </w:r>
            <w:r>
              <w:t xml:space="preserve"> </w:t>
            </w:r>
            <w:r w:rsidRPr="005A0ACE">
              <w:rPr>
                <w:rFonts w:ascii="Arial" w:hAnsi="Arial" w:cs="Arial"/>
                <w:sz w:val="18"/>
                <w:szCs w:val="18"/>
              </w:rPr>
              <w:t>1</w:t>
            </w:r>
            <w:r>
              <w:rPr>
                <w:rFonts w:ascii="Arial" w:hAnsi="Arial" w:cs="Arial"/>
                <w:sz w:val="18"/>
                <w:szCs w:val="18"/>
              </w:rPr>
              <w:t>5</w:t>
            </w:r>
            <w:r w:rsidRPr="005A0ACE">
              <w:rPr>
                <w:rFonts w:ascii="Arial" w:hAnsi="Arial" w:cs="Arial"/>
                <w:sz w:val="18"/>
                <w:szCs w:val="18"/>
              </w:rPr>
              <w:t>.1</w:t>
            </w:r>
            <w:r w:rsidRPr="001463FA">
              <w:rPr>
                <w:rFonts w:ascii="Arial" w:hAnsi="Arial"/>
                <w:caps/>
                <w:sz w:val="18"/>
                <w:szCs w:val="20"/>
              </w:rPr>
              <w:t>: COMMUNITY ENGAGEMENT Framework</w:t>
            </w:r>
          </w:p>
        </w:tc>
      </w:tr>
      <w:tr w:rsidR="001054C3" w:rsidRPr="001463FA" w14:paraId="39AA7544" w14:textId="77777777" w:rsidTr="00234FBE">
        <w:tc>
          <w:tcPr>
            <w:tcW w:w="5000" w:type="pct"/>
            <w:tcBorders>
              <w:top w:val="nil"/>
              <w:left w:val="nil"/>
              <w:bottom w:val="nil"/>
              <w:right w:val="nil"/>
            </w:tcBorders>
            <w:shd w:val="clear" w:color="auto" w:fill="CBDDF2" w:themeFill="background2" w:themeFillTint="33"/>
            <w:tcMar>
              <w:left w:w="170" w:type="dxa"/>
              <w:right w:w="170" w:type="dxa"/>
            </w:tcMar>
          </w:tcPr>
          <w:p w14:paraId="204493F4" w14:textId="2040992B" w:rsidR="001054C3" w:rsidRPr="001463FA" w:rsidRDefault="001054C3" w:rsidP="00234FBE">
            <w:pPr>
              <w:pStyle w:val="Rec"/>
            </w:pPr>
            <w:r w:rsidRPr="001463FA">
              <w:t>Australian governments should recommit to best</w:t>
            </w:r>
            <w:r>
              <w:noBreakHyphen/>
            </w:r>
            <w:r w:rsidRPr="001463FA">
              <w:t>practice, cost</w:t>
            </w:r>
            <w:r w:rsidRPr="001463FA">
              <w:noBreakHyphen/>
              <w:t>effective engagement with their communities on all water matters. To achieve this, a renewed National Water Initiative should develop a community engagement framework focused on:</w:t>
            </w:r>
          </w:p>
          <w:p w14:paraId="01ECAA5F" w14:textId="77777777" w:rsidR="001054C3" w:rsidRDefault="001054C3" w:rsidP="00234FBE">
            <w:pPr>
              <w:pStyle w:val="RecBullet"/>
            </w:pPr>
            <w:r w:rsidRPr="001463FA">
              <w:t>continuously improving and sustaining government engagement effort across all aspects of water resource management and water service provision</w:t>
            </w:r>
          </w:p>
          <w:p w14:paraId="6F50B0DC" w14:textId="77777777" w:rsidR="001054C3" w:rsidRPr="001463FA" w:rsidRDefault="001054C3" w:rsidP="00234FBE">
            <w:pPr>
              <w:pStyle w:val="RecBullet"/>
            </w:pPr>
            <w:r w:rsidRPr="00764CF4">
              <w:t>coordinating engagement actions between all levels of government, particularly in multi</w:t>
            </w:r>
            <w:r>
              <w:noBreakHyphen/>
            </w:r>
            <w:r w:rsidRPr="00764CF4">
              <w:t>jurisdictional activities</w:t>
            </w:r>
          </w:p>
          <w:p w14:paraId="059DEA87" w14:textId="77777777" w:rsidR="001054C3" w:rsidRDefault="001054C3" w:rsidP="00234FBE">
            <w:pPr>
              <w:pStyle w:val="RecBullet"/>
            </w:pPr>
            <w:r w:rsidRPr="001463FA">
              <w:t>ensuring that engagement effort and its resourcing are fit</w:t>
            </w:r>
            <w:r>
              <w:noBreakHyphen/>
            </w:r>
            <w:r w:rsidRPr="001463FA">
              <w:t>for</w:t>
            </w:r>
            <w:r>
              <w:noBreakHyphen/>
            </w:r>
            <w:r w:rsidRPr="001463FA">
              <w:t>purpose taking into account the scale of proposed change or reform, its sensitivities and its impacts</w:t>
            </w:r>
          </w:p>
          <w:p w14:paraId="163AF82A" w14:textId="77777777" w:rsidR="001054C3" w:rsidRDefault="001054C3" w:rsidP="00234FBE">
            <w:pPr>
              <w:pStyle w:val="RecBullet"/>
            </w:pPr>
            <w:r>
              <w:t>ensuring</w:t>
            </w:r>
            <w:r w:rsidRPr="001463FA">
              <w:t xml:space="preserve"> that governments are clear about the purpose of their engagement and the role of communities in decision making</w:t>
            </w:r>
          </w:p>
          <w:p w14:paraId="6F4F22CB" w14:textId="77777777" w:rsidR="001054C3" w:rsidRPr="001463FA" w:rsidRDefault="001054C3" w:rsidP="00234FBE">
            <w:pPr>
              <w:pStyle w:val="RecBullet"/>
            </w:pPr>
            <w:r>
              <w:t>ensuring that</w:t>
            </w:r>
            <w:r w:rsidRPr="0052201C">
              <w:t xml:space="preserve"> all stakeholders have </w:t>
            </w:r>
            <w:r w:rsidRPr="000E5CEE">
              <w:t xml:space="preserve">the opportunity to </w:t>
            </w:r>
            <w:r w:rsidRPr="001624EB">
              <w:t xml:space="preserve">meaningfully </w:t>
            </w:r>
            <w:r w:rsidRPr="000E5CEE">
              <w:t>input to the engagement process, and are proactively encouraged to do so</w:t>
            </w:r>
          </w:p>
          <w:p w14:paraId="49F6C726" w14:textId="77777777" w:rsidR="001054C3" w:rsidRPr="001463FA" w:rsidRDefault="001054C3" w:rsidP="00234FBE">
            <w:pPr>
              <w:pStyle w:val="RecBullet"/>
            </w:pPr>
            <w:r w:rsidRPr="001463FA">
              <w:t>improving the effectiveness of community engagement through enhancing:</w:t>
            </w:r>
          </w:p>
          <w:p w14:paraId="1B42CAF5" w14:textId="77777777" w:rsidR="001054C3" w:rsidRPr="001463FA" w:rsidRDefault="001054C3" w:rsidP="008C565C">
            <w:pPr>
              <w:pStyle w:val="RecBullet2"/>
              <w:numPr>
                <w:ilvl w:val="0"/>
                <w:numId w:val="29"/>
              </w:numPr>
            </w:pPr>
            <w:r w:rsidRPr="001463FA">
              <w:t>water information accessibility and comprehensibility</w:t>
            </w:r>
          </w:p>
          <w:p w14:paraId="6C70DDC9" w14:textId="295077E1" w:rsidR="001054C3" w:rsidRPr="001463FA" w:rsidRDefault="001054C3" w:rsidP="008C565C">
            <w:pPr>
              <w:pStyle w:val="RecBullet2"/>
              <w:numPr>
                <w:ilvl w:val="0"/>
                <w:numId w:val="29"/>
              </w:numPr>
            </w:pPr>
            <w:r w:rsidRPr="001463FA">
              <w:t>community water literacy</w:t>
            </w:r>
            <w:r w:rsidR="00E415E1">
              <w:t>.</w:t>
            </w:r>
          </w:p>
          <w:p w14:paraId="40F95E7B" w14:textId="77777777" w:rsidR="001054C3" w:rsidRPr="001463FA" w:rsidRDefault="001054C3" w:rsidP="00234FBE">
            <w:pPr>
              <w:pStyle w:val="Rec"/>
            </w:pPr>
            <w:r w:rsidRPr="001463FA">
              <w:t>Th</w:t>
            </w:r>
            <w:r>
              <w:t>is framework should adopt th</w:t>
            </w:r>
            <w:r w:rsidRPr="001463FA">
              <w:t xml:space="preserve">e characteristics of inclusiveness, timeliness, partnership, respect, access to information, transparency, responsiveness and continuous improvement </w:t>
            </w:r>
            <w:r>
              <w:t>as</w:t>
            </w:r>
            <w:r w:rsidRPr="001463FA">
              <w:t xml:space="preserve"> a </w:t>
            </w:r>
            <w:r w:rsidRPr="001463FA">
              <w:rPr>
                <w:spacing w:val="-2"/>
              </w:rPr>
              <w:t>best</w:t>
            </w:r>
            <w:r w:rsidRPr="001463FA">
              <w:rPr>
                <w:spacing w:val="-2"/>
              </w:rPr>
              <w:noBreakHyphen/>
              <w:t>practice foundation for effective community engagement and information provision practice in water resource management and water service provision.</w:t>
            </w:r>
          </w:p>
        </w:tc>
      </w:tr>
      <w:tr w:rsidR="001054C3" w:rsidRPr="001463FA" w14:paraId="48F97C3F" w14:textId="77777777" w:rsidTr="00234FBE">
        <w:tc>
          <w:tcPr>
            <w:tcW w:w="5000" w:type="pct"/>
            <w:tcBorders>
              <w:top w:val="nil"/>
              <w:left w:val="nil"/>
              <w:bottom w:val="single" w:sz="4" w:space="0" w:color="265A9A"/>
              <w:right w:val="nil"/>
            </w:tcBorders>
            <w:shd w:val="clear" w:color="auto" w:fill="CBDDF2" w:themeFill="background2" w:themeFillTint="33"/>
            <w:tcMar>
              <w:left w:w="170" w:type="dxa"/>
              <w:right w:w="170" w:type="dxa"/>
            </w:tcMar>
          </w:tcPr>
          <w:p w14:paraId="5B6190B6" w14:textId="77777777" w:rsidR="001054C3" w:rsidRPr="001463FA" w:rsidRDefault="001054C3" w:rsidP="00234FBE">
            <w:pPr>
              <w:keepNext/>
              <w:keepLines/>
              <w:spacing w:line="120" w:lineRule="exact"/>
              <w:jc w:val="both"/>
              <w:rPr>
                <w:rFonts w:ascii="Arial" w:hAnsi="Arial"/>
                <w:sz w:val="20"/>
                <w:szCs w:val="20"/>
              </w:rPr>
            </w:pPr>
          </w:p>
        </w:tc>
      </w:tr>
      <w:tr w:rsidR="001054C3" w:rsidRPr="001463FA" w14:paraId="3F3C2B4E" w14:textId="77777777" w:rsidTr="00234FBE">
        <w:tc>
          <w:tcPr>
            <w:tcW w:w="5000" w:type="pct"/>
            <w:tcBorders>
              <w:top w:val="single" w:sz="4" w:space="0" w:color="265A9A"/>
              <w:left w:val="nil"/>
              <w:bottom w:val="nil"/>
              <w:right w:val="nil"/>
            </w:tcBorders>
            <w:tcMar>
              <w:left w:w="170" w:type="dxa"/>
              <w:right w:w="170" w:type="dxa"/>
            </w:tcMar>
          </w:tcPr>
          <w:p w14:paraId="26204678" w14:textId="77777777" w:rsidR="001054C3" w:rsidRPr="001463FA" w:rsidRDefault="001054C3" w:rsidP="00234FBE">
            <w:pPr>
              <w:keepLines/>
              <w:spacing w:before="60" w:after="60" w:line="80" w:lineRule="exact"/>
              <w:jc w:val="both"/>
              <w:rPr>
                <w:rFonts w:ascii="Arial" w:hAnsi="Arial"/>
                <w:sz w:val="14"/>
                <w:szCs w:val="20"/>
              </w:rPr>
            </w:pPr>
          </w:p>
        </w:tc>
      </w:tr>
    </w:tbl>
    <w:p w14:paraId="025634A5" w14:textId="77777777" w:rsidR="001054C3" w:rsidRPr="001463FA" w:rsidRDefault="001054C3" w:rsidP="00234FBE">
      <w:pPr>
        <w:spacing w:before="240" w:line="300" w:lineRule="atLeast"/>
        <w:jc w:val="both"/>
        <w:rPr>
          <w:szCs w:val="20"/>
        </w:rPr>
      </w:pPr>
    </w:p>
    <w:p w14:paraId="402E413C" w14:textId="77777777" w:rsidR="001054C3" w:rsidRDefault="001054C3" w:rsidP="001054C3">
      <w:pPr>
        <w:sectPr w:rsidR="001054C3" w:rsidSect="001054C3">
          <w:headerReference w:type="even" r:id="rId144"/>
          <w:headerReference w:type="default" r:id="rId145"/>
          <w:footerReference w:type="even" r:id="rId146"/>
          <w:footerReference w:type="default" r:id="rId147"/>
          <w:type w:val="oddPage"/>
          <w:pgSz w:w="11907" w:h="16840" w:code="9"/>
          <w:pgMar w:top="1985" w:right="1304" w:bottom="1247" w:left="1814" w:header="1701" w:footer="397" w:gutter="0"/>
          <w:pgNumType w:chapSep="period"/>
          <w:cols w:space="720"/>
          <w:docGrid w:linePitch="326"/>
        </w:sectPr>
      </w:pPr>
    </w:p>
    <w:p w14:paraId="4989637B" w14:textId="77777777" w:rsidR="001054C3" w:rsidRDefault="001054C3" w:rsidP="00234FBE">
      <w:pPr>
        <w:pStyle w:val="Heading1"/>
      </w:pPr>
      <w:bookmarkStart w:id="207" w:name="_Toc72939552"/>
      <w:r>
        <w:lastRenderedPageBreak/>
        <w:t>16</w:t>
      </w:r>
      <w:r>
        <w:tab/>
        <w:t>Knowledge, capacity and capability building</w:t>
      </w:r>
      <w:bookmarkEnd w:id="207"/>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3F0235" w14:paraId="20F03731" w14:textId="77777777" w:rsidTr="00234FBE">
        <w:trPr>
          <w:tblHeader/>
        </w:trPr>
        <w:tc>
          <w:tcPr>
            <w:tcW w:w="5000" w:type="pct"/>
            <w:tcBorders>
              <w:top w:val="single" w:sz="6" w:space="0" w:color="78A22F"/>
              <w:left w:val="nil"/>
              <w:bottom w:val="nil"/>
              <w:right w:val="nil"/>
            </w:tcBorders>
            <w:shd w:val="clear" w:color="auto" w:fill="F2F2F2"/>
          </w:tcPr>
          <w:p w14:paraId="36BA3782" w14:textId="77777777" w:rsidR="001054C3" w:rsidRPr="003F0235" w:rsidRDefault="001054C3" w:rsidP="00234FBE">
            <w:pPr>
              <w:pStyle w:val="BoxTitle"/>
            </w:pPr>
            <w:r w:rsidRPr="003F0235">
              <w:t>Key points</w:t>
            </w:r>
          </w:p>
        </w:tc>
      </w:tr>
      <w:tr w:rsidR="001054C3" w:rsidRPr="003F0235" w14:paraId="386D5724" w14:textId="77777777" w:rsidTr="00234FBE">
        <w:tc>
          <w:tcPr>
            <w:tcW w:w="5000" w:type="pct"/>
            <w:tcBorders>
              <w:top w:val="nil"/>
              <w:left w:val="nil"/>
              <w:bottom w:val="nil"/>
              <w:right w:val="nil"/>
            </w:tcBorders>
            <w:shd w:val="clear" w:color="auto" w:fill="F2F2F2"/>
          </w:tcPr>
          <w:p w14:paraId="3A8218C9" w14:textId="77777777" w:rsidR="001054C3" w:rsidRDefault="001054C3" w:rsidP="00234FBE">
            <w:pPr>
              <w:pStyle w:val="BoxListBullet"/>
            </w:pPr>
            <w:r>
              <w:t>Knowledge generation has been integral to water reform achievements under the National Water Initiative.</w:t>
            </w:r>
          </w:p>
          <w:p w14:paraId="2BFDA386" w14:textId="77777777" w:rsidR="001054C3" w:rsidRDefault="001054C3" w:rsidP="00234FBE">
            <w:pPr>
              <w:pStyle w:val="BoxListBullet"/>
            </w:pPr>
            <w:r w:rsidRPr="00A97BC7">
              <w:t>Governments have a role in funding knowledge generation that is in the public interest. Further investments in knowledge generation will be key to filling existing knowledge gaps, supporting the ongoing reform process and responding to emerging challenges</w:t>
            </w:r>
            <w:r>
              <w:t>.</w:t>
            </w:r>
          </w:p>
          <w:p w14:paraId="3C77109D" w14:textId="77777777" w:rsidR="001054C3" w:rsidRDefault="001054C3" w:rsidP="00234FBE">
            <w:pPr>
              <w:pStyle w:val="BoxListBullet2"/>
            </w:pPr>
            <w:r>
              <w:t>Investment in knowledge will provide a foundation for evidence</w:t>
            </w:r>
            <w:r>
              <w:noBreakHyphen/>
              <w:t>based decision making, innovation, continuous improvement and the development of community water literacy. It will support water planning, inform decisions about the use of environmental water and help utilities meet growing water and service demands.</w:t>
            </w:r>
          </w:p>
          <w:p w14:paraId="3EC53512" w14:textId="77777777" w:rsidR="001054C3" w:rsidRDefault="001054C3" w:rsidP="00234FBE">
            <w:pPr>
              <w:pStyle w:val="BoxListBullet"/>
            </w:pPr>
            <w:r>
              <w:t>Efficient investment should be supported by a formal process of research priority setting and improved coordination between jurisdictions.</w:t>
            </w:r>
          </w:p>
          <w:p w14:paraId="2E91CBCE" w14:textId="77777777" w:rsidR="001054C3" w:rsidRDefault="001054C3" w:rsidP="00234FBE">
            <w:pPr>
              <w:pStyle w:val="BoxListBullet"/>
            </w:pPr>
            <w:r>
              <w:t>Inclusion of an expectation in governing documents that regulated utilities invest in research and development activities to improve service delivery would empower utilities and ensure that economic regulators include associated expenditure when making price determinations.</w:t>
            </w:r>
          </w:p>
          <w:p w14:paraId="2A4476A1" w14:textId="77777777" w:rsidR="001054C3" w:rsidRDefault="001054C3" w:rsidP="00234FBE">
            <w:pPr>
              <w:pStyle w:val="BoxListBullet"/>
            </w:pPr>
            <w:r w:rsidRPr="00F27199">
              <w:t xml:space="preserve">Provision of good information is not </w:t>
            </w:r>
            <w:r>
              <w:t>enough</w:t>
            </w:r>
            <w:r w:rsidRPr="00F27199">
              <w:t xml:space="preserve"> to realise </w:t>
            </w:r>
            <w:r>
              <w:t>evidence</w:t>
            </w:r>
            <w:r>
              <w:noBreakHyphen/>
              <w:t>based policy.</w:t>
            </w:r>
          </w:p>
          <w:p w14:paraId="1F87BB55" w14:textId="77777777" w:rsidR="001054C3" w:rsidRDefault="001054C3" w:rsidP="00234FBE">
            <w:pPr>
              <w:pStyle w:val="BoxListBullet2"/>
            </w:pPr>
            <w:r w:rsidRPr="00F27199">
              <w:t xml:space="preserve">Decision makers need to know </w:t>
            </w:r>
            <w:r>
              <w:t xml:space="preserve">that </w:t>
            </w:r>
            <w:r w:rsidRPr="00F27199">
              <w:t>information exists.</w:t>
            </w:r>
            <w:r>
              <w:t xml:space="preserve"> Success requires sound relationships between knowledge generators and users. Institutional mechanisms like communities of practice and Cooperative Research Centres can support the development and maintenance of these relationships.</w:t>
            </w:r>
          </w:p>
          <w:p w14:paraId="352A723D" w14:textId="77777777" w:rsidR="001054C3" w:rsidRPr="003F0235" w:rsidRDefault="001054C3" w:rsidP="00234FBE">
            <w:pPr>
              <w:pStyle w:val="BoxListBullet2"/>
            </w:pPr>
            <w:r>
              <w:t>Those working in the water sector also need the capacity and capability to use information. Governments need to ensure that w</w:t>
            </w:r>
            <w:r w:rsidRPr="00112D67">
              <w:t xml:space="preserve">ater planners, managers, regulators and policy makers </w:t>
            </w:r>
            <w:r>
              <w:t>have both the resources and the knowledge, skills and experience required to</w:t>
            </w:r>
            <w:r w:rsidRPr="00112D67">
              <w:t xml:space="preserve"> effectively implement the </w:t>
            </w:r>
            <w:r>
              <w:t>National Water Initiative.</w:t>
            </w:r>
            <w:r w:rsidRPr="00112D67">
              <w:t xml:space="preserve"> The staff of water utilities </w:t>
            </w:r>
            <w:r>
              <w:t xml:space="preserve">also </w:t>
            </w:r>
            <w:r w:rsidRPr="00112D67">
              <w:t xml:space="preserve">need support, training, skills and qualifications to be able to </w:t>
            </w:r>
            <w:r>
              <w:t xml:space="preserve">effectively </w:t>
            </w:r>
            <w:r w:rsidRPr="00112D67">
              <w:t>discharge their functions.</w:t>
            </w:r>
          </w:p>
        </w:tc>
      </w:tr>
      <w:tr w:rsidR="001054C3" w:rsidRPr="003F0235" w14:paraId="15A0237A" w14:textId="77777777" w:rsidTr="00234FBE">
        <w:tc>
          <w:tcPr>
            <w:tcW w:w="5000" w:type="pct"/>
            <w:tcBorders>
              <w:top w:val="nil"/>
              <w:left w:val="nil"/>
              <w:bottom w:val="single" w:sz="6" w:space="0" w:color="78A22F"/>
              <w:right w:val="nil"/>
            </w:tcBorders>
            <w:shd w:val="clear" w:color="auto" w:fill="F2F2F2"/>
          </w:tcPr>
          <w:p w14:paraId="55B4D6C5" w14:textId="77777777" w:rsidR="001054C3" w:rsidRPr="003F0235" w:rsidRDefault="001054C3" w:rsidP="00234FBE">
            <w:pPr>
              <w:pStyle w:val="Box"/>
              <w:spacing w:before="0" w:line="120" w:lineRule="exact"/>
            </w:pPr>
          </w:p>
        </w:tc>
      </w:tr>
      <w:tr w:rsidR="001054C3" w:rsidRPr="003F0235" w14:paraId="6320ECAC" w14:textId="77777777" w:rsidTr="00234FBE">
        <w:tc>
          <w:tcPr>
            <w:tcW w:w="5000" w:type="pct"/>
            <w:tcBorders>
              <w:top w:val="single" w:sz="6" w:space="0" w:color="78A22F"/>
              <w:left w:val="nil"/>
              <w:bottom w:val="nil"/>
              <w:right w:val="nil"/>
            </w:tcBorders>
          </w:tcPr>
          <w:p w14:paraId="3B7DC5FA" w14:textId="77777777" w:rsidR="001054C3" w:rsidRPr="003F0235" w:rsidRDefault="001054C3" w:rsidP="00234FBE">
            <w:pPr>
              <w:pStyle w:val="BoxSpaceBelow"/>
            </w:pPr>
          </w:p>
        </w:tc>
      </w:tr>
    </w:tbl>
    <w:p w14:paraId="01246F0F" w14:textId="77777777" w:rsidR="001054C3" w:rsidRPr="00282D73" w:rsidRDefault="001054C3" w:rsidP="00234FBE">
      <w:pPr>
        <w:pStyle w:val="BodyText"/>
        <w:rPr>
          <w:i/>
          <w:iCs/>
        </w:rPr>
      </w:pPr>
      <w:bookmarkStart w:id="208" w:name="_Hlk61346277"/>
      <w:r w:rsidRPr="00282D73">
        <w:rPr>
          <w:i/>
          <w:iCs/>
        </w:rPr>
        <w:t>This chapter summarises Supporting Paper K: Knowledge, capacity and capability building (SP</w:t>
      </w:r>
      <w:r>
        <w:rPr>
          <w:i/>
          <w:iCs/>
        </w:rPr>
        <w:t xml:space="preserve"> </w:t>
      </w:r>
      <w:r w:rsidRPr="00282D73">
        <w:rPr>
          <w:i/>
          <w:iCs/>
        </w:rPr>
        <w:t>K Knowledge). Further detail and analysis can be found in that paper.</w:t>
      </w:r>
    </w:p>
    <w:bookmarkEnd w:id="208"/>
    <w:p w14:paraId="6DC54D7E" w14:textId="77777777" w:rsidR="001054C3" w:rsidRDefault="001054C3" w:rsidP="00234FBE">
      <w:pPr>
        <w:pStyle w:val="BodyText"/>
      </w:pPr>
      <w:r>
        <w:t>Knowledge is the foundation of evidence</w:t>
      </w:r>
      <w:r>
        <w:noBreakHyphen/>
        <w:t xml:space="preserve">based </w:t>
      </w:r>
      <w:r w:rsidRPr="007A7D65">
        <w:t>decision making, innovation</w:t>
      </w:r>
      <w:r>
        <w:t>,</w:t>
      </w:r>
      <w:r w:rsidRPr="007A7D65">
        <w:t xml:space="preserve"> continuous improvement and </w:t>
      </w:r>
      <w:r>
        <w:t xml:space="preserve">the </w:t>
      </w:r>
      <w:r w:rsidRPr="007A7D65">
        <w:t>development of community water literacy.</w:t>
      </w:r>
      <w:r>
        <w:t xml:space="preserve"> Parties to the National Water Initiative (NWI) recognised its importance through two outcomes — one covering knowledge and capacity building to support implementation of the Agreement; the other, coordination of the national water knowledge effort.</w:t>
      </w:r>
    </w:p>
    <w:p w14:paraId="453AB9B5" w14:textId="77777777" w:rsidR="001054C3" w:rsidRDefault="001054C3" w:rsidP="00234FBE">
      <w:pPr>
        <w:pStyle w:val="BodyText"/>
      </w:pPr>
      <w:r w:rsidRPr="00CF0EA5">
        <w:lastRenderedPageBreak/>
        <w:t>Research and knowledge building efforts have been integral to water reform achievements</w:t>
      </w:r>
      <w:r>
        <w:t>. For example, water planning trade</w:t>
      </w:r>
      <w:r>
        <w:noBreakHyphen/>
        <w:t>off decisions have been underpinned by understanding of hydrology and hydrogeology, climate change modelling, understanding of ecological assets and their water requirements, economic and cultural values and the evolution of more efficient irrigation practices. The provision of safe drinking water required human health and toxicology studies; research across chemistry and engineering helped to develop efficient water treatment technologies; and utilities have used innovative community engagement techniques in pricing submissions.</w:t>
      </w:r>
    </w:p>
    <w:p w14:paraId="78F33F86" w14:textId="77777777" w:rsidR="001054C3" w:rsidRDefault="001054C3" w:rsidP="00234FBE">
      <w:pPr>
        <w:pStyle w:val="BodyText"/>
        <w:keepNext/>
      </w:pPr>
      <w:r>
        <w:t>Looking ahead, ongoing effort will be needed. Inquiry participants highlighted the underpinning role played by knowledge. For example:</w:t>
      </w:r>
    </w:p>
    <w:p w14:paraId="26D8F1AA" w14:textId="77777777" w:rsidR="001054C3" w:rsidRDefault="001054C3" w:rsidP="00234FBE">
      <w:pPr>
        <w:pStyle w:val="Quote"/>
      </w:pPr>
      <w:r>
        <w:t>We suggest that further reform of the NWI should be supported and underpinned by independent, nimble and well funded research, that can provide additional decision support to allow for sound responses to either sudden system shocks (such as climate emergencies or pandemics) or more gradual changes over time that warrant more systematic addressing. (WaterRA, sub. 98, p. 2)</w:t>
      </w:r>
    </w:p>
    <w:p w14:paraId="6BBBD581" w14:textId="785AD66E" w:rsidR="001054C3" w:rsidRDefault="001054C3" w:rsidP="00234FBE">
      <w:pPr>
        <w:pStyle w:val="Heading2"/>
      </w:pPr>
      <w:bookmarkStart w:id="209" w:name="_Toc72939553"/>
      <w:r>
        <w:t>16.</w:t>
      </w:r>
      <w:r>
        <w:rPr>
          <w:noProof/>
        </w:rPr>
        <w:t>1</w:t>
      </w:r>
      <w:bookmarkStart w:id="210" w:name="_Toc63112511"/>
      <w:r>
        <w:tab/>
        <w:t>K</w:t>
      </w:r>
      <w:r w:rsidRPr="005A618F">
        <w:t>nowledge</w:t>
      </w:r>
      <w:r w:rsidRPr="009D78DE">
        <w:t xml:space="preserve"> </w:t>
      </w:r>
      <w:r w:rsidRPr="005A618F">
        <w:t xml:space="preserve">generation </w:t>
      </w:r>
      <w:r>
        <w:t>needs attention</w:t>
      </w:r>
      <w:bookmarkEnd w:id="209"/>
      <w:bookmarkEnd w:id="210"/>
    </w:p>
    <w:p w14:paraId="1FFAB265" w14:textId="330AD45E" w:rsidR="001054C3" w:rsidRDefault="001054C3" w:rsidP="00234FBE">
      <w:pPr>
        <w:pStyle w:val="BodyText"/>
      </w:pPr>
      <w:r w:rsidRPr="0091479D">
        <w:t xml:space="preserve">Governments have a role </w:t>
      </w:r>
      <w:r>
        <w:t xml:space="preserve">to play </w:t>
      </w:r>
      <w:r w:rsidRPr="0091479D">
        <w:t xml:space="preserve">in funding </w:t>
      </w:r>
      <w:r>
        <w:t>water</w:t>
      </w:r>
      <w:r>
        <w:noBreakHyphen/>
        <w:t xml:space="preserve">related </w:t>
      </w:r>
      <w:r w:rsidRPr="0091479D">
        <w:t>research</w:t>
      </w:r>
      <w:r>
        <w:t>. This includes where research is a public good or is supporting government delivery of public goods</w:t>
      </w:r>
      <w:r w:rsidRPr="0091479D">
        <w:t xml:space="preserve"> </w:t>
      </w:r>
      <w:r w:rsidRPr="00BE3DA2">
        <w:rPr>
          <w:szCs w:val="24"/>
        </w:rPr>
        <w:t>(PC 2007, p. 74)</w:t>
      </w:r>
      <w:r w:rsidRPr="0091479D">
        <w:t xml:space="preserve">. The management of water resource systems, environmental water management and the development of water quality standards are all examples of </w:t>
      </w:r>
      <w:r>
        <w:t>public goods</w:t>
      </w:r>
      <w:r w:rsidRPr="0091479D">
        <w:t xml:space="preserve">. Without government support, </w:t>
      </w:r>
      <w:r>
        <w:t>research</w:t>
      </w:r>
      <w:r w:rsidRPr="0091479D">
        <w:t xml:space="preserve"> </w:t>
      </w:r>
      <w:r>
        <w:t xml:space="preserve">related to these services </w:t>
      </w:r>
      <w:r w:rsidRPr="0091479D">
        <w:t>would be under provided, risking inefficient or poor provision and failure to achieve objectives.</w:t>
      </w:r>
      <w:r>
        <w:t xml:space="preserve"> In the past, governments have invested to support water</w:t>
      </w:r>
      <w:r>
        <w:noBreakHyphen/>
        <w:t>related knowledge generation. For example, research on the hydrological characteristics of water resources, cultural values and environmental objectives has informed water planning processes; research into the impacts of pollutants and toxicants on human health has informed the setting of drinking water standards and guidelines for the use of recycled water.</w:t>
      </w:r>
    </w:p>
    <w:p w14:paraId="6F9AA255" w14:textId="77777777" w:rsidR="001054C3" w:rsidRDefault="001054C3" w:rsidP="00234FBE">
      <w:pPr>
        <w:pStyle w:val="Heading3"/>
      </w:pPr>
      <w:r>
        <w:t>F</w:t>
      </w:r>
      <w:r w:rsidRPr="00737A68">
        <w:t xml:space="preserve">unding to support </w:t>
      </w:r>
      <w:r>
        <w:t>evidence-</w:t>
      </w:r>
      <w:r w:rsidRPr="00737A68">
        <w:t>based decision making</w:t>
      </w:r>
      <w:r>
        <w:t xml:space="preserve"> will be needed</w:t>
      </w:r>
    </w:p>
    <w:p w14:paraId="1A528853" w14:textId="77777777" w:rsidR="001054C3" w:rsidRDefault="001054C3" w:rsidP="00234FBE">
      <w:pPr>
        <w:pStyle w:val="BodyText"/>
        <w:keepNext/>
      </w:pPr>
      <w:r>
        <w:t>Inquiry participants have identified some knowledge gaps and noted low funding levels.</w:t>
      </w:r>
    </w:p>
    <w:p w14:paraId="6B448BED" w14:textId="77777777" w:rsidR="001054C3" w:rsidRDefault="001054C3" w:rsidP="00234FBE">
      <w:pPr>
        <w:pStyle w:val="ListBullet"/>
      </w:pPr>
      <w:r>
        <w:t>The Inland Rivers Network (sub. 86, p. 18) reported that ‘significant knowledge gaps have been recognised’ in the Great Artesian Basin. Water plans for the region require accurate calculation of planned environmental water and improved knowledge of annual recharge and flux due to the complexity and fragility of the Murray–Darling Basin.</w:t>
      </w:r>
    </w:p>
    <w:p w14:paraId="3FB8F0A5" w14:textId="77777777" w:rsidR="001054C3" w:rsidRDefault="001054C3" w:rsidP="00234FBE">
      <w:pPr>
        <w:pStyle w:val="ListBullet"/>
      </w:pPr>
      <w:r w:rsidRPr="00B067C8">
        <w:t>WWF Australia (sub.</w:t>
      </w:r>
      <w:r>
        <w:t> </w:t>
      </w:r>
      <w:r w:rsidRPr="00B067C8">
        <w:t>50, p</w:t>
      </w:r>
      <w:r>
        <w:t>. </w:t>
      </w:r>
      <w:r w:rsidRPr="00B067C8">
        <w:t xml:space="preserve">5) </w:t>
      </w:r>
      <w:r>
        <w:t>observed</w:t>
      </w:r>
      <w:r w:rsidRPr="00B067C8">
        <w:t xml:space="preserve"> </w:t>
      </w:r>
      <w:r>
        <w:t xml:space="preserve">that the </w:t>
      </w:r>
      <w:r w:rsidRPr="00B067C8">
        <w:t xml:space="preserve">Queensland </w:t>
      </w:r>
      <w:r>
        <w:t xml:space="preserve">Department of Natural Resources, Mines and Energy’s </w:t>
      </w:r>
      <w:r w:rsidRPr="00B067C8">
        <w:t>ability to assess environmental outcomes in water plan areas is undermined by poor data and knowledge gaps.</w:t>
      </w:r>
    </w:p>
    <w:p w14:paraId="34F4B2FF" w14:textId="77777777" w:rsidR="001054C3" w:rsidRDefault="001054C3" w:rsidP="00234FBE">
      <w:pPr>
        <w:pStyle w:val="ListBullet"/>
      </w:pPr>
      <w:r w:rsidRPr="002B208E">
        <w:lastRenderedPageBreak/>
        <w:t>Water Services Association of Australia</w:t>
      </w:r>
      <w:r w:rsidRPr="00B067C8">
        <w:t xml:space="preserve"> (sub.</w:t>
      </w:r>
      <w:r>
        <w:t> </w:t>
      </w:r>
      <w:r w:rsidRPr="00B067C8">
        <w:t>88, p</w:t>
      </w:r>
      <w:r>
        <w:t>. </w:t>
      </w:r>
      <w:r w:rsidRPr="00B067C8">
        <w:t>16) note</w:t>
      </w:r>
      <w:r>
        <w:t>d</w:t>
      </w:r>
      <w:r w:rsidRPr="00B067C8">
        <w:t xml:space="preserve"> that recent drought conditions and declining water supplies </w:t>
      </w:r>
      <w:r>
        <w:t xml:space="preserve">have </w:t>
      </w:r>
      <w:r w:rsidRPr="00B067C8">
        <w:t>exposed gaps in understanding of water security.</w:t>
      </w:r>
    </w:p>
    <w:p w14:paraId="2A83BE4C" w14:textId="77777777" w:rsidR="001054C3" w:rsidRPr="00B067C8" w:rsidRDefault="001054C3" w:rsidP="00234FBE">
      <w:pPr>
        <w:pStyle w:val="ListBullet"/>
      </w:pPr>
      <w:r>
        <w:t>The Australian Academy of Technology and Engineering and the Australian Academy of Science (sub. 90, p. 6) stated that current funding levels are near historic lows after the peak levels seen in the mid</w:t>
      </w:r>
      <w:r>
        <w:noBreakHyphen/>
        <w:t>2000s.</w:t>
      </w:r>
    </w:p>
    <w:p w14:paraId="1B284566" w14:textId="77777777" w:rsidR="001054C3" w:rsidRDefault="001054C3" w:rsidP="00234FBE">
      <w:pPr>
        <w:pStyle w:val="BodyText"/>
      </w:pPr>
      <w:r>
        <w:t>Additionally, many water</w:t>
      </w:r>
      <w:r>
        <w:noBreakHyphen/>
        <w:t>related research and development programs initiated since the NWI was agreed have ended and not been replaced. These i</w:t>
      </w:r>
      <w:r w:rsidRPr="008422DA">
        <w:t>nclud</w:t>
      </w:r>
      <w:r>
        <w:t>e</w:t>
      </w:r>
      <w:r w:rsidRPr="008422DA">
        <w:t xml:space="preserve"> Land and Water Australia, </w:t>
      </w:r>
      <w:r>
        <w:t>five</w:t>
      </w:r>
      <w:r w:rsidRPr="008422DA">
        <w:t xml:space="preserve"> different </w:t>
      </w:r>
      <w:r>
        <w:t>Cooperative Research Centres (CRCs)</w:t>
      </w:r>
      <w:r w:rsidRPr="008422DA">
        <w:t xml:space="preserve">, the National Program for Sustainable Irrigation, </w:t>
      </w:r>
      <w:r>
        <w:t xml:space="preserve">the </w:t>
      </w:r>
      <w:r w:rsidRPr="008422DA">
        <w:t>Raising National Water Standards</w:t>
      </w:r>
      <w:r>
        <w:t xml:space="preserve"> Programme</w:t>
      </w:r>
      <w:r w:rsidRPr="008422DA">
        <w:t>, the Australian Water Recycling Centre of Excellence, and the National Centre for Excellence for Desalination</w:t>
      </w:r>
      <w:r w:rsidRPr="001D1418">
        <w:t>.</w:t>
      </w:r>
    </w:p>
    <w:p w14:paraId="72FB2115" w14:textId="77777777" w:rsidR="001054C3" w:rsidRDefault="001054C3" w:rsidP="00234FBE">
      <w:pPr>
        <w:pStyle w:val="BodyText"/>
      </w:pPr>
      <w:r>
        <w:t>Ongoing government investments in knowledge generation will be key to filling existing gaps, supporting reform processes and designing effective responses to emerging challenges.</w:t>
      </w:r>
    </w:p>
    <w:p w14:paraId="27312A53" w14:textId="77777777" w:rsidR="001054C3" w:rsidRDefault="001054C3" w:rsidP="00234FBE">
      <w:pPr>
        <w:pStyle w:val="Heading3"/>
      </w:pPr>
      <w:r>
        <w:t>Priorities would guide efficient effort …</w:t>
      </w:r>
    </w:p>
    <w:p w14:paraId="24318A32" w14:textId="77777777" w:rsidR="001054C3" w:rsidRDefault="001054C3" w:rsidP="00234FBE">
      <w:pPr>
        <w:pStyle w:val="BodyText"/>
      </w:pPr>
      <w:r>
        <w:t xml:space="preserve">Knowledge and capacity building needs were first identified in the NWI in 2004 and the </w:t>
      </w:r>
      <w:r w:rsidRPr="002F30A1">
        <w:t>National Water Knowledge and Research</w:t>
      </w:r>
      <w:r>
        <w:t xml:space="preserve"> Platform (since defunded) identified priority themes in 2012. Today, few parties to the NWI have a clear process for identifying and updating water research priorities.</w:t>
      </w:r>
    </w:p>
    <w:p w14:paraId="1B8F640D" w14:textId="77777777" w:rsidR="001054C3" w:rsidRPr="00561BC7" w:rsidRDefault="001054C3" w:rsidP="00234FBE">
      <w:pPr>
        <w:pStyle w:val="BodyText"/>
      </w:pPr>
      <w:r>
        <w:t>Funding to support water</w:t>
      </w:r>
      <w:r>
        <w:noBreakHyphen/>
        <w:t xml:space="preserve">related knowledge generation </w:t>
      </w:r>
      <w:r w:rsidRPr="00812668">
        <w:t>will always compete with other areas of public expenditu</w:t>
      </w:r>
      <w:r w:rsidRPr="00561BC7">
        <w:t>re</w:t>
      </w:r>
      <w:r w:rsidRPr="00282D73">
        <w:t>. Setting priorities would help to secure funding and direct effort to areas of strategic importance and policy relevance, maximising the value of investments</w:t>
      </w:r>
      <w:r w:rsidRPr="00561BC7">
        <w:t>.</w:t>
      </w:r>
    </w:p>
    <w:p w14:paraId="66FE0FED" w14:textId="77777777" w:rsidR="001054C3" w:rsidRDefault="001054C3" w:rsidP="00234FBE">
      <w:pPr>
        <w:pStyle w:val="BodyText"/>
      </w:pPr>
      <w:r w:rsidRPr="00561BC7">
        <w:t>A number of priority candidates for</w:t>
      </w:r>
      <w:r>
        <w:t xml:space="preserve"> research effort have been identified through the inquiry, including groundwater knowledge, issues for Aboriginal and Torres Strait Islander people and potential implications of a changing climate for water resource management and service provision (</w:t>
      </w:r>
      <w:r w:rsidRPr="008A1C17">
        <w:t>SP</w:t>
      </w:r>
      <w:r>
        <w:t xml:space="preserve"> </w:t>
      </w:r>
      <w:r w:rsidRPr="008A1C17">
        <w:t>K </w:t>
      </w:r>
      <w:r w:rsidRPr="008A1C17">
        <w:rPr>
          <w:i/>
          <w:iCs/>
        </w:rPr>
        <w:t>Knowledge</w:t>
      </w:r>
      <w:r>
        <w:t>).</w:t>
      </w:r>
    </w:p>
    <w:p w14:paraId="3BB5E2B2" w14:textId="77777777" w:rsidR="001054C3" w:rsidRPr="00B067C8" w:rsidRDefault="001054C3" w:rsidP="00234FBE">
      <w:pPr>
        <w:pStyle w:val="BodyText"/>
      </w:pPr>
      <w:r>
        <w:t>The potential benefits from investments in water knowledge warrant a national process for identifying and reporting research priorities. An effective process would involve all jurisdictions and draw on input from the research community and research users. The National Water Reform Committee is considered an appropriate body to initiate and oversee this work. To remain current, priorities would need to be updated regularly — for example, on a three</w:t>
      </w:r>
      <w:r>
        <w:noBreakHyphen/>
        <w:t xml:space="preserve">yearly basis. And priorities should be provided to the Australian Research Council and other relevant research providers </w:t>
      </w:r>
      <w:r w:rsidRPr="00192F65">
        <w:t xml:space="preserve">to help inform decisions on the provision of </w:t>
      </w:r>
      <w:r>
        <w:t xml:space="preserve">Australian government </w:t>
      </w:r>
      <w:r w:rsidRPr="00192F65">
        <w:t>funding for</w:t>
      </w:r>
      <w:r>
        <w:t xml:space="preserve"> water</w:t>
      </w:r>
      <w:r>
        <w:noBreakHyphen/>
        <w:t>related</w:t>
      </w:r>
      <w:r w:rsidRPr="00192F65">
        <w:t xml:space="preserve"> research.</w:t>
      </w:r>
    </w:p>
    <w:p w14:paraId="4BC69A35" w14:textId="77777777" w:rsidR="001054C3" w:rsidRDefault="001054C3" w:rsidP="00234FBE">
      <w:pPr>
        <w:pStyle w:val="Heading3"/>
      </w:pPr>
      <w:r>
        <w:lastRenderedPageBreak/>
        <w:t>… as would coordination between jurisdictions</w:t>
      </w:r>
    </w:p>
    <w:p w14:paraId="1D16D167" w14:textId="77777777" w:rsidR="001054C3" w:rsidRDefault="001054C3" w:rsidP="00234FBE">
      <w:pPr>
        <w:pStyle w:val="BodyText"/>
      </w:pPr>
      <w:r>
        <w:t>While some water knowledge needs are specific to a particular location or region, many are shared across jurisdictions. Coordination between jurisdictions on research and the sharing of findings could have a number of benefits, including avoiding duplication of effort, pooling of resources to realise more activities, greater knowledge dissemination and stronger consensus on common issues.</w:t>
      </w:r>
    </w:p>
    <w:p w14:paraId="0F6C1059" w14:textId="77777777" w:rsidR="001054C3" w:rsidRDefault="001054C3" w:rsidP="00234FBE">
      <w:pPr>
        <w:pStyle w:val="BodyText"/>
      </w:pPr>
      <w:r>
        <w:t>But there is no national platform to coordinate knowledge generation and sharing. NWI renewal is an opportunity to establish something fit for purpose</w:t>
      </w:r>
      <w:r w:rsidRPr="001D1418">
        <w:t xml:space="preserve">, and the </w:t>
      </w:r>
      <w:r>
        <w:t>National Water Reform Committee</w:t>
      </w:r>
      <w:r w:rsidRPr="001D1418">
        <w:t xml:space="preserve"> appears well placed to coordinate research efforts by bringing jurisdictions together</w:t>
      </w:r>
      <w:r>
        <w:t>.</w:t>
      </w:r>
    </w:p>
    <w:p w14:paraId="3FBBD516" w14:textId="77777777" w:rsidR="001054C3" w:rsidRDefault="001054C3" w:rsidP="00234FBE">
      <w:pPr>
        <w:pStyle w:val="Heading3"/>
      </w:pPr>
      <w:r>
        <w:t xml:space="preserve">Economic regulation should allow for investment by water </w:t>
      </w:r>
      <w:r w:rsidRPr="002E4DE4">
        <w:t>utilities</w:t>
      </w:r>
    </w:p>
    <w:p w14:paraId="23EA9405" w14:textId="77777777" w:rsidR="001054C3" w:rsidRDefault="001054C3" w:rsidP="00234FBE">
      <w:pPr>
        <w:pStyle w:val="BodyText"/>
      </w:pPr>
      <w:r>
        <w:t>Some aspects of water knowledge generation are best funded by businesses. A clear example is research that supports continuous improvement in the operation of water service utilities. Improved understanding of urban water use, values and systems has the potential to lead to efficiency improvements, better outcomes and possibly lower service provision costs.</w:t>
      </w:r>
    </w:p>
    <w:p w14:paraId="793D5449" w14:textId="77777777" w:rsidR="001054C3" w:rsidRDefault="001054C3" w:rsidP="00234FBE">
      <w:pPr>
        <w:pStyle w:val="BodyText"/>
      </w:pPr>
      <w:r>
        <w:t>Inclusion of an expectation that regulated utilities will invest in research and development activities relevant to their businesses in statements of obligations, or similar governing documents, would empower utilities and ensure that economic regulators include associated expenditure when making price determinations.</w:t>
      </w:r>
    </w:p>
    <w:p w14:paraId="40D777DE" w14:textId="5A1797DD" w:rsidR="001054C3" w:rsidRDefault="001054C3" w:rsidP="00234FBE">
      <w:pPr>
        <w:pStyle w:val="Heading2"/>
      </w:pPr>
      <w:bookmarkStart w:id="211" w:name="_Toc72939554"/>
      <w:r>
        <w:t>16.</w:t>
      </w:r>
      <w:r>
        <w:rPr>
          <w:noProof/>
        </w:rPr>
        <w:t>2</w:t>
      </w:r>
      <w:bookmarkStart w:id="212" w:name="_Toc63112512"/>
      <w:r>
        <w:tab/>
        <w:t>U</w:t>
      </w:r>
      <w:r w:rsidRPr="00F27199">
        <w:t>se of knowledge</w:t>
      </w:r>
      <w:r>
        <w:t xml:space="preserve"> also needs to be optimised</w:t>
      </w:r>
      <w:bookmarkEnd w:id="211"/>
      <w:bookmarkEnd w:id="212"/>
    </w:p>
    <w:p w14:paraId="251E6986" w14:textId="23A2B484" w:rsidR="001054C3" w:rsidRDefault="001054C3" w:rsidP="00234FBE">
      <w:pPr>
        <w:pStyle w:val="BodyText"/>
      </w:pPr>
      <w:r>
        <w:t>Creation of knowledge is not enough to ensure that decision making is based on the best available evidence.</w:t>
      </w:r>
      <w:r w:rsidRPr="00F27199">
        <w:t xml:space="preserve"> Decision makers need to know information exists. </w:t>
      </w:r>
      <w:r>
        <w:t>And t</w:t>
      </w:r>
      <w:r w:rsidRPr="00F27199">
        <w:t xml:space="preserve">hey are more likely to use information if they </w:t>
      </w:r>
      <w:r>
        <w:t xml:space="preserve">trust its source and </w:t>
      </w:r>
      <w:r w:rsidRPr="00F27199">
        <w:t xml:space="preserve">have confidence in </w:t>
      </w:r>
      <w:r>
        <w:t>its</w:t>
      </w:r>
      <w:r w:rsidRPr="00F27199">
        <w:t xml:space="preserve"> quality.</w:t>
      </w:r>
      <w:r>
        <w:t xml:space="preserve"> The flow of information between producers and users need to be fostered </w:t>
      </w:r>
      <w:r w:rsidRPr="00D8442D">
        <w:rPr>
          <w:szCs w:val="24"/>
        </w:rPr>
        <w:t>(PC 2010, p. 19)</w:t>
      </w:r>
      <w:r w:rsidRPr="004F428C">
        <w:t>.</w:t>
      </w:r>
    </w:p>
    <w:p w14:paraId="1AC30669" w14:textId="77777777" w:rsidR="001054C3" w:rsidRDefault="001054C3" w:rsidP="00234FBE">
      <w:pPr>
        <w:pStyle w:val="Heading3"/>
      </w:pPr>
      <w:r>
        <w:t>Strong partnerships facilitate best-practice use of evidence</w:t>
      </w:r>
    </w:p>
    <w:p w14:paraId="46D99D9F" w14:textId="77777777" w:rsidR="001054C3" w:rsidRDefault="001054C3" w:rsidP="00234FBE">
      <w:pPr>
        <w:pStyle w:val="BodyText"/>
      </w:pPr>
      <w:r>
        <w:t>A short</w:t>
      </w:r>
      <w:r>
        <w:noBreakHyphen/>
        <w:t>term need for knowledge characterises many policy situations. Decisions frequently need to be made quickly and decision makers will draw on available information. Data from regular monitoring activities are likely to be useful as well as the results of systematic reviews and expert opinion. Investments in data gathering and monitoring activities, and in establishing durable links between decision makers and the research community, position decision makers to use the best available evidence in such situations.</w:t>
      </w:r>
    </w:p>
    <w:p w14:paraId="2580AE6F" w14:textId="77777777" w:rsidR="001054C3" w:rsidRDefault="001054C3" w:rsidP="00234FBE">
      <w:pPr>
        <w:pStyle w:val="BodyText"/>
      </w:pPr>
      <w:r>
        <w:t xml:space="preserve">For the medium term, decision makers can create new knowledge. Filling gaps provides opportunities to establish and build on collaborative relationships. </w:t>
      </w:r>
      <w:r w:rsidRPr="004F66AB">
        <w:t xml:space="preserve">Over the longer term, </w:t>
      </w:r>
      <w:r w:rsidRPr="004F66AB">
        <w:lastRenderedPageBreak/>
        <w:t xml:space="preserve">researchers have the opportunity to investigate </w:t>
      </w:r>
      <w:r>
        <w:t xml:space="preserve">ongoing, </w:t>
      </w:r>
      <w:r w:rsidRPr="004F66AB">
        <w:t>new and emerging</w:t>
      </w:r>
      <w:r>
        <w:t xml:space="preserve"> areas of interest for policy. </w:t>
      </w:r>
      <w:bookmarkStart w:id="213" w:name="_Hlk61020246"/>
      <w:r>
        <w:t>Long</w:t>
      </w:r>
      <w:r>
        <w:noBreakHyphen/>
        <w:t>term knowledge building should be strategic and directed at developing the knowledge</w:t>
      </w:r>
      <w:bookmarkEnd w:id="213"/>
      <w:r>
        <w:t>, models and data likely to be helpful in meeting policy needs and identify the issues and opportunities of the future. Knowledge of water systems under a changing climate is a good example. Long</w:t>
      </w:r>
      <w:r>
        <w:noBreakHyphen/>
        <w:t>term research activities also help generate and maintain the skills and knowledge base that supports short</w:t>
      </w:r>
      <w:r>
        <w:noBreakHyphen/>
        <w:t xml:space="preserve"> and medium</w:t>
      </w:r>
      <w:r>
        <w:noBreakHyphen/>
        <w:t>term work.</w:t>
      </w:r>
    </w:p>
    <w:p w14:paraId="54B0B1B6" w14:textId="77777777" w:rsidR="001054C3" w:rsidRDefault="001054C3" w:rsidP="00234FBE">
      <w:pPr>
        <w:pStyle w:val="BodyText"/>
      </w:pPr>
      <w:r>
        <w:t>Successful approaches to establishing and maintaining constructive relationships across disciplines include communities of practice and CRCs. However, few institutional mechanisms now exist to regularly bring water decision makers and researchers together, risking a disconnect between science and policy.</w:t>
      </w:r>
    </w:p>
    <w:p w14:paraId="199E87B5" w14:textId="380727DC" w:rsidR="001054C3" w:rsidRDefault="001054C3" w:rsidP="00234FBE">
      <w:pPr>
        <w:pStyle w:val="BodyText"/>
      </w:pPr>
      <w:r>
        <w:t>O</w:t>
      </w:r>
      <w:r w:rsidRPr="0025202A">
        <w:t xml:space="preserve">ver time the CRC program has progressively shifted toward a commercial focus. </w:t>
      </w:r>
      <w:r>
        <w:t>This is likely to mean fewer successful water</w:t>
      </w:r>
      <w:r>
        <w:noBreakHyphen/>
        <w:t>related CRC bids, despite the model being well</w:t>
      </w:r>
      <w:r>
        <w:noBreakHyphen/>
        <w:t xml:space="preserve">suited to the needs of the sector. As the Commission has previously noted ‘[t]he original objectives of the program should be reinstated — namely, the translation of research outputs into economic, social and environmental benefits, rather than focusing public support on the commercialisation of industrial research alone’ </w:t>
      </w:r>
      <w:r w:rsidRPr="005F4DAE">
        <w:rPr>
          <w:szCs w:val="24"/>
        </w:rPr>
        <w:t>(PC 2007, p. xxix)</w:t>
      </w:r>
      <w:r>
        <w:t xml:space="preserve">. </w:t>
      </w:r>
      <w:r w:rsidRPr="00B067C8">
        <w:t xml:space="preserve">If water sector programs with a strong public good focus are not eligible under the CRC program, consideration could be given to alternative research </w:t>
      </w:r>
      <w:r>
        <w:t xml:space="preserve">investment </w:t>
      </w:r>
      <w:r w:rsidRPr="00B067C8">
        <w:t>model</w:t>
      </w:r>
      <w:r>
        <w:t>s</w:t>
      </w:r>
      <w:r w:rsidRPr="00B067C8">
        <w:t xml:space="preserve"> that share the features</w:t>
      </w:r>
      <w:r>
        <w:t xml:space="preserve"> of CRCs</w:t>
      </w:r>
      <w:r w:rsidRPr="00DD6F60">
        <w:t>.</w:t>
      </w:r>
    </w:p>
    <w:p w14:paraId="71C8F681" w14:textId="77777777" w:rsidR="001054C3" w:rsidRDefault="001054C3" w:rsidP="00234FBE">
      <w:pPr>
        <w:pStyle w:val="Heading3"/>
      </w:pPr>
      <w:r>
        <w:t>Capacity and capability building are also important</w:t>
      </w:r>
    </w:p>
    <w:p w14:paraId="45A5A534" w14:textId="77777777" w:rsidR="001054C3" w:rsidRDefault="001054C3" w:rsidP="00234FBE">
      <w:pPr>
        <w:pStyle w:val="BodyText"/>
      </w:pPr>
      <w:r>
        <w:t xml:space="preserve">Without adequate capacity and capability, new knowledge generated will be of little value. </w:t>
      </w:r>
      <w:r w:rsidRPr="00B067C8">
        <w:t>To effectively implement a renewed NWI, w</w:t>
      </w:r>
      <w:r w:rsidRPr="00E94D80">
        <w:t>a</w:t>
      </w:r>
      <w:r w:rsidRPr="00827310">
        <w:t>ter planners</w:t>
      </w:r>
      <w:r>
        <w:t>,</w:t>
      </w:r>
      <w:r w:rsidRPr="00827310">
        <w:t xml:space="preserve"> </w:t>
      </w:r>
      <w:r>
        <w:t xml:space="preserve">system </w:t>
      </w:r>
      <w:r w:rsidRPr="00827310">
        <w:t>managers</w:t>
      </w:r>
      <w:r>
        <w:t>, regulators</w:t>
      </w:r>
      <w:r w:rsidRPr="00827310">
        <w:t xml:space="preserve"> and policy makers </w:t>
      </w:r>
      <w:r>
        <w:t>will need both c</w:t>
      </w:r>
      <w:r w:rsidRPr="00827310">
        <w:t>apacity</w:t>
      </w:r>
      <w:r>
        <w:t xml:space="preserve"> </w:t>
      </w:r>
      <w:r w:rsidRPr="00827310">
        <w:t xml:space="preserve">and capability </w:t>
      </w:r>
      <w:r>
        <w:t>— that is, resources to identify and access the best available information and the requisite knowledge, experience and skills to evaluate and use them.</w:t>
      </w:r>
    </w:p>
    <w:p w14:paraId="7EBF9CEB" w14:textId="77777777" w:rsidR="001054C3" w:rsidRDefault="001054C3" w:rsidP="00234FBE">
      <w:pPr>
        <w:pStyle w:val="BodyText"/>
      </w:pPr>
      <w:r>
        <w:t>Water utility staff also need support, training, skills and qualifications to discharge their functions. Meeting these needs is primarily within the remit of the utilities. However, given the importance of the sector to community wellbeing, governments have a responsibility to monitor and ensure appropriate systems are in place to maintain capability. Small</w:t>
      </w:r>
      <w:r>
        <w:noBreakHyphen/>
        <w:t xml:space="preserve">scale utilities providing water services in regional and remote areas appear to face particular challenges in recruiting and retaining skilled operational staff. </w:t>
      </w:r>
      <w:r w:rsidRPr="002B5CA9">
        <w:t xml:space="preserve">Consideration of the provision of community service obligation payments, where utilities are not able to adequately recover costs (SP G </w:t>
      </w:r>
      <w:r w:rsidRPr="00605A32">
        <w:rPr>
          <w:i/>
          <w:iCs/>
        </w:rPr>
        <w:t>Regional</w:t>
      </w:r>
      <w:r w:rsidRPr="002B5CA9">
        <w:t>), should take account of these challenges to ensure utilities maintain the capability to provide a basic level of service.</w:t>
      </w:r>
    </w:p>
    <w:p w14:paraId="17F3EC31" w14:textId="77777777" w:rsidR="001054C3" w:rsidRDefault="001054C3" w:rsidP="00234FBE">
      <w:pPr>
        <w:pStyle w:val="BodyText"/>
      </w:pPr>
      <w:r>
        <w:t>The recognition of capacity in the current NWI should be retained, and a commitment to capability development added, through NWI renewal.</w:t>
      </w:r>
    </w:p>
    <w:p w14:paraId="03B8E15B" w14:textId="77777777" w:rsidR="001054C3" w:rsidRPr="00F94210" w:rsidRDefault="001054C3" w:rsidP="00234F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054C3" w:rsidRPr="00F94210" w14:paraId="258A6A19" w14:textId="77777777" w:rsidTr="00234FBE">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6AA1375" w14:textId="77777777" w:rsidR="001054C3" w:rsidRDefault="001054C3" w:rsidP="00234FBE">
            <w:pPr>
              <w:keepNext/>
              <w:keepLines/>
              <w:spacing w:before="120" w:line="280" w:lineRule="atLeast"/>
              <w:jc w:val="both"/>
              <w:rPr>
                <w:rFonts w:ascii="Arial" w:hAnsi="Arial"/>
                <w:caps/>
                <w:sz w:val="18"/>
                <w:szCs w:val="20"/>
              </w:rPr>
            </w:pPr>
            <w:r>
              <w:rPr>
                <w:rFonts w:ascii="Arial" w:hAnsi="Arial"/>
                <w:caps/>
                <w:sz w:val="18"/>
                <w:szCs w:val="20"/>
              </w:rPr>
              <w:t>NWI RENEWAL ADVICE 16.1: effective knowledge generation</w:t>
            </w:r>
          </w:p>
          <w:p w14:paraId="25B96093" w14:textId="77777777" w:rsidR="001054C3" w:rsidRPr="0053359D" w:rsidRDefault="001054C3" w:rsidP="00234FBE">
            <w:pPr>
              <w:keepLines/>
              <w:spacing w:before="120" w:line="280" w:lineRule="atLeast"/>
              <w:jc w:val="both"/>
              <w:rPr>
                <w:rFonts w:ascii="Arial" w:hAnsi="Arial"/>
                <w:sz w:val="22"/>
                <w:szCs w:val="20"/>
              </w:rPr>
            </w:pPr>
            <w:r w:rsidRPr="0053359D">
              <w:rPr>
                <w:rFonts w:ascii="Arial" w:hAnsi="Arial"/>
                <w:sz w:val="22"/>
                <w:szCs w:val="20"/>
              </w:rPr>
              <w:t>Commitment to a culture of evidence</w:t>
            </w:r>
            <w:r>
              <w:rPr>
                <w:rFonts w:ascii="Arial" w:hAnsi="Arial"/>
                <w:sz w:val="22"/>
                <w:szCs w:val="20"/>
              </w:rPr>
              <w:noBreakHyphen/>
            </w:r>
            <w:r w:rsidRPr="0053359D">
              <w:rPr>
                <w:rFonts w:ascii="Arial" w:hAnsi="Arial"/>
                <w:sz w:val="22"/>
                <w:szCs w:val="20"/>
              </w:rPr>
              <w:t xml:space="preserve">based decision making, innovation and continuous improvement will underpin successful implementation of a renewed </w:t>
            </w:r>
            <w:r>
              <w:rPr>
                <w:rFonts w:ascii="Arial" w:hAnsi="Arial"/>
                <w:sz w:val="22"/>
                <w:szCs w:val="20"/>
              </w:rPr>
              <w:t>National Water Initiative</w:t>
            </w:r>
            <w:r w:rsidRPr="0053359D">
              <w:rPr>
                <w:rFonts w:ascii="Arial" w:hAnsi="Arial"/>
                <w:sz w:val="22"/>
                <w:szCs w:val="20"/>
              </w:rPr>
              <w:t xml:space="preserve">. </w:t>
            </w:r>
            <w:r>
              <w:rPr>
                <w:rFonts w:ascii="Arial" w:hAnsi="Arial"/>
                <w:sz w:val="22"/>
                <w:szCs w:val="20"/>
              </w:rPr>
              <w:t>Inclusion of the following principles in a renewed National Water Initiative would bring that to effect.</w:t>
            </w:r>
          </w:p>
          <w:p w14:paraId="53BA9E8C" w14:textId="77777777" w:rsidR="001054C3" w:rsidRPr="0053359D" w:rsidRDefault="001054C3" w:rsidP="00234FBE">
            <w:pPr>
              <w:pStyle w:val="RecBullet"/>
            </w:pPr>
            <w:r>
              <w:t>K</w:t>
            </w:r>
            <w:r w:rsidRPr="0053359D">
              <w:t xml:space="preserve">nowledge building priorities are identified through processes that </w:t>
            </w:r>
            <w:r>
              <w:t>involve all jurisdictions and draw on input from</w:t>
            </w:r>
            <w:r w:rsidRPr="0053359D">
              <w:t xml:space="preserve"> the research community</w:t>
            </w:r>
            <w:r>
              <w:t xml:space="preserve"> and research users.</w:t>
            </w:r>
          </w:p>
          <w:p w14:paraId="39615513" w14:textId="77777777" w:rsidR="001054C3" w:rsidRPr="0053359D" w:rsidRDefault="001054C3" w:rsidP="00234FBE">
            <w:pPr>
              <w:pStyle w:val="RecBullet"/>
            </w:pPr>
            <w:r>
              <w:t>G</w:t>
            </w:r>
            <w:r w:rsidRPr="0053359D">
              <w:t xml:space="preserve">overnments invest in knowledge generation activities that align with identified priorities and </w:t>
            </w:r>
            <w:r>
              <w:t>serve the public good.</w:t>
            </w:r>
          </w:p>
          <w:p w14:paraId="6609892D" w14:textId="77777777" w:rsidR="001054C3" w:rsidRPr="0053359D" w:rsidRDefault="001054C3" w:rsidP="00234FBE">
            <w:pPr>
              <w:pStyle w:val="RecBullet"/>
            </w:pPr>
            <w:r>
              <w:t>I</w:t>
            </w:r>
            <w:r w:rsidRPr="0053359D">
              <w:t>nvestments are streamlined through effective coordination between jurisdictions</w:t>
            </w:r>
            <w:r>
              <w:t>.</w:t>
            </w:r>
          </w:p>
          <w:p w14:paraId="16E063EF" w14:textId="77777777" w:rsidR="001054C3" w:rsidRPr="0053359D" w:rsidRDefault="001054C3" w:rsidP="00234FBE">
            <w:pPr>
              <w:pStyle w:val="RecBullet"/>
            </w:pPr>
            <w:r>
              <w:t>U</w:t>
            </w:r>
            <w:r w:rsidRPr="0053359D">
              <w:t>tilities are empowered to invest efficiently in knowledge generation</w:t>
            </w:r>
            <w:r>
              <w:t>.</w:t>
            </w:r>
          </w:p>
          <w:p w14:paraId="39668079" w14:textId="77777777" w:rsidR="001054C3" w:rsidRPr="0053359D" w:rsidRDefault="001054C3" w:rsidP="00234FBE">
            <w:pPr>
              <w:pStyle w:val="RecBullet"/>
            </w:pPr>
            <w:r>
              <w:t>S</w:t>
            </w:r>
            <w:r w:rsidRPr="0053359D">
              <w:t>trong, durable partnerships between decision makers and knowledge generators are developed and actively managed</w:t>
            </w:r>
            <w:r>
              <w:t>.</w:t>
            </w:r>
          </w:p>
          <w:p w14:paraId="2C5B61B9" w14:textId="77777777" w:rsidR="001054C3" w:rsidRPr="0053359D" w:rsidRDefault="001054C3" w:rsidP="00234FBE">
            <w:pPr>
              <w:pStyle w:val="RecBullet"/>
            </w:pPr>
            <w:r>
              <w:t>D</w:t>
            </w:r>
            <w:r w:rsidRPr="0053359D">
              <w:t>ecision makers have the capability and capacity to use knowledge effectively in making evidence</w:t>
            </w:r>
            <w:r>
              <w:noBreakHyphen/>
            </w:r>
            <w:r w:rsidRPr="0053359D">
              <w:t>based decisions</w:t>
            </w:r>
            <w:r>
              <w:t>.</w:t>
            </w:r>
          </w:p>
          <w:p w14:paraId="48C0BFC9" w14:textId="77777777" w:rsidR="001054C3" w:rsidRPr="00F94210" w:rsidRDefault="001054C3" w:rsidP="00234FBE">
            <w:pPr>
              <w:pStyle w:val="RecBullet"/>
            </w:pPr>
            <w:r>
              <w:t>W</w:t>
            </w:r>
            <w:r w:rsidRPr="0053359D">
              <w:t>ater utility staff have the capacity and capability to discharge their functions.</w:t>
            </w:r>
          </w:p>
        </w:tc>
      </w:tr>
      <w:tr w:rsidR="001054C3" w:rsidRPr="00F94210" w14:paraId="22AEAFD6" w14:textId="77777777" w:rsidTr="00234FBE">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A150006" w14:textId="77777777" w:rsidR="001054C3" w:rsidRPr="00F94210" w:rsidRDefault="001054C3" w:rsidP="00234FBE">
            <w:pPr>
              <w:keepNext/>
              <w:keepLines/>
              <w:spacing w:line="120" w:lineRule="exact"/>
              <w:jc w:val="both"/>
              <w:rPr>
                <w:rFonts w:ascii="Arial" w:hAnsi="Arial"/>
                <w:sz w:val="20"/>
                <w:szCs w:val="20"/>
              </w:rPr>
            </w:pPr>
          </w:p>
        </w:tc>
      </w:tr>
      <w:tr w:rsidR="001054C3" w:rsidRPr="00F94210" w14:paraId="661EA96A" w14:textId="77777777" w:rsidTr="00234FBE">
        <w:tc>
          <w:tcPr>
            <w:tcW w:w="5000" w:type="pct"/>
            <w:tcBorders>
              <w:top w:val="single" w:sz="6" w:space="0" w:color="0070C0"/>
              <w:left w:val="nil"/>
              <w:bottom w:val="nil"/>
              <w:right w:val="nil"/>
            </w:tcBorders>
            <w:tcMar>
              <w:left w:w="170" w:type="dxa"/>
              <w:right w:w="170" w:type="dxa"/>
            </w:tcMar>
          </w:tcPr>
          <w:p w14:paraId="229C6D6D" w14:textId="77777777" w:rsidR="001054C3" w:rsidRPr="00F94210" w:rsidRDefault="001054C3" w:rsidP="00234FBE">
            <w:pPr>
              <w:keepLines/>
              <w:spacing w:before="60" w:after="60" w:line="80" w:lineRule="exact"/>
              <w:jc w:val="both"/>
              <w:rPr>
                <w:rFonts w:ascii="Arial" w:hAnsi="Arial"/>
                <w:sz w:val="14"/>
                <w:szCs w:val="20"/>
              </w:rPr>
            </w:pPr>
          </w:p>
        </w:tc>
      </w:tr>
    </w:tbl>
    <w:p w14:paraId="6FFEB75E" w14:textId="77777777" w:rsidR="001054C3" w:rsidRDefault="001054C3" w:rsidP="00120072">
      <w:pPr>
        <w:pStyle w:val="BodyText"/>
      </w:pPr>
    </w:p>
    <w:p w14:paraId="19CD916E" w14:textId="77777777" w:rsidR="001054C3" w:rsidRDefault="001054C3" w:rsidP="001054C3">
      <w:pPr>
        <w:sectPr w:rsidR="001054C3" w:rsidSect="001054C3">
          <w:headerReference w:type="even" r:id="rId148"/>
          <w:headerReference w:type="default" r:id="rId149"/>
          <w:footerReference w:type="even" r:id="rId150"/>
          <w:footerReference w:type="default" r:id="rId151"/>
          <w:type w:val="oddPage"/>
          <w:pgSz w:w="11907" w:h="16840" w:code="9"/>
          <w:pgMar w:top="1985" w:right="1304" w:bottom="1247" w:left="1814" w:header="1701" w:footer="397" w:gutter="0"/>
          <w:pgNumType w:chapSep="period"/>
          <w:cols w:space="720"/>
          <w:docGrid w:linePitch="326"/>
        </w:sectPr>
      </w:pPr>
    </w:p>
    <w:p w14:paraId="7E50E99F" w14:textId="77777777" w:rsidR="001054C3" w:rsidRDefault="001054C3" w:rsidP="00DE301C">
      <w:pPr>
        <w:pStyle w:val="Heading1"/>
        <w:spacing w:after="1200"/>
      </w:pPr>
      <w:bookmarkStart w:id="214" w:name="_AppendixNotByChapter"/>
      <w:bookmarkStart w:id="215" w:name="_Toc72939555"/>
      <w:bookmarkEnd w:id="214"/>
      <w:r>
        <w:lastRenderedPageBreak/>
        <w:t>A</w:t>
      </w:r>
      <w:r>
        <w:tab/>
        <w:t>Terms of Reference</w:t>
      </w:r>
      <w:bookmarkEnd w:id="215"/>
    </w:p>
    <w:p w14:paraId="011F6F9A" w14:textId="77777777" w:rsidR="001054C3" w:rsidRPr="00466CC2" w:rsidRDefault="001054C3" w:rsidP="00234FBE">
      <w:pPr>
        <w:pStyle w:val="Heading3"/>
      </w:pPr>
      <w:r w:rsidRPr="00466CC2">
        <w:t xml:space="preserve">National Water Inquiry </w:t>
      </w:r>
    </w:p>
    <w:p w14:paraId="2E091DB8" w14:textId="77777777" w:rsidR="001054C3" w:rsidRPr="00466CC2" w:rsidRDefault="001054C3" w:rsidP="00234FBE">
      <w:pPr>
        <w:pStyle w:val="BodyText"/>
      </w:pPr>
      <w:r w:rsidRPr="00466CC2">
        <w:t xml:space="preserve">I, the Hon. Joshua Frydenberg MP, Treasurer, pursuant to Parts 2 and 3 of the </w:t>
      </w:r>
      <w:r w:rsidRPr="007D38C0">
        <w:rPr>
          <w:i/>
          <w:iCs/>
        </w:rPr>
        <w:t>Productivity Commission Act 1998</w:t>
      </w:r>
      <w:r w:rsidRPr="00466CC2">
        <w:t>, hereby request that the Productivity Commission (Commission) undertake an Inquiry into progress with the reform of Australia's water resources sector. The Inquiry should have a particular emphasis on the progress of all Australian governments in achieving the objectives, outcomes and timelines anticipated under the Intergovernmental Agreement on a National Water Initiative (NWI).</w:t>
      </w:r>
    </w:p>
    <w:p w14:paraId="2EC5ED38" w14:textId="77777777" w:rsidR="001054C3" w:rsidRPr="00466CC2" w:rsidRDefault="001054C3" w:rsidP="00DE301C">
      <w:pPr>
        <w:pStyle w:val="Heading3"/>
        <w:spacing w:before="440"/>
      </w:pPr>
      <w:r w:rsidRPr="00466CC2">
        <w:t>Background</w:t>
      </w:r>
    </w:p>
    <w:p w14:paraId="7A2A465C" w14:textId="77777777" w:rsidR="001054C3" w:rsidRPr="00466CC2" w:rsidRDefault="001054C3" w:rsidP="00234FBE">
      <w:pPr>
        <w:pStyle w:val="BodyText"/>
      </w:pPr>
      <w:r w:rsidRPr="00466CC2">
        <w:t>The Commission conducted its first national water reform Inquiry in 2017. The Commission found that Australia is managing its water resources well, given our dry and highly variable climate, and the importance of water to our economy. However there remains further work to do. Governments need to complete unfinished business from the NWI, including fully implementing entitlement and planning reforms, and respond to the challenges posed by population growth, climate change and changing community expectations.</w:t>
      </w:r>
    </w:p>
    <w:p w14:paraId="42DA24C8" w14:textId="77777777" w:rsidR="001054C3" w:rsidRPr="006D6590" w:rsidRDefault="001054C3" w:rsidP="00234FBE">
      <w:pPr>
        <w:pStyle w:val="BodyText"/>
        <w:rPr>
          <w:spacing w:val="2"/>
        </w:rPr>
      </w:pPr>
      <w:r w:rsidRPr="006D6590">
        <w:rPr>
          <w:spacing w:val="2"/>
        </w:rPr>
        <w:t>In April 2019, the Australian Government responded to the Commission’s 2017 Inquiry, including a commitment to the Commission’s recommendation of renewing the NWI. The Australian Government is now working with state and territory governments to progress this matter.</w:t>
      </w:r>
    </w:p>
    <w:p w14:paraId="45C1D75C" w14:textId="77777777" w:rsidR="001054C3" w:rsidRPr="00466CC2" w:rsidRDefault="001054C3" w:rsidP="00234FBE">
      <w:pPr>
        <w:pStyle w:val="BodyText"/>
      </w:pPr>
      <w:r w:rsidRPr="00466CC2">
        <w:t>State and territory governments are primarily responsible for the management of water resources within their jurisdictions. The Commonwealth has played a role in funding the acceleration of reform, providing leadership and coordination, and management of some transboundary resources where agreed by relevant jurisdictions.</w:t>
      </w:r>
    </w:p>
    <w:p w14:paraId="386FC1EF" w14:textId="77777777" w:rsidR="001054C3" w:rsidRPr="00466CC2" w:rsidRDefault="001054C3" w:rsidP="00234FBE">
      <w:pPr>
        <w:pStyle w:val="BodyText"/>
      </w:pPr>
      <w:r w:rsidRPr="00466CC2">
        <w:t xml:space="preserve">Reform of the water sector has been ongoing over several decades, reflecting the fundamental importance of water to our economy and the significant challenges involved in managing a shared natural resource often impacted by periods of scarcity. A national approach to water reform started in 1994 through the </w:t>
      </w:r>
      <w:r>
        <w:t xml:space="preserve">landmark </w:t>
      </w:r>
      <w:r w:rsidRPr="00466CC2">
        <w:t xml:space="preserve">COAG water reform framework and has continued through subsequent initiatives such as the NWI (2004), </w:t>
      </w:r>
      <w:r w:rsidRPr="00E073E9">
        <w:t>the</w:t>
      </w:r>
      <w:r w:rsidRPr="007D38C0">
        <w:rPr>
          <w:i/>
          <w:iCs/>
        </w:rPr>
        <w:t xml:space="preserve"> Water Act 2007</w:t>
      </w:r>
      <w:r w:rsidRPr="00466CC2">
        <w:t xml:space="preserve"> (Cwth) and the Murray-Darling Basin Plan (November 2012).</w:t>
      </w:r>
    </w:p>
    <w:p w14:paraId="037FAB20" w14:textId="509E25DE" w:rsidR="001054C3" w:rsidRPr="00466CC2" w:rsidRDefault="001054C3" w:rsidP="00234FBE">
      <w:pPr>
        <w:pStyle w:val="BodyText"/>
      </w:pPr>
      <w:r w:rsidRPr="00466CC2">
        <w:t xml:space="preserve">The Inquiry into the reform of Australia's water resources sector will fulfil the statutory requirement for the second of the Commission's triennial assessments of progress towards achieving the objectives and outcomes of the NWI required by section 88 of the </w:t>
      </w:r>
      <w:r w:rsidRPr="007D38C0">
        <w:rPr>
          <w:i/>
          <w:iCs/>
        </w:rPr>
        <w:t>Water Act 2007</w:t>
      </w:r>
      <w:r w:rsidRPr="00466CC2">
        <w:t xml:space="preserve"> and these terms of reference should be read in conjunction with that Act. </w:t>
      </w:r>
    </w:p>
    <w:p w14:paraId="53D4A4D8" w14:textId="77777777" w:rsidR="001054C3" w:rsidRPr="00466CC2" w:rsidRDefault="001054C3" w:rsidP="00234FBE">
      <w:pPr>
        <w:pStyle w:val="Heading3"/>
      </w:pPr>
      <w:r w:rsidRPr="00466CC2">
        <w:lastRenderedPageBreak/>
        <w:t>Scope of the inquiry</w:t>
      </w:r>
    </w:p>
    <w:p w14:paraId="1FC4D17B" w14:textId="77777777" w:rsidR="001054C3" w:rsidRPr="00466CC2" w:rsidRDefault="001054C3" w:rsidP="00234FBE">
      <w:pPr>
        <w:pStyle w:val="BodyText"/>
      </w:pPr>
      <w:r w:rsidRPr="00466CC2">
        <w:t>The Inquiry should assess progress towards achieving the objectives and outcomes of the NWI. As the NWI was agreed in 2004, the scope of the Inquiry is broader than that explicitly required by legislation. The Inquiry should also continue to examine whether the water reforms agreed in the NWI, along with any other subsequent reforms adopted by COAG, are achieving their intended outcomes.</w:t>
      </w:r>
    </w:p>
    <w:p w14:paraId="5CA51B72" w14:textId="77777777" w:rsidR="001054C3" w:rsidRPr="00466CC2" w:rsidRDefault="001054C3" w:rsidP="00234FBE">
      <w:pPr>
        <w:pStyle w:val="BodyText"/>
      </w:pPr>
      <w:r w:rsidRPr="00466CC2">
        <w:t>In undertaking the Inquiry, the Commission should assess:</w:t>
      </w:r>
    </w:p>
    <w:p w14:paraId="451AD45B" w14:textId="77777777" w:rsidR="001054C3" w:rsidRPr="00466CC2" w:rsidRDefault="001054C3" w:rsidP="00234FBE">
      <w:pPr>
        <w:pStyle w:val="ListBullet"/>
      </w:pPr>
      <w:r w:rsidRPr="00466CC2">
        <w:t>progress in jurisdictional adoption of NWI principles, objectives and key outcomes, and where these have not been adopted, the impacts and opportunity costs of not doing so</w:t>
      </w:r>
    </w:p>
    <w:p w14:paraId="31518F23" w14:textId="77777777" w:rsidR="001054C3" w:rsidRPr="00466CC2" w:rsidRDefault="001054C3" w:rsidP="00234FBE">
      <w:pPr>
        <w:pStyle w:val="ListBullet"/>
      </w:pPr>
      <w:r w:rsidRPr="00466CC2">
        <w:t xml:space="preserve">the outcomes to date of the NWI and related water reform efforts, taking account of other drivers of reform </w:t>
      </w:r>
    </w:p>
    <w:p w14:paraId="20ECF0A8" w14:textId="77777777" w:rsidR="001054C3" w:rsidRPr="00466CC2" w:rsidRDefault="001054C3" w:rsidP="00234FBE">
      <w:pPr>
        <w:pStyle w:val="ListBullet"/>
      </w:pPr>
      <w:r w:rsidRPr="00466CC2">
        <w:t>the extent to which the NWI reforms are adequate to support government responses to emerging or changing water management challenges such as climate change, and</w:t>
      </w:r>
    </w:p>
    <w:p w14:paraId="3CD926B0" w14:textId="77777777" w:rsidR="001054C3" w:rsidRPr="00466CC2" w:rsidRDefault="001054C3" w:rsidP="00234FBE">
      <w:pPr>
        <w:pStyle w:val="ListBullet"/>
      </w:pPr>
      <w:r w:rsidRPr="00466CC2">
        <w:t xml:space="preserve">provide any further practical advice on addressing the joint governments’ priorities for implementation of a renewed NWI, and </w:t>
      </w:r>
    </w:p>
    <w:p w14:paraId="71ADF69E" w14:textId="77777777" w:rsidR="001054C3" w:rsidRPr="00466CC2" w:rsidRDefault="001054C3" w:rsidP="00234FBE">
      <w:pPr>
        <w:pStyle w:val="ListBullet"/>
      </w:pPr>
      <w:r w:rsidRPr="00466CC2">
        <w:t>provide specific practical advice on ways in which the NWI could be improved to support better social, economic and environmental outcomes.</w:t>
      </w:r>
    </w:p>
    <w:p w14:paraId="39DAEC95" w14:textId="77777777" w:rsidR="001054C3" w:rsidRPr="00466CC2" w:rsidRDefault="001054C3" w:rsidP="00234FBE">
      <w:pPr>
        <w:pStyle w:val="BodyText"/>
      </w:pPr>
      <w:r w:rsidRPr="00466CC2">
        <w:t>The Commission should also consider:</w:t>
      </w:r>
    </w:p>
    <w:p w14:paraId="1EB2DA3C" w14:textId="527E7BB8" w:rsidR="001054C3" w:rsidRPr="00466CC2" w:rsidRDefault="001054C3" w:rsidP="00234FBE">
      <w:pPr>
        <w:pStyle w:val="ListBullet"/>
      </w:pPr>
      <w:r w:rsidRPr="00466CC2">
        <w:t>the interaction of water policy with other policy areas such as climate, energy, agriculture, forestry, land use planning and urban development</w:t>
      </w:r>
    </w:p>
    <w:p w14:paraId="4E6AFBEC" w14:textId="77777777" w:rsidR="001054C3" w:rsidRPr="00466CC2" w:rsidRDefault="001054C3" w:rsidP="00234FBE">
      <w:pPr>
        <w:pStyle w:val="ListBullet"/>
      </w:pPr>
      <w:r w:rsidRPr="00466CC2">
        <w:t>the policy ramifications of emerging climate change impacts on water resources</w:t>
      </w:r>
    </w:p>
    <w:p w14:paraId="794F7B8D" w14:textId="77777777" w:rsidR="001054C3" w:rsidRPr="00466CC2" w:rsidRDefault="001054C3" w:rsidP="00234FBE">
      <w:pPr>
        <w:pStyle w:val="ListBullet"/>
      </w:pPr>
      <w:r w:rsidRPr="00466CC2">
        <w:t>the provision of reliable water services to regional, rural and remote communities</w:t>
      </w:r>
    </w:p>
    <w:p w14:paraId="7943C2DC" w14:textId="595D2D71" w:rsidR="001054C3" w:rsidRPr="00466CC2" w:rsidRDefault="001054C3" w:rsidP="00234FBE">
      <w:pPr>
        <w:pStyle w:val="ListBullet"/>
      </w:pPr>
      <w:r w:rsidRPr="00466CC2">
        <w:t>the principles to be satisfied for any government investment in major water infrastructure projects</w:t>
      </w:r>
    </w:p>
    <w:p w14:paraId="37976ED4" w14:textId="77777777" w:rsidR="001054C3" w:rsidRPr="00466CC2" w:rsidRDefault="001054C3" w:rsidP="00234FBE">
      <w:pPr>
        <w:pStyle w:val="ListBullet"/>
      </w:pPr>
      <w:r w:rsidRPr="00466CC2">
        <w:t>issues identified in the Commission’s 2017 Report, and</w:t>
      </w:r>
    </w:p>
    <w:p w14:paraId="47838D10" w14:textId="77777777" w:rsidR="001054C3" w:rsidRPr="00466CC2" w:rsidRDefault="001054C3" w:rsidP="00234FBE">
      <w:pPr>
        <w:pStyle w:val="ListBullet"/>
      </w:pPr>
      <w:r w:rsidRPr="00466CC2">
        <w:t>international experiences and examples.</w:t>
      </w:r>
    </w:p>
    <w:p w14:paraId="1CC774AF" w14:textId="77777777" w:rsidR="001054C3" w:rsidRPr="00466CC2" w:rsidRDefault="001054C3" w:rsidP="00234FBE">
      <w:pPr>
        <w:pStyle w:val="BodyText"/>
      </w:pPr>
      <w:r w:rsidRPr="00466CC2">
        <w:t>In order to enhance transparency, the Commission should also assess the progress of water planning across Australia to improve clarity around the complex and often not well understood water planning processes within each jurisdiction. There should be a focus on policy and legislative processes for water planning in each jurisdiction, rather than detailed on-ground implementation arrangements. The Commission should seek to identify areas of better practice and areas where improvement is required. The Commission should consider the format for reporting this assessment to clearly convey its findings to a broad audience, including those stakeholders seeking to understand the state of water planning in their regional area.</w:t>
      </w:r>
    </w:p>
    <w:p w14:paraId="2AD41732" w14:textId="77777777" w:rsidR="001054C3" w:rsidRPr="00466CC2" w:rsidRDefault="001054C3" w:rsidP="00234FBE">
      <w:pPr>
        <w:pStyle w:val="BodyText"/>
      </w:pPr>
      <w:r w:rsidRPr="00466CC2">
        <w:lastRenderedPageBreak/>
        <w:t>The Commission should make recommendations on actions that the parties to the NWI might take to better achieve the NWI objectives and outcomes, and recommendations for future reform priorities. In making its recommendations, the Commission should provide specific, practical advice on ways in which the NWI could be improved, including specific advice to assist governments’ progress their commitment to renew the NWI.</w:t>
      </w:r>
    </w:p>
    <w:p w14:paraId="258AA6CB" w14:textId="77777777" w:rsidR="001054C3" w:rsidRPr="00466CC2" w:rsidRDefault="001054C3" w:rsidP="00234FBE">
      <w:pPr>
        <w:pStyle w:val="BodyText"/>
      </w:pPr>
      <w:r w:rsidRPr="00466CC2">
        <w:t xml:space="preserve">The prioritisation of areas for future reform efforts should reflect the Commission's view as to those areas where continued efforts are required to improve economic, social and environmental outcomes, maintain the gains achieved to date, or where improved outcomes will be delivered from further development of water resources. </w:t>
      </w:r>
    </w:p>
    <w:p w14:paraId="532D741D" w14:textId="77777777" w:rsidR="001054C3" w:rsidRPr="00466CC2" w:rsidRDefault="001054C3" w:rsidP="00234FBE">
      <w:pPr>
        <w:pStyle w:val="BodyText"/>
      </w:pPr>
      <w:r w:rsidRPr="00466CC2">
        <w:t>The Commission should again avoid any duplication between this Inquiry and the Inquiry into the effectiveness of the implementation of the Basin Plan and the state and territory water resource plans.</w:t>
      </w:r>
    </w:p>
    <w:p w14:paraId="11CC697C" w14:textId="77777777" w:rsidR="001054C3" w:rsidRPr="00466CC2" w:rsidRDefault="001054C3" w:rsidP="00234FBE">
      <w:pPr>
        <w:pStyle w:val="Heading3"/>
      </w:pPr>
      <w:r w:rsidRPr="00466CC2">
        <w:t>Process</w:t>
      </w:r>
    </w:p>
    <w:p w14:paraId="69F77191" w14:textId="77777777" w:rsidR="001054C3" w:rsidRPr="00466CC2" w:rsidRDefault="001054C3" w:rsidP="00234FBE">
      <w:pPr>
        <w:pStyle w:val="BodyText"/>
      </w:pPr>
      <w:r w:rsidRPr="00466CC2">
        <w:t xml:space="preserve">The Commission should undertake a comprehensive consultation process including establishing a stakeholder working group in accordance with section 89 of the </w:t>
      </w:r>
      <w:r w:rsidRPr="007D38C0">
        <w:rPr>
          <w:i/>
          <w:iCs/>
        </w:rPr>
        <w:t>Water Act 2007</w:t>
      </w:r>
      <w:r w:rsidRPr="00466CC2">
        <w:t>, holding hearings, inviting public submissions and releasing a draft report to the public. The Commission should consult with Commonwealth, state and territory governments, and consumer, environmental, industry and Indigenous stakeholders.</w:t>
      </w:r>
    </w:p>
    <w:p w14:paraId="54CCB85E" w14:textId="77777777" w:rsidR="001054C3" w:rsidRPr="00466CC2" w:rsidRDefault="001054C3" w:rsidP="00234FBE">
      <w:pPr>
        <w:pStyle w:val="BodyText"/>
      </w:pPr>
      <w:r w:rsidRPr="00466CC2">
        <w:t>In conducting the analysis, the Commission should have regard to the submissions and reports of all relevant inquiries and government responses. The Commission should also take into account reform initiatives at the jurisdictional level relevant to the scope of the inquiry.</w:t>
      </w:r>
    </w:p>
    <w:p w14:paraId="4CC9CF2E" w14:textId="77777777" w:rsidR="001054C3" w:rsidRPr="00466CC2" w:rsidRDefault="001054C3" w:rsidP="00234FBE">
      <w:pPr>
        <w:pStyle w:val="BodyText"/>
      </w:pPr>
      <w:r w:rsidRPr="00466CC2">
        <w:t>The final report is to be provided to the Government by 31 December 2020.</w:t>
      </w:r>
    </w:p>
    <w:p w14:paraId="6880DF14" w14:textId="6D5AB015" w:rsidR="001054C3" w:rsidRPr="00466CC2" w:rsidRDefault="001054C3" w:rsidP="00FC3C17">
      <w:pPr>
        <w:pStyle w:val="BodyText"/>
        <w:spacing w:before="480"/>
        <w:jc w:val="left"/>
      </w:pPr>
      <w:r w:rsidRPr="009A23AF">
        <w:rPr>
          <w:b/>
          <w:bCs/>
        </w:rPr>
        <w:t>THE HON JOSH FRYDENBERG MP</w:t>
      </w:r>
      <w:r w:rsidR="00332EBB">
        <w:rPr>
          <w:b/>
          <w:bCs/>
        </w:rPr>
        <w:br/>
      </w:r>
      <w:r w:rsidRPr="00466CC2">
        <w:t>Treasurer</w:t>
      </w:r>
    </w:p>
    <w:p w14:paraId="32FB028B" w14:textId="77777777" w:rsidR="001054C3" w:rsidRDefault="001054C3" w:rsidP="00234FBE">
      <w:pPr>
        <w:spacing w:before="240" w:line="300" w:lineRule="atLeast"/>
        <w:jc w:val="both"/>
        <w:rPr>
          <w:szCs w:val="20"/>
        </w:rPr>
      </w:pPr>
      <w:r w:rsidRPr="00466CC2">
        <w:rPr>
          <w:szCs w:val="20"/>
        </w:rPr>
        <w:t>[Received 22 May 2020]</w:t>
      </w:r>
    </w:p>
    <w:p w14:paraId="629D6722" w14:textId="77777777" w:rsidR="001054C3" w:rsidRPr="00466CC2" w:rsidRDefault="001054C3" w:rsidP="00234FBE">
      <w:pPr>
        <w:pStyle w:val="Heading3"/>
      </w:pPr>
      <w:r>
        <w:t>Extension</w:t>
      </w:r>
    </w:p>
    <w:p w14:paraId="4B8A7EFC" w14:textId="77777777" w:rsidR="001054C3" w:rsidRDefault="001054C3" w:rsidP="00234FBE">
      <w:pPr>
        <w:pStyle w:val="BodyText"/>
      </w:pPr>
      <w:r w:rsidRPr="00466CC2">
        <w:t>The media release announcing the inquiry noted it would be completed in early 2021. That timeline has been extended to mid-2021 to provide households, businesses and governments with more time to engage with the Commission on the inquiry.</w:t>
      </w:r>
    </w:p>
    <w:p w14:paraId="1B365826" w14:textId="77777777" w:rsidR="001054C3" w:rsidRDefault="001054C3" w:rsidP="001054C3">
      <w:pPr>
        <w:sectPr w:rsidR="001054C3" w:rsidSect="001054C3">
          <w:headerReference w:type="even" r:id="rId152"/>
          <w:headerReference w:type="default" r:id="rId153"/>
          <w:footerReference w:type="even" r:id="rId154"/>
          <w:footerReference w:type="default" r:id="rId155"/>
          <w:type w:val="oddPage"/>
          <w:pgSz w:w="11907" w:h="16840" w:code="9"/>
          <w:pgMar w:top="1985" w:right="1304" w:bottom="1247" w:left="1814" w:header="1701" w:footer="397" w:gutter="0"/>
          <w:pgNumType w:chapSep="period"/>
          <w:cols w:space="720"/>
          <w:docGrid w:linePitch="326"/>
        </w:sectPr>
      </w:pPr>
    </w:p>
    <w:p w14:paraId="0EE0720A" w14:textId="77777777" w:rsidR="001054C3" w:rsidRPr="00203714" w:rsidRDefault="001054C3" w:rsidP="00234FBE">
      <w:pPr>
        <w:pStyle w:val="Heading1"/>
      </w:pPr>
      <w:bookmarkStart w:id="216" w:name="_Toc36720513"/>
      <w:bookmarkStart w:id="217" w:name="_Toc72939556"/>
      <w:r>
        <w:lastRenderedPageBreak/>
        <w:t>B</w:t>
      </w:r>
      <w:r>
        <w:tab/>
      </w:r>
      <w:r w:rsidRPr="00203714">
        <w:t>Glossary</w:t>
      </w:r>
      <w:bookmarkEnd w:id="216"/>
      <w:bookmarkEnd w:id="217"/>
    </w:p>
    <w:tbl>
      <w:tblPr>
        <w:tblW w:w="5000" w:type="pct"/>
        <w:tblLook w:val="04A0" w:firstRow="1" w:lastRow="0" w:firstColumn="1" w:lastColumn="0" w:noHBand="0" w:noVBand="1"/>
        <w:tblDescription w:val="Table used for layout."/>
      </w:tblPr>
      <w:tblGrid>
        <w:gridCol w:w="2410"/>
        <w:gridCol w:w="6379"/>
      </w:tblGrid>
      <w:tr w:rsidR="001054C3" w14:paraId="3D5A162C" w14:textId="77777777" w:rsidTr="005B3969">
        <w:tc>
          <w:tcPr>
            <w:tcW w:w="1371" w:type="pct"/>
          </w:tcPr>
          <w:p w14:paraId="5383A101" w14:textId="77777777" w:rsidR="001054C3" w:rsidRDefault="001054C3" w:rsidP="00E80659">
            <w:pPr>
              <w:pStyle w:val="BodyText"/>
              <w:spacing w:before="80" w:line="280" w:lineRule="atLeast"/>
              <w:jc w:val="left"/>
            </w:pPr>
            <w:bookmarkStart w:id="218" w:name="_Toc501024887"/>
            <w:bookmarkEnd w:id="218"/>
            <w:r w:rsidRPr="00725E8B">
              <w:t>Adaptive management</w:t>
            </w:r>
          </w:p>
        </w:tc>
        <w:tc>
          <w:tcPr>
            <w:tcW w:w="3629" w:type="pct"/>
          </w:tcPr>
          <w:p w14:paraId="7BC4861E" w14:textId="77777777" w:rsidR="001054C3" w:rsidRDefault="001054C3" w:rsidP="00E80659">
            <w:pPr>
              <w:pStyle w:val="BodyText"/>
              <w:spacing w:before="80" w:line="280" w:lineRule="atLeast"/>
              <w:jc w:val="left"/>
            </w:pPr>
            <w:r w:rsidRPr="00725E8B">
              <w:t xml:space="preserve">An iterative process of learning from experience </w:t>
            </w:r>
            <w:r>
              <w:t xml:space="preserve">and using new information </w:t>
            </w:r>
            <w:r w:rsidRPr="00725E8B">
              <w:t xml:space="preserve">to improve </w:t>
            </w:r>
            <w:r>
              <w:t>management</w:t>
            </w:r>
            <w:r w:rsidRPr="00725E8B">
              <w:t>.</w:t>
            </w:r>
          </w:p>
        </w:tc>
      </w:tr>
      <w:tr w:rsidR="001054C3" w14:paraId="5DA8F8F3" w14:textId="77777777" w:rsidTr="005B3969">
        <w:tc>
          <w:tcPr>
            <w:tcW w:w="1371" w:type="pct"/>
          </w:tcPr>
          <w:p w14:paraId="441177C4" w14:textId="77777777" w:rsidR="001054C3" w:rsidRDefault="001054C3" w:rsidP="00E80659">
            <w:pPr>
              <w:pStyle w:val="BodyText"/>
              <w:spacing w:before="80" w:line="280" w:lineRule="atLeast"/>
              <w:jc w:val="left"/>
            </w:pPr>
            <w:r>
              <w:t>Bulk water services</w:t>
            </w:r>
          </w:p>
        </w:tc>
        <w:tc>
          <w:tcPr>
            <w:tcW w:w="3629" w:type="pct"/>
          </w:tcPr>
          <w:p w14:paraId="6D2C759D" w14:textId="77777777" w:rsidR="001054C3" w:rsidRDefault="001054C3" w:rsidP="00E80659">
            <w:pPr>
              <w:pStyle w:val="BodyText"/>
              <w:spacing w:before="80" w:line="280" w:lineRule="atLeast"/>
              <w:jc w:val="left"/>
            </w:pPr>
            <w:r>
              <w:t>T</w:t>
            </w:r>
            <w:r w:rsidRPr="001B5DF2">
              <w:t>he harvesting and storage of water using infrastructure (such as dams), and the transport of that water to users (primarily through natural water</w:t>
            </w:r>
            <w:r>
              <w:t xml:space="preserve">ways, </w:t>
            </w:r>
            <w:r w:rsidRPr="001B5DF2">
              <w:t>pipes</w:t>
            </w:r>
            <w:r>
              <w:t xml:space="preserve"> or channels</w:t>
            </w:r>
            <w:r w:rsidRPr="001B5DF2">
              <w:t xml:space="preserve">) often over large distances. Bulk water infrastructure </w:t>
            </w:r>
            <w:r>
              <w:t xml:space="preserve">can supply water for both </w:t>
            </w:r>
            <w:r w:rsidRPr="001B5DF2">
              <w:t xml:space="preserve">urban </w:t>
            </w:r>
            <w:r>
              <w:t>and irrigation use</w:t>
            </w:r>
            <w:r w:rsidRPr="001B5DF2">
              <w:t>.</w:t>
            </w:r>
          </w:p>
        </w:tc>
      </w:tr>
      <w:tr w:rsidR="001054C3" w14:paraId="2CA78D52" w14:textId="77777777" w:rsidTr="005B3969">
        <w:tc>
          <w:tcPr>
            <w:tcW w:w="1371" w:type="pct"/>
          </w:tcPr>
          <w:p w14:paraId="3663784A" w14:textId="77777777" w:rsidR="001054C3" w:rsidRDefault="001054C3" w:rsidP="00E80659">
            <w:pPr>
              <w:pStyle w:val="BodyText"/>
              <w:spacing w:before="80" w:line="280" w:lineRule="atLeast"/>
              <w:jc w:val="left"/>
            </w:pPr>
            <w:r>
              <w:t>Carryover</w:t>
            </w:r>
          </w:p>
        </w:tc>
        <w:tc>
          <w:tcPr>
            <w:tcW w:w="3629" w:type="pct"/>
          </w:tcPr>
          <w:p w14:paraId="210A8BF2" w14:textId="77777777" w:rsidR="001054C3" w:rsidRDefault="001054C3" w:rsidP="00E80659">
            <w:pPr>
              <w:pStyle w:val="BodyText"/>
              <w:spacing w:before="80" w:line="280" w:lineRule="atLeast"/>
              <w:jc w:val="left"/>
            </w:pPr>
            <w:r>
              <w:t xml:space="preserve">The option to hold a portion of unused seasonal water allocations for use at a later date. This typically involves storing the allocated water in physical storage, such as a dam. </w:t>
            </w:r>
          </w:p>
        </w:tc>
      </w:tr>
      <w:tr w:rsidR="001054C3" w14:paraId="3F94899A" w14:textId="77777777" w:rsidTr="005B3969">
        <w:tc>
          <w:tcPr>
            <w:tcW w:w="1371" w:type="pct"/>
          </w:tcPr>
          <w:p w14:paraId="32E5446D" w14:textId="77777777" w:rsidR="001054C3" w:rsidRDefault="001054C3" w:rsidP="00E80659">
            <w:pPr>
              <w:pStyle w:val="BodyText"/>
              <w:spacing w:before="80" w:line="280" w:lineRule="atLeast"/>
              <w:jc w:val="left"/>
            </w:pPr>
            <w:r>
              <w:t>Community Service Obligation</w:t>
            </w:r>
          </w:p>
        </w:tc>
        <w:tc>
          <w:tcPr>
            <w:tcW w:w="3629" w:type="pct"/>
          </w:tcPr>
          <w:p w14:paraId="207EE7EF" w14:textId="77777777" w:rsidR="001054C3" w:rsidRDefault="001054C3" w:rsidP="00E80659">
            <w:pPr>
              <w:pStyle w:val="BodyText"/>
              <w:spacing w:before="80" w:line="280" w:lineRule="atLeast"/>
              <w:jc w:val="left"/>
            </w:pPr>
            <w:r>
              <w:t>Obligations placed on businesses to provide services not funded entirely from user charges.</w:t>
            </w:r>
          </w:p>
        </w:tc>
      </w:tr>
      <w:tr w:rsidR="001054C3" w14:paraId="69208746" w14:textId="77777777" w:rsidTr="005B3969">
        <w:tc>
          <w:tcPr>
            <w:tcW w:w="1371" w:type="pct"/>
          </w:tcPr>
          <w:p w14:paraId="406FA140" w14:textId="77777777" w:rsidR="001054C3" w:rsidRDefault="001054C3" w:rsidP="00E80659">
            <w:pPr>
              <w:pStyle w:val="BodyText"/>
              <w:spacing w:before="80" w:line="280" w:lineRule="atLeast"/>
              <w:jc w:val="left"/>
            </w:pPr>
            <w:r w:rsidRPr="00C27721">
              <w:t xml:space="preserve">Complementary </w:t>
            </w:r>
            <w:r>
              <w:t>waterway</w:t>
            </w:r>
            <w:r w:rsidRPr="00C27721">
              <w:t xml:space="preserve"> management activities</w:t>
            </w:r>
          </w:p>
        </w:tc>
        <w:tc>
          <w:tcPr>
            <w:tcW w:w="3629" w:type="pct"/>
          </w:tcPr>
          <w:p w14:paraId="1589F8F5" w14:textId="77777777" w:rsidR="001054C3" w:rsidRDefault="001054C3" w:rsidP="00E80659">
            <w:pPr>
              <w:pStyle w:val="BodyText"/>
              <w:spacing w:before="80" w:line="280" w:lineRule="atLeast"/>
              <w:jc w:val="left"/>
            </w:pPr>
            <w:r>
              <w:t>Activities that protect or enhance waterways such as rivers, wetlands and estuaries, whether fed through surface water or groundwater. These include management of land use in catchment and riparian zones, revegetation, pest plant and animal control, providing fish passage and recreational use of water, but exclude the provision of environmental flows.</w:t>
            </w:r>
          </w:p>
        </w:tc>
      </w:tr>
      <w:tr w:rsidR="001054C3" w14:paraId="6C34ECFA" w14:textId="77777777" w:rsidTr="005B3969">
        <w:tc>
          <w:tcPr>
            <w:tcW w:w="1371" w:type="pct"/>
          </w:tcPr>
          <w:p w14:paraId="1FF27215" w14:textId="77777777" w:rsidR="001054C3" w:rsidRDefault="001054C3" w:rsidP="00E80659">
            <w:pPr>
              <w:pStyle w:val="BodyText"/>
              <w:spacing w:before="80" w:line="280" w:lineRule="atLeast"/>
              <w:jc w:val="left"/>
            </w:pPr>
            <w:r>
              <w:t>Consumption based pricing</w:t>
            </w:r>
          </w:p>
        </w:tc>
        <w:tc>
          <w:tcPr>
            <w:tcW w:w="3629" w:type="pct"/>
          </w:tcPr>
          <w:p w14:paraId="330F4774" w14:textId="77777777" w:rsidR="001054C3" w:rsidRDefault="001054C3" w:rsidP="00E80659">
            <w:pPr>
              <w:pStyle w:val="BodyText"/>
              <w:spacing w:before="80" w:line="280" w:lineRule="atLeast"/>
              <w:jc w:val="left"/>
            </w:pPr>
            <w:r>
              <w:t xml:space="preserve">Water pricing where a charge is applied to each unit of water consumed. </w:t>
            </w:r>
          </w:p>
        </w:tc>
      </w:tr>
      <w:tr w:rsidR="001054C3" w14:paraId="6D1DA003" w14:textId="77777777" w:rsidTr="005B3969">
        <w:tc>
          <w:tcPr>
            <w:tcW w:w="1371" w:type="pct"/>
          </w:tcPr>
          <w:p w14:paraId="457429BB" w14:textId="77777777" w:rsidR="001054C3" w:rsidRDefault="001054C3" w:rsidP="00E80659">
            <w:pPr>
              <w:pStyle w:val="BodyText"/>
              <w:spacing w:before="80" w:line="280" w:lineRule="atLeast"/>
              <w:jc w:val="left"/>
            </w:pPr>
            <w:r>
              <w:t>Consumptive pool</w:t>
            </w:r>
          </w:p>
        </w:tc>
        <w:tc>
          <w:tcPr>
            <w:tcW w:w="3629" w:type="pct"/>
          </w:tcPr>
          <w:p w14:paraId="1471CEF7" w14:textId="77777777" w:rsidR="001054C3" w:rsidRDefault="001054C3" w:rsidP="00E80659">
            <w:pPr>
              <w:pStyle w:val="BodyText"/>
              <w:spacing w:before="80" w:line="280" w:lineRule="atLeast"/>
              <w:jc w:val="left"/>
            </w:pPr>
            <w:r>
              <w:t>T</w:t>
            </w:r>
            <w:r w:rsidRPr="00E41BBA">
              <w:t>he amount of water resource that can be made available for consumptive use in a given water system under the rules of the relevant water plan</w:t>
            </w:r>
            <w:r>
              <w:t>.</w:t>
            </w:r>
          </w:p>
        </w:tc>
      </w:tr>
      <w:tr w:rsidR="001054C3" w14:paraId="2896E867" w14:textId="77777777" w:rsidTr="005B3969">
        <w:tc>
          <w:tcPr>
            <w:tcW w:w="1371" w:type="pct"/>
          </w:tcPr>
          <w:p w14:paraId="24907B78" w14:textId="77777777" w:rsidR="001054C3" w:rsidRDefault="001054C3" w:rsidP="00E80659">
            <w:pPr>
              <w:pStyle w:val="BodyText"/>
              <w:spacing w:before="80" w:line="280" w:lineRule="atLeast"/>
              <w:jc w:val="left"/>
            </w:pPr>
            <w:r>
              <w:t>Conveyance loss</w:t>
            </w:r>
          </w:p>
        </w:tc>
        <w:tc>
          <w:tcPr>
            <w:tcW w:w="3629" w:type="pct"/>
          </w:tcPr>
          <w:p w14:paraId="55DD5F1E" w14:textId="77777777" w:rsidR="001054C3" w:rsidRDefault="001054C3" w:rsidP="00E80659">
            <w:pPr>
              <w:pStyle w:val="BodyText"/>
              <w:spacing w:before="80" w:line="280" w:lineRule="atLeast"/>
              <w:jc w:val="left"/>
            </w:pPr>
            <w:r>
              <w:t>Water that is lost in transit due to evaporation or leakage.</w:t>
            </w:r>
          </w:p>
        </w:tc>
      </w:tr>
      <w:tr w:rsidR="001054C3" w14:paraId="22F32090" w14:textId="77777777" w:rsidTr="005B3969">
        <w:tc>
          <w:tcPr>
            <w:tcW w:w="1371" w:type="pct"/>
          </w:tcPr>
          <w:p w14:paraId="405E7D7A" w14:textId="77777777" w:rsidR="001054C3" w:rsidRDefault="001054C3" w:rsidP="00E80659">
            <w:pPr>
              <w:pStyle w:val="BodyText"/>
              <w:spacing w:before="80" w:line="280" w:lineRule="atLeast"/>
              <w:jc w:val="left"/>
            </w:pPr>
            <w:r>
              <w:t>Conveyance water</w:t>
            </w:r>
          </w:p>
        </w:tc>
        <w:tc>
          <w:tcPr>
            <w:tcW w:w="3629" w:type="pct"/>
          </w:tcPr>
          <w:p w14:paraId="040084CB" w14:textId="77777777" w:rsidR="001054C3" w:rsidRDefault="001054C3" w:rsidP="00E80659">
            <w:pPr>
              <w:pStyle w:val="BodyText"/>
              <w:spacing w:before="80" w:line="280" w:lineRule="atLeast"/>
              <w:jc w:val="left"/>
            </w:pPr>
            <w:r>
              <w:t>Water required primarily to operate regulated water delivery systems and utility supply networks to enable delivery of water to users.</w:t>
            </w:r>
          </w:p>
        </w:tc>
      </w:tr>
      <w:tr w:rsidR="001054C3" w14:paraId="3AFBE7CE" w14:textId="77777777" w:rsidTr="005B3969">
        <w:tc>
          <w:tcPr>
            <w:tcW w:w="1371" w:type="pct"/>
          </w:tcPr>
          <w:p w14:paraId="6434EC5B" w14:textId="77777777" w:rsidR="001054C3" w:rsidRDefault="001054C3" w:rsidP="00E80659">
            <w:pPr>
              <w:pStyle w:val="BodyText"/>
              <w:spacing w:before="80" w:line="280" w:lineRule="atLeast"/>
              <w:jc w:val="left"/>
            </w:pPr>
            <w:r>
              <w:t>Corporatisation</w:t>
            </w:r>
          </w:p>
        </w:tc>
        <w:tc>
          <w:tcPr>
            <w:tcW w:w="3629" w:type="pct"/>
          </w:tcPr>
          <w:p w14:paraId="5D5C5A2A" w14:textId="77777777" w:rsidR="001054C3" w:rsidRDefault="001054C3" w:rsidP="00E80659">
            <w:pPr>
              <w:pStyle w:val="BodyText"/>
              <w:spacing w:before="80" w:line="280" w:lineRule="atLeast"/>
              <w:jc w:val="left"/>
            </w:pPr>
            <w:r>
              <w:t>The creation of a separate legal entity (a corporation) to undertake specific functions.</w:t>
            </w:r>
          </w:p>
        </w:tc>
      </w:tr>
      <w:tr w:rsidR="001054C3" w14:paraId="1238D44F" w14:textId="77777777" w:rsidTr="005B3969">
        <w:tc>
          <w:tcPr>
            <w:tcW w:w="1371" w:type="pct"/>
          </w:tcPr>
          <w:p w14:paraId="6CF8AEE9" w14:textId="77777777" w:rsidR="001054C3" w:rsidRDefault="001054C3" w:rsidP="00E80659">
            <w:pPr>
              <w:pStyle w:val="BodyText"/>
              <w:spacing w:before="80" w:line="280" w:lineRule="atLeast"/>
              <w:jc w:val="left"/>
            </w:pPr>
            <w:r>
              <w:t>Distribution services (irrigation)</w:t>
            </w:r>
          </w:p>
        </w:tc>
        <w:tc>
          <w:tcPr>
            <w:tcW w:w="3629" w:type="pct"/>
          </w:tcPr>
          <w:p w14:paraId="1B5B2220" w14:textId="77777777" w:rsidR="001054C3" w:rsidRDefault="001054C3" w:rsidP="00E80659">
            <w:pPr>
              <w:pStyle w:val="BodyText"/>
              <w:spacing w:before="80" w:line="280" w:lineRule="atLeast"/>
              <w:jc w:val="left"/>
            </w:pPr>
            <w:r>
              <w:t>T</w:t>
            </w:r>
            <w:r w:rsidRPr="00F32D1C">
              <w:t>ransport</w:t>
            </w:r>
            <w:r>
              <w:t>ing</w:t>
            </w:r>
            <w:r w:rsidRPr="00F32D1C">
              <w:t xml:space="preserve"> water via a network of pipes and/or channels to properties serviced by the </w:t>
            </w:r>
            <w:r>
              <w:t xml:space="preserve">delivery </w:t>
            </w:r>
            <w:r w:rsidRPr="00F32D1C">
              <w:t xml:space="preserve">system </w:t>
            </w:r>
            <w:r>
              <w:t xml:space="preserve">and </w:t>
            </w:r>
            <w:r w:rsidRPr="00F32D1C">
              <w:t xml:space="preserve">located </w:t>
            </w:r>
            <w:r>
              <w:t>away from a waterway</w:t>
            </w:r>
            <w:r w:rsidRPr="00F32D1C">
              <w:t>.</w:t>
            </w:r>
          </w:p>
        </w:tc>
      </w:tr>
      <w:tr w:rsidR="001054C3" w14:paraId="703FBC21" w14:textId="77777777" w:rsidTr="005B3969">
        <w:tc>
          <w:tcPr>
            <w:tcW w:w="1371" w:type="pct"/>
          </w:tcPr>
          <w:p w14:paraId="29359465" w14:textId="77777777" w:rsidR="001054C3" w:rsidRDefault="001054C3" w:rsidP="00E80659">
            <w:pPr>
              <w:pStyle w:val="BodyText"/>
              <w:spacing w:before="80" w:line="280" w:lineRule="atLeast"/>
              <w:jc w:val="left"/>
            </w:pPr>
            <w:r>
              <w:t>Environmental flow</w:t>
            </w:r>
          </w:p>
        </w:tc>
        <w:tc>
          <w:tcPr>
            <w:tcW w:w="3629" w:type="pct"/>
          </w:tcPr>
          <w:p w14:paraId="078ABB4A" w14:textId="77777777" w:rsidR="001054C3" w:rsidRDefault="001054C3" w:rsidP="00E80659">
            <w:pPr>
              <w:pStyle w:val="BodyText"/>
              <w:spacing w:before="80" w:line="280" w:lineRule="atLeast"/>
              <w:jc w:val="left"/>
            </w:pPr>
            <w:r>
              <w:t>A flow regime applied to a river, wetland or floodplain to improve or maintain environmental outcomes (and secure other public benefit outcomes, where possible).</w:t>
            </w:r>
          </w:p>
        </w:tc>
      </w:tr>
      <w:tr w:rsidR="001054C3" w14:paraId="611A31C5" w14:textId="77777777" w:rsidTr="005B3969">
        <w:tc>
          <w:tcPr>
            <w:tcW w:w="1371" w:type="pct"/>
          </w:tcPr>
          <w:p w14:paraId="58212B4F" w14:textId="77777777" w:rsidR="001054C3" w:rsidRDefault="001054C3" w:rsidP="00E80659">
            <w:pPr>
              <w:pStyle w:val="BodyText"/>
              <w:spacing w:before="80" w:line="280" w:lineRule="atLeast"/>
              <w:jc w:val="left"/>
            </w:pPr>
            <w:r>
              <w:lastRenderedPageBreak/>
              <w:t>Environmental outcomes</w:t>
            </w:r>
          </w:p>
        </w:tc>
        <w:tc>
          <w:tcPr>
            <w:tcW w:w="3629" w:type="pct"/>
          </w:tcPr>
          <w:p w14:paraId="0B875024" w14:textId="77777777" w:rsidR="001054C3" w:rsidRDefault="001054C3" w:rsidP="00E80659">
            <w:pPr>
              <w:pStyle w:val="BodyText"/>
              <w:spacing w:before="80" w:line="280" w:lineRule="atLeast"/>
              <w:jc w:val="left"/>
            </w:pPr>
            <w:r w:rsidRPr="009F501A">
              <w:t>Maintenance</w:t>
            </w:r>
            <w:r>
              <w:t xml:space="preserve"> of</w:t>
            </w:r>
            <w:r w:rsidRPr="009F501A">
              <w:t xml:space="preserve"> ecosystem function (for example, through periodic inundation of floodplain wetlands); biodiversity</w:t>
            </w:r>
            <w:r>
              <w:t>;</w:t>
            </w:r>
            <w:r w:rsidRPr="009F501A">
              <w:t xml:space="preserve"> water quality; and river health targets</w:t>
            </w:r>
            <w:r>
              <w:t xml:space="preserve"> (as defined under the National Water Initiative)</w:t>
            </w:r>
            <w:r w:rsidRPr="009F501A">
              <w:t>.</w:t>
            </w:r>
          </w:p>
        </w:tc>
      </w:tr>
      <w:tr w:rsidR="001054C3" w14:paraId="56137F50" w14:textId="77777777" w:rsidTr="005B3969">
        <w:tc>
          <w:tcPr>
            <w:tcW w:w="1371" w:type="pct"/>
          </w:tcPr>
          <w:p w14:paraId="44F4315A" w14:textId="77777777" w:rsidR="001054C3" w:rsidRPr="00F23EC9" w:rsidDel="000B5AA8" w:rsidRDefault="001054C3" w:rsidP="00E80659">
            <w:pPr>
              <w:pStyle w:val="BodyText"/>
              <w:spacing w:before="80" w:line="280" w:lineRule="atLeast"/>
              <w:jc w:val="left"/>
            </w:pPr>
            <w:r>
              <w:t>Environmental transfers</w:t>
            </w:r>
          </w:p>
        </w:tc>
        <w:tc>
          <w:tcPr>
            <w:tcW w:w="3629" w:type="pct"/>
          </w:tcPr>
          <w:p w14:paraId="67161AEA" w14:textId="77777777" w:rsidR="001054C3" w:rsidDel="00C157FF" w:rsidRDefault="001054C3" w:rsidP="00E80659">
            <w:pPr>
              <w:pStyle w:val="BodyText"/>
              <w:spacing w:before="80" w:line="280" w:lineRule="atLeast"/>
              <w:jc w:val="left"/>
            </w:pPr>
            <w:r>
              <w:t>Water allocations owned by an environmental water holder that are transferred within or between water systems to achieve environmental watering objectives.</w:t>
            </w:r>
          </w:p>
        </w:tc>
      </w:tr>
      <w:tr w:rsidR="001054C3" w14:paraId="4512B11C" w14:textId="77777777" w:rsidTr="005B3969">
        <w:tc>
          <w:tcPr>
            <w:tcW w:w="1371" w:type="pct"/>
          </w:tcPr>
          <w:p w14:paraId="45080704" w14:textId="77777777" w:rsidR="001054C3" w:rsidRDefault="001054C3" w:rsidP="00E80659">
            <w:pPr>
              <w:pStyle w:val="BodyText"/>
              <w:spacing w:before="80" w:line="280" w:lineRule="atLeast"/>
              <w:jc w:val="left"/>
            </w:pPr>
            <w:r>
              <w:t>Environmental water</w:t>
            </w:r>
          </w:p>
        </w:tc>
        <w:tc>
          <w:tcPr>
            <w:tcW w:w="3629" w:type="pct"/>
          </w:tcPr>
          <w:p w14:paraId="6001EDF5" w14:textId="77777777" w:rsidR="001054C3" w:rsidRDefault="001054C3" w:rsidP="00E80659">
            <w:pPr>
              <w:pStyle w:val="BodyText"/>
              <w:spacing w:before="80" w:line="280" w:lineRule="atLeast"/>
              <w:jc w:val="left"/>
            </w:pPr>
            <w:r>
              <w:t>The water provided to achieve environmental outcomes (and other public benefit outcomes, where possible), which may derive from surface water or groundwater and be provided as planned environmental water or held environmental water.</w:t>
            </w:r>
          </w:p>
        </w:tc>
      </w:tr>
      <w:tr w:rsidR="001054C3" w14:paraId="212DB0A4" w14:textId="77777777" w:rsidTr="005B3969">
        <w:tc>
          <w:tcPr>
            <w:tcW w:w="1371" w:type="pct"/>
          </w:tcPr>
          <w:p w14:paraId="79216898" w14:textId="77777777" w:rsidR="001054C3" w:rsidRDefault="001054C3" w:rsidP="00E80659">
            <w:pPr>
              <w:pStyle w:val="BodyText"/>
              <w:spacing w:before="80" w:line="280" w:lineRule="atLeast"/>
              <w:jc w:val="left"/>
            </w:pPr>
            <w:r>
              <w:t>Environmental watering</w:t>
            </w:r>
          </w:p>
        </w:tc>
        <w:tc>
          <w:tcPr>
            <w:tcW w:w="3629" w:type="pct"/>
          </w:tcPr>
          <w:p w14:paraId="11B67EDD" w14:textId="77777777" w:rsidR="001054C3" w:rsidRDefault="001054C3" w:rsidP="00E80659">
            <w:pPr>
              <w:pStyle w:val="BodyText"/>
              <w:spacing w:before="80" w:line="280" w:lineRule="atLeast"/>
              <w:jc w:val="left"/>
            </w:pPr>
            <w:r>
              <w:t>The delivery or use of held environmental water to achieve environmental outcomes (and other public benefit outcomes, where possible).</w:t>
            </w:r>
          </w:p>
        </w:tc>
      </w:tr>
      <w:tr w:rsidR="001054C3" w14:paraId="1B528DCE" w14:textId="77777777" w:rsidTr="005B3969">
        <w:tc>
          <w:tcPr>
            <w:tcW w:w="1371" w:type="pct"/>
          </w:tcPr>
          <w:p w14:paraId="70DE3A93" w14:textId="77777777" w:rsidR="001054C3" w:rsidRPr="00F23EC9" w:rsidRDefault="001054C3" w:rsidP="00E80659">
            <w:pPr>
              <w:pStyle w:val="BodyText"/>
              <w:spacing w:before="80" w:line="280" w:lineRule="atLeast"/>
              <w:jc w:val="left"/>
            </w:pPr>
            <w:r>
              <w:t>Externalities</w:t>
            </w:r>
          </w:p>
        </w:tc>
        <w:tc>
          <w:tcPr>
            <w:tcW w:w="3629" w:type="pct"/>
          </w:tcPr>
          <w:p w14:paraId="1879FFAF" w14:textId="77777777" w:rsidR="001054C3" w:rsidRDefault="001054C3" w:rsidP="00E80659">
            <w:pPr>
              <w:pStyle w:val="BodyText"/>
              <w:spacing w:before="80" w:line="280" w:lineRule="atLeast"/>
              <w:jc w:val="left"/>
            </w:pPr>
            <w:r>
              <w:t xml:space="preserve">The effects of consumption or production decisions on people other than those directly involved. </w:t>
            </w:r>
          </w:p>
        </w:tc>
      </w:tr>
      <w:tr w:rsidR="001054C3" w14:paraId="5319CDC5" w14:textId="77777777" w:rsidTr="005B3969">
        <w:tc>
          <w:tcPr>
            <w:tcW w:w="1371" w:type="pct"/>
          </w:tcPr>
          <w:p w14:paraId="4916D846" w14:textId="77777777" w:rsidR="001054C3" w:rsidRDefault="001054C3" w:rsidP="00E80659">
            <w:pPr>
              <w:pStyle w:val="BodyText"/>
              <w:spacing w:before="80" w:line="280" w:lineRule="atLeast"/>
              <w:jc w:val="left"/>
            </w:pPr>
            <w:r>
              <w:t>Flow regime</w:t>
            </w:r>
          </w:p>
        </w:tc>
        <w:tc>
          <w:tcPr>
            <w:tcW w:w="3629" w:type="pct"/>
          </w:tcPr>
          <w:p w14:paraId="0C73D75D" w14:textId="77777777" w:rsidR="001054C3" w:rsidRDefault="001054C3" w:rsidP="00E80659">
            <w:pPr>
              <w:pStyle w:val="BodyText"/>
              <w:spacing w:before="80" w:line="280" w:lineRule="atLeast"/>
              <w:jc w:val="left"/>
            </w:pPr>
            <w:r>
              <w:t xml:space="preserve">The volume, location and timing of water provided to a waterway by a water manager. </w:t>
            </w:r>
          </w:p>
        </w:tc>
      </w:tr>
      <w:tr w:rsidR="001054C3" w14:paraId="324024E2" w14:textId="77777777" w:rsidTr="005B3969">
        <w:tc>
          <w:tcPr>
            <w:tcW w:w="1371" w:type="pct"/>
          </w:tcPr>
          <w:p w14:paraId="1FF7E73E" w14:textId="77777777" w:rsidR="001054C3" w:rsidRDefault="001054C3" w:rsidP="00E80659">
            <w:pPr>
              <w:pStyle w:val="BodyText"/>
              <w:spacing w:before="80" w:line="280" w:lineRule="atLeast"/>
              <w:jc w:val="left"/>
            </w:pPr>
            <w:r>
              <w:t>Gigalitre</w:t>
            </w:r>
          </w:p>
        </w:tc>
        <w:tc>
          <w:tcPr>
            <w:tcW w:w="3629" w:type="pct"/>
          </w:tcPr>
          <w:p w14:paraId="046F05DA" w14:textId="77777777" w:rsidR="001054C3" w:rsidRDefault="001054C3" w:rsidP="00E80659">
            <w:pPr>
              <w:pStyle w:val="BodyText"/>
              <w:spacing w:before="80" w:line="280" w:lineRule="atLeast"/>
              <w:jc w:val="left"/>
            </w:pPr>
            <w:r>
              <w:t>One billion (1 000 000 000) litres.</w:t>
            </w:r>
          </w:p>
        </w:tc>
      </w:tr>
      <w:tr w:rsidR="001054C3" w14:paraId="76836CC2" w14:textId="77777777" w:rsidTr="005B3969">
        <w:tc>
          <w:tcPr>
            <w:tcW w:w="1371" w:type="pct"/>
          </w:tcPr>
          <w:p w14:paraId="61D3BDC7" w14:textId="77777777" w:rsidR="001054C3" w:rsidRDefault="001054C3" w:rsidP="00E80659">
            <w:pPr>
              <w:pStyle w:val="BodyText"/>
              <w:spacing w:before="80" w:line="280" w:lineRule="atLeast"/>
              <w:jc w:val="left"/>
            </w:pPr>
            <w:r>
              <w:t>Groundwater</w:t>
            </w:r>
          </w:p>
        </w:tc>
        <w:tc>
          <w:tcPr>
            <w:tcW w:w="3629" w:type="pct"/>
          </w:tcPr>
          <w:p w14:paraId="132466AB" w14:textId="77777777" w:rsidR="001054C3" w:rsidRDefault="001054C3" w:rsidP="00E80659">
            <w:pPr>
              <w:pStyle w:val="BodyText"/>
              <w:spacing w:before="80" w:line="280" w:lineRule="atLeast"/>
              <w:jc w:val="left"/>
            </w:pPr>
            <w:r>
              <w:t>Water located underground in permeable soil or rock. It includes both naturally occurring water and water pumped underground for storage. However, it does not include water held in underground tanks, pipes or other works.</w:t>
            </w:r>
          </w:p>
        </w:tc>
      </w:tr>
      <w:tr w:rsidR="001054C3" w14:paraId="538639AC" w14:textId="77777777" w:rsidTr="005B3969">
        <w:tc>
          <w:tcPr>
            <w:tcW w:w="1371" w:type="pct"/>
          </w:tcPr>
          <w:p w14:paraId="2AF048FC" w14:textId="77777777" w:rsidR="001054C3" w:rsidRDefault="001054C3" w:rsidP="00E80659">
            <w:pPr>
              <w:pStyle w:val="BodyText"/>
              <w:spacing w:before="80" w:line="280" w:lineRule="atLeast"/>
              <w:jc w:val="left"/>
            </w:pPr>
            <w:r>
              <w:t>Held environmental water</w:t>
            </w:r>
          </w:p>
        </w:tc>
        <w:tc>
          <w:tcPr>
            <w:tcW w:w="3629" w:type="pct"/>
          </w:tcPr>
          <w:p w14:paraId="5F2CC4C9" w14:textId="77777777" w:rsidR="001054C3" w:rsidRDefault="001054C3" w:rsidP="00E80659">
            <w:pPr>
              <w:pStyle w:val="BodyText"/>
              <w:spacing w:before="80" w:line="280" w:lineRule="atLeast"/>
              <w:jc w:val="left"/>
            </w:pPr>
            <w:r>
              <w:t>W</w:t>
            </w:r>
            <w:r w:rsidRPr="009F501A">
              <w:t xml:space="preserve">ater </w:t>
            </w:r>
            <w:r>
              <w:t>available under</w:t>
            </w:r>
            <w:r w:rsidRPr="009F501A">
              <w:t xml:space="preserve"> entitlements held and used (usually by governments) for the purpose of achieving environmental outcomes</w:t>
            </w:r>
            <w:r>
              <w:t xml:space="preserve"> (and other public benefit outcomes, where possible)</w:t>
            </w:r>
            <w:r w:rsidRPr="009F501A">
              <w:t>.</w:t>
            </w:r>
          </w:p>
        </w:tc>
      </w:tr>
      <w:tr w:rsidR="001054C3" w14:paraId="48258E92" w14:textId="77777777" w:rsidTr="005B3969">
        <w:tc>
          <w:tcPr>
            <w:tcW w:w="1371" w:type="pct"/>
          </w:tcPr>
          <w:p w14:paraId="5F5F4F7A" w14:textId="77777777" w:rsidR="001054C3" w:rsidRDefault="001054C3" w:rsidP="00E80659">
            <w:pPr>
              <w:pStyle w:val="BodyText"/>
              <w:spacing w:before="80" w:line="280" w:lineRule="atLeast"/>
              <w:jc w:val="left"/>
            </w:pPr>
            <w:r>
              <w:t>Integrated water cycle management</w:t>
            </w:r>
          </w:p>
        </w:tc>
        <w:tc>
          <w:tcPr>
            <w:tcW w:w="3629" w:type="pct"/>
          </w:tcPr>
          <w:p w14:paraId="6678ECE9" w14:textId="77777777" w:rsidR="001054C3" w:rsidRDefault="001054C3" w:rsidP="00E80659">
            <w:pPr>
              <w:pStyle w:val="BodyText"/>
              <w:spacing w:before="80" w:line="280" w:lineRule="atLeast"/>
              <w:jc w:val="left"/>
            </w:pPr>
            <w:r>
              <w:t>A range of approaches for supplying or managing water that considers all aspects of the water cycle. These include reusing wastewater or stormwater, or managing stormwater using ‘water sensitive urban design’.</w:t>
            </w:r>
          </w:p>
        </w:tc>
      </w:tr>
      <w:tr w:rsidR="001054C3" w14:paraId="2D888425" w14:textId="77777777" w:rsidTr="005B3969">
        <w:tc>
          <w:tcPr>
            <w:tcW w:w="1371" w:type="pct"/>
          </w:tcPr>
          <w:p w14:paraId="63DB4E67" w14:textId="77777777" w:rsidR="001054C3" w:rsidRDefault="001054C3" w:rsidP="00E80659">
            <w:pPr>
              <w:pStyle w:val="BodyText"/>
              <w:spacing w:before="80" w:line="280" w:lineRule="atLeast"/>
              <w:jc w:val="left"/>
            </w:pPr>
            <w:r>
              <w:t>Interception</w:t>
            </w:r>
          </w:p>
        </w:tc>
        <w:tc>
          <w:tcPr>
            <w:tcW w:w="3629" w:type="pct"/>
          </w:tcPr>
          <w:p w14:paraId="6F5BBDAD" w14:textId="77777777" w:rsidR="001054C3" w:rsidRDefault="001054C3" w:rsidP="00E80659">
            <w:pPr>
              <w:pStyle w:val="BodyText"/>
              <w:spacing w:before="80" w:line="280" w:lineRule="atLeast"/>
              <w:jc w:val="left"/>
            </w:pPr>
            <w:r>
              <w:t xml:space="preserve">The interception of surface water or groundwater that would otherwise flow, directly or indirectly, into a waterway, lake, wetland, aquifer, dam or reservoir. </w:t>
            </w:r>
          </w:p>
        </w:tc>
      </w:tr>
      <w:tr w:rsidR="001054C3" w14:paraId="238A7165" w14:textId="77777777" w:rsidTr="005B3969">
        <w:tc>
          <w:tcPr>
            <w:tcW w:w="1371" w:type="pct"/>
          </w:tcPr>
          <w:p w14:paraId="6942414D" w14:textId="77777777" w:rsidR="001054C3" w:rsidRDefault="001054C3" w:rsidP="00E80659">
            <w:pPr>
              <w:pStyle w:val="BodyText"/>
              <w:spacing w:before="80" w:line="280" w:lineRule="atLeast"/>
              <w:jc w:val="left"/>
            </w:pPr>
            <w:r>
              <w:t>Liveability</w:t>
            </w:r>
          </w:p>
        </w:tc>
        <w:tc>
          <w:tcPr>
            <w:tcW w:w="3629" w:type="pct"/>
          </w:tcPr>
          <w:p w14:paraId="2DD01A37" w14:textId="77777777" w:rsidR="001054C3" w:rsidRDefault="001054C3" w:rsidP="00E80659">
            <w:pPr>
              <w:pStyle w:val="BodyText"/>
              <w:spacing w:before="80" w:line="280" w:lineRule="atLeast"/>
              <w:jc w:val="left"/>
            </w:pPr>
            <w:r>
              <w:t xml:space="preserve">The extent to which a place meets the social, environmental and economic needs of its inhabitants. </w:t>
            </w:r>
          </w:p>
        </w:tc>
      </w:tr>
      <w:tr w:rsidR="001054C3" w14:paraId="0075DA9B" w14:textId="77777777" w:rsidTr="005B3969">
        <w:tc>
          <w:tcPr>
            <w:tcW w:w="1371" w:type="pct"/>
          </w:tcPr>
          <w:p w14:paraId="112CF920" w14:textId="77777777" w:rsidR="001054C3" w:rsidRDefault="001054C3" w:rsidP="00E80659">
            <w:pPr>
              <w:pStyle w:val="BodyText"/>
              <w:spacing w:before="80" w:line="280" w:lineRule="atLeast"/>
              <w:jc w:val="left"/>
            </w:pPr>
            <w:r>
              <w:t>Megalitre</w:t>
            </w:r>
          </w:p>
        </w:tc>
        <w:tc>
          <w:tcPr>
            <w:tcW w:w="3629" w:type="pct"/>
          </w:tcPr>
          <w:p w14:paraId="055DF468" w14:textId="77777777" w:rsidR="001054C3" w:rsidRDefault="001054C3" w:rsidP="00E80659">
            <w:pPr>
              <w:pStyle w:val="BodyText"/>
              <w:spacing w:before="80" w:line="280" w:lineRule="atLeast"/>
              <w:jc w:val="left"/>
            </w:pPr>
            <w:r>
              <w:t>One million (1 000 000) litres.</w:t>
            </w:r>
          </w:p>
        </w:tc>
      </w:tr>
      <w:tr w:rsidR="001054C3" w14:paraId="6A0276DD" w14:textId="77777777" w:rsidTr="005B3969">
        <w:tc>
          <w:tcPr>
            <w:tcW w:w="1371" w:type="pct"/>
          </w:tcPr>
          <w:p w14:paraId="44500EDA" w14:textId="77777777" w:rsidR="001054C3" w:rsidRDefault="001054C3" w:rsidP="00E80659">
            <w:pPr>
              <w:pStyle w:val="BodyText"/>
              <w:spacing w:before="80" w:line="280" w:lineRule="atLeast"/>
              <w:jc w:val="left"/>
            </w:pPr>
            <w:r>
              <w:t>Other public benefit outcomes</w:t>
            </w:r>
          </w:p>
        </w:tc>
        <w:tc>
          <w:tcPr>
            <w:tcW w:w="3629" w:type="pct"/>
          </w:tcPr>
          <w:p w14:paraId="4E5690EB" w14:textId="77777777" w:rsidR="001054C3" w:rsidRDefault="001054C3" w:rsidP="00E80659">
            <w:pPr>
              <w:pStyle w:val="BodyText"/>
              <w:spacing w:before="80" w:line="280" w:lineRule="atLeast"/>
              <w:jc w:val="left"/>
            </w:pPr>
            <w:r>
              <w:t>M</w:t>
            </w:r>
            <w:r w:rsidRPr="009F501A">
              <w:t xml:space="preserve">itigating pollution, </w:t>
            </w:r>
            <w:r>
              <w:t xml:space="preserve">or promoting </w:t>
            </w:r>
            <w:r w:rsidRPr="009F501A">
              <w:t>public health (for example, limiting noxious algal blooms), Indigenous and cultural values, recreation, fisheries, tourism, navigation and amenity values</w:t>
            </w:r>
            <w:r>
              <w:t xml:space="preserve"> (as defined under the National Water Initiative)</w:t>
            </w:r>
            <w:r w:rsidRPr="009F501A">
              <w:t>.</w:t>
            </w:r>
          </w:p>
        </w:tc>
      </w:tr>
      <w:tr w:rsidR="001054C3" w14:paraId="24D3DC68" w14:textId="77777777" w:rsidTr="005B3969">
        <w:tc>
          <w:tcPr>
            <w:tcW w:w="1371" w:type="pct"/>
          </w:tcPr>
          <w:p w14:paraId="7B96E0E9" w14:textId="77777777" w:rsidR="001054C3" w:rsidRDefault="001054C3" w:rsidP="00E80659">
            <w:pPr>
              <w:pStyle w:val="BodyText"/>
              <w:spacing w:before="80" w:line="280" w:lineRule="atLeast"/>
              <w:jc w:val="left"/>
            </w:pPr>
            <w:r>
              <w:t>O</w:t>
            </w:r>
            <w:r w:rsidRPr="005A0F05">
              <w:t>verallocation</w:t>
            </w:r>
          </w:p>
        </w:tc>
        <w:tc>
          <w:tcPr>
            <w:tcW w:w="3629" w:type="pct"/>
          </w:tcPr>
          <w:p w14:paraId="663F48AC" w14:textId="77777777" w:rsidR="001054C3" w:rsidRPr="009F501A" w:rsidRDefault="001054C3" w:rsidP="00E80659">
            <w:pPr>
              <w:pStyle w:val="BodyText"/>
              <w:spacing w:before="80" w:line="280" w:lineRule="atLeast"/>
              <w:jc w:val="left"/>
            </w:pPr>
            <w:r>
              <w:t xml:space="preserve">Where </w:t>
            </w:r>
            <w:r w:rsidRPr="005A0F05">
              <w:t xml:space="preserve">the total volume of water able to be extracted by entitlement holders at a given time exceeds the </w:t>
            </w:r>
            <w:r>
              <w:t>agreed</w:t>
            </w:r>
            <w:r w:rsidRPr="005A0F05">
              <w:t xml:space="preserve"> sustainable level of extraction for that system.</w:t>
            </w:r>
          </w:p>
        </w:tc>
      </w:tr>
      <w:tr w:rsidR="001054C3" w14:paraId="771DF3A2" w14:textId="77777777" w:rsidTr="005B3969">
        <w:tc>
          <w:tcPr>
            <w:tcW w:w="1371" w:type="pct"/>
          </w:tcPr>
          <w:p w14:paraId="6EBB472A" w14:textId="77777777" w:rsidR="001054C3" w:rsidRDefault="001054C3" w:rsidP="00E80659">
            <w:pPr>
              <w:pStyle w:val="BodyText"/>
              <w:spacing w:before="80" w:line="280" w:lineRule="atLeast"/>
              <w:jc w:val="left"/>
            </w:pPr>
            <w:r>
              <w:lastRenderedPageBreak/>
              <w:t>Overuse</w:t>
            </w:r>
          </w:p>
        </w:tc>
        <w:tc>
          <w:tcPr>
            <w:tcW w:w="3629" w:type="pct"/>
          </w:tcPr>
          <w:p w14:paraId="21A5F7BE" w14:textId="77777777" w:rsidR="001054C3" w:rsidRPr="009F501A" w:rsidRDefault="001054C3" w:rsidP="00E80659">
            <w:pPr>
              <w:pStyle w:val="BodyText"/>
              <w:spacing w:before="80" w:line="280" w:lineRule="atLeast"/>
              <w:jc w:val="left"/>
            </w:pPr>
            <w:r>
              <w:t>W</w:t>
            </w:r>
            <w:r w:rsidRPr="005A0F05">
              <w:t xml:space="preserve">here the total volume of water actually extracted for consumptive use in a particular system at a given time exceeds the </w:t>
            </w:r>
            <w:r>
              <w:t>agreed</w:t>
            </w:r>
            <w:r w:rsidRPr="005A0F05">
              <w:t xml:space="preserve"> sustainable level of extraction for that system. Overuse may arise in systems that are overallocated, or it may arise in systems where the planned allocation is exceeded due to inadequate monitoring and accounting.</w:t>
            </w:r>
          </w:p>
        </w:tc>
      </w:tr>
      <w:tr w:rsidR="001054C3" w14:paraId="6B6981F2" w14:textId="77777777" w:rsidTr="005B3969">
        <w:tc>
          <w:tcPr>
            <w:tcW w:w="1371" w:type="pct"/>
          </w:tcPr>
          <w:p w14:paraId="53189638" w14:textId="77777777" w:rsidR="001054C3" w:rsidRDefault="001054C3" w:rsidP="00E80659">
            <w:pPr>
              <w:pStyle w:val="BodyText"/>
              <w:spacing w:before="80" w:line="280" w:lineRule="atLeast"/>
              <w:jc w:val="left"/>
            </w:pPr>
            <w:r>
              <w:t>Planned environmental water</w:t>
            </w:r>
          </w:p>
        </w:tc>
        <w:tc>
          <w:tcPr>
            <w:tcW w:w="3629" w:type="pct"/>
          </w:tcPr>
          <w:p w14:paraId="7147D2A9" w14:textId="77777777" w:rsidR="001054C3" w:rsidRDefault="001054C3" w:rsidP="00E80659">
            <w:pPr>
              <w:pStyle w:val="BodyText"/>
              <w:spacing w:before="80" w:line="280" w:lineRule="atLeast"/>
              <w:jc w:val="left"/>
            </w:pPr>
            <w:r w:rsidRPr="008A41CE">
              <w:t xml:space="preserve">Water allocated in a water plan to </w:t>
            </w:r>
            <w:r>
              <w:t>promote</w:t>
            </w:r>
            <w:r w:rsidRPr="008A41CE">
              <w:t xml:space="preserve"> agreed environmental outcomes</w:t>
            </w:r>
            <w:r>
              <w:t xml:space="preserve"> within a water system</w:t>
            </w:r>
            <w:r w:rsidRPr="008A41CE">
              <w:t>. It is protected by rules</w:t>
            </w:r>
            <w:r>
              <w:noBreakHyphen/>
            </w:r>
            <w:r w:rsidRPr="008A41CE">
              <w:t>based provisions (in water plans) on consumptive use such as minimum stream flows, cease to pump rules and groundwater access rules.</w:t>
            </w:r>
          </w:p>
        </w:tc>
      </w:tr>
      <w:tr w:rsidR="001054C3" w14:paraId="1F07F06C" w14:textId="77777777" w:rsidTr="005B3969">
        <w:tc>
          <w:tcPr>
            <w:tcW w:w="1371" w:type="pct"/>
          </w:tcPr>
          <w:p w14:paraId="49AB1820" w14:textId="77777777" w:rsidR="001054C3" w:rsidRDefault="001054C3" w:rsidP="00E80659">
            <w:pPr>
              <w:pStyle w:val="BodyText"/>
              <w:spacing w:before="80" w:line="280" w:lineRule="atLeast"/>
              <w:jc w:val="left"/>
            </w:pPr>
            <w:r>
              <w:t>Potable water</w:t>
            </w:r>
          </w:p>
        </w:tc>
        <w:tc>
          <w:tcPr>
            <w:tcW w:w="3629" w:type="pct"/>
          </w:tcPr>
          <w:p w14:paraId="43C95D2A" w14:textId="77777777" w:rsidR="001054C3" w:rsidRDefault="001054C3" w:rsidP="00E80659">
            <w:pPr>
              <w:pStyle w:val="BodyText"/>
              <w:spacing w:before="80" w:line="280" w:lineRule="atLeast"/>
              <w:jc w:val="left"/>
            </w:pPr>
            <w:r>
              <w:t xml:space="preserve">Water that is safe to drink or use for food preparation. </w:t>
            </w:r>
          </w:p>
        </w:tc>
      </w:tr>
      <w:tr w:rsidR="001054C3" w14:paraId="7431205F" w14:textId="77777777" w:rsidTr="005B3969">
        <w:tc>
          <w:tcPr>
            <w:tcW w:w="1371" w:type="pct"/>
          </w:tcPr>
          <w:p w14:paraId="0E9F22C0" w14:textId="77777777" w:rsidR="001054C3" w:rsidRDefault="001054C3" w:rsidP="00E80659">
            <w:pPr>
              <w:pStyle w:val="BodyText"/>
              <w:spacing w:before="80" w:line="280" w:lineRule="atLeast"/>
              <w:jc w:val="left"/>
            </w:pPr>
            <w:r>
              <w:t>Regulated system</w:t>
            </w:r>
          </w:p>
        </w:tc>
        <w:tc>
          <w:tcPr>
            <w:tcW w:w="3629" w:type="pct"/>
          </w:tcPr>
          <w:p w14:paraId="0A04C61E" w14:textId="77777777" w:rsidR="001054C3" w:rsidRDefault="001054C3" w:rsidP="00E80659">
            <w:pPr>
              <w:pStyle w:val="BodyText"/>
              <w:spacing w:before="80" w:line="280" w:lineRule="atLeast"/>
              <w:jc w:val="left"/>
            </w:pPr>
            <w:r>
              <w:t>A</w:t>
            </w:r>
            <w:r w:rsidRPr="00292693">
              <w:t xml:space="preserve"> surface water system in which water can be stored </w:t>
            </w:r>
            <w:r>
              <w:t>and</w:t>
            </w:r>
            <w:r w:rsidRPr="00292693">
              <w:t xml:space="preserve"> flow levels can be </w:t>
            </w:r>
            <w:r>
              <w:t>varied</w:t>
            </w:r>
            <w:r w:rsidRPr="00292693">
              <w:t xml:space="preserve"> through the use of structures such as dams or weirs.</w:t>
            </w:r>
          </w:p>
        </w:tc>
      </w:tr>
      <w:tr w:rsidR="001054C3" w14:paraId="2B939D38" w14:textId="77777777" w:rsidTr="005B3969">
        <w:tc>
          <w:tcPr>
            <w:tcW w:w="1371" w:type="pct"/>
          </w:tcPr>
          <w:p w14:paraId="1BB3D48D" w14:textId="77777777" w:rsidR="001054C3" w:rsidRDefault="001054C3" w:rsidP="00E80659">
            <w:pPr>
              <w:pStyle w:val="BodyText"/>
              <w:spacing w:before="80" w:line="280" w:lineRule="atLeast"/>
              <w:jc w:val="left"/>
            </w:pPr>
            <w:r>
              <w:t>Riparian</w:t>
            </w:r>
          </w:p>
        </w:tc>
        <w:tc>
          <w:tcPr>
            <w:tcW w:w="3629" w:type="pct"/>
          </w:tcPr>
          <w:p w14:paraId="5CEDD866" w14:textId="77777777" w:rsidR="001054C3" w:rsidRDefault="001054C3" w:rsidP="00E80659">
            <w:pPr>
              <w:pStyle w:val="BodyText"/>
              <w:spacing w:before="80" w:line="280" w:lineRule="atLeast"/>
              <w:jc w:val="left"/>
            </w:pPr>
            <w:r>
              <w:t xml:space="preserve">The land immediately adjoining a river or stream. </w:t>
            </w:r>
          </w:p>
        </w:tc>
      </w:tr>
      <w:tr w:rsidR="001054C3" w14:paraId="4E0EE05C" w14:textId="77777777" w:rsidTr="005B3969">
        <w:tc>
          <w:tcPr>
            <w:tcW w:w="1371" w:type="pct"/>
          </w:tcPr>
          <w:p w14:paraId="590330DA" w14:textId="77777777" w:rsidR="001054C3" w:rsidRDefault="001054C3" w:rsidP="00E80659">
            <w:pPr>
              <w:pStyle w:val="BodyText"/>
              <w:spacing w:before="80" w:line="280" w:lineRule="atLeast"/>
              <w:jc w:val="left"/>
            </w:pPr>
            <w:r>
              <w:t>Risk assignment</w:t>
            </w:r>
          </w:p>
        </w:tc>
        <w:tc>
          <w:tcPr>
            <w:tcW w:w="3629" w:type="pct"/>
          </w:tcPr>
          <w:p w14:paraId="6A760E48" w14:textId="77777777" w:rsidR="001054C3" w:rsidRDefault="001054C3" w:rsidP="00E80659">
            <w:pPr>
              <w:pStyle w:val="BodyText"/>
              <w:spacing w:before="80" w:line="280" w:lineRule="atLeast"/>
              <w:jc w:val="left"/>
            </w:pPr>
            <w:r>
              <w:t>The process for determining</w:t>
            </w:r>
            <w:r w:rsidRPr="001B2C1D">
              <w:t xml:space="preserve"> who bears the risk if the volume of water available is permanently reduced or becomes less reliable on an ongoing basis.</w:t>
            </w:r>
          </w:p>
        </w:tc>
      </w:tr>
      <w:tr w:rsidR="001054C3" w14:paraId="37937D66" w14:textId="77777777" w:rsidTr="005B3969">
        <w:tc>
          <w:tcPr>
            <w:tcW w:w="1371" w:type="pct"/>
          </w:tcPr>
          <w:p w14:paraId="2BC1FB18" w14:textId="77777777" w:rsidR="001054C3" w:rsidRDefault="001054C3" w:rsidP="00E80659">
            <w:pPr>
              <w:pStyle w:val="BodyText"/>
              <w:spacing w:before="80" w:line="280" w:lineRule="atLeast"/>
              <w:jc w:val="left"/>
            </w:pPr>
            <w:r>
              <w:t>River operator</w:t>
            </w:r>
          </w:p>
        </w:tc>
        <w:tc>
          <w:tcPr>
            <w:tcW w:w="3629" w:type="pct"/>
          </w:tcPr>
          <w:p w14:paraId="4BCAA11C" w14:textId="77777777" w:rsidR="001054C3" w:rsidRPr="001B2C1D" w:rsidRDefault="001054C3" w:rsidP="00E80659">
            <w:pPr>
              <w:pStyle w:val="BodyText"/>
              <w:spacing w:before="80" w:line="280" w:lineRule="atLeast"/>
              <w:jc w:val="left"/>
            </w:pPr>
            <w:r>
              <w:t>The entity responsible for managing and operating a river system, including delivering water to users. For example, the Murray–Darling Basin Authority is the designated river operator for the regulated River Murray system on behalf of the Australian, NSW, Victorian and South Australian governments.</w:t>
            </w:r>
          </w:p>
        </w:tc>
      </w:tr>
      <w:tr w:rsidR="001054C3" w14:paraId="415DB13B" w14:textId="77777777" w:rsidTr="005B3969">
        <w:tc>
          <w:tcPr>
            <w:tcW w:w="1371" w:type="pct"/>
          </w:tcPr>
          <w:p w14:paraId="303E7DCF" w14:textId="77777777" w:rsidR="001054C3" w:rsidRDefault="001054C3" w:rsidP="00E80659">
            <w:pPr>
              <w:pStyle w:val="BodyText"/>
              <w:spacing w:before="80" w:line="280" w:lineRule="atLeast"/>
              <w:jc w:val="left"/>
            </w:pPr>
            <w:r>
              <w:t>Surface water</w:t>
            </w:r>
          </w:p>
        </w:tc>
        <w:tc>
          <w:tcPr>
            <w:tcW w:w="3629" w:type="pct"/>
          </w:tcPr>
          <w:p w14:paraId="686D3A2D" w14:textId="77777777" w:rsidR="001054C3" w:rsidRDefault="001054C3" w:rsidP="00E80659">
            <w:pPr>
              <w:pStyle w:val="BodyText"/>
              <w:spacing w:before="80" w:line="280" w:lineRule="atLeast"/>
              <w:jc w:val="left"/>
            </w:pPr>
            <w:r>
              <w:t>Water that flows over or collects on land and in natural or artificial waterways.</w:t>
            </w:r>
          </w:p>
        </w:tc>
      </w:tr>
      <w:tr w:rsidR="001054C3" w14:paraId="058C819A" w14:textId="77777777" w:rsidTr="005B3969">
        <w:tc>
          <w:tcPr>
            <w:tcW w:w="1371" w:type="pct"/>
          </w:tcPr>
          <w:p w14:paraId="4264F8F4" w14:textId="77777777" w:rsidR="001054C3" w:rsidRDefault="001054C3" w:rsidP="00E80659">
            <w:pPr>
              <w:pStyle w:val="BodyText"/>
              <w:spacing w:before="80" w:line="280" w:lineRule="atLeast"/>
              <w:jc w:val="left"/>
            </w:pPr>
            <w:r>
              <w:t>Sustainable diversion limit</w:t>
            </w:r>
          </w:p>
        </w:tc>
        <w:tc>
          <w:tcPr>
            <w:tcW w:w="3629" w:type="pct"/>
          </w:tcPr>
          <w:p w14:paraId="36AF7E49" w14:textId="77777777" w:rsidR="001054C3" w:rsidRDefault="001054C3" w:rsidP="00E80659">
            <w:pPr>
              <w:pStyle w:val="BodyText"/>
              <w:spacing w:before="80" w:line="280" w:lineRule="atLeast"/>
              <w:jc w:val="left"/>
            </w:pPr>
            <w:r w:rsidRPr="00136978">
              <w:t>The limit on quantities of surface water and groundwater that can be taken for consumptive use from Murray</w:t>
            </w:r>
            <w:r>
              <w:t>–</w:t>
            </w:r>
            <w:r w:rsidRPr="00136978">
              <w:t>Darling Basin water resource</w:t>
            </w:r>
            <w:r>
              <w:t xml:space="preserve"> </w:t>
            </w:r>
            <w:r w:rsidRPr="00136978">
              <w:t>s</w:t>
            </w:r>
            <w:r>
              <w:t>ystems</w:t>
            </w:r>
            <w:r w:rsidRPr="00136978">
              <w:t>, having regard to environmental, social and economic impacts</w:t>
            </w:r>
            <w:r>
              <w:t xml:space="preserve"> (as defined and set by the </w:t>
            </w:r>
            <w:r>
              <w:br/>
              <w:t>Murray–Darling Basin Plan)</w:t>
            </w:r>
            <w:r w:rsidRPr="00136978">
              <w:t>.</w:t>
            </w:r>
          </w:p>
        </w:tc>
      </w:tr>
      <w:tr w:rsidR="001054C3" w14:paraId="04CE3575" w14:textId="77777777" w:rsidTr="005B3969">
        <w:tc>
          <w:tcPr>
            <w:tcW w:w="1371" w:type="pct"/>
          </w:tcPr>
          <w:p w14:paraId="7A54A491" w14:textId="77777777" w:rsidR="001054C3" w:rsidRDefault="001054C3" w:rsidP="00E80659">
            <w:pPr>
              <w:pStyle w:val="BodyText"/>
              <w:spacing w:before="80" w:line="280" w:lineRule="atLeast"/>
              <w:jc w:val="left"/>
            </w:pPr>
            <w:r>
              <w:t>System manager</w:t>
            </w:r>
          </w:p>
        </w:tc>
        <w:tc>
          <w:tcPr>
            <w:tcW w:w="3629" w:type="pct"/>
          </w:tcPr>
          <w:p w14:paraId="1C3A54A6" w14:textId="77777777" w:rsidR="001054C3" w:rsidRPr="00136978" w:rsidRDefault="001054C3" w:rsidP="00E80659">
            <w:bookmarkStart w:id="219" w:name="_Hlk72314346"/>
            <w:r>
              <w:rPr>
                <w:szCs w:val="20"/>
              </w:rPr>
              <w:t>The entity r</w:t>
            </w:r>
            <w:r w:rsidRPr="00B07565">
              <w:rPr>
                <w:szCs w:val="20"/>
              </w:rPr>
              <w:t>esponsible for managing water resources</w:t>
            </w:r>
            <w:r>
              <w:rPr>
                <w:szCs w:val="20"/>
              </w:rPr>
              <w:t xml:space="preserve"> </w:t>
            </w:r>
            <w:r w:rsidRPr="00B07565">
              <w:rPr>
                <w:szCs w:val="20"/>
              </w:rPr>
              <w:t>and regulating infrastructure at</w:t>
            </w:r>
            <w:r>
              <w:rPr>
                <w:szCs w:val="20"/>
              </w:rPr>
              <w:t xml:space="preserve"> a</w:t>
            </w:r>
            <w:r w:rsidRPr="00B07565">
              <w:rPr>
                <w:szCs w:val="20"/>
              </w:rPr>
              <w:t xml:space="preserve"> system level to meet stated objectives </w:t>
            </w:r>
            <w:r>
              <w:rPr>
                <w:szCs w:val="20"/>
              </w:rPr>
              <w:t>and achieve</w:t>
            </w:r>
            <w:r w:rsidRPr="00B07565">
              <w:rPr>
                <w:szCs w:val="20"/>
              </w:rPr>
              <w:t xml:space="preserve"> economic, social, environmental and cultural outcomes.</w:t>
            </w:r>
            <w:bookmarkEnd w:id="219"/>
          </w:p>
        </w:tc>
      </w:tr>
      <w:tr w:rsidR="001054C3" w14:paraId="04AC02E1" w14:textId="77777777" w:rsidTr="005B3969">
        <w:tc>
          <w:tcPr>
            <w:tcW w:w="1371" w:type="pct"/>
          </w:tcPr>
          <w:p w14:paraId="75E5721D" w14:textId="77777777" w:rsidR="001054C3" w:rsidRDefault="001054C3" w:rsidP="00E80659">
            <w:pPr>
              <w:pStyle w:val="BodyText"/>
              <w:spacing w:before="80" w:line="280" w:lineRule="atLeast"/>
              <w:jc w:val="left"/>
            </w:pPr>
            <w:r>
              <w:t>Unregulated system</w:t>
            </w:r>
          </w:p>
        </w:tc>
        <w:tc>
          <w:tcPr>
            <w:tcW w:w="3629" w:type="pct"/>
          </w:tcPr>
          <w:p w14:paraId="7E57AD9B" w14:textId="77777777" w:rsidR="001054C3" w:rsidRDefault="001054C3" w:rsidP="00E80659">
            <w:pPr>
              <w:pStyle w:val="BodyText"/>
              <w:spacing w:before="80" w:line="280" w:lineRule="atLeast"/>
              <w:jc w:val="left"/>
            </w:pPr>
            <w:r>
              <w:t>A surface w</w:t>
            </w:r>
            <w:r w:rsidRPr="009F501A">
              <w:t xml:space="preserve">ater </w:t>
            </w:r>
            <w:r>
              <w:t>system</w:t>
            </w:r>
            <w:r w:rsidRPr="009F501A">
              <w:t xml:space="preserve"> that </w:t>
            </w:r>
            <w:r>
              <w:t>is</w:t>
            </w:r>
            <w:r w:rsidRPr="009F501A">
              <w:t xml:space="preserve"> </w:t>
            </w:r>
            <w:r>
              <w:t xml:space="preserve">largely </w:t>
            </w:r>
            <w:r w:rsidRPr="009F501A">
              <w:t xml:space="preserve">not controlled through the use of infrastructure to store and release water. </w:t>
            </w:r>
          </w:p>
        </w:tc>
      </w:tr>
      <w:tr w:rsidR="001054C3" w14:paraId="27D9D209" w14:textId="77777777" w:rsidTr="005B3969">
        <w:tc>
          <w:tcPr>
            <w:tcW w:w="1371" w:type="pct"/>
          </w:tcPr>
          <w:p w14:paraId="55F7370C" w14:textId="77777777" w:rsidR="001054C3" w:rsidRDefault="001054C3" w:rsidP="00E80659">
            <w:pPr>
              <w:pStyle w:val="BodyText"/>
              <w:spacing w:before="80" w:line="280" w:lineRule="atLeast"/>
              <w:jc w:val="left"/>
            </w:pPr>
            <w:r>
              <w:t xml:space="preserve">Water access entitlement </w:t>
            </w:r>
          </w:p>
        </w:tc>
        <w:tc>
          <w:tcPr>
            <w:tcW w:w="3629" w:type="pct"/>
          </w:tcPr>
          <w:p w14:paraId="0807A1E0" w14:textId="77777777" w:rsidR="001054C3" w:rsidRDefault="001054C3" w:rsidP="00E80659">
            <w:pPr>
              <w:pStyle w:val="BodyText"/>
              <w:spacing w:before="80" w:line="280" w:lineRule="atLeast"/>
              <w:jc w:val="left"/>
            </w:pPr>
            <w:r w:rsidRPr="00136978">
              <w:t>A perpetual or ongoing entitlement to exclusive access to a share of water from a specified consumptive pool as def</w:t>
            </w:r>
            <w:r>
              <w:t>ined in the relevant water plan (also known as a ‘water entitlement’).</w:t>
            </w:r>
          </w:p>
        </w:tc>
      </w:tr>
      <w:tr w:rsidR="001054C3" w14:paraId="03F200A9" w14:textId="77777777" w:rsidTr="005B3969">
        <w:tc>
          <w:tcPr>
            <w:tcW w:w="1371" w:type="pct"/>
          </w:tcPr>
          <w:p w14:paraId="6A5B7DEE" w14:textId="77777777" w:rsidR="001054C3" w:rsidRDefault="001054C3" w:rsidP="00E80659">
            <w:pPr>
              <w:pStyle w:val="BodyText"/>
              <w:spacing w:before="80" w:line="280" w:lineRule="atLeast"/>
              <w:jc w:val="left"/>
            </w:pPr>
            <w:r>
              <w:t>Water access right</w:t>
            </w:r>
          </w:p>
        </w:tc>
        <w:tc>
          <w:tcPr>
            <w:tcW w:w="3629" w:type="pct"/>
          </w:tcPr>
          <w:p w14:paraId="52FB0B6C" w14:textId="77777777" w:rsidR="001054C3" w:rsidRPr="00136978" w:rsidRDefault="001054C3" w:rsidP="00E80659">
            <w:pPr>
              <w:pStyle w:val="BodyText"/>
              <w:spacing w:before="80" w:line="280" w:lineRule="atLeast"/>
              <w:jc w:val="left"/>
            </w:pPr>
            <w:r>
              <w:t>Any right conferred by law to hold and/or take water from a water resource, including stock and domestic rights, riparian rights, water access entitlements and water allocations.</w:t>
            </w:r>
          </w:p>
        </w:tc>
      </w:tr>
      <w:tr w:rsidR="001054C3" w14:paraId="455C380C" w14:textId="77777777" w:rsidTr="005B3969">
        <w:tc>
          <w:tcPr>
            <w:tcW w:w="1371" w:type="pct"/>
          </w:tcPr>
          <w:p w14:paraId="760FFF60" w14:textId="77777777" w:rsidR="001054C3" w:rsidRDefault="001054C3" w:rsidP="00E80659">
            <w:pPr>
              <w:pStyle w:val="BodyText"/>
              <w:spacing w:before="80" w:line="280" w:lineRule="atLeast"/>
              <w:jc w:val="left"/>
            </w:pPr>
            <w:r>
              <w:lastRenderedPageBreak/>
              <w:t>Water accounting</w:t>
            </w:r>
          </w:p>
        </w:tc>
        <w:tc>
          <w:tcPr>
            <w:tcW w:w="3629" w:type="pct"/>
          </w:tcPr>
          <w:p w14:paraId="5EC4F79D" w14:textId="77777777" w:rsidR="001054C3" w:rsidRPr="00136978" w:rsidRDefault="001054C3" w:rsidP="00E80659">
            <w:pPr>
              <w:pStyle w:val="BodyText"/>
              <w:spacing w:before="80" w:line="280" w:lineRule="atLeast"/>
              <w:jc w:val="left"/>
            </w:pPr>
            <w:r>
              <w:t>I</w:t>
            </w:r>
            <w:r w:rsidRPr="00136978">
              <w:t>dentifying, recognising, quantifying, reporting and assuring information about water, the rights or other claims to that water and the obligations against that water</w:t>
            </w:r>
            <w:r>
              <w:t>.</w:t>
            </w:r>
          </w:p>
        </w:tc>
      </w:tr>
      <w:tr w:rsidR="001054C3" w14:paraId="7876934A" w14:textId="77777777" w:rsidTr="005B3969">
        <w:tc>
          <w:tcPr>
            <w:tcW w:w="1371" w:type="pct"/>
          </w:tcPr>
          <w:p w14:paraId="7DDF016B" w14:textId="77777777" w:rsidR="001054C3" w:rsidRDefault="001054C3" w:rsidP="00E80659">
            <w:pPr>
              <w:pStyle w:val="BodyText"/>
              <w:spacing w:before="80" w:line="280" w:lineRule="atLeast"/>
              <w:jc w:val="left"/>
            </w:pPr>
            <w:r>
              <w:t>Water allocation</w:t>
            </w:r>
          </w:p>
        </w:tc>
        <w:tc>
          <w:tcPr>
            <w:tcW w:w="3629" w:type="pct"/>
          </w:tcPr>
          <w:p w14:paraId="6F4656A3" w14:textId="77777777" w:rsidR="001054C3" w:rsidRDefault="001054C3" w:rsidP="00E80659">
            <w:pPr>
              <w:pStyle w:val="BodyText"/>
              <w:spacing w:before="80" w:line="280" w:lineRule="atLeast"/>
              <w:jc w:val="left"/>
            </w:pPr>
            <w:r w:rsidRPr="000A130E">
              <w:t xml:space="preserve">The specific volume of water allocated to </w:t>
            </w:r>
            <w:r>
              <w:t xml:space="preserve">a </w:t>
            </w:r>
            <w:r w:rsidRPr="000A130E">
              <w:t xml:space="preserve">water access entitlement in a given </w:t>
            </w:r>
            <w:r w:rsidRPr="00D741CE">
              <w:t xml:space="preserve">season, defined according to rules established in the relevant water </w:t>
            </w:r>
            <w:r w:rsidRPr="000A130E">
              <w:t>plan.</w:t>
            </w:r>
          </w:p>
        </w:tc>
      </w:tr>
      <w:tr w:rsidR="001054C3" w14:paraId="7BE7953B" w14:textId="77777777" w:rsidTr="005B3969">
        <w:tc>
          <w:tcPr>
            <w:tcW w:w="1371" w:type="pct"/>
          </w:tcPr>
          <w:p w14:paraId="77FD6342" w14:textId="77777777" w:rsidR="001054C3" w:rsidRDefault="001054C3" w:rsidP="00E80659">
            <w:pPr>
              <w:pStyle w:val="BodyText"/>
              <w:spacing w:before="80" w:line="280" w:lineRule="atLeast"/>
              <w:jc w:val="left"/>
            </w:pPr>
            <w:r>
              <w:t>Water plan</w:t>
            </w:r>
          </w:p>
        </w:tc>
        <w:tc>
          <w:tcPr>
            <w:tcW w:w="3629" w:type="pct"/>
          </w:tcPr>
          <w:p w14:paraId="4ED5D209" w14:textId="77777777" w:rsidR="001054C3" w:rsidRPr="000A130E" w:rsidRDefault="001054C3" w:rsidP="00E80659">
            <w:pPr>
              <w:pStyle w:val="BodyText"/>
              <w:spacing w:before="80" w:line="280" w:lineRule="atLeast"/>
              <w:jc w:val="left"/>
            </w:pPr>
            <w:r w:rsidRPr="00BA4225">
              <w:t>Statutory</w:t>
            </w:r>
            <w:r>
              <w:noBreakHyphen/>
              <w:t xml:space="preserve">based </w:t>
            </w:r>
            <w:r w:rsidRPr="00BA4225">
              <w:t xml:space="preserve">plans for surface and/or groundwater systems </w:t>
            </w:r>
            <w:r>
              <w:t xml:space="preserve">— desirably </w:t>
            </w:r>
            <w:r w:rsidRPr="00BA4225">
              <w:t xml:space="preserve">developed in consultation with relevant stakeholders on the basis of best </w:t>
            </w:r>
            <w:r>
              <w:t xml:space="preserve">available </w:t>
            </w:r>
            <w:r w:rsidRPr="00BA4225">
              <w:t>scientific and socio</w:t>
            </w:r>
            <w:r>
              <w:noBreakHyphen/>
            </w:r>
            <w:r w:rsidRPr="00BA4225">
              <w:t>economic assessment</w:t>
            </w:r>
            <w:r>
              <w:t xml:space="preserve"> —</w:t>
            </w:r>
            <w:r w:rsidRPr="00BA4225">
              <w:t xml:space="preserve"> to provide secure ecological outcomes and resource security for users (</w:t>
            </w:r>
            <w:r>
              <w:t xml:space="preserve">as </w:t>
            </w:r>
            <w:r w:rsidRPr="00BA4225">
              <w:t>defined under the National Water Initiative)</w:t>
            </w:r>
            <w:r>
              <w:t>.</w:t>
            </w:r>
          </w:p>
        </w:tc>
      </w:tr>
      <w:tr w:rsidR="001054C3" w14:paraId="2F816E84" w14:textId="77777777" w:rsidTr="005B3969">
        <w:tc>
          <w:tcPr>
            <w:tcW w:w="1371" w:type="pct"/>
          </w:tcPr>
          <w:p w14:paraId="7E550333" w14:textId="77777777" w:rsidR="001054C3" w:rsidRDefault="001054C3" w:rsidP="00E80659">
            <w:pPr>
              <w:pStyle w:val="BodyText"/>
              <w:spacing w:before="80" w:line="280" w:lineRule="atLeast"/>
              <w:jc w:val="left"/>
            </w:pPr>
            <w:r w:rsidRPr="00BB6914">
              <w:t>Water recovery</w:t>
            </w:r>
          </w:p>
        </w:tc>
        <w:tc>
          <w:tcPr>
            <w:tcW w:w="3629" w:type="pct"/>
          </w:tcPr>
          <w:p w14:paraId="1E68A4A7" w14:textId="77777777" w:rsidR="001054C3" w:rsidRDefault="001054C3" w:rsidP="00E80659">
            <w:pPr>
              <w:pStyle w:val="BodyText"/>
              <w:spacing w:before="80" w:line="280" w:lineRule="atLeast"/>
              <w:jc w:val="left"/>
            </w:pPr>
            <w:r>
              <w:t>T</w:t>
            </w:r>
            <w:r w:rsidRPr="00BB6914">
              <w:t xml:space="preserve">he acquisition of a water </w:t>
            </w:r>
            <w:r w:rsidRPr="008E77C0">
              <w:t>access</w:t>
            </w:r>
            <w:r w:rsidRPr="00BB6914">
              <w:t xml:space="preserve"> right </w:t>
            </w:r>
            <w:r>
              <w:t xml:space="preserve">from the consumptive pool </w:t>
            </w:r>
            <w:r w:rsidRPr="00BB6914">
              <w:t>for the purpose of achieving an environmental outcome.</w:t>
            </w:r>
          </w:p>
        </w:tc>
      </w:tr>
      <w:tr w:rsidR="001054C3" w14:paraId="7E0701EA" w14:textId="77777777" w:rsidTr="005B3969">
        <w:tc>
          <w:tcPr>
            <w:tcW w:w="1371" w:type="pct"/>
          </w:tcPr>
          <w:p w14:paraId="13797B3F" w14:textId="77777777" w:rsidR="001054C3" w:rsidRPr="00BB6914" w:rsidRDefault="001054C3" w:rsidP="00E80659">
            <w:pPr>
              <w:pStyle w:val="BodyText"/>
              <w:spacing w:before="80" w:line="280" w:lineRule="atLeast"/>
              <w:jc w:val="left"/>
            </w:pPr>
            <w:r>
              <w:t>Water resource management</w:t>
            </w:r>
          </w:p>
        </w:tc>
        <w:tc>
          <w:tcPr>
            <w:tcW w:w="3629" w:type="pct"/>
          </w:tcPr>
          <w:p w14:paraId="3679E9B1" w14:textId="77777777" w:rsidR="001054C3" w:rsidRDefault="001054C3" w:rsidP="00E80659">
            <w:pPr>
              <w:pStyle w:val="BodyText"/>
              <w:spacing w:before="80" w:line="280" w:lineRule="atLeast"/>
              <w:jc w:val="left"/>
            </w:pPr>
            <w:r w:rsidRPr="004D37DF">
              <w:t>Water resource management is the activity of planning, developing, distributing and managing the optimum use of water resources.</w:t>
            </w:r>
          </w:p>
        </w:tc>
      </w:tr>
      <w:tr w:rsidR="001054C3" w14:paraId="2731DC88" w14:textId="77777777" w:rsidTr="005B3969">
        <w:tc>
          <w:tcPr>
            <w:tcW w:w="1371" w:type="pct"/>
          </w:tcPr>
          <w:p w14:paraId="6DE16D4F" w14:textId="77777777" w:rsidR="001054C3" w:rsidRPr="00BB6914" w:rsidRDefault="001054C3" w:rsidP="00E80659">
            <w:pPr>
              <w:pStyle w:val="BodyText"/>
              <w:spacing w:before="80" w:line="280" w:lineRule="atLeast"/>
              <w:jc w:val="left"/>
            </w:pPr>
            <w:r>
              <w:t>Water resource plan</w:t>
            </w:r>
          </w:p>
        </w:tc>
        <w:tc>
          <w:tcPr>
            <w:tcW w:w="3629" w:type="pct"/>
          </w:tcPr>
          <w:p w14:paraId="7C2B60EA" w14:textId="77777777" w:rsidR="001054C3" w:rsidRDefault="001054C3" w:rsidP="00E80659">
            <w:pPr>
              <w:pStyle w:val="BodyText"/>
              <w:spacing w:before="80" w:line="280" w:lineRule="atLeast"/>
              <w:jc w:val="left"/>
            </w:pPr>
            <w:r>
              <w:t>Specific w</w:t>
            </w:r>
            <w:r w:rsidRPr="004D37DF">
              <w:t xml:space="preserve">ater plans </w:t>
            </w:r>
            <w:r>
              <w:t>required by</w:t>
            </w:r>
            <w:r w:rsidRPr="004D37DF">
              <w:t xml:space="preserve"> the Murray</w:t>
            </w:r>
            <w:r>
              <w:t>–</w:t>
            </w:r>
            <w:r w:rsidRPr="004D37DF">
              <w:t>Darling Basin Plan</w:t>
            </w:r>
            <w:r>
              <w:t xml:space="preserve"> for each of the Basin’s surface and groundwater systems.</w:t>
            </w:r>
            <w:r w:rsidRPr="004D37DF">
              <w:t xml:space="preserve"> </w:t>
            </w:r>
            <w:r>
              <w:t xml:space="preserve">Each plan is </w:t>
            </w:r>
            <w:r w:rsidRPr="004D37DF">
              <w:t xml:space="preserve">developed by </w:t>
            </w:r>
            <w:r>
              <w:t xml:space="preserve">the relevant </w:t>
            </w:r>
            <w:r w:rsidRPr="004D37DF">
              <w:t xml:space="preserve">Basin state </w:t>
            </w:r>
            <w:r>
              <w:t xml:space="preserve">or territory </w:t>
            </w:r>
            <w:r w:rsidRPr="004D37DF">
              <w:t>government</w:t>
            </w:r>
            <w:r>
              <w:t xml:space="preserve">, and once accredited by the Minister responsible for the </w:t>
            </w:r>
            <w:r w:rsidRPr="00497E0A">
              <w:rPr>
                <w:i/>
              </w:rPr>
              <w:t>Water Act 2007</w:t>
            </w:r>
            <w:r>
              <w:t xml:space="preserve"> (Cth), is operated by the responsible Basin state or territory government</w:t>
            </w:r>
            <w:r w:rsidRPr="004D37DF">
              <w:t xml:space="preserve">. </w:t>
            </w:r>
            <w:r>
              <w:t>A w</w:t>
            </w:r>
            <w:r w:rsidRPr="004D37DF">
              <w:t>ater resource plan</w:t>
            </w:r>
            <w:r w:rsidRPr="004D37DF" w:rsidDel="00EE473E">
              <w:t xml:space="preserve"> </w:t>
            </w:r>
            <w:r w:rsidRPr="004D37DF">
              <w:t>outline</w:t>
            </w:r>
            <w:r>
              <w:t>s</w:t>
            </w:r>
            <w:r w:rsidRPr="004D37DF">
              <w:t xml:space="preserve"> how </w:t>
            </w:r>
            <w:r>
              <w:t xml:space="preserve">water driven </w:t>
            </w:r>
            <w:r w:rsidRPr="004D37DF">
              <w:t xml:space="preserve">community, environmental, economic and cultural outcomes </w:t>
            </w:r>
            <w:r>
              <w:t xml:space="preserve">at catchment level will be achieved, </w:t>
            </w:r>
            <w:r w:rsidRPr="004D37DF">
              <w:t xml:space="preserve">and </w:t>
            </w:r>
            <w:r>
              <w:t xml:space="preserve">how </w:t>
            </w:r>
            <w:r w:rsidRPr="004D37DF">
              <w:t>state</w:t>
            </w:r>
            <w:r>
              <w:t xml:space="preserve"> or territory</w:t>
            </w:r>
            <w:r w:rsidRPr="004D37DF">
              <w:t xml:space="preserve"> water management rules </w:t>
            </w:r>
            <w:r>
              <w:t xml:space="preserve">will </w:t>
            </w:r>
            <w:r w:rsidRPr="004D37DF">
              <w:t>meet the Basin Plan</w:t>
            </w:r>
            <w:r>
              <w:t>’s</w:t>
            </w:r>
            <w:r w:rsidRPr="004D37DF">
              <w:t xml:space="preserve"> objectives. </w:t>
            </w:r>
          </w:p>
        </w:tc>
      </w:tr>
      <w:tr w:rsidR="001054C3" w14:paraId="561B1395" w14:textId="77777777" w:rsidTr="005B3969">
        <w:tc>
          <w:tcPr>
            <w:tcW w:w="1371" w:type="pct"/>
          </w:tcPr>
          <w:p w14:paraId="3EE61A0F" w14:textId="77777777" w:rsidR="001054C3" w:rsidRDefault="001054C3" w:rsidP="00E80659">
            <w:pPr>
              <w:pStyle w:val="BodyText"/>
              <w:spacing w:before="80" w:line="280" w:lineRule="atLeast"/>
              <w:jc w:val="left"/>
            </w:pPr>
            <w:r>
              <w:t>Water sensitive urban design</w:t>
            </w:r>
          </w:p>
        </w:tc>
        <w:tc>
          <w:tcPr>
            <w:tcW w:w="3629" w:type="pct"/>
          </w:tcPr>
          <w:p w14:paraId="1C828453" w14:textId="77777777" w:rsidR="001054C3" w:rsidRDefault="001054C3" w:rsidP="00E80659">
            <w:pPr>
              <w:pStyle w:val="BodyText"/>
              <w:spacing w:before="80" w:line="280" w:lineRule="atLeast"/>
              <w:jc w:val="left"/>
            </w:pPr>
            <w:r>
              <w:t xml:space="preserve">Designing buildings and landscapes to reduce or slow stormwater runoff (including by increasing the extent to which water infiltrates the soil) and providing opportunities for stormwater reuse. </w:t>
            </w:r>
          </w:p>
        </w:tc>
      </w:tr>
      <w:tr w:rsidR="001054C3" w14:paraId="02C48ECD" w14:textId="77777777" w:rsidTr="005B3969">
        <w:tc>
          <w:tcPr>
            <w:tcW w:w="1371" w:type="pct"/>
          </w:tcPr>
          <w:p w14:paraId="67CB1424" w14:textId="77777777" w:rsidR="001054C3" w:rsidRDefault="001054C3" w:rsidP="00E80659">
            <w:pPr>
              <w:pStyle w:val="BodyText"/>
              <w:spacing w:before="80" w:line="280" w:lineRule="atLeast"/>
              <w:jc w:val="left"/>
            </w:pPr>
            <w:r>
              <w:t>Water service provision</w:t>
            </w:r>
          </w:p>
        </w:tc>
        <w:tc>
          <w:tcPr>
            <w:tcW w:w="3629" w:type="pct"/>
          </w:tcPr>
          <w:p w14:paraId="74D0A12F" w14:textId="77777777" w:rsidR="001054C3" w:rsidRDefault="001054C3" w:rsidP="00E80659">
            <w:pPr>
              <w:pStyle w:val="BodyText"/>
              <w:spacing w:before="80" w:line="280" w:lineRule="atLeast"/>
              <w:jc w:val="left"/>
            </w:pPr>
            <w:r>
              <w:t>Delivery of urban, rural and bulk water services, including provision of water for consumptive use; wastewater collection and disposal services; stormwater</w:t>
            </w:r>
            <w:r w:rsidRPr="00B53A9C">
              <w:rPr>
                <w:szCs w:val="24"/>
              </w:rPr>
              <w:t xml:space="preserve"> </w:t>
            </w:r>
            <w:r w:rsidRPr="00B53A9C">
              <w:t>collection and disposal</w:t>
            </w:r>
            <w:r>
              <w:t>; and irrigation water supply and drainage.</w:t>
            </w:r>
          </w:p>
        </w:tc>
      </w:tr>
      <w:tr w:rsidR="001054C3" w14:paraId="107C896A" w14:textId="77777777" w:rsidTr="005B3969">
        <w:tc>
          <w:tcPr>
            <w:tcW w:w="1371" w:type="pct"/>
          </w:tcPr>
          <w:p w14:paraId="49A6F25D" w14:textId="77777777" w:rsidR="001054C3" w:rsidRDefault="001054C3" w:rsidP="00E80659">
            <w:pPr>
              <w:pStyle w:val="BodyText"/>
              <w:spacing w:before="80" w:line="280" w:lineRule="atLeast"/>
              <w:jc w:val="left"/>
            </w:pPr>
            <w:r>
              <w:t>Water system</w:t>
            </w:r>
          </w:p>
        </w:tc>
        <w:tc>
          <w:tcPr>
            <w:tcW w:w="3629" w:type="pct"/>
          </w:tcPr>
          <w:p w14:paraId="24ACB3DA" w14:textId="77777777" w:rsidR="001054C3" w:rsidRDefault="001054C3" w:rsidP="00E80659">
            <w:pPr>
              <w:pStyle w:val="BodyText"/>
              <w:spacing w:before="80" w:line="280" w:lineRule="atLeast"/>
              <w:jc w:val="left"/>
            </w:pPr>
            <w:r w:rsidRPr="009F501A">
              <w:t>A system that is hydrologically connected and described at the level desired for management purposes</w:t>
            </w:r>
            <w:r>
              <w:t xml:space="preserve">, such as a </w:t>
            </w:r>
            <w:r w:rsidRPr="009F501A">
              <w:t xml:space="preserve">catchment, basin or </w:t>
            </w:r>
            <w:r w:rsidRPr="009F501A" w:rsidDel="000E3ACB">
              <w:t xml:space="preserve">aquifer, </w:t>
            </w:r>
            <w:r>
              <w:t>or sub</w:t>
            </w:r>
            <w:r>
              <w:noBreakHyphen/>
              <w:t>components of these</w:t>
            </w:r>
            <w:r w:rsidRPr="009F501A">
              <w:t>.</w:t>
            </w:r>
          </w:p>
        </w:tc>
      </w:tr>
    </w:tbl>
    <w:p w14:paraId="14B06B79" w14:textId="77777777" w:rsidR="001054C3" w:rsidRPr="00A43CCB" w:rsidRDefault="001054C3" w:rsidP="00234FBE">
      <w:pPr>
        <w:keepNext/>
        <w:spacing w:before="360" w:line="80" w:lineRule="exact"/>
      </w:pPr>
    </w:p>
    <w:p w14:paraId="4F17AAC4" w14:textId="77777777" w:rsidR="001054C3" w:rsidRDefault="001054C3" w:rsidP="001054C3">
      <w:pPr>
        <w:sectPr w:rsidR="001054C3" w:rsidSect="001054C3">
          <w:headerReference w:type="even" r:id="rId156"/>
          <w:headerReference w:type="default" r:id="rId157"/>
          <w:footerReference w:type="even" r:id="rId158"/>
          <w:footerReference w:type="default" r:id="rId159"/>
          <w:type w:val="oddPage"/>
          <w:pgSz w:w="11907" w:h="16840" w:code="9"/>
          <w:pgMar w:top="1985" w:right="1304" w:bottom="1247" w:left="1814" w:header="1701" w:footer="397" w:gutter="0"/>
          <w:pgNumType w:chapSep="period"/>
          <w:cols w:space="720"/>
          <w:docGrid w:linePitch="326"/>
        </w:sectPr>
      </w:pPr>
    </w:p>
    <w:p w14:paraId="59FF08AE" w14:textId="77777777" w:rsidR="001054C3" w:rsidRDefault="001054C3" w:rsidP="000548E3">
      <w:pPr>
        <w:pStyle w:val="Heading1"/>
      </w:pPr>
      <w:bookmarkStart w:id="220" w:name="_Toc72939557"/>
      <w:r>
        <w:lastRenderedPageBreak/>
        <w:t>C</w:t>
      </w:r>
      <w:r>
        <w:tab/>
        <w:t>Inquiry conduct and participants</w:t>
      </w:r>
      <w:bookmarkEnd w:id="220"/>
    </w:p>
    <w:p w14:paraId="27FCCF22" w14:textId="77777777" w:rsidR="001054C3" w:rsidRDefault="001054C3" w:rsidP="00120072">
      <w:pPr>
        <w:pStyle w:val="BodyText"/>
      </w:pPr>
      <w:r w:rsidRPr="004E560A">
        <w:t xml:space="preserve">This appendix describes the stakeholder consultation process undertaken for the </w:t>
      </w:r>
      <w:r>
        <w:t xml:space="preserve">entire </w:t>
      </w:r>
      <w:r w:rsidRPr="004E560A">
        <w:t>inquiry and lists the organisations and individuals that have participated</w:t>
      </w:r>
      <w:r>
        <w:t>.</w:t>
      </w:r>
    </w:p>
    <w:p w14:paraId="28A30F9D" w14:textId="77777777" w:rsidR="001054C3" w:rsidRPr="00FF2A8A" w:rsidRDefault="001054C3" w:rsidP="00234FBE">
      <w:pPr>
        <w:pStyle w:val="ListBullet"/>
      </w:pPr>
      <w:r>
        <w:t>A</w:t>
      </w:r>
      <w:r w:rsidRPr="00FF2A8A">
        <w:t xml:space="preserve">n advertisement </w:t>
      </w:r>
      <w:r>
        <w:t xml:space="preserve">announcing the inquiry </w:t>
      </w:r>
      <w:r w:rsidRPr="00FF2A8A">
        <w:t xml:space="preserve">was placed in </w:t>
      </w:r>
      <w:r w:rsidRPr="004E24F0">
        <w:rPr>
          <w:i/>
        </w:rPr>
        <w:t>The Australian</w:t>
      </w:r>
      <w:r w:rsidRPr="00FF2A8A">
        <w:t xml:space="preserve"> newspaper</w:t>
      </w:r>
      <w:r>
        <w:t xml:space="preserve"> </w:t>
      </w:r>
      <w:r w:rsidRPr="00FF2A8A">
        <w:t xml:space="preserve">and a circular </w:t>
      </w:r>
      <w:r>
        <w:t xml:space="preserve">with similar content </w:t>
      </w:r>
      <w:r w:rsidRPr="00FF2A8A">
        <w:t>was sent to identified interested parties</w:t>
      </w:r>
      <w:r w:rsidRPr="00811DE5">
        <w:t xml:space="preserve"> </w:t>
      </w:r>
      <w:r>
        <w:t>f</w:t>
      </w:r>
      <w:r w:rsidRPr="00FF2A8A">
        <w:t xml:space="preserve">ollowing receipt of the terms of reference on </w:t>
      </w:r>
      <w:r>
        <w:t>22 May 2020</w:t>
      </w:r>
      <w:r w:rsidRPr="00FF2A8A">
        <w:t>.</w:t>
      </w:r>
    </w:p>
    <w:p w14:paraId="129ABFB9" w14:textId="0976E22F" w:rsidR="001054C3" w:rsidRDefault="001054C3" w:rsidP="00234FBE">
      <w:pPr>
        <w:pStyle w:val="ListBullet"/>
      </w:pPr>
      <w:r>
        <w:t xml:space="preserve">An issues paper was released on 26 May 2020 to assist those wishing to make a written submission to the inquiry. The Commission received 109 </w:t>
      </w:r>
      <w:r w:rsidRPr="001F18F8">
        <w:t xml:space="preserve">submissions (table C.1) and </w:t>
      </w:r>
      <w:r>
        <w:t xml:space="preserve">3 brief </w:t>
      </w:r>
      <w:r w:rsidRPr="001F18F8">
        <w:t xml:space="preserve">comments (table C.2) </w:t>
      </w:r>
      <w:r>
        <w:t xml:space="preserve">prior to the release of the draft report. The Commission </w:t>
      </w:r>
      <w:r w:rsidRPr="00D278B4">
        <w:t xml:space="preserve">received 85 submissions (table C.1) and 9 brief </w:t>
      </w:r>
      <w:r w:rsidRPr="001F18F8">
        <w:t xml:space="preserve">comments (table C.2) prior </w:t>
      </w:r>
      <w:r>
        <w:t xml:space="preserve">to the release of the final report. These submissions and brief comments are available online at </w:t>
      </w:r>
      <w:r w:rsidRPr="004C77B9">
        <w:t>www.pc.gov.au/inquiries/current/water-reform-2020/submissions</w:t>
      </w:r>
      <w:r>
        <w:t>.</w:t>
      </w:r>
    </w:p>
    <w:p w14:paraId="55B9CCD6" w14:textId="77777777" w:rsidR="001054C3" w:rsidRPr="001F18F8" w:rsidRDefault="001054C3" w:rsidP="00234FBE">
      <w:pPr>
        <w:pStyle w:val="ListBullet"/>
      </w:pPr>
      <w:r>
        <w:t>As detailed in tab</w:t>
      </w:r>
      <w:r w:rsidRPr="001F18F8">
        <w:t xml:space="preserve">le C.3, consultations were held with representatives from Commonwealth, State and Territory government agencies, </w:t>
      </w:r>
      <w:r>
        <w:t xml:space="preserve">First Nations groups, </w:t>
      </w:r>
      <w:r w:rsidRPr="001F18F8">
        <w:t xml:space="preserve">peak bodies, directorates, businesses and </w:t>
      </w:r>
      <w:r>
        <w:t>academia</w:t>
      </w:r>
      <w:r w:rsidRPr="001F18F8">
        <w:t xml:space="preserve">. Roundtables were also held and </w:t>
      </w:r>
      <w:r>
        <w:t>participants</w:t>
      </w:r>
      <w:r w:rsidRPr="001F18F8">
        <w:t xml:space="preserve"> are listed in table C.4.</w:t>
      </w:r>
    </w:p>
    <w:p w14:paraId="53F40329" w14:textId="77777777" w:rsidR="001054C3" w:rsidRDefault="001054C3" w:rsidP="00234FBE">
      <w:pPr>
        <w:pStyle w:val="ListBullet"/>
      </w:pPr>
      <w:r w:rsidRPr="001F18F8">
        <w:t>In accordance with section</w:t>
      </w:r>
      <w:r>
        <w:t xml:space="preserve"> 89 of the </w:t>
      </w:r>
      <w:r w:rsidRPr="653B63D7">
        <w:rPr>
          <w:i/>
          <w:iCs/>
        </w:rPr>
        <w:t>Water Act 2007</w:t>
      </w:r>
      <w:r>
        <w:t xml:space="preserve"> (Cth), the Commission established a stakeholder working group (SWG) for this inquiry. The SWG is an important avenue for consultation. It provides a forum to exchange information and views on issues relevant to this inquiry. The SWG members are listed </w:t>
      </w:r>
      <w:r w:rsidRPr="001F18F8">
        <w:t xml:space="preserve">in table C.5. </w:t>
      </w:r>
      <w:r>
        <w:t>The SWG meetings were held on 9 June 2020, 5 November 2020 and 4 March 2021, and the Commission briefed members on the draft report on 11 February 2021.</w:t>
      </w:r>
    </w:p>
    <w:p w14:paraId="532A186E" w14:textId="77777777" w:rsidR="001054C3" w:rsidRDefault="001054C3" w:rsidP="00234FBE">
      <w:pPr>
        <w:pStyle w:val="ListBullet"/>
      </w:pPr>
      <w:r>
        <w:t>A public webinar was held on 2 March 2021 with 261 participants (table C.6).</w:t>
      </w:r>
    </w:p>
    <w:p w14:paraId="10F81A51" w14:textId="77777777" w:rsidR="001054C3" w:rsidRDefault="001054C3" w:rsidP="00234FBE">
      <w:pPr>
        <w:pStyle w:val="ListBullet"/>
      </w:pPr>
      <w:r w:rsidRPr="235C47A4">
        <w:t xml:space="preserve">Two public hearings were held </w:t>
      </w:r>
      <w:r>
        <w:t xml:space="preserve">on </w:t>
      </w:r>
      <w:r w:rsidRPr="235C47A4">
        <w:t>29</w:t>
      </w:r>
      <w:r>
        <w:t xml:space="preserve"> and</w:t>
      </w:r>
      <w:r w:rsidRPr="235C47A4">
        <w:t xml:space="preserve"> 31</w:t>
      </w:r>
      <w:r>
        <w:t> </w:t>
      </w:r>
      <w:r w:rsidRPr="235C47A4">
        <w:t>March 2021</w:t>
      </w:r>
      <w:r>
        <w:t xml:space="preserve"> with 13 appearances (primarily online) (table C.7)</w:t>
      </w:r>
      <w:r w:rsidRPr="235C47A4">
        <w:t xml:space="preserve">. The public hearings were advertised in </w:t>
      </w:r>
      <w:r w:rsidRPr="235C47A4">
        <w:rPr>
          <w:i/>
          <w:iCs/>
        </w:rPr>
        <w:t>The Australian</w:t>
      </w:r>
      <w:r>
        <w:t xml:space="preserve"> newspaper on 12 March 2021.</w:t>
      </w:r>
    </w:p>
    <w:p w14:paraId="188CFA78" w14:textId="77777777" w:rsidR="001054C3" w:rsidRDefault="001054C3" w:rsidP="00120072">
      <w:pPr>
        <w:pStyle w:val="BodyText"/>
      </w:pPr>
      <w:r>
        <w:br w:type="page"/>
      </w:r>
    </w:p>
    <w:p w14:paraId="73718CAE"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314D4B23" w14:textId="77777777" w:rsidTr="00234FBE">
        <w:trPr>
          <w:tblHeader/>
        </w:trPr>
        <w:tc>
          <w:tcPr>
            <w:tcW w:w="5000" w:type="pct"/>
            <w:tcBorders>
              <w:top w:val="single" w:sz="6" w:space="0" w:color="78A22F" w:themeColor="accent1"/>
              <w:left w:val="nil"/>
              <w:bottom w:val="nil"/>
              <w:right w:val="nil"/>
            </w:tcBorders>
            <w:shd w:val="clear" w:color="auto" w:fill="auto"/>
          </w:tcPr>
          <w:p w14:paraId="662EED2A" w14:textId="121F31AE" w:rsidR="001054C3" w:rsidRPr="00784A05" w:rsidRDefault="001054C3" w:rsidP="00234FBE">
            <w:pPr>
              <w:pStyle w:val="TableTitle"/>
            </w:pPr>
            <w:r>
              <w:rPr>
                <w:b w:val="0"/>
              </w:rPr>
              <w:t>Table C.</w:t>
            </w:r>
            <w:r>
              <w:rPr>
                <w:b w:val="0"/>
                <w:noProof/>
              </w:rPr>
              <w:t>1</w:t>
            </w:r>
            <w:r>
              <w:tab/>
              <w:t>Submissions</w:t>
            </w:r>
          </w:p>
        </w:tc>
      </w:tr>
      <w:tr w:rsidR="001054C3" w14:paraId="1414EABA" w14:textId="77777777" w:rsidTr="00234FBE">
        <w:tc>
          <w:tcPr>
            <w:tcW w:w="5000" w:type="pct"/>
            <w:tcBorders>
              <w:top w:val="nil"/>
              <w:left w:val="nil"/>
              <w:bottom w:val="nil"/>
              <w:right w:val="nil"/>
            </w:tcBorders>
            <w:shd w:val="clear" w:color="auto" w:fill="auto"/>
          </w:tcPr>
          <w:tbl>
            <w:tblPr>
              <w:tblW w:w="4999" w:type="pct"/>
              <w:tblCellMar>
                <w:top w:w="28" w:type="dxa"/>
                <w:left w:w="0" w:type="dxa"/>
                <w:right w:w="0" w:type="dxa"/>
              </w:tblCellMar>
              <w:tblLook w:val="0000" w:firstRow="0" w:lastRow="0" w:firstColumn="0" w:lastColumn="0" w:noHBand="0" w:noVBand="0"/>
            </w:tblPr>
            <w:tblGrid>
              <w:gridCol w:w="6484"/>
              <w:gridCol w:w="1813"/>
              <w:gridCol w:w="206"/>
            </w:tblGrid>
            <w:tr w:rsidR="001054C3" w14:paraId="1D555230" w14:textId="77777777" w:rsidTr="00234FBE">
              <w:trPr>
                <w:tblHeader/>
              </w:trPr>
              <w:tc>
                <w:tcPr>
                  <w:tcW w:w="3813"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7D48403F" w14:textId="77777777" w:rsidR="001054C3" w:rsidRDefault="001054C3" w:rsidP="00234FBE">
                  <w:pPr>
                    <w:pStyle w:val="TableColumnHeading"/>
                    <w:jc w:val="left"/>
                  </w:pPr>
                  <w:r>
                    <w:t>Participants</w:t>
                  </w:r>
                </w:p>
              </w:tc>
              <w:tc>
                <w:tcPr>
                  <w:tcW w:w="1066"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57D5BC7A" w14:textId="77777777" w:rsidR="001054C3" w:rsidRDefault="001054C3" w:rsidP="00234FBE">
                  <w:pPr>
                    <w:pStyle w:val="TableColumnHeading"/>
                    <w:jc w:val="left"/>
                  </w:pPr>
                  <w:r>
                    <w:t>Submission number</w:t>
                  </w:r>
                </w:p>
              </w:tc>
              <w:tc>
                <w:tcPr>
                  <w:tcW w:w="121"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3DAC7D72" w14:textId="77777777" w:rsidR="001054C3" w:rsidRDefault="001054C3" w:rsidP="00DE301C">
                  <w:pPr>
                    <w:pStyle w:val="TableColumnHeading"/>
                    <w:spacing w:before="0" w:after="40"/>
                    <w:ind w:right="28"/>
                  </w:pPr>
                </w:p>
              </w:tc>
            </w:tr>
            <w:tr w:rsidR="001054C3" w14:paraId="113F5DE1" w14:textId="77777777" w:rsidTr="00234FBE">
              <w:tc>
                <w:tcPr>
                  <w:tcW w:w="3813" w:type="pct"/>
                  <w:tcBorders>
                    <w:top w:val="single" w:sz="6" w:space="0" w:color="BFBFBF" w:themeColor="background1" w:themeShade="BF"/>
                  </w:tcBorders>
                </w:tcPr>
                <w:p w14:paraId="6D3EB1C2" w14:textId="77777777" w:rsidR="001054C3" w:rsidRDefault="001054C3" w:rsidP="00DE301C">
                  <w:pPr>
                    <w:pStyle w:val="TableUnitsRow"/>
                    <w:spacing w:before="0"/>
                    <w:jc w:val="left"/>
                  </w:pPr>
                  <w:r w:rsidRPr="008A4F00">
                    <w:t>Aboriginal Health Council of Western Australia (AHCWA)</w:t>
                  </w:r>
                </w:p>
              </w:tc>
              <w:tc>
                <w:tcPr>
                  <w:tcW w:w="1066" w:type="pct"/>
                  <w:tcBorders>
                    <w:top w:val="single" w:sz="6" w:space="0" w:color="BFBFBF" w:themeColor="background1" w:themeShade="BF"/>
                  </w:tcBorders>
                </w:tcPr>
                <w:p w14:paraId="193653C5" w14:textId="77777777" w:rsidR="001054C3" w:rsidRDefault="001054C3" w:rsidP="00DE301C">
                  <w:pPr>
                    <w:pStyle w:val="TableUnitsRow"/>
                    <w:spacing w:before="0"/>
                  </w:pPr>
                  <w:r w:rsidRPr="008A4F00">
                    <w:t>97</w:t>
                  </w:r>
                </w:p>
              </w:tc>
              <w:tc>
                <w:tcPr>
                  <w:tcW w:w="121" w:type="pct"/>
                  <w:tcBorders>
                    <w:top w:val="single" w:sz="6" w:space="0" w:color="BFBFBF" w:themeColor="background1" w:themeShade="BF"/>
                  </w:tcBorders>
                </w:tcPr>
                <w:p w14:paraId="54385C72" w14:textId="77777777" w:rsidR="001054C3" w:rsidRDefault="001054C3" w:rsidP="00DE301C">
                  <w:pPr>
                    <w:pStyle w:val="TableUnitsRow"/>
                    <w:spacing w:before="0"/>
                    <w:ind w:right="28"/>
                  </w:pPr>
                </w:p>
              </w:tc>
            </w:tr>
            <w:tr w:rsidR="001054C3" w14:paraId="3B6267AE" w14:textId="77777777" w:rsidTr="00234FBE">
              <w:tc>
                <w:tcPr>
                  <w:tcW w:w="3813" w:type="pct"/>
                </w:tcPr>
                <w:p w14:paraId="470139C2" w14:textId="77777777" w:rsidR="001054C3" w:rsidRPr="008A4F00" w:rsidRDefault="001054C3" w:rsidP="00234FBE">
                  <w:pPr>
                    <w:pStyle w:val="TableBodyText"/>
                    <w:jc w:val="left"/>
                  </w:pPr>
                  <w:r>
                    <w:t>Addison, Peter</w:t>
                  </w:r>
                </w:p>
              </w:tc>
              <w:tc>
                <w:tcPr>
                  <w:tcW w:w="1066" w:type="pct"/>
                </w:tcPr>
                <w:p w14:paraId="1511AA16" w14:textId="77777777" w:rsidR="001054C3" w:rsidRPr="008A4F00" w:rsidRDefault="001054C3" w:rsidP="00234FBE">
                  <w:pPr>
                    <w:pStyle w:val="TableBodyText"/>
                  </w:pPr>
                  <w:r>
                    <w:t>DR132</w:t>
                  </w:r>
                </w:p>
              </w:tc>
              <w:tc>
                <w:tcPr>
                  <w:tcW w:w="121" w:type="pct"/>
                </w:tcPr>
                <w:p w14:paraId="61B6C2F7" w14:textId="77777777" w:rsidR="001054C3" w:rsidRDefault="001054C3" w:rsidP="00234FBE">
                  <w:pPr>
                    <w:pStyle w:val="TableBodyText"/>
                    <w:ind w:right="28"/>
                  </w:pPr>
                </w:p>
              </w:tc>
            </w:tr>
            <w:tr w:rsidR="001054C3" w14:paraId="292E6B3B" w14:textId="77777777" w:rsidTr="00234FBE">
              <w:tc>
                <w:tcPr>
                  <w:tcW w:w="3813" w:type="pct"/>
                </w:tcPr>
                <w:p w14:paraId="493051E8" w14:textId="77777777" w:rsidR="001054C3" w:rsidRDefault="001054C3" w:rsidP="00234FBE">
                  <w:pPr>
                    <w:pStyle w:val="TableBodyText"/>
                    <w:jc w:val="left"/>
                  </w:pPr>
                  <w:r w:rsidRPr="008A4F00">
                    <w:t>A</w:t>
                  </w:r>
                  <w:r>
                    <w:t>g</w:t>
                  </w:r>
                  <w:r w:rsidRPr="008A4F00">
                    <w:t xml:space="preserve"> Institute of Australia (AIA)</w:t>
                  </w:r>
                </w:p>
              </w:tc>
              <w:tc>
                <w:tcPr>
                  <w:tcW w:w="1066" w:type="pct"/>
                </w:tcPr>
                <w:p w14:paraId="5DC306FF" w14:textId="77777777" w:rsidR="001054C3" w:rsidRDefault="001054C3" w:rsidP="00234FBE">
                  <w:pPr>
                    <w:pStyle w:val="TableBodyText"/>
                  </w:pPr>
                  <w:r w:rsidRPr="008A4F00">
                    <w:t>58</w:t>
                  </w:r>
                </w:p>
              </w:tc>
              <w:tc>
                <w:tcPr>
                  <w:tcW w:w="121" w:type="pct"/>
                </w:tcPr>
                <w:p w14:paraId="1DF05D0D" w14:textId="77777777" w:rsidR="001054C3" w:rsidRDefault="001054C3" w:rsidP="00234FBE">
                  <w:pPr>
                    <w:pStyle w:val="TableBodyText"/>
                    <w:ind w:right="28"/>
                  </w:pPr>
                  <w:r>
                    <w:t>#</w:t>
                  </w:r>
                </w:p>
              </w:tc>
            </w:tr>
            <w:tr w:rsidR="001054C3" w14:paraId="568E05C7" w14:textId="77777777" w:rsidTr="00234FBE">
              <w:tc>
                <w:tcPr>
                  <w:tcW w:w="3813" w:type="pct"/>
                  <w:shd w:val="clear" w:color="auto" w:fill="auto"/>
                </w:tcPr>
                <w:p w14:paraId="74D4700D" w14:textId="77777777" w:rsidR="001054C3" w:rsidRDefault="001054C3" w:rsidP="00234FBE">
                  <w:pPr>
                    <w:pStyle w:val="TableBodyText"/>
                    <w:jc w:val="left"/>
                  </w:pPr>
                  <w:r w:rsidRPr="008A4F00">
                    <w:t>AgForce</w:t>
                  </w:r>
                </w:p>
              </w:tc>
              <w:tc>
                <w:tcPr>
                  <w:tcW w:w="1066" w:type="pct"/>
                  <w:shd w:val="clear" w:color="auto" w:fill="auto"/>
                </w:tcPr>
                <w:p w14:paraId="14DB96B7" w14:textId="77777777" w:rsidR="001054C3" w:rsidRDefault="001054C3" w:rsidP="00234FBE">
                  <w:pPr>
                    <w:pStyle w:val="TableBodyText"/>
                  </w:pPr>
                  <w:r w:rsidRPr="008A4F00">
                    <w:t>24</w:t>
                  </w:r>
                  <w:r>
                    <w:t>, DR143</w:t>
                  </w:r>
                </w:p>
              </w:tc>
              <w:tc>
                <w:tcPr>
                  <w:tcW w:w="121" w:type="pct"/>
                  <w:shd w:val="clear" w:color="auto" w:fill="auto"/>
                </w:tcPr>
                <w:p w14:paraId="4731A4D9" w14:textId="77777777" w:rsidR="001054C3" w:rsidRDefault="001054C3" w:rsidP="00234FBE">
                  <w:pPr>
                    <w:pStyle w:val="TableBodyText"/>
                    <w:ind w:right="28"/>
                  </w:pPr>
                </w:p>
              </w:tc>
            </w:tr>
            <w:tr w:rsidR="001054C3" w14:paraId="4C912837" w14:textId="77777777" w:rsidTr="00234FBE">
              <w:tc>
                <w:tcPr>
                  <w:tcW w:w="3813" w:type="pct"/>
                  <w:shd w:val="clear" w:color="auto" w:fill="auto"/>
                </w:tcPr>
                <w:p w14:paraId="2180812E" w14:textId="77777777" w:rsidR="001054C3" w:rsidRPr="008A4F00" w:rsidRDefault="001054C3" w:rsidP="00234FBE">
                  <w:pPr>
                    <w:pStyle w:val="TableBodyText"/>
                    <w:jc w:val="left"/>
                  </w:pPr>
                  <w:r>
                    <w:t>Association of Mining and Exploration Companies (AMEC)</w:t>
                  </w:r>
                </w:p>
              </w:tc>
              <w:tc>
                <w:tcPr>
                  <w:tcW w:w="1066" w:type="pct"/>
                  <w:shd w:val="clear" w:color="auto" w:fill="auto"/>
                </w:tcPr>
                <w:p w14:paraId="59E88C0A" w14:textId="77777777" w:rsidR="001054C3" w:rsidRPr="008A4F00" w:rsidRDefault="001054C3" w:rsidP="00234FBE">
                  <w:pPr>
                    <w:pStyle w:val="TableBodyText"/>
                  </w:pPr>
                  <w:r>
                    <w:t>DR119</w:t>
                  </w:r>
                </w:p>
              </w:tc>
              <w:tc>
                <w:tcPr>
                  <w:tcW w:w="121" w:type="pct"/>
                  <w:shd w:val="clear" w:color="auto" w:fill="auto"/>
                </w:tcPr>
                <w:p w14:paraId="49513CAA" w14:textId="77777777" w:rsidR="001054C3" w:rsidRDefault="001054C3" w:rsidP="00234FBE">
                  <w:pPr>
                    <w:pStyle w:val="TableBodyText"/>
                    <w:ind w:right="28"/>
                  </w:pPr>
                </w:p>
              </w:tc>
            </w:tr>
            <w:tr w:rsidR="001054C3" w14:paraId="1866690C" w14:textId="77777777" w:rsidTr="00234FBE">
              <w:tc>
                <w:tcPr>
                  <w:tcW w:w="3813" w:type="pct"/>
                  <w:shd w:val="clear" w:color="auto" w:fill="auto"/>
                </w:tcPr>
                <w:p w14:paraId="77C09361" w14:textId="77777777" w:rsidR="001054C3" w:rsidRDefault="001054C3" w:rsidP="00234FBE">
                  <w:pPr>
                    <w:pStyle w:val="TableBodyText"/>
                    <w:jc w:val="left"/>
                  </w:pPr>
                  <w:r w:rsidRPr="008A4F00">
                    <w:t>Australian Academy of Science (AAS)</w:t>
                  </w:r>
                </w:p>
              </w:tc>
              <w:tc>
                <w:tcPr>
                  <w:tcW w:w="1066" w:type="pct"/>
                  <w:shd w:val="clear" w:color="auto" w:fill="auto"/>
                </w:tcPr>
                <w:p w14:paraId="31E2E26E" w14:textId="77777777" w:rsidR="001054C3" w:rsidRDefault="001054C3" w:rsidP="00234FBE">
                  <w:pPr>
                    <w:pStyle w:val="TableBodyText"/>
                  </w:pPr>
                  <w:r w:rsidRPr="008A4F00">
                    <w:t>95</w:t>
                  </w:r>
                </w:p>
              </w:tc>
              <w:tc>
                <w:tcPr>
                  <w:tcW w:w="121" w:type="pct"/>
                  <w:shd w:val="clear" w:color="auto" w:fill="auto"/>
                </w:tcPr>
                <w:p w14:paraId="681568E8" w14:textId="77777777" w:rsidR="001054C3" w:rsidRDefault="001054C3" w:rsidP="00234FBE">
                  <w:pPr>
                    <w:pStyle w:val="TableBodyText"/>
                    <w:ind w:right="28"/>
                  </w:pPr>
                </w:p>
              </w:tc>
            </w:tr>
            <w:tr w:rsidR="001054C3" w14:paraId="7CE4F665" w14:textId="77777777" w:rsidTr="00234FBE">
              <w:tc>
                <w:tcPr>
                  <w:tcW w:w="3813" w:type="pct"/>
                  <w:shd w:val="clear" w:color="auto" w:fill="auto"/>
                </w:tcPr>
                <w:p w14:paraId="2BD89FE4" w14:textId="77777777" w:rsidR="001054C3" w:rsidRPr="008A4F00" w:rsidRDefault="001054C3" w:rsidP="00234FBE">
                  <w:pPr>
                    <w:pStyle w:val="TableBodyText"/>
                    <w:jc w:val="left"/>
                  </w:pPr>
                  <w:r w:rsidRPr="008A4F00">
                    <w:t>Australian Academy of Technology and Engineering (ATSE)</w:t>
                  </w:r>
                </w:p>
              </w:tc>
              <w:tc>
                <w:tcPr>
                  <w:tcW w:w="1066" w:type="pct"/>
                  <w:shd w:val="clear" w:color="auto" w:fill="auto"/>
                </w:tcPr>
                <w:p w14:paraId="307ABFF3" w14:textId="77777777" w:rsidR="001054C3" w:rsidRPr="008A4F00" w:rsidRDefault="001054C3" w:rsidP="00234FBE">
                  <w:pPr>
                    <w:pStyle w:val="TableBodyText"/>
                  </w:pPr>
                  <w:r>
                    <w:t>DR144</w:t>
                  </w:r>
                </w:p>
              </w:tc>
              <w:tc>
                <w:tcPr>
                  <w:tcW w:w="121" w:type="pct"/>
                  <w:shd w:val="clear" w:color="auto" w:fill="auto"/>
                </w:tcPr>
                <w:p w14:paraId="7022AA1C" w14:textId="77777777" w:rsidR="001054C3" w:rsidRDefault="001054C3" w:rsidP="00234FBE">
                  <w:pPr>
                    <w:pStyle w:val="TableBodyText"/>
                    <w:ind w:right="28"/>
                  </w:pPr>
                </w:p>
              </w:tc>
            </w:tr>
            <w:tr w:rsidR="001054C3" w14:paraId="196B1235" w14:textId="77777777" w:rsidTr="00234FBE">
              <w:tc>
                <w:tcPr>
                  <w:tcW w:w="3813" w:type="pct"/>
                  <w:shd w:val="clear" w:color="auto" w:fill="auto"/>
                </w:tcPr>
                <w:p w14:paraId="76CD7534" w14:textId="77777777" w:rsidR="001054C3" w:rsidRDefault="001054C3" w:rsidP="00234FBE">
                  <w:pPr>
                    <w:pStyle w:val="TableBodyText"/>
                    <w:jc w:val="left"/>
                  </w:pPr>
                  <w:r w:rsidRPr="008A4F00">
                    <w:t>Australian Academy of Technology and Engineering (ATSE) and the Australian Academy of Science (AAS)</w:t>
                  </w:r>
                </w:p>
              </w:tc>
              <w:tc>
                <w:tcPr>
                  <w:tcW w:w="1066" w:type="pct"/>
                  <w:shd w:val="clear" w:color="auto" w:fill="auto"/>
                </w:tcPr>
                <w:p w14:paraId="4316371D" w14:textId="77777777" w:rsidR="001054C3" w:rsidRDefault="001054C3" w:rsidP="00234FBE">
                  <w:pPr>
                    <w:pStyle w:val="TableBodyText"/>
                  </w:pPr>
                  <w:r w:rsidRPr="008A4F00">
                    <w:t>90</w:t>
                  </w:r>
                </w:p>
              </w:tc>
              <w:tc>
                <w:tcPr>
                  <w:tcW w:w="121" w:type="pct"/>
                  <w:shd w:val="clear" w:color="auto" w:fill="auto"/>
                </w:tcPr>
                <w:p w14:paraId="464D2AAD" w14:textId="77777777" w:rsidR="001054C3" w:rsidRDefault="001054C3" w:rsidP="00234FBE">
                  <w:pPr>
                    <w:pStyle w:val="TableBodyText"/>
                    <w:ind w:right="28"/>
                  </w:pPr>
                </w:p>
              </w:tc>
            </w:tr>
            <w:tr w:rsidR="001054C3" w14:paraId="29000E53" w14:textId="77777777" w:rsidTr="00234FBE">
              <w:tc>
                <w:tcPr>
                  <w:tcW w:w="3813" w:type="pct"/>
                  <w:shd w:val="clear" w:color="auto" w:fill="auto"/>
                </w:tcPr>
                <w:p w14:paraId="3BA6292F" w14:textId="77777777" w:rsidR="001054C3" w:rsidRDefault="001054C3" w:rsidP="00234FBE">
                  <w:pPr>
                    <w:pStyle w:val="TableBodyText"/>
                    <w:jc w:val="left"/>
                  </w:pPr>
                  <w:r w:rsidRPr="008A4F00">
                    <w:t>Australian Dairy Farmers (ADF)</w:t>
                  </w:r>
                </w:p>
              </w:tc>
              <w:tc>
                <w:tcPr>
                  <w:tcW w:w="1066" w:type="pct"/>
                  <w:shd w:val="clear" w:color="auto" w:fill="auto"/>
                </w:tcPr>
                <w:p w14:paraId="7086D72C" w14:textId="77777777" w:rsidR="001054C3" w:rsidRDefault="001054C3" w:rsidP="00234FBE">
                  <w:pPr>
                    <w:pStyle w:val="TableBodyText"/>
                  </w:pPr>
                  <w:r w:rsidRPr="008A4F00">
                    <w:t>43</w:t>
                  </w:r>
                </w:p>
              </w:tc>
              <w:tc>
                <w:tcPr>
                  <w:tcW w:w="121" w:type="pct"/>
                  <w:shd w:val="clear" w:color="auto" w:fill="auto"/>
                </w:tcPr>
                <w:p w14:paraId="7FF9B0C9" w14:textId="77777777" w:rsidR="001054C3" w:rsidRDefault="001054C3" w:rsidP="00234FBE">
                  <w:pPr>
                    <w:pStyle w:val="TableBodyText"/>
                    <w:ind w:right="28"/>
                  </w:pPr>
                </w:p>
              </w:tc>
            </w:tr>
            <w:tr w:rsidR="001054C3" w14:paraId="2EE2FA03" w14:textId="77777777" w:rsidTr="00234FBE">
              <w:tc>
                <w:tcPr>
                  <w:tcW w:w="3813" w:type="pct"/>
                  <w:shd w:val="clear" w:color="auto" w:fill="auto"/>
                </w:tcPr>
                <w:p w14:paraId="02325103" w14:textId="77777777" w:rsidR="001054C3" w:rsidRDefault="001054C3" w:rsidP="00234FBE">
                  <w:pPr>
                    <w:pStyle w:val="TableBodyText"/>
                    <w:jc w:val="left"/>
                  </w:pPr>
                  <w:r w:rsidRPr="008A4F00">
                    <w:t>Australian Floodplain Association (AFA)</w:t>
                  </w:r>
                </w:p>
              </w:tc>
              <w:tc>
                <w:tcPr>
                  <w:tcW w:w="1066" w:type="pct"/>
                  <w:shd w:val="clear" w:color="auto" w:fill="auto"/>
                </w:tcPr>
                <w:p w14:paraId="5F5A7ECF" w14:textId="77777777" w:rsidR="001054C3" w:rsidRDefault="001054C3" w:rsidP="00234FBE">
                  <w:pPr>
                    <w:pStyle w:val="TableBodyText"/>
                  </w:pPr>
                  <w:r w:rsidRPr="008A4F00">
                    <w:t>45</w:t>
                  </w:r>
                </w:p>
              </w:tc>
              <w:tc>
                <w:tcPr>
                  <w:tcW w:w="121" w:type="pct"/>
                  <w:shd w:val="clear" w:color="auto" w:fill="auto"/>
                </w:tcPr>
                <w:p w14:paraId="2DBFB72D" w14:textId="77777777" w:rsidR="001054C3" w:rsidRDefault="001054C3" w:rsidP="00234FBE">
                  <w:pPr>
                    <w:pStyle w:val="TableBodyText"/>
                    <w:ind w:right="28"/>
                  </w:pPr>
                </w:p>
              </w:tc>
            </w:tr>
            <w:tr w:rsidR="001054C3" w14:paraId="0F549CE8" w14:textId="77777777" w:rsidTr="00234FBE">
              <w:tc>
                <w:tcPr>
                  <w:tcW w:w="3813" w:type="pct"/>
                  <w:shd w:val="clear" w:color="auto" w:fill="auto"/>
                </w:tcPr>
                <w:p w14:paraId="549E1590" w14:textId="77777777" w:rsidR="001054C3" w:rsidRDefault="001054C3" w:rsidP="00234FBE">
                  <w:pPr>
                    <w:pStyle w:val="TableBodyText"/>
                    <w:jc w:val="left"/>
                  </w:pPr>
                  <w:r w:rsidRPr="008A4F00">
                    <w:t>Australian Forest Products Association (AFPA)</w:t>
                  </w:r>
                </w:p>
              </w:tc>
              <w:tc>
                <w:tcPr>
                  <w:tcW w:w="1066" w:type="pct"/>
                  <w:shd w:val="clear" w:color="auto" w:fill="auto"/>
                </w:tcPr>
                <w:p w14:paraId="4FAE124C" w14:textId="77777777" w:rsidR="001054C3" w:rsidRDefault="001054C3" w:rsidP="00234FBE">
                  <w:pPr>
                    <w:pStyle w:val="TableBodyText"/>
                  </w:pPr>
                  <w:r w:rsidRPr="008A4F00">
                    <w:t>19</w:t>
                  </w:r>
                </w:p>
              </w:tc>
              <w:tc>
                <w:tcPr>
                  <w:tcW w:w="121" w:type="pct"/>
                  <w:shd w:val="clear" w:color="auto" w:fill="auto"/>
                </w:tcPr>
                <w:p w14:paraId="6400D768" w14:textId="77777777" w:rsidR="001054C3" w:rsidRDefault="001054C3" w:rsidP="00234FBE">
                  <w:pPr>
                    <w:pStyle w:val="TableBodyText"/>
                    <w:ind w:right="28"/>
                  </w:pPr>
                </w:p>
              </w:tc>
            </w:tr>
            <w:tr w:rsidR="001054C3" w14:paraId="04CCB98C" w14:textId="77777777" w:rsidTr="00234FBE">
              <w:tc>
                <w:tcPr>
                  <w:tcW w:w="3813" w:type="pct"/>
                  <w:shd w:val="clear" w:color="auto" w:fill="auto"/>
                </w:tcPr>
                <w:p w14:paraId="3C1427E1" w14:textId="77777777" w:rsidR="001054C3" w:rsidRDefault="001054C3" w:rsidP="00234FBE">
                  <w:pPr>
                    <w:pStyle w:val="TableBodyText"/>
                    <w:jc w:val="left"/>
                  </w:pPr>
                  <w:r w:rsidRPr="008A4F00">
                    <w:t>Australian Petroleum Production and Exploration Association (APPEA)</w:t>
                  </w:r>
                </w:p>
              </w:tc>
              <w:tc>
                <w:tcPr>
                  <w:tcW w:w="1066" w:type="pct"/>
                  <w:shd w:val="clear" w:color="auto" w:fill="auto"/>
                </w:tcPr>
                <w:p w14:paraId="6C4AB408" w14:textId="77777777" w:rsidR="001054C3" w:rsidRDefault="001054C3" w:rsidP="00234FBE">
                  <w:pPr>
                    <w:pStyle w:val="TableBodyText"/>
                  </w:pPr>
                  <w:r w:rsidRPr="008A4F00">
                    <w:t>73</w:t>
                  </w:r>
                  <w:r>
                    <w:t>, DR127</w:t>
                  </w:r>
                </w:p>
              </w:tc>
              <w:tc>
                <w:tcPr>
                  <w:tcW w:w="121" w:type="pct"/>
                  <w:shd w:val="clear" w:color="auto" w:fill="auto"/>
                </w:tcPr>
                <w:p w14:paraId="08E99A2F" w14:textId="77777777" w:rsidR="001054C3" w:rsidRDefault="001054C3" w:rsidP="00234FBE">
                  <w:pPr>
                    <w:pStyle w:val="TableBodyText"/>
                    <w:ind w:right="28"/>
                  </w:pPr>
                </w:p>
              </w:tc>
            </w:tr>
            <w:tr w:rsidR="001054C3" w14:paraId="11FE2118" w14:textId="77777777" w:rsidTr="00234FBE">
              <w:tc>
                <w:tcPr>
                  <w:tcW w:w="3813" w:type="pct"/>
                  <w:shd w:val="clear" w:color="auto" w:fill="auto"/>
                </w:tcPr>
                <w:p w14:paraId="3CF6D360" w14:textId="77777777" w:rsidR="001054C3" w:rsidRDefault="001054C3" w:rsidP="00234FBE">
                  <w:pPr>
                    <w:pStyle w:val="TableBodyText"/>
                    <w:jc w:val="left"/>
                  </w:pPr>
                  <w:r w:rsidRPr="008A4F00">
                    <w:t>Australian Water Association (AWA)</w:t>
                  </w:r>
                </w:p>
              </w:tc>
              <w:tc>
                <w:tcPr>
                  <w:tcW w:w="1066" w:type="pct"/>
                  <w:shd w:val="clear" w:color="auto" w:fill="auto"/>
                </w:tcPr>
                <w:p w14:paraId="6417E775" w14:textId="77777777" w:rsidR="001054C3" w:rsidRDefault="001054C3" w:rsidP="00234FBE">
                  <w:pPr>
                    <w:pStyle w:val="TableBodyText"/>
                  </w:pPr>
                  <w:r w:rsidRPr="008A4F00">
                    <w:t>89</w:t>
                  </w:r>
                </w:p>
              </w:tc>
              <w:tc>
                <w:tcPr>
                  <w:tcW w:w="121" w:type="pct"/>
                  <w:shd w:val="clear" w:color="auto" w:fill="auto"/>
                </w:tcPr>
                <w:p w14:paraId="04176EB1" w14:textId="77777777" w:rsidR="001054C3" w:rsidRDefault="001054C3" w:rsidP="00234FBE">
                  <w:pPr>
                    <w:pStyle w:val="TableBodyText"/>
                    <w:ind w:right="28"/>
                  </w:pPr>
                  <w:r>
                    <w:t>#</w:t>
                  </w:r>
                </w:p>
              </w:tc>
            </w:tr>
            <w:tr w:rsidR="001054C3" w14:paraId="074D7CD8" w14:textId="77777777" w:rsidTr="00234FBE">
              <w:tc>
                <w:tcPr>
                  <w:tcW w:w="3813" w:type="pct"/>
                  <w:shd w:val="clear" w:color="auto" w:fill="auto"/>
                </w:tcPr>
                <w:p w14:paraId="5D485050" w14:textId="77777777" w:rsidR="001054C3" w:rsidRPr="008A4F00" w:rsidRDefault="001054C3" w:rsidP="00234FBE">
                  <w:pPr>
                    <w:pStyle w:val="TableBodyText"/>
                    <w:jc w:val="left"/>
                  </w:pPr>
                  <w:r>
                    <w:t>Barwon</w:t>
                  </w:r>
                  <w:r>
                    <w:noBreakHyphen/>
                    <w:t>Darling Water Inc and Darling River Food &amp; Fibre</w:t>
                  </w:r>
                </w:p>
              </w:tc>
              <w:tc>
                <w:tcPr>
                  <w:tcW w:w="1066" w:type="pct"/>
                  <w:shd w:val="clear" w:color="auto" w:fill="auto"/>
                </w:tcPr>
                <w:p w14:paraId="3A3DE88D" w14:textId="77777777" w:rsidR="001054C3" w:rsidRPr="008A4F00" w:rsidRDefault="001054C3" w:rsidP="00234FBE">
                  <w:pPr>
                    <w:pStyle w:val="TableBodyText"/>
                  </w:pPr>
                  <w:r>
                    <w:t>DR148</w:t>
                  </w:r>
                </w:p>
              </w:tc>
              <w:tc>
                <w:tcPr>
                  <w:tcW w:w="121" w:type="pct"/>
                  <w:shd w:val="clear" w:color="auto" w:fill="auto"/>
                </w:tcPr>
                <w:p w14:paraId="740F3ABE" w14:textId="77777777" w:rsidR="001054C3" w:rsidRDefault="001054C3" w:rsidP="00234FBE">
                  <w:pPr>
                    <w:pStyle w:val="TableBodyText"/>
                    <w:ind w:right="28"/>
                  </w:pPr>
                </w:p>
              </w:tc>
            </w:tr>
            <w:tr w:rsidR="001054C3" w14:paraId="48921868" w14:textId="77777777" w:rsidTr="00234FBE">
              <w:tc>
                <w:tcPr>
                  <w:tcW w:w="3813" w:type="pct"/>
                  <w:shd w:val="clear" w:color="auto" w:fill="auto"/>
                </w:tcPr>
                <w:p w14:paraId="42BB1AA6" w14:textId="77777777" w:rsidR="001054C3" w:rsidRDefault="001054C3" w:rsidP="00234FBE">
                  <w:pPr>
                    <w:pStyle w:val="TableBodyText"/>
                    <w:jc w:val="left"/>
                  </w:pPr>
                  <w:r w:rsidRPr="008A4F00">
                    <w:t>Beer, Jan</w:t>
                  </w:r>
                </w:p>
              </w:tc>
              <w:tc>
                <w:tcPr>
                  <w:tcW w:w="1066" w:type="pct"/>
                  <w:shd w:val="clear" w:color="auto" w:fill="auto"/>
                </w:tcPr>
                <w:p w14:paraId="1EFA2447" w14:textId="77777777" w:rsidR="001054C3" w:rsidRDefault="001054C3" w:rsidP="00234FBE">
                  <w:pPr>
                    <w:pStyle w:val="TableBodyText"/>
                  </w:pPr>
                  <w:r w:rsidRPr="008A4F00">
                    <w:t>8</w:t>
                  </w:r>
                </w:p>
              </w:tc>
              <w:tc>
                <w:tcPr>
                  <w:tcW w:w="121" w:type="pct"/>
                  <w:shd w:val="clear" w:color="auto" w:fill="auto"/>
                </w:tcPr>
                <w:p w14:paraId="7D4E86B0" w14:textId="77777777" w:rsidR="001054C3" w:rsidRDefault="001054C3" w:rsidP="00234FBE">
                  <w:pPr>
                    <w:pStyle w:val="TableBodyText"/>
                    <w:ind w:right="28"/>
                  </w:pPr>
                </w:p>
              </w:tc>
            </w:tr>
            <w:tr w:rsidR="001054C3" w14:paraId="65D597A4" w14:textId="77777777" w:rsidTr="00234FBE">
              <w:tc>
                <w:tcPr>
                  <w:tcW w:w="3813" w:type="pct"/>
                  <w:shd w:val="clear" w:color="auto" w:fill="auto"/>
                </w:tcPr>
                <w:p w14:paraId="27BF1B09" w14:textId="77777777" w:rsidR="001054C3" w:rsidRPr="008A4F00" w:rsidRDefault="001054C3" w:rsidP="00234FBE">
                  <w:pPr>
                    <w:pStyle w:val="TableBodyText"/>
                    <w:jc w:val="left"/>
                  </w:pPr>
                  <w:r>
                    <w:t>Business Council for Sustainable Development Australia (BCSD Australia)</w:t>
                  </w:r>
                </w:p>
              </w:tc>
              <w:tc>
                <w:tcPr>
                  <w:tcW w:w="1066" w:type="pct"/>
                  <w:shd w:val="clear" w:color="auto" w:fill="auto"/>
                </w:tcPr>
                <w:p w14:paraId="697CE628" w14:textId="77777777" w:rsidR="001054C3" w:rsidRPr="008A4F00" w:rsidRDefault="001054C3" w:rsidP="00234FBE">
                  <w:pPr>
                    <w:pStyle w:val="TableBodyText"/>
                  </w:pPr>
                  <w:r>
                    <w:t>DR170</w:t>
                  </w:r>
                </w:p>
              </w:tc>
              <w:tc>
                <w:tcPr>
                  <w:tcW w:w="121" w:type="pct"/>
                  <w:shd w:val="clear" w:color="auto" w:fill="auto"/>
                </w:tcPr>
                <w:p w14:paraId="77968E14" w14:textId="77777777" w:rsidR="001054C3" w:rsidRDefault="001054C3" w:rsidP="00234FBE">
                  <w:pPr>
                    <w:pStyle w:val="TableBodyText"/>
                    <w:ind w:right="28"/>
                  </w:pPr>
                </w:p>
              </w:tc>
            </w:tr>
            <w:tr w:rsidR="001054C3" w14:paraId="1E0F035F" w14:textId="77777777" w:rsidTr="00234FBE">
              <w:tc>
                <w:tcPr>
                  <w:tcW w:w="3813" w:type="pct"/>
                  <w:shd w:val="clear" w:color="auto" w:fill="auto"/>
                </w:tcPr>
                <w:p w14:paraId="4E274A84" w14:textId="77777777" w:rsidR="001054C3" w:rsidRDefault="001054C3" w:rsidP="00234FBE">
                  <w:pPr>
                    <w:pStyle w:val="TableBodyText"/>
                    <w:jc w:val="left"/>
                  </w:pPr>
                  <w:r w:rsidRPr="008A4F00">
                    <w:t>BHP</w:t>
                  </w:r>
                </w:p>
              </w:tc>
              <w:tc>
                <w:tcPr>
                  <w:tcW w:w="1066" w:type="pct"/>
                  <w:shd w:val="clear" w:color="auto" w:fill="auto"/>
                </w:tcPr>
                <w:p w14:paraId="54627EEC" w14:textId="77777777" w:rsidR="001054C3" w:rsidRDefault="001054C3" w:rsidP="00234FBE">
                  <w:pPr>
                    <w:pStyle w:val="TableBodyText"/>
                  </w:pPr>
                  <w:r w:rsidRPr="008A4F00">
                    <w:t>26</w:t>
                  </w:r>
                  <w:r>
                    <w:t>, DR180</w:t>
                  </w:r>
                </w:p>
              </w:tc>
              <w:tc>
                <w:tcPr>
                  <w:tcW w:w="121" w:type="pct"/>
                  <w:shd w:val="clear" w:color="auto" w:fill="auto"/>
                </w:tcPr>
                <w:p w14:paraId="61ABFCD3" w14:textId="77777777" w:rsidR="001054C3" w:rsidRDefault="001054C3" w:rsidP="00234FBE">
                  <w:pPr>
                    <w:pStyle w:val="TableBodyText"/>
                    <w:ind w:right="28"/>
                  </w:pPr>
                </w:p>
              </w:tc>
            </w:tr>
            <w:tr w:rsidR="001054C3" w14:paraId="70B90D07" w14:textId="77777777" w:rsidTr="00234FBE">
              <w:tc>
                <w:tcPr>
                  <w:tcW w:w="3813" w:type="pct"/>
                  <w:shd w:val="clear" w:color="auto" w:fill="auto"/>
                </w:tcPr>
                <w:p w14:paraId="41010963" w14:textId="77777777" w:rsidR="001054C3" w:rsidRPr="008A4F00" w:rsidRDefault="001054C3" w:rsidP="00234FBE">
                  <w:pPr>
                    <w:pStyle w:val="TableBodyText"/>
                    <w:jc w:val="left"/>
                  </w:pPr>
                  <w:r>
                    <w:t>Billington, Richard</w:t>
                  </w:r>
                </w:p>
              </w:tc>
              <w:tc>
                <w:tcPr>
                  <w:tcW w:w="1066" w:type="pct"/>
                  <w:shd w:val="clear" w:color="auto" w:fill="auto"/>
                </w:tcPr>
                <w:p w14:paraId="5FD1E571" w14:textId="77777777" w:rsidR="001054C3" w:rsidRPr="008A4F00" w:rsidRDefault="001054C3" w:rsidP="00234FBE">
                  <w:pPr>
                    <w:pStyle w:val="TableBodyText"/>
                  </w:pPr>
                  <w:r>
                    <w:t>DR113</w:t>
                  </w:r>
                </w:p>
              </w:tc>
              <w:tc>
                <w:tcPr>
                  <w:tcW w:w="121" w:type="pct"/>
                  <w:shd w:val="clear" w:color="auto" w:fill="auto"/>
                </w:tcPr>
                <w:p w14:paraId="125C0F06" w14:textId="77777777" w:rsidR="001054C3" w:rsidRDefault="001054C3" w:rsidP="00234FBE">
                  <w:pPr>
                    <w:pStyle w:val="TableBodyText"/>
                    <w:ind w:right="28"/>
                  </w:pPr>
                </w:p>
              </w:tc>
            </w:tr>
            <w:tr w:rsidR="001054C3" w14:paraId="53E9DA97" w14:textId="77777777" w:rsidTr="00234FBE">
              <w:tc>
                <w:tcPr>
                  <w:tcW w:w="3813" w:type="pct"/>
                  <w:shd w:val="clear" w:color="auto" w:fill="auto"/>
                </w:tcPr>
                <w:p w14:paraId="0635BA0F" w14:textId="77777777" w:rsidR="001054C3" w:rsidRDefault="001054C3" w:rsidP="00234FBE">
                  <w:pPr>
                    <w:pStyle w:val="TableBodyText"/>
                    <w:jc w:val="left"/>
                  </w:pPr>
                  <w:r w:rsidRPr="008A4F00">
                    <w:t>Business NSW</w:t>
                  </w:r>
                </w:p>
              </w:tc>
              <w:tc>
                <w:tcPr>
                  <w:tcW w:w="1066" w:type="pct"/>
                  <w:shd w:val="clear" w:color="auto" w:fill="auto"/>
                </w:tcPr>
                <w:p w14:paraId="562F964F" w14:textId="77777777" w:rsidR="001054C3" w:rsidRDefault="001054C3" w:rsidP="00234FBE">
                  <w:pPr>
                    <w:pStyle w:val="TableBodyText"/>
                  </w:pPr>
                  <w:r w:rsidRPr="008A4F00">
                    <w:t>36</w:t>
                  </w:r>
                </w:p>
              </w:tc>
              <w:tc>
                <w:tcPr>
                  <w:tcW w:w="121" w:type="pct"/>
                  <w:shd w:val="clear" w:color="auto" w:fill="auto"/>
                </w:tcPr>
                <w:p w14:paraId="7AA62BC3" w14:textId="77777777" w:rsidR="001054C3" w:rsidRDefault="001054C3" w:rsidP="00234FBE">
                  <w:pPr>
                    <w:pStyle w:val="TableBodyText"/>
                    <w:ind w:right="28"/>
                  </w:pPr>
                </w:p>
              </w:tc>
            </w:tr>
            <w:tr w:rsidR="001054C3" w14:paraId="2BB3076E" w14:textId="77777777" w:rsidTr="00234FBE">
              <w:tc>
                <w:tcPr>
                  <w:tcW w:w="3813" w:type="pct"/>
                  <w:shd w:val="clear" w:color="auto" w:fill="auto"/>
                </w:tcPr>
                <w:p w14:paraId="4D73AB58" w14:textId="77777777" w:rsidR="001054C3" w:rsidRPr="008A4F00" w:rsidRDefault="001054C3" w:rsidP="00234FBE">
                  <w:pPr>
                    <w:pStyle w:val="TableBodyText"/>
                    <w:jc w:val="left"/>
                  </w:pPr>
                  <w:r>
                    <w:t>Bycroft, Brian</w:t>
                  </w:r>
                </w:p>
              </w:tc>
              <w:tc>
                <w:tcPr>
                  <w:tcW w:w="1066" w:type="pct"/>
                  <w:shd w:val="clear" w:color="auto" w:fill="auto"/>
                </w:tcPr>
                <w:p w14:paraId="69813CA9" w14:textId="77777777" w:rsidR="001054C3" w:rsidRPr="008A4F00" w:rsidRDefault="001054C3" w:rsidP="00234FBE">
                  <w:pPr>
                    <w:pStyle w:val="TableBodyText"/>
                  </w:pPr>
                  <w:r>
                    <w:t>DR114</w:t>
                  </w:r>
                </w:p>
              </w:tc>
              <w:tc>
                <w:tcPr>
                  <w:tcW w:w="121" w:type="pct"/>
                  <w:shd w:val="clear" w:color="auto" w:fill="auto"/>
                </w:tcPr>
                <w:p w14:paraId="1E011C9A" w14:textId="77777777" w:rsidR="001054C3" w:rsidRDefault="001054C3" w:rsidP="00234FBE">
                  <w:pPr>
                    <w:pStyle w:val="TableBodyText"/>
                    <w:ind w:right="28"/>
                  </w:pPr>
                </w:p>
              </w:tc>
            </w:tr>
            <w:tr w:rsidR="001054C3" w14:paraId="7A9E1D64" w14:textId="77777777" w:rsidTr="00234FBE">
              <w:tc>
                <w:tcPr>
                  <w:tcW w:w="3813" w:type="pct"/>
                  <w:shd w:val="clear" w:color="auto" w:fill="auto"/>
                </w:tcPr>
                <w:p w14:paraId="0E30C561" w14:textId="77777777" w:rsidR="001054C3" w:rsidRDefault="001054C3" w:rsidP="00234FBE">
                  <w:pPr>
                    <w:pStyle w:val="TableBodyText"/>
                    <w:jc w:val="left"/>
                  </w:pPr>
                  <w:r w:rsidRPr="008A4F00">
                    <w:t xml:space="preserve">Campbell, Grahame </w:t>
                  </w:r>
                </w:p>
              </w:tc>
              <w:tc>
                <w:tcPr>
                  <w:tcW w:w="1066" w:type="pct"/>
                  <w:shd w:val="clear" w:color="auto" w:fill="auto"/>
                </w:tcPr>
                <w:p w14:paraId="0010D97B" w14:textId="77777777" w:rsidR="001054C3" w:rsidRDefault="001054C3" w:rsidP="00234FBE">
                  <w:pPr>
                    <w:pStyle w:val="TableBodyText"/>
                  </w:pPr>
                  <w:r w:rsidRPr="008A4F00">
                    <w:t>60</w:t>
                  </w:r>
                </w:p>
              </w:tc>
              <w:tc>
                <w:tcPr>
                  <w:tcW w:w="121" w:type="pct"/>
                  <w:shd w:val="clear" w:color="auto" w:fill="auto"/>
                </w:tcPr>
                <w:p w14:paraId="217402DA" w14:textId="77777777" w:rsidR="001054C3" w:rsidRDefault="001054C3" w:rsidP="00234FBE">
                  <w:pPr>
                    <w:pStyle w:val="TableBodyText"/>
                    <w:ind w:right="28"/>
                  </w:pPr>
                  <w:r>
                    <w:t>*</w:t>
                  </w:r>
                </w:p>
              </w:tc>
            </w:tr>
            <w:tr w:rsidR="001054C3" w14:paraId="4AF01629" w14:textId="77777777" w:rsidTr="00234FBE">
              <w:tc>
                <w:tcPr>
                  <w:tcW w:w="3813" w:type="pct"/>
                  <w:shd w:val="clear" w:color="auto" w:fill="auto"/>
                </w:tcPr>
                <w:p w14:paraId="1EDA75A6" w14:textId="77777777" w:rsidR="001054C3" w:rsidRDefault="001054C3" w:rsidP="00234FBE">
                  <w:pPr>
                    <w:pStyle w:val="TableBodyText"/>
                    <w:jc w:val="left"/>
                  </w:pPr>
                  <w:r w:rsidRPr="008A4F00">
                    <w:t>C</w:t>
                  </w:r>
                  <w:r>
                    <w:t>anegrowers</w:t>
                  </w:r>
                </w:p>
              </w:tc>
              <w:tc>
                <w:tcPr>
                  <w:tcW w:w="1066" w:type="pct"/>
                  <w:shd w:val="clear" w:color="auto" w:fill="auto"/>
                </w:tcPr>
                <w:p w14:paraId="3DE01F92" w14:textId="77777777" w:rsidR="001054C3" w:rsidRDefault="001054C3" w:rsidP="00234FBE">
                  <w:pPr>
                    <w:pStyle w:val="TableBodyText"/>
                  </w:pPr>
                  <w:r w:rsidRPr="008A4F00">
                    <w:t>72</w:t>
                  </w:r>
                  <w:r>
                    <w:t>, DR167</w:t>
                  </w:r>
                </w:p>
              </w:tc>
              <w:tc>
                <w:tcPr>
                  <w:tcW w:w="121" w:type="pct"/>
                  <w:shd w:val="clear" w:color="auto" w:fill="auto"/>
                </w:tcPr>
                <w:p w14:paraId="5A27FBB4" w14:textId="77777777" w:rsidR="001054C3" w:rsidRDefault="001054C3" w:rsidP="00234FBE">
                  <w:pPr>
                    <w:pStyle w:val="TableBodyText"/>
                    <w:ind w:right="28"/>
                  </w:pPr>
                </w:p>
              </w:tc>
            </w:tr>
            <w:tr w:rsidR="001054C3" w14:paraId="2F2E85E4" w14:textId="77777777" w:rsidTr="00234FBE">
              <w:tc>
                <w:tcPr>
                  <w:tcW w:w="3813" w:type="pct"/>
                  <w:shd w:val="clear" w:color="auto" w:fill="auto"/>
                </w:tcPr>
                <w:p w14:paraId="778F00B4" w14:textId="77777777" w:rsidR="001054C3" w:rsidRDefault="001054C3" w:rsidP="00234FBE">
                  <w:pPr>
                    <w:pStyle w:val="TableBodyText"/>
                    <w:jc w:val="left"/>
                  </w:pPr>
                  <w:r w:rsidRPr="008A4F00">
                    <w:t xml:space="preserve">Central Land Council (CLC) </w:t>
                  </w:r>
                </w:p>
              </w:tc>
              <w:tc>
                <w:tcPr>
                  <w:tcW w:w="1066" w:type="pct"/>
                  <w:shd w:val="clear" w:color="auto" w:fill="auto"/>
                </w:tcPr>
                <w:p w14:paraId="441AE31D" w14:textId="77777777" w:rsidR="001054C3" w:rsidRDefault="001054C3" w:rsidP="00234FBE">
                  <w:pPr>
                    <w:pStyle w:val="TableBodyText"/>
                  </w:pPr>
                  <w:r w:rsidRPr="008A4F00">
                    <w:t>35</w:t>
                  </w:r>
                  <w:r>
                    <w:t>, DR131</w:t>
                  </w:r>
                </w:p>
              </w:tc>
              <w:tc>
                <w:tcPr>
                  <w:tcW w:w="121" w:type="pct"/>
                  <w:shd w:val="clear" w:color="auto" w:fill="auto"/>
                </w:tcPr>
                <w:p w14:paraId="5687B4C3" w14:textId="77777777" w:rsidR="001054C3" w:rsidRDefault="001054C3" w:rsidP="00234FBE">
                  <w:pPr>
                    <w:pStyle w:val="TableBodyText"/>
                    <w:ind w:right="28"/>
                  </w:pPr>
                  <w:r>
                    <w:t>#</w:t>
                  </w:r>
                </w:p>
              </w:tc>
            </w:tr>
            <w:tr w:rsidR="001054C3" w14:paraId="154DFCA9" w14:textId="77777777" w:rsidTr="00234FBE">
              <w:tc>
                <w:tcPr>
                  <w:tcW w:w="3813" w:type="pct"/>
                  <w:shd w:val="clear" w:color="auto" w:fill="auto"/>
                </w:tcPr>
                <w:p w14:paraId="26D348A2" w14:textId="77777777" w:rsidR="001054C3" w:rsidRDefault="001054C3" w:rsidP="00234FBE">
                  <w:pPr>
                    <w:pStyle w:val="TableBodyText"/>
                    <w:jc w:val="left"/>
                  </w:pPr>
                  <w:r w:rsidRPr="008A4F00">
                    <w:t xml:space="preserve">Central NSW Joint Organisation (CNSWJO) </w:t>
                  </w:r>
                </w:p>
              </w:tc>
              <w:tc>
                <w:tcPr>
                  <w:tcW w:w="1066" w:type="pct"/>
                  <w:shd w:val="clear" w:color="auto" w:fill="auto"/>
                </w:tcPr>
                <w:p w14:paraId="1296294C" w14:textId="77777777" w:rsidR="001054C3" w:rsidRDefault="001054C3" w:rsidP="00234FBE">
                  <w:pPr>
                    <w:pStyle w:val="TableBodyText"/>
                  </w:pPr>
                  <w:r w:rsidRPr="008A4F00">
                    <w:t>55</w:t>
                  </w:r>
                  <w:r>
                    <w:t xml:space="preserve"> #, DR164</w:t>
                  </w:r>
                </w:p>
              </w:tc>
              <w:tc>
                <w:tcPr>
                  <w:tcW w:w="121" w:type="pct"/>
                  <w:shd w:val="clear" w:color="auto" w:fill="auto"/>
                </w:tcPr>
                <w:p w14:paraId="25BB1629" w14:textId="77777777" w:rsidR="001054C3" w:rsidRDefault="001054C3" w:rsidP="00234FBE">
                  <w:pPr>
                    <w:pStyle w:val="TableBodyText"/>
                    <w:ind w:right="28"/>
                  </w:pPr>
                </w:p>
              </w:tc>
            </w:tr>
            <w:tr w:rsidR="001054C3" w14:paraId="748E70E3" w14:textId="77777777" w:rsidTr="00234FBE">
              <w:tc>
                <w:tcPr>
                  <w:tcW w:w="3813" w:type="pct"/>
                  <w:shd w:val="clear" w:color="auto" w:fill="auto"/>
                </w:tcPr>
                <w:p w14:paraId="6BE2AA18" w14:textId="77777777" w:rsidR="001054C3" w:rsidRDefault="001054C3" w:rsidP="00234FBE">
                  <w:pPr>
                    <w:pStyle w:val="TableBodyText"/>
                    <w:jc w:val="left"/>
                  </w:pPr>
                  <w:r w:rsidRPr="008A4F00">
                    <w:t>Chapman, Dale</w:t>
                  </w:r>
                </w:p>
              </w:tc>
              <w:tc>
                <w:tcPr>
                  <w:tcW w:w="1066" w:type="pct"/>
                  <w:shd w:val="clear" w:color="auto" w:fill="auto"/>
                </w:tcPr>
                <w:p w14:paraId="71A45E97" w14:textId="77777777" w:rsidR="001054C3" w:rsidRDefault="001054C3" w:rsidP="00234FBE">
                  <w:pPr>
                    <w:pStyle w:val="TableBodyText"/>
                  </w:pPr>
                  <w:r w:rsidRPr="008A4F00">
                    <w:t>5</w:t>
                  </w:r>
                </w:p>
              </w:tc>
              <w:tc>
                <w:tcPr>
                  <w:tcW w:w="121" w:type="pct"/>
                  <w:shd w:val="clear" w:color="auto" w:fill="auto"/>
                </w:tcPr>
                <w:p w14:paraId="49CDBB12" w14:textId="77777777" w:rsidR="001054C3" w:rsidRDefault="001054C3" w:rsidP="00234FBE">
                  <w:pPr>
                    <w:pStyle w:val="TableBodyText"/>
                    <w:ind w:right="28"/>
                  </w:pPr>
                </w:p>
              </w:tc>
            </w:tr>
            <w:tr w:rsidR="001054C3" w14:paraId="0D821C04" w14:textId="77777777" w:rsidTr="00234FBE">
              <w:tc>
                <w:tcPr>
                  <w:tcW w:w="3813" w:type="pct"/>
                  <w:shd w:val="clear" w:color="auto" w:fill="auto"/>
                </w:tcPr>
                <w:p w14:paraId="178D9C05" w14:textId="77777777" w:rsidR="001054C3" w:rsidRDefault="001054C3" w:rsidP="00234FBE">
                  <w:pPr>
                    <w:pStyle w:val="TableBodyText"/>
                    <w:jc w:val="left"/>
                  </w:pPr>
                  <w:r w:rsidRPr="008A4F00">
                    <w:t>Coleambally Irrigation Co</w:t>
                  </w:r>
                  <w:r>
                    <w:noBreakHyphen/>
                  </w:r>
                  <w:r w:rsidRPr="008A4F00">
                    <w:t xml:space="preserve">operative Limited (CICL) </w:t>
                  </w:r>
                </w:p>
              </w:tc>
              <w:tc>
                <w:tcPr>
                  <w:tcW w:w="1066" w:type="pct"/>
                  <w:shd w:val="clear" w:color="auto" w:fill="auto"/>
                </w:tcPr>
                <w:p w14:paraId="2EA7207E" w14:textId="77777777" w:rsidR="001054C3" w:rsidRDefault="001054C3" w:rsidP="00234FBE">
                  <w:pPr>
                    <w:pStyle w:val="TableBodyText"/>
                  </w:pPr>
                  <w:r w:rsidRPr="008A4F00">
                    <w:t>7</w:t>
                  </w:r>
                </w:p>
              </w:tc>
              <w:tc>
                <w:tcPr>
                  <w:tcW w:w="121" w:type="pct"/>
                  <w:shd w:val="clear" w:color="auto" w:fill="auto"/>
                </w:tcPr>
                <w:p w14:paraId="5C964FD9" w14:textId="77777777" w:rsidR="001054C3" w:rsidRDefault="001054C3" w:rsidP="00234FBE">
                  <w:pPr>
                    <w:pStyle w:val="TableBodyText"/>
                    <w:ind w:right="28"/>
                  </w:pPr>
                </w:p>
              </w:tc>
            </w:tr>
            <w:tr w:rsidR="001054C3" w14:paraId="3AD50931" w14:textId="77777777" w:rsidTr="00234FBE">
              <w:tc>
                <w:tcPr>
                  <w:tcW w:w="3813" w:type="pct"/>
                  <w:shd w:val="clear" w:color="auto" w:fill="auto"/>
                </w:tcPr>
                <w:p w14:paraId="5379734F" w14:textId="77777777" w:rsidR="001054C3" w:rsidRDefault="001054C3" w:rsidP="00234FBE">
                  <w:pPr>
                    <w:pStyle w:val="TableBodyText"/>
                    <w:jc w:val="left"/>
                  </w:pPr>
                  <w:r w:rsidRPr="008A4F00">
                    <w:t xml:space="preserve">Cooks River Alliance </w:t>
                  </w:r>
                </w:p>
              </w:tc>
              <w:tc>
                <w:tcPr>
                  <w:tcW w:w="1066" w:type="pct"/>
                  <w:shd w:val="clear" w:color="auto" w:fill="auto"/>
                </w:tcPr>
                <w:p w14:paraId="75497DD4" w14:textId="77777777" w:rsidR="001054C3" w:rsidRDefault="001054C3" w:rsidP="00234FBE">
                  <w:pPr>
                    <w:pStyle w:val="TableBodyText"/>
                  </w:pPr>
                  <w:r w:rsidRPr="008A4F00">
                    <w:t>10</w:t>
                  </w:r>
                </w:p>
              </w:tc>
              <w:tc>
                <w:tcPr>
                  <w:tcW w:w="121" w:type="pct"/>
                  <w:shd w:val="clear" w:color="auto" w:fill="auto"/>
                </w:tcPr>
                <w:p w14:paraId="1F6D2FF2" w14:textId="77777777" w:rsidR="001054C3" w:rsidRDefault="001054C3" w:rsidP="00234FBE">
                  <w:pPr>
                    <w:pStyle w:val="TableBodyText"/>
                    <w:ind w:right="28"/>
                  </w:pPr>
                </w:p>
              </w:tc>
            </w:tr>
            <w:tr w:rsidR="001054C3" w14:paraId="53E2906F" w14:textId="77777777" w:rsidTr="00234FBE">
              <w:tc>
                <w:tcPr>
                  <w:tcW w:w="3813" w:type="pct"/>
                  <w:shd w:val="clear" w:color="auto" w:fill="auto"/>
                </w:tcPr>
                <w:p w14:paraId="19CE7212" w14:textId="77777777" w:rsidR="001054C3" w:rsidRDefault="001054C3" w:rsidP="00234FBE">
                  <w:pPr>
                    <w:pStyle w:val="TableBodyText"/>
                    <w:jc w:val="left"/>
                  </w:pPr>
                  <w:r w:rsidRPr="008A4F00">
                    <w:t xml:space="preserve">Cooperative Research Centre for Water Sensitive Cities (CRCWSC) </w:t>
                  </w:r>
                </w:p>
              </w:tc>
              <w:tc>
                <w:tcPr>
                  <w:tcW w:w="1066" w:type="pct"/>
                  <w:shd w:val="clear" w:color="auto" w:fill="auto"/>
                </w:tcPr>
                <w:p w14:paraId="1FFAEB24" w14:textId="77777777" w:rsidR="001054C3" w:rsidRDefault="001054C3" w:rsidP="00234FBE">
                  <w:pPr>
                    <w:pStyle w:val="TableBodyText"/>
                  </w:pPr>
                  <w:r w:rsidRPr="008A4F00">
                    <w:t>83</w:t>
                  </w:r>
                </w:p>
              </w:tc>
              <w:tc>
                <w:tcPr>
                  <w:tcW w:w="121" w:type="pct"/>
                  <w:shd w:val="clear" w:color="auto" w:fill="auto"/>
                </w:tcPr>
                <w:p w14:paraId="781B8C4E" w14:textId="77777777" w:rsidR="001054C3" w:rsidRDefault="001054C3" w:rsidP="00234FBE">
                  <w:pPr>
                    <w:pStyle w:val="TableBodyText"/>
                    <w:ind w:right="28"/>
                  </w:pPr>
                </w:p>
              </w:tc>
            </w:tr>
            <w:tr w:rsidR="001054C3" w14:paraId="650CA0C0" w14:textId="77777777" w:rsidTr="00234FBE">
              <w:tc>
                <w:tcPr>
                  <w:tcW w:w="3813" w:type="pct"/>
                  <w:shd w:val="clear" w:color="auto" w:fill="auto"/>
                </w:tcPr>
                <w:p w14:paraId="35CBD528" w14:textId="77777777" w:rsidR="001054C3" w:rsidRDefault="001054C3" w:rsidP="00234FBE">
                  <w:pPr>
                    <w:pStyle w:val="TableBodyText"/>
                    <w:jc w:val="left"/>
                  </w:pPr>
                  <w:r w:rsidRPr="008A4F00">
                    <w:t>Crase, Prof. Lin</w:t>
                  </w:r>
                </w:p>
              </w:tc>
              <w:tc>
                <w:tcPr>
                  <w:tcW w:w="1066" w:type="pct"/>
                  <w:shd w:val="clear" w:color="auto" w:fill="auto"/>
                </w:tcPr>
                <w:p w14:paraId="67BD2969" w14:textId="77777777" w:rsidR="001054C3" w:rsidRDefault="001054C3" w:rsidP="00234FBE">
                  <w:pPr>
                    <w:pStyle w:val="TableBodyText"/>
                  </w:pPr>
                  <w:r w:rsidRPr="008A4F00">
                    <w:t>1</w:t>
                  </w:r>
                </w:p>
              </w:tc>
              <w:tc>
                <w:tcPr>
                  <w:tcW w:w="121" w:type="pct"/>
                  <w:shd w:val="clear" w:color="auto" w:fill="auto"/>
                </w:tcPr>
                <w:p w14:paraId="5EEA7EBA" w14:textId="77777777" w:rsidR="001054C3" w:rsidRDefault="001054C3" w:rsidP="00234FBE">
                  <w:pPr>
                    <w:pStyle w:val="TableBodyText"/>
                    <w:ind w:right="28"/>
                  </w:pPr>
                </w:p>
              </w:tc>
            </w:tr>
            <w:tr w:rsidR="001054C3" w14:paraId="2601F1A0" w14:textId="77777777" w:rsidTr="00234FBE">
              <w:tc>
                <w:tcPr>
                  <w:tcW w:w="3813" w:type="pct"/>
                  <w:shd w:val="clear" w:color="auto" w:fill="auto"/>
                </w:tcPr>
                <w:p w14:paraId="307FD745" w14:textId="77777777" w:rsidR="001054C3" w:rsidRDefault="001054C3" w:rsidP="00234FBE">
                  <w:pPr>
                    <w:pStyle w:val="TableBodyText"/>
                    <w:jc w:val="left"/>
                  </w:pPr>
                  <w:r w:rsidRPr="008A4F00">
                    <w:t>Crowe, Damian</w:t>
                  </w:r>
                </w:p>
              </w:tc>
              <w:tc>
                <w:tcPr>
                  <w:tcW w:w="1066" w:type="pct"/>
                  <w:shd w:val="clear" w:color="auto" w:fill="auto"/>
                </w:tcPr>
                <w:p w14:paraId="33722CA9" w14:textId="77777777" w:rsidR="001054C3" w:rsidRDefault="001054C3" w:rsidP="00234FBE">
                  <w:pPr>
                    <w:pStyle w:val="TableBodyText"/>
                  </w:pPr>
                  <w:r w:rsidRPr="008A4F00">
                    <w:t>100</w:t>
                  </w:r>
                </w:p>
              </w:tc>
              <w:tc>
                <w:tcPr>
                  <w:tcW w:w="121" w:type="pct"/>
                  <w:shd w:val="clear" w:color="auto" w:fill="auto"/>
                </w:tcPr>
                <w:p w14:paraId="3E282AE2" w14:textId="77777777" w:rsidR="001054C3" w:rsidRDefault="001054C3" w:rsidP="00234FBE">
                  <w:pPr>
                    <w:pStyle w:val="TableBodyText"/>
                    <w:ind w:right="28"/>
                  </w:pPr>
                  <w:r>
                    <w:t>#*</w:t>
                  </w:r>
                </w:p>
              </w:tc>
            </w:tr>
            <w:tr w:rsidR="001054C3" w14:paraId="6263F17E" w14:textId="77777777" w:rsidTr="00234FBE">
              <w:tc>
                <w:tcPr>
                  <w:tcW w:w="3813" w:type="pct"/>
                  <w:shd w:val="clear" w:color="auto" w:fill="auto"/>
                </w:tcPr>
                <w:p w14:paraId="339F5294" w14:textId="77777777" w:rsidR="001054C3" w:rsidRPr="008A4F00" w:rsidRDefault="001054C3" w:rsidP="00234FBE">
                  <w:pPr>
                    <w:pStyle w:val="TableBodyText"/>
                    <w:jc w:val="left"/>
                  </w:pPr>
                  <w:r>
                    <w:t>CSIRO</w:t>
                  </w:r>
                </w:p>
              </w:tc>
              <w:tc>
                <w:tcPr>
                  <w:tcW w:w="1066" w:type="pct"/>
                  <w:shd w:val="clear" w:color="auto" w:fill="auto"/>
                </w:tcPr>
                <w:p w14:paraId="022FCE3D" w14:textId="77777777" w:rsidR="001054C3" w:rsidRPr="008A4F00" w:rsidRDefault="001054C3" w:rsidP="00234FBE">
                  <w:pPr>
                    <w:pStyle w:val="TableBodyText"/>
                  </w:pPr>
                  <w:r>
                    <w:t>DR149</w:t>
                  </w:r>
                </w:p>
              </w:tc>
              <w:tc>
                <w:tcPr>
                  <w:tcW w:w="121" w:type="pct"/>
                  <w:shd w:val="clear" w:color="auto" w:fill="auto"/>
                </w:tcPr>
                <w:p w14:paraId="7F079ECC" w14:textId="77777777" w:rsidR="001054C3" w:rsidRDefault="001054C3" w:rsidP="00234FBE">
                  <w:pPr>
                    <w:pStyle w:val="TableBodyText"/>
                    <w:ind w:right="28"/>
                  </w:pPr>
                </w:p>
              </w:tc>
            </w:tr>
            <w:tr w:rsidR="001054C3" w14:paraId="7B7E27E1" w14:textId="77777777" w:rsidTr="00234FBE">
              <w:tc>
                <w:tcPr>
                  <w:tcW w:w="3813" w:type="pct"/>
                  <w:shd w:val="clear" w:color="auto" w:fill="auto"/>
                </w:tcPr>
                <w:p w14:paraId="2F346995" w14:textId="77777777" w:rsidR="001054C3" w:rsidRDefault="001054C3" w:rsidP="00234FBE">
                  <w:pPr>
                    <w:pStyle w:val="TableBodyText"/>
                    <w:jc w:val="left"/>
                  </w:pPr>
                  <w:r w:rsidRPr="008A4F00">
                    <w:t xml:space="preserve">Dharriwaa Elders Group and Walgett Aboriginal Medical Service (WAMS) </w:t>
                  </w:r>
                </w:p>
              </w:tc>
              <w:tc>
                <w:tcPr>
                  <w:tcW w:w="1066" w:type="pct"/>
                  <w:shd w:val="clear" w:color="auto" w:fill="auto"/>
                </w:tcPr>
                <w:p w14:paraId="08C347CF" w14:textId="77777777" w:rsidR="001054C3" w:rsidRDefault="001054C3" w:rsidP="00234FBE">
                  <w:pPr>
                    <w:pStyle w:val="TableBodyText"/>
                  </w:pPr>
                  <w:r w:rsidRPr="008A4F00">
                    <w:t>104</w:t>
                  </w:r>
                </w:p>
              </w:tc>
              <w:tc>
                <w:tcPr>
                  <w:tcW w:w="121" w:type="pct"/>
                  <w:shd w:val="clear" w:color="auto" w:fill="auto"/>
                </w:tcPr>
                <w:p w14:paraId="46A67909" w14:textId="77777777" w:rsidR="001054C3" w:rsidRDefault="001054C3" w:rsidP="00234FBE">
                  <w:pPr>
                    <w:pStyle w:val="TableBodyText"/>
                    <w:ind w:right="28"/>
                  </w:pPr>
                </w:p>
              </w:tc>
            </w:tr>
            <w:tr w:rsidR="001054C3" w14:paraId="405A3557" w14:textId="77777777" w:rsidTr="00234FBE">
              <w:tc>
                <w:tcPr>
                  <w:tcW w:w="3813" w:type="pct"/>
                  <w:shd w:val="clear" w:color="auto" w:fill="auto"/>
                </w:tcPr>
                <w:p w14:paraId="31CCEC3C" w14:textId="77777777" w:rsidR="001054C3" w:rsidRDefault="001054C3" w:rsidP="00234FBE">
                  <w:pPr>
                    <w:pStyle w:val="TableBodyText"/>
                    <w:jc w:val="left"/>
                  </w:pPr>
                  <w:r w:rsidRPr="008A4F00">
                    <w:t>Duncan, Phil – Traditional Owner, Gomeroi Nation</w:t>
                  </w:r>
                </w:p>
              </w:tc>
              <w:tc>
                <w:tcPr>
                  <w:tcW w:w="1066" w:type="pct"/>
                  <w:shd w:val="clear" w:color="auto" w:fill="auto"/>
                </w:tcPr>
                <w:p w14:paraId="1D8F7943" w14:textId="77777777" w:rsidR="001054C3" w:rsidRDefault="001054C3" w:rsidP="00234FBE">
                  <w:pPr>
                    <w:pStyle w:val="TableBodyText"/>
                  </w:pPr>
                  <w:r w:rsidRPr="008A4F00">
                    <w:t>67</w:t>
                  </w:r>
                </w:p>
              </w:tc>
              <w:tc>
                <w:tcPr>
                  <w:tcW w:w="121" w:type="pct"/>
                  <w:shd w:val="clear" w:color="auto" w:fill="auto"/>
                </w:tcPr>
                <w:p w14:paraId="242BD369" w14:textId="77777777" w:rsidR="001054C3" w:rsidRDefault="001054C3" w:rsidP="00234FBE">
                  <w:pPr>
                    <w:pStyle w:val="TableBodyText"/>
                    <w:ind w:right="28"/>
                  </w:pPr>
                </w:p>
              </w:tc>
            </w:tr>
            <w:tr w:rsidR="001054C3" w14:paraId="11F3ACF3" w14:textId="77777777" w:rsidTr="00234FBE">
              <w:tc>
                <w:tcPr>
                  <w:tcW w:w="3813" w:type="pct"/>
                  <w:shd w:val="clear" w:color="auto" w:fill="auto"/>
                </w:tcPr>
                <w:p w14:paraId="5FBD2E69" w14:textId="77777777" w:rsidR="001054C3" w:rsidRDefault="001054C3" w:rsidP="00234FBE">
                  <w:pPr>
                    <w:pStyle w:val="TableBodyText"/>
                    <w:jc w:val="left"/>
                  </w:pPr>
                  <w:r w:rsidRPr="008A4F00">
                    <w:t xml:space="preserve">Engineers Australia </w:t>
                  </w:r>
                </w:p>
              </w:tc>
              <w:tc>
                <w:tcPr>
                  <w:tcW w:w="1066" w:type="pct"/>
                  <w:shd w:val="clear" w:color="auto" w:fill="auto"/>
                </w:tcPr>
                <w:p w14:paraId="77AA49E2" w14:textId="77777777" w:rsidR="001054C3" w:rsidRDefault="001054C3" w:rsidP="00234FBE">
                  <w:pPr>
                    <w:pStyle w:val="TableBodyText"/>
                  </w:pPr>
                  <w:r w:rsidRPr="008A4F00">
                    <w:t>63</w:t>
                  </w:r>
                  <w:r>
                    <w:t>, DR141</w:t>
                  </w:r>
                </w:p>
              </w:tc>
              <w:tc>
                <w:tcPr>
                  <w:tcW w:w="121" w:type="pct"/>
                  <w:shd w:val="clear" w:color="auto" w:fill="auto"/>
                </w:tcPr>
                <w:p w14:paraId="5AE157D7" w14:textId="77777777" w:rsidR="001054C3" w:rsidRDefault="001054C3" w:rsidP="00234FBE">
                  <w:pPr>
                    <w:pStyle w:val="TableBodyText"/>
                    <w:ind w:right="28"/>
                  </w:pPr>
                </w:p>
              </w:tc>
            </w:tr>
            <w:tr w:rsidR="001054C3" w14:paraId="1A19DE45" w14:textId="77777777" w:rsidTr="00234FBE">
              <w:tc>
                <w:tcPr>
                  <w:tcW w:w="3813" w:type="pct"/>
                  <w:shd w:val="clear" w:color="auto" w:fill="auto"/>
                </w:tcPr>
                <w:p w14:paraId="4C3E9196" w14:textId="77777777" w:rsidR="001054C3" w:rsidRPr="008A4F00" w:rsidRDefault="001054C3" w:rsidP="00234FBE">
                  <w:pPr>
                    <w:pStyle w:val="TableBodyText"/>
                    <w:jc w:val="left"/>
                  </w:pPr>
                  <w:r>
                    <w:t>Environment Centre (NT) and Arid Lands Environment Centre</w:t>
                  </w:r>
                </w:p>
              </w:tc>
              <w:tc>
                <w:tcPr>
                  <w:tcW w:w="1066" w:type="pct"/>
                  <w:shd w:val="clear" w:color="auto" w:fill="auto"/>
                </w:tcPr>
                <w:p w14:paraId="176400E2" w14:textId="77777777" w:rsidR="001054C3" w:rsidRPr="008A4F00" w:rsidRDefault="001054C3" w:rsidP="00234FBE">
                  <w:pPr>
                    <w:pStyle w:val="TableBodyText"/>
                  </w:pPr>
                  <w:r>
                    <w:t>DR160</w:t>
                  </w:r>
                </w:p>
              </w:tc>
              <w:tc>
                <w:tcPr>
                  <w:tcW w:w="121" w:type="pct"/>
                  <w:shd w:val="clear" w:color="auto" w:fill="auto"/>
                </w:tcPr>
                <w:p w14:paraId="7282AC53" w14:textId="77777777" w:rsidR="001054C3" w:rsidRDefault="001054C3" w:rsidP="00234FBE">
                  <w:pPr>
                    <w:pStyle w:val="TableBodyText"/>
                    <w:ind w:right="28"/>
                  </w:pPr>
                </w:p>
              </w:tc>
            </w:tr>
            <w:tr w:rsidR="001054C3" w14:paraId="43AAC890" w14:textId="77777777" w:rsidTr="00234FBE">
              <w:tc>
                <w:tcPr>
                  <w:tcW w:w="3813" w:type="pct"/>
                  <w:shd w:val="clear" w:color="auto" w:fill="auto"/>
                </w:tcPr>
                <w:p w14:paraId="6D70C91E" w14:textId="77777777" w:rsidR="001054C3" w:rsidRDefault="001054C3" w:rsidP="00234FBE">
                  <w:pPr>
                    <w:pStyle w:val="TableBodyText"/>
                    <w:jc w:val="left"/>
                  </w:pPr>
                  <w:r w:rsidRPr="008A4F00">
                    <w:t xml:space="preserve">Environment Protection Authority Victoria (EPA) </w:t>
                  </w:r>
                </w:p>
              </w:tc>
              <w:tc>
                <w:tcPr>
                  <w:tcW w:w="1066" w:type="pct"/>
                  <w:shd w:val="clear" w:color="auto" w:fill="auto"/>
                </w:tcPr>
                <w:p w14:paraId="1AE06BC0" w14:textId="77777777" w:rsidR="001054C3" w:rsidRDefault="001054C3" w:rsidP="00234FBE">
                  <w:pPr>
                    <w:pStyle w:val="TableBodyText"/>
                  </w:pPr>
                  <w:r w:rsidRPr="008A4F00">
                    <w:t>107</w:t>
                  </w:r>
                </w:p>
              </w:tc>
              <w:tc>
                <w:tcPr>
                  <w:tcW w:w="121" w:type="pct"/>
                  <w:shd w:val="clear" w:color="auto" w:fill="auto"/>
                </w:tcPr>
                <w:p w14:paraId="2E92754D" w14:textId="77777777" w:rsidR="001054C3" w:rsidRDefault="001054C3" w:rsidP="00234FBE">
                  <w:pPr>
                    <w:pStyle w:val="TableBodyText"/>
                    <w:ind w:right="28"/>
                  </w:pPr>
                </w:p>
              </w:tc>
            </w:tr>
            <w:tr w:rsidR="001054C3" w14:paraId="600BA266" w14:textId="77777777" w:rsidTr="00234FBE">
              <w:tc>
                <w:tcPr>
                  <w:tcW w:w="3813" w:type="pct"/>
                  <w:shd w:val="clear" w:color="auto" w:fill="auto"/>
                </w:tcPr>
                <w:p w14:paraId="09DD21FE" w14:textId="77777777" w:rsidR="001054C3" w:rsidRDefault="001054C3" w:rsidP="00234FBE">
                  <w:pPr>
                    <w:pStyle w:val="TableBodyText"/>
                    <w:jc w:val="left"/>
                  </w:pPr>
                  <w:r w:rsidRPr="008A4F00">
                    <w:t xml:space="preserve">Environmental Defenders Office (EDO) </w:t>
                  </w:r>
                </w:p>
              </w:tc>
              <w:tc>
                <w:tcPr>
                  <w:tcW w:w="1066" w:type="pct"/>
                  <w:shd w:val="clear" w:color="auto" w:fill="auto"/>
                </w:tcPr>
                <w:p w14:paraId="036DD369" w14:textId="77777777" w:rsidR="001054C3" w:rsidRDefault="001054C3" w:rsidP="00234FBE">
                  <w:pPr>
                    <w:pStyle w:val="TableBodyText"/>
                  </w:pPr>
                  <w:r w:rsidRPr="008A4F00">
                    <w:t>54</w:t>
                  </w:r>
                  <w:r>
                    <w:t>, DR189</w:t>
                  </w:r>
                </w:p>
              </w:tc>
              <w:tc>
                <w:tcPr>
                  <w:tcW w:w="121" w:type="pct"/>
                  <w:shd w:val="clear" w:color="auto" w:fill="auto"/>
                </w:tcPr>
                <w:p w14:paraId="27541739" w14:textId="77777777" w:rsidR="001054C3" w:rsidRDefault="001054C3" w:rsidP="00234FBE">
                  <w:pPr>
                    <w:pStyle w:val="TableBodyText"/>
                    <w:ind w:right="28"/>
                  </w:pPr>
                </w:p>
              </w:tc>
            </w:tr>
            <w:tr w:rsidR="001054C3" w14:paraId="0915C189" w14:textId="77777777" w:rsidTr="00234FBE">
              <w:tc>
                <w:tcPr>
                  <w:tcW w:w="3813" w:type="pct"/>
                  <w:shd w:val="clear" w:color="auto" w:fill="auto"/>
                </w:tcPr>
                <w:p w14:paraId="396201D7" w14:textId="77777777" w:rsidR="001054C3" w:rsidRDefault="001054C3" w:rsidP="00234FBE">
                  <w:pPr>
                    <w:pStyle w:val="TableBodyText"/>
                    <w:jc w:val="left"/>
                  </w:pPr>
                  <w:r w:rsidRPr="008A4F00">
                    <w:t xml:space="preserve">eWater </w:t>
                  </w:r>
                </w:p>
              </w:tc>
              <w:tc>
                <w:tcPr>
                  <w:tcW w:w="1066" w:type="pct"/>
                  <w:shd w:val="clear" w:color="auto" w:fill="auto"/>
                </w:tcPr>
                <w:p w14:paraId="7FED6653" w14:textId="77777777" w:rsidR="001054C3" w:rsidRDefault="001054C3" w:rsidP="00234FBE">
                  <w:pPr>
                    <w:pStyle w:val="TableBodyText"/>
                  </w:pPr>
                  <w:r w:rsidRPr="008A4F00">
                    <w:t>14</w:t>
                  </w:r>
                  <w:r>
                    <w:t>, DR128</w:t>
                  </w:r>
                </w:p>
              </w:tc>
              <w:tc>
                <w:tcPr>
                  <w:tcW w:w="121" w:type="pct"/>
                  <w:shd w:val="clear" w:color="auto" w:fill="auto"/>
                </w:tcPr>
                <w:p w14:paraId="517B7A75" w14:textId="77777777" w:rsidR="001054C3" w:rsidRDefault="001054C3" w:rsidP="00234FBE">
                  <w:pPr>
                    <w:pStyle w:val="TableBodyText"/>
                    <w:ind w:right="28"/>
                  </w:pPr>
                </w:p>
              </w:tc>
            </w:tr>
          </w:tbl>
          <w:p w14:paraId="22AE4EE2" w14:textId="77777777" w:rsidR="001054C3" w:rsidRDefault="001054C3" w:rsidP="00DE301C">
            <w:pPr>
              <w:pStyle w:val="Box"/>
              <w:spacing w:before="0" w:after="40"/>
            </w:pPr>
          </w:p>
        </w:tc>
      </w:tr>
      <w:tr w:rsidR="001054C3" w14:paraId="4C30037C" w14:textId="77777777" w:rsidTr="00234FBE">
        <w:tc>
          <w:tcPr>
            <w:tcW w:w="5000" w:type="pct"/>
            <w:tcBorders>
              <w:top w:val="nil"/>
              <w:left w:val="nil"/>
              <w:bottom w:val="nil"/>
              <w:right w:val="nil"/>
            </w:tcBorders>
            <w:shd w:val="clear" w:color="auto" w:fill="auto"/>
          </w:tcPr>
          <w:p w14:paraId="017DA503" w14:textId="77777777" w:rsidR="001054C3" w:rsidRDefault="001054C3" w:rsidP="00234FBE">
            <w:pPr>
              <w:pStyle w:val="Note"/>
              <w:jc w:val="right"/>
              <w:rPr>
                <w:i/>
              </w:rPr>
            </w:pPr>
            <w:r>
              <w:rPr>
                <w:i/>
              </w:rPr>
              <w:t xml:space="preserve"> (continued next page)</w:t>
            </w:r>
          </w:p>
        </w:tc>
      </w:tr>
      <w:tr w:rsidR="001054C3" w14:paraId="21754B7D" w14:textId="77777777" w:rsidTr="00234FBE">
        <w:tc>
          <w:tcPr>
            <w:tcW w:w="5000" w:type="pct"/>
            <w:tcBorders>
              <w:top w:val="nil"/>
              <w:left w:val="nil"/>
              <w:bottom w:val="single" w:sz="6" w:space="0" w:color="78A22F" w:themeColor="accent1"/>
              <w:right w:val="nil"/>
            </w:tcBorders>
            <w:shd w:val="clear" w:color="auto" w:fill="auto"/>
          </w:tcPr>
          <w:p w14:paraId="69028A02" w14:textId="77777777" w:rsidR="001054C3" w:rsidRDefault="001054C3" w:rsidP="00234FBE">
            <w:pPr>
              <w:pStyle w:val="Box"/>
              <w:spacing w:before="0" w:line="120" w:lineRule="exact"/>
            </w:pPr>
          </w:p>
        </w:tc>
      </w:tr>
      <w:tr w:rsidR="001054C3" w:rsidRPr="000863A5" w14:paraId="7766B574" w14:textId="77777777" w:rsidTr="00234FBE">
        <w:tc>
          <w:tcPr>
            <w:tcW w:w="5000" w:type="pct"/>
            <w:tcBorders>
              <w:top w:val="single" w:sz="6" w:space="0" w:color="78A22F" w:themeColor="accent1"/>
              <w:left w:val="nil"/>
              <w:bottom w:val="nil"/>
              <w:right w:val="nil"/>
            </w:tcBorders>
          </w:tcPr>
          <w:p w14:paraId="2BDDCF4E" w14:textId="77777777" w:rsidR="001054C3" w:rsidRPr="00626D32" w:rsidRDefault="001054C3" w:rsidP="00234FBE">
            <w:pPr>
              <w:pStyle w:val="BoxSpaceBelow"/>
            </w:pPr>
          </w:p>
        </w:tc>
      </w:tr>
    </w:tbl>
    <w:p w14:paraId="3A4C2657" w14:textId="77777777" w:rsidR="001054C3" w:rsidRDefault="001054C3" w:rsidP="00234FBE">
      <w:pPr>
        <w:pStyle w:val="BodyText"/>
        <w:spacing w:before="0"/>
      </w:pPr>
    </w:p>
    <w:p w14:paraId="1667B38C"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29019E52" w14:textId="77777777" w:rsidTr="00234FBE">
        <w:trPr>
          <w:tblHeader/>
        </w:trPr>
        <w:tc>
          <w:tcPr>
            <w:tcW w:w="5000" w:type="pct"/>
            <w:tcBorders>
              <w:top w:val="single" w:sz="6" w:space="0" w:color="78A22F" w:themeColor="accent1"/>
              <w:left w:val="nil"/>
              <w:bottom w:val="nil"/>
              <w:right w:val="nil"/>
            </w:tcBorders>
            <w:shd w:val="clear" w:color="auto" w:fill="auto"/>
          </w:tcPr>
          <w:p w14:paraId="235FB078" w14:textId="284CC3F4" w:rsidR="001054C3" w:rsidRPr="00784A05" w:rsidRDefault="001054C3" w:rsidP="00234FBE">
            <w:pPr>
              <w:pStyle w:val="TableTitle"/>
            </w:pPr>
            <w:r>
              <w:rPr>
                <w:b w:val="0"/>
              </w:rPr>
              <w:t>Table C.1</w:t>
            </w:r>
            <w:r>
              <w:tab/>
            </w:r>
            <w:r w:rsidRPr="00711F20">
              <w:rPr>
                <w:b w:val="0"/>
                <w:sz w:val="18"/>
                <w:szCs w:val="18"/>
              </w:rPr>
              <w:t>(continued)</w:t>
            </w:r>
          </w:p>
        </w:tc>
      </w:tr>
      <w:tr w:rsidR="001054C3" w14:paraId="04CAD5CC" w14:textId="77777777" w:rsidTr="00234FBE">
        <w:tc>
          <w:tcPr>
            <w:tcW w:w="5000" w:type="pct"/>
            <w:tcBorders>
              <w:top w:val="nil"/>
              <w:left w:val="nil"/>
              <w:bottom w:val="nil"/>
              <w:right w:val="nil"/>
            </w:tcBorders>
            <w:shd w:val="clear" w:color="auto" w:fill="auto"/>
          </w:tcPr>
          <w:tbl>
            <w:tblPr>
              <w:tblW w:w="4999" w:type="pct"/>
              <w:tblCellMar>
                <w:top w:w="28" w:type="dxa"/>
                <w:left w:w="0" w:type="dxa"/>
                <w:right w:w="0" w:type="dxa"/>
              </w:tblCellMar>
              <w:tblLook w:val="0000" w:firstRow="0" w:lastRow="0" w:firstColumn="0" w:lastColumn="0" w:noHBand="0" w:noVBand="0"/>
            </w:tblPr>
            <w:tblGrid>
              <w:gridCol w:w="6519"/>
              <w:gridCol w:w="153"/>
              <w:gridCol w:w="1690"/>
              <w:gridCol w:w="141"/>
            </w:tblGrid>
            <w:tr w:rsidR="001054C3" w14:paraId="1A9F00DB" w14:textId="77777777" w:rsidTr="00234FBE">
              <w:trPr>
                <w:tblHeader/>
              </w:trPr>
              <w:tc>
                <w:tcPr>
                  <w:tcW w:w="3833"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3E238881" w14:textId="77777777" w:rsidR="001054C3" w:rsidRDefault="001054C3" w:rsidP="00234FBE">
                  <w:pPr>
                    <w:pStyle w:val="TableColumnHeading"/>
                    <w:jc w:val="left"/>
                  </w:pPr>
                  <w:r>
                    <w:t>Participants</w:t>
                  </w:r>
                </w:p>
              </w:tc>
              <w:tc>
                <w:tcPr>
                  <w:tcW w:w="1084" w:type="pct"/>
                  <w:gridSpan w:val="2"/>
                  <w:tcBorders>
                    <w:top w:val="single" w:sz="6" w:space="0" w:color="BFBFBF" w:themeColor="background1" w:themeShade="BF"/>
                    <w:bottom w:val="single" w:sz="6" w:space="0" w:color="BFBFBF" w:themeColor="background1" w:themeShade="BF"/>
                  </w:tcBorders>
                  <w:shd w:val="clear" w:color="auto" w:fill="auto"/>
                  <w:tcMar>
                    <w:top w:w="28" w:type="dxa"/>
                  </w:tcMar>
                </w:tcPr>
                <w:p w14:paraId="74389919" w14:textId="77777777" w:rsidR="001054C3" w:rsidRDefault="001054C3" w:rsidP="00234FBE">
                  <w:pPr>
                    <w:pStyle w:val="TableColumnHeading"/>
                    <w:jc w:val="left"/>
                  </w:pPr>
                  <w:r>
                    <w:t>Submission number</w:t>
                  </w:r>
                </w:p>
              </w:tc>
              <w:tc>
                <w:tcPr>
                  <w:tcW w:w="83"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3A5644ED" w14:textId="77777777" w:rsidR="001054C3" w:rsidRDefault="001054C3" w:rsidP="00234FBE">
                  <w:pPr>
                    <w:pStyle w:val="TableColumnHeading"/>
                    <w:ind w:right="28"/>
                  </w:pPr>
                </w:p>
              </w:tc>
            </w:tr>
            <w:tr w:rsidR="001054C3" w14:paraId="2B29B382" w14:textId="77777777" w:rsidTr="00234FBE">
              <w:tc>
                <w:tcPr>
                  <w:tcW w:w="3833" w:type="pct"/>
                  <w:tcBorders>
                    <w:top w:val="single" w:sz="6" w:space="0" w:color="BFBFBF" w:themeColor="background1" w:themeShade="BF"/>
                  </w:tcBorders>
                </w:tcPr>
                <w:p w14:paraId="60F09358" w14:textId="77777777" w:rsidR="001054C3" w:rsidRPr="008A4F00" w:rsidRDefault="001054C3" w:rsidP="00DE301C">
                  <w:pPr>
                    <w:pStyle w:val="TableUnitsRow"/>
                    <w:spacing w:before="0"/>
                    <w:jc w:val="left"/>
                  </w:pPr>
                  <w:r w:rsidRPr="008A4F00">
                    <w:t xml:space="preserve">Far North Queensland Regional Organisation of Councils (FNQROC) </w:t>
                  </w:r>
                </w:p>
              </w:tc>
              <w:tc>
                <w:tcPr>
                  <w:tcW w:w="1084" w:type="pct"/>
                  <w:gridSpan w:val="2"/>
                  <w:tcBorders>
                    <w:top w:val="single" w:sz="6" w:space="0" w:color="BFBFBF" w:themeColor="background1" w:themeShade="BF"/>
                  </w:tcBorders>
                </w:tcPr>
                <w:p w14:paraId="0851833E" w14:textId="77777777" w:rsidR="001054C3" w:rsidRPr="008A4F00" w:rsidRDefault="001054C3" w:rsidP="00DE301C">
                  <w:pPr>
                    <w:pStyle w:val="TableUnitsRow"/>
                    <w:spacing w:before="0"/>
                  </w:pPr>
                  <w:r w:rsidRPr="008A4F00">
                    <w:t>51</w:t>
                  </w:r>
                  <w:r>
                    <w:t>, DR159</w:t>
                  </w:r>
                </w:p>
              </w:tc>
              <w:tc>
                <w:tcPr>
                  <w:tcW w:w="83" w:type="pct"/>
                  <w:tcBorders>
                    <w:top w:val="single" w:sz="6" w:space="0" w:color="BFBFBF" w:themeColor="background1" w:themeShade="BF"/>
                  </w:tcBorders>
                </w:tcPr>
                <w:p w14:paraId="3A24A70F" w14:textId="77777777" w:rsidR="001054C3" w:rsidRDefault="001054C3" w:rsidP="00234FBE">
                  <w:pPr>
                    <w:pStyle w:val="TableUnitsRow"/>
                    <w:ind w:right="28"/>
                  </w:pPr>
                  <w:r>
                    <w:t>#</w:t>
                  </w:r>
                </w:p>
              </w:tc>
            </w:tr>
            <w:tr w:rsidR="001054C3" w14:paraId="7CEDC266" w14:textId="77777777" w:rsidTr="00DE301C">
              <w:tc>
                <w:tcPr>
                  <w:tcW w:w="3833" w:type="pct"/>
                </w:tcPr>
                <w:p w14:paraId="79D83985" w14:textId="77777777" w:rsidR="001054C3" w:rsidRPr="008A4F00" w:rsidRDefault="001054C3" w:rsidP="00DE301C">
                  <w:pPr>
                    <w:pStyle w:val="TableUnitsRow"/>
                    <w:spacing w:before="0"/>
                    <w:jc w:val="left"/>
                  </w:pPr>
                  <w:r w:rsidRPr="008A4F00">
                    <w:t xml:space="preserve">Flow Systems </w:t>
                  </w:r>
                </w:p>
              </w:tc>
              <w:tc>
                <w:tcPr>
                  <w:tcW w:w="1084" w:type="pct"/>
                  <w:gridSpan w:val="2"/>
                </w:tcPr>
                <w:p w14:paraId="7723A577" w14:textId="77777777" w:rsidR="001054C3" w:rsidRPr="008A4F00" w:rsidRDefault="001054C3" w:rsidP="00DE301C">
                  <w:pPr>
                    <w:pStyle w:val="TableUnitsRow"/>
                    <w:spacing w:before="0"/>
                  </w:pPr>
                  <w:r w:rsidRPr="008A4F00">
                    <w:t>4</w:t>
                  </w:r>
                </w:p>
              </w:tc>
              <w:tc>
                <w:tcPr>
                  <w:tcW w:w="83" w:type="pct"/>
                </w:tcPr>
                <w:p w14:paraId="2D8FB3B4" w14:textId="77777777" w:rsidR="001054C3" w:rsidRDefault="001054C3" w:rsidP="00234FBE">
                  <w:pPr>
                    <w:pStyle w:val="TableUnitsRow"/>
                    <w:ind w:right="28"/>
                  </w:pPr>
                </w:p>
              </w:tc>
            </w:tr>
            <w:tr w:rsidR="001054C3" w14:paraId="0265AE87" w14:textId="77777777" w:rsidTr="00DE301C">
              <w:tc>
                <w:tcPr>
                  <w:tcW w:w="3833" w:type="pct"/>
                </w:tcPr>
                <w:p w14:paraId="4847C43B" w14:textId="77777777" w:rsidR="001054C3" w:rsidRPr="008A4F00" w:rsidRDefault="001054C3" w:rsidP="00DE301C">
                  <w:pPr>
                    <w:pStyle w:val="TableUnitsRow"/>
                    <w:spacing w:before="0"/>
                    <w:jc w:val="left"/>
                  </w:pPr>
                  <w:r w:rsidRPr="008A4F00">
                    <w:t xml:space="preserve">Friends of Latrobe Water (FLoW) </w:t>
                  </w:r>
                </w:p>
              </w:tc>
              <w:tc>
                <w:tcPr>
                  <w:tcW w:w="1084" w:type="pct"/>
                  <w:gridSpan w:val="2"/>
                </w:tcPr>
                <w:p w14:paraId="043FEAF9" w14:textId="77777777" w:rsidR="001054C3" w:rsidRPr="008A4F00" w:rsidRDefault="001054C3" w:rsidP="00DE301C">
                  <w:pPr>
                    <w:pStyle w:val="TableUnitsRow"/>
                    <w:spacing w:before="0"/>
                  </w:pPr>
                  <w:r w:rsidRPr="008A4F00">
                    <w:t>76</w:t>
                  </w:r>
                  <w:r>
                    <w:t>, DR172</w:t>
                  </w:r>
                </w:p>
              </w:tc>
              <w:tc>
                <w:tcPr>
                  <w:tcW w:w="83" w:type="pct"/>
                </w:tcPr>
                <w:p w14:paraId="2325F646" w14:textId="77777777" w:rsidR="001054C3" w:rsidRDefault="001054C3" w:rsidP="00234FBE">
                  <w:pPr>
                    <w:pStyle w:val="TableUnitsRow"/>
                    <w:ind w:right="28"/>
                  </w:pPr>
                </w:p>
              </w:tc>
            </w:tr>
            <w:tr w:rsidR="001054C3" w14:paraId="7352D01D" w14:textId="77777777" w:rsidTr="00DE301C">
              <w:tc>
                <w:tcPr>
                  <w:tcW w:w="3833" w:type="pct"/>
                </w:tcPr>
                <w:p w14:paraId="11E53561" w14:textId="77777777" w:rsidR="001054C3" w:rsidRPr="008A4F00" w:rsidRDefault="001054C3" w:rsidP="00DE301C">
                  <w:pPr>
                    <w:pStyle w:val="TableUnitsRow"/>
                    <w:spacing w:before="0"/>
                    <w:jc w:val="left"/>
                  </w:pPr>
                  <w:r w:rsidRPr="008A4F00">
                    <w:t xml:space="preserve">Georges Riverkeeper </w:t>
                  </w:r>
                </w:p>
              </w:tc>
              <w:tc>
                <w:tcPr>
                  <w:tcW w:w="1084" w:type="pct"/>
                  <w:gridSpan w:val="2"/>
                </w:tcPr>
                <w:p w14:paraId="213D96E5" w14:textId="77777777" w:rsidR="001054C3" w:rsidRPr="008A4F00" w:rsidRDefault="001054C3" w:rsidP="00DE301C">
                  <w:pPr>
                    <w:pStyle w:val="TableUnitsRow"/>
                    <w:spacing w:before="0"/>
                  </w:pPr>
                  <w:r w:rsidRPr="008A4F00">
                    <w:t>57</w:t>
                  </w:r>
                </w:p>
              </w:tc>
              <w:tc>
                <w:tcPr>
                  <w:tcW w:w="83" w:type="pct"/>
                </w:tcPr>
                <w:p w14:paraId="52D292B3" w14:textId="77777777" w:rsidR="001054C3" w:rsidRDefault="001054C3" w:rsidP="00234FBE">
                  <w:pPr>
                    <w:pStyle w:val="TableUnitsRow"/>
                    <w:ind w:right="28"/>
                  </w:pPr>
                </w:p>
              </w:tc>
            </w:tr>
            <w:tr w:rsidR="001054C3" w14:paraId="5130D92E" w14:textId="77777777" w:rsidTr="00DE301C">
              <w:tc>
                <w:tcPr>
                  <w:tcW w:w="3833" w:type="pct"/>
                </w:tcPr>
                <w:p w14:paraId="4B06E8BD" w14:textId="77777777" w:rsidR="001054C3" w:rsidRPr="008A4F00" w:rsidRDefault="001054C3" w:rsidP="00DE301C">
                  <w:pPr>
                    <w:pStyle w:val="TableUnitsRow"/>
                    <w:spacing w:before="0"/>
                    <w:jc w:val="left"/>
                  </w:pPr>
                  <w:r w:rsidRPr="008A4F00">
                    <w:t xml:space="preserve">Gladwin Legal </w:t>
                  </w:r>
                </w:p>
              </w:tc>
              <w:tc>
                <w:tcPr>
                  <w:tcW w:w="1084" w:type="pct"/>
                  <w:gridSpan w:val="2"/>
                </w:tcPr>
                <w:p w14:paraId="631B6C68" w14:textId="77777777" w:rsidR="001054C3" w:rsidRPr="008A4F00" w:rsidRDefault="001054C3" w:rsidP="00DE301C">
                  <w:pPr>
                    <w:pStyle w:val="TableUnitsRow"/>
                    <w:spacing w:before="0"/>
                  </w:pPr>
                  <w:r w:rsidRPr="008A4F00">
                    <w:t>12</w:t>
                  </w:r>
                </w:p>
              </w:tc>
              <w:tc>
                <w:tcPr>
                  <w:tcW w:w="83" w:type="pct"/>
                </w:tcPr>
                <w:p w14:paraId="2E1AB224" w14:textId="77777777" w:rsidR="001054C3" w:rsidRDefault="001054C3" w:rsidP="00234FBE">
                  <w:pPr>
                    <w:pStyle w:val="TableUnitsRow"/>
                    <w:ind w:right="28"/>
                  </w:pPr>
                </w:p>
              </w:tc>
            </w:tr>
            <w:tr w:rsidR="001054C3" w14:paraId="41E85810" w14:textId="77777777" w:rsidTr="00DE301C">
              <w:tc>
                <w:tcPr>
                  <w:tcW w:w="3833" w:type="pct"/>
                </w:tcPr>
                <w:p w14:paraId="5A08AC33" w14:textId="77777777" w:rsidR="001054C3" w:rsidRPr="002C5D0E" w:rsidRDefault="001054C3" w:rsidP="00DE301C">
                  <w:pPr>
                    <w:pStyle w:val="TableUnitsRow"/>
                    <w:spacing w:before="0"/>
                    <w:jc w:val="left"/>
                  </w:pPr>
                  <w:r w:rsidRPr="008A4F00">
                    <w:t xml:space="preserve">Goldenfields Water County Council (GWCC) </w:t>
                  </w:r>
                </w:p>
              </w:tc>
              <w:tc>
                <w:tcPr>
                  <w:tcW w:w="1084" w:type="pct"/>
                  <w:gridSpan w:val="2"/>
                </w:tcPr>
                <w:p w14:paraId="19C30F59" w14:textId="77777777" w:rsidR="001054C3" w:rsidRPr="002C5D0E" w:rsidRDefault="001054C3" w:rsidP="00DE301C">
                  <w:pPr>
                    <w:pStyle w:val="TableUnitsRow"/>
                    <w:spacing w:before="0"/>
                  </w:pPr>
                  <w:r w:rsidRPr="008A4F00">
                    <w:t>25</w:t>
                  </w:r>
                </w:p>
              </w:tc>
              <w:tc>
                <w:tcPr>
                  <w:tcW w:w="83" w:type="pct"/>
                </w:tcPr>
                <w:p w14:paraId="6B30959B" w14:textId="77777777" w:rsidR="001054C3" w:rsidRDefault="001054C3" w:rsidP="00234FBE">
                  <w:pPr>
                    <w:pStyle w:val="TableUnitsRow"/>
                    <w:ind w:right="28"/>
                  </w:pPr>
                </w:p>
              </w:tc>
            </w:tr>
            <w:tr w:rsidR="001054C3" w14:paraId="381E56E0" w14:textId="77777777" w:rsidTr="00DE301C">
              <w:tc>
                <w:tcPr>
                  <w:tcW w:w="3833" w:type="pct"/>
                </w:tcPr>
                <w:p w14:paraId="0987484A" w14:textId="77777777" w:rsidR="001054C3" w:rsidRDefault="001054C3" w:rsidP="00DE301C">
                  <w:pPr>
                    <w:pStyle w:val="TableUnitsRow"/>
                    <w:spacing w:before="0"/>
                    <w:jc w:val="left"/>
                  </w:pPr>
                  <w:r w:rsidRPr="002C5D0E">
                    <w:t xml:space="preserve">Grayson, </w:t>
                  </w:r>
                  <w:r>
                    <w:t>Jim</w:t>
                  </w:r>
                </w:p>
              </w:tc>
              <w:tc>
                <w:tcPr>
                  <w:tcW w:w="1084" w:type="pct"/>
                  <w:gridSpan w:val="2"/>
                </w:tcPr>
                <w:p w14:paraId="25ECF6A2" w14:textId="77777777" w:rsidR="001054C3" w:rsidRDefault="001054C3" w:rsidP="00DE301C">
                  <w:pPr>
                    <w:pStyle w:val="TableUnitsRow"/>
                    <w:spacing w:before="0"/>
                  </w:pPr>
                  <w:r w:rsidRPr="002C5D0E">
                    <w:t>9</w:t>
                  </w:r>
                </w:p>
              </w:tc>
              <w:tc>
                <w:tcPr>
                  <w:tcW w:w="83" w:type="pct"/>
                </w:tcPr>
                <w:p w14:paraId="0EBE5DBA" w14:textId="77777777" w:rsidR="001054C3" w:rsidRDefault="001054C3" w:rsidP="00234FBE">
                  <w:pPr>
                    <w:pStyle w:val="TableUnitsRow"/>
                    <w:ind w:right="28"/>
                  </w:pPr>
                </w:p>
              </w:tc>
            </w:tr>
            <w:tr w:rsidR="001054C3" w14:paraId="064C3C1D" w14:textId="77777777" w:rsidTr="00DE301C">
              <w:tc>
                <w:tcPr>
                  <w:tcW w:w="3833" w:type="pct"/>
                </w:tcPr>
                <w:p w14:paraId="7EF7B2F4" w14:textId="77777777" w:rsidR="001054C3" w:rsidRPr="002C5D0E" w:rsidRDefault="001054C3" w:rsidP="00DE301C">
                  <w:pPr>
                    <w:pStyle w:val="TableUnitsRow"/>
                    <w:spacing w:before="0"/>
                    <w:jc w:val="left"/>
                  </w:pPr>
                  <w:r>
                    <w:t>Gregan, John</w:t>
                  </w:r>
                </w:p>
              </w:tc>
              <w:tc>
                <w:tcPr>
                  <w:tcW w:w="1084" w:type="pct"/>
                  <w:gridSpan w:val="2"/>
                </w:tcPr>
                <w:p w14:paraId="7F9923D6" w14:textId="77777777" w:rsidR="001054C3" w:rsidRPr="002C5D0E" w:rsidRDefault="001054C3" w:rsidP="00DE301C">
                  <w:pPr>
                    <w:pStyle w:val="TableUnitsRow"/>
                    <w:spacing w:before="0"/>
                  </w:pPr>
                  <w:r>
                    <w:t>DR111</w:t>
                  </w:r>
                </w:p>
              </w:tc>
              <w:tc>
                <w:tcPr>
                  <w:tcW w:w="83" w:type="pct"/>
                </w:tcPr>
                <w:p w14:paraId="3100C9D8" w14:textId="77777777" w:rsidR="001054C3" w:rsidRDefault="001054C3" w:rsidP="00234FBE">
                  <w:pPr>
                    <w:pStyle w:val="TableUnitsRow"/>
                    <w:ind w:right="28"/>
                  </w:pPr>
                </w:p>
              </w:tc>
            </w:tr>
            <w:tr w:rsidR="001054C3" w14:paraId="408FAF4A" w14:textId="77777777" w:rsidTr="00DE301C">
              <w:tc>
                <w:tcPr>
                  <w:tcW w:w="3833" w:type="pct"/>
                </w:tcPr>
                <w:p w14:paraId="35AAD371" w14:textId="77777777" w:rsidR="001054C3" w:rsidRPr="002C5D0E" w:rsidRDefault="001054C3" w:rsidP="00DE301C">
                  <w:pPr>
                    <w:pStyle w:val="TableUnitsRow"/>
                    <w:spacing w:before="0"/>
                    <w:jc w:val="left"/>
                  </w:pPr>
                  <w:r w:rsidRPr="002C5D0E">
                    <w:t>Greater Shepparton City Council (GSCC)</w:t>
                  </w:r>
                </w:p>
              </w:tc>
              <w:tc>
                <w:tcPr>
                  <w:tcW w:w="1084" w:type="pct"/>
                  <w:gridSpan w:val="2"/>
                </w:tcPr>
                <w:p w14:paraId="757E64A6" w14:textId="77777777" w:rsidR="001054C3" w:rsidRPr="002C5D0E" w:rsidRDefault="001054C3" w:rsidP="00DE301C">
                  <w:pPr>
                    <w:pStyle w:val="TableUnitsRow"/>
                    <w:spacing w:before="0"/>
                  </w:pPr>
                  <w:r w:rsidRPr="002C5D0E">
                    <w:t>34</w:t>
                  </w:r>
                </w:p>
              </w:tc>
              <w:tc>
                <w:tcPr>
                  <w:tcW w:w="83" w:type="pct"/>
                </w:tcPr>
                <w:p w14:paraId="0CE822E7" w14:textId="77777777" w:rsidR="001054C3" w:rsidRDefault="001054C3" w:rsidP="00234FBE">
                  <w:pPr>
                    <w:pStyle w:val="TableUnitsRow"/>
                    <w:ind w:right="28"/>
                  </w:pPr>
                </w:p>
              </w:tc>
            </w:tr>
            <w:tr w:rsidR="001054C3" w14:paraId="13609E58" w14:textId="77777777" w:rsidTr="00DE301C">
              <w:tc>
                <w:tcPr>
                  <w:tcW w:w="3833" w:type="pct"/>
                </w:tcPr>
                <w:p w14:paraId="63448CA3" w14:textId="77777777" w:rsidR="001054C3" w:rsidRDefault="001054C3" w:rsidP="00DE301C">
                  <w:pPr>
                    <w:pStyle w:val="TableUnitsRow"/>
                    <w:spacing w:before="0"/>
                    <w:jc w:val="left"/>
                  </w:pPr>
                  <w:r>
                    <w:t>Greywater and Wastewater Industry Group (GWIG)</w:t>
                  </w:r>
                </w:p>
              </w:tc>
              <w:tc>
                <w:tcPr>
                  <w:tcW w:w="1084" w:type="pct"/>
                  <w:gridSpan w:val="2"/>
                </w:tcPr>
                <w:p w14:paraId="57D4327D" w14:textId="77777777" w:rsidR="001054C3" w:rsidRDefault="001054C3" w:rsidP="00DE301C">
                  <w:pPr>
                    <w:pStyle w:val="TableUnitsRow"/>
                    <w:spacing w:before="0"/>
                  </w:pPr>
                  <w:r>
                    <w:t>DR117</w:t>
                  </w:r>
                </w:p>
              </w:tc>
              <w:tc>
                <w:tcPr>
                  <w:tcW w:w="83" w:type="pct"/>
                </w:tcPr>
                <w:p w14:paraId="02A1C71F" w14:textId="77777777" w:rsidR="001054C3" w:rsidRDefault="001054C3" w:rsidP="00234FBE">
                  <w:pPr>
                    <w:pStyle w:val="TableUnitsRow"/>
                    <w:ind w:right="28"/>
                  </w:pPr>
                </w:p>
              </w:tc>
            </w:tr>
            <w:tr w:rsidR="001054C3" w14:paraId="436F70DD" w14:textId="77777777" w:rsidTr="00DE301C">
              <w:tc>
                <w:tcPr>
                  <w:tcW w:w="3833" w:type="pct"/>
                </w:tcPr>
                <w:p w14:paraId="7CA764A4" w14:textId="77777777" w:rsidR="001054C3" w:rsidRPr="002C5D0E" w:rsidRDefault="001054C3" w:rsidP="00DE301C">
                  <w:pPr>
                    <w:pStyle w:val="TableUnitsRow"/>
                    <w:spacing w:before="0"/>
                    <w:jc w:val="left"/>
                  </w:pPr>
                  <w:r>
                    <w:t>Hart, Prof. Barry</w:t>
                  </w:r>
                </w:p>
              </w:tc>
              <w:tc>
                <w:tcPr>
                  <w:tcW w:w="1084" w:type="pct"/>
                  <w:gridSpan w:val="2"/>
                </w:tcPr>
                <w:p w14:paraId="3CCCF425" w14:textId="77777777" w:rsidR="001054C3" w:rsidRPr="002C5D0E" w:rsidRDefault="001054C3" w:rsidP="00DE301C">
                  <w:pPr>
                    <w:pStyle w:val="TableUnitsRow"/>
                    <w:spacing w:before="0"/>
                  </w:pPr>
                  <w:r>
                    <w:t>DR115</w:t>
                  </w:r>
                </w:p>
              </w:tc>
              <w:tc>
                <w:tcPr>
                  <w:tcW w:w="83" w:type="pct"/>
                </w:tcPr>
                <w:p w14:paraId="1DBEFFFE" w14:textId="77777777" w:rsidR="001054C3" w:rsidRDefault="001054C3" w:rsidP="00234FBE">
                  <w:pPr>
                    <w:pStyle w:val="TableUnitsRow"/>
                    <w:ind w:right="28"/>
                  </w:pPr>
                </w:p>
              </w:tc>
            </w:tr>
            <w:tr w:rsidR="001054C3" w14:paraId="37700443" w14:textId="77777777" w:rsidTr="00DE301C">
              <w:tc>
                <w:tcPr>
                  <w:tcW w:w="3833" w:type="pct"/>
                </w:tcPr>
                <w:p w14:paraId="2549B3F7" w14:textId="77777777" w:rsidR="001054C3" w:rsidRPr="002C5D0E" w:rsidRDefault="001054C3" w:rsidP="00DE301C">
                  <w:pPr>
                    <w:pStyle w:val="TableUnitsRow"/>
                    <w:spacing w:before="0"/>
                    <w:jc w:val="left"/>
                  </w:pPr>
                  <w:r w:rsidRPr="002C5D0E">
                    <w:t>Hall, Dr. Nina; Hoy, Prof. Wendy; Ward, Prof. James; Lee, Prof. Amanda; and Ferguson, Dr Megan</w:t>
                  </w:r>
                </w:p>
              </w:tc>
              <w:tc>
                <w:tcPr>
                  <w:tcW w:w="1084" w:type="pct"/>
                  <w:gridSpan w:val="2"/>
                </w:tcPr>
                <w:p w14:paraId="1789D0DE" w14:textId="77777777" w:rsidR="001054C3" w:rsidRPr="002C5D0E" w:rsidRDefault="001054C3" w:rsidP="00DE301C">
                  <w:pPr>
                    <w:pStyle w:val="TableUnitsRow"/>
                    <w:spacing w:before="0"/>
                  </w:pPr>
                  <w:r w:rsidRPr="002C5D0E">
                    <w:t>84</w:t>
                  </w:r>
                </w:p>
              </w:tc>
              <w:tc>
                <w:tcPr>
                  <w:tcW w:w="83" w:type="pct"/>
                </w:tcPr>
                <w:p w14:paraId="1D1E88BA" w14:textId="77777777" w:rsidR="001054C3" w:rsidRDefault="001054C3" w:rsidP="00234FBE">
                  <w:pPr>
                    <w:pStyle w:val="TableUnitsRow"/>
                    <w:ind w:right="28"/>
                  </w:pPr>
                </w:p>
              </w:tc>
            </w:tr>
            <w:tr w:rsidR="001054C3" w14:paraId="278991E2" w14:textId="77777777" w:rsidTr="00DE301C">
              <w:tc>
                <w:tcPr>
                  <w:tcW w:w="3833" w:type="pct"/>
                </w:tcPr>
                <w:p w14:paraId="5F605D1F" w14:textId="77777777" w:rsidR="001054C3" w:rsidRDefault="001054C3" w:rsidP="00DE301C">
                  <w:pPr>
                    <w:pStyle w:val="TableUnitsRow"/>
                    <w:spacing w:before="0"/>
                    <w:jc w:val="left"/>
                  </w:pPr>
                  <w:r w:rsidRPr="002C5D0E">
                    <w:t xml:space="preserve">Healthy Land and Water (HLW) </w:t>
                  </w:r>
                </w:p>
              </w:tc>
              <w:tc>
                <w:tcPr>
                  <w:tcW w:w="1084" w:type="pct"/>
                  <w:gridSpan w:val="2"/>
                </w:tcPr>
                <w:p w14:paraId="0EE165DA" w14:textId="77777777" w:rsidR="001054C3" w:rsidRDefault="001054C3" w:rsidP="00DE301C">
                  <w:pPr>
                    <w:pStyle w:val="TableUnitsRow"/>
                    <w:spacing w:before="0"/>
                  </w:pPr>
                  <w:r w:rsidRPr="002C5D0E">
                    <w:t>65</w:t>
                  </w:r>
                </w:p>
              </w:tc>
              <w:tc>
                <w:tcPr>
                  <w:tcW w:w="83" w:type="pct"/>
                </w:tcPr>
                <w:p w14:paraId="780D0BC6" w14:textId="77777777" w:rsidR="001054C3" w:rsidRDefault="001054C3" w:rsidP="00234FBE">
                  <w:pPr>
                    <w:pStyle w:val="TableUnitsRow"/>
                    <w:ind w:right="28"/>
                  </w:pPr>
                </w:p>
              </w:tc>
            </w:tr>
            <w:tr w:rsidR="001054C3" w14:paraId="3DB0D083" w14:textId="77777777" w:rsidTr="00234FBE">
              <w:tc>
                <w:tcPr>
                  <w:tcW w:w="3833" w:type="pct"/>
                </w:tcPr>
                <w:p w14:paraId="63AE54C1" w14:textId="77777777" w:rsidR="001054C3" w:rsidRDefault="001054C3" w:rsidP="00234FBE">
                  <w:pPr>
                    <w:pStyle w:val="TableBodyText"/>
                    <w:jc w:val="left"/>
                  </w:pPr>
                  <w:r>
                    <w:t>Holley, Prof. Cameron; Kelly, Assoc. Prof. Bryce; Andersen, Assoc. Prof. Martin; Baker, Prof. Andy; Roshan, Dr. Hamid; Triantafilis, Assoc. Prof. John; and Regan, Georgia</w:t>
                  </w:r>
                </w:p>
              </w:tc>
              <w:tc>
                <w:tcPr>
                  <w:tcW w:w="1084" w:type="pct"/>
                  <w:gridSpan w:val="2"/>
                </w:tcPr>
                <w:p w14:paraId="31F65F28" w14:textId="77777777" w:rsidR="001054C3" w:rsidRDefault="001054C3" w:rsidP="00234FBE">
                  <w:pPr>
                    <w:pStyle w:val="TableBodyText"/>
                  </w:pPr>
                  <w:r w:rsidRPr="002C5D0E">
                    <w:t>46</w:t>
                  </w:r>
                </w:p>
              </w:tc>
              <w:tc>
                <w:tcPr>
                  <w:tcW w:w="83" w:type="pct"/>
                </w:tcPr>
                <w:p w14:paraId="53AD62B6" w14:textId="77777777" w:rsidR="001054C3" w:rsidRDefault="001054C3" w:rsidP="00234FBE">
                  <w:pPr>
                    <w:pStyle w:val="TableBodyText"/>
                    <w:ind w:right="28"/>
                  </w:pPr>
                </w:p>
              </w:tc>
            </w:tr>
            <w:tr w:rsidR="001054C3" w14:paraId="14AAECDD" w14:textId="77777777" w:rsidTr="00234FBE">
              <w:tc>
                <w:tcPr>
                  <w:tcW w:w="3833" w:type="pct"/>
                  <w:shd w:val="clear" w:color="auto" w:fill="auto"/>
                </w:tcPr>
                <w:p w14:paraId="433BF6C0" w14:textId="77777777" w:rsidR="001054C3" w:rsidRPr="002C5D0E" w:rsidRDefault="001054C3" w:rsidP="00234FBE">
                  <w:pPr>
                    <w:pStyle w:val="TableBodyText"/>
                    <w:jc w:val="left"/>
                  </w:pPr>
                  <w:r>
                    <w:t>Howard, Dr. Jonathon</w:t>
                  </w:r>
                </w:p>
              </w:tc>
              <w:tc>
                <w:tcPr>
                  <w:tcW w:w="1084" w:type="pct"/>
                  <w:gridSpan w:val="2"/>
                  <w:shd w:val="clear" w:color="auto" w:fill="auto"/>
                </w:tcPr>
                <w:p w14:paraId="6E75F053" w14:textId="77777777" w:rsidR="001054C3" w:rsidRPr="002C5D0E" w:rsidRDefault="001054C3" w:rsidP="00234FBE">
                  <w:pPr>
                    <w:pStyle w:val="TableBodyText"/>
                  </w:pPr>
                  <w:r>
                    <w:t>DR135</w:t>
                  </w:r>
                </w:p>
              </w:tc>
              <w:tc>
                <w:tcPr>
                  <w:tcW w:w="83" w:type="pct"/>
                  <w:shd w:val="clear" w:color="auto" w:fill="auto"/>
                </w:tcPr>
                <w:p w14:paraId="3D91926B" w14:textId="77777777" w:rsidR="001054C3" w:rsidRDefault="001054C3" w:rsidP="00234FBE">
                  <w:pPr>
                    <w:pStyle w:val="TableBodyText"/>
                    <w:ind w:right="28"/>
                  </w:pPr>
                </w:p>
              </w:tc>
            </w:tr>
            <w:tr w:rsidR="001054C3" w14:paraId="542157E4" w14:textId="77777777" w:rsidTr="00234FBE">
              <w:tc>
                <w:tcPr>
                  <w:tcW w:w="3833" w:type="pct"/>
                  <w:shd w:val="clear" w:color="auto" w:fill="auto"/>
                </w:tcPr>
                <w:p w14:paraId="7C4D9387" w14:textId="77777777" w:rsidR="001054C3" w:rsidRDefault="001054C3" w:rsidP="00234FBE">
                  <w:pPr>
                    <w:pStyle w:val="TableBodyText"/>
                    <w:jc w:val="left"/>
                  </w:pPr>
                  <w:r w:rsidRPr="002C5D0E">
                    <w:t>Hunter H</w:t>
                  </w:r>
                  <w:r w:rsidRPr="00242830">
                    <w:rPr>
                      <w:vertAlign w:val="subscript"/>
                    </w:rPr>
                    <w:t>2</w:t>
                  </w:r>
                  <w:r w:rsidRPr="002C5D0E">
                    <w:t xml:space="preserve">O </w:t>
                  </w:r>
                </w:p>
              </w:tc>
              <w:tc>
                <w:tcPr>
                  <w:tcW w:w="1084" w:type="pct"/>
                  <w:gridSpan w:val="2"/>
                  <w:shd w:val="clear" w:color="auto" w:fill="auto"/>
                </w:tcPr>
                <w:p w14:paraId="4721998E" w14:textId="77777777" w:rsidR="001054C3" w:rsidRDefault="001054C3" w:rsidP="00234FBE">
                  <w:pPr>
                    <w:pStyle w:val="TableBodyText"/>
                  </w:pPr>
                  <w:r w:rsidRPr="002C5D0E">
                    <w:t>87</w:t>
                  </w:r>
                </w:p>
              </w:tc>
              <w:tc>
                <w:tcPr>
                  <w:tcW w:w="83" w:type="pct"/>
                  <w:shd w:val="clear" w:color="auto" w:fill="auto"/>
                </w:tcPr>
                <w:p w14:paraId="6F0CABA2" w14:textId="77777777" w:rsidR="001054C3" w:rsidRDefault="001054C3" w:rsidP="00234FBE">
                  <w:pPr>
                    <w:pStyle w:val="TableBodyText"/>
                    <w:ind w:right="28"/>
                  </w:pPr>
                </w:p>
              </w:tc>
            </w:tr>
            <w:tr w:rsidR="001054C3" w14:paraId="7A41E1CA" w14:textId="77777777" w:rsidTr="00234FBE">
              <w:tc>
                <w:tcPr>
                  <w:tcW w:w="3833" w:type="pct"/>
                  <w:shd w:val="clear" w:color="auto" w:fill="auto"/>
                </w:tcPr>
                <w:p w14:paraId="1E35B15A" w14:textId="77777777" w:rsidR="001054C3" w:rsidRPr="002C5D0E" w:rsidRDefault="001054C3" w:rsidP="00234FBE">
                  <w:pPr>
                    <w:pStyle w:val="TableBodyText"/>
                    <w:jc w:val="left"/>
                  </w:pPr>
                  <w:r>
                    <w:t>Hunter Lakes Corporation</w:t>
                  </w:r>
                </w:p>
              </w:tc>
              <w:tc>
                <w:tcPr>
                  <w:tcW w:w="1084" w:type="pct"/>
                  <w:gridSpan w:val="2"/>
                  <w:shd w:val="clear" w:color="auto" w:fill="auto"/>
                </w:tcPr>
                <w:p w14:paraId="0CE19647" w14:textId="77777777" w:rsidR="001054C3" w:rsidRPr="002C5D0E" w:rsidRDefault="001054C3" w:rsidP="00234FBE">
                  <w:pPr>
                    <w:pStyle w:val="TableBodyText"/>
                  </w:pPr>
                  <w:r>
                    <w:t>DR184</w:t>
                  </w:r>
                </w:p>
              </w:tc>
              <w:tc>
                <w:tcPr>
                  <w:tcW w:w="83" w:type="pct"/>
                  <w:shd w:val="clear" w:color="auto" w:fill="auto"/>
                </w:tcPr>
                <w:p w14:paraId="454EC755" w14:textId="77777777" w:rsidR="001054C3" w:rsidRDefault="001054C3" w:rsidP="00234FBE">
                  <w:pPr>
                    <w:pStyle w:val="TableBodyText"/>
                    <w:ind w:right="28"/>
                  </w:pPr>
                </w:p>
              </w:tc>
            </w:tr>
            <w:tr w:rsidR="001054C3" w14:paraId="39D5DF2D" w14:textId="77777777" w:rsidTr="006D6590">
              <w:tc>
                <w:tcPr>
                  <w:tcW w:w="3923" w:type="pct"/>
                  <w:gridSpan w:val="2"/>
                  <w:shd w:val="clear" w:color="auto" w:fill="auto"/>
                </w:tcPr>
                <w:p w14:paraId="4C800163" w14:textId="77777777" w:rsidR="001054C3" w:rsidRPr="006D6590" w:rsidRDefault="001054C3" w:rsidP="006D6590">
                  <w:pPr>
                    <w:pStyle w:val="TableBodyText"/>
                    <w:ind w:right="-158"/>
                    <w:jc w:val="left"/>
                    <w:rPr>
                      <w:spacing w:val="-4"/>
                    </w:rPr>
                  </w:pPr>
                  <w:r w:rsidRPr="006D6590">
                    <w:rPr>
                      <w:spacing w:val="-4"/>
                    </w:rPr>
                    <w:t>Indigenous Reference Group to the Ministerial Forum on Northern Development (IRG)</w:t>
                  </w:r>
                </w:p>
              </w:tc>
              <w:tc>
                <w:tcPr>
                  <w:tcW w:w="994" w:type="pct"/>
                  <w:shd w:val="clear" w:color="auto" w:fill="auto"/>
                </w:tcPr>
                <w:p w14:paraId="65C2084E" w14:textId="77777777" w:rsidR="001054C3" w:rsidRDefault="001054C3" w:rsidP="00234FBE">
                  <w:pPr>
                    <w:pStyle w:val="TableBodyText"/>
                  </w:pPr>
                  <w:r w:rsidRPr="002C5D0E">
                    <w:t>103</w:t>
                  </w:r>
                </w:p>
              </w:tc>
              <w:tc>
                <w:tcPr>
                  <w:tcW w:w="83" w:type="pct"/>
                  <w:shd w:val="clear" w:color="auto" w:fill="auto"/>
                </w:tcPr>
                <w:p w14:paraId="5FC59444" w14:textId="77777777" w:rsidR="001054C3" w:rsidRDefault="001054C3" w:rsidP="00234FBE">
                  <w:pPr>
                    <w:pStyle w:val="TableBodyText"/>
                    <w:ind w:right="28"/>
                  </w:pPr>
                </w:p>
              </w:tc>
            </w:tr>
            <w:tr w:rsidR="001054C3" w14:paraId="3C569F19" w14:textId="77777777" w:rsidTr="00234FBE">
              <w:tc>
                <w:tcPr>
                  <w:tcW w:w="3833" w:type="pct"/>
                  <w:shd w:val="clear" w:color="auto" w:fill="auto"/>
                </w:tcPr>
                <w:p w14:paraId="5CDF9F75" w14:textId="77777777" w:rsidR="001054C3" w:rsidRPr="002C5D0E" w:rsidRDefault="001054C3" w:rsidP="00234FBE">
                  <w:pPr>
                    <w:pStyle w:val="TableBodyText"/>
                    <w:jc w:val="left"/>
                  </w:pPr>
                  <w:r>
                    <w:t>Independent Pricing and Regulatory Tribunal of NSW (IPART)</w:t>
                  </w:r>
                </w:p>
              </w:tc>
              <w:tc>
                <w:tcPr>
                  <w:tcW w:w="1084" w:type="pct"/>
                  <w:gridSpan w:val="2"/>
                  <w:shd w:val="clear" w:color="auto" w:fill="auto"/>
                </w:tcPr>
                <w:p w14:paraId="09F52ABE" w14:textId="77777777" w:rsidR="001054C3" w:rsidRPr="002C5D0E" w:rsidRDefault="001054C3" w:rsidP="00234FBE">
                  <w:pPr>
                    <w:pStyle w:val="TableBodyText"/>
                  </w:pPr>
                  <w:r>
                    <w:t>DR168</w:t>
                  </w:r>
                </w:p>
              </w:tc>
              <w:tc>
                <w:tcPr>
                  <w:tcW w:w="83" w:type="pct"/>
                  <w:shd w:val="clear" w:color="auto" w:fill="auto"/>
                </w:tcPr>
                <w:p w14:paraId="1D756955" w14:textId="77777777" w:rsidR="001054C3" w:rsidRDefault="001054C3" w:rsidP="00234FBE">
                  <w:pPr>
                    <w:pStyle w:val="TableBodyText"/>
                    <w:ind w:right="28"/>
                  </w:pPr>
                </w:p>
              </w:tc>
            </w:tr>
            <w:tr w:rsidR="001054C3" w14:paraId="77A938F5" w14:textId="77777777" w:rsidTr="00234FBE">
              <w:tc>
                <w:tcPr>
                  <w:tcW w:w="3833" w:type="pct"/>
                  <w:shd w:val="clear" w:color="auto" w:fill="auto"/>
                </w:tcPr>
                <w:p w14:paraId="622244EB" w14:textId="77777777" w:rsidR="001054C3" w:rsidRDefault="001054C3" w:rsidP="00234FBE">
                  <w:pPr>
                    <w:pStyle w:val="TableBodyText"/>
                    <w:jc w:val="left"/>
                  </w:pPr>
                  <w:r>
                    <w:t>Infrastructure Partnerships Australia</w:t>
                  </w:r>
                </w:p>
              </w:tc>
              <w:tc>
                <w:tcPr>
                  <w:tcW w:w="1084" w:type="pct"/>
                  <w:gridSpan w:val="2"/>
                  <w:shd w:val="clear" w:color="auto" w:fill="auto"/>
                </w:tcPr>
                <w:p w14:paraId="57BAC61C" w14:textId="77777777" w:rsidR="001054C3" w:rsidRDefault="001054C3" w:rsidP="00234FBE">
                  <w:pPr>
                    <w:pStyle w:val="TableBodyText"/>
                  </w:pPr>
                  <w:r w:rsidRPr="002C5D0E">
                    <w:t>71</w:t>
                  </w:r>
                  <w:r>
                    <w:t>, DR137</w:t>
                  </w:r>
                </w:p>
              </w:tc>
              <w:tc>
                <w:tcPr>
                  <w:tcW w:w="83" w:type="pct"/>
                  <w:shd w:val="clear" w:color="auto" w:fill="auto"/>
                </w:tcPr>
                <w:p w14:paraId="334EF8BD" w14:textId="77777777" w:rsidR="001054C3" w:rsidRDefault="001054C3" w:rsidP="00234FBE">
                  <w:pPr>
                    <w:pStyle w:val="TableBodyText"/>
                    <w:ind w:right="28"/>
                  </w:pPr>
                </w:p>
              </w:tc>
            </w:tr>
            <w:tr w:rsidR="001054C3" w14:paraId="3F532C5F" w14:textId="77777777" w:rsidTr="00234FBE">
              <w:tc>
                <w:tcPr>
                  <w:tcW w:w="3833" w:type="pct"/>
                  <w:shd w:val="clear" w:color="auto" w:fill="auto"/>
                </w:tcPr>
                <w:p w14:paraId="31FB0817" w14:textId="77777777" w:rsidR="001054C3" w:rsidRDefault="001054C3" w:rsidP="00234FBE">
                  <w:pPr>
                    <w:pStyle w:val="TableBodyText"/>
                    <w:jc w:val="left"/>
                  </w:pPr>
                  <w:r w:rsidRPr="002C5D0E">
                    <w:t xml:space="preserve">Inland Rivers Network (IRN) </w:t>
                  </w:r>
                </w:p>
              </w:tc>
              <w:tc>
                <w:tcPr>
                  <w:tcW w:w="1084" w:type="pct"/>
                  <w:gridSpan w:val="2"/>
                  <w:shd w:val="clear" w:color="auto" w:fill="auto"/>
                </w:tcPr>
                <w:p w14:paraId="06722237" w14:textId="77777777" w:rsidR="001054C3" w:rsidRDefault="001054C3" w:rsidP="00234FBE">
                  <w:pPr>
                    <w:pStyle w:val="TableBodyText"/>
                  </w:pPr>
                  <w:r w:rsidRPr="002C5D0E">
                    <w:t>86</w:t>
                  </w:r>
                  <w:r>
                    <w:t>, DR136</w:t>
                  </w:r>
                </w:p>
              </w:tc>
              <w:tc>
                <w:tcPr>
                  <w:tcW w:w="83" w:type="pct"/>
                  <w:shd w:val="clear" w:color="auto" w:fill="auto"/>
                </w:tcPr>
                <w:p w14:paraId="639752DF" w14:textId="77777777" w:rsidR="001054C3" w:rsidRDefault="001054C3" w:rsidP="00234FBE">
                  <w:pPr>
                    <w:pStyle w:val="TableBodyText"/>
                    <w:ind w:right="28"/>
                  </w:pPr>
                </w:p>
              </w:tc>
            </w:tr>
            <w:tr w:rsidR="001054C3" w14:paraId="29EB7C02" w14:textId="77777777" w:rsidTr="00234FBE">
              <w:tc>
                <w:tcPr>
                  <w:tcW w:w="3833" w:type="pct"/>
                  <w:shd w:val="clear" w:color="auto" w:fill="auto"/>
                </w:tcPr>
                <w:p w14:paraId="74DA1FE9" w14:textId="77777777" w:rsidR="001054C3" w:rsidRDefault="001054C3" w:rsidP="00234FBE">
                  <w:pPr>
                    <w:pStyle w:val="TableBodyText"/>
                    <w:jc w:val="left"/>
                  </w:pPr>
                  <w:r w:rsidRPr="002C5D0E">
                    <w:t>Institute for Water Futures</w:t>
                  </w:r>
                  <w:r>
                    <w:t xml:space="preserve"> </w:t>
                  </w:r>
                  <w:r>
                    <w:noBreakHyphen/>
                    <w:t xml:space="preserve"> </w:t>
                  </w:r>
                  <w:r w:rsidRPr="002C5D0E">
                    <w:t>Australian National University</w:t>
                  </w:r>
                  <w:r>
                    <w:t xml:space="preserve"> (IWF)</w:t>
                  </w:r>
                  <w:r w:rsidRPr="002C5D0E">
                    <w:t xml:space="preserve"> </w:t>
                  </w:r>
                </w:p>
              </w:tc>
              <w:tc>
                <w:tcPr>
                  <w:tcW w:w="1084" w:type="pct"/>
                  <w:gridSpan w:val="2"/>
                  <w:shd w:val="clear" w:color="auto" w:fill="auto"/>
                </w:tcPr>
                <w:p w14:paraId="6F0720F5" w14:textId="77777777" w:rsidR="001054C3" w:rsidRDefault="001054C3" w:rsidP="00234FBE">
                  <w:pPr>
                    <w:pStyle w:val="TableBodyText"/>
                  </w:pPr>
                  <w:r w:rsidRPr="002C5D0E">
                    <w:t>30</w:t>
                  </w:r>
                  <w:r>
                    <w:t>, DR120</w:t>
                  </w:r>
                </w:p>
              </w:tc>
              <w:tc>
                <w:tcPr>
                  <w:tcW w:w="83" w:type="pct"/>
                  <w:shd w:val="clear" w:color="auto" w:fill="auto"/>
                </w:tcPr>
                <w:p w14:paraId="7F8845D2" w14:textId="77777777" w:rsidR="001054C3" w:rsidRDefault="001054C3" w:rsidP="00234FBE">
                  <w:pPr>
                    <w:pStyle w:val="TableBodyText"/>
                    <w:ind w:right="28"/>
                  </w:pPr>
                </w:p>
              </w:tc>
            </w:tr>
            <w:tr w:rsidR="001054C3" w14:paraId="36E62259" w14:textId="77777777" w:rsidTr="00234FBE">
              <w:tc>
                <w:tcPr>
                  <w:tcW w:w="3833" w:type="pct"/>
                  <w:shd w:val="clear" w:color="auto" w:fill="auto"/>
                </w:tcPr>
                <w:p w14:paraId="4A010FCC" w14:textId="77777777" w:rsidR="001054C3" w:rsidRDefault="001054C3" w:rsidP="00234FBE">
                  <w:pPr>
                    <w:pStyle w:val="TableBodyText"/>
                    <w:jc w:val="left"/>
                  </w:pPr>
                  <w:r w:rsidRPr="002C5D0E">
                    <w:t xml:space="preserve">International Association of Hydrogeologists (IAH) </w:t>
                  </w:r>
                </w:p>
              </w:tc>
              <w:tc>
                <w:tcPr>
                  <w:tcW w:w="1084" w:type="pct"/>
                  <w:gridSpan w:val="2"/>
                  <w:shd w:val="clear" w:color="auto" w:fill="auto"/>
                </w:tcPr>
                <w:p w14:paraId="25C7F25B" w14:textId="77777777" w:rsidR="001054C3" w:rsidRDefault="001054C3" w:rsidP="00234FBE">
                  <w:pPr>
                    <w:pStyle w:val="TableBodyText"/>
                  </w:pPr>
                  <w:r w:rsidRPr="002C5D0E">
                    <w:t>15</w:t>
                  </w:r>
                </w:p>
              </w:tc>
              <w:tc>
                <w:tcPr>
                  <w:tcW w:w="83" w:type="pct"/>
                  <w:shd w:val="clear" w:color="auto" w:fill="auto"/>
                </w:tcPr>
                <w:p w14:paraId="02A96075" w14:textId="77777777" w:rsidR="001054C3" w:rsidRDefault="001054C3" w:rsidP="00234FBE">
                  <w:pPr>
                    <w:pStyle w:val="TableBodyText"/>
                    <w:ind w:right="28"/>
                  </w:pPr>
                </w:p>
              </w:tc>
            </w:tr>
            <w:tr w:rsidR="001054C3" w14:paraId="7E2BA269" w14:textId="77777777" w:rsidTr="00234FBE">
              <w:tc>
                <w:tcPr>
                  <w:tcW w:w="3833" w:type="pct"/>
                  <w:shd w:val="clear" w:color="auto" w:fill="auto"/>
                </w:tcPr>
                <w:p w14:paraId="35C092DE" w14:textId="77777777" w:rsidR="001054C3" w:rsidRDefault="001054C3" w:rsidP="00234FBE">
                  <w:pPr>
                    <w:pStyle w:val="TableBodyText"/>
                    <w:jc w:val="left"/>
                  </w:pPr>
                  <w:r w:rsidRPr="002C5D0E">
                    <w:t xml:space="preserve">Irrigation Australia </w:t>
                  </w:r>
                </w:p>
              </w:tc>
              <w:tc>
                <w:tcPr>
                  <w:tcW w:w="1084" w:type="pct"/>
                  <w:gridSpan w:val="2"/>
                  <w:shd w:val="clear" w:color="auto" w:fill="auto"/>
                </w:tcPr>
                <w:p w14:paraId="37CF13A9" w14:textId="77777777" w:rsidR="001054C3" w:rsidRDefault="001054C3" w:rsidP="00234FBE">
                  <w:pPr>
                    <w:pStyle w:val="TableBodyText"/>
                  </w:pPr>
                  <w:r w:rsidRPr="002C5D0E">
                    <w:t>3</w:t>
                  </w:r>
                </w:p>
              </w:tc>
              <w:tc>
                <w:tcPr>
                  <w:tcW w:w="83" w:type="pct"/>
                  <w:shd w:val="clear" w:color="auto" w:fill="auto"/>
                </w:tcPr>
                <w:p w14:paraId="1E31F909" w14:textId="77777777" w:rsidR="001054C3" w:rsidRDefault="001054C3" w:rsidP="00234FBE">
                  <w:pPr>
                    <w:pStyle w:val="TableBodyText"/>
                    <w:ind w:right="28"/>
                  </w:pPr>
                </w:p>
              </w:tc>
            </w:tr>
            <w:tr w:rsidR="001054C3" w14:paraId="48EB952A" w14:textId="77777777" w:rsidTr="00234FBE">
              <w:tc>
                <w:tcPr>
                  <w:tcW w:w="3833" w:type="pct"/>
                  <w:shd w:val="clear" w:color="auto" w:fill="auto"/>
                </w:tcPr>
                <w:p w14:paraId="6B0295AC" w14:textId="77777777" w:rsidR="001054C3" w:rsidRDefault="001054C3" w:rsidP="00234FBE">
                  <w:pPr>
                    <w:pStyle w:val="TableBodyText"/>
                    <w:jc w:val="left"/>
                  </w:pPr>
                  <w:r w:rsidRPr="002C5D0E">
                    <w:t>Jackson, Prof. Sue</w:t>
                  </w:r>
                </w:p>
              </w:tc>
              <w:tc>
                <w:tcPr>
                  <w:tcW w:w="1084" w:type="pct"/>
                  <w:gridSpan w:val="2"/>
                  <w:shd w:val="clear" w:color="auto" w:fill="auto"/>
                </w:tcPr>
                <w:p w14:paraId="5D34C751" w14:textId="77777777" w:rsidR="001054C3" w:rsidRDefault="001054C3" w:rsidP="00234FBE">
                  <w:pPr>
                    <w:pStyle w:val="TableBodyText"/>
                  </w:pPr>
                  <w:r w:rsidRPr="002C5D0E">
                    <w:t>61</w:t>
                  </w:r>
                </w:p>
              </w:tc>
              <w:tc>
                <w:tcPr>
                  <w:tcW w:w="83" w:type="pct"/>
                  <w:shd w:val="clear" w:color="auto" w:fill="auto"/>
                </w:tcPr>
                <w:p w14:paraId="4CCF548D" w14:textId="77777777" w:rsidR="001054C3" w:rsidRDefault="001054C3" w:rsidP="00234FBE">
                  <w:pPr>
                    <w:pStyle w:val="TableBodyText"/>
                    <w:ind w:right="28"/>
                  </w:pPr>
                  <w:r>
                    <w:t>#</w:t>
                  </w:r>
                </w:p>
              </w:tc>
            </w:tr>
            <w:tr w:rsidR="001054C3" w14:paraId="760EA89C" w14:textId="77777777" w:rsidTr="00234FBE">
              <w:tc>
                <w:tcPr>
                  <w:tcW w:w="3833" w:type="pct"/>
                  <w:shd w:val="clear" w:color="auto" w:fill="auto"/>
                </w:tcPr>
                <w:p w14:paraId="10C65456" w14:textId="77777777" w:rsidR="001054C3" w:rsidRDefault="001054C3" w:rsidP="00234FBE">
                  <w:pPr>
                    <w:pStyle w:val="TableBodyText"/>
                    <w:jc w:val="left"/>
                  </w:pPr>
                  <w:r w:rsidRPr="002C5D0E">
                    <w:t>Jensen, Dr. Anne</w:t>
                  </w:r>
                </w:p>
              </w:tc>
              <w:tc>
                <w:tcPr>
                  <w:tcW w:w="1084" w:type="pct"/>
                  <w:gridSpan w:val="2"/>
                  <w:shd w:val="clear" w:color="auto" w:fill="auto"/>
                </w:tcPr>
                <w:p w14:paraId="239E262F" w14:textId="77777777" w:rsidR="001054C3" w:rsidRDefault="001054C3" w:rsidP="00234FBE">
                  <w:pPr>
                    <w:pStyle w:val="TableBodyText"/>
                  </w:pPr>
                  <w:r w:rsidRPr="002C5D0E">
                    <w:t>39</w:t>
                  </w:r>
                </w:p>
              </w:tc>
              <w:tc>
                <w:tcPr>
                  <w:tcW w:w="83" w:type="pct"/>
                  <w:shd w:val="clear" w:color="auto" w:fill="auto"/>
                </w:tcPr>
                <w:p w14:paraId="052BA2BC" w14:textId="77777777" w:rsidR="001054C3" w:rsidRDefault="001054C3" w:rsidP="00234FBE">
                  <w:pPr>
                    <w:pStyle w:val="TableBodyText"/>
                    <w:ind w:right="28"/>
                  </w:pPr>
                </w:p>
              </w:tc>
            </w:tr>
            <w:tr w:rsidR="001054C3" w14:paraId="1B3E65BD" w14:textId="77777777" w:rsidTr="00234FBE">
              <w:tc>
                <w:tcPr>
                  <w:tcW w:w="3833" w:type="pct"/>
                  <w:shd w:val="clear" w:color="auto" w:fill="auto"/>
                </w:tcPr>
                <w:p w14:paraId="2B677038" w14:textId="77777777" w:rsidR="001054C3" w:rsidRPr="002C5D0E" w:rsidRDefault="001054C3" w:rsidP="00234FBE">
                  <w:pPr>
                    <w:pStyle w:val="TableBodyText"/>
                    <w:jc w:val="left"/>
                  </w:pPr>
                  <w:r>
                    <w:t>Karp, Tabith and Celia</w:t>
                  </w:r>
                </w:p>
              </w:tc>
              <w:tc>
                <w:tcPr>
                  <w:tcW w:w="1084" w:type="pct"/>
                  <w:gridSpan w:val="2"/>
                  <w:shd w:val="clear" w:color="auto" w:fill="auto"/>
                </w:tcPr>
                <w:p w14:paraId="3A48DE73" w14:textId="77777777" w:rsidR="001054C3" w:rsidRPr="002C5D0E" w:rsidRDefault="001054C3" w:rsidP="00234FBE">
                  <w:pPr>
                    <w:pStyle w:val="TableBodyText"/>
                  </w:pPr>
                  <w:r>
                    <w:t>DR129</w:t>
                  </w:r>
                </w:p>
              </w:tc>
              <w:tc>
                <w:tcPr>
                  <w:tcW w:w="83" w:type="pct"/>
                  <w:shd w:val="clear" w:color="auto" w:fill="auto"/>
                </w:tcPr>
                <w:p w14:paraId="188AADE8" w14:textId="77777777" w:rsidR="001054C3" w:rsidRDefault="001054C3" w:rsidP="00234FBE">
                  <w:pPr>
                    <w:pStyle w:val="TableBodyText"/>
                    <w:ind w:right="28"/>
                  </w:pPr>
                </w:p>
              </w:tc>
            </w:tr>
            <w:tr w:rsidR="001054C3" w14:paraId="59DDDA66" w14:textId="77777777" w:rsidTr="00234FBE">
              <w:tc>
                <w:tcPr>
                  <w:tcW w:w="3833" w:type="pct"/>
                  <w:shd w:val="clear" w:color="auto" w:fill="auto"/>
                </w:tcPr>
                <w:p w14:paraId="43D1CFF0" w14:textId="77777777" w:rsidR="001054C3" w:rsidRPr="002C5D0E" w:rsidRDefault="001054C3" w:rsidP="00234FBE">
                  <w:pPr>
                    <w:pStyle w:val="TableBodyText"/>
                    <w:jc w:val="left"/>
                  </w:pPr>
                  <w:r>
                    <w:t>Kell, John</w:t>
                  </w:r>
                </w:p>
              </w:tc>
              <w:tc>
                <w:tcPr>
                  <w:tcW w:w="1084" w:type="pct"/>
                  <w:gridSpan w:val="2"/>
                  <w:shd w:val="clear" w:color="auto" w:fill="auto"/>
                </w:tcPr>
                <w:p w14:paraId="63230094" w14:textId="77777777" w:rsidR="001054C3" w:rsidRPr="002C5D0E" w:rsidRDefault="001054C3" w:rsidP="00234FBE">
                  <w:pPr>
                    <w:pStyle w:val="TableBodyText"/>
                  </w:pPr>
                  <w:r>
                    <w:t>DR130</w:t>
                  </w:r>
                </w:p>
              </w:tc>
              <w:tc>
                <w:tcPr>
                  <w:tcW w:w="83" w:type="pct"/>
                  <w:shd w:val="clear" w:color="auto" w:fill="auto"/>
                </w:tcPr>
                <w:p w14:paraId="50DA182A" w14:textId="77777777" w:rsidR="001054C3" w:rsidRDefault="001054C3" w:rsidP="00234FBE">
                  <w:pPr>
                    <w:pStyle w:val="TableBodyText"/>
                    <w:ind w:right="28"/>
                  </w:pPr>
                </w:p>
              </w:tc>
            </w:tr>
            <w:tr w:rsidR="001054C3" w14:paraId="5B6C95D3" w14:textId="77777777" w:rsidTr="00234FBE">
              <w:tc>
                <w:tcPr>
                  <w:tcW w:w="3833" w:type="pct"/>
                  <w:shd w:val="clear" w:color="auto" w:fill="auto"/>
                </w:tcPr>
                <w:p w14:paraId="2F105E69" w14:textId="77777777" w:rsidR="001054C3" w:rsidRDefault="001054C3" w:rsidP="00234FBE">
                  <w:pPr>
                    <w:pStyle w:val="TableBodyText"/>
                    <w:jc w:val="left"/>
                  </w:pPr>
                  <w:r w:rsidRPr="002C5D0E">
                    <w:t>Knee, Ross; and Butt, David</w:t>
                  </w:r>
                </w:p>
              </w:tc>
              <w:tc>
                <w:tcPr>
                  <w:tcW w:w="1084" w:type="pct"/>
                  <w:gridSpan w:val="2"/>
                  <w:shd w:val="clear" w:color="auto" w:fill="auto"/>
                </w:tcPr>
                <w:p w14:paraId="2202B671" w14:textId="77777777" w:rsidR="001054C3" w:rsidRDefault="001054C3" w:rsidP="00234FBE">
                  <w:pPr>
                    <w:pStyle w:val="TableBodyText"/>
                  </w:pPr>
                  <w:r w:rsidRPr="002C5D0E">
                    <w:t>56</w:t>
                  </w:r>
                </w:p>
              </w:tc>
              <w:tc>
                <w:tcPr>
                  <w:tcW w:w="83" w:type="pct"/>
                  <w:shd w:val="clear" w:color="auto" w:fill="auto"/>
                </w:tcPr>
                <w:p w14:paraId="5D1DCDCA" w14:textId="77777777" w:rsidR="001054C3" w:rsidRDefault="001054C3" w:rsidP="00234FBE">
                  <w:pPr>
                    <w:pStyle w:val="TableBodyText"/>
                    <w:ind w:right="28"/>
                  </w:pPr>
                </w:p>
              </w:tc>
            </w:tr>
            <w:tr w:rsidR="001054C3" w14:paraId="1CC3784C" w14:textId="77777777" w:rsidTr="00234FBE">
              <w:tc>
                <w:tcPr>
                  <w:tcW w:w="3833" w:type="pct"/>
                  <w:shd w:val="clear" w:color="auto" w:fill="auto"/>
                </w:tcPr>
                <w:p w14:paraId="6FBC9884" w14:textId="77777777" w:rsidR="001054C3" w:rsidRDefault="001054C3" w:rsidP="00234FBE">
                  <w:pPr>
                    <w:pStyle w:val="TableBodyText"/>
                    <w:jc w:val="left"/>
                  </w:pPr>
                  <w:r w:rsidRPr="002C5D0E">
                    <w:t>Koerner, Dr. Richard</w:t>
                  </w:r>
                </w:p>
              </w:tc>
              <w:tc>
                <w:tcPr>
                  <w:tcW w:w="1084" w:type="pct"/>
                  <w:gridSpan w:val="2"/>
                  <w:shd w:val="clear" w:color="auto" w:fill="auto"/>
                </w:tcPr>
                <w:p w14:paraId="3133EA21" w14:textId="77777777" w:rsidR="001054C3" w:rsidRDefault="001054C3" w:rsidP="00234FBE">
                  <w:pPr>
                    <w:pStyle w:val="TableBodyText"/>
                  </w:pPr>
                  <w:r w:rsidRPr="002C5D0E">
                    <w:t>49</w:t>
                  </w:r>
                  <w:r>
                    <w:t xml:space="preserve"> #, DR122</w:t>
                  </w:r>
                </w:p>
              </w:tc>
              <w:tc>
                <w:tcPr>
                  <w:tcW w:w="83" w:type="pct"/>
                  <w:shd w:val="clear" w:color="auto" w:fill="auto"/>
                </w:tcPr>
                <w:p w14:paraId="2FA9B64D" w14:textId="77777777" w:rsidR="001054C3" w:rsidRDefault="001054C3" w:rsidP="00234FBE">
                  <w:pPr>
                    <w:pStyle w:val="TableBodyText"/>
                    <w:ind w:right="28"/>
                  </w:pPr>
                  <w:r>
                    <w:t>#</w:t>
                  </w:r>
                </w:p>
              </w:tc>
            </w:tr>
            <w:tr w:rsidR="001054C3" w14:paraId="1D6121BA" w14:textId="77777777" w:rsidTr="00234FBE">
              <w:tc>
                <w:tcPr>
                  <w:tcW w:w="3833" w:type="pct"/>
                  <w:shd w:val="clear" w:color="auto" w:fill="auto"/>
                </w:tcPr>
                <w:p w14:paraId="11EACAA9" w14:textId="77777777" w:rsidR="001054C3" w:rsidRDefault="001054C3" w:rsidP="00234FBE">
                  <w:pPr>
                    <w:pStyle w:val="TableBodyText"/>
                    <w:jc w:val="left"/>
                  </w:pPr>
                  <w:r w:rsidRPr="002C5D0E">
                    <w:t xml:space="preserve">Lachlan Valley Water (LVW) </w:t>
                  </w:r>
                </w:p>
              </w:tc>
              <w:tc>
                <w:tcPr>
                  <w:tcW w:w="1084" w:type="pct"/>
                  <w:gridSpan w:val="2"/>
                  <w:shd w:val="clear" w:color="auto" w:fill="auto"/>
                </w:tcPr>
                <w:p w14:paraId="776D8112" w14:textId="77777777" w:rsidR="001054C3" w:rsidRDefault="001054C3" w:rsidP="00234FBE">
                  <w:pPr>
                    <w:pStyle w:val="TableBodyText"/>
                  </w:pPr>
                  <w:r w:rsidRPr="002C5D0E">
                    <w:t>40</w:t>
                  </w:r>
                </w:p>
              </w:tc>
              <w:tc>
                <w:tcPr>
                  <w:tcW w:w="83" w:type="pct"/>
                  <w:shd w:val="clear" w:color="auto" w:fill="auto"/>
                </w:tcPr>
                <w:p w14:paraId="3EFD7AE9" w14:textId="77777777" w:rsidR="001054C3" w:rsidRDefault="001054C3" w:rsidP="00234FBE">
                  <w:pPr>
                    <w:pStyle w:val="TableBodyText"/>
                    <w:ind w:right="28"/>
                  </w:pPr>
                </w:p>
              </w:tc>
            </w:tr>
            <w:tr w:rsidR="001054C3" w14:paraId="3C61BF48" w14:textId="77777777" w:rsidTr="00234FBE">
              <w:tc>
                <w:tcPr>
                  <w:tcW w:w="3833" w:type="pct"/>
                  <w:shd w:val="clear" w:color="auto" w:fill="auto"/>
                </w:tcPr>
                <w:p w14:paraId="32579152" w14:textId="77777777" w:rsidR="001054C3" w:rsidRDefault="001054C3" w:rsidP="00234FBE">
                  <w:pPr>
                    <w:pStyle w:val="TableBodyText"/>
                    <w:jc w:val="left"/>
                  </w:pPr>
                  <w:r w:rsidRPr="002C5D0E">
                    <w:t>Langford, Prof. John</w:t>
                  </w:r>
                </w:p>
              </w:tc>
              <w:tc>
                <w:tcPr>
                  <w:tcW w:w="1084" w:type="pct"/>
                  <w:gridSpan w:val="2"/>
                  <w:shd w:val="clear" w:color="auto" w:fill="auto"/>
                </w:tcPr>
                <w:p w14:paraId="646ECBD5" w14:textId="77777777" w:rsidR="001054C3" w:rsidRDefault="001054C3" w:rsidP="00234FBE">
                  <w:pPr>
                    <w:pStyle w:val="TableBodyText"/>
                  </w:pPr>
                  <w:r w:rsidRPr="002C5D0E">
                    <w:t>91</w:t>
                  </w:r>
                </w:p>
              </w:tc>
              <w:tc>
                <w:tcPr>
                  <w:tcW w:w="83" w:type="pct"/>
                  <w:shd w:val="clear" w:color="auto" w:fill="auto"/>
                </w:tcPr>
                <w:p w14:paraId="098E8A71" w14:textId="77777777" w:rsidR="001054C3" w:rsidRDefault="001054C3" w:rsidP="00234FBE">
                  <w:pPr>
                    <w:pStyle w:val="TableBodyText"/>
                    <w:ind w:right="28"/>
                  </w:pPr>
                  <w:r>
                    <w:t>#</w:t>
                  </w:r>
                </w:p>
              </w:tc>
            </w:tr>
            <w:tr w:rsidR="001054C3" w14:paraId="6E9D2E15" w14:textId="77777777" w:rsidTr="00234FBE">
              <w:tc>
                <w:tcPr>
                  <w:tcW w:w="3833" w:type="pct"/>
                  <w:shd w:val="clear" w:color="auto" w:fill="auto"/>
                </w:tcPr>
                <w:p w14:paraId="0CF409C5" w14:textId="77777777" w:rsidR="001054C3" w:rsidRDefault="001054C3" w:rsidP="00234FBE">
                  <w:pPr>
                    <w:pStyle w:val="TableBodyText"/>
                    <w:jc w:val="left"/>
                  </w:pPr>
                  <w:r w:rsidRPr="002C5D0E">
                    <w:t xml:space="preserve">Leeton Shire Council </w:t>
                  </w:r>
                </w:p>
              </w:tc>
              <w:tc>
                <w:tcPr>
                  <w:tcW w:w="1084" w:type="pct"/>
                  <w:gridSpan w:val="2"/>
                  <w:shd w:val="clear" w:color="auto" w:fill="auto"/>
                </w:tcPr>
                <w:p w14:paraId="09279187" w14:textId="77777777" w:rsidR="001054C3" w:rsidRDefault="001054C3" w:rsidP="00234FBE">
                  <w:pPr>
                    <w:pStyle w:val="TableBodyText"/>
                  </w:pPr>
                  <w:r w:rsidRPr="002C5D0E">
                    <w:t>29</w:t>
                  </w:r>
                  <w:r>
                    <w:t>, DR175</w:t>
                  </w:r>
                </w:p>
              </w:tc>
              <w:tc>
                <w:tcPr>
                  <w:tcW w:w="83" w:type="pct"/>
                  <w:shd w:val="clear" w:color="auto" w:fill="auto"/>
                </w:tcPr>
                <w:p w14:paraId="4E069C0B" w14:textId="77777777" w:rsidR="001054C3" w:rsidRDefault="001054C3" w:rsidP="00234FBE">
                  <w:pPr>
                    <w:pStyle w:val="TableBodyText"/>
                    <w:ind w:right="28"/>
                  </w:pPr>
                </w:p>
              </w:tc>
            </w:tr>
            <w:tr w:rsidR="001054C3" w14:paraId="67E16F7A" w14:textId="77777777" w:rsidTr="00234FBE">
              <w:tc>
                <w:tcPr>
                  <w:tcW w:w="3833" w:type="pct"/>
                  <w:shd w:val="clear" w:color="auto" w:fill="auto"/>
                </w:tcPr>
                <w:p w14:paraId="1EFDBE89" w14:textId="77777777" w:rsidR="001054C3" w:rsidRDefault="001054C3" w:rsidP="00234FBE">
                  <w:pPr>
                    <w:pStyle w:val="TableBodyText"/>
                    <w:jc w:val="left"/>
                  </w:pPr>
                  <w:r w:rsidRPr="002C5D0E">
                    <w:t xml:space="preserve">Lifeblood Alliance (LBA) </w:t>
                  </w:r>
                </w:p>
              </w:tc>
              <w:tc>
                <w:tcPr>
                  <w:tcW w:w="1084" w:type="pct"/>
                  <w:gridSpan w:val="2"/>
                  <w:shd w:val="clear" w:color="auto" w:fill="auto"/>
                </w:tcPr>
                <w:p w14:paraId="07835E9F" w14:textId="77777777" w:rsidR="001054C3" w:rsidRDefault="001054C3" w:rsidP="00234FBE">
                  <w:pPr>
                    <w:pStyle w:val="TableBodyText"/>
                  </w:pPr>
                  <w:r w:rsidRPr="002C5D0E">
                    <w:t>70</w:t>
                  </w:r>
                  <w:r>
                    <w:t xml:space="preserve"> #, DR133</w:t>
                  </w:r>
                </w:p>
              </w:tc>
              <w:tc>
                <w:tcPr>
                  <w:tcW w:w="83" w:type="pct"/>
                  <w:shd w:val="clear" w:color="auto" w:fill="auto"/>
                </w:tcPr>
                <w:p w14:paraId="55D1ACDD" w14:textId="77777777" w:rsidR="001054C3" w:rsidRDefault="001054C3" w:rsidP="00234FBE">
                  <w:pPr>
                    <w:pStyle w:val="TableBodyText"/>
                    <w:ind w:right="28"/>
                  </w:pPr>
                </w:p>
              </w:tc>
            </w:tr>
            <w:tr w:rsidR="001054C3" w14:paraId="1E28D3F3" w14:textId="77777777" w:rsidTr="00234FBE">
              <w:tc>
                <w:tcPr>
                  <w:tcW w:w="3833" w:type="pct"/>
                  <w:shd w:val="clear" w:color="auto" w:fill="auto"/>
                </w:tcPr>
                <w:p w14:paraId="4E7E8951" w14:textId="77777777" w:rsidR="001054C3" w:rsidRDefault="001054C3" w:rsidP="00234FBE">
                  <w:pPr>
                    <w:pStyle w:val="TableBodyText"/>
                    <w:jc w:val="left"/>
                  </w:pPr>
                  <w:r w:rsidRPr="002C5D0E">
                    <w:t xml:space="preserve">Local Government Association of Queensland (LGAQ) </w:t>
                  </w:r>
                </w:p>
              </w:tc>
              <w:tc>
                <w:tcPr>
                  <w:tcW w:w="1084" w:type="pct"/>
                  <w:gridSpan w:val="2"/>
                  <w:shd w:val="clear" w:color="auto" w:fill="auto"/>
                </w:tcPr>
                <w:p w14:paraId="6766B4C7" w14:textId="77777777" w:rsidR="001054C3" w:rsidRDefault="001054C3" w:rsidP="00234FBE">
                  <w:pPr>
                    <w:pStyle w:val="TableBodyText"/>
                  </w:pPr>
                  <w:r w:rsidRPr="002C5D0E">
                    <w:t>32</w:t>
                  </w:r>
                  <w:r>
                    <w:t>, DR183</w:t>
                  </w:r>
                </w:p>
              </w:tc>
              <w:tc>
                <w:tcPr>
                  <w:tcW w:w="83" w:type="pct"/>
                  <w:shd w:val="clear" w:color="auto" w:fill="auto"/>
                </w:tcPr>
                <w:p w14:paraId="6A3213A7" w14:textId="77777777" w:rsidR="001054C3" w:rsidRDefault="001054C3" w:rsidP="00234FBE">
                  <w:pPr>
                    <w:pStyle w:val="TableBodyText"/>
                    <w:ind w:right="28"/>
                  </w:pPr>
                </w:p>
              </w:tc>
            </w:tr>
          </w:tbl>
          <w:p w14:paraId="1F57C26F" w14:textId="77777777" w:rsidR="001054C3" w:rsidRDefault="001054C3" w:rsidP="00234FBE">
            <w:pPr>
              <w:pStyle w:val="Box"/>
            </w:pPr>
          </w:p>
        </w:tc>
      </w:tr>
      <w:tr w:rsidR="001054C3" w14:paraId="55702515" w14:textId="77777777" w:rsidTr="00234FBE">
        <w:tc>
          <w:tcPr>
            <w:tcW w:w="5000" w:type="pct"/>
            <w:tcBorders>
              <w:top w:val="nil"/>
              <w:left w:val="nil"/>
              <w:bottom w:val="nil"/>
              <w:right w:val="nil"/>
            </w:tcBorders>
            <w:shd w:val="clear" w:color="auto" w:fill="auto"/>
          </w:tcPr>
          <w:p w14:paraId="7478B2CC" w14:textId="77777777" w:rsidR="001054C3" w:rsidRDefault="001054C3" w:rsidP="00234FBE">
            <w:pPr>
              <w:pStyle w:val="Note"/>
              <w:jc w:val="right"/>
              <w:rPr>
                <w:i/>
              </w:rPr>
            </w:pPr>
            <w:r>
              <w:rPr>
                <w:i/>
              </w:rPr>
              <w:t xml:space="preserve"> (continued next page)</w:t>
            </w:r>
          </w:p>
        </w:tc>
      </w:tr>
      <w:tr w:rsidR="001054C3" w14:paraId="4DE99D73" w14:textId="77777777" w:rsidTr="00234FBE">
        <w:tc>
          <w:tcPr>
            <w:tcW w:w="5000" w:type="pct"/>
            <w:tcBorders>
              <w:top w:val="nil"/>
              <w:left w:val="nil"/>
              <w:bottom w:val="single" w:sz="6" w:space="0" w:color="78A22F" w:themeColor="accent1"/>
              <w:right w:val="nil"/>
            </w:tcBorders>
            <w:shd w:val="clear" w:color="auto" w:fill="auto"/>
          </w:tcPr>
          <w:p w14:paraId="4A4B82E6" w14:textId="77777777" w:rsidR="001054C3" w:rsidRDefault="001054C3" w:rsidP="00234FBE">
            <w:pPr>
              <w:pStyle w:val="Box"/>
              <w:spacing w:before="0" w:line="120" w:lineRule="exact"/>
            </w:pPr>
          </w:p>
        </w:tc>
      </w:tr>
      <w:tr w:rsidR="001054C3" w:rsidRPr="000863A5" w14:paraId="37C13FD3" w14:textId="77777777" w:rsidTr="00234FBE">
        <w:tc>
          <w:tcPr>
            <w:tcW w:w="5000" w:type="pct"/>
            <w:tcBorders>
              <w:top w:val="single" w:sz="6" w:space="0" w:color="78A22F" w:themeColor="accent1"/>
              <w:left w:val="nil"/>
              <w:bottom w:val="nil"/>
              <w:right w:val="nil"/>
            </w:tcBorders>
          </w:tcPr>
          <w:p w14:paraId="164A3433" w14:textId="77777777" w:rsidR="001054C3" w:rsidRPr="00626D32" w:rsidRDefault="001054C3" w:rsidP="00234FBE">
            <w:pPr>
              <w:pStyle w:val="BoxSpaceBelow"/>
            </w:pPr>
          </w:p>
        </w:tc>
      </w:tr>
    </w:tbl>
    <w:p w14:paraId="0BBA5D71"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0CDB29F7" w14:textId="77777777" w:rsidTr="00234FBE">
        <w:trPr>
          <w:tblHeader/>
        </w:trPr>
        <w:tc>
          <w:tcPr>
            <w:tcW w:w="5000" w:type="pct"/>
            <w:tcBorders>
              <w:top w:val="single" w:sz="6" w:space="0" w:color="78A22F" w:themeColor="accent1"/>
              <w:left w:val="nil"/>
              <w:bottom w:val="nil"/>
              <w:right w:val="nil"/>
            </w:tcBorders>
            <w:shd w:val="clear" w:color="auto" w:fill="auto"/>
          </w:tcPr>
          <w:p w14:paraId="079F7F16" w14:textId="5403B3CB" w:rsidR="001054C3" w:rsidRPr="00784A05" w:rsidRDefault="001054C3" w:rsidP="00234FBE">
            <w:pPr>
              <w:pStyle w:val="TableTitle"/>
            </w:pPr>
            <w:r>
              <w:rPr>
                <w:b w:val="0"/>
              </w:rPr>
              <w:t>Table C.1</w:t>
            </w:r>
            <w:r>
              <w:tab/>
            </w:r>
            <w:r w:rsidRPr="0021524F">
              <w:rPr>
                <w:b w:val="0"/>
                <w:sz w:val="18"/>
                <w:szCs w:val="18"/>
              </w:rPr>
              <w:t>(continued)</w:t>
            </w:r>
          </w:p>
        </w:tc>
      </w:tr>
      <w:tr w:rsidR="001054C3" w14:paraId="78C394D9" w14:textId="77777777" w:rsidTr="00234FBE">
        <w:tc>
          <w:tcPr>
            <w:tcW w:w="5000" w:type="pct"/>
            <w:tcBorders>
              <w:top w:val="nil"/>
              <w:left w:val="nil"/>
              <w:bottom w:val="nil"/>
              <w:right w:val="nil"/>
            </w:tcBorders>
            <w:shd w:val="clear" w:color="auto" w:fill="auto"/>
          </w:tcPr>
          <w:tbl>
            <w:tblPr>
              <w:tblW w:w="4999" w:type="pct"/>
              <w:tblCellMar>
                <w:top w:w="28" w:type="dxa"/>
                <w:left w:w="0" w:type="dxa"/>
                <w:right w:w="0" w:type="dxa"/>
              </w:tblCellMar>
              <w:tblLook w:val="0000" w:firstRow="0" w:lastRow="0" w:firstColumn="0" w:lastColumn="0" w:noHBand="0" w:noVBand="0"/>
            </w:tblPr>
            <w:tblGrid>
              <w:gridCol w:w="6519"/>
              <w:gridCol w:w="1843"/>
              <w:gridCol w:w="141"/>
            </w:tblGrid>
            <w:tr w:rsidR="001054C3" w14:paraId="2BEDDB91" w14:textId="77777777" w:rsidTr="00234FBE">
              <w:trPr>
                <w:tblHeader/>
              </w:trPr>
              <w:tc>
                <w:tcPr>
                  <w:tcW w:w="3833"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4EE59A55" w14:textId="77777777" w:rsidR="001054C3" w:rsidRDefault="001054C3" w:rsidP="00234FBE">
                  <w:pPr>
                    <w:pStyle w:val="TableColumnHeading"/>
                    <w:jc w:val="left"/>
                  </w:pPr>
                  <w:r>
                    <w:t>Participants</w:t>
                  </w:r>
                </w:p>
              </w:tc>
              <w:tc>
                <w:tcPr>
                  <w:tcW w:w="1084"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595E9228" w14:textId="77777777" w:rsidR="001054C3" w:rsidRDefault="001054C3" w:rsidP="00234FBE">
                  <w:pPr>
                    <w:pStyle w:val="TableColumnHeading"/>
                    <w:jc w:val="left"/>
                  </w:pPr>
                  <w:r>
                    <w:t>Submission number</w:t>
                  </w:r>
                </w:p>
              </w:tc>
              <w:tc>
                <w:tcPr>
                  <w:tcW w:w="83"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1C19FC39" w14:textId="77777777" w:rsidR="001054C3" w:rsidRDefault="001054C3" w:rsidP="00234FBE">
                  <w:pPr>
                    <w:pStyle w:val="TableColumnHeading"/>
                    <w:ind w:right="28"/>
                  </w:pPr>
                </w:p>
              </w:tc>
            </w:tr>
            <w:tr w:rsidR="001054C3" w14:paraId="70F275AC" w14:textId="77777777" w:rsidTr="00234FBE">
              <w:tc>
                <w:tcPr>
                  <w:tcW w:w="3833" w:type="pct"/>
                  <w:tcBorders>
                    <w:top w:val="single" w:sz="6" w:space="0" w:color="BFBFBF" w:themeColor="background1" w:themeShade="BF"/>
                  </w:tcBorders>
                </w:tcPr>
                <w:p w14:paraId="5F0D20BE" w14:textId="77777777" w:rsidR="001054C3" w:rsidRDefault="001054C3" w:rsidP="00DE301C">
                  <w:pPr>
                    <w:pStyle w:val="TableUnitsRow"/>
                    <w:spacing w:before="0"/>
                    <w:jc w:val="left"/>
                  </w:pPr>
                  <w:r w:rsidRPr="002C5D0E">
                    <w:t xml:space="preserve">Local Government NSW (LGNSW) </w:t>
                  </w:r>
                </w:p>
              </w:tc>
              <w:tc>
                <w:tcPr>
                  <w:tcW w:w="1084" w:type="pct"/>
                  <w:tcBorders>
                    <w:top w:val="single" w:sz="6" w:space="0" w:color="BFBFBF" w:themeColor="background1" w:themeShade="BF"/>
                  </w:tcBorders>
                </w:tcPr>
                <w:p w14:paraId="15ADF56A" w14:textId="77777777" w:rsidR="001054C3" w:rsidRDefault="001054C3" w:rsidP="00DE301C">
                  <w:pPr>
                    <w:pStyle w:val="TableUnitsRow"/>
                    <w:spacing w:before="0"/>
                  </w:pPr>
                  <w:r w:rsidRPr="002C5D0E">
                    <w:t>75</w:t>
                  </w:r>
                  <w:r>
                    <w:t>, DR147</w:t>
                  </w:r>
                </w:p>
              </w:tc>
              <w:tc>
                <w:tcPr>
                  <w:tcW w:w="83" w:type="pct"/>
                  <w:tcBorders>
                    <w:top w:val="single" w:sz="6" w:space="0" w:color="BFBFBF" w:themeColor="background1" w:themeShade="BF"/>
                  </w:tcBorders>
                </w:tcPr>
                <w:p w14:paraId="4DAC958F" w14:textId="77777777" w:rsidR="001054C3" w:rsidRDefault="001054C3" w:rsidP="00DE301C">
                  <w:pPr>
                    <w:pStyle w:val="TableUnitsRow"/>
                    <w:spacing w:before="0"/>
                    <w:ind w:right="28"/>
                  </w:pPr>
                </w:p>
              </w:tc>
            </w:tr>
            <w:tr w:rsidR="001054C3" w14:paraId="1D42A8DD" w14:textId="77777777" w:rsidTr="00DE301C">
              <w:tc>
                <w:tcPr>
                  <w:tcW w:w="3833" w:type="pct"/>
                </w:tcPr>
                <w:p w14:paraId="209948D0" w14:textId="77777777" w:rsidR="001054C3" w:rsidRDefault="001054C3" w:rsidP="00DE301C">
                  <w:pPr>
                    <w:pStyle w:val="TableUnitsRow"/>
                    <w:spacing w:before="0"/>
                    <w:jc w:val="left"/>
                  </w:pPr>
                  <w:r>
                    <w:t>Louys, Pierre</w:t>
                  </w:r>
                </w:p>
              </w:tc>
              <w:tc>
                <w:tcPr>
                  <w:tcW w:w="1084" w:type="pct"/>
                </w:tcPr>
                <w:p w14:paraId="338B1AD2" w14:textId="77777777" w:rsidR="001054C3" w:rsidRDefault="001054C3" w:rsidP="00DE301C">
                  <w:pPr>
                    <w:pStyle w:val="TableUnitsRow"/>
                    <w:spacing w:before="0"/>
                  </w:pPr>
                  <w:r>
                    <w:t>DR112</w:t>
                  </w:r>
                </w:p>
              </w:tc>
              <w:tc>
                <w:tcPr>
                  <w:tcW w:w="83" w:type="pct"/>
                </w:tcPr>
                <w:p w14:paraId="7A90BA29" w14:textId="77777777" w:rsidR="001054C3" w:rsidRDefault="001054C3" w:rsidP="00DE301C">
                  <w:pPr>
                    <w:pStyle w:val="TableUnitsRow"/>
                    <w:spacing w:before="0"/>
                    <w:ind w:right="28"/>
                  </w:pPr>
                </w:p>
              </w:tc>
            </w:tr>
            <w:tr w:rsidR="001054C3" w14:paraId="3B035134" w14:textId="77777777" w:rsidTr="00DE301C">
              <w:tc>
                <w:tcPr>
                  <w:tcW w:w="3833" w:type="pct"/>
                </w:tcPr>
                <w:p w14:paraId="2154E467" w14:textId="77777777" w:rsidR="001054C3" w:rsidRDefault="001054C3" w:rsidP="00DE301C">
                  <w:pPr>
                    <w:pStyle w:val="TableUnitsRow"/>
                    <w:spacing w:before="0"/>
                    <w:jc w:val="left"/>
                  </w:pPr>
                  <w:r>
                    <w:t>MacDonald, Fiona (Environmental Equity)</w:t>
                  </w:r>
                </w:p>
              </w:tc>
              <w:tc>
                <w:tcPr>
                  <w:tcW w:w="1084" w:type="pct"/>
                </w:tcPr>
                <w:p w14:paraId="50CB0D26" w14:textId="77777777" w:rsidR="001054C3" w:rsidRDefault="001054C3" w:rsidP="00DE301C">
                  <w:pPr>
                    <w:pStyle w:val="TableUnitsRow"/>
                    <w:spacing w:before="0"/>
                  </w:pPr>
                  <w:r>
                    <w:t>DR153</w:t>
                  </w:r>
                </w:p>
              </w:tc>
              <w:tc>
                <w:tcPr>
                  <w:tcW w:w="83" w:type="pct"/>
                </w:tcPr>
                <w:p w14:paraId="18C43A75" w14:textId="77777777" w:rsidR="001054C3" w:rsidRDefault="001054C3" w:rsidP="00DE301C">
                  <w:pPr>
                    <w:pStyle w:val="TableUnitsRow"/>
                    <w:spacing w:before="0"/>
                    <w:ind w:right="28"/>
                  </w:pPr>
                </w:p>
              </w:tc>
            </w:tr>
            <w:tr w:rsidR="001054C3" w14:paraId="044B227D" w14:textId="77777777" w:rsidTr="00DE301C">
              <w:tc>
                <w:tcPr>
                  <w:tcW w:w="3833" w:type="pct"/>
                </w:tcPr>
                <w:p w14:paraId="094F024C" w14:textId="77777777" w:rsidR="001054C3" w:rsidRPr="002C5D0E" w:rsidRDefault="001054C3" w:rsidP="00DE301C">
                  <w:pPr>
                    <w:pStyle w:val="TableUnitsRow"/>
                    <w:spacing w:before="0"/>
                    <w:jc w:val="left"/>
                  </w:pPr>
                  <w:r>
                    <w:t>Mackay Conservation Group</w:t>
                  </w:r>
                </w:p>
              </w:tc>
              <w:tc>
                <w:tcPr>
                  <w:tcW w:w="1084" w:type="pct"/>
                </w:tcPr>
                <w:p w14:paraId="3717DF3F" w14:textId="77777777" w:rsidR="001054C3" w:rsidRPr="002C5D0E" w:rsidRDefault="001054C3" w:rsidP="00DE301C">
                  <w:pPr>
                    <w:pStyle w:val="TableUnitsRow"/>
                    <w:spacing w:before="0"/>
                  </w:pPr>
                  <w:r>
                    <w:t>DR150</w:t>
                  </w:r>
                </w:p>
              </w:tc>
              <w:tc>
                <w:tcPr>
                  <w:tcW w:w="83" w:type="pct"/>
                </w:tcPr>
                <w:p w14:paraId="29DC5239" w14:textId="77777777" w:rsidR="001054C3" w:rsidRDefault="001054C3" w:rsidP="00DE301C">
                  <w:pPr>
                    <w:pStyle w:val="TableUnitsRow"/>
                    <w:spacing w:before="0"/>
                    <w:ind w:right="28"/>
                  </w:pPr>
                </w:p>
              </w:tc>
            </w:tr>
            <w:tr w:rsidR="001054C3" w14:paraId="6DC83095" w14:textId="77777777" w:rsidTr="00DE301C">
              <w:tc>
                <w:tcPr>
                  <w:tcW w:w="3833" w:type="pct"/>
                </w:tcPr>
                <w:p w14:paraId="5176B75A" w14:textId="77777777" w:rsidR="001054C3" w:rsidRPr="002C5D0E" w:rsidRDefault="001054C3" w:rsidP="00DE301C">
                  <w:pPr>
                    <w:pStyle w:val="TableUnitsRow"/>
                    <w:spacing w:before="0"/>
                    <w:jc w:val="left"/>
                  </w:pPr>
                  <w:r w:rsidRPr="002C5D0E">
                    <w:t xml:space="preserve">Martuwarra Fitzroy River Council and Water Justice Hub </w:t>
                  </w:r>
                </w:p>
              </w:tc>
              <w:tc>
                <w:tcPr>
                  <w:tcW w:w="1084" w:type="pct"/>
                </w:tcPr>
                <w:p w14:paraId="5264DC66" w14:textId="77777777" w:rsidR="001054C3" w:rsidRPr="002C5D0E" w:rsidRDefault="001054C3" w:rsidP="00DE301C">
                  <w:pPr>
                    <w:pStyle w:val="TableUnitsRow"/>
                    <w:spacing w:before="0"/>
                  </w:pPr>
                  <w:r w:rsidRPr="002C5D0E">
                    <w:t>80</w:t>
                  </w:r>
                </w:p>
              </w:tc>
              <w:tc>
                <w:tcPr>
                  <w:tcW w:w="83" w:type="pct"/>
                </w:tcPr>
                <w:p w14:paraId="026813B1" w14:textId="77777777" w:rsidR="001054C3" w:rsidRDefault="001054C3" w:rsidP="00DE301C">
                  <w:pPr>
                    <w:pStyle w:val="TableUnitsRow"/>
                    <w:spacing w:before="0"/>
                    <w:ind w:right="28"/>
                  </w:pPr>
                  <w:r>
                    <w:t>#</w:t>
                  </w:r>
                </w:p>
              </w:tc>
            </w:tr>
            <w:tr w:rsidR="001054C3" w14:paraId="1F49A175" w14:textId="77777777" w:rsidTr="00DE301C">
              <w:tc>
                <w:tcPr>
                  <w:tcW w:w="3833" w:type="pct"/>
                </w:tcPr>
                <w:p w14:paraId="33FCC8AE" w14:textId="77777777" w:rsidR="001054C3" w:rsidRPr="002C5D0E" w:rsidRDefault="001054C3" w:rsidP="00DE301C">
                  <w:pPr>
                    <w:pStyle w:val="TableUnitsRow"/>
                    <w:spacing w:before="0"/>
                    <w:jc w:val="left"/>
                  </w:pPr>
                  <w:r w:rsidRPr="002C5D0E">
                    <w:t xml:space="preserve">Melbourne Water </w:t>
                  </w:r>
                </w:p>
              </w:tc>
              <w:tc>
                <w:tcPr>
                  <w:tcW w:w="1084" w:type="pct"/>
                </w:tcPr>
                <w:p w14:paraId="03AB920F" w14:textId="77777777" w:rsidR="001054C3" w:rsidRPr="002C5D0E" w:rsidRDefault="001054C3" w:rsidP="00DE301C">
                  <w:pPr>
                    <w:pStyle w:val="TableUnitsRow"/>
                    <w:spacing w:before="0"/>
                  </w:pPr>
                  <w:r w:rsidRPr="002C5D0E">
                    <w:t>109</w:t>
                  </w:r>
                  <w:r>
                    <w:t xml:space="preserve"> #, DR190</w:t>
                  </w:r>
                </w:p>
              </w:tc>
              <w:tc>
                <w:tcPr>
                  <w:tcW w:w="83" w:type="pct"/>
                </w:tcPr>
                <w:p w14:paraId="680EEA91" w14:textId="77777777" w:rsidR="001054C3" w:rsidRDefault="001054C3" w:rsidP="00DE301C">
                  <w:pPr>
                    <w:pStyle w:val="TableUnitsRow"/>
                    <w:spacing w:before="0"/>
                    <w:ind w:right="28"/>
                  </w:pPr>
                </w:p>
              </w:tc>
            </w:tr>
            <w:tr w:rsidR="001054C3" w14:paraId="0132207E" w14:textId="77777777" w:rsidTr="00DE301C">
              <w:tc>
                <w:tcPr>
                  <w:tcW w:w="3833" w:type="pct"/>
                </w:tcPr>
                <w:p w14:paraId="66C3C4BE" w14:textId="77777777" w:rsidR="001054C3" w:rsidRPr="002C5D0E" w:rsidRDefault="001054C3" w:rsidP="00DE301C">
                  <w:pPr>
                    <w:pStyle w:val="TableUnitsRow"/>
                    <w:spacing w:before="0"/>
                    <w:jc w:val="left"/>
                  </w:pPr>
                  <w:r w:rsidRPr="002C5D0E">
                    <w:t xml:space="preserve">Minerals Council of Australia (MCA) </w:t>
                  </w:r>
                </w:p>
              </w:tc>
              <w:tc>
                <w:tcPr>
                  <w:tcW w:w="1084" w:type="pct"/>
                </w:tcPr>
                <w:p w14:paraId="7F5F928C" w14:textId="77777777" w:rsidR="001054C3" w:rsidRPr="002C5D0E" w:rsidRDefault="001054C3" w:rsidP="00DE301C">
                  <w:pPr>
                    <w:pStyle w:val="TableUnitsRow"/>
                    <w:spacing w:before="0"/>
                  </w:pPr>
                  <w:r w:rsidRPr="002C5D0E">
                    <w:t>102</w:t>
                  </w:r>
                  <w:r>
                    <w:t>, DR193</w:t>
                  </w:r>
                </w:p>
              </w:tc>
              <w:tc>
                <w:tcPr>
                  <w:tcW w:w="83" w:type="pct"/>
                </w:tcPr>
                <w:p w14:paraId="108609C9" w14:textId="77777777" w:rsidR="001054C3" w:rsidRDefault="001054C3" w:rsidP="00DE301C">
                  <w:pPr>
                    <w:pStyle w:val="TableUnitsRow"/>
                    <w:spacing w:before="0"/>
                    <w:ind w:right="28"/>
                  </w:pPr>
                </w:p>
              </w:tc>
            </w:tr>
            <w:tr w:rsidR="001054C3" w14:paraId="763016B0" w14:textId="77777777" w:rsidTr="00DE301C">
              <w:tc>
                <w:tcPr>
                  <w:tcW w:w="3833" w:type="pct"/>
                </w:tcPr>
                <w:p w14:paraId="7B152549" w14:textId="77777777" w:rsidR="001054C3" w:rsidRPr="002C5D0E" w:rsidRDefault="001054C3" w:rsidP="00DE301C">
                  <w:pPr>
                    <w:pStyle w:val="TableUnitsRow"/>
                    <w:spacing w:before="0"/>
                    <w:jc w:val="left"/>
                  </w:pPr>
                  <w:r w:rsidRPr="002C5D0E">
                    <w:t xml:space="preserve">Monash Sustainable Development Institute </w:t>
                  </w:r>
                </w:p>
              </w:tc>
              <w:tc>
                <w:tcPr>
                  <w:tcW w:w="1084" w:type="pct"/>
                </w:tcPr>
                <w:p w14:paraId="75446577" w14:textId="77777777" w:rsidR="001054C3" w:rsidRPr="002C5D0E" w:rsidRDefault="001054C3" w:rsidP="00DE301C">
                  <w:pPr>
                    <w:pStyle w:val="TableUnitsRow"/>
                    <w:spacing w:before="0"/>
                  </w:pPr>
                  <w:r w:rsidRPr="002C5D0E">
                    <w:t>81</w:t>
                  </w:r>
                </w:p>
              </w:tc>
              <w:tc>
                <w:tcPr>
                  <w:tcW w:w="83" w:type="pct"/>
                </w:tcPr>
                <w:p w14:paraId="5BF58D06" w14:textId="77777777" w:rsidR="001054C3" w:rsidRDefault="001054C3" w:rsidP="00DE301C">
                  <w:pPr>
                    <w:pStyle w:val="TableUnitsRow"/>
                    <w:spacing w:before="0"/>
                    <w:ind w:right="28"/>
                  </w:pPr>
                </w:p>
              </w:tc>
            </w:tr>
            <w:tr w:rsidR="001054C3" w14:paraId="232998AF" w14:textId="77777777" w:rsidTr="00DE301C">
              <w:tc>
                <w:tcPr>
                  <w:tcW w:w="3833" w:type="pct"/>
                </w:tcPr>
                <w:p w14:paraId="2DE35347" w14:textId="77777777" w:rsidR="001054C3" w:rsidRPr="002C5D0E" w:rsidRDefault="001054C3" w:rsidP="00DE301C">
                  <w:pPr>
                    <w:pStyle w:val="TableUnitsRow"/>
                    <w:spacing w:before="0"/>
                    <w:jc w:val="left"/>
                  </w:pPr>
                  <w:r w:rsidRPr="002C5D0E">
                    <w:t xml:space="preserve">Murray Darling Association (MDA) </w:t>
                  </w:r>
                </w:p>
              </w:tc>
              <w:tc>
                <w:tcPr>
                  <w:tcW w:w="1084" w:type="pct"/>
                </w:tcPr>
                <w:p w14:paraId="04FE8FA8" w14:textId="77777777" w:rsidR="001054C3" w:rsidRPr="002C5D0E" w:rsidRDefault="001054C3" w:rsidP="00DE301C">
                  <w:pPr>
                    <w:pStyle w:val="TableUnitsRow"/>
                    <w:spacing w:before="0"/>
                  </w:pPr>
                  <w:r w:rsidRPr="002C5D0E">
                    <w:t>78</w:t>
                  </w:r>
                  <w:r>
                    <w:t>, DR182</w:t>
                  </w:r>
                </w:p>
              </w:tc>
              <w:tc>
                <w:tcPr>
                  <w:tcW w:w="83" w:type="pct"/>
                </w:tcPr>
                <w:p w14:paraId="34D9D0BC" w14:textId="77777777" w:rsidR="001054C3" w:rsidRDefault="001054C3" w:rsidP="00DE301C">
                  <w:pPr>
                    <w:pStyle w:val="TableUnitsRow"/>
                    <w:spacing w:before="0"/>
                    <w:ind w:right="28"/>
                  </w:pPr>
                </w:p>
              </w:tc>
            </w:tr>
            <w:tr w:rsidR="001054C3" w14:paraId="0FEC90F9" w14:textId="77777777" w:rsidTr="00DE301C">
              <w:trPr>
                <w:trHeight w:val="21"/>
              </w:trPr>
              <w:tc>
                <w:tcPr>
                  <w:tcW w:w="3833" w:type="pct"/>
                </w:tcPr>
                <w:p w14:paraId="0DD349FE" w14:textId="77777777" w:rsidR="001054C3" w:rsidRPr="002C5D0E" w:rsidRDefault="001054C3" w:rsidP="00DE301C">
                  <w:pPr>
                    <w:pStyle w:val="TableUnitsRow"/>
                    <w:spacing w:before="0"/>
                    <w:jc w:val="left"/>
                  </w:pPr>
                  <w:r w:rsidRPr="002C5D0E">
                    <w:t xml:space="preserve">Murray Irrigation </w:t>
                  </w:r>
                </w:p>
              </w:tc>
              <w:tc>
                <w:tcPr>
                  <w:tcW w:w="1084" w:type="pct"/>
                </w:tcPr>
                <w:p w14:paraId="7DCA55A2" w14:textId="77777777" w:rsidR="001054C3" w:rsidRPr="002C5D0E" w:rsidRDefault="001054C3" w:rsidP="00DE301C">
                  <w:pPr>
                    <w:pStyle w:val="TableUnitsRow"/>
                    <w:spacing w:before="0"/>
                  </w:pPr>
                  <w:r w:rsidRPr="002C5D0E">
                    <w:t>69</w:t>
                  </w:r>
                </w:p>
              </w:tc>
              <w:tc>
                <w:tcPr>
                  <w:tcW w:w="83" w:type="pct"/>
                </w:tcPr>
                <w:p w14:paraId="5644292D" w14:textId="77777777" w:rsidR="001054C3" w:rsidRDefault="001054C3" w:rsidP="00DE301C">
                  <w:pPr>
                    <w:pStyle w:val="TableUnitsRow"/>
                    <w:spacing w:before="0"/>
                    <w:ind w:right="28"/>
                  </w:pPr>
                </w:p>
              </w:tc>
            </w:tr>
            <w:tr w:rsidR="001054C3" w14:paraId="5AA2F7D6" w14:textId="77777777" w:rsidTr="00DE301C">
              <w:tc>
                <w:tcPr>
                  <w:tcW w:w="3833" w:type="pct"/>
                </w:tcPr>
                <w:p w14:paraId="018249F9" w14:textId="77777777" w:rsidR="001054C3" w:rsidRPr="002C5D0E" w:rsidRDefault="001054C3" w:rsidP="00DE301C">
                  <w:pPr>
                    <w:pStyle w:val="TableUnitsRow"/>
                    <w:spacing w:before="0"/>
                    <w:jc w:val="left"/>
                  </w:pPr>
                  <w:r w:rsidRPr="002C5D0E">
                    <w:t xml:space="preserve">Murray Lower Darling Rivers Indigenous Nation (MLDRIN) </w:t>
                  </w:r>
                </w:p>
              </w:tc>
              <w:tc>
                <w:tcPr>
                  <w:tcW w:w="1084" w:type="pct"/>
                </w:tcPr>
                <w:p w14:paraId="7E5C7AB1" w14:textId="77777777" w:rsidR="001054C3" w:rsidRPr="002C5D0E" w:rsidRDefault="001054C3" w:rsidP="00DE301C">
                  <w:pPr>
                    <w:pStyle w:val="TableUnitsRow"/>
                    <w:spacing w:before="0"/>
                  </w:pPr>
                  <w:r w:rsidRPr="002C5D0E">
                    <w:t>105</w:t>
                  </w:r>
                  <w:r>
                    <w:t xml:space="preserve"> #, DR185</w:t>
                  </w:r>
                </w:p>
              </w:tc>
              <w:tc>
                <w:tcPr>
                  <w:tcW w:w="83" w:type="pct"/>
                </w:tcPr>
                <w:p w14:paraId="3CDBE312" w14:textId="77777777" w:rsidR="001054C3" w:rsidRDefault="001054C3" w:rsidP="00DE301C">
                  <w:pPr>
                    <w:pStyle w:val="TableUnitsRow"/>
                    <w:spacing w:before="0"/>
                    <w:ind w:right="28"/>
                  </w:pPr>
                  <w:r>
                    <w:t>#</w:t>
                  </w:r>
                </w:p>
              </w:tc>
            </w:tr>
            <w:tr w:rsidR="001054C3" w14:paraId="6DA48936" w14:textId="77777777" w:rsidTr="00234FBE">
              <w:tc>
                <w:tcPr>
                  <w:tcW w:w="3833" w:type="pct"/>
                  <w:shd w:val="clear" w:color="auto" w:fill="auto"/>
                </w:tcPr>
                <w:p w14:paraId="390AC5D4" w14:textId="77777777" w:rsidR="001054C3" w:rsidRDefault="001054C3" w:rsidP="00234FBE">
                  <w:pPr>
                    <w:pStyle w:val="TableBodyText"/>
                    <w:jc w:val="left"/>
                  </w:pPr>
                  <w:r w:rsidRPr="002C5D0E">
                    <w:t xml:space="preserve">Murray Valley Private Diverters (MVPD) </w:t>
                  </w:r>
                </w:p>
              </w:tc>
              <w:tc>
                <w:tcPr>
                  <w:tcW w:w="1084" w:type="pct"/>
                  <w:shd w:val="clear" w:color="auto" w:fill="auto"/>
                </w:tcPr>
                <w:p w14:paraId="6D541DDF" w14:textId="77777777" w:rsidR="001054C3" w:rsidRDefault="001054C3" w:rsidP="00234FBE">
                  <w:pPr>
                    <w:pStyle w:val="TableBodyText"/>
                  </w:pPr>
                  <w:r w:rsidRPr="002C5D0E">
                    <w:t>101</w:t>
                  </w:r>
                </w:p>
              </w:tc>
              <w:tc>
                <w:tcPr>
                  <w:tcW w:w="83" w:type="pct"/>
                  <w:shd w:val="clear" w:color="auto" w:fill="auto"/>
                </w:tcPr>
                <w:p w14:paraId="4F0AD545" w14:textId="77777777" w:rsidR="001054C3" w:rsidRDefault="001054C3" w:rsidP="00234FBE">
                  <w:pPr>
                    <w:pStyle w:val="TableBodyText"/>
                    <w:ind w:right="28"/>
                  </w:pPr>
                  <w:r>
                    <w:t>#</w:t>
                  </w:r>
                </w:p>
              </w:tc>
            </w:tr>
            <w:tr w:rsidR="001054C3" w14:paraId="270F0215" w14:textId="77777777" w:rsidTr="00DE301C">
              <w:tc>
                <w:tcPr>
                  <w:tcW w:w="3833" w:type="pct"/>
                </w:tcPr>
                <w:p w14:paraId="5C30D1F4" w14:textId="77777777" w:rsidR="001054C3" w:rsidRPr="002C5D0E" w:rsidRDefault="001054C3" w:rsidP="00DE301C">
                  <w:pPr>
                    <w:pStyle w:val="TableUnitsRow"/>
                    <w:spacing w:before="0"/>
                    <w:jc w:val="left"/>
                  </w:pPr>
                  <w:r w:rsidRPr="002C5D0E">
                    <w:t>Murray</w:t>
                  </w:r>
                  <w:r>
                    <w:noBreakHyphen/>
                  </w:r>
                  <w:r w:rsidRPr="002C5D0E">
                    <w:t xml:space="preserve">Darling Basin Authority (MDBA) </w:t>
                  </w:r>
                </w:p>
              </w:tc>
              <w:tc>
                <w:tcPr>
                  <w:tcW w:w="1084" w:type="pct"/>
                </w:tcPr>
                <w:p w14:paraId="57F368DD" w14:textId="77777777" w:rsidR="001054C3" w:rsidRPr="002C5D0E" w:rsidRDefault="001054C3" w:rsidP="00DE301C">
                  <w:pPr>
                    <w:pStyle w:val="TableUnitsRow"/>
                    <w:spacing w:before="0"/>
                  </w:pPr>
                  <w:r w:rsidRPr="002C5D0E">
                    <w:t>23</w:t>
                  </w:r>
                  <w:r>
                    <w:t>, DR186</w:t>
                  </w:r>
                </w:p>
              </w:tc>
              <w:tc>
                <w:tcPr>
                  <w:tcW w:w="83" w:type="pct"/>
                </w:tcPr>
                <w:p w14:paraId="300ABD5A" w14:textId="77777777" w:rsidR="001054C3" w:rsidRDefault="001054C3" w:rsidP="00DE301C">
                  <w:pPr>
                    <w:pStyle w:val="TableUnitsRow"/>
                    <w:spacing w:before="0"/>
                    <w:ind w:right="28"/>
                  </w:pPr>
                </w:p>
              </w:tc>
            </w:tr>
            <w:tr w:rsidR="001054C3" w14:paraId="7B5FA717" w14:textId="77777777" w:rsidTr="00DE301C">
              <w:tc>
                <w:tcPr>
                  <w:tcW w:w="3833" w:type="pct"/>
                </w:tcPr>
                <w:p w14:paraId="05CFB80C" w14:textId="77777777" w:rsidR="001054C3" w:rsidRPr="002C5D0E" w:rsidRDefault="001054C3" w:rsidP="00DE301C">
                  <w:pPr>
                    <w:pStyle w:val="TableUnitsRow"/>
                    <w:spacing w:before="0"/>
                    <w:jc w:val="left"/>
                  </w:pPr>
                  <w:r w:rsidRPr="002C5D0E">
                    <w:t>National Farmers</w:t>
                  </w:r>
                  <w:r>
                    <w:t>’</w:t>
                  </w:r>
                  <w:r w:rsidRPr="002C5D0E">
                    <w:t xml:space="preserve"> Federation (NFF) </w:t>
                  </w:r>
                </w:p>
              </w:tc>
              <w:tc>
                <w:tcPr>
                  <w:tcW w:w="1084" w:type="pct"/>
                </w:tcPr>
                <w:p w14:paraId="0CD464BA" w14:textId="77777777" w:rsidR="001054C3" w:rsidRPr="002C5D0E" w:rsidRDefault="001054C3" w:rsidP="00DE301C">
                  <w:pPr>
                    <w:pStyle w:val="TableUnitsRow"/>
                    <w:spacing w:before="0"/>
                  </w:pPr>
                  <w:r w:rsidRPr="002C5D0E">
                    <w:t>42</w:t>
                  </w:r>
                  <w:r>
                    <w:t>, DR178</w:t>
                  </w:r>
                </w:p>
              </w:tc>
              <w:tc>
                <w:tcPr>
                  <w:tcW w:w="83" w:type="pct"/>
                </w:tcPr>
                <w:p w14:paraId="4B28E82B" w14:textId="77777777" w:rsidR="001054C3" w:rsidRDefault="001054C3" w:rsidP="00DE301C">
                  <w:pPr>
                    <w:pStyle w:val="TableUnitsRow"/>
                    <w:spacing w:before="0"/>
                    <w:ind w:right="28"/>
                  </w:pPr>
                </w:p>
              </w:tc>
            </w:tr>
            <w:tr w:rsidR="001054C3" w14:paraId="500C96DC" w14:textId="77777777" w:rsidTr="00DE301C">
              <w:tc>
                <w:tcPr>
                  <w:tcW w:w="3833" w:type="pct"/>
                </w:tcPr>
                <w:p w14:paraId="1F9A05A8" w14:textId="77777777" w:rsidR="001054C3" w:rsidRPr="002C5D0E" w:rsidRDefault="001054C3" w:rsidP="00DE301C">
                  <w:pPr>
                    <w:pStyle w:val="TableUnitsRow"/>
                    <w:spacing w:before="0"/>
                    <w:jc w:val="left"/>
                  </w:pPr>
                  <w:r w:rsidRPr="002C5D0E">
                    <w:t xml:space="preserve">National Health and Medical Research Council (NHMRC) </w:t>
                  </w:r>
                </w:p>
              </w:tc>
              <w:tc>
                <w:tcPr>
                  <w:tcW w:w="1084" w:type="pct"/>
                </w:tcPr>
                <w:p w14:paraId="72D7D1E0" w14:textId="77777777" w:rsidR="001054C3" w:rsidRPr="002C5D0E" w:rsidRDefault="001054C3" w:rsidP="00DE301C">
                  <w:pPr>
                    <w:pStyle w:val="TableUnitsRow"/>
                    <w:spacing w:before="0"/>
                  </w:pPr>
                  <w:r w:rsidRPr="002C5D0E">
                    <w:t>93</w:t>
                  </w:r>
                  <w:r>
                    <w:t>, DR125</w:t>
                  </w:r>
                </w:p>
              </w:tc>
              <w:tc>
                <w:tcPr>
                  <w:tcW w:w="83" w:type="pct"/>
                </w:tcPr>
                <w:p w14:paraId="5C9B6207" w14:textId="77777777" w:rsidR="001054C3" w:rsidRDefault="001054C3" w:rsidP="00DE301C">
                  <w:pPr>
                    <w:pStyle w:val="TableUnitsRow"/>
                    <w:spacing w:before="0"/>
                    <w:ind w:right="28"/>
                  </w:pPr>
                </w:p>
              </w:tc>
            </w:tr>
            <w:tr w:rsidR="001054C3" w14:paraId="33ECEF68" w14:textId="77777777" w:rsidTr="00DE301C">
              <w:tc>
                <w:tcPr>
                  <w:tcW w:w="3833" w:type="pct"/>
                </w:tcPr>
                <w:p w14:paraId="0E045A7B" w14:textId="77777777" w:rsidR="001054C3" w:rsidRPr="002C5D0E" w:rsidRDefault="001054C3" w:rsidP="00DE301C">
                  <w:pPr>
                    <w:pStyle w:val="TableUnitsRow"/>
                    <w:spacing w:before="0"/>
                    <w:jc w:val="left"/>
                  </w:pPr>
                  <w:r w:rsidRPr="002C5D0E">
                    <w:t xml:space="preserve">National Irrigators’ Council (NIC) </w:t>
                  </w:r>
                </w:p>
              </w:tc>
              <w:tc>
                <w:tcPr>
                  <w:tcW w:w="1084" w:type="pct"/>
                </w:tcPr>
                <w:p w14:paraId="580FCB04" w14:textId="77777777" w:rsidR="001054C3" w:rsidRPr="002C5D0E" w:rsidRDefault="001054C3" w:rsidP="00DE301C">
                  <w:pPr>
                    <w:pStyle w:val="TableUnitsRow"/>
                    <w:spacing w:before="0"/>
                  </w:pPr>
                  <w:r w:rsidRPr="002C5D0E">
                    <w:t>13</w:t>
                  </w:r>
                  <w:r>
                    <w:t>, DR174</w:t>
                  </w:r>
                </w:p>
              </w:tc>
              <w:tc>
                <w:tcPr>
                  <w:tcW w:w="83" w:type="pct"/>
                </w:tcPr>
                <w:p w14:paraId="70EC4A57" w14:textId="77777777" w:rsidR="001054C3" w:rsidRDefault="001054C3" w:rsidP="00DE301C">
                  <w:pPr>
                    <w:pStyle w:val="TableUnitsRow"/>
                    <w:spacing w:before="0"/>
                    <w:ind w:right="28"/>
                  </w:pPr>
                </w:p>
              </w:tc>
            </w:tr>
            <w:tr w:rsidR="001054C3" w14:paraId="6275CD9B" w14:textId="77777777" w:rsidTr="00DE301C">
              <w:tc>
                <w:tcPr>
                  <w:tcW w:w="3833" w:type="pct"/>
                </w:tcPr>
                <w:p w14:paraId="23A92FBE" w14:textId="77777777" w:rsidR="001054C3" w:rsidRPr="002C5D0E" w:rsidRDefault="001054C3" w:rsidP="00DE301C">
                  <w:pPr>
                    <w:pStyle w:val="TableUnitsRow"/>
                    <w:spacing w:before="0"/>
                    <w:jc w:val="left"/>
                  </w:pPr>
                  <w:r w:rsidRPr="002C5D0E">
                    <w:t xml:space="preserve">National Water Grid Authority (NWGA) </w:t>
                  </w:r>
                </w:p>
              </w:tc>
              <w:tc>
                <w:tcPr>
                  <w:tcW w:w="1084" w:type="pct"/>
                </w:tcPr>
                <w:p w14:paraId="2C994006" w14:textId="77777777" w:rsidR="001054C3" w:rsidRPr="002C5D0E" w:rsidRDefault="001054C3" w:rsidP="00DE301C">
                  <w:pPr>
                    <w:pStyle w:val="TableUnitsRow"/>
                    <w:spacing w:before="0"/>
                  </w:pPr>
                  <w:r w:rsidRPr="002C5D0E">
                    <w:t>64</w:t>
                  </w:r>
                  <w:r>
                    <w:t>, DR179</w:t>
                  </w:r>
                </w:p>
              </w:tc>
              <w:tc>
                <w:tcPr>
                  <w:tcW w:w="83" w:type="pct"/>
                </w:tcPr>
                <w:p w14:paraId="0E3A0245" w14:textId="77777777" w:rsidR="001054C3" w:rsidRDefault="001054C3" w:rsidP="00DE301C">
                  <w:pPr>
                    <w:pStyle w:val="TableUnitsRow"/>
                    <w:spacing w:before="0"/>
                    <w:ind w:right="28"/>
                  </w:pPr>
                </w:p>
              </w:tc>
            </w:tr>
            <w:tr w:rsidR="001054C3" w14:paraId="65737CD3" w14:textId="77777777" w:rsidTr="00DE301C">
              <w:tc>
                <w:tcPr>
                  <w:tcW w:w="3833" w:type="pct"/>
                </w:tcPr>
                <w:p w14:paraId="5C5DAA85" w14:textId="77777777" w:rsidR="001054C3" w:rsidRDefault="001054C3" w:rsidP="00DE301C">
                  <w:pPr>
                    <w:pStyle w:val="TableUnitsRow"/>
                    <w:spacing w:before="0"/>
                    <w:jc w:val="left"/>
                  </w:pPr>
                  <w:r>
                    <w:t>Newman, Bob Healthy Rivers Ambassador (SA)</w:t>
                  </w:r>
                </w:p>
              </w:tc>
              <w:tc>
                <w:tcPr>
                  <w:tcW w:w="1084" w:type="pct"/>
                </w:tcPr>
                <w:p w14:paraId="106389C9" w14:textId="77777777" w:rsidR="001054C3" w:rsidRDefault="001054C3" w:rsidP="00DE301C">
                  <w:pPr>
                    <w:pStyle w:val="TableUnitsRow"/>
                    <w:spacing w:before="0"/>
                  </w:pPr>
                  <w:r>
                    <w:t>DR171</w:t>
                  </w:r>
                </w:p>
              </w:tc>
              <w:tc>
                <w:tcPr>
                  <w:tcW w:w="83" w:type="pct"/>
                </w:tcPr>
                <w:p w14:paraId="55A992D9" w14:textId="77777777" w:rsidR="001054C3" w:rsidRDefault="001054C3" w:rsidP="00DE301C">
                  <w:pPr>
                    <w:pStyle w:val="TableUnitsRow"/>
                    <w:spacing w:before="0"/>
                    <w:ind w:right="28"/>
                  </w:pPr>
                  <w:r>
                    <w:t>#</w:t>
                  </w:r>
                </w:p>
              </w:tc>
            </w:tr>
            <w:tr w:rsidR="001054C3" w14:paraId="652C4561" w14:textId="77777777" w:rsidTr="00DE301C">
              <w:tc>
                <w:tcPr>
                  <w:tcW w:w="3833" w:type="pct"/>
                </w:tcPr>
                <w:p w14:paraId="1A889D5F" w14:textId="77777777" w:rsidR="001054C3" w:rsidRPr="002C5D0E" w:rsidRDefault="001054C3" w:rsidP="00DE301C">
                  <w:pPr>
                    <w:pStyle w:val="TableUnitsRow"/>
                    <w:spacing w:before="0"/>
                    <w:jc w:val="left"/>
                  </w:pPr>
                  <w:r>
                    <w:t>North Queensland Conservation Council (NQCC)</w:t>
                  </w:r>
                </w:p>
              </w:tc>
              <w:tc>
                <w:tcPr>
                  <w:tcW w:w="1084" w:type="pct"/>
                </w:tcPr>
                <w:p w14:paraId="0609FC83" w14:textId="77777777" w:rsidR="001054C3" w:rsidRPr="002C5D0E" w:rsidRDefault="001054C3" w:rsidP="00DE301C">
                  <w:pPr>
                    <w:pStyle w:val="TableUnitsRow"/>
                    <w:spacing w:before="0"/>
                  </w:pPr>
                  <w:r>
                    <w:t>DR157</w:t>
                  </w:r>
                </w:p>
              </w:tc>
              <w:tc>
                <w:tcPr>
                  <w:tcW w:w="83" w:type="pct"/>
                </w:tcPr>
                <w:p w14:paraId="4828ED81" w14:textId="77777777" w:rsidR="001054C3" w:rsidRDefault="001054C3" w:rsidP="00DE301C">
                  <w:pPr>
                    <w:pStyle w:val="TableUnitsRow"/>
                    <w:spacing w:before="0"/>
                    <w:ind w:right="28"/>
                  </w:pPr>
                </w:p>
              </w:tc>
            </w:tr>
            <w:tr w:rsidR="001054C3" w14:paraId="6D5FEFF3" w14:textId="77777777" w:rsidTr="00DE301C">
              <w:tc>
                <w:tcPr>
                  <w:tcW w:w="3833" w:type="pct"/>
                </w:tcPr>
                <w:p w14:paraId="6E6E7A12" w14:textId="77777777" w:rsidR="001054C3" w:rsidRPr="002C5D0E" w:rsidRDefault="001054C3" w:rsidP="00DE301C">
                  <w:pPr>
                    <w:pStyle w:val="TableUnitsRow"/>
                    <w:spacing w:before="0"/>
                    <w:jc w:val="left"/>
                  </w:pPr>
                  <w:r w:rsidRPr="002C5D0E">
                    <w:t xml:space="preserve">Northern Basin Aboriginal Nations (NBAN) </w:t>
                  </w:r>
                </w:p>
              </w:tc>
              <w:tc>
                <w:tcPr>
                  <w:tcW w:w="1084" w:type="pct"/>
                </w:tcPr>
                <w:p w14:paraId="1F4DEA98" w14:textId="77777777" w:rsidR="001054C3" w:rsidRPr="002C5D0E" w:rsidRDefault="001054C3" w:rsidP="00DE301C">
                  <w:pPr>
                    <w:pStyle w:val="TableUnitsRow"/>
                    <w:spacing w:before="0"/>
                  </w:pPr>
                  <w:r w:rsidRPr="002C5D0E">
                    <w:t>17</w:t>
                  </w:r>
                </w:p>
              </w:tc>
              <w:tc>
                <w:tcPr>
                  <w:tcW w:w="83" w:type="pct"/>
                </w:tcPr>
                <w:p w14:paraId="0B2D8BFC" w14:textId="77777777" w:rsidR="001054C3" w:rsidRDefault="001054C3" w:rsidP="00DE301C">
                  <w:pPr>
                    <w:pStyle w:val="TableUnitsRow"/>
                    <w:spacing w:before="0"/>
                    <w:ind w:right="28"/>
                  </w:pPr>
                </w:p>
              </w:tc>
            </w:tr>
            <w:tr w:rsidR="001054C3" w14:paraId="30CAD899" w14:textId="77777777" w:rsidTr="00DE301C">
              <w:tc>
                <w:tcPr>
                  <w:tcW w:w="3833" w:type="pct"/>
                </w:tcPr>
                <w:p w14:paraId="14854054" w14:textId="77777777" w:rsidR="001054C3" w:rsidRDefault="001054C3" w:rsidP="00DE301C">
                  <w:pPr>
                    <w:pStyle w:val="TableUnitsRow"/>
                    <w:spacing w:before="0"/>
                    <w:jc w:val="left"/>
                  </w:pPr>
                  <w:r>
                    <w:t>Northern Land Council (NLC)</w:t>
                  </w:r>
                </w:p>
              </w:tc>
              <w:tc>
                <w:tcPr>
                  <w:tcW w:w="1084" w:type="pct"/>
                </w:tcPr>
                <w:p w14:paraId="5701A484" w14:textId="77777777" w:rsidR="001054C3" w:rsidRDefault="001054C3" w:rsidP="00DE301C">
                  <w:pPr>
                    <w:pStyle w:val="TableUnitsRow"/>
                    <w:spacing w:before="0"/>
                  </w:pPr>
                  <w:r>
                    <w:t>DR134</w:t>
                  </w:r>
                </w:p>
              </w:tc>
              <w:tc>
                <w:tcPr>
                  <w:tcW w:w="83" w:type="pct"/>
                </w:tcPr>
                <w:p w14:paraId="75113929" w14:textId="77777777" w:rsidR="001054C3" w:rsidRDefault="001054C3" w:rsidP="00DE301C">
                  <w:pPr>
                    <w:pStyle w:val="TableUnitsRow"/>
                    <w:spacing w:before="0"/>
                    <w:ind w:right="28"/>
                  </w:pPr>
                  <w:r>
                    <w:t>#</w:t>
                  </w:r>
                </w:p>
              </w:tc>
            </w:tr>
            <w:tr w:rsidR="001054C3" w14:paraId="3A11A8AD" w14:textId="77777777" w:rsidTr="00DE301C">
              <w:tc>
                <w:tcPr>
                  <w:tcW w:w="3833" w:type="pct"/>
                </w:tcPr>
                <w:p w14:paraId="70E4456A" w14:textId="77777777" w:rsidR="001054C3" w:rsidRPr="002C5D0E" w:rsidRDefault="001054C3" w:rsidP="00DE301C">
                  <w:pPr>
                    <w:pStyle w:val="TableUnitsRow"/>
                    <w:spacing w:before="0"/>
                    <w:jc w:val="left"/>
                  </w:pPr>
                  <w:r>
                    <w:t>Nowlan, Peter</w:t>
                  </w:r>
                </w:p>
              </w:tc>
              <w:tc>
                <w:tcPr>
                  <w:tcW w:w="1084" w:type="pct"/>
                </w:tcPr>
                <w:p w14:paraId="0047D990" w14:textId="77777777" w:rsidR="001054C3" w:rsidRPr="002C5D0E" w:rsidRDefault="001054C3" w:rsidP="00DE301C">
                  <w:pPr>
                    <w:pStyle w:val="TableUnitsRow"/>
                    <w:spacing w:before="0"/>
                  </w:pPr>
                  <w:r>
                    <w:t>DR116</w:t>
                  </w:r>
                </w:p>
              </w:tc>
              <w:tc>
                <w:tcPr>
                  <w:tcW w:w="83" w:type="pct"/>
                </w:tcPr>
                <w:p w14:paraId="5F722C12" w14:textId="77777777" w:rsidR="001054C3" w:rsidRDefault="001054C3" w:rsidP="00DE301C">
                  <w:pPr>
                    <w:pStyle w:val="TableUnitsRow"/>
                    <w:spacing w:before="0"/>
                    <w:ind w:right="28"/>
                  </w:pPr>
                </w:p>
              </w:tc>
            </w:tr>
            <w:tr w:rsidR="001054C3" w14:paraId="0D2A6BDC" w14:textId="77777777" w:rsidTr="00DE301C">
              <w:tc>
                <w:tcPr>
                  <w:tcW w:w="3833" w:type="pct"/>
                </w:tcPr>
                <w:p w14:paraId="5280B98E" w14:textId="77777777" w:rsidR="001054C3" w:rsidRPr="002C5D0E" w:rsidRDefault="001054C3" w:rsidP="00DE301C">
                  <w:pPr>
                    <w:pStyle w:val="TableUnitsRow"/>
                    <w:spacing w:before="0"/>
                    <w:jc w:val="left"/>
                  </w:pPr>
                  <w:r>
                    <w:t>NPF Industry Pty Ltd</w:t>
                  </w:r>
                </w:p>
              </w:tc>
              <w:tc>
                <w:tcPr>
                  <w:tcW w:w="1084" w:type="pct"/>
                </w:tcPr>
                <w:p w14:paraId="2F5B6C15" w14:textId="77777777" w:rsidR="001054C3" w:rsidRPr="002C5D0E" w:rsidRDefault="001054C3" w:rsidP="00DE301C">
                  <w:pPr>
                    <w:pStyle w:val="TableUnitsRow"/>
                    <w:spacing w:before="0"/>
                  </w:pPr>
                  <w:r>
                    <w:t>DR155</w:t>
                  </w:r>
                </w:p>
              </w:tc>
              <w:tc>
                <w:tcPr>
                  <w:tcW w:w="83" w:type="pct"/>
                </w:tcPr>
                <w:p w14:paraId="614E1FE5" w14:textId="77777777" w:rsidR="001054C3" w:rsidRDefault="001054C3" w:rsidP="00DE301C">
                  <w:pPr>
                    <w:pStyle w:val="TableUnitsRow"/>
                    <w:spacing w:before="0"/>
                    <w:ind w:right="28"/>
                  </w:pPr>
                </w:p>
              </w:tc>
            </w:tr>
            <w:tr w:rsidR="001054C3" w14:paraId="3704F587" w14:textId="77777777" w:rsidTr="00DE301C">
              <w:tc>
                <w:tcPr>
                  <w:tcW w:w="3833" w:type="pct"/>
                </w:tcPr>
                <w:p w14:paraId="2F789E54" w14:textId="77777777" w:rsidR="001054C3" w:rsidRPr="0031477D" w:rsidRDefault="001054C3" w:rsidP="00DE301C">
                  <w:pPr>
                    <w:pStyle w:val="TableUnitsRow"/>
                    <w:spacing w:before="0"/>
                    <w:jc w:val="left"/>
                  </w:pPr>
                  <w:r w:rsidRPr="002C5D0E">
                    <w:t xml:space="preserve">NSW Aboriginal Land Council (NSWALC) </w:t>
                  </w:r>
                </w:p>
              </w:tc>
              <w:tc>
                <w:tcPr>
                  <w:tcW w:w="1084" w:type="pct"/>
                </w:tcPr>
                <w:p w14:paraId="415EDA53" w14:textId="77777777" w:rsidR="001054C3" w:rsidRPr="0031477D" w:rsidRDefault="001054C3" w:rsidP="00DE301C">
                  <w:pPr>
                    <w:pStyle w:val="TableUnitsRow"/>
                    <w:spacing w:before="0"/>
                  </w:pPr>
                  <w:r w:rsidRPr="002C5D0E">
                    <w:t>96</w:t>
                  </w:r>
                  <w:r>
                    <w:t>, DR194</w:t>
                  </w:r>
                </w:p>
              </w:tc>
              <w:tc>
                <w:tcPr>
                  <w:tcW w:w="83" w:type="pct"/>
                </w:tcPr>
                <w:p w14:paraId="6EEA8BE0" w14:textId="77777777" w:rsidR="001054C3" w:rsidRDefault="001054C3" w:rsidP="00DE301C">
                  <w:pPr>
                    <w:pStyle w:val="TableUnitsRow"/>
                    <w:spacing w:before="0"/>
                    <w:ind w:right="28"/>
                  </w:pPr>
                </w:p>
              </w:tc>
            </w:tr>
            <w:tr w:rsidR="001054C3" w14:paraId="7F6B4FB8" w14:textId="77777777" w:rsidTr="00DE301C">
              <w:tc>
                <w:tcPr>
                  <w:tcW w:w="3833" w:type="pct"/>
                </w:tcPr>
                <w:p w14:paraId="544C1E46" w14:textId="77777777" w:rsidR="001054C3" w:rsidRPr="0031477D" w:rsidRDefault="001054C3" w:rsidP="00DE301C">
                  <w:pPr>
                    <w:pStyle w:val="TableUnitsRow"/>
                    <w:spacing w:before="0"/>
                    <w:jc w:val="left"/>
                  </w:pPr>
                  <w:r w:rsidRPr="0031477D">
                    <w:t xml:space="preserve">NSW Government </w:t>
                  </w:r>
                </w:p>
              </w:tc>
              <w:tc>
                <w:tcPr>
                  <w:tcW w:w="1084" w:type="pct"/>
                </w:tcPr>
                <w:p w14:paraId="0732424B" w14:textId="77777777" w:rsidR="001054C3" w:rsidRPr="0031477D" w:rsidRDefault="001054C3" w:rsidP="00DE301C">
                  <w:pPr>
                    <w:pStyle w:val="TableUnitsRow"/>
                    <w:spacing w:before="0"/>
                  </w:pPr>
                  <w:r w:rsidRPr="0031477D">
                    <w:t>41</w:t>
                  </w:r>
                  <w:r>
                    <w:t>, DR138</w:t>
                  </w:r>
                </w:p>
              </w:tc>
              <w:tc>
                <w:tcPr>
                  <w:tcW w:w="83" w:type="pct"/>
                </w:tcPr>
                <w:p w14:paraId="2E25E913" w14:textId="77777777" w:rsidR="001054C3" w:rsidRDefault="001054C3" w:rsidP="00DE301C">
                  <w:pPr>
                    <w:pStyle w:val="TableUnitsRow"/>
                    <w:spacing w:before="0"/>
                    <w:ind w:right="28"/>
                  </w:pPr>
                </w:p>
              </w:tc>
            </w:tr>
            <w:tr w:rsidR="001054C3" w14:paraId="2710C83A" w14:textId="77777777" w:rsidTr="00DE301C">
              <w:tc>
                <w:tcPr>
                  <w:tcW w:w="3833" w:type="pct"/>
                </w:tcPr>
                <w:p w14:paraId="52DE5388" w14:textId="77777777" w:rsidR="001054C3" w:rsidRPr="0099769D" w:rsidRDefault="001054C3" w:rsidP="00DE301C">
                  <w:pPr>
                    <w:pStyle w:val="TableUnitsRow"/>
                    <w:spacing w:before="0"/>
                    <w:jc w:val="left"/>
                  </w:pPr>
                  <w:r w:rsidRPr="0031477D">
                    <w:t>NSW Irrigators’ Council (NSWIC)</w:t>
                  </w:r>
                </w:p>
              </w:tc>
              <w:tc>
                <w:tcPr>
                  <w:tcW w:w="1084" w:type="pct"/>
                </w:tcPr>
                <w:p w14:paraId="363774D4" w14:textId="77777777" w:rsidR="001054C3" w:rsidRPr="0099769D" w:rsidRDefault="001054C3" w:rsidP="00DE301C">
                  <w:pPr>
                    <w:pStyle w:val="TableUnitsRow"/>
                    <w:spacing w:before="0"/>
                  </w:pPr>
                  <w:r w:rsidRPr="0031477D">
                    <w:t>27</w:t>
                  </w:r>
                  <w:r>
                    <w:t>, DR158</w:t>
                  </w:r>
                </w:p>
              </w:tc>
              <w:tc>
                <w:tcPr>
                  <w:tcW w:w="83" w:type="pct"/>
                </w:tcPr>
                <w:p w14:paraId="0889BC7D" w14:textId="77777777" w:rsidR="001054C3" w:rsidRDefault="001054C3" w:rsidP="00DE301C">
                  <w:pPr>
                    <w:pStyle w:val="TableUnitsRow"/>
                    <w:spacing w:before="0"/>
                    <w:ind w:right="28"/>
                  </w:pPr>
                </w:p>
              </w:tc>
            </w:tr>
            <w:tr w:rsidR="001054C3" w14:paraId="71E3F6B3" w14:textId="77777777" w:rsidTr="00DE301C">
              <w:tc>
                <w:tcPr>
                  <w:tcW w:w="3833" w:type="pct"/>
                </w:tcPr>
                <w:p w14:paraId="49DE111E" w14:textId="77777777" w:rsidR="001054C3" w:rsidRDefault="001054C3" w:rsidP="00DE301C">
                  <w:pPr>
                    <w:pStyle w:val="TableUnitsRow"/>
                    <w:spacing w:before="0"/>
                    <w:jc w:val="left"/>
                  </w:pPr>
                  <w:r w:rsidRPr="0099769D">
                    <w:t xml:space="preserve">NSW Water Directorate </w:t>
                  </w:r>
                </w:p>
              </w:tc>
              <w:tc>
                <w:tcPr>
                  <w:tcW w:w="1084" w:type="pct"/>
                </w:tcPr>
                <w:p w14:paraId="674380A4" w14:textId="77777777" w:rsidR="001054C3" w:rsidRDefault="001054C3" w:rsidP="00DE301C">
                  <w:pPr>
                    <w:pStyle w:val="TableUnitsRow"/>
                    <w:spacing w:before="0"/>
                  </w:pPr>
                  <w:r w:rsidRPr="0099769D">
                    <w:t>37</w:t>
                  </w:r>
                </w:p>
              </w:tc>
              <w:tc>
                <w:tcPr>
                  <w:tcW w:w="83" w:type="pct"/>
                </w:tcPr>
                <w:p w14:paraId="23AAFE21" w14:textId="77777777" w:rsidR="001054C3" w:rsidRDefault="001054C3" w:rsidP="00DE301C">
                  <w:pPr>
                    <w:pStyle w:val="TableUnitsRow"/>
                    <w:spacing w:before="0"/>
                    <w:ind w:right="28"/>
                  </w:pPr>
                </w:p>
              </w:tc>
            </w:tr>
            <w:tr w:rsidR="001054C3" w14:paraId="03C29D34" w14:textId="77777777" w:rsidTr="00234FBE">
              <w:tc>
                <w:tcPr>
                  <w:tcW w:w="3833" w:type="pct"/>
                </w:tcPr>
                <w:p w14:paraId="517C3281" w14:textId="77777777" w:rsidR="001054C3" w:rsidRPr="0099769D" w:rsidRDefault="001054C3" w:rsidP="00234FBE">
                  <w:pPr>
                    <w:pStyle w:val="TableBodyText"/>
                    <w:jc w:val="left"/>
                  </w:pPr>
                  <w:r>
                    <w:t>O’Kane, Bernie</w:t>
                  </w:r>
                </w:p>
              </w:tc>
              <w:tc>
                <w:tcPr>
                  <w:tcW w:w="1084" w:type="pct"/>
                </w:tcPr>
                <w:p w14:paraId="24AA53E9" w14:textId="77777777" w:rsidR="001054C3" w:rsidRPr="0099769D" w:rsidRDefault="001054C3" w:rsidP="00234FBE">
                  <w:pPr>
                    <w:pStyle w:val="TableBodyText"/>
                  </w:pPr>
                  <w:r>
                    <w:t>DR110</w:t>
                  </w:r>
                </w:p>
              </w:tc>
              <w:tc>
                <w:tcPr>
                  <w:tcW w:w="83" w:type="pct"/>
                </w:tcPr>
                <w:p w14:paraId="3561CB57" w14:textId="77777777" w:rsidR="001054C3" w:rsidRDefault="001054C3" w:rsidP="00234FBE">
                  <w:pPr>
                    <w:pStyle w:val="TableBodyText"/>
                    <w:ind w:right="28"/>
                  </w:pPr>
                </w:p>
              </w:tc>
            </w:tr>
            <w:tr w:rsidR="001054C3" w14:paraId="68DBE7F0" w14:textId="77777777" w:rsidTr="00234FBE">
              <w:tc>
                <w:tcPr>
                  <w:tcW w:w="3833" w:type="pct"/>
                </w:tcPr>
                <w:p w14:paraId="5C158A23" w14:textId="77777777" w:rsidR="001054C3" w:rsidRDefault="001054C3" w:rsidP="00234FBE">
                  <w:pPr>
                    <w:pStyle w:val="TableBodyText"/>
                    <w:jc w:val="left"/>
                  </w:pPr>
                  <w:r w:rsidRPr="0099769D">
                    <w:t xml:space="preserve">OneWater Advocates (OWA) </w:t>
                  </w:r>
                </w:p>
              </w:tc>
              <w:tc>
                <w:tcPr>
                  <w:tcW w:w="1084" w:type="pct"/>
                </w:tcPr>
                <w:p w14:paraId="41614E09" w14:textId="77777777" w:rsidR="001054C3" w:rsidRDefault="001054C3" w:rsidP="00234FBE">
                  <w:pPr>
                    <w:pStyle w:val="TableBodyText"/>
                  </w:pPr>
                  <w:r w:rsidRPr="0099769D">
                    <w:t>2</w:t>
                  </w:r>
                  <w:r>
                    <w:t>, DR124</w:t>
                  </w:r>
                </w:p>
              </w:tc>
              <w:tc>
                <w:tcPr>
                  <w:tcW w:w="83" w:type="pct"/>
                </w:tcPr>
                <w:p w14:paraId="4CFB89A2" w14:textId="77777777" w:rsidR="001054C3" w:rsidRDefault="001054C3" w:rsidP="00234FBE">
                  <w:pPr>
                    <w:pStyle w:val="TableBodyText"/>
                    <w:ind w:right="28"/>
                  </w:pPr>
                </w:p>
              </w:tc>
            </w:tr>
            <w:tr w:rsidR="001054C3" w14:paraId="22BE4846" w14:textId="77777777" w:rsidTr="00234FBE">
              <w:tc>
                <w:tcPr>
                  <w:tcW w:w="3833" w:type="pct"/>
                  <w:shd w:val="clear" w:color="auto" w:fill="auto"/>
                </w:tcPr>
                <w:p w14:paraId="575DC517" w14:textId="77777777" w:rsidR="001054C3" w:rsidRDefault="001054C3" w:rsidP="00234FBE">
                  <w:pPr>
                    <w:pStyle w:val="TableBodyText"/>
                    <w:jc w:val="left"/>
                  </w:pPr>
                  <w:r w:rsidRPr="0099769D">
                    <w:t>Pratley, Prof. Jim</w:t>
                  </w:r>
                </w:p>
              </w:tc>
              <w:tc>
                <w:tcPr>
                  <w:tcW w:w="1084" w:type="pct"/>
                  <w:shd w:val="clear" w:color="auto" w:fill="auto"/>
                </w:tcPr>
                <w:p w14:paraId="435EFA91" w14:textId="77777777" w:rsidR="001054C3" w:rsidRDefault="001054C3" w:rsidP="00234FBE">
                  <w:pPr>
                    <w:pStyle w:val="TableBodyText"/>
                  </w:pPr>
                  <w:r w:rsidRPr="0099769D">
                    <w:t>16</w:t>
                  </w:r>
                </w:p>
              </w:tc>
              <w:tc>
                <w:tcPr>
                  <w:tcW w:w="83" w:type="pct"/>
                  <w:shd w:val="clear" w:color="auto" w:fill="auto"/>
                </w:tcPr>
                <w:p w14:paraId="2DBF6624" w14:textId="77777777" w:rsidR="001054C3" w:rsidRDefault="001054C3" w:rsidP="00234FBE">
                  <w:pPr>
                    <w:pStyle w:val="TableBodyText"/>
                    <w:ind w:right="28"/>
                  </w:pPr>
                </w:p>
              </w:tc>
            </w:tr>
            <w:tr w:rsidR="001054C3" w14:paraId="0E925E8D" w14:textId="77777777" w:rsidTr="00234FBE">
              <w:tc>
                <w:tcPr>
                  <w:tcW w:w="3833" w:type="pct"/>
                  <w:shd w:val="clear" w:color="auto" w:fill="auto"/>
                </w:tcPr>
                <w:p w14:paraId="78E76D0F" w14:textId="77777777" w:rsidR="001054C3" w:rsidRPr="0099769D" w:rsidRDefault="001054C3" w:rsidP="00234FBE">
                  <w:pPr>
                    <w:pStyle w:val="TableBodyText"/>
                    <w:jc w:val="left"/>
                  </w:pPr>
                  <w:r>
                    <w:t>Prosper Australia</w:t>
                  </w:r>
                </w:p>
              </w:tc>
              <w:tc>
                <w:tcPr>
                  <w:tcW w:w="1084" w:type="pct"/>
                  <w:shd w:val="clear" w:color="auto" w:fill="auto"/>
                </w:tcPr>
                <w:p w14:paraId="614FCB2A" w14:textId="77777777" w:rsidR="001054C3" w:rsidRPr="0099769D" w:rsidRDefault="001054C3" w:rsidP="00234FBE">
                  <w:pPr>
                    <w:pStyle w:val="TableBodyText"/>
                  </w:pPr>
                  <w:r>
                    <w:t>DR151</w:t>
                  </w:r>
                </w:p>
              </w:tc>
              <w:tc>
                <w:tcPr>
                  <w:tcW w:w="83" w:type="pct"/>
                  <w:shd w:val="clear" w:color="auto" w:fill="auto"/>
                </w:tcPr>
                <w:p w14:paraId="4D31E7B1" w14:textId="77777777" w:rsidR="001054C3" w:rsidRDefault="001054C3" w:rsidP="00234FBE">
                  <w:pPr>
                    <w:pStyle w:val="TableBodyText"/>
                    <w:ind w:right="28"/>
                  </w:pPr>
                </w:p>
              </w:tc>
            </w:tr>
            <w:tr w:rsidR="001054C3" w14:paraId="6D3907A8" w14:textId="77777777" w:rsidTr="00234FBE">
              <w:tc>
                <w:tcPr>
                  <w:tcW w:w="3833" w:type="pct"/>
                  <w:shd w:val="clear" w:color="auto" w:fill="auto"/>
                </w:tcPr>
                <w:p w14:paraId="2041F442" w14:textId="77777777" w:rsidR="001054C3" w:rsidRPr="0099769D" w:rsidRDefault="001054C3" w:rsidP="00234FBE">
                  <w:pPr>
                    <w:pStyle w:val="TableBodyText"/>
                    <w:jc w:val="left"/>
                  </w:pPr>
                  <w:r>
                    <w:t>Public Interest Advocacy Centre (PIAC)</w:t>
                  </w:r>
                </w:p>
              </w:tc>
              <w:tc>
                <w:tcPr>
                  <w:tcW w:w="1084" w:type="pct"/>
                  <w:shd w:val="clear" w:color="auto" w:fill="auto"/>
                </w:tcPr>
                <w:p w14:paraId="1D4441D3" w14:textId="77777777" w:rsidR="001054C3" w:rsidRPr="0099769D" w:rsidRDefault="001054C3" w:rsidP="00234FBE">
                  <w:pPr>
                    <w:pStyle w:val="TableBodyText"/>
                  </w:pPr>
                  <w:r>
                    <w:t>DR156</w:t>
                  </w:r>
                </w:p>
              </w:tc>
              <w:tc>
                <w:tcPr>
                  <w:tcW w:w="83" w:type="pct"/>
                  <w:shd w:val="clear" w:color="auto" w:fill="auto"/>
                </w:tcPr>
                <w:p w14:paraId="5E9DF7D1" w14:textId="77777777" w:rsidR="001054C3" w:rsidRDefault="001054C3" w:rsidP="00234FBE">
                  <w:pPr>
                    <w:pStyle w:val="TableBodyText"/>
                    <w:ind w:right="28"/>
                  </w:pPr>
                </w:p>
              </w:tc>
            </w:tr>
            <w:tr w:rsidR="001054C3" w14:paraId="17394D99" w14:textId="77777777" w:rsidTr="00234FBE">
              <w:tc>
                <w:tcPr>
                  <w:tcW w:w="3833" w:type="pct"/>
                  <w:shd w:val="clear" w:color="auto" w:fill="auto"/>
                </w:tcPr>
                <w:p w14:paraId="3FE7A61A" w14:textId="77777777" w:rsidR="001054C3" w:rsidRPr="0099769D" w:rsidRDefault="001054C3" w:rsidP="00234FBE">
                  <w:pPr>
                    <w:pStyle w:val="TableBodyText"/>
                    <w:jc w:val="left"/>
                  </w:pPr>
                  <w:r>
                    <w:t>Queensland Farmers’ Federation</w:t>
                  </w:r>
                </w:p>
              </w:tc>
              <w:tc>
                <w:tcPr>
                  <w:tcW w:w="1084" w:type="pct"/>
                  <w:shd w:val="clear" w:color="auto" w:fill="auto"/>
                </w:tcPr>
                <w:p w14:paraId="34DC06D7" w14:textId="77777777" w:rsidR="001054C3" w:rsidRPr="0099769D" w:rsidRDefault="001054C3" w:rsidP="00234FBE">
                  <w:pPr>
                    <w:pStyle w:val="TableBodyText"/>
                  </w:pPr>
                  <w:r>
                    <w:t>DR161</w:t>
                  </w:r>
                </w:p>
              </w:tc>
              <w:tc>
                <w:tcPr>
                  <w:tcW w:w="83" w:type="pct"/>
                  <w:shd w:val="clear" w:color="auto" w:fill="auto"/>
                </w:tcPr>
                <w:p w14:paraId="77FF464F" w14:textId="77777777" w:rsidR="001054C3" w:rsidRDefault="001054C3" w:rsidP="00234FBE">
                  <w:pPr>
                    <w:pStyle w:val="TableBodyText"/>
                    <w:ind w:right="28"/>
                  </w:pPr>
                </w:p>
              </w:tc>
            </w:tr>
            <w:tr w:rsidR="001054C3" w14:paraId="5D5C674B" w14:textId="77777777" w:rsidTr="00234FBE">
              <w:tc>
                <w:tcPr>
                  <w:tcW w:w="3833" w:type="pct"/>
                  <w:shd w:val="clear" w:color="auto" w:fill="auto"/>
                </w:tcPr>
                <w:p w14:paraId="0C6294AB" w14:textId="77777777" w:rsidR="001054C3" w:rsidRDefault="001054C3" w:rsidP="00234FBE">
                  <w:pPr>
                    <w:pStyle w:val="TableBodyText"/>
                    <w:jc w:val="left"/>
                  </w:pPr>
                  <w:r w:rsidRPr="0099769D">
                    <w:t xml:space="preserve">Queensland Law Society (QLS) and Caitlin McConnel </w:t>
                  </w:r>
                </w:p>
              </w:tc>
              <w:tc>
                <w:tcPr>
                  <w:tcW w:w="1084" w:type="pct"/>
                  <w:shd w:val="clear" w:color="auto" w:fill="auto"/>
                </w:tcPr>
                <w:p w14:paraId="3CEE0C6F" w14:textId="77777777" w:rsidR="001054C3" w:rsidRDefault="001054C3" w:rsidP="00234FBE">
                  <w:pPr>
                    <w:pStyle w:val="TableBodyText"/>
                  </w:pPr>
                  <w:r w:rsidRPr="0099769D">
                    <w:t>92</w:t>
                  </w:r>
                </w:p>
              </w:tc>
              <w:tc>
                <w:tcPr>
                  <w:tcW w:w="83" w:type="pct"/>
                  <w:shd w:val="clear" w:color="auto" w:fill="auto"/>
                </w:tcPr>
                <w:p w14:paraId="135FCD87" w14:textId="77777777" w:rsidR="001054C3" w:rsidRDefault="001054C3" w:rsidP="00234FBE">
                  <w:pPr>
                    <w:pStyle w:val="TableBodyText"/>
                    <w:ind w:right="28"/>
                  </w:pPr>
                </w:p>
              </w:tc>
            </w:tr>
            <w:tr w:rsidR="001054C3" w14:paraId="1DA8CF2D" w14:textId="77777777" w:rsidTr="00234FBE">
              <w:tc>
                <w:tcPr>
                  <w:tcW w:w="3833" w:type="pct"/>
                  <w:shd w:val="clear" w:color="auto" w:fill="auto"/>
                </w:tcPr>
                <w:p w14:paraId="3CF38B60" w14:textId="77777777" w:rsidR="001054C3" w:rsidRDefault="001054C3" w:rsidP="00234FBE">
                  <w:pPr>
                    <w:pStyle w:val="TableBodyText"/>
                    <w:jc w:val="left"/>
                  </w:pPr>
                  <w:r>
                    <w:t>Queensland Resources Council</w:t>
                  </w:r>
                </w:p>
              </w:tc>
              <w:tc>
                <w:tcPr>
                  <w:tcW w:w="1084" w:type="pct"/>
                  <w:shd w:val="clear" w:color="auto" w:fill="auto"/>
                </w:tcPr>
                <w:p w14:paraId="6636C7A0" w14:textId="77777777" w:rsidR="001054C3" w:rsidRDefault="001054C3" w:rsidP="00234FBE">
                  <w:pPr>
                    <w:pStyle w:val="TableBodyText"/>
                  </w:pPr>
                  <w:r>
                    <w:t>DR145</w:t>
                  </w:r>
                </w:p>
              </w:tc>
              <w:tc>
                <w:tcPr>
                  <w:tcW w:w="83" w:type="pct"/>
                  <w:shd w:val="clear" w:color="auto" w:fill="auto"/>
                </w:tcPr>
                <w:p w14:paraId="5E953897" w14:textId="77777777" w:rsidR="001054C3" w:rsidRDefault="001054C3" w:rsidP="00234FBE">
                  <w:pPr>
                    <w:pStyle w:val="TableBodyText"/>
                    <w:ind w:right="28"/>
                  </w:pPr>
                </w:p>
              </w:tc>
            </w:tr>
            <w:tr w:rsidR="001054C3" w14:paraId="6BAC256A" w14:textId="77777777" w:rsidTr="00234FBE">
              <w:tc>
                <w:tcPr>
                  <w:tcW w:w="3833" w:type="pct"/>
                  <w:shd w:val="clear" w:color="auto" w:fill="auto"/>
                </w:tcPr>
                <w:p w14:paraId="7020AE69" w14:textId="77777777" w:rsidR="001054C3" w:rsidRDefault="001054C3" w:rsidP="00234FBE">
                  <w:pPr>
                    <w:pStyle w:val="TableBodyText"/>
                    <w:jc w:val="left"/>
                  </w:pPr>
                  <w:r w:rsidRPr="0099769D">
                    <w:t xml:space="preserve">Queensland Water Directorate (qldwater) </w:t>
                  </w:r>
                </w:p>
              </w:tc>
              <w:tc>
                <w:tcPr>
                  <w:tcW w:w="1084" w:type="pct"/>
                  <w:shd w:val="clear" w:color="auto" w:fill="auto"/>
                </w:tcPr>
                <w:p w14:paraId="30CFF3C6" w14:textId="77777777" w:rsidR="001054C3" w:rsidRDefault="001054C3" w:rsidP="00234FBE">
                  <w:pPr>
                    <w:pStyle w:val="TableBodyText"/>
                  </w:pPr>
                  <w:r w:rsidRPr="0099769D">
                    <w:t>47</w:t>
                  </w:r>
                  <w:r>
                    <w:t>, DR142</w:t>
                  </w:r>
                </w:p>
              </w:tc>
              <w:tc>
                <w:tcPr>
                  <w:tcW w:w="83" w:type="pct"/>
                  <w:shd w:val="clear" w:color="auto" w:fill="auto"/>
                </w:tcPr>
                <w:p w14:paraId="34C7AFB3" w14:textId="77777777" w:rsidR="001054C3" w:rsidRDefault="001054C3" w:rsidP="00234FBE">
                  <w:pPr>
                    <w:pStyle w:val="TableBodyText"/>
                    <w:ind w:right="28"/>
                  </w:pPr>
                </w:p>
              </w:tc>
            </w:tr>
          </w:tbl>
          <w:p w14:paraId="462446F9" w14:textId="77777777" w:rsidR="001054C3" w:rsidRDefault="001054C3" w:rsidP="00234FBE">
            <w:pPr>
              <w:pStyle w:val="Box"/>
            </w:pPr>
          </w:p>
        </w:tc>
      </w:tr>
      <w:tr w:rsidR="001054C3" w14:paraId="5AE43593" w14:textId="77777777" w:rsidTr="00234FBE">
        <w:tc>
          <w:tcPr>
            <w:tcW w:w="5000" w:type="pct"/>
            <w:tcBorders>
              <w:top w:val="nil"/>
              <w:left w:val="nil"/>
              <w:bottom w:val="nil"/>
              <w:right w:val="nil"/>
            </w:tcBorders>
            <w:shd w:val="clear" w:color="auto" w:fill="auto"/>
          </w:tcPr>
          <w:p w14:paraId="0232333C" w14:textId="77777777" w:rsidR="001054C3" w:rsidRDefault="001054C3" w:rsidP="00234FBE">
            <w:pPr>
              <w:pStyle w:val="Note"/>
              <w:jc w:val="right"/>
              <w:rPr>
                <w:i/>
              </w:rPr>
            </w:pPr>
            <w:r>
              <w:rPr>
                <w:i/>
              </w:rPr>
              <w:t xml:space="preserve"> (continued next page)</w:t>
            </w:r>
          </w:p>
        </w:tc>
      </w:tr>
      <w:tr w:rsidR="001054C3" w14:paraId="08E39CC7" w14:textId="77777777" w:rsidTr="00234FBE">
        <w:tc>
          <w:tcPr>
            <w:tcW w:w="5000" w:type="pct"/>
            <w:tcBorders>
              <w:top w:val="nil"/>
              <w:left w:val="nil"/>
              <w:bottom w:val="single" w:sz="6" w:space="0" w:color="78A22F" w:themeColor="accent1"/>
              <w:right w:val="nil"/>
            </w:tcBorders>
            <w:shd w:val="clear" w:color="auto" w:fill="auto"/>
          </w:tcPr>
          <w:p w14:paraId="7FE82BC2" w14:textId="77777777" w:rsidR="001054C3" w:rsidRDefault="001054C3" w:rsidP="00234FBE">
            <w:pPr>
              <w:pStyle w:val="Box"/>
              <w:spacing w:before="0" w:line="120" w:lineRule="exact"/>
            </w:pPr>
          </w:p>
        </w:tc>
      </w:tr>
      <w:tr w:rsidR="001054C3" w:rsidRPr="000863A5" w14:paraId="32DD1CFF" w14:textId="77777777" w:rsidTr="00234FBE">
        <w:tc>
          <w:tcPr>
            <w:tcW w:w="5000" w:type="pct"/>
            <w:tcBorders>
              <w:top w:val="single" w:sz="6" w:space="0" w:color="78A22F" w:themeColor="accent1"/>
              <w:left w:val="nil"/>
              <w:bottom w:val="nil"/>
              <w:right w:val="nil"/>
            </w:tcBorders>
          </w:tcPr>
          <w:p w14:paraId="1F0235F8" w14:textId="77777777" w:rsidR="001054C3" w:rsidRPr="00626D32" w:rsidRDefault="001054C3" w:rsidP="00234FBE">
            <w:pPr>
              <w:pStyle w:val="BoxSpaceBelow"/>
            </w:pPr>
          </w:p>
        </w:tc>
      </w:tr>
    </w:tbl>
    <w:p w14:paraId="67AE3B6D" w14:textId="77777777" w:rsidR="001054C3" w:rsidRDefault="001054C3" w:rsidP="00234FBE">
      <w:pPr>
        <w:pStyle w:val="BoxSpaceAbove"/>
      </w:pPr>
    </w:p>
    <w:tbl>
      <w:tblPr>
        <w:tblW w:w="5000" w:type="pct"/>
        <w:tblBorders>
          <w:top w:val="single" w:sz="6" w:space="0" w:color="78A22F" w:themeColor="accent1"/>
          <w:bottom w:val="single" w:sz="6" w:space="0" w:color="78A22F" w:themeColor="accent1"/>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59745031" w14:textId="77777777" w:rsidTr="00DE301C">
        <w:trPr>
          <w:tblHeader/>
        </w:trPr>
        <w:tc>
          <w:tcPr>
            <w:tcW w:w="5000" w:type="pct"/>
            <w:shd w:val="clear" w:color="auto" w:fill="auto"/>
          </w:tcPr>
          <w:p w14:paraId="222AA7CE" w14:textId="2E3168FC" w:rsidR="001054C3" w:rsidRPr="00A41064" w:rsidRDefault="001054C3" w:rsidP="00234FBE">
            <w:pPr>
              <w:pStyle w:val="TableTitle"/>
            </w:pPr>
            <w:r>
              <w:rPr>
                <w:b w:val="0"/>
              </w:rPr>
              <w:t>Table C.1</w:t>
            </w:r>
            <w:r>
              <w:tab/>
            </w:r>
            <w:r w:rsidRPr="0021524F">
              <w:rPr>
                <w:b w:val="0"/>
                <w:sz w:val="18"/>
                <w:szCs w:val="18"/>
              </w:rPr>
              <w:t>(continued)</w:t>
            </w:r>
          </w:p>
        </w:tc>
      </w:tr>
      <w:tr w:rsidR="001054C3" w14:paraId="45DDE24E" w14:textId="77777777" w:rsidTr="00DE301C">
        <w:tc>
          <w:tcPr>
            <w:tcW w:w="5000" w:type="pct"/>
            <w:shd w:val="clear" w:color="auto" w:fill="auto"/>
          </w:tcPr>
          <w:tbl>
            <w:tblPr>
              <w:tblW w:w="4999" w:type="pct"/>
              <w:tblCellMar>
                <w:top w:w="28" w:type="dxa"/>
                <w:left w:w="0" w:type="dxa"/>
                <w:right w:w="0" w:type="dxa"/>
              </w:tblCellMar>
              <w:tblLook w:val="0000" w:firstRow="0" w:lastRow="0" w:firstColumn="0" w:lastColumn="0" w:noHBand="0" w:noVBand="0"/>
            </w:tblPr>
            <w:tblGrid>
              <w:gridCol w:w="6480"/>
              <w:gridCol w:w="1804"/>
              <w:gridCol w:w="219"/>
            </w:tblGrid>
            <w:tr w:rsidR="001054C3" w14:paraId="45398DFF" w14:textId="77777777" w:rsidTr="00234FBE">
              <w:trPr>
                <w:tblHeader/>
              </w:trPr>
              <w:tc>
                <w:tcPr>
                  <w:tcW w:w="381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5E355725" w14:textId="77777777" w:rsidR="001054C3" w:rsidRDefault="001054C3" w:rsidP="00234FBE">
                  <w:pPr>
                    <w:pStyle w:val="TableColumnHeading"/>
                    <w:jc w:val="left"/>
                  </w:pPr>
                  <w:r>
                    <w:t>Participants</w:t>
                  </w:r>
                </w:p>
              </w:tc>
              <w:tc>
                <w:tcPr>
                  <w:tcW w:w="1061"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3F5CFD22" w14:textId="77777777" w:rsidR="001054C3" w:rsidRDefault="001054C3" w:rsidP="00234FBE">
                  <w:pPr>
                    <w:pStyle w:val="TableColumnHeading"/>
                    <w:jc w:val="left"/>
                  </w:pPr>
                  <w:r>
                    <w:t>Submission number</w:t>
                  </w:r>
                </w:p>
              </w:tc>
              <w:tc>
                <w:tcPr>
                  <w:tcW w:w="129"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6D67E142" w14:textId="77777777" w:rsidR="001054C3" w:rsidRDefault="001054C3" w:rsidP="00234FBE">
                  <w:pPr>
                    <w:pStyle w:val="TableColumnHeading"/>
                    <w:ind w:right="28"/>
                  </w:pPr>
                </w:p>
              </w:tc>
            </w:tr>
            <w:tr w:rsidR="001054C3" w14:paraId="436F58FE" w14:textId="77777777" w:rsidTr="00234FBE">
              <w:tc>
                <w:tcPr>
                  <w:tcW w:w="3810" w:type="pct"/>
                  <w:shd w:val="clear" w:color="auto" w:fill="auto"/>
                </w:tcPr>
                <w:p w14:paraId="4C095491" w14:textId="77777777" w:rsidR="001054C3" w:rsidRPr="0099769D" w:rsidRDefault="001054C3" w:rsidP="00234FBE">
                  <w:pPr>
                    <w:pStyle w:val="TableBodyText"/>
                    <w:jc w:val="left"/>
                  </w:pPr>
                  <w:r>
                    <w:t>Reeves, Anne</w:t>
                  </w:r>
                </w:p>
              </w:tc>
              <w:tc>
                <w:tcPr>
                  <w:tcW w:w="1061" w:type="pct"/>
                  <w:shd w:val="clear" w:color="auto" w:fill="auto"/>
                </w:tcPr>
                <w:p w14:paraId="1CFE0BDB" w14:textId="77777777" w:rsidR="001054C3" w:rsidRPr="0099769D" w:rsidRDefault="001054C3" w:rsidP="00234FBE">
                  <w:pPr>
                    <w:pStyle w:val="TableBodyText"/>
                  </w:pPr>
                  <w:r>
                    <w:t>DR165</w:t>
                  </w:r>
                </w:p>
              </w:tc>
              <w:tc>
                <w:tcPr>
                  <w:tcW w:w="129" w:type="pct"/>
                  <w:shd w:val="clear" w:color="auto" w:fill="auto"/>
                </w:tcPr>
                <w:p w14:paraId="5919877B" w14:textId="77777777" w:rsidR="001054C3" w:rsidRDefault="001054C3" w:rsidP="00234FBE">
                  <w:pPr>
                    <w:pStyle w:val="TableBodyText"/>
                    <w:ind w:right="28"/>
                  </w:pPr>
                </w:p>
              </w:tc>
            </w:tr>
            <w:tr w:rsidR="001054C3" w14:paraId="206FD309" w14:textId="77777777" w:rsidTr="00234FBE">
              <w:tc>
                <w:tcPr>
                  <w:tcW w:w="3810" w:type="pct"/>
                  <w:shd w:val="clear" w:color="auto" w:fill="auto"/>
                </w:tcPr>
                <w:p w14:paraId="21B5E3EA" w14:textId="77777777" w:rsidR="001054C3" w:rsidRDefault="001054C3" w:rsidP="00234FBE">
                  <w:pPr>
                    <w:pStyle w:val="TableBodyText"/>
                    <w:jc w:val="left"/>
                  </w:pPr>
                  <w:r>
                    <w:t>Riverina and Murray Joint Organisation (RAMJO)</w:t>
                  </w:r>
                </w:p>
              </w:tc>
              <w:tc>
                <w:tcPr>
                  <w:tcW w:w="1061" w:type="pct"/>
                  <w:shd w:val="clear" w:color="auto" w:fill="auto"/>
                </w:tcPr>
                <w:p w14:paraId="59F5411A" w14:textId="77777777" w:rsidR="001054C3" w:rsidRDefault="001054C3" w:rsidP="00234FBE">
                  <w:pPr>
                    <w:pStyle w:val="TableBodyText"/>
                  </w:pPr>
                  <w:r>
                    <w:t>28</w:t>
                  </w:r>
                </w:p>
              </w:tc>
              <w:tc>
                <w:tcPr>
                  <w:tcW w:w="129" w:type="pct"/>
                  <w:shd w:val="clear" w:color="auto" w:fill="auto"/>
                </w:tcPr>
                <w:p w14:paraId="30CF6C05" w14:textId="77777777" w:rsidR="001054C3" w:rsidRDefault="001054C3" w:rsidP="00234FBE">
                  <w:pPr>
                    <w:pStyle w:val="TableBodyText"/>
                    <w:ind w:right="28"/>
                  </w:pPr>
                  <w:r>
                    <w:t>#</w:t>
                  </w:r>
                </w:p>
              </w:tc>
            </w:tr>
            <w:tr w:rsidR="001054C3" w14:paraId="7BA0A2C1" w14:textId="77777777" w:rsidTr="00234FBE">
              <w:tc>
                <w:tcPr>
                  <w:tcW w:w="3810" w:type="pct"/>
                  <w:shd w:val="clear" w:color="auto" w:fill="auto"/>
                </w:tcPr>
                <w:p w14:paraId="7CFFC43A" w14:textId="77777777" w:rsidR="001054C3" w:rsidRDefault="001054C3" w:rsidP="00234FBE">
                  <w:pPr>
                    <w:pStyle w:val="TableBodyText"/>
                    <w:jc w:val="left"/>
                  </w:pPr>
                  <w:r>
                    <w:t>Rothacker, Alan</w:t>
                  </w:r>
                </w:p>
              </w:tc>
              <w:tc>
                <w:tcPr>
                  <w:tcW w:w="1061" w:type="pct"/>
                  <w:shd w:val="clear" w:color="auto" w:fill="auto"/>
                </w:tcPr>
                <w:p w14:paraId="7B17DB9B" w14:textId="77777777" w:rsidR="001054C3" w:rsidRDefault="001054C3" w:rsidP="00234FBE">
                  <w:pPr>
                    <w:pStyle w:val="TableBodyText"/>
                  </w:pPr>
                  <w:r>
                    <w:t>DR154</w:t>
                  </w:r>
                </w:p>
              </w:tc>
              <w:tc>
                <w:tcPr>
                  <w:tcW w:w="129" w:type="pct"/>
                  <w:shd w:val="clear" w:color="auto" w:fill="auto"/>
                </w:tcPr>
                <w:p w14:paraId="5D50B0EF" w14:textId="77777777" w:rsidR="001054C3" w:rsidRDefault="001054C3" w:rsidP="00234FBE">
                  <w:pPr>
                    <w:pStyle w:val="TableBodyText"/>
                    <w:ind w:right="28"/>
                  </w:pPr>
                </w:p>
              </w:tc>
            </w:tr>
            <w:tr w:rsidR="001054C3" w14:paraId="6F54A91E" w14:textId="77777777" w:rsidTr="00234FBE">
              <w:tc>
                <w:tcPr>
                  <w:tcW w:w="3810" w:type="pct"/>
                  <w:shd w:val="clear" w:color="auto" w:fill="auto"/>
                </w:tcPr>
                <w:p w14:paraId="5C90AF76" w14:textId="77777777" w:rsidR="001054C3" w:rsidRDefault="001054C3" w:rsidP="00234FBE">
                  <w:pPr>
                    <w:pStyle w:val="TableBodyText"/>
                    <w:jc w:val="left"/>
                  </w:pPr>
                  <w:r>
                    <w:t>Shearman, Prof. David</w:t>
                  </w:r>
                </w:p>
              </w:tc>
              <w:tc>
                <w:tcPr>
                  <w:tcW w:w="1061" w:type="pct"/>
                  <w:shd w:val="clear" w:color="auto" w:fill="auto"/>
                </w:tcPr>
                <w:p w14:paraId="35A82AB1" w14:textId="77777777" w:rsidR="001054C3" w:rsidRDefault="001054C3" w:rsidP="00234FBE">
                  <w:pPr>
                    <w:pStyle w:val="TableBodyText"/>
                  </w:pPr>
                  <w:r>
                    <w:t>DR126</w:t>
                  </w:r>
                </w:p>
              </w:tc>
              <w:tc>
                <w:tcPr>
                  <w:tcW w:w="129" w:type="pct"/>
                  <w:shd w:val="clear" w:color="auto" w:fill="auto"/>
                </w:tcPr>
                <w:p w14:paraId="0F7AA690" w14:textId="77777777" w:rsidR="001054C3" w:rsidRDefault="001054C3" w:rsidP="00234FBE">
                  <w:pPr>
                    <w:pStyle w:val="TableBodyText"/>
                    <w:ind w:right="28"/>
                  </w:pPr>
                </w:p>
              </w:tc>
            </w:tr>
            <w:tr w:rsidR="001054C3" w14:paraId="48FFEBD0" w14:textId="77777777" w:rsidTr="00234FBE">
              <w:tc>
                <w:tcPr>
                  <w:tcW w:w="3810" w:type="pct"/>
                  <w:shd w:val="clear" w:color="auto" w:fill="auto"/>
                </w:tcPr>
                <w:p w14:paraId="1DE8D6B1" w14:textId="77777777" w:rsidR="001054C3" w:rsidRPr="0099769D" w:rsidRDefault="001054C3" w:rsidP="00234FBE">
                  <w:pPr>
                    <w:pStyle w:val="TableBodyText"/>
                    <w:jc w:val="left"/>
                  </w:pPr>
                  <w:r w:rsidRPr="0099769D">
                    <w:t>Smit, Michael; Jones, Adam; Fane, Simon; Philpot, Chris; and Butler, Reid</w:t>
                  </w:r>
                </w:p>
              </w:tc>
              <w:tc>
                <w:tcPr>
                  <w:tcW w:w="1061" w:type="pct"/>
                  <w:shd w:val="clear" w:color="auto" w:fill="auto"/>
                </w:tcPr>
                <w:p w14:paraId="08810245" w14:textId="77777777" w:rsidR="001054C3" w:rsidRPr="0099769D" w:rsidRDefault="001054C3" w:rsidP="00234FBE">
                  <w:pPr>
                    <w:pStyle w:val="TableBodyText"/>
                  </w:pPr>
                  <w:r w:rsidRPr="0099769D">
                    <w:t>31</w:t>
                  </w:r>
                </w:p>
              </w:tc>
              <w:tc>
                <w:tcPr>
                  <w:tcW w:w="129" w:type="pct"/>
                  <w:shd w:val="clear" w:color="auto" w:fill="auto"/>
                </w:tcPr>
                <w:p w14:paraId="5840CCDC" w14:textId="77777777" w:rsidR="001054C3" w:rsidRDefault="001054C3" w:rsidP="00234FBE">
                  <w:pPr>
                    <w:pStyle w:val="TableBodyText"/>
                    <w:ind w:right="28"/>
                  </w:pPr>
                </w:p>
              </w:tc>
            </w:tr>
            <w:tr w:rsidR="001054C3" w14:paraId="6779004D" w14:textId="77777777" w:rsidTr="00234FBE">
              <w:tc>
                <w:tcPr>
                  <w:tcW w:w="3810" w:type="pct"/>
                  <w:shd w:val="clear" w:color="auto" w:fill="auto"/>
                </w:tcPr>
                <w:p w14:paraId="1D0666E0" w14:textId="77777777" w:rsidR="001054C3" w:rsidRPr="0099769D" w:rsidRDefault="001054C3" w:rsidP="00234FBE">
                  <w:pPr>
                    <w:pStyle w:val="TableBodyText"/>
                    <w:jc w:val="left"/>
                  </w:pPr>
                  <w:r>
                    <w:t>Smit, Michael, Jones, Adam</w:t>
                  </w:r>
                </w:p>
              </w:tc>
              <w:tc>
                <w:tcPr>
                  <w:tcW w:w="1061" w:type="pct"/>
                  <w:shd w:val="clear" w:color="auto" w:fill="auto"/>
                </w:tcPr>
                <w:p w14:paraId="19A570D3" w14:textId="77777777" w:rsidR="001054C3" w:rsidRPr="0099769D" w:rsidRDefault="001054C3" w:rsidP="00234FBE">
                  <w:pPr>
                    <w:pStyle w:val="TableBodyText"/>
                  </w:pPr>
                  <w:r>
                    <w:t>DR146</w:t>
                  </w:r>
                </w:p>
              </w:tc>
              <w:tc>
                <w:tcPr>
                  <w:tcW w:w="129" w:type="pct"/>
                  <w:shd w:val="clear" w:color="auto" w:fill="auto"/>
                </w:tcPr>
                <w:p w14:paraId="7AE61322" w14:textId="77777777" w:rsidR="001054C3" w:rsidRDefault="001054C3" w:rsidP="00234FBE">
                  <w:pPr>
                    <w:pStyle w:val="TableBodyText"/>
                    <w:ind w:right="28"/>
                  </w:pPr>
                </w:p>
              </w:tc>
            </w:tr>
            <w:tr w:rsidR="001054C3" w14:paraId="1743CD86" w14:textId="77777777" w:rsidTr="00234FBE">
              <w:tc>
                <w:tcPr>
                  <w:tcW w:w="3810" w:type="pct"/>
                  <w:shd w:val="clear" w:color="auto" w:fill="auto"/>
                </w:tcPr>
                <w:p w14:paraId="280D7B0B" w14:textId="77777777" w:rsidR="001054C3" w:rsidRPr="0099769D" w:rsidRDefault="001054C3" w:rsidP="00234FBE">
                  <w:pPr>
                    <w:pStyle w:val="TableBodyText"/>
                    <w:jc w:val="left"/>
                  </w:pPr>
                  <w:r w:rsidRPr="0099769D">
                    <w:t xml:space="preserve">Smith, Eleanor </w:t>
                  </w:r>
                </w:p>
              </w:tc>
              <w:tc>
                <w:tcPr>
                  <w:tcW w:w="1061" w:type="pct"/>
                  <w:shd w:val="clear" w:color="auto" w:fill="auto"/>
                </w:tcPr>
                <w:p w14:paraId="28360C25" w14:textId="77777777" w:rsidR="001054C3" w:rsidRPr="0099769D" w:rsidRDefault="001054C3" w:rsidP="00234FBE">
                  <w:pPr>
                    <w:pStyle w:val="TableBodyText"/>
                  </w:pPr>
                  <w:r w:rsidRPr="0099769D">
                    <w:t>52</w:t>
                  </w:r>
                </w:p>
              </w:tc>
              <w:tc>
                <w:tcPr>
                  <w:tcW w:w="129" w:type="pct"/>
                  <w:shd w:val="clear" w:color="auto" w:fill="auto"/>
                </w:tcPr>
                <w:p w14:paraId="3C7CB54B" w14:textId="77777777" w:rsidR="001054C3" w:rsidRDefault="001054C3" w:rsidP="00234FBE">
                  <w:pPr>
                    <w:pStyle w:val="TableBodyText"/>
                    <w:ind w:right="28"/>
                  </w:pPr>
                </w:p>
              </w:tc>
            </w:tr>
            <w:tr w:rsidR="001054C3" w14:paraId="61D1F3A1" w14:textId="77777777" w:rsidTr="00234FBE">
              <w:tc>
                <w:tcPr>
                  <w:tcW w:w="3810" w:type="pct"/>
                  <w:shd w:val="clear" w:color="auto" w:fill="auto"/>
                </w:tcPr>
                <w:p w14:paraId="1F3047E7" w14:textId="77777777" w:rsidR="001054C3" w:rsidRPr="0099769D" w:rsidRDefault="001054C3" w:rsidP="00234FBE">
                  <w:pPr>
                    <w:pStyle w:val="TableBodyText"/>
                    <w:jc w:val="left"/>
                  </w:pPr>
                  <w:r w:rsidRPr="0099769D">
                    <w:t xml:space="preserve">South Australian Chamber of Mines and Energy (SACOME) </w:t>
                  </w:r>
                </w:p>
              </w:tc>
              <w:tc>
                <w:tcPr>
                  <w:tcW w:w="1061" w:type="pct"/>
                  <w:shd w:val="clear" w:color="auto" w:fill="auto"/>
                </w:tcPr>
                <w:p w14:paraId="1A432191" w14:textId="77777777" w:rsidR="001054C3" w:rsidRPr="0099769D" w:rsidRDefault="001054C3" w:rsidP="00234FBE">
                  <w:pPr>
                    <w:pStyle w:val="TableBodyText"/>
                  </w:pPr>
                  <w:r w:rsidRPr="0099769D">
                    <w:t>18</w:t>
                  </w:r>
                </w:p>
              </w:tc>
              <w:tc>
                <w:tcPr>
                  <w:tcW w:w="129" w:type="pct"/>
                  <w:shd w:val="clear" w:color="auto" w:fill="auto"/>
                </w:tcPr>
                <w:p w14:paraId="1C6B7771" w14:textId="77777777" w:rsidR="001054C3" w:rsidRDefault="001054C3" w:rsidP="00234FBE">
                  <w:pPr>
                    <w:pStyle w:val="TableBodyText"/>
                    <w:ind w:right="28"/>
                  </w:pPr>
                </w:p>
              </w:tc>
            </w:tr>
            <w:tr w:rsidR="001054C3" w14:paraId="2C83A8C5" w14:textId="77777777" w:rsidTr="00234FBE">
              <w:tc>
                <w:tcPr>
                  <w:tcW w:w="3810" w:type="pct"/>
                  <w:shd w:val="clear" w:color="auto" w:fill="auto"/>
                </w:tcPr>
                <w:p w14:paraId="4E7C4F90" w14:textId="77777777" w:rsidR="001054C3" w:rsidRPr="0099769D" w:rsidRDefault="001054C3" w:rsidP="00234FBE">
                  <w:pPr>
                    <w:pStyle w:val="TableBodyText"/>
                    <w:jc w:val="left"/>
                  </w:pPr>
                  <w:r w:rsidRPr="0099769D">
                    <w:t xml:space="preserve">South Australian Council of Social Service (SACOSS) </w:t>
                  </w:r>
                </w:p>
              </w:tc>
              <w:tc>
                <w:tcPr>
                  <w:tcW w:w="1061" w:type="pct"/>
                  <w:shd w:val="clear" w:color="auto" w:fill="auto"/>
                </w:tcPr>
                <w:p w14:paraId="12052C9E" w14:textId="77777777" w:rsidR="001054C3" w:rsidRPr="00521F6F" w:rsidRDefault="001054C3" w:rsidP="00234FBE">
                  <w:pPr>
                    <w:pStyle w:val="TableBodyText"/>
                    <w:rPr>
                      <w:lang w:val="en-US"/>
                    </w:rPr>
                  </w:pPr>
                  <w:r w:rsidRPr="0099769D">
                    <w:t>74</w:t>
                  </w:r>
                  <w:r>
                    <w:t xml:space="preserve"> #, DR176</w:t>
                  </w:r>
                </w:p>
              </w:tc>
              <w:tc>
                <w:tcPr>
                  <w:tcW w:w="129" w:type="pct"/>
                  <w:shd w:val="clear" w:color="auto" w:fill="auto"/>
                </w:tcPr>
                <w:p w14:paraId="6B8D730D" w14:textId="3D082470" w:rsidR="001054C3" w:rsidRDefault="00AB0B9A" w:rsidP="00234FBE">
                  <w:pPr>
                    <w:pStyle w:val="TableBodyText"/>
                    <w:ind w:right="28"/>
                  </w:pPr>
                  <w:r>
                    <w:t>#</w:t>
                  </w:r>
                </w:p>
              </w:tc>
            </w:tr>
            <w:tr w:rsidR="001054C3" w14:paraId="7C856D17" w14:textId="77777777" w:rsidTr="00234FBE">
              <w:tc>
                <w:tcPr>
                  <w:tcW w:w="3810" w:type="pct"/>
                  <w:shd w:val="clear" w:color="auto" w:fill="auto"/>
                </w:tcPr>
                <w:p w14:paraId="51EE4889" w14:textId="77777777" w:rsidR="001054C3" w:rsidRPr="0099769D" w:rsidRDefault="001054C3" w:rsidP="00234FBE">
                  <w:pPr>
                    <w:pStyle w:val="TableBodyText"/>
                    <w:jc w:val="left"/>
                  </w:pPr>
                  <w:r w:rsidRPr="0099769D">
                    <w:t xml:space="preserve">South East Water </w:t>
                  </w:r>
                </w:p>
              </w:tc>
              <w:tc>
                <w:tcPr>
                  <w:tcW w:w="1061" w:type="pct"/>
                  <w:shd w:val="clear" w:color="auto" w:fill="auto"/>
                </w:tcPr>
                <w:p w14:paraId="3D6187BC" w14:textId="77777777" w:rsidR="001054C3" w:rsidRPr="0099769D" w:rsidRDefault="001054C3" w:rsidP="00234FBE">
                  <w:pPr>
                    <w:pStyle w:val="TableBodyText"/>
                  </w:pPr>
                  <w:r w:rsidRPr="0099769D">
                    <w:t>106</w:t>
                  </w:r>
                </w:p>
              </w:tc>
              <w:tc>
                <w:tcPr>
                  <w:tcW w:w="129" w:type="pct"/>
                  <w:shd w:val="clear" w:color="auto" w:fill="auto"/>
                </w:tcPr>
                <w:p w14:paraId="61A11A93" w14:textId="77777777" w:rsidR="001054C3" w:rsidRDefault="001054C3" w:rsidP="00234FBE">
                  <w:pPr>
                    <w:pStyle w:val="TableBodyText"/>
                    <w:ind w:right="28"/>
                  </w:pPr>
                </w:p>
              </w:tc>
            </w:tr>
            <w:tr w:rsidR="001054C3" w14:paraId="2173DEA9" w14:textId="77777777" w:rsidTr="00234FBE">
              <w:tc>
                <w:tcPr>
                  <w:tcW w:w="3810" w:type="pct"/>
                  <w:shd w:val="clear" w:color="auto" w:fill="auto"/>
                </w:tcPr>
                <w:p w14:paraId="25B6F694" w14:textId="77777777" w:rsidR="001054C3" w:rsidRPr="0099769D" w:rsidRDefault="001054C3" w:rsidP="00234FBE">
                  <w:pPr>
                    <w:pStyle w:val="TableBodyText"/>
                    <w:jc w:val="left"/>
                  </w:pPr>
                  <w:r w:rsidRPr="0099769D">
                    <w:t xml:space="preserve">Southern Riverina Irrigators (SRI) </w:t>
                  </w:r>
                </w:p>
              </w:tc>
              <w:tc>
                <w:tcPr>
                  <w:tcW w:w="1061" w:type="pct"/>
                  <w:shd w:val="clear" w:color="auto" w:fill="auto"/>
                </w:tcPr>
                <w:p w14:paraId="771E62E7" w14:textId="77777777" w:rsidR="001054C3" w:rsidRPr="0099769D" w:rsidRDefault="001054C3" w:rsidP="00234FBE">
                  <w:pPr>
                    <w:pStyle w:val="TableBodyText"/>
                  </w:pPr>
                  <w:r w:rsidRPr="0099769D">
                    <w:t>77</w:t>
                  </w:r>
                </w:p>
              </w:tc>
              <w:tc>
                <w:tcPr>
                  <w:tcW w:w="129" w:type="pct"/>
                  <w:shd w:val="clear" w:color="auto" w:fill="auto"/>
                </w:tcPr>
                <w:p w14:paraId="63C541A2" w14:textId="77777777" w:rsidR="001054C3" w:rsidRDefault="001054C3" w:rsidP="00234FBE">
                  <w:pPr>
                    <w:pStyle w:val="TableBodyText"/>
                    <w:ind w:right="28"/>
                  </w:pPr>
                </w:p>
              </w:tc>
            </w:tr>
            <w:tr w:rsidR="001054C3" w14:paraId="0C396D6F" w14:textId="77777777" w:rsidTr="00234FBE">
              <w:tc>
                <w:tcPr>
                  <w:tcW w:w="3810" w:type="pct"/>
                  <w:shd w:val="clear" w:color="auto" w:fill="auto"/>
                </w:tcPr>
                <w:p w14:paraId="7531C811" w14:textId="77777777" w:rsidR="001054C3" w:rsidRPr="0099769D" w:rsidRDefault="001054C3" w:rsidP="00234FBE">
                  <w:pPr>
                    <w:pStyle w:val="TableBodyText"/>
                    <w:jc w:val="left"/>
                  </w:pPr>
                  <w:r w:rsidRPr="0099769D">
                    <w:t xml:space="preserve">Stormwater Australia </w:t>
                  </w:r>
                </w:p>
              </w:tc>
              <w:tc>
                <w:tcPr>
                  <w:tcW w:w="1061" w:type="pct"/>
                  <w:shd w:val="clear" w:color="auto" w:fill="auto"/>
                </w:tcPr>
                <w:p w14:paraId="11D529BE" w14:textId="77777777" w:rsidR="001054C3" w:rsidRPr="0099769D" w:rsidRDefault="001054C3" w:rsidP="00234FBE">
                  <w:pPr>
                    <w:pStyle w:val="TableBodyText"/>
                  </w:pPr>
                  <w:r w:rsidRPr="0099769D">
                    <w:t>38</w:t>
                  </w:r>
                </w:p>
              </w:tc>
              <w:tc>
                <w:tcPr>
                  <w:tcW w:w="129" w:type="pct"/>
                  <w:shd w:val="clear" w:color="auto" w:fill="auto"/>
                </w:tcPr>
                <w:p w14:paraId="39AF115A" w14:textId="77777777" w:rsidR="001054C3" w:rsidRDefault="001054C3" w:rsidP="00234FBE">
                  <w:pPr>
                    <w:pStyle w:val="TableBodyText"/>
                    <w:ind w:right="28"/>
                  </w:pPr>
                </w:p>
              </w:tc>
            </w:tr>
            <w:tr w:rsidR="001054C3" w14:paraId="297CA2B2" w14:textId="77777777" w:rsidTr="00234FBE">
              <w:tc>
                <w:tcPr>
                  <w:tcW w:w="3810" w:type="pct"/>
                  <w:shd w:val="clear" w:color="auto" w:fill="auto"/>
                </w:tcPr>
                <w:p w14:paraId="1227F698" w14:textId="77777777" w:rsidR="001054C3" w:rsidRPr="0099769D" w:rsidRDefault="001054C3" w:rsidP="00234FBE">
                  <w:pPr>
                    <w:pStyle w:val="TableBodyText"/>
                    <w:jc w:val="left"/>
                  </w:pPr>
                  <w:r>
                    <w:t>Stormwater NSW</w:t>
                  </w:r>
                </w:p>
              </w:tc>
              <w:tc>
                <w:tcPr>
                  <w:tcW w:w="1061" w:type="pct"/>
                  <w:shd w:val="clear" w:color="auto" w:fill="auto"/>
                </w:tcPr>
                <w:p w14:paraId="222BF2B2" w14:textId="77777777" w:rsidR="001054C3" w:rsidRPr="0099769D" w:rsidRDefault="001054C3" w:rsidP="00234FBE">
                  <w:pPr>
                    <w:pStyle w:val="TableBodyText"/>
                  </w:pPr>
                  <w:r>
                    <w:t>DR169</w:t>
                  </w:r>
                </w:p>
              </w:tc>
              <w:tc>
                <w:tcPr>
                  <w:tcW w:w="129" w:type="pct"/>
                  <w:shd w:val="clear" w:color="auto" w:fill="auto"/>
                </w:tcPr>
                <w:p w14:paraId="0B0A6977" w14:textId="77777777" w:rsidR="001054C3" w:rsidRDefault="001054C3" w:rsidP="00234FBE">
                  <w:pPr>
                    <w:pStyle w:val="TableBodyText"/>
                    <w:ind w:right="28"/>
                  </w:pPr>
                </w:p>
              </w:tc>
            </w:tr>
            <w:tr w:rsidR="001054C3" w14:paraId="63C64739" w14:textId="77777777" w:rsidTr="00234FBE">
              <w:tc>
                <w:tcPr>
                  <w:tcW w:w="3810" w:type="pct"/>
                  <w:shd w:val="clear" w:color="auto" w:fill="auto"/>
                </w:tcPr>
                <w:p w14:paraId="2D7A3D70" w14:textId="77777777" w:rsidR="001054C3" w:rsidRPr="0099769D" w:rsidRDefault="001054C3" w:rsidP="00234FBE">
                  <w:pPr>
                    <w:pStyle w:val="TableBodyText"/>
                    <w:jc w:val="left"/>
                  </w:pPr>
                  <w:r>
                    <w:t>Stormwater Shepherds</w:t>
                  </w:r>
                </w:p>
              </w:tc>
              <w:tc>
                <w:tcPr>
                  <w:tcW w:w="1061" w:type="pct"/>
                  <w:shd w:val="clear" w:color="auto" w:fill="auto"/>
                </w:tcPr>
                <w:p w14:paraId="4593C30F" w14:textId="77777777" w:rsidR="001054C3" w:rsidRPr="0099769D" w:rsidRDefault="001054C3" w:rsidP="00234FBE">
                  <w:pPr>
                    <w:pStyle w:val="TableBodyText"/>
                  </w:pPr>
                  <w:r>
                    <w:t>DR163</w:t>
                  </w:r>
                </w:p>
              </w:tc>
              <w:tc>
                <w:tcPr>
                  <w:tcW w:w="129" w:type="pct"/>
                  <w:shd w:val="clear" w:color="auto" w:fill="auto"/>
                </w:tcPr>
                <w:p w14:paraId="50AEFA54" w14:textId="77777777" w:rsidR="001054C3" w:rsidRDefault="001054C3" w:rsidP="00234FBE">
                  <w:pPr>
                    <w:pStyle w:val="TableBodyText"/>
                    <w:ind w:right="28"/>
                  </w:pPr>
                  <w:r>
                    <w:t>#</w:t>
                  </w:r>
                </w:p>
              </w:tc>
            </w:tr>
            <w:tr w:rsidR="001054C3" w14:paraId="0999C6FB" w14:textId="77777777" w:rsidTr="00234FBE">
              <w:tc>
                <w:tcPr>
                  <w:tcW w:w="3810" w:type="pct"/>
                  <w:shd w:val="clear" w:color="auto" w:fill="auto"/>
                </w:tcPr>
                <w:p w14:paraId="48A74653" w14:textId="77777777" w:rsidR="001054C3" w:rsidRPr="0099769D" w:rsidRDefault="001054C3" w:rsidP="00234FBE">
                  <w:pPr>
                    <w:pStyle w:val="TableBodyText"/>
                    <w:jc w:val="left"/>
                  </w:pPr>
                  <w:r w:rsidRPr="0099769D">
                    <w:t xml:space="preserve">SunRice and Ricegrowers’ Association of Australia (RGA) </w:t>
                  </w:r>
                </w:p>
              </w:tc>
              <w:tc>
                <w:tcPr>
                  <w:tcW w:w="1061" w:type="pct"/>
                  <w:shd w:val="clear" w:color="auto" w:fill="auto"/>
                </w:tcPr>
                <w:p w14:paraId="5441B837" w14:textId="77777777" w:rsidR="001054C3" w:rsidRPr="0099769D" w:rsidRDefault="001054C3" w:rsidP="00234FBE">
                  <w:pPr>
                    <w:pStyle w:val="TableBodyText"/>
                  </w:pPr>
                  <w:r w:rsidRPr="0099769D">
                    <w:t>82</w:t>
                  </w:r>
                  <w:r>
                    <w:t>, DR181</w:t>
                  </w:r>
                </w:p>
              </w:tc>
              <w:tc>
                <w:tcPr>
                  <w:tcW w:w="129" w:type="pct"/>
                  <w:shd w:val="clear" w:color="auto" w:fill="auto"/>
                </w:tcPr>
                <w:p w14:paraId="7844FC8E" w14:textId="77777777" w:rsidR="001054C3" w:rsidRDefault="001054C3" w:rsidP="00234FBE">
                  <w:pPr>
                    <w:pStyle w:val="TableBodyText"/>
                    <w:ind w:right="28"/>
                  </w:pPr>
                </w:p>
              </w:tc>
            </w:tr>
            <w:tr w:rsidR="001054C3" w14:paraId="3BF66041" w14:textId="77777777" w:rsidTr="00234FBE">
              <w:tc>
                <w:tcPr>
                  <w:tcW w:w="3810" w:type="pct"/>
                  <w:shd w:val="clear" w:color="auto" w:fill="auto"/>
                </w:tcPr>
                <w:p w14:paraId="6B73342B" w14:textId="77777777" w:rsidR="001054C3" w:rsidRPr="0099769D" w:rsidRDefault="001054C3" w:rsidP="00234FBE">
                  <w:pPr>
                    <w:pStyle w:val="TableBodyText"/>
                    <w:jc w:val="left"/>
                  </w:pPr>
                  <w:r w:rsidRPr="0099769D">
                    <w:t xml:space="preserve">Sustainable Population Australia (SPA) </w:t>
                  </w:r>
                </w:p>
              </w:tc>
              <w:tc>
                <w:tcPr>
                  <w:tcW w:w="1061" w:type="pct"/>
                  <w:shd w:val="clear" w:color="auto" w:fill="auto"/>
                </w:tcPr>
                <w:p w14:paraId="3DA53D2C" w14:textId="77777777" w:rsidR="001054C3" w:rsidRPr="0099769D" w:rsidRDefault="001054C3" w:rsidP="00234FBE">
                  <w:pPr>
                    <w:pStyle w:val="TableBodyText"/>
                  </w:pPr>
                  <w:r w:rsidRPr="0099769D">
                    <w:t>33</w:t>
                  </w:r>
                  <w:r>
                    <w:t>, DR123</w:t>
                  </w:r>
                </w:p>
              </w:tc>
              <w:tc>
                <w:tcPr>
                  <w:tcW w:w="129" w:type="pct"/>
                  <w:shd w:val="clear" w:color="auto" w:fill="auto"/>
                </w:tcPr>
                <w:p w14:paraId="07289C07" w14:textId="77777777" w:rsidR="001054C3" w:rsidRDefault="001054C3" w:rsidP="00234FBE">
                  <w:pPr>
                    <w:pStyle w:val="TableBodyText"/>
                    <w:ind w:right="28"/>
                  </w:pPr>
                </w:p>
              </w:tc>
            </w:tr>
            <w:tr w:rsidR="001054C3" w14:paraId="24746CD9" w14:textId="77777777" w:rsidTr="00234FBE">
              <w:tc>
                <w:tcPr>
                  <w:tcW w:w="3810" w:type="pct"/>
                  <w:shd w:val="clear" w:color="auto" w:fill="auto"/>
                </w:tcPr>
                <w:p w14:paraId="75D781CA" w14:textId="77777777" w:rsidR="001054C3" w:rsidRDefault="001054C3" w:rsidP="00234FBE">
                  <w:pPr>
                    <w:pStyle w:val="TableBodyText"/>
                    <w:jc w:val="left"/>
                  </w:pPr>
                  <w:r w:rsidRPr="0099769D">
                    <w:t xml:space="preserve">Sydney Coastal Councils Group (SCCG) </w:t>
                  </w:r>
                </w:p>
              </w:tc>
              <w:tc>
                <w:tcPr>
                  <w:tcW w:w="1061" w:type="pct"/>
                  <w:shd w:val="clear" w:color="auto" w:fill="auto"/>
                </w:tcPr>
                <w:p w14:paraId="679B1CF7" w14:textId="77777777" w:rsidR="001054C3" w:rsidRDefault="001054C3" w:rsidP="00234FBE">
                  <w:pPr>
                    <w:pStyle w:val="TableBodyText"/>
                  </w:pPr>
                  <w:r w:rsidRPr="0099769D">
                    <w:t>21</w:t>
                  </w:r>
                </w:p>
              </w:tc>
              <w:tc>
                <w:tcPr>
                  <w:tcW w:w="129" w:type="pct"/>
                  <w:shd w:val="clear" w:color="auto" w:fill="auto"/>
                </w:tcPr>
                <w:p w14:paraId="44B30FDD" w14:textId="77777777" w:rsidR="001054C3" w:rsidRDefault="001054C3" w:rsidP="00234FBE">
                  <w:pPr>
                    <w:pStyle w:val="TableBodyText"/>
                    <w:ind w:right="28"/>
                  </w:pPr>
                </w:p>
              </w:tc>
            </w:tr>
            <w:tr w:rsidR="001054C3" w14:paraId="46ECFD4F" w14:textId="77777777" w:rsidTr="00234FBE">
              <w:tc>
                <w:tcPr>
                  <w:tcW w:w="3810" w:type="pct"/>
                  <w:shd w:val="clear" w:color="auto" w:fill="auto"/>
                </w:tcPr>
                <w:p w14:paraId="21809953" w14:textId="77777777" w:rsidR="001054C3" w:rsidRDefault="001054C3" w:rsidP="00234FBE">
                  <w:pPr>
                    <w:pStyle w:val="TableBodyText"/>
                    <w:jc w:val="left"/>
                  </w:pPr>
                  <w:r w:rsidRPr="0099769D">
                    <w:t xml:space="preserve">Sydney Water </w:t>
                  </w:r>
                </w:p>
              </w:tc>
              <w:tc>
                <w:tcPr>
                  <w:tcW w:w="1061" w:type="pct"/>
                  <w:shd w:val="clear" w:color="auto" w:fill="auto"/>
                </w:tcPr>
                <w:p w14:paraId="5D86CC7C" w14:textId="77777777" w:rsidR="001054C3" w:rsidRDefault="001054C3" w:rsidP="00234FBE">
                  <w:pPr>
                    <w:pStyle w:val="TableBodyText"/>
                  </w:pPr>
                  <w:r w:rsidRPr="0099769D">
                    <w:t>94</w:t>
                  </w:r>
                  <w:r>
                    <w:t>, DR177</w:t>
                  </w:r>
                </w:p>
              </w:tc>
              <w:tc>
                <w:tcPr>
                  <w:tcW w:w="129" w:type="pct"/>
                  <w:shd w:val="clear" w:color="auto" w:fill="auto"/>
                </w:tcPr>
                <w:p w14:paraId="175F87E4" w14:textId="77777777" w:rsidR="001054C3" w:rsidRDefault="001054C3" w:rsidP="00234FBE">
                  <w:pPr>
                    <w:pStyle w:val="TableBodyText"/>
                    <w:ind w:right="28"/>
                  </w:pPr>
                </w:p>
              </w:tc>
            </w:tr>
            <w:tr w:rsidR="001054C3" w14:paraId="641DC8E6" w14:textId="77777777" w:rsidTr="00234FBE">
              <w:tc>
                <w:tcPr>
                  <w:tcW w:w="3810" w:type="pct"/>
                  <w:shd w:val="clear" w:color="auto" w:fill="auto"/>
                </w:tcPr>
                <w:p w14:paraId="0CBEA47B" w14:textId="77777777" w:rsidR="001054C3" w:rsidRPr="0099769D" w:rsidRDefault="001054C3" w:rsidP="00234FBE">
                  <w:pPr>
                    <w:pStyle w:val="TableBodyText"/>
                    <w:jc w:val="left"/>
                  </w:pPr>
                  <w:r>
                    <w:t>Talbot, Hayley</w:t>
                  </w:r>
                </w:p>
              </w:tc>
              <w:tc>
                <w:tcPr>
                  <w:tcW w:w="1061" w:type="pct"/>
                  <w:shd w:val="clear" w:color="auto" w:fill="auto"/>
                </w:tcPr>
                <w:p w14:paraId="08B8C1ED" w14:textId="77777777" w:rsidR="001054C3" w:rsidRPr="0099769D" w:rsidRDefault="001054C3" w:rsidP="00234FBE">
                  <w:pPr>
                    <w:pStyle w:val="TableBodyText"/>
                  </w:pPr>
                  <w:r>
                    <w:t>DR173</w:t>
                  </w:r>
                </w:p>
              </w:tc>
              <w:tc>
                <w:tcPr>
                  <w:tcW w:w="129" w:type="pct"/>
                  <w:shd w:val="clear" w:color="auto" w:fill="auto"/>
                </w:tcPr>
                <w:p w14:paraId="32F46043" w14:textId="77777777" w:rsidR="001054C3" w:rsidRDefault="001054C3" w:rsidP="00234FBE">
                  <w:pPr>
                    <w:pStyle w:val="TableBodyText"/>
                    <w:ind w:right="28"/>
                  </w:pPr>
                </w:p>
              </w:tc>
            </w:tr>
            <w:tr w:rsidR="001054C3" w14:paraId="64E4FA7F" w14:textId="77777777" w:rsidTr="00234FBE">
              <w:tc>
                <w:tcPr>
                  <w:tcW w:w="3810" w:type="pct"/>
                  <w:shd w:val="clear" w:color="auto" w:fill="auto"/>
                </w:tcPr>
                <w:p w14:paraId="65B1023C" w14:textId="77777777" w:rsidR="001054C3" w:rsidRDefault="001054C3" w:rsidP="00234FBE">
                  <w:pPr>
                    <w:pStyle w:val="TableBodyText"/>
                    <w:jc w:val="left"/>
                  </w:pPr>
                  <w:r w:rsidRPr="0099769D">
                    <w:t xml:space="preserve">TasWater </w:t>
                  </w:r>
                </w:p>
              </w:tc>
              <w:tc>
                <w:tcPr>
                  <w:tcW w:w="1061" w:type="pct"/>
                  <w:shd w:val="clear" w:color="auto" w:fill="auto"/>
                </w:tcPr>
                <w:p w14:paraId="52AF9A1A" w14:textId="77777777" w:rsidR="001054C3" w:rsidRDefault="001054C3" w:rsidP="00234FBE">
                  <w:pPr>
                    <w:pStyle w:val="TableBodyText"/>
                  </w:pPr>
                  <w:r w:rsidRPr="0099769D">
                    <w:t>11</w:t>
                  </w:r>
                </w:p>
              </w:tc>
              <w:tc>
                <w:tcPr>
                  <w:tcW w:w="129" w:type="pct"/>
                  <w:shd w:val="clear" w:color="auto" w:fill="auto"/>
                </w:tcPr>
                <w:p w14:paraId="35B7BD46" w14:textId="77777777" w:rsidR="001054C3" w:rsidRDefault="001054C3" w:rsidP="00234FBE">
                  <w:pPr>
                    <w:pStyle w:val="TableBodyText"/>
                    <w:ind w:right="28"/>
                  </w:pPr>
                </w:p>
              </w:tc>
            </w:tr>
            <w:tr w:rsidR="001054C3" w14:paraId="4724829E" w14:textId="77777777" w:rsidTr="00234FBE">
              <w:tc>
                <w:tcPr>
                  <w:tcW w:w="3810" w:type="pct"/>
                  <w:shd w:val="clear" w:color="auto" w:fill="auto"/>
                </w:tcPr>
                <w:p w14:paraId="3F6AD2B2" w14:textId="77777777" w:rsidR="001054C3" w:rsidRPr="0099769D" w:rsidRDefault="001054C3" w:rsidP="00234FBE">
                  <w:pPr>
                    <w:pStyle w:val="TableBodyText"/>
                    <w:jc w:val="left"/>
                  </w:pPr>
                  <w:r>
                    <w:t>Thompson, Trevor</w:t>
                  </w:r>
                </w:p>
              </w:tc>
              <w:tc>
                <w:tcPr>
                  <w:tcW w:w="1061" w:type="pct"/>
                  <w:shd w:val="clear" w:color="auto" w:fill="auto"/>
                </w:tcPr>
                <w:p w14:paraId="0021DA79" w14:textId="77777777" w:rsidR="001054C3" w:rsidRPr="0099769D" w:rsidRDefault="001054C3" w:rsidP="00234FBE">
                  <w:pPr>
                    <w:pStyle w:val="TableBodyText"/>
                  </w:pPr>
                  <w:r>
                    <w:t>DR118</w:t>
                  </w:r>
                </w:p>
              </w:tc>
              <w:tc>
                <w:tcPr>
                  <w:tcW w:w="129" w:type="pct"/>
                  <w:shd w:val="clear" w:color="auto" w:fill="auto"/>
                </w:tcPr>
                <w:p w14:paraId="2DC70556" w14:textId="77777777" w:rsidR="001054C3" w:rsidRDefault="001054C3" w:rsidP="00234FBE">
                  <w:pPr>
                    <w:pStyle w:val="TableBodyText"/>
                    <w:ind w:right="28"/>
                  </w:pPr>
                  <w:r>
                    <w:t>*</w:t>
                  </w:r>
                </w:p>
              </w:tc>
            </w:tr>
            <w:tr w:rsidR="001054C3" w14:paraId="32923051" w14:textId="77777777" w:rsidTr="00234FBE">
              <w:tc>
                <w:tcPr>
                  <w:tcW w:w="3810" w:type="pct"/>
                  <w:shd w:val="clear" w:color="auto" w:fill="auto"/>
                </w:tcPr>
                <w:p w14:paraId="5EB3CF79" w14:textId="77777777" w:rsidR="001054C3" w:rsidRDefault="001054C3" w:rsidP="00234FBE">
                  <w:pPr>
                    <w:pStyle w:val="TableBodyText"/>
                    <w:jc w:val="left"/>
                  </w:pPr>
                  <w:r w:rsidRPr="0099769D">
                    <w:t xml:space="preserve">Turnour, Andrew </w:t>
                  </w:r>
                </w:p>
              </w:tc>
              <w:tc>
                <w:tcPr>
                  <w:tcW w:w="1061" w:type="pct"/>
                  <w:shd w:val="clear" w:color="auto" w:fill="auto"/>
                </w:tcPr>
                <w:p w14:paraId="332B3A43" w14:textId="77777777" w:rsidR="001054C3" w:rsidRDefault="001054C3" w:rsidP="00234FBE">
                  <w:pPr>
                    <w:pStyle w:val="TableBodyText"/>
                  </w:pPr>
                  <w:r w:rsidRPr="0099769D">
                    <w:t>79</w:t>
                  </w:r>
                </w:p>
              </w:tc>
              <w:tc>
                <w:tcPr>
                  <w:tcW w:w="129" w:type="pct"/>
                  <w:shd w:val="clear" w:color="auto" w:fill="auto"/>
                </w:tcPr>
                <w:p w14:paraId="1C66E5FF" w14:textId="77777777" w:rsidR="001054C3" w:rsidRDefault="001054C3" w:rsidP="00234FBE">
                  <w:pPr>
                    <w:pStyle w:val="TableBodyText"/>
                    <w:ind w:right="28"/>
                  </w:pPr>
                </w:p>
              </w:tc>
            </w:tr>
            <w:tr w:rsidR="001054C3" w14:paraId="307331CD" w14:textId="77777777" w:rsidTr="00234FBE">
              <w:tc>
                <w:tcPr>
                  <w:tcW w:w="3810" w:type="pct"/>
                  <w:shd w:val="clear" w:color="auto" w:fill="auto"/>
                </w:tcPr>
                <w:p w14:paraId="2D54749C" w14:textId="77777777" w:rsidR="001054C3" w:rsidRDefault="001054C3" w:rsidP="00234FBE">
                  <w:pPr>
                    <w:pStyle w:val="TableBodyText"/>
                    <w:jc w:val="left"/>
                  </w:pPr>
                  <w:r w:rsidRPr="0099769D">
                    <w:t xml:space="preserve">Unitywater </w:t>
                  </w:r>
                </w:p>
              </w:tc>
              <w:tc>
                <w:tcPr>
                  <w:tcW w:w="1061" w:type="pct"/>
                  <w:shd w:val="clear" w:color="auto" w:fill="auto"/>
                </w:tcPr>
                <w:p w14:paraId="1C0A4EB4" w14:textId="77777777" w:rsidR="001054C3" w:rsidRDefault="001054C3" w:rsidP="00234FBE">
                  <w:pPr>
                    <w:pStyle w:val="TableBodyText"/>
                  </w:pPr>
                  <w:r w:rsidRPr="0099769D">
                    <w:t>44</w:t>
                  </w:r>
                  <w:r>
                    <w:t>, DR162</w:t>
                  </w:r>
                </w:p>
              </w:tc>
              <w:tc>
                <w:tcPr>
                  <w:tcW w:w="129" w:type="pct"/>
                  <w:shd w:val="clear" w:color="auto" w:fill="auto"/>
                </w:tcPr>
                <w:p w14:paraId="527A148C" w14:textId="77777777" w:rsidR="001054C3" w:rsidRDefault="001054C3" w:rsidP="00234FBE">
                  <w:pPr>
                    <w:pStyle w:val="TableBodyText"/>
                    <w:ind w:right="28"/>
                  </w:pPr>
                </w:p>
              </w:tc>
            </w:tr>
            <w:tr w:rsidR="001054C3" w14:paraId="61955272" w14:textId="77777777" w:rsidTr="00234FBE">
              <w:tc>
                <w:tcPr>
                  <w:tcW w:w="3810" w:type="pct"/>
                </w:tcPr>
                <w:p w14:paraId="4E4A5160" w14:textId="77777777" w:rsidR="001054C3" w:rsidRPr="0099769D" w:rsidRDefault="001054C3" w:rsidP="00DE301C">
                  <w:pPr>
                    <w:pStyle w:val="TableUnitsRow"/>
                    <w:spacing w:before="0"/>
                    <w:jc w:val="left"/>
                  </w:pPr>
                  <w:r w:rsidRPr="0099769D">
                    <w:t xml:space="preserve">Urban Utilities </w:t>
                  </w:r>
                </w:p>
              </w:tc>
              <w:tc>
                <w:tcPr>
                  <w:tcW w:w="1061" w:type="pct"/>
                </w:tcPr>
                <w:p w14:paraId="1420A9CB" w14:textId="77777777" w:rsidR="001054C3" w:rsidRPr="0099769D" w:rsidRDefault="001054C3" w:rsidP="00DE301C">
                  <w:pPr>
                    <w:pStyle w:val="TableUnitsRow"/>
                    <w:spacing w:before="0"/>
                  </w:pPr>
                  <w:r w:rsidRPr="0099769D">
                    <w:t>85</w:t>
                  </w:r>
                  <w:r>
                    <w:t>, DR166</w:t>
                  </w:r>
                </w:p>
              </w:tc>
              <w:tc>
                <w:tcPr>
                  <w:tcW w:w="129" w:type="pct"/>
                </w:tcPr>
                <w:p w14:paraId="441E8306" w14:textId="77777777" w:rsidR="001054C3" w:rsidRDefault="001054C3" w:rsidP="00DE301C">
                  <w:pPr>
                    <w:pStyle w:val="TableUnitsRow"/>
                    <w:spacing w:before="0"/>
                    <w:ind w:right="28"/>
                  </w:pPr>
                </w:p>
              </w:tc>
            </w:tr>
            <w:tr w:rsidR="001054C3" w14:paraId="28100B59" w14:textId="77777777" w:rsidTr="00234FBE">
              <w:tc>
                <w:tcPr>
                  <w:tcW w:w="3810" w:type="pct"/>
                </w:tcPr>
                <w:p w14:paraId="3888D461" w14:textId="77777777" w:rsidR="001054C3" w:rsidRPr="0099769D" w:rsidRDefault="001054C3" w:rsidP="00DE301C">
                  <w:pPr>
                    <w:pStyle w:val="TableUnitsRow"/>
                    <w:spacing w:before="0"/>
                    <w:jc w:val="left"/>
                  </w:pPr>
                  <w:r w:rsidRPr="0099769D">
                    <w:t xml:space="preserve">Urban Water Cycle Solutions; Kingspan Water and Energy </w:t>
                  </w:r>
                </w:p>
              </w:tc>
              <w:tc>
                <w:tcPr>
                  <w:tcW w:w="1061" w:type="pct"/>
                </w:tcPr>
                <w:p w14:paraId="74485577" w14:textId="77777777" w:rsidR="001054C3" w:rsidRPr="0099769D" w:rsidRDefault="001054C3" w:rsidP="00DE301C">
                  <w:pPr>
                    <w:pStyle w:val="TableUnitsRow"/>
                    <w:spacing w:before="0"/>
                  </w:pPr>
                  <w:r w:rsidRPr="0099769D">
                    <w:t>59</w:t>
                  </w:r>
                </w:p>
              </w:tc>
              <w:tc>
                <w:tcPr>
                  <w:tcW w:w="129" w:type="pct"/>
                </w:tcPr>
                <w:p w14:paraId="1603BA55" w14:textId="77777777" w:rsidR="001054C3" w:rsidRDefault="001054C3" w:rsidP="00DE301C">
                  <w:pPr>
                    <w:pStyle w:val="TableUnitsRow"/>
                    <w:spacing w:before="0"/>
                    <w:ind w:right="28"/>
                  </w:pPr>
                </w:p>
              </w:tc>
            </w:tr>
            <w:tr w:rsidR="001054C3" w14:paraId="629DCC45" w14:textId="77777777" w:rsidTr="00234FBE">
              <w:tc>
                <w:tcPr>
                  <w:tcW w:w="3810" w:type="pct"/>
                </w:tcPr>
                <w:p w14:paraId="0A901F37" w14:textId="77777777" w:rsidR="001054C3" w:rsidRPr="0099769D" w:rsidRDefault="001054C3" w:rsidP="00DE301C">
                  <w:pPr>
                    <w:pStyle w:val="TableUnitsRow"/>
                    <w:spacing w:before="0"/>
                    <w:jc w:val="left"/>
                  </w:pPr>
                  <w:r>
                    <w:t>Vardon, Dr. Michael</w:t>
                  </w:r>
                </w:p>
              </w:tc>
              <w:tc>
                <w:tcPr>
                  <w:tcW w:w="1061" w:type="pct"/>
                </w:tcPr>
                <w:p w14:paraId="560A3834" w14:textId="77777777" w:rsidR="001054C3" w:rsidRPr="0099769D" w:rsidRDefault="001054C3" w:rsidP="00DE301C">
                  <w:pPr>
                    <w:pStyle w:val="TableUnitsRow"/>
                    <w:spacing w:before="0"/>
                  </w:pPr>
                  <w:r>
                    <w:t>DR121</w:t>
                  </w:r>
                </w:p>
              </w:tc>
              <w:tc>
                <w:tcPr>
                  <w:tcW w:w="129" w:type="pct"/>
                </w:tcPr>
                <w:p w14:paraId="611AF7B5" w14:textId="77777777" w:rsidR="001054C3" w:rsidRDefault="001054C3" w:rsidP="00DE301C">
                  <w:pPr>
                    <w:pStyle w:val="TableUnitsRow"/>
                    <w:spacing w:before="0"/>
                    <w:ind w:right="28"/>
                  </w:pPr>
                </w:p>
              </w:tc>
            </w:tr>
            <w:tr w:rsidR="001054C3" w14:paraId="6447BF64" w14:textId="77777777" w:rsidTr="00234FBE">
              <w:tc>
                <w:tcPr>
                  <w:tcW w:w="3810" w:type="pct"/>
                </w:tcPr>
                <w:p w14:paraId="5AB25406" w14:textId="77777777" w:rsidR="001054C3" w:rsidRPr="0099769D" w:rsidRDefault="001054C3" w:rsidP="00DE301C">
                  <w:pPr>
                    <w:pStyle w:val="TableUnitsRow"/>
                    <w:spacing w:before="0"/>
                    <w:jc w:val="left"/>
                  </w:pPr>
                  <w:r w:rsidRPr="0099769D">
                    <w:t>Venville, Eliza</w:t>
                  </w:r>
                </w:p>
              </w:tc>
              <w:tc>
                <w:tcPr>
                  <w:tcW w:w="1061" w:type="pct"/>
                </w:tcPr>
                <w:p w14:paraId="064E45AC" w14:textId="77777777" w:rsidR="001054C3" w:rsidRPr="0099769D" w:rsidRDefault="001054C3" w:rsidP="00DE301C">
                  <w:pPr>
                    <w:pStyle w:val="TableUnitsRow"/>
                    <w:spacing w:before="0"/>
                  </w:pPr>
                  <w:r w:rsidRPr="0099769D">
                    <w:t>22</w:t>
                  </w:r>
                </w:p>
              </w:tc>
              <w:tc>
                <w:tcPr>
                  <w:tcW w:w="129" w:type="pct"/>
                </w:tcPr>
                <w:p w14:paraId="03D382A6" w14:textId="77777777" w:rsidR="001054C3" w:rsidRDefault="001054C3" w:rsidP="00DE301C">
                  <w:pPr>
                    <w:pStyle w:val="TableUnitsRow"/>
                    <w:spacing w:before="0"/>
                    <w:ind w:right="28"/>
                  </w:pPr>
                </w:p>
              </w:tc>
            </w:tr>
            <w:tr w:rsidR="001054C3" w14:paraId="471D4022" w14:textId="77777777" w:rsidTr="00234FBE">
              <w:tc>
                <w:tcPr>
                  <w:tcW w:w="3810" w:type="pct"/>
                </w:tcPr>
                <w:p w14:paraId="2F865C29" w14:textId="77777777" w:rsidR="001054C3" w:rsidRPr="0099769D" w:rsidRDefault="001054C3" w:rsidP="00DE301C">
                  <w:pPr>
                    <w:pStyle w:val="TableUnitsRow"/>
                    <w:spacing w:before="0"/>
                    <w:jc w:val="left"/>
                  </w:pPr>
                  <w:r w:rsidRPr="0099769D">
                    <w:t xml:space="preserve">Victorian Farmers Federation (VFF) </w:t>
                  </w:r>
                </w:p>
              </w:tc>
              <w:tc>
                <w:tcPr>
                  <w:tcW w:w="1061" w:type="pct"/>
                </w:tcPr>
                <w:p w14:paraId="508A5BE6" w14:textId="77777777" w:rsidR="001054C3" w:rsidRPr="0099769D" w:rsidRDefault="001054C3" w:rsidP="00DE301C">
                  <w:pPr>
                    <w:pStyle w:val="TableUnitsRow"/>
                    <w:spacing w:before="0"/>
                  </w:pPr>
                  <w:r w:rsidRPr="0099769D">
                    <w:t>99</w:t>
                  </w:r>
                  <w:r>
                    <w:t>, DR192</w:t>
                  </w:r>
                </w:p>
              </w:tc>
              <w:tc>
                <w:tcPr>
                  <w:tcW w:w="129" w:type="pct"/>
                </w:tcPr>
                <w:p w14:paraId="66F45993" w14:textId="77777777" w:rsidR="001054C3" w:rsidRDefault="001054C3" w:rsidP="00DE301C">
                  <w:pPr>
                    <w:pStyle w:val="TableUnitsRow"/>
                    <w:spacing w:before="0"/>
                    <w:ind w:right="28"/>
                  </w:pPr>
                </w:p>
              </w:tc>
            </w:tr>
            <w:tr w:rsidR="001054C3" w14:paraId="11AF9607" w14:textId="77777777" w:rsidTr="00234FBE">
              <w:tc>
                <w:tcPr>
                  <w:tcW w:w="3810" w:type="pct"/>
                </w:tcPr>
                <w:p w14:paraId="48322920" w14:textId="77777777" w:rsidR="001054C3" w:rsidRPr="0099769D" w:rsidRDefault="001054C3" w:rsidP="00DE301C">
                  <w:pPr>
                    <w:pStyle w:val="TableUnitsRow"/>
                    <w:spacing w:before="0"/>
                    <w:jc w:val="left"/>
                  </w:pPr>
                  <w:r w:rsidRPr="0099769D">
                    <w:t xml:space="preserve">Victorian Government </w:t>
                  </w:r>
                </w:p>
              </w:tc>
              <w:tc>
                <w:tcPr>
                  <w:tcW w:w="1061" w:type="pct"/>
                </w:tcPr>
                <w:p w14:paraId="4760831F" w14:textId="77777777" w:rsidR="001054C3" w:rsidRPr="0099769D" w:rsidRDefault="001054C3" w:rsidP="00DE301C">
                  <w:pPr>
                    <w:pStyle w:val="TableUnitsRow"/>
                    <w:spacing w:before="0"/>
                  </w:pPr>
                  <w:r w:rsidRPr="0099769D">
                    <w:t>108</w:t>
                  </w:r>
                  <w:r>
                    <w:t xml:space="preserve"> #, DR188</w:t>
                  </w:r>
                </w:p>
              </w:tc>
              <w:tc>
                <w:tcPr>
                  <w:tcW w:w="129" w:type="pct"/>
                </w:tcPr>
                <w:p w14:paraId="5C931593" w14:textId="77777777" w:rsidR="001054C3" w:rsidRDefault="001054C3" w:rsidP="00DE301C">
                  <w:pPr>
                    <w:pStyle w:val="TableUnitsRow"/>
                    <w:spacing w:before="0"/>
                    <w:ind w:right="28"/>
                  </w:pPr>
                </w:p>
              </w:tc>
            </w:tr>
            <w:tr w:rsidR="001054C3" w14:paraId="3AA2AEBB" w14:textId="77777777" w:rsidTr="00234FBE">
              <w:tc>
                <w:tcPr>
                  <w:tcW w:w="3810" w:type="pct"/>
                </w:tcPr>
                <w:p w14:paraId="181B340E" w14:textId="77777777" w:rsidR="001054C3" w:rsidRPr="0099769D" w:rsidRDefault="001054C3" w:rsidP="00DE301C">
                  <w:pPr>
                    <w:pStyle w:val="TableUnitsRow"/>
                    <w:spacing w:before="0"/>
                    <w:jc w:val="left"/>
                  </w:pPr>
                  <w:r w:rsidRPr="0099769D">
                    <w:t xml:space="preserve">Victorian Planning Authority (VPA) </w:t>
                  </w:r>
                </w:p>
              </w:tc>
              <w:tc>
                <w:tcPr>
                  <w:tcW w:w="1061" w:type="pct"/>
                </w:tcPr>
                <w:p w14:paraId="66A8C8B0" w14:textId="77777777" w:rsidR="001054C3" w:rsidRPr="0099769D" w:rsidRDefault="001054C3" w:rsidP="00DE301C">
                  <w:pPr>
                    <w:pStyle w:val="TableUnitsRow"/>
                    <w:spacing w:before="0"/>
                  </w:pPr>
                  <w:r w:rsidRPr="0099769D">
                    <w:t>20</w:t>
                  </w:r>
                </w:p>
              </w:tc>
              <w:tc>
                <w:tcPr>
                  <w:tcW w:w="129" w:type="pct"/>
                </w:tcPr>
                <w:p w14:paraId="7427EC57" w14:textId="77777777" w:rsidR="001054C3" w:rsidRDefault="001054C3" w:rsidP="00DE301C">
                  <w:pPr>
                    <w:pStyle w:val="TableUnitsRow"/>
                    <w:spacing w:before="0"/>
                    <w:ind w:right="28"/>
                  </w:pPr>
                </w:p>
              </w:tc>
            </w:tr>
            <w:tr w:rsidR="001054C3" w14:paraId="0FF74853" w14:textId="77777777" w:rsidTr="00234FBE">
              <w:tc>
                <w:tcPr>
                  <w:tcW w:w="3810" w:type="pct"/>
                </w:tcPr>
                <w:p w14:paraId="0E160FC8" w14:textId="77777777" w:rsidR="001054C3" w:rsidRPr="0099769D" w:rsidRDefault="001054C3" w:rsidP="00DE301C">
                  <w:pPr>
                    <w:pStyle w:val="TableUnitsRow"/>
                    <w:spacing w:before="0"/>
                    <w:jc w:val="left"/>
                  </w:pPr>
                  <w:r>
                    <w:t>Victorian Water Industry Association (</w:t>
                  </w:r>
                  <w:r w:rsidRPr="0099769D">
                    <w:t>VicWater</w:t>
                  </w:r>
                  <w:r>
                    <w:t>)</w:t>
                  </w:r>
                </w:p>
              </w:tc>
              <w:tc>
                <w:tcPr>
                  <w:tcW w:w="1061" w:type="pct"/>
                </w:tcPr>
                <w:p w14:paraId="7F6828F2" w14:textId="77777777" w:rsidR="001054C3" w:rsidRPr="0099769D" w:rsidRDefault="001054C3" w:rsidP="00DE301C">
                  <w:pPr>
                    <w:pStyle w:val="TableUnitsRow"/>
                    <w:spacing w:before="0"/>
                  </w:pPr>
                  <w:r w:rsidRPr="0099769D">
                    <w:t>66</w:t>
                  </w:r>
                  <w:r>
                    <w:t>, DR191</w:t>
                  </w:r>
                </w:p>
              </w:tc>
              <w:tc>
                <w:tcPr>
                  <w:tcW w:w="129" w:type="pct"/>
                </w:tcPr>
                <w:p w14:paraId="59F7BC15" w14:textId="77777777" w:rsidR="001054C3" w:rsidRDefault="001054C3" w:rsidP="00DE301C">
                  <w:pPr>
                    <w:pStyle w:val="TableUnitsRow"/>
                    <w:spacing w:before="0"/>
                    <w:ind w:right="28"/>
                  </w:pPr>
                </w:p>
              </w:tc>
            </w:tr>
            <w:tr w:rsidR="001054C3" w14:paraId="7D32DE2B" w14:textId="77777777" w:rsidTr="00234FBE">
              <w:tc>
                <w:tcPr>
                  <w:tcW w:w="3810" w:type="pct"/>
                </w:tcPr>
                <w:p w14:paraId="1C9E51B3" w14:textId="77777777" w:rsidR="001054C3" w:rsidRPr="0099769D" w:rsidRDefault="001054C3" w:rsidP="00DE301C">
                  <w:pPr>
                    <w:pStyle w:val="TableUnitsRow"/>
                    <w:spacing w:before="0"/>
                    <w:jc w:val="left"/>
                  </w:pPr>
                  <w:r>
                    <w:t>Water for Indi – Community of Interest</w:t>
                  </w:r>
                </w:p>
              </w:tc>
              <w:tc>
                <w:tcPr>
                  <w:tcW w:w="1061" w:type="pct"/>
                </w:tcPr>
                <w:p w14:paraId="00B106B0" w14:textId="77777777" w:rsidR="001054C3" w:rsidRPr="0099769D" w:rsidRDefault="001054C3" w:rsidP="00DE301C">
                  <w:pPr>
                    <w:pStyle w:val="TableUnitsRow"/>
                    <w:spacing w:before="0"/>
                  </w:pPr>
                  <w:r>
                    <w:t>DR140</w:t>
                  </w:r>
                </w:p>
              </w:tc>
              <w:tc>
                <w:tcPr>
                  <w:tcW w:w="129" w:type="pct"/>
                </w:tcPr>
                <w:p w14:paraId="225A4C6E" w14:textId="77777777" w:rsidR="001054C3" w:rsidRDefault="001054C3" w:rsidP="00DE301C">
                  <w:pPr>
                    <w:pStyle w:val="TableUnitsRow"/>
                    <w:spacing w:before="0"/>
                    <w:ind w:right="28"/>
                  </w:pPr>
                </w:p>
              </w:tc>
            </w:tr>
            <w:tr w:rsidR="001054C3" w14:paraId="571E1374" w14:textId="77777777" w:rsidTr="00234FBE">
              <w:tc>
                <w:tcPr>
                  <w:tcW w:w="3810" w:type="pct"/>
                </w:tcPr>
                <w:p w14:paraId="23820488" w14:textId="77777777" w:rsidR="001054C3" w:rsidRPr="0099769D" w:rsidRDefault="001054C3" w:rsidP="00DE301C">
                  <w:pPr>
                    <w:pStyle w:val="TableUnitsRow"/>
                    <w:spacing w:before="0"/>
                    <w:jc w:val="left"/>
                  </w:pPr>
                  <w:r w:rsidRPr="0099769D">
                    <w:t xml:space="preserve">Water Industry Operators Association of Australia (WIOA) </w:t>
                  </w:r>
                </w:p>
              </w:tc>
              <w:tc>
                <w:tcPr>
                  <w:tcW w:w="1061" w:type="pct"/>
                </w:tcPr>
                <w:p w14:paraId="4DF49CAA" w14:textId="77777777" w:rsidR="001054C3" w:rsidRPr="0099769D" w:rsidRDefault="001054C3" w:rsidP="00DE301C">
                  <w:pPr>
                    <w:pStyle w:val="TableUnitsRow"/>
                    <w:spacing w:before="0"/>
                  </w:pPr>
                  <w:r w:rsidRPr="0099769D">
                    <w:t>53</w:t>
                  </w:r>
                </w:p>
              </w:tc>
              <w:tc>
                <w:tcPr>
                  <w:tcW w:w="129" w:type="pct"/>
                </w:tcPr>
                <w:p w14:paraId="3C2AF5A2" w14:textId="77777777" w:rsidR="001054C3" w:rsidRDefault="001054C3" w:rsidP="00DE301C">
                  <w:pPr>
                    <w:pStyle w:val="TableUnitsRow"/>
                    <w:spacing w:before="0"/>
                    <w:ind w:right="28"/>
                  </w:pPr>
                </w:p>
              </w:tc>
            </w:tr>
            <w:tr w:rsidR="001054C3" w14:paraId="1ABC2F18" w14:textId="77777777" w:rsidTr="00234FBE">
              <w:tc>
                <w:tcPr>
                  <w:tcW w:w="3810" w:type="pct"/>
                </w:tcPr>
                <w:p w14:paraId="37DD2D8C" w14:textId="77777777" w:rsidR="001054C3" w:rsidRPr="0099769D" w:rsidRDefault="001054C3" w:rsidP="00DE301C">
                  <w:pPr>
                    <w:pStyle w:val="TableUnitsRow"/>
                    <w:spacing w:before="0"/>
                    <w:jc w:val="left"/>
                  </w:pPr>
                  <w:r w:rsidRPr="0099769D">
                    <w:t xml:space="preserve">Water Research Australia </w:t>
                  </w:r>
                  <w:r>
                    <w:t>(WaterRA)</w:t>
                  </w:r>
                </w:p>
              </w:tc>
              <w:tc>
                <w:tcPr>
                  <w:tcW w:w="1061" w:type="pct"/>
                </w:tcPr>
                <w:p w14:paraId="3B29169F" w14:textId="77777777" w:rsidR="001054C3" w:rsidRPr="0099769D" w:rsidRDefault="001054C3" w:rsidP="00DE301C">
                  <w:pPr>
                    <w:pStyle w:val="TableUnitsRow"/>
                    <w:spacing w:before="0"/>
                  </w:pPr>
                  <w:r w:rsidRPr="0099769D">
                    <w:t>98</w:t>
                  </w:r>
                </w:p>
              </w:tc>
              <w:tc>
                <w:tcPr>
                  <w:tcW w:w="129" w:type="pct"/>
                </w:tcPr>
                <w:p w14:paraId="3255A588" w14:textId="77777777" w:rsidR="001054C3" w:rsidRDefault="001054C3" w:rsidP="00DE301C">
                  <w:pPr>
                    <w:pStyle w:val="TableUnitsRow"/>
                    <w:spacing w:before="0"/>
                    <w:ind w:right="28"/>
                  </w:pPr>
                </w:p>
              </w:tc>
            </w:tr>
            <w:tr w:rsidR="001054C3" w14:paraId="3501BF27" w14:textId="77777777" w:rsidTr="00234FBE">
              <w:tc>
                <w:tcPr>
                  <w:tcW w:w="3810" w:type="pct"/>
                </w:tcPr>
                <w:p w14:paraId="406779A5" w14:textId="77777777" w:rsidR="001054C3" w:rsidRPr="0099769D" w:rsidRDefault="001054C3" w:rsidP="00DE301C">
                  <w:pPr>
                    <w:pStyle w:val="TableUnitsRow"/>
                    <w:spacing w:before="0"/>
                    <w:jc w:val="left"/>
                  </w:pPr>
                  <w:r w:rsidRPr="0099769D">
                    <w:t xml:space="preserve">Water Services Association of Australia (WSAA) </w:t>
                  </w:r>
                </w:p>
              </w:tc>
              <w:tc>
                <w:tcPr>
                  <w:tcW w:w="1061" w:type="pct"/>
                </w:tcPr>
                <w:p w14:paraId="5CB2852F" w14:textId="77777777" w:rsidR="001054C3" w:rsidRPr="0099769D" w:rsidRDefault="001054C3" w:rsidP="00DE301C">
                  <w:pPr>
                    <w:pStyle w:val="TableUnitsRow"/>
                    <w:spacing w:before="0"/>
                  </w:pPr>
                  <w:r>
                    <w:t>88 #, DR187</w:t>
                  </w:r>
                </w:p>
              </w:tc>
              <w:tc>
                <w:tcPr>
                  <w:tcW w:w="129" w:type="pct"/>
                </w:tcPr>
                <w:p w14:paraId="47AC3889" w14:textId="77777777" w:rsidR="001054C3" w:rsidRDefault="001054C3" w:rsidP="00DE301C">
                  <w:pPr>
                    <w:pStyle w:val="TableUnitsRow"/>
                    <w:spacing w:before="0"/>
                    <w:ind w:right="28"/>
                  </w:pPr>
                </w:p>
              </w:tc>
            </w:tr>
            <w:tr w:rsidR="001054C3" w14:paraId="2468DC5D" w14:textId="77777777" w:rsidTr="00234FBE">
              <w:tc>
                <w:tcPr>
                  <w:tcW w:w="3810" w:type="pct"/>
                </w:tcPr>
                <w:p w14:paraId="1F0F1DC7" w14:textId="77777777" w:rsidR="001054C3" w:rsidRPr="0099769D" w:rsidRDefault="001054C3" w:rsidP="00DE301C">
                  <w:pPr>
                    <w:pStyle w:val="TableUnitsRow"/>
                    <w:spacing w:before="0"/>
                    <w:jc w:val="left"/>
                  </w:pPr>
                  <w:r w:rsidRPr="0099769D">
                    <w:t xml:space="preserve">Wentworth Group of Concerned Scientists </w:t>
                  </w:r>
                </w:p>
              </w:tc>
              <w:tc>
                <w:tcPr>
                  <w:tcW w:w="1061" w:type="pct"/>
                </w:tcPr>
                <w:p w14:paraId="21F61045" w14:textId="77777777" w:rsidR="001054C3" w:rsidRPr="0099769D" w:rsidRDefault="001054C3" w:rsidP="00DE301C">
                  <w:pPr>
                    <w:pStyle w:val="TableUnitsRow"/>
                    <w:spacing w:before="0"/>
                  </w:pPr>
                  <w:r w:rsidRPr="0099769D">
                    <w:t>68</w:t>
                  </w:r>
                  <w:r>
                    <w:t>, DR152</w:t>
                  </w:r>
                </w:p>
              </w:tc>
              <w:tc>
                <w:tcPr>
                  <w:tcW w:w="129" w:type="pct"/>
                </w:tcPr>
                <w:p w14:paraId="77DAEAA6" w14:textId="77777777" w:rsidR="001054C3" w:rsidRDefault="001054C3" w:rsidP="00DE301C">
                  <w:pPr>
                    <w:pStyle w:val="TableUnitsRow"/>
                    <w:spacing w:before="0"/>
                    <w:ind w:right="28"/>
                  </w:pPr>
                </w:p>
              </w:tc>
            </w:tr>
            <w:tr w:rsidR="001054C3" w14:paraId="321EDCC7" w14:textId="77777777" w:rsidTr="00234FBE">
              <w:tc>
                <w:tcPr>
                  <w:tcW w:w="3810" w:type="pct"/>
                </w:tcPr>
                <w:p w14:paraId="65DAB193" w14:textId="77777777" w:rsidR="001054C3" w:rsidRPr="0099769D" w:rsidRDefault="001054C3" w:rsidP="00DE301C">
                  <w:pPr>
                    <w:pStyle w:val="TableUnitsRow"/>
                    <w:spacing w:before="0"/>
                    <w:jc w:val="left"/>
                  </w:pPr>
                  <w:r w:rsidRPr="0099769D">
                    <w:t xml:space="preserve">Western Australian Government </w:t>
                  </w:r>
                </w:p>
              </w:tc>
              <w:tc>
                <w:tcPr>
                  <w:tcW w:w="1061" w:type="pct"/>
                </w:tcPr>
                <w:p w14:paraId="11DB53C9" w14:textId="77777777" w:rsidR="001054C3" w:rsidRPr="0099769D" w:rsidRDefault="001054C3" w:rsidP="00DE301C">
                  <w:pPr>
                    <w:pStyle w:val="TableUnitsRow"/>
                    <w:spacing w:before="0"/>
                  </w:pPr>
                  <w:r w:rsidRPr="0099769D">
                    <w:t>62</w:t>
                  </w:r>
                </w:p>
              </w:tc>
              <w:tc>
                <w:tcPr>
                  <w:tcW w:w="129" w:type="pct"/>
                </w:tcPr>
                <w:p w14:paraId="2629F168" w14:textId="77777777" w:rsidR="001054C3" w:rsidRDefault="001054C3" w:rsidP="00DE301C">
                  <w:pPr>
                    <w:pStyle w:val="TableUnitsRow"/>
                    <w:spacing w:before="0"/>
                    <w:ind w:right="28"/>
                  </w:pPr>
                </w:p>
              </w:tc>
            </w:tr>
            <w:tr w:rsidR="001054C3" w14:paraId="4D9EF9AF" w14:textId="77777777" w:rsidTr="00234FBE">
              <w:tc>
                <w:tcPr>
                  <w:tcW w:w="3810" w:type="pct"/>
                </w:tcPr>
                <w:p w14:paraId="65088865" w14:textId="77777777" w:rsidR="001054C3" w:rsidRPr="0099769D" w:rsidRDefault="001054C3" w:rsidP="00DE301C">
                  <w:pPr>
                    <w:pStyle w:val="TableUnitsRow"/>
                    <w:spacing w:before="0"/>
                    <w:jc w:val="left"/>
                  </w:pPr>
                  <w:r w:rsidRPr="0099769D">
                    <w:t xml:space="preserve">WWF Australia </w:t>
                  </w:r>
                </w:p>
              </w:tc>
              <w:tc>
                <w:tcPr>
                  <w:tcW w:w="1061" w:type="pct"/>
                </w:tcPr>
                <w:p w14:paraId="13657D2F" w14:textId="77777777" w:rsidR="001054C3" w:rsidRPr="0099769D" w:rsidRDefault="001054C3" w:rsidP="00DE301C">
                  <w:pPr>
                    <w:pStyle w:val="TableUnitsRow"/>
                    <w:spacing w:before="0"/>
                  </w:pPr>
                  <w:r w:rsidRPr="0099769D">
                    <w:t>50</w:t>
                  </w:r>
                  <w:r>
                    <w:t>, DR139</w:t>
                  </w:r>
                </w:p>
              </w:tc>
              <w:tc>
                <w:tcPr>
                  <w:tcW w:w="129" w:type="pct"/>
                </w:tcPr>
                <w:p w14:paraId="37803C88" w14:textId="77777777" w:rsidR="001054C3" w:rsidRDefault="001054C3" w:rsidP="00DE301C">
                  <w:pPr>
                    <w:pStyle w:val="TableUnitsRow"/>
                    <w:spacing w:before="0"/>
                    <w:ind w:right="28"/>
                  </w:pPr>
                </w:p>
              </w:tc>
            </w:tr>
            <w:tr w:rsidR="001054C3" w14:paraId="3ABB4C58" w14:textId="77777777" w:rsidTr="00234FBE">
              <w:tc>
                <w:tcPr>
                  <w:tcW w:w="3810" w:type="pct"/>
                </w:tcPr>
                <w:p w14:paraId="66DD84F7" w14:textId="77777777" w:rsidR="001054C3" w:rsidRPr="0099769D" w:rsidRDefault="001054C3" w:rsidP="00DE301C">
                  <w:pPr>
                    <w:pStyle w:val="TableUnitsRow"/>
                    <w:spacing w:before="0"/>
                    <w:jc w:val="left"/>
                  </w:pPr>
                  <w:r w:rsidRPr="0099769D">
                    <w:t>Zanker, Mark</w:t>
                  </w:r>
                </w:p>
              </w:tc>
              <w:tc>
                <w:tcPr>
                  <w:tcW w:w="1061" w:type="pct"/>
                </w:tcPr>
                <w:p w14:paraId="5B42E221" w14:textId="77777777" w:rsidR="001054C3" w:rsidRPr="0099769D" w:rsidRDefault="001054C3" w:rsidP="00DE301C">
                  <w:pPr>
                    <w:pStyle w:val="TableUnitsRow"/>
                    <w:spacing w:before="0"/>
                  </w:pPr>
                  <w:r w:rsidRPr="0099769D">
                    <w:t>48</w:t>
                  </w:r>
                </w:p>
              </w:tc>
              <w:tc>
                <w:tcPr>
                  <w:tcW w:w="129" w:type="pct"/>
                </w:tcPr>
                <w:p w14:paraId="2FE9E322" w14:textId="77777777" w:rsidR="001054C3" w:rsidRDefault="001054C3" w:rsidP="00DE301C">
                  <w:pPr>
                    <w:pStyle w:val="TableUnitsRow"/>
                    <w:spacing w:before="0"/>
                    <w:ind w:right="28"/>
                  </w:pPr>
                </w:p>
              </w:tc>
            </w:tr>
            <w:tr w:rsidR="001054C3" w14:paraId="596401A3" w14:textId="77777777" w:rsidTr="00234FBE">
              <w:tc>
                <w:tcPr>
                  <w:tcW w:w="3810" w:type="pct"/>
                  <w:tcBorders>
                    <w:bottom w:val="single" w:sz="6" w:space="0" w:color="BFBFBF"/>
                  </w:tcBorders>
                </w:tcPr>
                <w:p w14:paraId="3E6CA043" w14:textId="77777777" w:rsidR="001054C3" w:rsidRPr="0099769D" w:rsidRDefault="001054C3" w:rsidP="00DE301C">
                  <w:pPr>
                    <w:pStyle w:val="TableUnitsRow"/>
                    <w:spacing w:before="0"/>
                    <w:jc w:val="left"/>
                  </w:pPr>
                  <w:r w:rsidRPr="0099769D">
                    <w:t xml:space="preserve">Zero Mass Water Australia </w:t>
                  </w:r>
                </w:p>
              </w:tc>
              <w:tc>
                <w:tcPr>
                  <w:tcW w:w="1061" w:type="pct"/>
                  <w:tcBorders>
                    <w:bottom w:val="single" w:sz="6" w:space="0" w:color="BFBFBF"/>
                  </w:tcBorders>
                </w:tcPr>
                <w:p w14:paraId="684D1170" w14:textId="77777777" w:rsidR="001054C3" w:rsidRPr="0099769D" w:rsidRDefault="001054C3" w:rsidP="00DE301C">
                  <w:pPr>
                    <w:pStyle w:val="TableUnitsRow"/>
                    <w:spacing w:before="0"/>
                  </w:pPr>
                  <w:r w:rsidRPr="0099769D">
                    <w:t>6</w:t>
                  </w:r>
                </w:p>
              </w:tc>
              <w:tc>
                <w:tcPr>
                  <w:tcW w:w="129" w:type="pct"/>
                  <w:tcBorders>
                    <w:bottom w:val="single" w:sz="6" w:space="0" w:color="BFBFBF"/>
                  </w:tcBorders>
                </w:tcPr>
                <w:p w14:paraId="6FA2F37D" w14:textId="77777777" w:rsidR="001054C3" w:rsidRDefault="001054C3" w:rsidP="00DE301C">
                  <w:pPr>
                    <w:pStyle w:val="TableUnitsRow"/>
                    <w:spacing w:before="0"/>
                    <w:ind w:right="28"/>
                  </w:pPr>
                </w:p>
              </w:tc>
            </w:tr>
          </w:tbl>
          <w:p w14:paraId="6C9FB489" w14:textId="77777777" w:rsidR="001054C3" w:rsidRDefault="001054C3" w:rsidP="00234FBE">
            <w:pPr>
              <w:pStyle w:val="Box"/>
            </w:pPr>
          </w:p>
        </w:tc>
      </w:tr>
      <w:tr w:rsidR="001054C3" w14:paraId="629B0C39" w14:textId="77777777" w:rsidTr="00DE301C">
        <w:tc>
          <w:tcPr>
            <w:tcW w:w="5000" w:type="pct"/>
            <w:shd w:val="clear" w:color="auto" w:fill="auto"/>
          </w:tcPr>
          <w:p w14:paraId="32BDA5B8" w14:textId="77777777" w:rsidR="001054C3" w:rsidRDefault="001054C3" w:rsidP="00234FBE">
            <w:pPr>
              <w:pStyle w:val="Note"/>
              <w:jc w:val="left"/>
            </w:pPr>
            <w:r w:rsidRPr="008E77FE">
              <w:rPr>
                <w:rStyle w:val="NoteLabel"/>
              </w:rPr>
              <w:t>a</w:t>
            </w:r>
            <w:r>
              <w:t xml:space="preserve"> An asterisk (*) indicates that the submission contains confidential material NOT available to the public. A hash (#) indicates that the submission includes attachments</w:t>
            </w:r>
          </w:p>
          <w:p w14:paraId="6C3FB1F6" w14:textId="0D9BF2C8" w:rsidR="001054C3" w:rsidRPr="00DE301C" w:rsidRDefault="001054C3" w:rsidP="00DE301C">
            <w:pPr>
              <w:pStyle w:val="Figurespace"/>
            </w:pPr>
          </w:p>
        </w:tc>
      </w:tr>
    </w:tbl>
    <w:p w14:paraId="7B8B1F72"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44B8A6DA" w14:textId="77777777" w:rsidTr="00234FBE">
        <w:trPr>
          <w:tblHeader/>
        </w:trPr>
        <w:tc>
          <w:tcPr>
            <w:tcW w:w="5000" w:type="pct"/>
            <w:tcBorders>
              <w:top w:val="single" w:sz="6" w:space="0" w:color="78A22F"/>
              <w:left w:val="nil"/>
              <w:bottom w:val="nil"/>
              <w:right w:val="nil"/>
            </w:tcBorders>
            <w:shd w:val="clear" w:color="auto" w:fill="auto"/>
          </w:tcPr>
          <w:p w14:paraId="2342620F" w14:textId="404274D5" w:rsidR="001054C3" w:rsidRPr="00875139" w:rsidRDefault="001054C3" w:rsidP="00234FBE">
            <w:pPr>
              <w:pStyle w:val="TableTitle"/>
            </w:pPr>
            <w:r>
              <w:rPr>
                <w:b w:val="0"/>
              </w:rPr>
              <w:t>Table C.2</w:t>
            </w:r>
            <w:r>
              <w:tab/>
              <w:t>Number of brief comments</w:t>
            </w:r>
          </w:p>
        </w:tc>
      </w:tr>
      <w:tr w:rsidR="001054C3" w14:paraId="6789010D" w14:textId="77777777" w:rsidTr="00234FBE">
        <w:tc>
          <w:tcPr>
            <w:tcW w:w="5000" w:type="pct"/>
            <w:tcBorders>
              <w:top w:val="nil"/>
              <w:left w:val="nil"/>
              <w:bottom w:val="nil"/>
              <w:right w:val="nil"/>
            </w:tcBorders>
            <w:shd w:val="clear" w:color="auto" w:fill="auto"/>
          </w:tcPr>
          <w:tbl>
            <w:tblPr>
              <w:tblW w:w="4999" w:type="pct"/>
              <w:tblCellMar>
                <w:top w:w="28" w:type="dxa"/>
                <w:left w:w="0" w:type="dxa"/>
                <w:right w:w="0" w:type="dxa"/>
              </w:tblCellMar>
              <w:tblLook w:val="0000" w:firstRow="0" w:lastRow="0" w:firstColumn="0" w:lastColumn="0" w:noHBand="0" w:noVBand="0"/>
            </w:tblPr>
            <w:tblGrid>
              <w:gridCol w:w="2975"/>
              <w:gridCol w:w="3543"/>
              <w:gridCol w:w="1985"/>
            </w:tblGrid>
            <w:tr w:rsidR="001054C3" w:rsidRPr="006C3521" w14:paraId="3D38ACBB" w14:textId="77777777" w:rsidTr="0087585D">
              <w:trPr>
                <w:tblHeader/>
              </w:trPr>
              <w:tc>
                <w:tcPr>
                  <w:tcW w:w="1749" w:type="pct"/>
                  <w:tcBorders>
                    <w:top w:val="single" w:sz="6" w:space="0" w:color="BFBFBF"/>
                    <w:bottom w:val="single" w:sz="6" w:space="0" w:color="BFBFBF"/>
                  </w:tcBorders>
                  <w:shd w:val="clear" w:color="auto" w:fill="auto"/>
                  <w:tcMar>
                    <w:top w:w="28" w:type="dxa"/>
                  </w:tcMar>
                </w:tcPr>
                <w:p w14:paraId="7AE5C505" w14:textId="77777777" w:rsidR="001054C3" w:rsidRPr="006C3521" w:rsidRDefault="001054C3" w:rsidP="00234FBE">
                  <w:pPr>
                    <w:pStyle w:val="TableColumnHeading"/>
                    <w:jc w:val="left"/>
                  </w:pPr>
                  <w:r w:rsidRPr="006C3521">
                    <w:t>Pre</w:t>
                  </w:r>
                  <w:r>
                    <w:noBreakHyphen/>
                  </w:r>
                  <w:r w:rsidRPr="006C3521">
                    <w:t>draft</w:t>
                  </w:r>
                </w:p>
              </w:tc>
              <w:tc>
                <w:tcPr>
                  <w:tcW w:w="2083" w:type="pct"/>
                  <w:tcBorders>
                    <w:top w:val="single" w:sz="6" w:space="0" w:color="BFBFBF"/>
                    <w:bottom w:val="single" w:sz="6" w:space="0" w:color="BFBFBF"/>
                  </w:tcBorders>
                </w:tcPr>
                <w:p w14:paraId="5BC44A20" w14:textId="590DFE03" w:rsidR="001054C3" w:rsidRPr="006C3521" w:rsidRDefault="00CF7158" w:rsidP="0087585D">
                  <w:pPr>
                    <w:pStyle w:val="TableColumnHeading"/>
                    <w:jc w:val="left"/>
                  </w:pPr>
                  <w:r>
                    <w:t>Post</w:t>
                  </w:r>
                  <w:r>
                    <w:noBreakHyphen/>
                    <w:t>draft</w:t>
                  </w:r>
                </w:p>
              </w:tc>
              <w:tc>
                <w:tcPr>
                  <w:tcW w:w="1167" w:type="pct"/>
                  <w:tcBorders>
                    <w:top w:val="single" w:sz="6" w:space="0" w:color="BFBFBF"/>
                    <w:bottom w:val="single" w:sz="6" w:space="0" w:color="BFBFBF"/>
                  </w:tcBorders>
                  <w:shd w:val="clear" w:color="auto" w:fill="auto"/>
                  <w:tcMar>
                    <w:top w:w="28" w:type="dxa"/>
                  </w:tcMar>
                </w:tcPr>
                <w:p w14:paraId="145C8A77" w14:textId="77777777" w:rsidR="001054C3" w:rsidRPr="006C3521" w:rsidRDefault="001054C3" w:rsidP="0087585D">
                  <w:pPr>
                    <w:pStyle w:val="TableColumnHeading"/>
                    <w:ind w:right="28"/>
                    <w:jc w:val="left"/>
                  </w:pPr>
                  <w:r w:rsidRPr="006C3521">
                    <w:t>Total</w:t>
                  </w:r>
                </w:p>
              </w:tc>
            </w:tr>
            <w:tr w:rsidR="001054C3" w:rsidRPr="006C3521" w14:paraId="445D366E" w14:textId="77777777" w:rsidTr="0087585D">
              <w:tc>
                <w:tcPr>
                  <w:tcW w:w="1749" w:type="pct"/>
                  <w:tcBorders>
                    <w:top w:val="single" w:sz="6" w:space="0" w:color="BFBFBF"/>
                  </w:tcBorders>
                </w:tcPr>
                <w:p w14:paraId="42474FEF" w14:textId="77777777" w:rsidR="001054C3" w:rsidRPr="006C3521" w:rsidRDefault="001054C3" w:rsidP="00234FBE">
                  <w:pPr>
                    <w:pStyle w:val="TableUnitsRow"/>
                    <w:jc w:val="left"/>
                  </w:pPr>
                  <w:r w:rsidRPr="006C3521">
                    <w:t>3</w:t>
                  </w:r>
                </w:p>
              </w:tc>
              <w:tc>
                <w:tcPr>
                  <w:tcW w:w="2083" w:type="pct"/>
                  <w:tcBorders>
                    <w:top w:val="single" w:sz="6" w:space="0" w:color="BFBFBF"/>
                  </w:tcBorders>
                </w:tcPr>
                <w:p w14:paraId="44D26109" w14:textId="08D69E06" w:rsidR="001054C3" w:rsidRPr="006C3521" w:rsidRDefault="00CF7158" w:rsidP="0087585D">
                  <w:pPr>
                    <w:pStyle w:val="TableUnitsRow"/>
                    <w:jc w:val="left"/>
                  </w:pPr>
                  <w:r>
                    <w:t>9</w:t>
                  </w:r>
                </w:p>
              </w:tc>
              <w:tc>
                <w:tcPr>
                  <w:tcW w:w="1167" w:type="pct"/>
                  <w:tcBorders>
                    <w:top w:val="single" w:sz="6" w:space="0" w:color="BFBFBF"/>
                  </w:tcBorders>
                </w:tcPr>
                <w:p w14:paraId="55E16E9C" w14:textId="1788CC55" w:rsidR="001054C3" w:rsidRPr="006C3521" w:rsidRDefault="00CF7158" w:rsidP="0087585D">
                  <w:pPr>
                    <w:pStyle w:val="TableUnitsRow"/>
                    <w:ind w:right="28"/>
                    <w:jc w:val="left"/>
                  </w:pPr>
                  <w:r>
                    <w:t>12</w:t>
                  </w:r>
                </w:p>
              </w:tc>
            </w:tr>
          </w:tbl>
          <w:p w14:paraId="1821E633" w14:textId="77777777" w:rsidR="001054C3" w:rsidRPr="006C3521" w:rsidRDefault="001054C3" w:rsidP="00234FBE">
            <w:pPr>
              <w:pStyle w:val="Box"/>
            </w:pPr>
          </w:p>
        </w:tc>
      </w:tr>
      <w:tr w:rsidR="001054C3" w14:paraId="532A3330" w14:textId="77777777" w:rsidTr="00234FBE">
        <w:tc>
          <w:tcPr>
            <w:tcW w:w="5000" w:type="pct"/>
            <w:tcBorders>
              <w:top w:val="nil"/>
              <w:left w:val="nil"/>
              <w:bottom w:val="single" w:sz="6" w:space="0" w:color="78A22F"/>
              <w:right w:val="nil"/>
            </w:tcBorders>
            <w:shd w:val="clear" w:color="auto" w:fill="auto"/>
          </w:tcPr>
          <w:p w14:paraId="0DFA375A" w14:textId="77777777" w:rsidR="001054C3" w:rsidRDefault="001054C3" w:rsidP="00234FBE">
            <w:pPr>
              <w:pStyle w:val="Box"/>
              <w:spacing w:before="0" w:line="120" w:lineRule="exact"/>
            </w:pPr>
          </w:p>
        </w:tc>
      </w:tr>
      <w:tr w:rsidR="001054C3" w:rsidRPr="000863A5" w14:paraId="6D1230B8" w14:textId="77777777" w:rsidTr="00234FBE">
        <w:tc>
          <w:tcPr>
            <w:tcW w:w="5000" w:type="pct"/>
            <w:tcBorders>
              <w:top w:val="single" w:sz="6" w:space="0" w:color="78A22F"/>
              <w:left w:val="nil"/>
              <w:bottom w:val="nil"/>
              <w:right w:val="nil"/>
            </w:tcBorders>
          </w:tcPr>
          <w:p w14:paraId="14FA9AD2" w14:textId="77777777" w:rsidR="001054C3" w:rsidRPr="00626D32" w:rsidRDefault="001054C3" w:rsidP="00234FBE">
            <w:pPr>
              <w:pStyle w:val="BoxSpaceBelow"/>
            </w:pPr>
          </w:p>
        </w:tc>
      </w:tr>
    </w:tbl>
    <w:p w14:paraId="6DE3F927" w14:textId="77777777" w:rsidR="001054C3" w:rsidRDefault="001054C3" w:rsidP="00234FBE">
      <w:pPr>
        <w:pStyle w:val="BoxSpaceAbove"/>
      </w:pPr>
    </w:p>
    <w:tbl>
      <w:tblPr>
        <w:tblW w:w="5000" w:type="pct"/>
        <w:tblBorders>
          <w:top w:val="single" w:sz="6" w:space="0" w:color="78A22F" w:themeColor="accent1"/>
          <w:bottom w:val="single" w:sz="6" w:space="0" w:color="78A22F" w:themeColor="accent1"/>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19C313AD" w14:textId="77777777" w:rsidTr="00DE301C">
        <w:trPr>
          <w:tblHeader/>
        </w:trPr>
        <w:tc>
          <w:tcPr>
            <w:tcW w:w="5000" w:type="pct"/>
            <w:shd w:val="clear" w:color="auto" w:fill="auto"/>
          </w:tcPr>
          <w:p w14:paraId="5DDA462D" w14:textId="1BF17783" w:rsidR="001054C3" w:rsidRPr="00875139" w:rsidRDefault="001054C3" w:rsidP="00234FBE">
            <w:pPr>
              <w:pStyle w:val="TableTitle"/>
            </w:pPr>
            <w:r>
              <w:rPr>
                <w:b w:val="0"/>
              </w:rPr>
              <w:t>Table C.3</w:t>
            </w:r>
            <w:r>
              <w:tab/>
              <w:t>Consultations</w:t>
            </w:r>
          </w:p>
        </w:tc>
      </w:tr>
      <w:tr w:rsidR="001054C3" w14:paraId="08A70B19" w14:textId="77777777" w:rsidTr="00DE301C">
        <w:tc>
          <w:tcPr>
            <w:tcW w:w="5000" w:type="pct"/>
            <w:shd w:val="clear" w:color="auto" w:fill="auto"/>
          </w:tcPr>
          <w:tbl>
            <w:tblPr>
              <w:tblW w:w="4999" w:type="pct"/>
              <w:tblCellMar>
                <w:top w:w="28" w:type="dxa"/>
                <w:left w:w="0" w:type="dxa"/>
                <w:right w:w="0" w:type="dxa"/>
              </w:tblCellMar>
              <w:tblLook w:val="0000" w:firstRow="0" w:lastRow="0" w:firstColumn="0" w:lastColumn="0" w:noHBand="0" w:noVBand="0"/>
            </w:tblPr>
            <w:tblGrid>
              <w:gridCol w:w="8503"/>
            </w:tblGrid>
            <w:tr w:rsidR="001054C3" w14:paraId="22D84CE2" w14:textId="77777777" w:rsidTr="00234FBE">
              <w:trPr>
                <w:tblHeader/>
              </w:trPr>
              <w:tc>
                <w:tcPr>
                  <w:tcW w:w="500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6BD699D4" w14:textId="77777777" w:rsidR="001054C3" w:rsidRDefault="001054C3" w:rsidP="00234FBE">
                  <w:pPr>
                    <w:pStyle w:val="TableColumnHeading"/>
                    <w:jc w:val="left"/>
                  </w:pPr>
                  <w:r>
                    <w:t>Participant</w:t>
                  </w:r>
                </w:p>
              </w:tc>
            </w:tr>
            <w:tr w:rsidR="001054C3" w14:paraId="2723FA2D" w14:textId="77777777" w:rsidTr="00234FBE">
              <w:tc>
                <w:tcPr>
                  <w:tcW w:w="5000" w:type="pct"/>
                  <w:tcBorders>
                    <w:top w:val="single" w:sz="6" w:space="0" w:color="BFBFBF" w:themeColor="background1" w:themeShade="BF"/>
                  </w:tcBorders>
                </w:tcPr>
                <w:p w14:paraId="5F0A3F1C" w14:textId="77777777" w:rsidR="001054C3" w:rsidRDefault="001054C3" w:rsidP="00234FBE">
                  <w:pPr>
                    <w:pStyle w:val="TableUnitsRow"/>
                    <w:jc w:val="left"/>
                  </w:pPr>
                  <w:r>
                    <w:t>Australian Competition and Consumer Commission (</w:t>
                  </w:r>
                  <w:r w:rsidRPr="00B01EDA">
                    <w:t>ACCC</w:t>
                  </w:r>
                  <w:r>
                    <w:t>)</w:t>
                  </w:r>
                </w:p>
              </w:tc>
            </w:tr>
            <w:tr w:rsidR="001054C3" w14:paraId="29B90EF1" w14:textId="77777777" w:rsidTr="00234FBE">
              <w:tc>
                <w:tcPr>
                  <w:tcW w:w="5000" w:type="pct"/>
                </w:tcPr>
                <w:p w14:paraId="2A41647E" w14:textId="77777777" w:rsidR="001054C3" w:rsidRDefault="001054C3" w:rsidP="00234FBE">
                  <w:pPr>
                    <w:pStyle w:val="TableBodyText"/>
                    <w:jc w:val="left"/>
                  </w:pPr>
                  <w:r w:rsidRPr="005346F0">
                    <w:t>ACT Environment, Planning &amp; Sustainable Development Directorate</w:t>
                  </w:r>
                  <w:r>
                    <w:t xml:space="preserve"> (EPSDD)</w:t>
                  </w:r>
                </w:p>
              </w:tc>
            </w:tr>
            <w:tr w:rsidR="001054C3" w14:paraId="0F51FF21" w14:textId="77777777" w:rsidTr="00234FBE">
              <w:tc>
                <w:tcPr>
                  <w:tcW w:w="5000" w:type="pct"/>
                  <w:shd w:val="clear" w:color="auto" w:fill="auto"/>
                </w:tcPr>
                <w:p w14:paraId="3B7EECDF" w14:textId="77777777" w:rsidR="001054C3" w:rsidRDefault="001054C3" w:rsidP="00234FBE">
                  <w:pPr>
                    <w:pStyle w:val="TableBodyText"/>
                    <w:jc w:val="left"/>
                  </w:pPr>
                  <w:r w:rsidRPr="00B72FE0">
                    <w:t>Association of Mining and Exploration Companies (AMEC)</w:t>
                  </w:r>
                </w:p>
              </w:tc>
            </w:tr>
            <w:tr w:rsidR="001054C3" w14:paraId="642AA68D" w14:textId="77777777" w:rsidTr="00234FBE">
              <w:tc>
                <w:tcPr>
                  <w:tcW w:w="5000" w:type="pct"/>
                  <w:shd w:val="clear" w:color="auto" w:fill="auto"/>
                </w:tcPr>
                <w:p w14:paraId="57B55FD7" w14:textId="77777777" w:rsidR="001054C3" w:rsidRDefault="001054C3" w:rsidP="00234FBE">
                  <w:pPr>
                    <w:pStyle w:val="TableBodyText"/>
                    <w:jc w:val="left"/>
                  </w:pPr>
                  <w:r>
                    <w:t>Australian Academy of Technology and Engineering (ATSE)</w:t>
                  </w:r>
                </w:p>
              </w:tc>
            </w:tr>
            <w:tr w:rsidR="001054C3" w14:paraId="006B5D31" w14:textId="77777777" w:rsidTr="00234FBE">
              <w:tc>
                <w:tcPr>
                  <w:tcW w:w="5000" w:type="pct"/>
                  <w:shd w:val="clear" w:color="auto" w:fill="auto"/>
                </w:tcPr>
                <w:p w14:paraId="53445B32" w14:textId="77777777" w:rsidR="001054C3" w:rsidRDefault="001054C3" w:rsidP="00234FBE">
                  <w:pPr>
                    <w:pStyle w:val="TableBodyText"/>
                    <w:jc w:val="left"/>
                  </w:pPr>
                  <w:r w:rsidRPr="00B01EDA">
                    <w:t>Australian Government Department of Agriculture, Water and the Environment (DAWE)</w:t>
                  </w:r>
                </w:p>
              </w:tc>
            </w:tr>
            <w:tr w:rsidR="001054C3" w14:paraId="65EAF9FB" w14:textId="77777777" w:rsidTr="00234FBE">
              <w:tc>
                <w:tcPr>
                  <w:tcW w:w="5000" w:type="pct"/>
                  <w:shd w:val="clear" w:color="auto" w:fill="auto"/>
                </w:tcPr>
                <w:p w14:paraId="31E2D3FA" w14:textId="77777777" w:rsidR="001054C3" w:rsidRDefault="001054C3" w:rsidP="00234FBE">
                  <w:pPr>
                    <w:pStyle w:val="TableBodyText"/>
                    <w:jc w:val="left"/>
                  </w:pPr>
                  <w:r w:rsidRPr="00B01EDA">
                    <w:t>Bureau of Meteorology (BOM)</w:t>
                  </w:r>
                </w:p>
              </w:tc>
            </w:tr>
            <w:tr w:rsidR="001054C3" w14:paraId="447FD45D" w14:textId="77777777" w:rsidTr="00234FBE">
              <w:tc>
                <w:tcPr>
                  <w:tcW w:w="5000" w:type="pct"/>
                  <w:shd w:val="clear" w:color="auto" w:fill="auto"/>
                </w:tcPr>
                <w:p w14:paraId="02850790" w14:textId="77777777" w:rsidR="001054C3" w:rsidRDefault="001054C3" w:rsidP="00234FBE">
                  <w:pPr>
                    <w:pStyle w:val="TableBodyText"/>
                    <w:jc w:val="left"/>
                  </w:pPr>
                  <w:r w:rsidRPr="00B01EDA">
                    <w:t xml:space="preserve">Commonwealth Environmental Water </w:t>
                  </w:r>
                  <w:r>
                    <w:t>Office</w:t>
                  </w:r>
                  <w:r w:rsidRPr="00B01EDA">
                    <w:t xml:space="preserve"> (CEW</w:t>
                  </w:r>
                  <w:r>
                    <w:t>O</w:t>
                  </w:r>
                  <w:r w:rsidRPr="00B01EDA">
                    <w:t>)</w:t>
                  </w:r>
                </w:p>
              </w:tc>
            </w:tr>
            <w:tr w:rsidR="001054C3" w14:paraId="3F4CF62F" w14:textId="77777777" w:rsidTr="00234FBE">
              <w:tc>
                <w:tcPr>
                  <w:tcW w:w="5000" w:type="pct"/>
                  <w:shd w:val="clear" w:color="auto" w:fill="auto"/>
                </w:tcPr>
                <w:p w14:paraId="7702BE57" w14:textId="77777777" w:rsidR="001054C3" w:rsidRDefault="001054C3" w:rsidP="00234FBE">
                  <w:pPr>
                    <w:pStyle w:val="TableBodyText"/>
                    <w:jc w:val="left"/>
                  </w:pPr>
                  <w:r w:rsidRPr="00B01EDA">
                    <w:t>CSIRO</w:t>
                  </w:r>
                </w:p>
              </w:tc>
            </w:tr>
            <w:tr w:rsidR="001054C3" w14:paraId="726432AA" w14:textId="77777777" w:rsidTr="00234FBE">
              <w:tc>
                <w:tcPr>
                  <w:tcW w:w="5000" w:type="pct"/>
                  <w:shd w:val="clear" w:color="auto" w:fill="auto"/>
                </w:tcPr>
                <w:p w14:paraId="068D362E" w14:textId="77777777" w:rsidR="001054C3" w:rsidRDefault="001054C3" w:rsidP="00234FBE">
                  <w:pPr>
                    <w:pStyle w:val="TableBodyText"/>
                    <w:jc w:val="left"/>
                  </w:pPr>
                  <w:r w:rsidRPr="00B01EDA">
                    <w:t>EnHealth</w:t>
                  </w:r>
                  <w:r>
                    <w:t>’s Water Quality Expert Reference Panel (WQERP)</w:t>
                  </w:r>
                </w:p>
              </w:tc>
            </w:tr>
            <w:tr w:rsidR="001054C3" w14:paraId="416717C6" w14:textId="77777777" w:rsidTr="00234FBE">
              <w:tc>
                <w:tcPr>
                  <w:tcW w:w="5000" w:type="pct"/>
                  <w:shd w:val="clear" w:color="auto" w:fill="auto"/>
                </w:tcPr>
                <w:p w14:paraId="08F88731" w14:textId="77777777" w:rsidR="001054C3" w:rsidRDefault="001054C3" w:rsidP="00234FBE">
                  <w:pPr>
                    <w:pStyle w:val="TableBodyText"/>
                    <w:jc w:val="left"/>
                  </w:pPr>
                  <w:r w:rsidRPr="00B01EDA">
                    <w:t>Infrastructure Australia</w:t>
                  </w:r>
                  <w:r>
                    <w:t xml:space="preserve"> (IA)</w:t>
                  </w:r>
                </w:p>
              </w:tc>
            </w:tr>
            <w:tr w:rsidR="001054C3" w14:paraId="6AB0BB6E" w14:textId="77777777" w:rsidTr="00234FBE">
              <w:tc>
                <w:tcPr>
                  <w:tcW w:w="5000" w:type="pct"/>
                  <w:shd w:val="clear" w:color="auto" w:fill="auto"/>
                </w:tcPr>
                <w:p w14:paraId="2B07F0E1" w14:textId="77777777" w:rsidR="001054C3" w:rsidRDefault="001054C3" w:rsidP="00234FBE">
                  <w:pPr>
                    <w:pStyle w:val="TableBodyText"/>
                    <w:jc w:val="left"/>
                  </w:pPr>
                  <w:r w:rsidRPr="00B01EDA">
                    <w:t>Interim Inspector</w:t>
                  </w:r>
                  <w:r>
                    <w:noBreakHyphen/>
                  </w:r>
                  <w:r w:rsidRPr="00B01EDA">
                    <w:t>General of Murray Darling Basin Water Resources</w:t>
                  </w:r>
                  <w:r>
                    <w:t xml:space="preserve"> (IIGMDB)</w:t>
                  </w:r>
                </w:p>
              </w:tc>
            </w:tr>
            <w:tr w:rsidR="001054C3" w14:paraId="1864E30C" w14:textId="77777777" w:rsidTr="00234FBE">
              <w:tc>
                <w:tcPr>
                  <w:tcW w:w="5000" w:type="pct"/>
                  <w:shd w:val="clear" w:color="auto" w:fill="auto"/>
                </w:tcPr>
                <w:p w14:paraId="1913670B" w14:textId="77777777" w:rsidR="001054C3" w:rsidRPr="00B01EDA" w:rsidRDefault="001054C3" w:rsidP="00234FBE">
                  <w:pPr>
                    <w:pStyle w:val="TableBodyText"/>
                    <w:jc w:val="left"/>
                  </w:pPr>
                  <w:r>
                    <w:t>Interim Inspector</w:t>
                  </w:r>
                  <w:r>
                    <w:noBreakHyphen/>
                    <w:t>General of Water Compliance (IIGWC)</w:t>
                  </w:r>
                </w:p>
              </w:tc>
            </w:tr>
            <w:tr w:rsidR="001054C3" w14:paraId="157FE845" w14:textId="77777777" w:rsidTr="00234FBE">
              <w:tc>
                <w:tcPr>
                  <w:tcW w:w="5000" w:type="pct"/>
                  <w:shd w:val="clear" w:color="auto" w:fill="auto"/>
                </w:tcPr>
                <w:p w14:paraId="7166F2DC" w14:textId="77777777" w:rsidR="001054C3" w:rsidRDefault="001054C3" w:rsidP="00234FBE">
                  <w:pPr>
                    <w:pStyle w:val="TableBodyText"/>
                    <w:jc w:val="left"/>
                  </w:pPr>
                  <w:r w:rsidRPr="00B01EDA">
                    <w:t>Murray</w:t>
                  </w:r>
                  <w:r>
                    <w:noBreakHyphen/>
                  </w:r>
                  <w:r w:rsidRPr="00B01EDA">
                    <w:t>Darling Basin Authority (MDBA)</w:t>
                  </w:r>
                </w:p>
              </w:tc>
            </w:tr>
            <w:tr w:rsidR="001054C3" w14:paraId="499F82E7" w14:textId="77777777" w:rsidTr="00234FBE">
              <w:tc>
                <w:tcPr>
                  <w:tcW w:w="5000" w:type="pct"/>
                  <w:shd w:val="clear" w:color="auto" w:fill="auto"/>
                </w:tcPr>
                <w:p w14:paraId="66FE6CC4" w14:textId="77777777" w:rsidR="001054C3" w:rsidRDefault="001054C3" w:rsidP="00234FBE">
                  <w:pPr>
                    <w:pStyle w:val="TableBodyText"/>
                    <w:jc w:val="left"/>
                  </w:pPr>
                  <w:r w:rsidRPr="00F46FE5">
                    <w:t>Murray Irrigation (MIL)</w:t>
                  </w:r>
                </w:p>
              </w:tc>
            </w:tr>
            <w:tr w:rsidR="001054C3" w14:paraId="18881749" w14:textId="77777777" w:rsidTr="00234FBE">
              <w:tc>
                <w:tcPr>
                  <w:tcW w:w="5000" w:type="pct"/>
                  <w:shd w:val="clear" w:color="auto" w:fill="auto"/>
                </w:tcPr>
                <w:p w14:paraId="076DC0BF" w14:textId="77777777" w:rsidR="001054C3" w:rsidRDefault="001054C3" w:rsidP="00234FBE">
                  <w:pPr>
                    <w:pStyle w:val="TableBodyText"/>
                    <w:jc w:val="left"/>
                  </w:pPr>
                  <w:r w:rsidRPr="00B01EDA">
                    <w:t>Murray Lower Darling Rivers Indigenous Nations (MLDRIN)</w:t>
                  </w:r>
                </w:p>
              </w:tc>
            </w:tr>
            <w:tr w:rsidR="001054C3" w14:paraId="5CB5ECF1" w14:textId="77777777" w:rsidTr="00234FBE">
              <w:tc>
                <w:tcPr>
                  <w:tcW w:w="5000" w:type="pct"/>
                  <w:shd w:val="clear" w:color="auto" w:fill="auto"/>
                </w:tcPr>
                <w:p w14:paraId="37F21254" w14:textId="77777777" w:rsidR="001054C3" w:rsidRDefault="001054C3" w:rsidP="00234FBE">
                  <w:pPr>
                    <w:pStyle w:val="TableBodyText"/>
                    <w:jc w:val="left"/>
                  </w:pPr>
                  <w:r w:rsidRPr="00B01EDA">
                    <w:t>National Health &amp; Medical Research Council</w:t>
                  </w:r>
                  <w:r>
                    <w:t>’s Water Quality Advisory Panel</w:t>
                  </w:r>
                  <w:r w:rsidRPr="00B01EDA">
                    <w:t xml:space="preserve"> (NHMRC</w:t>
                  </w:r>
                  <w:r>
                    <w:t xml:space="preserve"> WQAP</w:t>
                  </w:r>
                  <w:r w:rsidRPr="00B01EDA">
                    <w:t>)</w:t>
                  </w:r>
                </w:p>
              </w:tc>
            </w:tr>
            <w:tr w:rsidR="001054C3" w14:paraId="703442E4" w14:textId="77777777" w:rsidTr="00234FBE">
              <w:tc>
                <w:tcPr>
                  <w:tcW w:w="5000" w:type="pct"/>
                  <w:shd w:val="clear" w:color="auto" w:fill="auto"/>
                </w:tcPr>
                <w:p w14:paraId="4A4FBDE1" w14:textId="77777777" w:rsidR="001054C3" w:rsidRDefault="001054C3" w:rsidP="00234FBE">
                  <w:pPr>
                    <w:pStyle w:val="TableBodyText"/>
                    <w:jc w:val="left"/>
                  </w:pPr>
                  <w:r w:rsidRPr="00B01EDA">
                    <w:t>National Indigenous Australians Agency (NIAA)</w:t>
                  </w:r>
                </w:p>
              </w:tc>
            </w:tr>
            <w:tr w:rsidR="001054C3" w14:paraId="6709B903" w14:textId="77777777" w:rsidTr="00234FBE">
              <w:tc>
                <w:tcPr>
                  <w:tcW w:w="5000" w:type="pct"/>
                  <w:shd w:val="clear" w:color="auto" w:fill="auto"/>
                </w:tcPr>
                <w:p w14:paraId="1FF72316" w14:textId="77777777" w:rsidR="001054C3" w:rsidRDefault="001054C3" w:rsidP="00234FBE">
                  <w:pPr>
                    <w:pStyle w:val="TableBodyText"/>
                    <w:jc w:val="left"/>
                  </w:pPr>
                  <w:r w:rsidRPr="00B01EDA">
                    <w:t>National Water Grid Authority (NWGA)</w:t>
                  </w:r>
                </w:p>
              </w:tc>
            </w:tr>
            <w:tr w:rsidR="001054C3" w14:paraId="090D7961" w14:textId="77777777" w:rsidTr="00234FBE">
              <w:tc>
                <w:tcPr>
                  <w:tcW w:w="5000" w:type="pct"/>
                  <w:shd w:val="clear" w:color="auto" w:fill="auto"/>
                </w:tcPr>
                <w:p w14:paraId="7B0BA6DD" w14:textId="77777777" w:rsidR="001054C3" w:rsidRDefault="001054C3" w:rsidP="00234FBE">
                  <w:pPr>
                    <w:pStyle w:val="TableBodyText"/>
                    <w:jc w:val="left"/>
                  </w:pPr>
                  <w:r>
                    <w:t>Northern Basin Aboriginal Nations (NBAN)</w:t>
                  </w:r>
                </w:p>
              </w:tc>
            </w:tr>
            <w:tr w:rsidR="001054C3" w14:paraId="540C0915" w14:textId="77777777" w:rsidTr="00234FBE">
              <w:tc>
                <w:tcPr>
                  <w:tcW w:w="5000" w:type="pct"/>
                  <w:shd w:val="clear" w:color="auto" w:fill="auto"/>
                </w:tcPr>
                <w:p w14:paraId="64F632E9" w14:textId="77777777" w:rsidR="001054C3" w:rsidRDefault="001054C3" w:rsidP="00234FBE">
                  <w:pPr>
                    <w:pStyle w:val="TableBodyText"/>
                    <w:jc w:val="left"/>
                  </w:pPr>
                  <w:r w:rsidRPr="00B01EDA">
                    <w:t>Northern Territory Department of Environment &amp; Natural Resources (NT DENR)</w:t>
                  </w:r>
                </w:p>
              </w:tc>
            </w:tr>
            <w:tr w:rsidR="001054C3" w14:paraId="686D2F6B" w14:textId="77777777" w:rsidTr="00234FBE">
              <w:tc>
                <w:tcPr>
                  <w:tcW w:w="5000" w:type="pct"/>
                  <w:shd w:val="clear" w:color="auto" w:fill="auto"/>
                </w:tcPr>
                <w:p w14:paraId="6CC54ECE" w14:textId="77777777" w:rsidR="001054C3" w:rsidRDefault="001054C3" w:rsidP="00234FBE">
                  <w:pPr>
                    <w:pStyle w:val="TableBodyText"/>
                    <w:jc w:val="left"/>
                  </w:pPr>
                  <w:r w:rsidRPr="00B72FE0">
                    <w:t>Northern Territory Department of Environment, Parks and Water Security (NT DEPWS)</w:t>
                  </w:r>
                </w:p>
              </w:tc>
            </w:tr>
            <w:tr w:rsidR="001054C3" w14:paraId="69908DEC" w14:textId="77777777" w:rsidTr="00234FBE">
              <w:tc>
                <w:tcPr>
                  <w:tcW w:w="5000" w:type="pct"/>
                  <w:shd w:val="clear" w:color="auto" w:fill="auto"/>
                </w:tcPr>
                <w:p w14:paraId="3FC0FC01" w14:textId="77777777" w:rsidR="001054C3" w:rsidRDefault="001054C3" w:rsidP="00234FBE">
                  <w:pPr>
                    <w:pStyle w:val="TableBodyText"/>
                    <w:jc w:val="left"/>
                  </w:pPr>
                  <w:r w:rsidRPr="005346F0">
                    <w:t xml:space="preserve">NSW </w:t>
                  </w:r>
                  <w:r w:rsidRPr="00B01EDA">
                    <w:t xml:space="preserve">Department of Planning, Industry </w:t>
                  </w:r>
                  <w:r>
                    <w:t>&amp;</w:t>
                  </w:r>
                  <w:r w:rsidRPr="00B01EDA">
                    <w:t xml:space="preserve"> Environment</w:t>
                  </w:r>
                  <w:r>
                    <w:t xml:space="preserve">’s </w:t>
                  </w:r>
                  <w:r w:rsidRPr="005346F0">
                    <w:t>Biodiversity &amp;</w:t>
                  </w:r>
                  <w:r w:rsidRPr="006C79D5">
                    <w:rPr>
                      <w:sz w:val="14"/>
                      <w:szCs w:val="16"/>
                    </w:rPr>
                    <w:t xml:space="preserve"> </w:t>
                  </w:r>
                  <w:r w:rsidRPr="005346F0">
                    <w:t>Conservation</w:t>
                  </w:r>
                  <w:r w:rsidRPr="006C79D5">
                    <w:rPr>
                      <w:sz w:val="14"/>
                      <w:szCs w:val="16"/>
                    </w:rPr>
                    <w:t xml:space="preserve"> </w:t>
                  </w:r>
                  <w:r>
                    <w:t>Division</w:t>
                  </w:r>
                  <w:r w:rsidRPr="005346F0">
                    <w:t xml:space="preserve"> </w:t>
                  </w:r>
                  <w:r w:rsidRPr="006C79D5">
                    <w:t>(DPIE BCD)</w:t>
                  </w:r>
                </w:p>
              </w:tc>
            </w:tr>
            <w:tr w:rsidR="001054C3" w14:paraId="76F4892F" w14:textId="77777777" w:rsidTr="00234FBE">
              <w:tc>
                <w:tcPr>
                  <w:tcW w:w="5000" w:type="pct"/>
                  <w:shd w:val="clear" w:color="auto" w:fill="auto"/>
                </w:tcPr>
                <w:p w14:paraId="69A19596" w14:textId="77777777" w:rsidR="001054C3" w:rsidRPr="005346F0" w:rsidRDefault="001054C3" w:rsidP="00234FBE">
                  <w:pPr>
                    <w:pStyle w:val="TableBodyText"/>
                    <w:jc w:val="left"/>
                  </w:pPr>
                  <w:r w:rsidRPr="00B01EDA">
                    <w:t>NSW Department of Planning, Industry and Environment</w:t>
                  </w:r>
                  <w:r>
                    <w:t>’s Water Division</w:t>
                  </w:r>
                  <w:r w:rsidRPr="00B01EDA">
                    <w:t xml:space="preserve"> (DPIE</w:t>
                  </w:r>
                  <w:r>
                    <w:t xml:space="preserve"> Water</w:t>
                  </w:r>
                  <w:r w:rsidRPr="00B01EDA">
                    <w:t>)</w:t>
                  </w:r>
                </w:p>
              </w:tc>
            </w:tr>
            <w:tr w:rsidR="001054C3" w14:paraId="10B30AB7" w14:textId="77777777" w:rsidTr="00234FBE">
              <w:tc>
                <w:tcPr>
                  <w:tcW w:w="5000" w:type="pct"/>
                  <w:shd w:val="clear" w:color="auto" w:fill="auto"/>
                </w:tcPr>
                <w:p w14:paraId="1E3FCD48" w14:textId="77777777" w:rsidR="001054C3" w:rsidRPr="005346F0" w:rsidRDefault="001054C3" w:rsidP="00234FBE">
                  <w:pPr>
                    <w:pStyle w:val="TableBodyText"/>
                    <w:jc w:val="left"/>
                  </w:pPr>
                  <w:r w:rsidRPr="00B01EDA">
                    <w:t>NSW Independent Pricing &amp; Regulatory Tribunal</w:t>
                  </w:r>
                  <w:r>
                    <w:t xml:space="preserve"> (NSW IPART)</w:t>
                  </w:r>
                </w:p>
              </w:tc>
            </w:tr>
            <w:tr w:rsidR="001054C3" w14:paraId="3102A6C5" w14:textId="77777777" w:rsidTr="00234FBE">
              <w:tc>
                <w:tcPr>
                  <w:tcW w:w="5000" w:type="pct"/>
                  <w:shd w:val="clear" w:color="auto" w:fill="auto"/>
                </w:tcPr>
                <w:p w14:paraId="3FAED3DD" w14:textId="77777777" w:rsidR="001054C3" w:rsidRPr="00B01EDA" w:rsidRDefault="001054C3" w:rsidP="00234FBE">
                  <w:pPr>
                    <w:pStyle w:val="TableBodyText"/>
                    <w:jc w:val="left"/>
                  </w:pPr>
                  <w:r>
                    <w:t>NSW Irrigators Council (NSWIC)</w:t>
                  </w:r>
                </w:p>
              </w:tc>
            </w:tr>
            <w:tr w:rsidR="001054C3" w14:paraId="094C4DDA" w14:textId="77777777" w:rsidTr="00234FBE">
              <w:tc>
                <w:tcPr>
                  <w:tcW w:w="5000" w:type="pct"/>
                  <w:shd w:val="clear" w:color="auto" w:fill="auto"/>
                </w:tcPr>
                <w:p w14:paraId="4DC4931B" w14:textId="77777777" w:rsidR="001054C3" w:rsidRDefault="001054C3" w:rsidP="00234FBE">
                  <w:pPr>
                    <w:pStyle w:val="TableBodyText"/>
                    <w:jc w:val="left"/>
                  </w:pPr>
                  <w:r>
                    <w:t>NSW Natural Resources Access Regulator (NRAR)</w:t>
                  </w:r>
                </w:p>
              </w:tc>
            </w:tr>
            <w:tr w:rsidR="001054C3" w14:paraId="4993E776" w14:textId="77777777" w:rsidTr="00234FBE">
              <w:tc>
                <w:tcPr>
                  <w:tcW w:w="5000" w:type="pct"/>
                  <w:shd w:val="clear" w:color="auto" w:fill="auto"/>
                </w:tcPr>
                <w:p w14:paraId="4F534BE8" w14:textId="77777777" w:rsidR="001054C3" w:rsidRDefault="001054C3" w:rsidP="00234FBE">
                  <w:pPr>
                    <w:pStyle w:val="TableBodyText"/>
                    <w:jc w:val="left"/>
                  </w:pPr>
                  <w:r w:rsidRPr="00B01EDA">
                    <w:t>NSW Natural Resources Commission (NRC)</w:t>
                  </w:r>
                </w:p>
              </w:tc>
            </w:tr>
            <w:tr w:rsidR="001054C3" w14:paraId="4C432220" w14:textId="77777777" w:rsidTr="00234FBE">
              <w:tc>
                <w:tcPr>
                  <w:tcW w:w="5000" w:type="pct"/>
                  <w:shd w:val="clear" w:color="auto" w:fill="auto"/>
                </w:tcPr>
                <w:p w14:paraId="4A236E16" w14:textId="77777777" w:rsidR="001054C3" w:rsidRDefault="001054C3" w:rsidP="00234FBE">
                  <w:pPr>
                    <w:pStyle w:val="TableBodyText"/>
                    <w:jc w:val="left"/>
                  </w:pPr>
                  <w:r w:rsidRPr="00B01EDA">
                    <w:t>NSW Water Directorate</w:t>
                  </w:r>
                </w:p>
              </w:tc>
            </w:tr>
            <w:tr w:rsidR="001054C3" w14:paraId="5E1766ED" w14:textId="77777777" w:rsidTr="00234FBE">
              <w:tc>
                <w:tcPr>
                  <w:tcW w:w="5000" w:type="pct"/>
                  <w:shd w:val="clear" w:color="auto" w:fill="auto"/>
                </w:tcPr>
                <w:p w14:paraId="46810130" w14:textId="77777777" w:rsidR="001054C3" w:rsidRDefault="001054C3" w:rsidP="00234FBE">
                  <w:pPr>
                    <w:pStyle w:val="TableBodyText"/>
                    <w:jc w:val="left"/>
                  </w:pPr>
                  <w:r>
                    <w:t>NWRC Committee on Aboriginal Water Interests</w:t>
                  </w:r>
                </w:p>
              </w:tc>
            </w:tr>
            <w:tr w:rsidR="001054C3" w14:paraId="6D376596" w14:textId="77777777" w:rsidTr="00234FBE">
              <w:tc>
                <w:tcPr>
                  <w:tcW w:w="5000" w:type="pct"/>
                  <w:shd w:val="clear" w:color="auto" w:fill="auto"/>
                </w:tcPr>
                <w:p w14:paraId="42D47FCB" w14:textId="77777777" w:rsidR="001054C3" w:rsidRDefault="001054C3" w:rsidP="00234FBE">
                  <w:pPr>
                    <w:pStyle w:val="TableBodyText"/>
                    <w:jc w:val="left"/>
                  </w:pPr>
                  <w:r w:rsidRPr="00B01EDA">
                    <w:t>Poelina, Dr Anne</w:t>
                  </w:r>
                  <w:r>
                    <w:t xml:space="preserve"> (University of Notre Dame, WA)</w:t>
                  </w:r>
                  <w:r w:rsidRPr="00B01EDA">
                    <w:t>; and Taylor, Dr Kat</w:t>
                  </w:r>
                  <w:r>
                    <w:t xml:space="preserve"> (ANU, ACT)</w:t>
                  </w:r>
                </w:p>
              </w:tc>
            </w:tr>
            <w:tr w:rsidR="001054C3" w14:paraId="3975DD2C" w14:textId="77777777" w:rsidTr="00234FBE">
              <w:tc>
                <w:tcPr>
                  <w:tcW w:w="5000" w:type="pct"/>
                  <w:shd w:val="clear" w:color="auto" w:fill="auto"/>
                </w:tcPr>
                <w:p w14:paraId="01411957" w14:textId="77777777" w:rsidR="001054C3" w:rsidRDefault="001054C3" w:rsidP="00234FBE">
                  <w:pPr>
                    <w:pStyle w:val="TableBodyText"/>
                    <w:jc w:val="left"/>
                  </w:pPr>
                  <w:r w:rsidRPr="00B01EDA">
                    <w:t>Queensland Competition Authority (QCA)</w:t>
                  </w:r>
                </w:p>
              </w:tc>
            </w:tr>
            <w:tr w:rsidR="001054C3" w14:paraId="56D043A5" w14:textId="77777777" w:rsidTr="00234FBE">
              <w:tc>
                <w:tcPr>
                  <w:tcW w:w="5000" w:type="pct"/>
                  <w:shd w:val="clear" w:color="auto" w:fill="auto"/>
                </w:tcPr>
                <w:p w14:paraId="79B2AE29" w14:textId="77777777" w:rsidR="001054C3" w:rsidRPr="00B01EDA" w:rsidRDefault="001054C3" w:rsidP="00234FBE">
                  <w:pPr>
                    <w:pStyle w:val="TableBodyText"/>
                    <w:jc w:val="left"/>
                  </w:pPr>
                  <w:r>
                    <w:t>Queensland Department of Natural Resources, Mines and Energy (QLD DNRME)</w:t>
                  </w:r>
                </w:p>
              </w:tc>
            </w:tr>
            <w:tr w:rsidR="001054C3" w14:paraId="7342D077" w14:textId="77777777" w:rsidTr="00234FBE">
              <w:tc>
                <w:tcPr>
                  <w:tcW w:w="5000" w:type="pct"/>
                  <w:shd w:val="clear" w:color="auto" w:fill="auto"/>
                </w:tcPr>
                <w:p w14:paraId="0EBFE863" w14:textId="77777777" w:rsidR="001054C3" w:rsidRPr="00B01EDA" w:rsidRDefault="001054C3" w:rsidP="00234FBE">
                  <w:pPr>
                    <w:pStyle w:val="TableBodyText"/>
                    <w:jc w:val="left"/>
                  </w:pPr>
                  <w:r>
                    <w:t>Queensland Department of Regional Development, Manufacturing and Water (DRDMW)</w:t>
                  </w:r>
                </w:p>
              </w:tc>
            </w:tr>
          </w:tbl>
          <w:p w14:paraId="65444F67" w14:textId="77777777" w:rsidR="001054C3" w:rsidRDefault="001054C3" w:rsidP="00234FBE">
            <w:pPr>
              <w:pStyle w:val="Box"/>
            </w:pPr>
          </w:p>
        </w:tc>
      </w:tr>
      <w:tr w:rsidR="001054C3" w14:paraId="32E13D0C" w14:textId="77777777" w:rsidTr="00DE301C">
        <w:tc>
          <w:tcPr>
            <w:tcW w:w="5000" w:type="pct"/>
            <w:shd w:val="clear" w:color="auto" w:fill="auto"/>
          </w:tcPr>
          <w:p w14:paraId="124868D9" w14:textId="77777777" w:rsidR="001054C3" w:rsidRDefault="001054C3" w:rsidP="00234FBE">
            <w:pPr>
              <w:pStyle w:val="Note"/>
              <w:jc w:val="right"/>
              <w:rPr>
                <w:i/>
              </w:rPr>
            </w:pPr>
            <w:r>
              <w:rPr>
                <w:i/>
              </w:rPr>
              <w:t xml:space="preserve"> (continued next page)</w:t>
            </w:r>
          </w:p>
          <w:p w14:paraId="0B61680C" w14:textId="23FF4009" w:rsidR="001054C3" w:rsidRPr="00DE301C" w:rsidRDefault="001054C3" w:rsidP="00DE301C">
            <w:pPr>
              <w:pStyle w:val="Figurespace"/>
            </w:pPr>
          </w:p>
        </w:tc>
      </w:tr>
    </w:tbl>
    <w:p w14:paraId="4CB2D5E7"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317A3F20" w14:textId="77777777" w:rsidTr="00234FBE">
        <w:trPr>
          <w:tblHeader/>
        </w:trPr>
        <w:tc>
          <w:tcPr>
            <w:tcW w:w="5000" w:type="pct"/>
            <w:tcBorders>
              <w:top w:val="single" w:sz="6" w:space="0" w:color="78A22F" w:themeColor="accent1"/>
              <w:left w:val="nil"/>
              <w:bottom w:val="nil"/>
              <w:right w:val="nil"/>
            </w:tcBorders>
            <w:shd w:val="clear" w:color="auto" w:fill="auto"/>
          </w:tcPr>
          <w:p w14:paraId="03C4D70A" w14:textId="2DB30E38" w:rsidR="001054C3" w:rsidRPr="00875139" w:rsidRDefault="001054C3" w:rsidP="00234FBE">
            <w:pPr>
              <w:pStyle w:val="TableTitle"/>
            </w:pPr>
            <w:r>
              <w:rPr>
                <w:b w:val="0"/>
              </w:rPr>
              <w:t>Table C.3</w:t>
            </w:r>
            <w:r>
              <w:tab/>
            </w:r>
            <w:r w:rsidRPr="0021524F">
              <w:rPr>
                <w:b w:val="0"/>
                <w:bCs/>
                <w:sz w:val="18"/>
                <w:szCs w:val="18"/>
              </w:rPr>
              <w:t>(continued)</w:t>
            </w:r>
          </w:p>
        </w:tc>
      </w:tr>
      <w:tr w:rsidR="001054C3" w14:paraId="72E5724B" w14:textId="77777777" w:rsidTr="00234FBE">
        <w:tc>
          <w:tcPr>
            <w:tcW w:w="5000" w:type="pct"/>
            <w:tcBorders>
              <w:top w:val="nil"/>
              <w:left w:val="nil"/>
              <w:bottom w:val="nil"/>
              <w:right w:val="nil"/>
            </w:tcBorders>
            <w:shd w:val="clear" w:color="auto" w:fill="auto"/>
          </w:tcPr>
          <w:tbl>
            <w:tblPr>
              <w:tblW w:w="4999" w:type="pct"/>
              <w:tblCellMar>
                <w:top w:w="28" w:type="dxa"/>
                <w:left w:w="0" w:type="dxa"/>
                <w:right w:w="0" w:type="dxa"/>
              </w:tblCellMar>
              <w:tblLook w:val="0000" w:firstRow="0" w:lastRow="0" w:firstColumn="0" w:lastColumn="0" w:noHBand="0" w:noVBand="0"/>
            </w:tblPr>
            <w:tblGrid>
              <w:gridCol w:w="8503"/>
            </w:tblGrid>
            <w:tr w:rsidR="001054C3" w14:paraId="2667D2BA" w14:textId="77777777" w:rsidTr="00234FBE">
              <w:trPr>
                <w:tblHeader/>
              </w:trPr>
              <w:tc>
                <w:tcPr>
                  <w:tcW w:w="500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39D473B6" w14:textId="77777777" w:rsidR="001054C3" w:rsidRDefault="001054C3" w:rsidP="00234FBE">
                  <w:pPr>
                    <w:pStyle w:val="TableColumnHeading"/>
                    <w:jc w:val="left"/>
                  </w:pPr>
                  <w:r>
                    <w:t>Participants</w:t>
                  </w:r>
                </w:p>
              </w:tc>
            </w:tr>
            <w:tr w:rsidR="001054C3" w14:paraId="7E7315C1" w14:textId="77777777" w:rsidTr="00234FBE">
              <w:tc>
                <w:tcPr>
                  <w:tcW w:w="5000" w:type="pct"/>
                  <w:shd w:val="clear" w:color="auto" w:fill="auto"/>
                </w:tcPr>
                <w:p w14:paraId="780BF997" w14:textId="77777777" w:rsidR="001054C3" w:rsidRPr="00B01EDA" w:rsidRDefault="001054C3" w:rsidP="00234FBE">
                  <w:pPr>
                    <w:pStyle w:val="TableBodyText"/>
                    <w:jc w:val="left"/>
                  </w:pPr>
                  <w:r>
                    <w:t>Queensland DNRME/DRDMW Water Engagement Forum</w:t>
                  </w:r>
                </w:p>
              </w:tc>
            </w:tr>
            <w:tr w:rsidR="001054C3" w14:paraId="1C942A09" w14:textId="77777777" w:rsidTr="00234FBE">
              <w:tc>
                <w:tcPr>
                  <w:tcW w:w="5000" w:type="pct"/>
                  <w:shd w:val="clear" w:color="auto" w:fill="auto"/>
                </w:tcPr>
                <w:p w14:paraId="20168FB7" w14:textId="77777777" w:rsidR="001054C3" w:rsidRDefault="001054C3" w:rsidP="00234FBE">
                  <w:pPr>
                    <w:pStyle w:val="TableBodyText"/>
                    <w:jc w:val="left"/>
                  </w:pPr>
                  <w:r w:rsidRPr="00B01EDA">
                    <w:t>Queensland Water Directorate</w:t>
                  </w:r>
                </w:p>
              </w:tc>
            </w:tr>
            <w:tr w:rsidR="001054C3" w14:paraId="3298B690" w14:textId="77777777" w:rsidTr="00234FBE">
              <w:tc>
                <w:tcPr>
                  <w:tcW w:w="5000" w:type="pct"/>
                  <w:shd w:val="clear" w:color="auto" w:fill="auto"/>
                </w:tcPr>
                <w:p w14:paraId="7B1D6AD7" w14:textId="77777777" w:rsidR="001054C3" w:rsidRDefault="001054C3" w:rsidP="00234FBE">
                  <w:pPr>
                    <w:pStyle w:val="TableBodyText"/>
                    <w:jc w:val="left"/>
                  </w:pPr>
                  <w:r w:rsidRPr="00B01EDA">
                    <w:t>Ricegrowers Association of Australia (RGA)</w:t>
                  </w:r>
                </w:p>
              </w:tc>
            </w:tr>
            <w:tr w:rsidR="001054C3" w14:paraId="537E593D" w14:textId="77777777" w:rsidTr="00234FBE">
              <w:tc>
                <w:tcPr>
                  <w:tcW w:w="5000" w:type="pct"/>
                  <w:shd w:val="clear" w:color="auto" w:fill="auto"/>
                </w:tcPr>
                <w:p w14:paraId="27A080EA" w14:textId="77777777" w:rsidR="001054C3" w:rsidRDefault="001054C3" w:rsidP="00234FBE">
                  <w:pPr>
                    <w:pStyle w:val="TableBodyText"/>
                    <w:jc w:val="left"/>
                  </w:pPr>
                  <w:r w:rsidRPr="00B01EDA">
                    <w:t>South Australian Department of Environment and Water (SA DEW)</w:t>
                  </w:r>
                </w:p>
              </w:tc>
            </w:tr>
            <w:tr w:rsidR="001054C3" w14:paraId="733C71F2" w14:textId="77777777" w:rsidTr="00234FBE">
              <w:tc>
                <w:tcPr>
                  <w:tcW w:w="5000" w:type="pct"/>
                  <w:shd w:val="clear" w:color="auto" w:fill="auto"/>
                </w:tcPr>
                <w:p w14:paraId="313256E6" w14:textId="77777777" w:rsidR="001054C3" w:rsidRDefault="001054C3" w:rsidP="00234FBE">
                  <w:pPr>
                    <w:pStyle w:val="TableBodyText"/>
                    <w:jc w:val="left"/>
                  </w:pPr>
                  <w:r w:rsidRPr="00B01EDA">
                    <w:t>SunRice</w:t>
                  </w:r>
                </w:p>
              </w:tc>
            </w:tr>
            <w:tr w:rsidR="001054C3" w14:paraId="31812538" w14:textId="77777777" w:rsidTr="00234FBE">
              <w:tc>
                <w:tcPr>
                  <w:tcW w:w="5000" w:type="pct"/>
                  <w:shd w:val="clear" w:color="auto" w:fill="auto"/>
                </w:tcPr>
                <w:p w14:paraId="70EC3A30" w14:textId="77777777" w:rsidR="001054C3" w:rsidRDefault="001054C3" w:rsidP="00234FBE">
                  <w:pPr>
                    <w:pStyle w:val="TableBodyText"/>
                    <w:jc w:val="left"/>
                  </w:pPr>
                  <w:r>
                    <w:t xml:space="preserve">Tasmanian Department of Primary Industries, Parks, Water and Environment (DPIPWE) </w:t>
                  </w:r>
                </w:p>
              </w:tc>
            </w:tr>
            <w:tr w:rsidR="001054C3" w14:paraId="6AF5ACE6" w14:textId="77777777" w:rsidTr="00234FBE">
              <w:tc>
                <w:tcPr>
                  <w:tcW w:w="5000" w:type="pct"/>
                  <w:shd w:val="clear" w:color="auto" w:fill="auto"/>
                </w:tcPr>
                <w:p w14:paraId="427DB0D5" w14:textId="77777777" w:rsidR="001054C3" w:rsidRPr="00B01EDA" w:rsidRDefault="001054C3" w:rsidP="00234FBE">
                  <w:pPr>
                    <w:pStyle w:val="TableBodyText"/>
                    <w:jc w:val="left"/>
                  </w:pPr>
                  <w:r w:rsidRPr="00B72FE0">
                    <w:t>Tasmanian Department of Treasury and Finance</w:t>
                  </w:r>
                </w:p>
              </w:tc>
            </w:tr>
            <w:tr w:rsidR="001054C3" w14:paraId="33CA440E" w14:textId="77777777" w:rsidTr="00234FBE">
              <w:tc>
                <w:tcPr>
                  <w:tcW w:w="5000" w:type="pct"/>
                  <w:shd w:val="clear" w:color="auto" w:fill="auto"/>
                </w:tcPr>
                <w:p w14:paraId="6DF6E55E" w14:textId="77777777" w:rsidR="001054C3" w:rsidRDefault="001054C3" w:rsidP="00234FBE">
                  <w:pPr>
                    <w:pStyle w:val="TableBodyText"/>
                    <w:jc w:val="left"/>
                  </w:pPr>
                  <w:r w:rsidRPr="00B01EDA">
                    <w:t>Tasmanian Irrigation</w:t>
                  </w:r>
                </w:p>
              </w:tc>
            </w:tr>
            <w:tr w:rsidR="001054C3" w14:paraId="6062B138" w14:textId="77777777" w:rsidTr="00234FBE">
              <w:tc>
                <w:tcPr>
                  <w:tcW w:w="5000" w:type="pct"/>
                  <w:shd w:val="clear" w:color="auto" w:fill="auto"/>
                </w:tcPr>
                <w:p w14:paraId="71A19F21" w14:textId="77777777" w:rsidR="001054C3" w:rsidRDefault="001054C3" w:rsidP="00234FBE">
                  <w:pPr>
                    <w:pStyle w:val="TableBodyText"/>
                    <w:jc w:val="left"/>
                  </w:pPr>
                  <w:r w:rsidRPr="00B01EDA">
                    <w:t>TasWater</w:t>
                  </w:r>
                </w:p>
              </w:tc>
            </w:tr>
            <w:tr w:rsidR="001054C3" w14:paraId="331AD0E2" w14:textId="77777777" w:rsidTr="00234FBE">
              <w:tc>
                <w:tcPr>
                  <w:tcW w:w="5000" w:type="pct"/>
                  <w:shd w:val="clear" w:color="auto" w:fill="auto"/>
                </w:tcPr>
                <w:p w14:paraId="4535917A" w14:textId="77777777" w:rsidR="001054C3" w:rsidRDefault="001054C3" w:rsidP="00234FBE">
                  <w:pPr>
                    <w:pStyle w:val="TableBodyText"/>
                    <w:jc w:val="left"/>
                  </w:pPr>
                  <w:r>
                    <w:t>Victorian Department of Environment, Land, Water and Planning (DELWP)</w:t>
                  </w:r>
                </w:p>
              </w:tc>
            </w:tr>
            <w:tr w:rsidR="001054C3" w14:paraId="05BCFC8E" w14:textId="77777777" w:rsidTr="00234FBE">
              <w:tc>
                <w:tcPr>
                  <w:tcW w:w="5000" w:type="pct"/>
                  <w:shd w:val="clear" w:color="auto" w:fill="auto"/>
                </w:tcPr>
                <w:p w14:paraId="26CC4698" w14:textId="77777777" w:rsidR="001054C3" w:rsidRDefault="001054C3" w:rsidP="00234FBE">
                  <w:pPr>
                    <w:pStyle w:val="TableBodyText"/>
                    <w:jc w:val="left"/>
                  </w:pPr>
                  <w:r w:rsidRPr="00B01EDA">
                    <w:t>Victorian Environmental Water Holder (VEWH)</w:t>
                  </w:r>
                </w:p>
              </w:tc>
            </w:tr>
            <w:tr w:rsidR="001054C3" w14:paraId="0CA447A9" w14:textId="77777777" w:rsidTr="00234FBE">
              <w:tc>
                <w:tcPr>
                  <w:tcW w:w="5000" w:type="pct"/>
                  <w:shd w:val="clear" w:color="auto" w:fill="auto"/>
                </w:tcPr>
                <w:p w14:paraId="3E318411" w14:textId="77777777" w:rsidR="001054C3" w:rsidRDefault="001054C3" w:rsidP="00234FBE">
                  <w:pPr>
                    <w:pStyle w:val="TableBodyText"/>
                    <w:jc w:val="left"/>
                  </w:pPr>
                  <w:r w:rsidRPr="00B01EDA">
                    <w:t>Victorian Essential Services Commission (ESC)</w:t>
                  </w:r>
                </w:p>
              </w:tc>
            </w:tr>
            <w:tr w:rsidR="001054C3" w14:paraId="4CECD6CD" w14:textId="77777777" w:rsidTr="00234FBE">
              <w:tc>
                <w:tcPr>
                  <w:tcW w:w="5000" w:type="pct"/>
                  <w:shd w:val="clear" w:color="auto" w:fill="auto"/>
                </w:tcPr>
                <w:p w14:paraId="155DDCD0" w14:textId="77777777" w:rsidR="001054C3" w:rsidRDefault="001054C3" w:rsidP="00234FBE">
                  <w:pPr>
                    <w:pStyle w:val="TableBodyText"/>
                    <w:jc w:val="left"/>
                  </w:pPr>
                  <w:r w:rsidRPr="00B01EDA">
                    <w:t>Victorian Planning Authority (VPA)</w:t>
                  </w:r>
                </w:p>
              </w:tc>
            </w:tr>
            <w:tr w:rsidR="001054C3" w14:paraId="5D4B4A8F" w14:textId="77777777" w:rsidTr="00234FBE">
              <w:tc>
                <w:tcPr>
                  <w:tcW w:w="5000" w:type="pct"/>
                  <w:shd w:val="clear" w:color="auto" w:fill="auto"/>
                </w:tcPr>
                <w:p w14:paraId="34F95C00" w14:textId="77777777" w:rsidR="001054C3" w:rsidRDefault="001054C3" w:rsidP="00234FBE">
                  <w:pPr>
                    <w:pStyle w:val="TableBodyText"/>
                    <w:jc w:val="left"/>
                  </w:pPr>
                  <w:r w:rsidRPr="00B01EDA">
                    <w:t>VicWater</w:t>
                  </w:r>
                </w:p>
              </w:tc>
            </w:tr>
            <w:tr w:rsidR="001054C3" w14:paraId="1A3B2CCC" w14:textId="77777777" w:rsidTr="00234FBE">
              <w:tc>
                <w:tcPr>
                  <w:tcW w:w="5000" w:type="pct"/>
                  <w:shd w:val="clear" w:color="auto" w:fill="auto"/>
                </w:tcPr>
                <w:p w14:paraId="2C7832A2" w14:textId="77777777" w:rsidR="001054C3" w:rsidRDefault="001054C3" w:rsidP="00234FBE">
                  <w:pPr>
                    <w:pStyle w:val="TableBodyText"/>
                    <w:jc w:val="left"/>
                  </w:pPr>
                  <w:r w:rsidRPr="00B01EDA">
                    <w:t>Water Services Association of Australia (WSAA)</w:t>
                  </w:r>
                </w:p>
              </w:tc>
            </w:tr>
            <w:tr w:rsidR="001054C3" w14:paraId="03D6D47A" w14:textId="77777777" w:rsidTr="00234FBE">
              <w:tc>
                <w:tcPr>
                  <w:tcW w:w="5000" w:type="pct"/>
                  <w:shd w:val="clear" w:color="auto" w:fill="auto"/>
                </w:tcPr>
                <w:p w14:paraId="6B324D92" w14:textId="77777777" w:rsidR="001054C3" w:rsidRDefault="001054C3" w:rsidP="00234FBE">
                  <w:pPr>
                    <w:pStyle w:val="TableBodyText"/>
                    <w:jc w:val="left"/>
                  </w:pPr>
                  <w:r>
                    <w:t>Wentworth Group of Concerned Scientists</w:t>
                  </w:r>
                </w:p>
              </w:tc>
            </w:tr>
            <w:tr w:rsidR="001054C3" w14:paraId="57BF93B6" w14:textId="77777777" w:rsidTr="00234FBE">
              <w:tc>
                <w:tcPr>
                  <w:tcW w:w="5000" w:type="pct"/>
                  <w:shd w:val="clear" w:color="auto" w:fill="auto"/>
                </w:tcPr>
                <w:p w14:paraId="63A1F84D" w14:textId="77777777" w:rsidR="001054C3" w:rsidRDefault="001054C3" w:rsidP="00234FBE">
                  <w:pPr>
                    <w:pStyle w:val="TableBodyText"/>
                    <w:jc w:val="left"/>
                  </w:pPr>
                  <w:r w:rsidRPr="00D24BC8">
                    <w:t>Western Australian Department of Water and Environmental Regulation (</w:t>
                  </w:r>
                  <w:r>
                    <w:t xml:space="preserve">WA </w:t>
                  </w:r>
                  <w:r w:rsidRPr="00D24BC8">
                    <w:t>DWER)</w:t>
                  </w:r>
                </w:p>
              </w:tc>
            </w:tr>
            <w:tr w:rsidR="001054C3" w14:paraId="7383464E" w14:textId="77777777" w:rsidTr="00234FBE">
              <w:tc>
                <w:tcPr>
                  <w:tcW w:w="5000" w:type="pct"/>
                  <w:tcBorders>
                    <w:bottom w:val="single" w:sz="6" w:space="0" w:color="BFBFBF" w:themeColor="background1" w:themeShade="BF"/>
                  </w:tcBorders>
                  <w:shd w:val="clear" w:color="auto" w:fill="auto"/>
                </w:tcPr>
                <w:p w14:paraId="6B92A2FA" w14:textId="77777777" w:rsidR="001054C3" w:rsidRDefault="001054C3" w:rsidP="00234FBE">
                  <w:pPr>
                    <w:pStyle w:val="TableBodyText"/>
                    <w:jc w:val="left"/>
                  </w:pPr>
                  <w:r w:rsidRPr="00D24BC8">
                    <w:t xml:space="preserve">Western Australian </w:t>
                  </w:r>
                  <w:r w:rsidRPr="00B01EDA">
                    <w:t>Water Corporation</w:t>
                  </w:r>
                </w:p>
              </w:tc>
            </w:tr>
          </w:tbl>
          <w:p w14:paraId="0E2D1759" w14:textId="77777777" w:rsidR="001054C3" w:rsidRDefault="001054C3" w:rsidP="00234FBE">
            <w:pPr>
              <w:pStyle w:val="Box"/>
            </w:pPr>
          </w:p>
        </w:tc>
      </w:tr>
      <w:tr w:rsidR="001054C3" w14:paraId="3250FADF" w14:textId="77777777" w:rsidTr="00234FBE">
        <w:tc>
          <w:tcPr>
            <w:tcW w:w="5000" w:type="pct"/>
            <w:tcBorders>
              <w:top w:val="nil"/>
              <w:left w:val="nil"/>
              <w:bottom w:val="single" w:sz="6" w:space="0" w:color="78A22F" w:themeColor="accent1"/>
              <w:right w:val="nil"/>
            </w:tcBorders>
            <w:shd w:val="clear" w:color="auto" w:fill="auto"/>
          </w:tcPr>
          <w:p w14:paraId="675E9397" w14:textId="77777777" w:rsidR="001054C3" w:rsidRDefault="001054C3" w:rsidP="00234FBE">
            <w:pPr>
              <w:pStyle w:val="Box"/>
              <w:spacing w:before="0" w:line="120" w:lineRule="exact"/>
            </w:pPr>
          </w:p>
        </w:tc>
      </w:tr>
      <w:tr w:rsidR="001054C3" w:rsidRPr="000863A5" w14:paraId="282F26E5" w14:textId="77777777" w:rsidTr="00234FBE">
        <w:tc>
          <w:tcPr>
            <w:tcW w:w="5000" w:type="pct"/>
            <w:tcBorders>
              <w:top w:val="single" w:sz="6" w:space="0" w:color="78A22F" w:themeColor="accent1"/>
              <w:left w:val="nil"/>
              <w:bottom w:val="nil"/>
              <w:right w:val="nil"/>
            </w:tcBorders>
          </w:tcPr>
          <w:p w14:paraId="67B50FE1" w14:textId="77777777" w:rsidR="001054C3" w:rsidRPr="00626D32" w:rsidRDefault="001054C3" w:rsidP="00234FBE">
            <w:pPr>
              <w:pStyle w:val="BoxSpaceBelow"/>
            </w:pPr>
          </w:p>
        </w:tc>
      </w:tr>
    </w:tbl>
    <w:p w14:paraId="3185DB00" w14:textId="77777777" w:rsidR="001054C3" w:rsidRDefault="001054C3" w:rsidP="00120072">
      <w:pPr>
        <w:pStyle w:val="BodyText"/>
      </w:pPr>
    </w:p>
    <w:p w14:paraId="772F6F5B"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4FCB953F" w14:textId="77777777" w:rsidTr="00234FBE">
        <w:trPr>
          <w:tblHeader/>
        </w:trPr>
        <w:tc>
          <w:tcPr>
            <w:tcW w:w="5000" w:type="pct"/>
            <w:tcBorders>
              <w:top w:val="single" w:sz="6" w:space="0" w:color="78A22F"/>
              <w:left w:val="nil"/>
              <w:bottom w:val="nil"/>
              <w:right w:val="nil"/>
            </w:tcBorders>
            <w:shd w:val="clear" w:color="auto" w:fill="auto"/>
          </w:tcPr>
          <w:p w14:paraId="71CFE686" w14:textId="76A0297F" w:rsidR="001054C3" w:rsidRPr="00875139" w:rsidRDefault="001054C3" w:rsidP="00234FBE">
            <w:pPr>
              <w:pStyle w:val="TableTitle"/>
            </w:pPr>
            <w:r>
              <w:rPr>
                <w:b w:val="0"/>
              </w:rPr>
              <w:t>Table C.4</w:t>
            </w:r>
            <w:r>
              <w:tab/>
              <w:t>Roundtables</w:t>
            </w:r>
          </w:p>
        </w:tc>
      </w:tr>
      <w:tr w:rsidR="001054C3" w14:paraId="285FFD40" w14:textId="77777777" w:rsidTr="00234FBE">
        <w:tc>
          <w:tcPr>
            <w:tcW w:w="5000" w:type="pct"/>
            <w:tcBorders>
              <w:top w:val="nil"/>
              <w:left w:val="nil"/>
              <w:bottom w:val="nil"/>
              <w:right w:val="nil"/>
            </w:tcBorders>
            <w:shd w:val="clear" w:color="auto" w:fill="auto"/>
          </w:tcPr>
          <w:tbl>
            <w:tblPr>
              <w:tblW w:w="4999" w:type="pct"/>
              <w:tblCellMar>
                <w:top w:w="28" w:type="dxa"/>
                <w:left w:w="0" w:type="dxa"/>
                <w:right w:w="0" w:type="dxa"/>
              </w:tblCellMar>
              <w:tblLook w:val="0000" w:firstRow="0" w:lastRow="0" w:firstColumn="0" w:lastColumn="0" w:noHBand="0" w:noVBand="0"/>
            </w:tblPr>
            <w:tblGrid>
              <w:gridCol w:w="6093"/>
              <w:gridCol w:w="2410"/>
            </w:tblGrid>
            <w:tr w:rsidR="001054C3" w14:paraId="6AB35F00" w14:textId="77777777" w:rsidTr="00234FBE">
              <w:trPr>
                <w:tblHeader/>
              </w:trPr>
              <w:tc>
                <w:tcPr>
                  <w:tcW w:w="3583" w:type="pct"/>
                  <w:tcBorders>
                    <w:top w:val="single" w:sz="6" w:space="0" w:color="BFBFBF"/>
                    <w:bottom w:val="single" w:sz="6" w:space="0" w:color="BFBFBF"/>
                  </w:tcBorders>
                  <w:shd w:val="clear" w:color="auto" w:fill="auto"/>
                  <w:tcMar>
                    <w:top w:w="28" w:type="dxa"/>
                  </w:tcMar>
                </w:tcPr>
                <w:p w14:paraId="50296163" w14:textId="77777777" w:rsidR="001054C3" w:rsidRDefault="001054C3" w:rsidP="00234FBE">
                  <w:pPr>
                    <w:pStyle w:val="TableColumnHeading"/>
                    <w:jc w:val="left"/>
                  </w:pPr>
                  <w:r>
                    <w:t>Participants</w:t>
                  </w:r>
                </w:p>
              </w:tc>
              <w:tc>
                <w:tcPr>
                  <w:tcW w:w="1417" w:type="pct"/>
                  <w:tcBorders>
                    <w:top w:val="single" w:sz="6" w:space="0" w:color="BFBFBF"/>
                    <w:bottom w:val="single" w:sz="6" w:space="0" w:color="BFBFBF"/>
                  </w:tcBorders>
                  <w:shd w:val="clear" w:color="auto" w:fill="auto"/>
                  <w:tcMar>
                    <w:top w:w="28" w:type="dxa"/>
                  </w:tcMar>
                </w:tcPr>
                <w:p w14:paraId="5E89E216" w14:textId="77777777" w:rsidR="001054C3" w:rsidRDefault="001054C3" w:rsidP="00234FBE">
                  <w:pPr>
                    <w:pStyle w:val="TableColumnHeading"/>
                    <w:ind w:right="28"/>
                    <w:jc w:val="left"/>
                  </w:pPr>
                </w:p>
              </w:tc>
            </w:tr>
            <w:tr w:rsidR="001054C3" w14:paraId="6A1D372F" w14:textId="77777777" w:rsidTr="00234FBE">
              <w:tc>
                <w:tcPr>
                  <w:tcW w:w="3583" w:type="pct"/>
                  <w:tcBorders>
                    <w:top w:val="single" w:sz="6" w:space="0" w:color="BFBFBF"/>
                  </w:tcBorders>
                </w:tcPr>
                <w:p w14:paraId="7E506A3F" w14:textId="77777777" w:rsidR="001054C3" w:rsidRDefault="001054C3" w:rsidP="00234FBE">
                  <w:pPr>
                    <w:pStyle w:val="TableUnitsRow"/>
                    <w:jc w:val="left"/>
                  </w:pPr>
                  <w:r w:rsidRPr="00131D11">
                    <w:rPr>
                      <w:b/>
                      <w:bCs/>
                    </w:rPr>
                    <w:t>24</w:t>
                  </w:r>
                  <w:r>
                    <w:rPr>
                      <w:b/>
                      <w:bCs/>
                    </w:rPr>
                    <w:t> </w:t>
                  </w:r>
                  <w:r w:rsidRPr="00131D11">
                    <w:rPr>
                      <w:b/>
                      <w:bCs/>
                    </w:rPr>
                    <w:t>August 2020 – Access to water</w:t>
                  </w:r>
                </w:p>
              </w:tc>
              <w:tc>
                <w:tcPr>
                  <w:tcW w:w="1417" w:type="pct"/>
                  <w:tcBorders>
                    <w:top w:val="single" w:sz="6" w:space="0" w:color="BFBFBF"/>
                  </w:tcBorders>
                </w:tcPr>
                <w:p w14:paraId="6E08FEA0" w14:textId="77777777" w:rsidR="001054C3" w:rsidRDefault="001054C3" w:rsidP="00234FBE">
                  <w:pPr>
                    <w:pStyle w:val="TableUnitsRow"/>
                    <w:ind w:right="28"/>
                    <w:jc w:val="left"/>
                  </w:pPr>
                </w:p>
              </w:tc>
            </w:tr>
            <w:tr w:rsidR="001054C3" w14:paraId="14254E66" w14:textId="77777777" w:rsidTr="00234FBE">
              <w:tc>
                <w:tcPr>
                  <w:tcW w:w="3583" w:type="pct"/>
                </w:tcPr>
                <w:p w14:paraId="7DDAF809" w14:textId="77777777" w:rsidR="001054C3" w:rsidRDefault="001054C3" w:rsidP="00234FBE">
                  <w:pPr>
                    <w:pStyle w:val="TableBodyText"/>
                    <w:jc w:val="left"/>
                  </w:pPr>
                  <w:r w:rsidRPr="008B1E66">
                    <w:t>A</w:t>
                  </w:r>
                  <w:r>
                    <w:t>ustralian National university (ANU)</w:t>
                  </w:r>
                </w:p>
              </w:tc>
              <w:tc>
                <w:tcPr>
                  <w:tcW w:w="1417" w:type="pct"/>
                </w:tcPr>
                <w:p w14:paraId="546A7C09" w14:textId="77777777" w:rsidR="001054C3" w:rsidRDefault="001054C3" w:rsidP="00234FBE">
                  <w:pPr>
                    <w:pStyle w:val="TableBodyText"/>
                    <w:ind w:right="28"/>
                    <w:jc w:val="left"/>
                  </w:pPr>
                  <w:r w:rsidRPr="008B1E66">
                    <w:t>Dr Virginia Marshall</w:t>
                  </w:r>
                </w:p>
              </w:tc>
            </w:tr>
            <w:tr w:rsidR="001054C3" w14:paraId="49194096" w14:textId="77777777" w:rsidTr="00234FBE">
              <w:tc>
                <w:tcPr>
                  <w:tcW w:w="3583" w:type="pct"/>
                  <w:shd w:val="clear" w:color="auto" w:fill="auto"/>
                </w:tcPr>
                <w:p w14:paraId="763D4C75" w14:textId="77777777" w:rsidR="001054C3" w:rsidRDefault="001054C3" w:rsidP="00234FBE">
                  <w:pPr>
                    <w:pStyle w:val="TableBodyText"/>
                    <w:jc w:val="left"/>
                  </w:pPr>
                  <w:r w:rsidRPr="008B1E66">
                    <w:t>Griffith University</w:t>
                  </w:r>
                </w:p>
              </w:tc>
              <w:tc>
                <w:tcPr>
                  <w:tcW w:w="1417" w:type="pct"/>
                  <w:shd w:val="clear" w:color="auto" w:fill="auto"/>
                </w:tcPr>
                <w:p w14:paraId="28AB278E" w14:textId="77777777" w:rsidR="001054C3" w:rsidRDefault="001054C3" w:rsidP="00234FBE">
                  <w:pPr>
                    <w:pStyle w:val="TableBodyText"/>
                    <w:ind w:right="28"/>
                    <w:jc w:val="left"/>
                  </w:pPr>
                  <w:r w:rsidRPr="008B1E66">
                    <w:t>Prof. Sue Jackson</w:t>
                  </w:r>
                </w:p>
              </w:tc>
            </w:tr>
            <w:tr w:rsidR="001054C3" w14:paraId="181E61B2" w14:textId="77777777" w:rsidTr="00234FBE">
              <w:tc>
                <w:tcPr>
                  <w:tcW w:w="3583" w:type="pct"/>
                  <w:shd w:val="clear" w:color="auto" w:fill="auto"/>
                </w:tcPr>
                <w:p w14:paraId="68CF97B3" w14:textId="77777777" w:rsidR="001054C3" w:rsidRDefault="001054C3" w:rsidP="00234FBE">
                  <w:pPr>
                    <w:pStyle w:val="TableBodyText"/>
                    <w:jc w:val="left"/>
                  </w:pPr>
                  <w:r w:rsidRPr="008B1E66">
                    <w:t>Martuwarra Fitzroy River Council</w:t>
                  </w:r>
                  <w:r>
                    <w:t xml:space="preserve"> (MRFC)</w:t>
                  </w:r>
                </w:p>
              </w:tc>
              <w:tc>
                <w:tcPr>
                  <w:tcW w:w="1417" w:type="pct"/>
                  <w:shd w:val="clear" w:color="auto" w:fill="auto"/>
                </w:tcPr>
                <w:p w14:paraId="7EFBACBA" w14:textId="77777777" w:rsidR="001054C3" w:rsidRDefault="001054C3" w:rsidP="00234FBE">
                  <w:pPr>
                    <w:pStyle w:val="TableBodyText"/>
                    <w:ind w:right="28"/>
                    <w:jc w:val="left"/>
                  </w:pPr>
                  <w:r w:rsidRPr="008B1E66">
                    <w:t>Dr Anne Poelina</w:t>
                  </w:r>
                </w:p>
              </w:tc>
            </w:tr>
            <w:tr w:rsidR="001054C3" w14:paraId="53C34A44" w14:textId="77777777" w:rsidTr="00234FBE">
              <w:tc>
                <w:tcPr>
                  <w:tcW w:w="3583" w:type="pct"/>
                  <w:shd w:val="clear" w:color="auto" w:fill="auto"/>
                </w:tcPr>
                <w:p w14:paraId="6096A288" w14:textId="77777777" w:rsidR="001054C3" w:rsidRDefault="001054C3" w:rsidP="00234FBE">
                  <w:pPr>
                    <w:pStyle w:val="TableBodyText"/>
                    <w:jc w:val="left"/>
                  </w:pPr>
                  <w:r w:rsidRPr="008B1E66">
                    <w:t>University of Canberra</w:t>
                  </w:r>
                </w:p>
              </w:tc>
              <w:tc>
                <w:tcPr>
                  <w:tcW w:w="1417" w:type="pct"/>
                  <w:shd w:val="clear" w:color="auto" w:fill="auto"/>
                </w:tcPr>
                <w:p w14:paraId="0DE63671" w14:textId="77777777" w:rsidR="001054C3" w:rsidRDefault="001054C3" w:rsidP="00234FBE">
                  <w:pPr>
                    <w:pStyle w:val="TableBodyText"/>
                    <w:ind w:right="28"/>
                    <w:jc w:val="left"/>
                  </w:pPr>
                  <w:r w:rsidRPr="008B1E66">
                    <w:t>Assoc</w:t>
                  </w:r>
                  <w:r w:rsidRPr="004C2AF5">
                    <w:rPr>
                      <w:sz w:val="14"/>
                      <w:szCs w:val="16"/>
                    </w:rPr>
                    <w:t xml:space="preserve">. </w:t>
                  </w:r>
                  <w:r w:rsidRPr="008B1E66">
                    <w:t>Prof</w:t>
                  </w:r>
                  <w:r w:rsidRPr="004C2AF5">
                    <w:rPr>
                      <w:sz w:val="14"/>
                      <w:szCs w:val="16"/>
                    </w:rPr>
                    <w:t xml:space="preserve">. </w:t>
                  </w:r>
                  <w:r w:rsidRPr="008B1E66">
                    <w:t>Brad Moggridge</w:t>
                  </w:r>
                </w:p>
              </w:tc>
            </w:tr>
            <w:tr w:rsidR="001054C3" w14:paraId="336CB099" w14:textId="77777777" w:rsidTr="00234FBE">
              <w:tc>
                <w:tcPr>
                  <w:tcW w:w="3583" w:type="pct"/>
                  <w:shd w:val="clear" w:color="auto" w:fill="auto"/>
                </w:tcPr>
                <w:p w14:paraId="0604FBE8" w14:textId="77777777" w:rsidR="001054C3" w:rsidRDefault="001054C3" w:rsidP="00234FBE">
                  <w:pPr>
                    <w:pStyle w:val="TableBodyText"/>
                    <w:jc w:val="left"/>
                  </w:pPr>
                  <w:r w:rsidRPr="008B1E66">
                    <w:t>Murray Lower Darling Rivers Indigenous Nations</w:t>
                  </w:r>
                  <w:r>
                    <w:t xml:space="preserve"> (MLDRIN)</w:t>
                  </w:r>
                </w:p>
              </w:tc>
              <w:tc>
                <w:tcPr>
                  <w:tcW w:w="1417" w:type="pct"/>
                  <w:shd w:val="clear" w:color="auto" w:fill="auto"/>
                </w:tcPr>
                <w:p w14:paraId="0840A7A9" w14:textId="77777777" w:rsidR="001054C3" w:rsidRDefault="001054C3" w:rsidP="00234FBE">
                  <w:pPr>
                    <w:pStyle w:val="TableBodyText"/>
                    <w:ind w:right="28"/>
                    <w:jc w:val="left"/>
                  </w:pPr>
                  <w:r w:rsidRPr="008B1E66">
                    <w:t>Grant Rigney</w:t>
                  </w:r>
                </w:p>
              </w:tc>
            </w:tr>
            <w:tr w:rsidR="001054C3" w14:paraId="18FE9983" w14:textId="77777777" w:rsidTr="00234FBE">
              <w:tc>
                <w:tcPr>
                  <w:tcW w:w="3583" w:type="pct"/>
                  <w:shd w:val="clear" w:color="auto" w:fill="auto"/>
                </w:tcPr>
                <w:p w14:paraId="6BBFABE1" w14:textId="77777777" w:rsidR="001054C3" w:rsidRDefault="001054C3" w:rsidP="00234FBE">
                  <w:pPr>
                    <w:pStyle w:val="TableBodyText"/>
                    <w:jc w:val="left"/>
                  </w:pPr>
                  <w:r w:rsidRPr="008B1E66">
                    <w:t>Murray Lower Darling Rivers Indigenous Nations</w:t>
                  </w:r>
                  <w:r>
                    <w:t xml:space="preserve"> (MLDRIN)</w:t>
                  </w:r>
                </w:p>
              </w:tc>
              <w:tc>
                <w:tcPr>
                  <w:tcW w:w="1417" w:type="pct"/>
                  <w:shd w:val="clear" w:color="auto" w:fill="auto"/>
                </w:tcPr>
                <w:p w14:paraId="3331CFD3" w14:textId="77777777" w:rsidR="001054C3" w:rsidRDefault="001054C3" w:rsidP="00234FBE">
                  <w:pPr>
                    <w:pStyle w:val="TableBodyText"/>
                    <w:ind w:right="28"/>
                    <w:jc w:val="left"/>
                  </w:pPr>
                  <w:r w:rsidRPr="008B1E66">
                    <w:t>Rene Woods</w:t>
                  </w:r>
                </w:p>
              </w:tc>
            </w:tr>
            <w:tr w:rsidR="001054C3" w14:paraId="726FD478" w14:textId="77777777" w:rsidTr="00234FBE">
              <w:tc>
                <w:tcPr>
                  <w:tcW w:w="3583" w:type="pct"/>
                  <w:shd w:val="clear" w:color="auto" w:fill="auto"/>
                </w:tcPr>
                <w:p w14:paraId="7A53F17B" w14:textId="77777777" w:rsidR="001054C3" w:rsidRDefault="001054C3" w:rsidP="00234FBE">
                  <w:pPr>
                    <w:pStyle w:val="TableBodyText"/>
                    <w:jc w:val="left"/>
                  </w:pPr>
                  <w:r w:rsidRPr="008B1E66">
                    <w:t>Murray</w:t>
                  </w:r>
                  <w:r>
                    <w:noBreakHyphen/>
                  </w:r>
                  <w:r w:rsidRPr="008B1E66">
                    <w:t>Darling Basin Authority’s Basin Community Committee</w:t>
                  </w:r>
                  <w:r>
                    <w:t xml:space="preserve"> (BCC)</w:t>
                  </w:r>
                </w:p>
              </w:tc>
              <w:tc>
                <w:tcPr>
                  <w:tcW w:w="1417" w:type="pct"/>
                  <w:shd w:val="clear" w:color="auto" w:fill="auto"/>
                </w:tcPr>
                <w:p w14:paraId="0163F30C" w14:textId="77777777" w:rsidR="001054C3" w:rsidRDefault="001054C3" w:rsidP="00234FBE">
                  <w:pPr>
                    <w:pStyle w:val="TableBodyText"/>
                    <w:ind w:right="28"/>
                    <w:jc w:val="left"/>
                  </w:pPr>
                  <w:r w:rsidRPr="008B1E66">
                    <w:t>Phil Duncan</w:t>
                  </w:r>
                </w:p>
              </w:tc>
            </w:tr>
            <w:tr w:rsidR="001054C3" w14:paraId="2A10FEC5" w14:textId="77777777" w:rsidTr="00234FBE">
              <w:tc>
                <w:tcPr>
                  <w:tcW w:w="3583" w:type="pct"/>
                  <w:shd w:val="clear" w:color="auto" w:fill="auto"/>
                </w:tcPr>
                <w:p w14:paraId="4736F9E1" w14:textId="77777777" w:rsidR="001054C3" w:rsidRDefault="001054C3" w:rsidP="00234FBE">
                  <w:pPr>
                    <w:pStyle w:val="TableBodyText"/>
                    <w:jc w:val="left"/>
                  </w:pPr>
                  <w:r w:rsidRPr="008B1E66">
                    <w:t>National Native Title Council</w:t>
                  </w:r>
                  <w:r>
                    <w:t xml:space="preserve"> (NNTC)</w:t>
                  </w:r>
                </w:p>
              </w:tc>
              <w:tc>
                <w:tcPr>
                  <w:tcW w:w="1417" w:type="pct"/>
                  <w:shd w:val="clear" w:color="auto" w:fill="auto"/>
                </w:tcPr>
                <w:p w14:paraId="231CFC8A" w14:textId="77777777" w:rsidR="001054C3" w:rsidRDefault="001054C3" w:rsidP="00234FBE">
                  <w:pPr>
                    <w:pStyle w:val="TableBodyText"/>
                    <w:ind w:right="28"/>
                    <w:jc w:val="left"/>
                  </w:pPr>
                  <w:r w:rsidRPr="008B1E66">
                    <w:t>Jamie Lowe</w:t>
                  </w:r>
                </w:p>
              </w:tc>
            </w:tr>
            <w:tr w:rsidR="001054C3" w14:paraId="7CFB7E14" w14:textId="77777777" w:rsidTr="00234FBE">
              <w:tc>
                <w:tcPr>
                  <w:tcW w:w="3583" w:type="pct"/>
                  <w:shd w:val="clear" w:color="auto" w:fill="auto"/>
                </w:tcPr>
                <w:p w14:paraId="690A8DBA" w14:textId="77777777" w:rsidR="001054C3" w:rsidRDefault="001054C3" w:rsidP="00234FBE">
                  <w:pPr>
                    <w:pStyle w:val="TableBodyText"/>
                    <w:jc w:val="left"/>
                  </w:pPr>
                  <w:r w:rsidRPr="008B1E66">
                    <w:t>Northern Basin Aboriginal Nations</w:t>
                  </w:r>
                  <w:r>
                    <w:t xml:space="preserve"> (NBAN)</w:t>
                  </w:r>
                </w:p>
              </w:tc>
              <w:tc>
                <w:tcPr>
                  <w:tcW w:w="1417" w:type="pct"/>
                  <w:shd w:val="clear" w:color="auto" w:fill="auto"/>
                </w:tcPr>
                <w:p w14:paraId="54EC0152" w14:textId="77777777" w:rsidR="001054C3" w:rsidRDefault="001054C3" w:rsidP="00234FBE">
                  <w:pPr>
                    <w:pStyle w:val="TableBodyText"/>
                    <w:ind w:right="28"/>
                    <w:jc w:val="left"/>
                  </w:pPr>
                  <w:r w:rsidRPr="008B1E66">
                    <w:t>Fred Hooper</w:t>
                  </w:r>
                </w:p>
              </w:tc>
            </w:tr>
            <w:tr w:rsidR="001054C3" w14:paraId="6424DFD9" w14:textId="77777777" w:rsidTr="00234FBE">
              <w:tc>
                <w:tcPr>
                  <w:tcW w:w="3583" w:type="pct"/>
                  <w:shd w:val="clear" w:color="auto" w:fill="auto"/>
                </w:tcPr>
                <w:p w14:paraId="5720B68E" w14:textId="77777777" w:rsidR="001054C3" w:rsidRDefault="001054C3" w:rsidP="00234FBE">
                  <w:pPr>
                    <w:pStyle w:val="TableBodyText"/>
                    <w:jc w:val="left"/>
                  </w:pPr>
                  <w:r w:rsidRPr="008B1E66">
                    <w:t>NSW Aboriginal Land Council</w:t>
                  </w:r>
                  <w:r>
                    <w:t xml:space="preserve"> (NSWALC)</w:t>
                  </w:r>
                </w:p>
              </w:tc>
              <w:tc>
                <w:tcPr>
                  <w:tcW w:w="1417" w:type="pct"/>
                  <w:shd w:val="clear" w:color="auto" w:fill="auto"/>
                </w:tcPr>
                <w:p w14:paraId="1D085801" w14:textId="77777777" w:rsidR="001054C3" w:rsidRDefault="001054C3" w:rsidP="00234FBE">
                  <w:pPr>
                    <w:pStyle w:val="TableBodyText"/>
                    <w:ind w:right="28"/>
                    <w:jc w:val="left"/>
                  </w:pPr>
                  <w:r w:rsidRPr="008B1E66">
                    <w:t>Yuseph Deen</w:t>
                  </w:r>
                </w:p>
              </w:tc>
            </w:tr>
            <w:tr w:rsidR="001054C3" w14:paraId="7FC8E2B7" w14:textId="77777777" w:rsidTr="00234FBE">
              <w:tc>
                <w:tcPr>
                  <w:tcW w:w="3583" w:type="pct"/>
                  <w:shd w:val="clear" w:color="auto" w:fill="auto"/>
                </w:tcPr>
                <w:p w14:paraId="75AC7E97" w14:textId="77777777" w:rsidR="001054C3" w:rsidRDefault="001054C3" w:rsidP="00234FBE">
                  <w:pPr>
                    <w:pStyle w:val="TableBodyText"/>
                    <w:jc w:val="left"/>
                  </w:pPr>
                  <w:r w:rsidRPr="008B1E66">
                    <w:t>Six Seasons Advisory</w:t>
                  </w:r>
                </w:p>
              </w:tc>
              <w:tc>
                <w:tcPr>
                  <w:tcW w:w="1417" w:type="pct"/>
                  <w:shd w:val="clear" w:color="auto" w:fill="auto"/>
                </w:tcPr>
                <w:p w14:paraId="7581633C" w14:textId="77777777" w:rsidR="001054C3" w:rsidRDefault="001054C3" w:rsidP="00234FBE">
                  <w:pPr>
                    <w:pStyle w:val="TableBodyText"/>
                    <w:ind w:right="28"/>
                    <w:jc w:val="left"/>
                  </w:pPr>
                  <w:r w:rsidRPr="008B1E66">
                    <w:t>Joe Morrison</w:t>
                  </w:r>
                </w:p>
              </w:tc>
            </w:tr>
            <w:tr w:rsidR="001054C3" w14:paraId="0D0EDCE4" w14:textId="77777777" w:rsidTr="00234FBE">
              <w:tc>
                <w:tcPr>
                  <w:tcW w:w="3583" w:type="pct"/>
                  <w:shd w:val="clear" w:color="auto" w:fill="auto"/>
                </w:tcPr>
                <w:p w14:paraId="58AE724D" w14:textId="77777777" w:rsidR="001054C3" w:rsidRDefault="001054C3" w:rsidP="00234FBE">
                  <w:pPr>
                    <w:pStyle w:val="TableBodyText"/>
                    <w:jc w:val="left"/>
                  </w:pPr>
                  <w:r w:rsidRPr="008B1E66">
                    <w:t>Victorian Environmental Water Holder Commissioner</w:t>
                  </w:r>
                  <w:r>
                    <w:t xml:space="preserve"> (VEWH)</w:t>
                  </w:r>
                </w:p>
              </w:tc>
              <w:tc>
                <w:tcPr>
                  <w:tcW w:w="1417" w:type="pct"/>
                  <w:shd w:val="clear" w:color="auto" w:fill="auto"/>
                </w:tcPr>
                <w:p w14:paraId="3763DC80" w14:textId="77777777" w:rsidR="001054C3" w:rsidRDefault="001054C3" w:rsidP="00234FBE">
                  <w:pPr>
                    <w:pStyle w:val="TableBodyText"/>
                    <w:ind w:right="28"/>
                    <w:jc w:val="left"/>
                  </w:pPr>
                  <w:r w:rsidRPr="008B1E66">
                    <w:t>Rueben Berg</w:t>
                  </w:r>
                </w:p>
              </w:tc>
            </w:tr>
            <w:tr w:rsidR="001054C3" w14:paraId="35C2E9D6" w14:textId="77777777" w:rsidTr="00234FBE">
              <w:tc>
                <w:tcPr>
                  <w:tcW w:w="3583" w:type="pct"/>
                  <w:shd w:val="clear" w:color="auto" w:fill="auto"/>
                </w:tcPr>
                <w:p w14:paraId="0E3CC7C2" w14:textId="77777777" w:rsidR="001054C3" w:rsidRDefault="001054C3" w:rsidP="00234FBE">
                  <w:pPr>
                    <w:pStyle w:val="TableBodyText"/>
                    <w:jc w:val="left"/>
                  </w:pPr>
                  <w:r w:rsidRPr="008B1E66">
                    <w:t>Walgett Aboriginal Medical Service</w:t>
                  </w:r>
                  <w:r>
                    <w:t xml:space="preserve"> (WAMS)</w:t>
                  </w:r>
                  <w:r w:rsidRPr="008B1E66">
                    <w:t>, National Aboriginal Community Controlled Health Organisation</w:t>
                  </w:r>
                  <w:r>
                    <w:t xml:space="preserve"> (NACCHO)</w:t>
                  </w:r>
                  <w:r w:rsidRPr="008B1E66">
                    <w:t>, Coalition of Peaks</w:t>
                  </w:r>
                </w:p>
              </w:tc>
              <w:tc>
                <w:tcPr>
                  <w:tcW w:w="1417" w:type="pct"/>
                  <w:shd w:val="clear" w:color="auto" w:fill="auto"/>
                </w:tcPr>
                <w:p w14:paraId="4CC82868" w14:textId="77777777" w:rsidR="001054C3" w:rsidRDefault="001054C3" w:rsidP="00234FBE">
                  <w:pPr>
                    <w:pStyle w:val="TableBodyText"/>
                    <w:ind w:right="28"/>
                    <w:jc w:val="left"/>
                  </w:pPr>
                  <w:r w:rsidRPr="008B1E66">
                    <w:t>Christine Corby</w:t>
                  </w:r>
                </w:p>
              </w:tc>
            </w:tr>
            <w:tr w:rsidR="001054C3" w14:paraId="61A3A465" w14:textId="77777777" w:rsidTr="00234FBE">
              <w:tc>
                <w:tcPr>
                  <w:tcW w:w="3583" w:type="pct"/>
                  <w:shd w:val="clear" w:color="auto" w:fill="auto"/>
                </w:tcPr>
                <w:p w14:paraId="1191783C" w14:textId="77777777" w:rsidR="001054C3" w:rsidRDefault="001054C3" w:rsidP="00234FBE">
                  <w:pPr>
                    <w:pStyle w:val="TableBodyText"/>
                    <w:jc w:val="left"/>
                  </w:pPr>
                </w:p>
              </w:tc>
              <w:tc>
                <w:tcPr>
                  <w:tcW w:w="1417" w:type="pct"/>
                  <w:shd w:val="clear" w:color="auto" w:fill="auto"/>
                </w:tcPr>
                <w:p w14:paraId="14BE3FD6" w14:textId="77777777" w:rsidR="001054C3" w:rsidRDefault="001054C3" w:rsidP="00234FBE">
                  <w:pPr>
                    <w:pStyle w:val="TableBodyText"/>
                    <w:ind w:right="28"/>
                    <w:jc w:val="left"/>
                  </w:pPr>
                </w:p>
              </w:tc>
            </w:tr>
            <w:tr w:rsidR="001054C3" w14:paraId="37BF4A5B" w14:textId="77777777" w:rsidTr="00234FBE">
              <w:tc>
                <w:tcPr>
                  <w:tcW w:w="3583" w:type="pct"/>
                  <w:shd w:val="clear" w:color="auto" w:fill="auto"/>
                </w:tcPr>
                <w:p w14:paraId="5DE6A49C" w14:textId="77777777" w:rsidR="001054C3" w:rsidRDefault="001054C3" w:rsidP="00234FBE">
                  <w:pPr>
                    <w:pStyle w:val="TableBodyText"/>
                    <w:jc w:val="left"/>
                  </w:pPr>
                  <w:r w:rsidRPr="00131D11">
                    <w:rPr>
                      <w:b/>
                      <w:bCs/>
                    </w:rPr>
                    <w:t>2</w:t>
                  </w:r>
                  <w:r>
                    <w:rPr>
                      <w:b/>
                      <w:bCs/>
                    </w:rPr>
                    <w:t>5 </w:t>
                  </w:r>
                  <w:r w:rsidRPr="00131D11">
                    <w:rPr>
                      <w:b/>
                      <w:bCs/>
                    </w:rPr>
                    <w:t>August 2020 – Household Water Services</w:t>
                  </w:r>
                </w:p>
              </w:tc>
              <w:tc>
                <w:tcPr>
                  <w:tcW w:w="1417" w:type="pct"/>
                  <w:shd w:val="clear" w:color="auto" w:fill="auto"/>
                </w:tcPr>
                <w:p w14:paraId="7445E06A" w14:textId="77777777" w:rsidR="001054C3" w:rsidRDefault="001054C3" w:rsidP="00234FBE">
                  <w:pPr>
                    <w:pStyle w:val="TableBodyText"/>
                    <w:ind w:right="28"/>
                    <w:jc w:val="left"/>
                  </w:pPr>
                </w:p>
              </w:tc>
            </w:tr>
            <w:tr w:rsidR="001054C3" w14:paraId="1BB817BB" w14:textId="77777777" w:rsidTr="00234FBE">
              <w:tc>
                <w:tcPr>
                  <w:tcW w:w="3583" w:type="pct"/>
                  <w:shd w:val="clear" w:color="auto" w:fill="auto"/>
                </w:tcPr>
                <w:p w14:paraId="409444AC" w14:textId="77777777" w:rsidR="001054C3" w:rsidRDefault="001054C3" w:rsidP="00234FBE">
                  <w:pPr>
                    <w:pStyle w:val="TableBodyText"/>
                    <w:jc w:val="left"/>
                  </w:pPr>
                  <w:r w:rsidRPr="00D71A6A">
                    <w:t>Desert Knowledge Australia</w:t>
                  </w:r>
                </w:p>
              </w:tc>
              <w:tc>
                <w:tcPr>
                  <w:tcW w:w="1417" w:type="pct"/>
                  <w:shd w:val="clear" w:color="auto" w:fill="auto"/>
                </w:tcPr>
                <w:p w14:paraId="131B5C7E" w14:textId="77777777" w:rsidR="001054C3" w:rsidRDefault="001054C3" w:rsidP="00234FBE">
                  <w:pPr>
                    <w:pStyle w:val="TableBodyText"/>
                    <w:ind w:right="28"/>
                    <w:jc w:val="left"/>
                  </w:pPr>
                  <w:r w:rsidRPr="00D71A6A">
                    <w:t>Dan Tyson</w:t>
                  </w:r>
                </w:p>
              </w:tc>
            </w:tr>
            <w:tr w:rsidR="001054C3" w14:paraId="06ED3EAF" w14:textId="77777777" w:rsidTr="00234FBE">
              <w:tc>
                <w:tcPr>
                  <w:tcW w:w="3583" w:type="pct"/>
                  <w:shd w:val="clear" w:color="auto" w:fill="auto"/>
                </w:tcPr>
                <w:p w14:paraId="00731F21" w14:textId="77777777" w:rsidR="001054C3" w:rsidRDefault="001054C3" w:rsidP="00234FBE">
                  <w:pPr>
                    <w:pStyle w:val="TableBodyText"/>
                    <w:jc w:val="left"/>
                  </w:pPr>
                  <w:r w:rsidRPr="00D71A6A">
                    <w:t>Healthabitat and Nganampa Health Council</w:t>
                  </w:r>
                </w:p>
              </w:tc>
              <w:tc>
                <w:tcPr>
                  <w:tcW w:w="1417" w:type="pct"/>
                  <w:shd w:val="clear" w:color="auto" w:fill="auto"/>
                </w:tcPr>
                <w:p w14:paraId="5B7DDF52" w14:textId="77777777" w:rsidR="001054C3" w:rsidRDefault="001054C3" w:rsidP="00234FBE">
                  <w:pPr>
                    <w:pStyle w:val="TableBodyText"/>
                    <w:ind w:right="28"/>
                    <w:jc w:val="left"/>
                  </w:pPr>
                  <w:r w:rsidRPr="00D71A6A">
                    <w:t>Paul Torzillo</w:t>
                  </w:r>
                </w:p>
              </w:tc>
            </w:tr>
            <w:tr w:rsidR="001054C3" w14:paraId="2C759F1B" w14:textId="77777777" w:rsidTr="00234FBE">
              <w:tc>
                <w:tcPr>
                  <w:tcW w:w="3583" w:type="pct"/>
                  <w:shd w:val="clear" w:color="auto" w:fill="auto"/>
                </w:tcPr>
                <w:p w14:paraId="568A821C" w14:textId="77777777" w:rsidR="001054C3" w:rsidRDefault="001054C3" w:rsidP="00234FBE">
                  <w:pPr>
                    <w:pStyle w:val="TableBodyText"/>
                    <w:jc w:val="left"/>
                  </w:pPr>
                  <w:r w:rsidRPr="00D71A6A">
                    <w:t>Central Land Council</w:t>
                  </w:r>
                  <w:r>
                    <w:t xml:space="preserve"> (CLC)</w:t>
                  </w:r>
                </w:p>
              </w:tc>
              <w:tc>
                <w:tcPr>
                  <w:tcW w:w="1417" w:type="pct"/>
                  <w:shd w:val="clear" w:color="auto" w:fill="auto"/>
                </w:tcPr>
                <w:p w14:paraId="1AAE5167" w14:textId="77777777" w:rsidR="001054C3" w:rsidRDefault="001054C3" w:rsidP="00234FBE">
                  <w:pPr>
                    <w:pStyle w:val="TableBodyText"/>
                    <w:ind w:right="28"/>
                    <w:jc w:val="left"/>
                  </w:pPr>
                  <w:r w:rsidRPr="00D71A6A">
                    <w:t>Josie Douglas</w:t>
                  </w:r>
                </w:p>
              </w:tc>
            </w:tr>
            <w:tr w:rsidR="001054C3" w14:paraId="00268C3D" w14:textId="77777777" w:rsidTr="00234FBE">
              <w:tc>
                <w:tcPr>
                  <w:tcW w:w="3583" w:type="pct"/>
                  <w:shd w:val="clear" w:color="auto" w:fill="auto"/>
                </w:tcPr>
                <w:p w14:paraId="37659B9C" w14:textId="77777777" w:rsidR="001054C3" w:rsidRDefault="001054C3" w:rsidP="00234FBE">
                  <w:pPr>
                    <w:pStyle w:val="TableBodyText"/>
                    <w:jc w:val="left"/>
                  </w:pPr>
                  <w:r>
                    <w:t>Northern Land Council (NLC)</w:t>
                  </w:r>
                </w:p>
              </w:tc>
              <w:tc>
                <w:tcPr>
                  <w:tcW w:w="1417" w:type="pct"/>
                  <w:shd w:val="clear" w:color="auto" w:fill="auto"/>
                </w:tcPr>
                <w:p w14:paraId="500F907B" w14:textId="77777777" w:rsidR="001054C3" w:rsidRDefault="001054C3" w:rsidP="00234FBE">
                  <w:pPr>
                    <w:pStyle w:val="TableBodyText"/>
                    <w:ind w:right="28"/>
                    <w:jc w:val="left"/>
                  </w:pPr>
                  <w:r>
                    <w:t>Trish Rigby</w:t>
                  </w:r>
                </w:p>
              </w:tc>
            </w:tr>
            <w:tr w:rsidR="001054C3" w14:paraId="5FA59359" w14:textId="77777777" w:rsidTr="00234FBE">
              <w:tc>
                <w:tcPr>
                  <w:tcW w:w="3583" w:type="pct"/>
                  <w:shd w:val="clear" w:color="auto" w:fill="auto"/>
                </w:tcPr>
                <w:p w14:paraId="61DEB38F" w14:textId="77777777" w:rsidR="001054C3" w:rsidRDefault="001054C3" w:rsidP="00234FBE">
                  <w:pPr>
                    <w:pStyle w:val="TableBodyText"/>
                    <w:jc w:val="left"/>
                  </w:pPr>
                  <w:r w:rsidRPr="00D71A6A">
                    <w:t>School</w:t>
                  </w:r>
                  <w:r w:rsidRPr="004C2AF5">
                    <w:rPr>
                      <w:sz w:val="14"/>
                      <w:szCs w:val="16"/>
                    </w:rPr>
                    <w:t xml:space="preserve"> </w:t>
                  </w:r>
                  <w:r w:rsidRPr="00D71A6A">
                    <w:t>of</w:t>
                  </w:r>
                  <w:r w:rsidRPr="004C2AF5">
                    <w:rPr>
                      <w:sz w:val="14"/>
                      <w:szCs w:val="16"/>
                    </w:rPr>
                    <w:t xml:space="preserve"> </w:t>
                  </w:r>
                  <w:r w:rsidRPr="00D71A6A">
                    <w:t>Public Health</w:t>
                  </w:r>
                  <w:r w:rsidRPr="004C2AF5">
                    <w:rPr>
                      <w:sz w:val="16"/>
                      <w:szCs w:val="18"/>
                    </w:rPr>
                    <w:t xml:space="preserve">, </w:t>
                  </w:r>
                  <w:r w:rsidRPr="00D71A6A">
                    <w:t>Faculty of Medicine</w:t>
                  </w:r>
                  <w:r w:rsidRPr="004C2AF5">
                    <w:rPr>
                      <w:sz w:val="14"/>
                      <w:szCs w:val="16"/>
                    </w:rPr>
                    <w:t xml:space="preserve">, </w:t>
                  </w:r>
                  <w:r w:rsidRPr="00D71A6A">
                    <w:t>University</w:t>
                  </w:r>
                  <w:r w:rsidRPr="004C2AF5">
                    <w:rPr>
                      <w:sz w:val="14"/>
                      <w:szCs w:val="16"/>
                    </w:rPr>
                    <w:t xml:space="preserve"> </w:t>
                  </w:r>
                  <w:r w:rsidRPr="00D71A6A">
                    <w:t>of</w:t>
                  </w:r>
                  <w:r w:rsidRPr="004C2AF5">
                    <w:rPr>
                      <w:sz w:val="14"/>
                      <w:szCs w:val="16"/>
                    </w:rPr>
                    <w:t xml:space="preserve"> </w:t>
                  </w:r>
                  <w:r w:rsidRPr="00D71A6A">
                    <w:t>Queensland</w:t>
                  </w:r>
                  <w:r w:rsidRPr="004C2AF5">
                    <w:rPr>
                      <w:sz w:val="12"/>
                      <w:szCs w:val="14"/>
                    </w:rPr>
                    <w:t xml:space="preserve"> </w:t>
                  </w:r>
                  <w:r>
                    <w:t>(UQ)</w:t>
                  </w:r>
                </w:p>
              </w:tc>
              <w:tc>
                <w:tcPr>
                  <w:tcW w:w="1417" w:type="pct"/>
                  <w:shd w:val="clear" w:color="auto" w:fill="auto"/>
                </w:tcPr>
                <w:p w14:paraId="379B6605" w14:textId="77777777" w:rsidR="001054C3" w:rsidRDefault="001054C3" w:rsidP="00234FBE">
                  <w:pPr>
                    <w:pStyle w:val="TableBodyText"/>
                    <w:ind w:right="28"/>
                    <w:jc w:val="left"/>
                  </w:pPr>
                  <w:r w:rsidRPr="00D71A6A">
                    <w:t>Dr. Nina Hall</w:t>
                  </w:r>
                </w:p>
              </w:tc>
            </w:tr>
            <w:tr w:rsidR="001054C3" w14:paraId="3113DB15" w14:textId="77777777" w:rsidTr="00234FBE">
              <w:tc>
                <w:tcPr>
                  <w:tcW w:w="3583" w:type="pct"/>
                  <w:shd w:val="clear" w:color="auto" w:fill="auto"/>
                </w:tcPr>
                <w:p w14:paraId="6E12ACBF" w14:textId="77777777" w:rsidR="001054C3" w:rsidRDefault="001054C3" w:rsidP="00234FBE">
                  <w:pPr>
                    <w:pStyle w:val="TableBodyText"/>
                    <w:jc w:val="left"/>
                  </w:pPr>
                  <w:r w:rsidRPr="00D71A6A">
                    <w:t>Telethon Kids Institute, and Chair of the Roundtable on Water in Remote Aboriginal Communities</w:t>
                  </w:r>
                </w:p>
              </w:tc>
              <w:tc>
                <w:tcPr>
                  <w:tcW w:w="1417" w:type="pct"/>
                  <w:shd w:val="clear" w:color="auto" w:fill="auto"/>
                </w:tcPr>
                <w:p w14:paraId="5D7A1F69" w14:textId="77777777" w:rsidR="001054C3" w:rsidRDefault="001054C3" w:rsidP="00234FBE">
                  <w:pPr>
                    <w:pStyle w:val="TableBodyText"/>
                    <w:ind w:right="28"/>
                    <w:jc w:val="left"/>
                  </w:pPr>
                  <w:r w:rsidRPr="00D71A6A">
                    <w:t>Mara West</w:t>
                  </w:r>
                </w:p>
              </w:tc>
            </w:tr>
            <w:tr w:rsidR="001054C3" w14:paraId="51221E33" w14:textId="77777777" w:rsidTr="00234FBE">
              <w:tc>
                <w:tcPr>
                  <w:tcW w:w="3583" w:type="pct"/>
                  <w:shd w:val="clear" w:color="auto" w:fill="auto"/>
                </w:tcPr>
                <w:p w14:paraId="61C88999" w14:textId="77777777" w:rsidR="001054C3" w:rsidRDefault="001054C3" w:rsidP="00234FBE">
                  <w:pPr>
                    <w:pStyle w:val="TableBodyText"/>
                    <w:jc w:val="left"/>
                  </w:pPr>
                  <w:r>
                    <w:t>University of Sydney</w:t>
                  </w:r>
                </w:p>
              </w:tc>
              <w:tc>
                <w:tcPr>
                  <w:tcW w:w="1417" w:type="pct"/>
                  <w:shd w:val="clear" w:color="auto" w:fill="auto"/>
                </w:tcPr>
                <w:p w14:paraId="65538BAB" w14:textId="77777777" w:rsidR="001054C3" w:rsidRDefault="001054C3" w:rsidP="00234FBE">
                  <w:pPr>
                    <w:pStyle w:val="TableBodyText"/>
                    <w:ind w:right="28"/>
                    <w:jc w:val="left"/>
                  </w:pPr>
                  <w:r>
                    <w:t>Liam Grealy</w:t>
                  </w:r>
                </w:p>
              </w:tc>
            </w:tr>
            <w:tr w:rsidR="001054C3" w14:paraId="1840FD2F" w14:textId="77777777" w:rsidTr="00234FBE">
              <w:tc>
                <w:tcPr>
                  <w:tcW w:w="3583" w:type="pct"/>
                  <w:tcBorders>
                    <w:bottom w:val="single" w:sz="6" w:space="0" w:color="BFBFBF"/>
                  </w:tcBorders>
                  <w:shd w:val="clear" w:color="auto" w:fill="auto"/>
                </w:tcPr>
                <w:p w14:paraId="24ED66C4" w14:textId="77777777" w:rsidR="001054C3" w:rsidRDefault="001054C3" w:rsidP="00234FBE">
                  <w:pPr>
                    <w:pStyle w:val="TableBodyText"/>
                    <w:jc w:val="left"/>
                  </w:pPr>
                  <w:r w:rsidRPr="00D71A6A">
                    <w:t>Walgett Aboriginal Medical Service</w:t>
                  </w:r>
                  <w:r>
                    <w:t xml:space="preserve"> (WAMS)</w:t>
                  </w:r>
                  <w:r w:rsidRPr="008B1E66">
                    <w:t>,</w:t>
                  </w:r>
                  <w:r w:rsidRPr="00D71A6A">
                    <w:t xml:space="preserve"> National Aboriginal Community Controlled Health Organisation</w:t>
                  </w:r>
                  <w:r>
                    <w:t xml:space="preserve"> (NACCHO)</w:t>
                  </w:r>
                  <w:r w:rsidRPr="008B1E66">
                    <w:t>,</w:t>
                  </w:r>
                  <w:r w:rsidRPr="00D71A6A">
                    <w:t xml:space="preserve"> Coalition of Peaks</w:t>
                  </w:r>
                </w:p>
              </w:tc>
              <w:tc>
                <w:tcPr>
                  <w:tcW w:w="1417" w:type="pct"/>
                  <w:tcBorders>
                    <w:bottom w:val="single" w:sz="6" w:space="0" w:color="BFBFBF"/>
                  </w:tcBorders>
                  <w:shd w:val="clear" w:color="auto" w:fill="auto"/>
                </w:tcPr>
                <w:p w14:paraId="428C37AF" w14:textId="77777777" w:rsidR="001054C3" w:rsidRDefault="001054C3" w:rsidP="00234FBE">
                  <w:pPr>
                    <w:pStyle w:val="TableBodyText"/>
                    <w:ind w:right="28"/>
                    <w:jc w:val="left"/>
                  </w:pPr>
                  <w:r w:rsidRPr="00D71A6A">
                    <w:t>Christine Corby</w:t>
                  </w:r>
                </w:p>
              </w:tc>
            </w:tr>
          </w:tbl>
          <w:p w14:paraId="103DA7EE" w14:textId="77777777" w:rsidR="001054C3" w:rsidRDefault="001054C3" w:rsidP="00234FBE">
            <w:pPr>
              <w:pStyle w:val="Box"/>
            </w:pPr>
          </w:p>
        </w:tc>
      </w:tr>
      <w:tr w:rsidR="001054C3" w14:paraId="17FC3A5F" w14:textId="77777777" w:rsidTr="00234FBE">
        <w:tc>
          <w:tcPr>
            <w:tcW w:w="5000" w:type="pct"/>
            <w:tcBorders>
              <w:top w:val="nil"/>
              <w:left w:val="nil"/>
              <w:bottom w:val="single" w:sz="6" w:space="0" w:color="78A22F"/>
              <w:right w:val="nil"/>
            </w:tcBorders>
            <w:shd w:val="clear" w:color="auto" w:fill="auto"/>
          </w:tcPr>
          <w:p w14:paraId="0583450A" w14:textId="77777777" w:rsidR="001054C3" w:rsidRDefault="001054C3" w:rsidP="00234FBE">
            <w:pPr>
              <w:pStyle w:val="Box"/>
              <w:spacing w:before="0" w:line="120" w:lineRule="exact"/>
            </w:pPr>
          </w:p>
        </w:tc>
      </w:tr>
      <w:tr w:rsidR="001054C3" w:rsidRPr="000863A5" w14:paraId="4650ED12" w14:textId="77777777" w:rsidTr="00234FBE">
        <w:tc>
          <w:tcPr>
            <w:tcW w:w="5000" w:type="pct"/>
            <w:tcBorders>
              <w:top w:val="single" w:sz="6" w:space="0" w:color="78A22F"/>
              <w:left w:val="nil"/>
              <w:bottom w:val="nil"/>
              <w:right w:val="nil"/>
            </w:tcBorders>
          </w:tcPr>
          <w:p w14:paraId="425808A8" w14:textId="77777777" w:rsidR="001054C3" w:rsidRPr="00626D32" w:rsidRDefault="001054C3" w:rsidP="00234FBE">
            <w:pPr>
              <w:pStyle w:val="BoxSpaceBelow"/>
            </w:pPr>
          </w:p>
        </w:tc>
      </w:tr>
    </w:tbl>
    <w:p w14:paraId="2398CA70" w14:textId="77777777" w:rsidR="001054C3" w:rsidRDefault="001054C3" w:rsidP="00120072">
      <w:pPr>
        <w:pStyle w:val="BodyText"/>
      </w:pPr>
    </w:p>
    <w:p w14:paraId="379AEBBA"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5F90DC0F" w14:textId="77777777" w:rsidTr="00234FBE">
        <w:trPr>
          <w:tblHeader/>
        </w:trPr>
        <w:tc>
          <w:tcPr>
            <w:tcW w:w="5000" w:type="pct"/>
            <w:tcBorders>
              <w:top w:val="single" w:sz="6" w:space="0" w:color="78A22F"/>
              <w:left w:val="nil"/>
              <w:bottom w:val="nil"/>
              <w:right w:val="nil"/>
            </w:tcBorders>
            <w:shd w:val="clear" w:color="auto" w:fill="auto"/>
          </w:tcPr>
          <w:p w14:paraId="4D520B85" w14:textId="1AFD1C62" w:rsidR="001054C3" w:rsidRPr="00875139" w:rsidRDefault="001054C3" w:rsidP="00234FBE">
            <w:pPr>
              <w:pStyle w:val="TableTitle"/>
            </w:pPr>
            <w:r>
              <w:rPr>
                <w:b w:val="0"/>
              </w:rPr>
              <w:t>Table C.5</w:t>
            </w:r>
            <w:r>
              <w:tab/>
              <w:t>Stakeholder working group</w:t>
            </w:r>
          </w:p>
        </w:tc>
      </w:tr>
      <w:tr w:rsidR="001054C3" w14:paraId="5B58F173" w14:textId="77777777" w:rsidTr="00234FBE">
        <w:tc>
          <w:tcPr>
            <w:tcW w:w="5000" w:type="pct"/>
            <w:tcBorders>
              <w:top w:val="nil"/>
              <w:left w:val="nil"/>
              <w:bottom w:val="nil"/>
              <w:right w:val="nil"/>
            </w:tcBorders>
            <w:shd w:val="clear" w:color="auto" w:fill="auto"/>
          </w:tcPr>
          <w:tbl>
            <w:tblPr>
              <w:tblW w:w="4999" w:type="pct"/>
              <w:tblCellMar>
                <w:top w:w="28" w:type="dxa"/>
                <w:left w:w="0" w:type="dxa"/>
                <w:right w:w="0" w:type="dxa"/>
              </w:tblCellMar>
              <w:tblLook w:val="0000" w:firstRow="0" w:lastRow="0" w:firstColumn="0" w:lastColumn="0" w:noHBand="0" w:noVBand="0"/>
            </w:tblPr>
            <w:tblGrid>
              <w:gridCol w:w="5952"/>
              <w:gridCol w:w="2551"/>
            </w:tblGrid>
            <w:tr w:rsidR="001054C3" w14:paraId="6DBBC7F3" w14:textId="77777777" w:rsidTr="00234FBE">
              <w:trPr>
                <w:tblHeader/>
              </w:trPr>
              <w:tc>
                <w:tcPr>
                  <w:tcW w:w="3500" w:type="pct"/>
                  <w:tcBorders>
                    <w:top w:val="single" w:sz="6" w:space="0" w:color="BFBFBF"/>
                    <w:bottom w:val="single" w:sz="6" w:space="0" w:color="BFBFBF"/>
                  </w:tcBorders>
                  <w:shd w:val="clear" w:color="auto" w:fill="auto"/>
                  <w:tcMar>
                    <w:top w:w="28" w:type="dxa"/>
                  </w:tcMar>
                </w:tcPr>
                <w:p w14:paraId="5357171F" w14:textId="77777777" w:rsidR="001054C3" w:rsidRDefault="001054C3" w:rsidP="00234FBE">
                  <w:pPr>
                    <w:pStyle w:val="TableColumnHeading"/>
                    <w:jc w:val="left"/>
                  </w:pPr>
                  <w:r>
                    <w:t>Participants</w:t>
                  </w:r>
                </w:p>
              </w:tc>
              <w:tc>
                <w:tcPr>
                  <w:tcW w:w="1500" w:type="pct"/>
                  <w:tcBorders>
                    <w:top w:val="single" w:sz="6" w:space="0" w:color="BFBFBF"/>
                    <w:bottom w:val="single" w:sz="6" w:space="0" w:color="BFBFBF"/>
                  </w:tcBorders>
                  <w:shd w:val="clear" w:color="auto" w:fill="auto"/>
                  <w:tcMar>
                    <w:top w:w="28" w:type="dxa"/>
                  </w:tcMar>
                </w:tcPr>
                <w:p w14:paraId="4F1EDAC6" w14:textId="77777777" w:rsidR="001054C3" w:rsidRDefault="001054C3" w:rsidP="00234FBE">
                  <w:pPr>
                    <w:pStyle w:val="TableColumnHeading"/>
                    <w:ind w:right="28"/>
                  </w:pPr>
                </w:p>
              </w:tc>
            </w:tr>
            <w:tr w:rsidR="001054C3" w14:paraId="1E3225FD" w14:textId="77777777" w:rsidTr="00234FBE">
              <w:tc>
                <w:tcPr>
                  <w:tcW w:w="3500" w:type="pct"/>
                  <w:tcBorders>
                    <w:top w:val="single" w:sz="6" w:space="0" w:color="BFBFBF"/>
                  </w:tcBorders>
                </w:tcPr>
                <w:p w14:paraId="57F2B64E" w14:textId="77777777" w:rsidR="001054C3" w:rsidRDefault="001054C3" w:rsidP="00234FBE">
                  <w:pPr>
                    <w:pStyle w:val="TableUnitsRow"/>
                    <w:jc w:val="left"/>
                  </w:pPr>
                  <w:r w:rsidRPr="007A001B">
                    <w:rPr>
                      <w:b/>
                      <w:bCs/>
                    </w:rPr>
                    <w:t>9</w:t>
                  </w:r>
                  <w:r>
                    <w:rPr>
                      <w:b/>
                      <w:bCs/>
                    </w:rPr>
                    <w:t> </w:t>
                  </w:r>
                  <w:r w:rsidRPr="007A001B">
                    <w:rPr>
                      <w:b/>
                      <w:bCs/>
                    </w:rPr>
                    <w:t xml:space="preserve">June 2020 </w:t>
                  </w:r>
                  <w:r>
                    <w:rPr>
                      <w:b/>
                      <w:bCs/>
                    </w:rPr>
                    <w:noBreakHyphen/>
                  </w:r>
                  <w:r w:rsidRPr="007A001B">
                    <w:rPr>
                      <w:b/>
                      <w:bCs/>
                    </w:rPr>
                    <w:t xml:space="preserve"> Meeting 1</w:t>
                  </w:r>
                </w:p>
              </w:tc>
              <w:tc>
                <w:tcPr>
                  <w:tcW w:w="1500" w:type="pct"/>
                  <w:tcBorders>
                    <w:top w:val="single" w:sz="6" w:space="0" w:color="BFBFBF"/>
                  </w:tcBorders>
                </w:tcPr>
                <w:p w14:paraId="1548A016" w14:textId="77777777" w:rsidR="001054C3" w:rsidRDefault="001054C3" w:rsidP="00234FBE">
                  <w:pPr>
                    <w:pStyle w:val="TableUnitsRow"/>
                    <w:ind w:right="28"/>
                  </w:pPr>
                </w:p>
              </w:tc>
            </w:tr>
            <w:tr w:rsidR="001054C3" w14:paraId="4494DA96" w14:textId="77777777" w:rsidTr="00234FBE">
              <w:tc>
                <w:tcPr>
                  <w:tcW w:w="3500" w:type="pct"/>
                </w:tcPr>
                <w:p w14:paraId="04E82505" w14:textId="77777777" w:rsidR="001054C3" w:rsidRDefault="001054C3" w:rsidP="00234FBE">
                  <w:pPr>
                    <w:pStyle w:val="TableBodyText"/>
                    <w:jc w:val="left"/>
                  </w:pPr>
                  <w:r w:rsidRPr="00FE59AC">
                    <w:t>Australian Academy of Technology and Engineering</w:t>
                  </w:r>
                  <w:r>
                    <w:t xml:space="preserve"> (ATSE)</w:t>
                  </w:r>
                </w:p>
              </w:tc>
              <w:tc>
                <w:tcPr>
                  <w:tcW w:w="1500" w:type="pct"/>
                </w:tcPr>
                <w:p w14:paraId="58E0D694" w14:textId="77777777" w:rsidR="001054C3" w:rsidRDefault="001054C3" w:rsidP="00234FBE">
                  <w:pPr>
                    <w:pStyle w:val="TableBodyText"/>
                    <w:ind w:right="28"/>
                    <w:jc w:val="left"/>
                  </w:pPr>
                  <w:r w:rsidRPr="00FE59AC">
                    <w:t>Dr Rob Vertessy </w:t>
                  </w:r>
                </w:p>
              </w:tc>
            </w:tr>
            <w:tr w:rsidR="001054C3" w14:paraId="25AEE867" w14:textId="77777777" w:rsidTr="00234FBE">
              <w:tc>
                <w:tcPr>
                  <w:tcW w:w="3500" w:type="pct"/>
                  <w:shd w:val="clear" w:color="auto" w:fill="auto"/>
                </w:tcPr>
                <w:p w14:paraId="1D9278C6" w14:textId="77777777" w:rsidR="001054C3" w:rsidRDefault="001054C3" w:rsidP="00234FBE">
                  <w:pPr>
                    <w:pStyle w:val="TableBodyText"/>
                    <w:jc w:val="left"/>
                  </w:pPr>
                  <w:r w:rsidRPr="00FE59AC">
                    <w:t>Australian Conservation Foundation </w:t>
                  </w:r>
                  <w:r>
                    <w:t>(ACF)</w:t>
                  </w:r>
                </w:p>
              </w:tc>
              <w:tc>
                <w:tcPr>
                  <w:tcW w:w="1500" w:type="pct"/>
                  <w:shd w:val="clear" w:color="auto" w:fill="auto"/>
                </w:tcPr>
                <w:p w14:paraId="172FF3F6" w14:textId="77777777" w:rsidR="001054C3" w:rsidRDefault="001054C3" w:rsidP="00234FBE">
                  <w:pPr>
                    <w:pStyle w:val="TableBodyText"/>
                    <w:ind w:right="28"/>
                    <w:jc w:val="left"/>
                  </w:pPr>
                  <w:r w:rsidRPr="00FE59AC">
                    <w:t>Paul Sinclair </w:t>
                  </w:r>
                </w:p>
              </w:tc>
            </w:tr>
            <w:tr w:rsidR="001054C3" w14:paraId="0B216FA2" w14:textId="77777777" w:rsidTr="00234FBE">
              <w:tc>
                <w:tcPr>
                  <w:tcW w:w="3500" w:type="pct"/>
                  <w:shd w:val="clear" w:color="auto" w:fill="auto"/>
                </w:tcPr>
                <w:p w14:paraId="42168E8F" w14:textId="77777777" w:rsidR="001054C3" w:rsidRDefault="001054C3" w:rsidP="00234FBE">
                  <w:pPr>
                    <w:pStyle w:val="TableBodyText"/>
                    <w:jc w:val="left"/>
                  </w:pPr>
                  <w:r w:rsidRPr="00FE59AC">
                    <w:t>Australian Local Government Association</w:t>
                  </w:r>
                  <w:r>
                    <w:t xml:space="preserve"> (ALGA/Qld)</w:t>
                  </w:r>
                </w:p>
              </w:tc>
              <w:tc>
                <w:tcPr>
                  <w:tcW w:w="1500" w:type="pct"/>
                  <w:shd w:val="clear" w:color="auto" w:fill="auto"/>
                </w:tcPr>
                <w:p w14:paraId="7667E74D" w14:textId="77777777" w:rsidR="001054C3" w:rsidRDefault="001054C3" w:rsidP="00234FBE">
                  <w:pPr>
                    <w:pStyle w:val="TableBodyText"/>
                    <w:ind w:right="28"/>
                    <w:jc w:val="left"/>
                  </w:pPr>
                  <w:r w:rsidRPr="00FE59AC">
                    <w:t>Subathra Ramachandram</w:t>
                  </w:r>
                </w:p>
              </w:tc>
            </w:tr>
            <w:tr w:rsidR="001054C3" w14:paraId="5BADE85D" w14:textId="77777777" w:rsidTr="00234FBE">
              <w:tc>
                <w:tcPr>
                  <w:tcW w:w="3500" w:type="pct"/>
                  <w:shd w:val="clear" w:color="auto" w:fill="auto"/>
                </w:tcPr>
                <w:p w14:paraId="1CC45AAB" w14:textId="77777777" w:rsidR="001054C3" w:rsidRDefault="001054C3" w:rsidP="00234FBE">
                  <w:pPr>
                    <w:pStyle w:val="TableBodyText"/>
                    <w:jc w:val="left"/>
                  </w:pPr>
                  <w:r w:rsidRPr="007A001B">
                    <w:t>Australian Local Government Association</w:t>
                  </w:r>
                  <w:r>
                    <w:t xml:space="preserve"> (ALGA/NSW)</w:t>
                  </w:r>
                </w:p>
              </w:tc>
              <w:tc>
                <w:tcPr>
                  <w:tcW w:w="1500" w:type="pct"/>
                  <w:shd w:val="clear" w:color="auto" w:fill="auto"/>
                </w:tcPr>
                <w:p w14:paraId="33D70A2B" w14:textId="77777777" w:rsidR="001054C3" w:rsidRDefault="001054C3" w:rsidP="00234FBE">
                  <w:pPr>
                    <w:pStyle w:val="TableBodyText"/>
                    <w:ind w:right="28"/>
                    <w:jc w:val="left"/>
                  </w:pPr>
                  <w:r w:rsidRPr="00FE59AC">
                    <w:t>Sanjiv Sathiah</w:t>
                  </w:r>
                </w:p>
              </w:tc>
            </w:tr>
            <w:tr w:rsidR="001054C3" w14:paraId="6213C11D" w14:textId="77777777" w:rsidTr="00234FBE">
              <w:tc>
                <w:tcPr>
                  <w:tcW w:w="3500" w:type="pct"/>
                  <w:shd w:val="clear" w:color="auto" w:fill="auto"/>
                </w:tcPr>
                <w:p w14:paraId="39B82255" w14:textId="77777777" w:rsidR="001054C3" w:rsidRDefault="001054C3" w:rsidP="00234FBE">
                  <w:pPr>
                    <w:pStyle w:val="TableBodyText"/>
                    <w:jc w:val="left"/>
                  </w:pPr>
                  <w:r w:rsidRPr="007A001B">
                    <w:t>Australian Local Government Associatio</w:t>
                  </w:r>
                  <w:r>
                    <w:t>n (ALGA/NSW)</w:t>
                  </w:r>
                </w:p>
              </w:tc>
              <w:tc>
                <w:tcPr>
                  <w:tcW w:w="1500" w:type="pct"/>
                  <w:shd w:val="clear" w:color="auto" w:fill="auto"/>
                </w:tcPr>
                <w:p w14:paraId="6809FBF4" w14:textId="77777777" w:rsidR="001054C3" w:rsidRDefault="001054C3" w:rsidP="00234FBE">
                  <w:pPr>
                    <w:pStyle w:val="TableBodyText"/>
                    <w:ind w:right="28"/>
                    <w:jc w:val="left"/>
                  </w:pPr>
                  <w:r w:rsidRPr="00FE59AC">
                    <w:t>Shaun McBride</w:t>
                  </w:r>
                </w:p>
              </w:tc>
            </w:tr>
            <w:tr w:rsidR="001054C3" w14:paraId="258A0E45" w14:textId="77777777" w:rsidTr="00234FBE">
              <w:tc>
                <w:tcPr>
                  <w:tcW w:w="3500" w:type="pct"/>
                  <w:shd w:val="clear" w:color="auto" w:fill="auto"/>
                </w:tcPr>
                <w:p w14:paraId="2AE470F2" w14:textId="77777777" w:rsidR="001054C3" w:rsidRDefault="001054C3" w:rsidP="00234FBE">
                  <w:pPr>
                    <w:pStyle w:val="TableBodyText"/>
                    <w:jc w:val="left"/>
                  </w:pPr>
                  <w:r w:rsidRPr="00FE59AC">
                    <w:t>Australian Water Association</w:t>
                  </w:r>
                  <w:r>
                    <w:t xml:space="preserve"> (AWA)</w:t>
                  </w:r>
                </w:p>
              </w:tc>
              <w:tc>
                <w:tcPr>
                  <w:tcW w:w="1500" w:type="pct"/>
                  <w:shd w:val="clear" w:color="auto" w:fill="auto"/>
                </w:tcPr>
                <w:p w14:paraId="18CDAD9D" w14:textId="77777777" w:rsidR="001054C3" w:rsidRDefault="001054C3" w:rsidP="00234FBE">
                  <w:pPr>
                    <w:pStyle w:val="TableBodyText"/>
                    <w:ind w:right="28"/>
                    <w:jc w:val="left"/>
                  </w:pPr>
                  <w:r w:rsidRPr="00FE59AC">
                    <w:t>Corrine Cheeseman </w:t>
                  </w:r>
                </w:p>
              </w:tc>
            </w:tr>
            <w:tr w:rsidR="001054C3" w14:paraId="433906F7" w14:textId="77777777" w:rsidTr="00234FBE">
              <w:tc>
                <w:tcPr>
                  <w:tcW w:w="3500" w:type="pct"/>
                  <w:shd w:val="clear" w:color="auto" w:fill="auto"/>
                </w:tcPr>
                <w:p w14:paraId="3C522351" w14:textId="77777777" w:rsidR="001054C3" w:rsidRDefault="001054C3" w:rsidP="00234FBE">
                  <w:pPr>
                    <w:pStyle w:val="TableBodyText"/>
                    <w:jc w:val="left"/>
                  </w:pPr>
                  <w:r w:rsidRPr="00FE59AC">
                    <w:t>Australian Water Association</w:t>
                  </w:r>
                  <w:r>
                    <w:t xml:space="preserve"> (AWA)</w:t>
                  </w:r>
                </w:p>
              </w:tc>
              <w:tc>
                <w:tcPr>
                  <w:tcW w:w="1500" w:type="pct"/>
                  <w:shd w:val="clear" w:color="auto" w:fill="auto"/>
                </w:tcPr>
                <w:p w14:paraId="3621A162" w14:textId="77777777" w:rsidR="001054C3" w:rsidRDefault="001054C3" w:rsidP="00234FBE">
                  <w:pPr>
                    <w:pStyle w:val="TableBodyText"/>
                    <w:ind w:right="28"/>
                    <w:jc w:val="left"/>
                  </w:pPr>
                  <w:r w:rsidRPr="00FE59AC">
                    <w:t>Paul Smith </w:t>
                  </w:r>
                </w:p>
              </w:tc>
            </w:tr>
            <w:tr w:rsidR="001054C3" w14:paraId="658BD539" w14:textId="77777777" w:rsidTr="00234FBE">
              <w:tc>
                <w:tcPr>
                  <w:tcW w:w="3500" w:type="pct"/>
                  <w:shd w:val="clear" w:color="auto" w:fill="auto"/>
                </w:tcPr>
                <w:p w14:paraId="7DCD0DD0" w14:textId="77777777" w:rsidR="001054C3" w:rsidRDefault="001054C3" w:rsidP="00234FBE">
                  <w:pPr>
                    <w:pStyle w:val="TableBodyText"/>
                    <w:jc w:val="left"/>
                  </w:pPr>
                  <w:r w:rsidRPr="00FE59AC">
                    <w:t>Environmental Defenders Office</w:t>
                  </w:r>
                  <w:r>
                    <w:t xml:space="preserve"> (EDO)</w:t>
                  </w:r>
                </w:p>
              </w:tc>
              <w:tc>
                <w:tcPr>
                  <w:tcW w:w="1500" w:type="pct"/>
                  <w:shd w:val="clear" w:color="auto" w:fill="auto"/>
                </w:tcPr>
                <w:p w14:paraId="3E97EDD5" w14:textId="77777777" w:rsidR="001054C3" w:rsidRDefault="001054C3" w:rsidP="00234FBE">
                  <w:pPr>
                    <w:pStyle w:val="TableBodyText"/>
                    <w:ind w:right="28"/>
                    <w:jc w:val="left"/>
                  </w:pPr>
                  <w:r>
                    <w:t xml:space="preserve">Dr </w:t>
                  </w:r>
                  <w:r w:rsidRPr="00FE59AC">
                    <w:t>Emma Carmody </w:t>
                  </w:r>
                </w:p>
              </w:tc>
            </w:tr>
            <w:tr w:rsidR="001054C3" w14:paraId="53E6BA5C" w14:textId="77777777" w:rsidTr="00234FBE">
              <w:tc>
                <w:tcPr>
                  <w:tcW w:w="3500" w:type="pct"/>
                  <w:shd w:val="clear" w:color="auto" w:fill="auto"/>
                </w:tcPr>
                <w:p w14:paraId="407FEB89" w14:textId="77777777" w:rsidR="001054C3" w:rsidRDefault="001054C3" w:rsidP="00234FBE">
                  <w:pPr>
                    <w:pStyle w:val="TableBodyText"/>
                    <w:jc w:val="left"/>
                  </w:pPr>
                  <w:r w:rsidRPr="00FE59AC">
                    <w:t>Minerals Council of Australia </w:t>
                  </w:r>
                  <w:r>
                    <w:t>(MCA)</w:t>
                  </w:r>
                </w:p>
              </w:tc>
              <w:tc>
                <w:tcPr>
                  <w:tcW w:w="1500" w:type="pct"/>
                  <w:shd w:val="clear" w:color="auto" w:fill="auto"/>
                </w:tcPr>
                <w:p w14:paraId="067BBBF8" w14:textId="77777777" w:rsidR="001054C3" w:rsidRDefault="001054C3" w:rsidP="00234FBE">
                  <w:pPr>
                    <w:pStyle w:val="TableBodyText"/>
                    <w:ind w:right="28"/>
                    <w:jc w:val="left"/>
                  </w:pPr>
                  <w:r w:rsidRPr="00FE59AC">
                    <w:t>Robyn Quinn </w:t>
                  </w:r>
                </w:p>
              </w:tc>
            </w:tr>
            <w:tr w:rsidR="001054C3" w14:paraId="1C67292F" w14:textId="77777777" w:rsidTr="00234FBE">
              <w:tc>
                <w:tcPr>
                  <w:tcW w:w="3500" w:type="pct"/>
                  <w:shd w:val="clear" w:color="auto" w:fill="auto"/>
                </w:tcPr>
                <w:p w14:paraId="55884E23" w14:textId="77777777" w:rsidR="001054C3" w:rsidRDefault="001054C3" w:rsidP="00234FBE">
                  <w:pPr>
                    <w:pStyle w:val="TableBodyText"/>
                    <w:jc w:val="left"/>
                  </w:pPr>
                  <w:r w:rsidRPr="00FE59AC">
                    <w:t>National Aboriginal Community Controlled Health Organisation</w:t>
                  </w:r>
                  <w:r>
                    <w:t xml:space="preserve"> (NACCHO) </w:t>
                  </w:r>
                  <w:r w:rsidRPr="00FE59AC">
                    <w:t>/ Coalition of Peaks </w:t>
                  </w:r>
                </w:p>
              </w:tc>
              <w:tc>
                <w:tcPr>
                  <w:tcW w:w="1500" w:type="pct"/>
                  <w:shd w:val="clear" w:color="auto" w:fill="auto"/>
                </w:tcPr>
                <w:p w14:paraId="692A7213" w14:textId="77777777" w:rsidR="001054C3" w:rsidRDefault="001054C3" w:rsidP="00234FBE">
                  <w:pPr>
                    <w:pStyle w:val="TableBodyText"/>
                    <w:ind w:right="28"/>
                    <w:jc w:val="left"/>
                  </w:pPr>
                  <w:r w:rsidRPr="00FE59AC">
                    <w:t>Christine Corby </w:t>
                  </w:r>
                </w:p>
              </w:tc>
            </w:tr>
            <w:tr w:rsidR="001054C3" w14:paraId="2EBB3CF9" w14:textId="77777777" w:rsidTr="00234FBE">
              <w:tc>
                <w:tcPr>
                  <w:tcW w:w="3500" w:type="pct"/>
                  <w:shd w:val="clear" w:color="auto" w:fill="auto"/>
                </w:tcPr>
                <w:p w14:paraId="3CA3A13A" w14:textId="77777777" w:rsidR="001054C3" w:rsidRDefault="001054C3" w:rsidP="00234FBE">
                  <w:pPr>
                    <w:pStyle w:val="TableBodyText"/>
                    <w:jc w:val="left"/>
                  </w:pPr>
                  <w:r w:rsidRPr="00FE59AC">
                    <w:t>National Farmers Federation </w:t>
                  </w:r>
                  <w:r>
                    <w:t>(NFF)</w:t>
                  </w:r>
                </w:p>
              </w:tc>
              <w:tc>
                <w:tcPr>
                  <w:tcW w:w="1500" w:type="pct"/>
                  <w:shd w:val="clear" w:color="auto" w:fill="auto"/>
                </w:tcPr>
                <w:p w14:paraId="6C6D0DE7" w14:textId="77777777" w:rsidR="001054C3" w:rsidRDefault="001054C3" w:rsidP="00234FBE">
                  <w:pPr>
                    <w:pStyle w:val="TableBodyText"/>
                    <w:ind w:right="28"/>
                    <w:jc w:val="left"/>
                  </w:pPr>
                  <w:r w:rsidRPr="00FE59AC">
                    <w:t>Warwick Ragg </w:t>
                  </w:r>
                </w:p>
              </w:tc>
            </w:tr>
            <w:tr w:rsidR="001054C3" w14:paraId="3BF6A439" w14:textId="77777777" w:rsidTr="00234FBE">
              <w:tc>
                <w:tcPr>
                  <w:tcW w:w="3500" w:type="pct"/>
                  <w:shd w:val="clear" w:color="auto" w:fill="auto"/>
                </w:tcPr>
                <w:p w14:paraId="601EDF37" w14:textId="77777777" w:rsidR="001054C3" w:rsidRDefault="001054C3" w:rsidP="00234FBE">
                  <w:pPr>
                    <w:pStyle w:val="TableBodyText"/>
                    <w:jc w:val="left"/>
                  </w:pPr>
                  <w:r w:rsidRPr="008B7C89">
                    <w:t>National Farmers Federation</w:t>
                  </w:r>
                  <w:r>
                    <w:t> (NFF)</w:t>
                  </w:r>
                </w:p>
              </w:tc>
              <w:tc>
                <w:tcPr>
                  <w:tcW w:w="1500" w:type="pct"/>
                  <w:shd w:val="clear" w:color="auto" w:fill="auto"/>
                </w:tcPr>
                <w:p w14:paraId="1B663B1E" w14:textId="77777777" w:rsidR="001054C3" w:rsidRDefault="001054C3" w:rsidP="00234FBE">
                  <w:pPr>
                    <w:pStyle w:val="TableBodyText"/>
                    <w:ind w:right="28"/>
                    <w:jc w:val="left"/>
                  </w:pPr>
                  <w:r w:rsidRPr="00FE59AC">
                    <w:t>Les Gordon </w:t>
                  </w:r>
                </w:p>
              </w:tc>
            </w:tr>
            <w:tr w:rsidR="001054C3" w14:paraId="2F854A2F" w14:textId="77777777" w:rsidTr="00234FBE">
              <w:tc>
                <w:tcPr>
                  <w:tcW w:w="3500" w:type="pct"/>
                  <w:shd w:val="clear" w:color="auto" w:fill="auto"/>
                </w:tcPr>
                <w:p w14:paraId="0006ECA3" w14:textId="77777777" w:rsidR="001054C3" w:rsidRDefault="001054C3" w:rsidP="00234FBE">
                  <w:pPr>
                    <w:pStyle w:val="TableBodyText"/>
                    <w:jc w:val="left"/>
                  </w:pPr>
                  <w:r w:rsidRPr="00FE59AC">
                    <w:t>National Health &amp; Medical Research Council</w:t>
                  </w:r>
                  <w:r>
                    <w:t xml:space="preserve"> (NHMRC)</w:t>
                  </w:r>
                </w:p>
              </w:tc>
              <w:tc>
                <w:tcPr>
                  <w:tcW w:w="1500" w:type="pct"/>
                  <w:shd w:val="clear" w:color="auto" w:fill="auto"/>
                </w:tcPr>
                <w:p w14:paraId="24B0D919" w14:textId="77777777" w:rsidR="001054C3" w:rsidRDefault="001054C3" w:rsidP="00234FBE">
                  <w:pPr>
                    <w:pStyle w:val="TableBodyText"/>
                    <w:ind w:right="28"/>
                    <w:jc w:val="left"/>
                  </w:pPr>
                  <w:r w:rsidRPr="00FE59AC">
                    <w:t>Jennifer Savanake </w:t>
                  </w:r>
                </w:p>
              </w:tc>
            </w:tr>
            <w:tr w:rsidR="001054C3" w14:paraId="6C0A9897" w14:textId="77777777" w:rsidTr="00234FBE">
              <w:tc>
                <w:tcPr>
                  <w:tcW w:w="3500" w:type="pct"/>
                  <w:shd w:val="clear" w:color="auto" w:fill="auto"/>
                </w:tcPr>
                <w:p w14:paraId="277BB3BC" w14:textId="77777777" w:rsidR="001054C3" w:rsidRDefault="001054C3" w:rsidP="00234FBE">
                  <w:pPr>
                    <w:pStyle w:val="TableBodyText"/>
                    <w:jc w:val="left"/>
                  </w:pPr>
                  <w:r w:rsidRPr="00FE59AC">
                    <w:t>National Irrigators Council </w:t>
                  </w:r>
                  <w:r>
                    <w:t>(NIC)</w:t>
                  </w:r>
                </w:p>
              </w:tc>
              <w:tc>
                <w:tcPr>
                  <w:tcW w:w="1500" w:type="pct"/>
                  <w:shd w:val="clear" w:color="auto" w:fill="auto"/>
                </w:tcPr>
                <w:p w14:paraId="4FAAF1C9" w14:textId="77777777" w:rsidR="001054C3" w:rsidRDefault="001054C3" w:rsidP="00234FBE">
                  <w:pPr>
                    <w:pStyle w:val="TableBodyText"/>
                    <w:ind w:right="28"/>
                    <w:jc w:val="left"/>
                  </w:pPr>
                  <w:r w:rsidRPr="00FE59AC">
                    <w:t>Steve Whan </w:t>
                  </w:r>
                </w:p>
              </w:tc>
            </w:tr>
            <w:tr w:rsidR="001054C3" w14:paraId="07D00BAB" w14:textId="77777777" w:rsidTr="00234FBE">
              <w:tc>
                <w:tcPr>
                  <w:tcW w:w="3500" w:type="pct"/>
                  <w:shd w:val="clear" w:color="auto" w:fill="auto"/>
                </w:tcPr>
                <w:p w14:paraId="6D8CBA43" w14:textId="77777777" w:rsidR="001054C3" w:rsidRDefault="001054C3" w:rsidP="00234FBE">
                  <w:pPr>
                    <w:pStyle w:val="TableBodyText"/>
                    <w:jc w:val="left"/>
                  </w:pPr>
                  <w:r w:rsidRPr="00FE59AC">
                    <w:t>Water Services Association of Australia </w:t>
                  </w:r>
                  <w:r>
                    <w:t>(WSAA)</w:t>
                  </w:r>
                </w:p>
              </w:tc>
              <w:tc>
                <w:tcPr>
                  <w:tcW w:w="1500" w:type="pct"/>
                  <w:shd w:val="clear" w:color="auto" w:fill="auto"/>
                </w:tcPr>
                <w:p w14:paraId="4AD27B46" w14:textId="77777777" w:rsidR="001054C3" w:rsidRDefault="001054C3" w:rsidP="00234FBE">
                  <w:pPr>
                    <w:pStyle w:val="TableBodyText"/>
                    <w:ind w:right="28"/>
                    <w:jc w:val="left"/>
                  </w:pPr>
                  <w:r w:rsidRPr="00FE59AC">
                    <w:t>Adam Lovell </w:t>
                  </w:r>
                </w:p>
              </w:tc>
            </w:tr>
            <w:tr w:rsidR="001054C3" w14:paraId="5678D18C" w14:textId="77777777" w:rsidTr="00234FBE">
              <w:tc>
                <w:tcPr>
                  <w:tcW w:w="3500" w:type="pct"/>
                  <w:shd w:val="clear" w:color="auto" w:fill="auto"/>
                </w:tcPr>
                <w:p w14:paraId="535C4D6D" w14:textId="77777777" w:rsidR="001054C3" w:rsidRDefault="001054C3" w:rsidP="00234FBE">
                  <w:pPr>
                    <w:pStyle w:val="TableBodyText"/>
                    <w:jc w:val="left"/>
                  </w:pPr>
                  <w:r w:rsidRPr="008B7C89">
                    <w:t>Water Services Association of Australia</w:t>
                  </w:r>
                  <w:r>
                    <w:t xml:space="preserve"> (WSAA)</w:t>
                  </w:r>
                </w:p>
              </w:tc>
              <w:tc>
                <w:tcPr>
                  <w:tcW w:w="1500" w:type="pct"/>
                  <w:shd w:val="clear" w:color="auto" w:fill="auto"/>
                </w:tcPr>
                <w:p w14:paraId="1713322E" w14:textId="77777777" w:rsidR="001054C3" w:rsidRDefault="001054C3" w:rsidP="00234FBE">
                  <w:pPr>
                    <w:pStyle w:val="TableBodyText"/>
                    <w:ind w:right="28"/>
                    <w:jc w:val="left"/>
                  </w:pPr>
                  <w:r w:rsidRPr="00FE59AC">
                    <w:t>Stuart Wilson </w:t>
                  </w:r>
                </w:p>
              </w:tc>
            </w:tr>
            <w:tr w:rsidR="001054C3" w14:paraId="4FEAC041" w14:textId="77777777" w:rsidTr="00234FBE">
              <w:tc>
                <w:tcPr>
                  <w:tcW w:w="3500" w:type="pct"/>
                  <w:shd w:val="clear" w:color="auto" w:fill="auto"/>
                </w:tcPr>
                <w:p w14:paraId="740BC298" w14:textId="77777777" w:rsidR="001054C3" w:rsidRDefault="001054C3" w:rsidP="00234FBE">
                  <w:pPr>
                    <w:pStyle w:val="TableBodyText"/>
                    <w:jc w:val="left"/>
                  </w:pPr>
                </w:p>
              </w:tc>
              <w:tc>
                <w:tcPr>
                  <w:tcW w:w="1500" w:type="pct"/>
                  <w:shd w:val="clear" w:color="auto" w:fill="auto"/>
                </w:tcPr>
                <w:p w14:paraId="02354027" w14:textId="77777777" w:rsidR="001054C3" w:rsidRDefault="001054C3" w:rsidP="00234FBE">
                  <w:pPr>
                    <w:pStyle w:val="TableBodyText"/>
                    <w:ind w:right="28"/>
                  </w:pPr>
                </w:p>
              </w:tc>
            </w:tr>
            <w:tr w:rsidR="001054C3" w14:paraId="77FDF74C" w14:textId="77777777" w:rsidTr="00234FBE">
              <w:tc>
                <w:tcPr>
                  <w:tcW w:w="3500" w:type="pct"/>
                  <w:shd w:val="clear" w:color="auto" w:fill="auto"/>
                </w:tcPr>
                <w:p w14:paraId="7BDE5E45" w14:textId="77777777" w:rsidR="001054C3" w:rsidRDefault="001054C3" w:rsidP="00234FBE">
                  <w:pPr>
                    <w:pStyle w:val="TableBodyText"/>
                    <w:jc w:val="left"/>
                  </w:pPr>
                  <w:r w:rsidRPr="007A001B">
                    <w:rPr>
                      <w:b/>
                      <w:bCs/>
                    </w:rPr>
                    <w:t>5</w:t>
                  </w:r>
                  <w:r>
                    <w:rPr>
                      <w:b/>
                      <w:bCs/>
                    </w:rPr>
                    <w:t> </w:t>
                  </w:r>
                  <w:r w:rsidRPr="007A001B">
                    <w:rPr>
                      <w:b/>
                      <w:bCs/>
                    </w:rPr>
                    <w:t xml:space="preserve">November 2020 </w:t>
                  </w:r>
                  <w:r>
                    <w:rPr>
                      <w:b/>
                      <w:bCs/>
                    </w:rPr>
                    <w:t>–</w:t>
                  </w:r>
                  <w:r w:rsidRPr="007A001B">
                    <w:rPr>
                      <w:b/>
                      <w:bCs/>
                    </w:rPr>
                    <w:t xml:space="preserve"> Meeting 2</w:t>
                  </w:r>
                </w:p>
              </w:tc>
              <w:tc>
                <w:tcPr>
                  <w:tcW w:w="1500" w:type="pct"/>
                  <w:shd w:val="clear" w:color="auto" w:fill="auto"/>
                </w:tcPr>
                <w:p w14:paraId="1CD37A0D" w14:textId="77777777" w:rsidR="001054C3" w:rsidRDefault="001054C3" w:rsidP="00234FBE">
                  <w:pPr>
                    <w:pStyle w:val="TableBodyText"/>
                    <w:ind w:right="28"/>
                  </w:pPr>
                </w:p>
              </w:tc>
            </w:tr>
            <w:tr w:rsidR="001054C3" w14:paraId="6685E9E7" w14:textId="77777777" w:rsidTr="00234FBE">
              <w:tc>
                <w:tcPr>
                  <w:tcW w:w="3500" w:type="pct"/>
                  <w:shd w:val="clear" w:color="auto" w:fill="auto"/>
                </w:tcPr>
                <w:p w14:paraId="65050FC0" w14:textId="77777777" w:rsidR="001054C3" w:rsidRDefault="001054C3" w:rsidP="00234FBE">
                  <w:pPr>
                    <w:pStyle w:val="TableBodyText"/>
                    <w:jc w:val="left"/>
                  </w:pPr>
                  <w:r w:rsidRPr="00932913">
                    <w:t>Australian Academy of Technology and Engineering</w:t>
                  </w:r>
                  <w:r>
                    <w:t xml:space="preserve"> (ATSE)</w:t>
                  </w:r>
                </w:p>
              </w:tc>
              <w:tc>
                <w:tcPr>
                  <w:tcW w:w="1500" w:type="pct"/>
                  <w:shd w:val="clear" w:color="auto" w:fill="auto"/>
                </w:tcPr>
                <w:p w14:paraId="0E3A1D62" w14:textId="77777777" w:rsidR="001054C3" w:rsidRDefault="001054C3" w:rsidP="00234FBE">
                  <w:pPr>
                    <w:pStyle w:val="TableBodyText"/>
                    <w:ind w:right="28"/>
                    <w:jc w:val="left"/>
                  </w:pPr>
                  <w:r w:rsidRPr="00932913">
                    <w:t>Dr Rob Vertessy </w:t>
                  </w:r>
                </w:p>
              </w:tc>
            </w:tr>
            <w:tr w:rsidR="001054C3" w14:paraId="1C11621D" w14:textId="77777777" w:rsidTr="00234FBE">
              <w:tc>
                <w:tcPr>
                  <w:tcW w:w="3500" w:type="pct"/>
                  <w:shd w:val="clear" w:color="auto" w:fill="auto"/>
                </w:tcPr>
                <w:p w14:paraId="3A6B30B0" w14:textId="77777777" w:rsidR="001054C3" w:rsidRDefault="001054C3" w:rsidP="00234FBE">
                  <w:pPr>
                    <w:pStyle w:val="TableBodyText"/>
                    <w:jc w:val="left"/>
                  </w:pPr>
                  <w:r w:rsidRPr="00932913">
                    <w:t>Australian Local Government Association</w:t>
                  </w:r>
                  <w:r>
                    <w:t xml:space="preserve"> (ALGA/Qld)</w:t>
                  </w:r>
                </w:p>
              </w:tc>
              <w:tc>
                <w:tcPr>
                  <w:tcW w:w="1500" w:type="pct"/>
                  <w:shd w:val="clear" w:color="auto" w:fill="auto"/>
                </w:tcPr>
                <w:p w14:paraId="3D37ADC0" w14:textId="77777777" w:rsidR="001054C3" w:rsidRDefault="001054C3" w:rsidP="00234FBE">
                  <w:pPr>
                    <w:pStyle w:val="TableBodyText"/>
                    <w:ind w:right="28"/>
                    <w:jc w:val="left"/>
                  </w:pPr>
                  <w:r w:rsidRPr="00932913">
                    <w:t>Subathra Ramachandram</w:t>
                  </w:r>
                </w:p>
              </w:tc>
            </w:tr>
            <w:tr w:rsidR="001054C3" w14:paraId="23C191B9" w14:textId="77777777" w:rsidTr="00234FBE">
              <w:tc>
                <w:tcPr>
                  <w:tcW w:w="3500" w:type="pct"/>
                  <w:shd w:val="clear" w:color="auto" w:fill="auto"/>
                </w:tcPr>
                <w:p w14:paraId="61EDB153" w14:textId="77777777" w:rsidR="001054C3" w:rsidRDefault="001054C3" w:rsidP="00234FBE">
                  <w:pPr>
                    <w:pStyle w:val="TableBodyText"/>
                    <w:jc w:val="left"/>
                  </w:pPr>
                  <w:r w:rsidRPr="008B7C89">
                    <w:t>Australian Local Government Association</w:t>
                  </w:r>
                  <w:r>
                    <w:t xml:space="preserve"> (ALGA/NSW)</w:t>
                  </w:r>
                </w:p>
              </w:tc>
              <w:tc>
                <w:tcPr>
                  <w:tcW w:w="1500" w:type="pct"/>
                  <w:shd w:val="clear" w:color="auto" w:fill="auto"/>
                </w:tcPr>
                <w:p w14:paraId="76B89F3B" w14:textId="77777777" w:rsidR="001054C3" w:rsidRDefault="001054C3" w:rsidP="00234FBE">
                  <w:pPr>
                    <w:pStyle w:val="TableBodyText"/>
                    <w:ind w:right="28"/>
                    <w:jc w:val="left"/>
                  </w:pPr>
                  <w:r w:rsidRPr="00932913">
                    <w:t>Sanjiv Sathiah</w:t>
                  </w:r>
                </w:p>
              </w:tc>
            </w:tr>
            <w:tr w:rsidR="001054C3" w14:paraId="59A450A7" w14:textId="77777777" w:rsidTr="00234FBE">
              <w:tc>
                <w:tcPr>
                  <w:tcW w:w="3500" w:type="pct"/>
                  <w:shd w:val="clear" w:color="auto" w:fill="auto"/>
                </w:tcPr>
                <w:p w14:paraId="54002047" w14:textId="77777777" w:rsidR="001054C3" w:rsidRDefault="001054C3" w:rsidP="00234FBE">
                  <w:pPr>
                    <w:pStyle w:val="TableBodyText"/>
                    <w:jc w:val="left"/>
                  </w:pPr>
                  <w:r w:rsidRPr="008B7C89">
                    <w:t>Australian Local Government Association</w:t>
                  </w:r>
                  <w:r>
                    <w:t xml:space="preserve"> (ALGA/NSW)</w:t>
                  </w:r>
                </w:p>
              </w:tc>
              <w:tc>
                <w:tcPr>
                  <w:tcW w:w="1500" w:type="pct"/>
                  <w:shd w:val="clear" w:color="auto" w:fill="auto"/>
                </w:tcPr>
                <w:p w14:paraId="23E314DE" w14:textId="77777777" w:rsidR="001054C3" w:rsidRDefault="001054C3" w:rsidP="00234FBE">
                  <w:pPr>
                    <w:pStyle w:val="TableBodyText"/>
                    <w:ind w:right="28"/>
                    <w:jc w:val="left"/>
                  </w:pPr>
                  <w:r w:rsidRPr="00932913">
                    <w:t>Shaun McBride</w:t>
                  </w:r>
                </w:p>
              </w:tc>
            </w:tr>
            <w:tr w:rsidR="001054C3" w14:paraId="7B693FC8" w14:textId="77777777" w:rsidTr="00234FBE">
              <w:tc>
                <w:tcPr>
                  <w:tcW w:w="3500" w:type="pct"/>
                  <w:shd w:val="clear" w:color="auto" w:fill="auto"/>
                </w:tcPr>
                <w:p w14:paraId="0FB705DD" w14:textId="77777777" w:rsidR="001054C3" w:rsidRDefault="001054C3" w:rsidP="00234FBE">
                  <w:pPr>
                    <w:pStyle w:val="TableBodyText"/>
                    <w:jc w:val="left"/>
                  </w:pPr>
                  <w:r w:rsidRPr="00932913">
                    <w:t>Environmental Defenders Office</w:t>
                  </w:r>
                  <w:r>
                    <w:t xml:space="preserve"> (EDO)</w:t>
                  </w:r>
                </w:p>
              </w:tc>
              <w:tc>
                <w:tcPr>
                  <w:tcW w:w="1500" w:type="pct"/>
                  <w:shd w:val="clear" w:color="auto" w:fill="auto"/>
                </w:tcPr>
                <w:p w14:paraId="7B68B80A" w14:textId="77777777" w:rsidR="001054C3" w:rsidRDefault="001054C3" w:rsidP="00234FBE">
                  <w:pPr>
                    <w:pStyle w:val="TableBodyText"/>
                    <w:ind w:right="28"/>
                    <w:jc w:val="left"/>
                  </w:pPr>
                  <w:r>
                    <w:t xml:space="preserve">Dr </w:t>
                  </w:r>
                  <w:r w:rsidRPr="00932913">
                    <w:t>Emma Carmody </w:t>
                  </w:r>
                </w:p>
              </w:tc>
            </w:tr>
            <w:tr w:rsidR="001054C3" w14:paraId="331C4558" w14:textId="77777777" w:rsidTr="00234FBE">
              <w:tc>
                <w:tcPr>
                  <w:tcW w:w="3500" w:type="pct"/>
                  <w:shd w:val="clear" w:color="auto" w:fill="auto"/>
                </w:tcPr>
                <w:p w14:paraId="0FC0C815" w14:textId="77777777" w:rsidR="001054C3" w:rsidRDefault="001054C3" w:rsidP="00234FBE">
                  <w:pPr>
                    <w:pStyle w:val="TableBodyText"/>
                    <w:jc w:val="left"/>
                  </w:pPr>
                  <w:r w:rsidRPr="00932913">
                    <w:t>Australian Petroleum Production &amp; Exploration Association</w:t>
                  </w:r>
                  <w:r>
                    <w:t xml:space="preserve"> (APPEA)</w:t>
                  </w:r>
                </w:p>
              </w:tc>
              <w:tc>
                <w:tcPr>
                  <w:tcW w:w="1500" w:type="pct"/>
                  <w:shd w:val="clear" w:color="auto" w:fill="auto"/>
                </w:tcPr>
                <w:p w14:paraId="71C87ACF" w14:textId="77777777" w:rsidR="001054C3" w:rsidRDefault="001054C3" w:rsidP="00234FBE">
                  <w:pPr>
                    <w:pStyle w:val="TableBodyText"/>
                    <w:ind w:right="28"/>
                    <w:jc w:val="left"/>
                  </w:pPr>
                  <w:r w:rsidRPr="00932913">
                    <w:t>Matthew Paull </w:t>
                  </w:r>
                </w:p>
              </w:tc>
            </w:tr>
            <w:tr w:rsidR="001054C3" w14:paraId="199DBB87" w14:textId="77777777" w:rsidTr="00234FBE">
              <w:tc>
                <w:tcPr>
                  <w:tcW w:w="3500" w:type="pct"/>
                  <w:shd w:val="clear" w:color="auto" w:fill="auto"/>
                </w:tcPr>
                <w:p w14:paraId="5E9D1B68" w14:textId="77777777" w:rsidR="001054C3" w:rsidRDefault="001054C3" w:rsidP="00234FBE">
                  <w:pPr>
                    <w:pStyle w:val="TableBodyText"/>
                    <w:jc w:val="left"/>
                  </w:pPr>
                  <w:r w:rsidRPr="00932913">
                    <w:t>Australian Water Association</w:t>
                  </w:r>
                  <w:r>
                    <w:t xml:space="preserve"> (AWA)</w:t>
                  </w:r>
                </w:p>
              </w:tc>
              <w:tc>
                <w:tcPr>
                  <w:tcW w:w="1500" w:type="pct"/>
                  <w:shd w:val="clear" w:color="auto" w:fill="auto"/>
                </w:tcPr>
                <w:p w14:paraId="4C3147D6" w14:textId="77777777" w:rsidR="001054C3" w:rsidRDefault="001054C3" w:rsidP="00234FBE">
                  <w:pPr>
                    <w:pStyle w:val="TableBodyText"/>
                    <w:ind w:right="28"/>
                    <w:jc w:val="left"/>
                  </w:pPr>
                  <w:r w:rsidRPr="00932913">
                    <w:t>Corrine Cheeseman </w:t>
                  </w:r>
                </w:p>
              </w:tc>
            </w:tr>
            <w:tr w:rsidR="001054C3" w14:paraId="5F61E1E4" w14:textId="77777777" w:rsidTr="00234FBE">
              <w:tc>
                <w:tcPr>
                  <w:tcW w:w="3500" w:type="pct"/>
                  <w:shd w:val="clear" w:color="auto" w:fill="auto"/>
                </w:tcPr>
                <w:p w14:paraId="532FFB44" w14:textId="77777777" w:rsidR="001054C3" w:rsidRDefault="001054C3" w:rsidP="00234FBE">
                  <w:pPr>
                    <w:pStyle w:val="TableBodyText"/>
                    <w:jc w:val="left"/>
                  </w:pPr>
                  <w:r w:rsidRPr="00932913">
                    <w:t xml:space="preserve">Coalition of Peaks </w:t>
                  </w:r>
                  <w:r>
                    <w:t>/</w:t>
                  </w:r>
                  <w:r w:rsidRPr="006615FB">
                    <w:t xml:space="preserve"> </w:t>
                  </w:r>
                  <w:r w:rsidRPr="00932913">
                    <w:t xml:space="preserve">NSW </w:t>
                  </w:r>
                  <w:r>
                    <w:t xml:space="preserve">Aboriginal Land Council </w:t>
                  </w:r>
                  <w:r w:rsidRPr="00932913">
                    <w:t>(NSWALC)</w:t>
                  </w:r>
                </w:p>
              </w:tc>
              <w:tc>
                <w:tcPr>
                  <w:tcW w:w="1500" w:type="pct"/>
                  <w:shd w:val="clear" w:color="auto" w:fill="auto"/>
                </w:tcPr>
                <w:p w14:paraId="72C735A5" w14:textId="77777777" w:rsidR="001054C3" w:rsidRDefault="001054C3" w:rsidP="00234FBE">
                  <w:pPr>
                    <w:pStyle w:val="TableBodyText"/>
                    <w:ind w:right="28"/>
                    <w:jc w:val="left"/>
                  </w:pPr>
                  <w:r w:rsidRPr="00932913">
                    <w:t>Peter Lalor </w:t>
                  </w:r>
                </w:p>
              </w:tc>
            </w:tr>
            <w:tr w:rsidR="001054C3" w14:paraId="7FE24AC5" w14:textId="77777777" w:rsidTr="00234FBE">
              <w:tc>
                <w:tcPr>
                  <w:tcW w:w="3500" w:type="pct"/>
                  <w:shd w:val="clear" w:color="auto" w:fill="auto"/>
                </w:tcPr>
                <w:p w14:paraId="4923D7D8" w14:textId="77777777" w:rsidR="001054C3" w:rsidRDefault="001054C3" w:rsidP="00234FBE">
                  <w:pPr>
                    <w:pStyle w:val="TableBodyText"/>
                    <w:jc w:val="left"/>
                  </w:pPr>
                  <w:r w:rsidRPr="00932913">
                    <w:t>Minerals Council of Australia </w:t>
                  </w:r>
                  <w:r>
                    <w:t>(MCA)</w:t>
                  </w:r>
                </w:p>
              </w:tc>
              <w:tc>
                <w:tcPr>
                  <w:tcW w:w="1500" w:type="pct"/>
                  <w:shd w:val="clear" w:color="auto" w:fill="auto"/>
                </w:tcPr>
                <w:p w14:paraId="7F1C6882" w14:textId="77777777" w:rsidR="001054C3" w:rsidRDefault="001054C3" w:rsidP="00234FBE">
                  <w:pPr>
                    <w:pStyle w:val="TableBodyText"/>
                    <w:ind w:right="28"/>
                    <w:jc w:val="left"/>
                  </w:pPr>
                  <w:r w:rsidRPr="00932913">
                    <w:t>Robyn Quinn </w:t>
                  </w:r>
                </w:p>
              </w:tc>
            </w:tr>
            <w:tr w:rsidR="001054C3" w14:paraId="07707A63" w14:textId="77777777" w:rsidTr="00234FBE">
              <w:tc>
                <w:tcPr>
                  <w:tcW w:w="3500" w:type="pct"/>
                  <w:shd w:val="clear" w:color="auto" w:fill="auto"/>
                </w:tcPr>
                <w:p w14:paraId="275B5809" w14:textId="77777777" w:rsidR="001054C3" w:rsidRDefault="001054C3" w:rsidP="00234FBE">
                  <w:pPr>
                    <w:pStyle w:val="TableBodyText"/>
                    <w:jc w:val="left"/>
                  </w:pPr>
                  <w:r w:rsidRPr="00932913">
                    <w:t>National Farmers Federation</w:t>
                  </w:r>
                  <w:r>
                    <w:t xml:space="preserve"> (NFF)</w:t>
                  </w:r>
                </w:p>
              </w:tc>
              <w:tc>
                <w:tcPr>
                  <w:tcW w:w="1500" w:type="pct"/>
                  <w:shd w:val="clear" w:color="auto" w:fill="auto"/>
                </w:tcPr>
                <w:p w14:paraId="764D1D78" w14:textId="77777777" w:rsidR="001054C3" w:rsidRDefault="001054C3" w:rsidP="00234FBE">
                  <w:pPr>
                    <w:pStyle w:val="TableBodyText"/>
                    <w:ind w:right="28"/>
                    <w:jc w:val="left"/>
                  </w:pPr>
                  <w:r w:rsidRPr="00932913">
                    <w:t>Warwick Ragg </w:t>
                  </w:r>
                </w:p>
              </w:tc>
            </w:tr>
            <w:tr w:rsidR="001054C3" w14:paraId="1CD3A767" w14:textId="77777777" w:rsidTr="00234FBE">
              <w:tc>
                <w:tcPr>
                  <w:tcW w:w="3500" w:type="pct"/>
                  <w:shd w:val="clear" w:color="auto" w:fill="auto"/>
                </w:tcPr>
                <w:p w14:paraId="0113C9C3" w14:textId="77777777" w:rsidR="001054C3" w:rsidRDefault="001054C3" w:rsidP="00234FBE">
                  <w:pPr>
                    <w:pStyle w:val="TableBodyText"/>
                    <w:jc w:val="left"/>
                  </w:pPr>
                  <w:r w:rsidRPr="00932913">
                    <w:t>National Health &amp; Medical Research Council</w:t>
                  </w:r>
                  <w:r>
                    <w:t xml:space="preserve"> (NHMRC)</w:t>
                  </w:r>
                </w:p>
              </w:tc>
              <w:tc>
                <w:tcPr>
                  <w:tcW w:w="1500" w:type="pct"/>
                  <w:shd w:val="clear" w:color="auto" w:fill="auto"/>
                </w:tcPr>
                <w:p w14:paraId="6F2FEE3E" w14:textId="77777777" w:rsidR="001054C3" w:rsidRDefault="001054C3" w:rsidP="00234FBE">
                  <w:pPr>
                    <w:pStyle w:val="TableBodyText"/>
                    <w:ind w:right="28"/>
                    <w:jc w:val="left"/>
                  </w:pPr>
                  <w:r w:rsidRPr="00932913">
                    <w:t>Jennifer Savanake </w:t>
                  </w:r>
                </w:p>
              </w:tc>
            </w:tr>
            <w:tr w:rsidR="001054C3" w14:paraId="500F87E6" w14:textId="77777777" w:rsidTr="00234FBE">
              <w:tc>
                <w:tcPr>
                  <w:tcW w:w="3500" w:type="pct"/>
                  <w:shd w:val="clear" w:color="auto" w:fill="auto"/>
                </w:tcPr>
                <w:p w14:paraId="7EC9E891" w14:textId="77777777" w:rsidR="001054C3" w:rsidRDefault="001054C3" w:rsidP="00234FBE">
                  <w:pPr>
                    <w:pStyle w:val="TableBodyText"/>
                    <w:jc w:val="left"/>
                  </w:pPr>
                  <w:r w:rsidRPr="00932913">
                    <w:t>National Irrigators Council</w:t>
                  </w:r>
                  <w:r>
                    <w:t xml:space="preserve"> (NIC)</w:t>
                  </w:r>
                </w:p>
              </w:tc>
              <w:tc>
                <w:tcPr>
                  <w:tcW w:w="1500" w:type="pct"/>
                  <w:shd w:val="clear" w:color="auto" w:fill="auto"/>
                </w:tcPr>
                <w:p w14:paraId="22EBEDD3" w14:textId="77777777" w:rsidR="001054C3" w:rsidRDefault="001054C3" w:rsidP="00234FBE">
                  <w:pPr>
                    <w:pStyle w:val="TableBodyText"/>
                    <w:ind w:right="28"/>
                    <w:jc w:val="left"/>
                  </w:pPr>
                  <w:r w:rsidRPr="00932913">
                    <w:t>Steve Whan </w:t>
                  </w:r>
                </w:p>
              </w:tc>
            </w:tr>
            <w:tr w:rsidR="001054C3" w14:paraId="3CD7692F" w14:textId="77777777" w:rsidTr="00234FBE">
              <w:tc>
                <w:tcPr>
                  <w:tcW w:w="3500" w:type="pct"/>
                  <w:shd w:val="clear" w:color="auto" w:fill="auto"/>
                </w:tcPr>
                <w:p w14:paraId="7EDD70FF" w14:textId="77777777" w:rsidR="001054C3" w:rsidRDefault="001054C3" w:rsidP="00234FBE">
                  <w:pPr>
                    <w:pStyle w:val="TableBodyText"/>
                    <w:jc w:val="left"/>
                  </w:pPr>
                  <w:r w:rsidRPr="00932913">
                    <w:t>Water Services Association of Australia</w:t>
                  </w:r>
                  <w:r>
                    <w:t xml:space="preserve"> (WSAA)</w:t>
                  </w:r>
                </w:p>
              </w:tc>
              <w:tc>
                <w:tcPr>
                  <w:tcW w:w="1500" w:type="pct"/>
                  <w:shd w:val="clear" w:color="auto" w:fill="auto"/>
                </w:tcPr>
                <w:p w14:paraId="1044DCCD" w14:textId="77777777" w:rsidR="001054C3" w:rsidRDefault="001054C3" w:rsidP="00234FBE">
                  <w:pPr>
                    <w:pStyle w:val="TableBodyText"/>
                    <w:ind w:right="28"/>
                    <w:jc w:val="left"/>
                  </w:pPr>
                  <w:r w:rsidRPr="00932913">
                    <w:t>Adam Lovell </w:t>
                  </w:r>
                </w:p>
              </w:tc>
            </w:tr>
            <w:tr w:rsidR="001054C3" w14:paraId="1AF0D9FC" w14:textId="77777777" w:rsidTr="00234FBE">
              <w:tc>
                <w:tcPr>
                  <w:tcW w:w="3500" w:type="pct"/>
                  <w:shd w:val="clear" w:color="auto" w:fill="auto"/>
                </w:tcPr>
                <w:p w14:paraId="2EEAF935" w14:textId="77777777" w:rsidR="001054C3" w:rsidRDefault="001054C3" w:rsidP="00234FBE">
                  <w:pPr>
                    <w:pStyle w:val="TableBodyText"/>
                    <w:jc w:val="left"/>
                  </w:pPr>
                  <w:r w:rsidRPr="00A21B82">
                    <w:t>Water Services Association of Australia</w:t>
                  </w:r>
                  <w:r>
                    <w:t xml:space="preserve"> (WSAA)</w:t>
                  </w:r>
                </w:p>
              </w:tc>
              <w:tc>
                <w:tcPr>
                  <w:tcW w:w="1500" w:type="pct"/>
                  <w:shd w:val="clear" w:color="auto" w:fill="auto"/>
                </w:tcPr>
                <w:p w14:paraId="07672486" w14:textId="77777777" w:rsidR="001054C3" w:rsidRDefault="001054C3" w:rsidP="00234FBE">
                  <w:pPr>
                    <w:pStyle w:val="TableBodyText"/>
                    <w:ind w:right="28"/>
                    <w:jc w:val="left"/>
                  </w:pPr>
                  <w:r w:rsidRPr="00932913">
                    <w:t>Stuart Wilson </w:t>
                  </w:r>
                </w:p>
              </w:tc>
            </w:tr>
          </w:tbl>
          <w:p w14:paraId="24E75FF5" w14:textId="77777777" w:rsidR="001054C3" w:rsidRDefault="001054C3" w:rsidP="00234FBE">
            <w:pPr>
              <w:pStyle w:val="Box"/>
            </w:pPr>
          </w:p>
        </w:tc>
      </w:tr>
      <w:tr w:rsidR="001054C3" w14:paraId="2053BDA8" w14:textId="77777777" w:rsidTr="00234FBE">
        <w:tc>
          <w:tcPr>
            <w:tcW w:w="5000" w:type="pct"/>
            <w:tcBorders>
              <w:top w:val="nil"/>
              <w:left w:val="nil"/>
              <w:bottom w:val="nil"/>
              <w:right w:val="nil"/>
            </w:tcBorders>
            <w:shd w:val="clear" w:color="auto" w:fill="auto"/>
          </w:tcPr>
          <w:p w14:paraId="7E33B27F" w14:textId="77777777" w:rsidR="001054C3" w:rsidRDefault="001054C3" w:rsidP="00234FBE">
            <w:pPr>
              <w:pStyle w:val="Note"/>
              <w:jc w:val="right"/>
              <w:rPr>
                <w:i/>
              </w:rPr>
            </w:pPr>
            <w:r>
              <w:rPr>
                <w:i/>
              </w:rPr>
              <w:t>(continued next page)</w:t>
            </w:r>
          </w:p>
        </w:tc>
      </w:tr>
      <w:tr w:rsidR="001054C3" w14:paraId="4FAD036A" w14:textId="77777777" w:rsidTr="00234FBE">
        <w:tc>
          <w:tcPr>
            <w:tcW w:w="5000" w:type="pct"/>
            <w:tcBorders>
              <w:top w:val="nil"/>
              <w:left w:val="nil"/>
              <w:bottom w:val="single" w:sz="6" w:space="0" w:color="78A22F"/>
              <w:right w:val="nil"/>
            </w:tcBorders>
            <w:shd w:val="clear" w:color="auto" w:fill="auto"/>
          </w:tcPr>
          <w:p w14:paraId="479F91E6" w14:textId="77777777" w:rsidR="001054C3" w:rsidRDefault="001054C3" w:rsidP="00234FBE">
            <w:pPr>
              <w:pStyle w:val="Box"/>
              <w:spacing w:before="0" w:line="120" w:lineRule="exact"/>
            </w:pPr>
          </w:p>
        </w:tc>
      </w:tr>
      <w:tr w:rsidR="001054C3" w:rsidRPr="000863A5" w14:paraId="3F4191D9" w14:textId="77777777" w:rsidTr="00234FBE">
        <w:tc>
          <w:tcPr>
            <w:tcW w:w="5000" w:type="pct"/>
            <w:tcBorders>
              <w:top w:val="single" w:sz="6" w:space="0" w:color="78A22F"/>
              <w:left w:val="nil"/>
              <w:bottom w:val="nil"/>
              <w:right w:val="nil"/>
            </w:tcBorders>
          </w:tcPr>
          <w:p w14:paraId="3B68D1B3" w14:textId="77777777" w:rsidR="001054C3" w:rsidRPr="00626D32" w:rsidRDefault="001054C3" w:rsidP="00234FBE">
            <w:pPr>
              <w:pStyle w:val="BoxSpaceBelow"/>
            </w:pPr>
          </w:p>
        </w:tc>
      </w:tr>
    </w:tbl>
    <w:p w14:paraId="7A22FFE0" w14:textId="77777777" w:rsidR="001054C3" w:rsidRDefault="001054C3" w:rsidP="00120072">
      <w:pPr>
        <w:pStyle w:val="BodyText"/>
      </w:pPr>
    </w:p>
    <w:p w14:paraId="2BBF273E"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4A3F5869" w14:textId="77777777" w:rsidTr="00234FBE">
        <w:trPr>
          <w:tblHeader/>
        </w:trPr>
        <w:tc>
          <w:tcPr>
            <w:tcW w:w="5000" w:type="pct"/>
            <w:tcBorders>
              <w:top w:val="single" w:sz="6" w:space="0" w:color="78A22F" w:themeColor="accent1"/>
              <w:left w:val="nil"/>
              <w:bottom w:val="nil"/>
              <w:right w:val="nil"/>
            </w:tcBorders>
            <w:shd w:val="clear" w:color="auto" w:fill="auto"/>
          </w:tcPr>
          <w:p w14:paraId="5F513A88" w14:textId="76F4B2C4" w:rsidR="001054C3" w:rsidRPr="00875139" w:rsidRDefault="001054C3" w:rsidP="00234FBE">
            <w:pPr>
              <w:pStyle w:val="TableTitle"/>
            </w:pPr>
            <w:r>
              <w:rPr>
                <w:b w:val="0"/>
              </w:rPr>
              <w:t>Table C.5</w:t>
            </w:r>
            <w:r>
              <w:tab/>
            </w:r>
            <w:r w:rsidRPr="0004738E">
              <w:rPr>
                <w:b w:val="0"/>
                <w:sz w:val="18"/>
                <w:szCs w:val="18"/>
              </w:rPr>
              <w:t>(continued)</w:t>
            </w:r>
          </w:p>
        </w:tc>
      </w:tr>
      <w:tr w:rsidR="001054C3" w14:paraId="4A9801A8" w14:textId="77777777" w:rsidTr="00234FBE">
        <w:tc>
          <w:tcPr>
            <w:tcW w:w="5000" w:type="pct"/>
            <w:tcBorders>
              <w:top w:val="nil"/>
              <w:left w:val="nil"/>
              <w:bottom w:val="nil"/>
              <w:right w:val="nil"/>
            </w:tcBorders>
            <w:shd w:val="clear" w:color="auto" w:fill="auto"/>
          </w:tcPr>
          <w:tbl>
            <w:tblPr>
              <w:tblW w:w="4999" w:type="pct"/>
              <w:tblCellMar>
                <w:top w:w="28" w:type="dxa"/>
                <w:left w:w="0" w:type="dxa"/>
                <w:right w:w="0" w:type="dxa"/>
              </w:tblCellMar>
              <w:tblLook w:val="0000" w:firstRow="0" w:lastRow="0" w:firstColumn="0" w:lastColumn="0" w:noHBand="0" w:noVBand="0"/>
            </w:tblPr>
            <w:tblGrid>
              <w:gridCol w:w="6093"/>
              <w:gridCol w:w="2410"/>
            </w:tblGrid>
            <w:tr w:rsidR="001054C3" w14:paraId="481AA431" w14:textId="77777777" w:rsidTr="00234FBE">
              <w:trPr>
                <w:tblHeader/>
              </w:trPr>
              <w:tc>
                <w:tcPr>
                  <w:tcW w:w="3583"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7B2F8849" w14:textId="77777777" w:rsidR="001054C3" w:rsidRDefault="001054C3" w:rsidP="00234FBE">
                  <w:pPr>
                    <w:pStyle w:val="TableColumnHeading"/>
                    <w:jc w:val="left"/>
                  </w:pPr>
                  <w:r>
                    <w:t>Participants</w:t>
                  </w:r>
                </w:p>
              </w:tc>
              <w:tc>
                <w:tcPr>
                  <w:tcW w:w="1417"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698C580C" w14:textId="77777777" w:rsidR="001054C3" w:rsidRDefault="001054C3" w:rsidP="00234FBE">
                  <w:pPr>
                    <w:pStyle w:val="TableColumnHeading"/>
                    <w:ind w:right="28"/>
                    <w:jc w:val="left"/>
                  </w:pPr>
                </w:p>
              </w:tc>
            </w:tr>
            <w:tr w:rsidR="001054C3" w14:paraId="5A2C3AD1" w14:textId="77777777" w:rsidTr="00234FBE">
              <w:tc>
                <w:tcPr>
                  <w:tcW w:w="3583" w:type="pct"/>
                  <w:tcBorders>
                    <w:top w:val="single" w:sz="6" w:space="0" w:color="BFBFBF" w:themeColor="background1" w:themeShade="BF"/>
                  </w:tcBorders>
                </w:tcPr>
                <w:p w14:paraId="4119D1DA" w14:textId="77777777" w:rsidR="001054C3" w:rsidRPr="00EC0D12" w:rsidRDefault="001054C3" w:rsidP="00234FBE">
                  <w:pPr>
                    <w:pStyle w:val="TableUnitsRow"/>
                    <w:jc w:val="left"/>
                    <w:rPr>
                      <w:b/>
                      <w:bCs/>
                    </w:rPr>
                  </w:pPr>
                  <w:r>
                    <w:rPr>
                      <w:b/>
                      <w:bCs/>
                    </w:rPr>
                    <w:t>11 February</w:t>
                  </w:r>
                  <w:r w:rsidRPr="00EC0D12">
                    <w:rPr>
                      <w:b/>
                      <w:bCs/>
                    </w:rPr>
                    <w:t xml:space="preserve"> 2021 – </w:t>
                  </w:r>
                  <w:r>
                    <w:rPr>
                      <w:b/>
                      <w:bCs/>
                    </w:rPr>
                    <w:t>Briefing on draft report</w:t>
                  </w:r>
                  <w:r w:rsidRPr="00EC0D12">
                    <w:rPr>
                      <w:b/>
                      <w:bCs/>
                    </w:rPr>
                    <w:t xml:space="preserve"> </w:t>
                  </w:r>
                </w:p>
              </w:tc>
              <w:tc>
                <w:tcPr>
                  <w:tcW w:w="1417" w:type="pct"/>
                  <w:tcBorders>
                    <w:top w:val="single" w:sz="6" w:space="0" w:color="BFBFBF" w:themeColor="background1" w:themeShade="BF"/>
                  </w:tcBorders>
                </w:tcPr>
                <w:p w14:paraId="1694812C" w14:textId="77777777" w:rsidR="001054C3" w:rsidRDefault="001054C3" w:rsidP="00234FBE">
                  <w:pPr>
                    <w:pStyle w:val="TableUnitsRow"/>
                    <w:ind w:right="28"/>
                    <w:jc w:val="left"/>
                  </w:pPr>
                </w:p>
              </w:tc>
            </w:tr>
            <w:tr w:rsidR="001054C3" w14:paraId="21F0F7BC" w14:textId="77777777" w:rsidTr="00234FBE">
              <w:tc>
                <w:tcPr>
                  <w:tcW w:w="3583" w:type="pct"/>
                </w:tcPr>
                <w:p w14:paraId="6DD948DA" w14:textId="77777777" w:rsidR="001054C3" w:rsidRPr="00921730" w:rsidRDefault="001054C3" w:rsidP="00234FBE">
                  <w:pPr>
                    <w:pStyle w:val="TableBodyText"/>
                    <w:jc w:val="left"/>
                  </w:pPr>
                  <w:r w:rsidRPr="00921730">
                    <w:t>Australian Academy of Technology and Engineering (ATSE)</w:t>
                  </w:r>
                </w:p>
              </w:tc>
              <w:tc>
                <w:tcPr>
                  <w:tcW w:w="1417" w:type="pct"/>
                </w:tcPr>
                <w:p w14:paraId="43CCC6BC" w14:textId="77777777" w:rsidR="001054C3" w:rsidRPr="00921730" w:rsidRDefault="001054C3" w:rsidP="00234FBE">
                  <w:pPr>
                    <w:pStyle w:val="TableBodyText"/>
                    <w:ind w:right="28"/>
                    <w:jc w:val="left"/>
                  </w:pPr>
                  <w:r>
                    <w:t>Dr Rob Vertessy</w:t>
                  </w:r>
                </w:p>
              </w:tc>
            </w:tr>
            <w:tr w:rsidR="001054C3" w14:paraId="39C56204" w14:textId="77777777" w:rsidTr="00234FBE">
              <w:tc>
                <w:tcPr>
                  <w:tcW w:w="3583" w:type="pct"/>
                </w:tcPr>
                <w:p w14:paraId="345CAE2E" w14:textId="77777777" w:rsidR="001054C3" w:rsidRPr="006615FB" w:rsidRDefault="001054C3" w:rsidP="00234FBE">
                  <w:pPr>
                    <w:pStyle w:val="TableBodyText"/>
                    <w:jc w:val="left"/>
                  </w:pPr>
                  <w:r w:rsidRPr="006615FB">
                    <w:t>Australian Conservation Foundation (ACF)</w:t>
                  </w:r>
                </w:p>
              </w:tc>
              <w:tc>
                <w:tcPr>
                  <w:tcW w:w="1417" w:type="pct"/>
                </w:tcPr>
                <w:p w14:paraId="6292EE1B" w14:textId="77777777" w:rsidR="001054C3" w:rsidRDefault="001054C3" w:rsidP="00234FBE">
                  <w:pPr>
                    <w:pStyle w:val="TableBodyText"/>
                    <w:ind w:right="28"/>
                    <w:jc w:val="left"/>
                  </w:pPr>
                  <w:r w:rsidRPr="00FE59AC">
                    <w:t>Paul Sinclair </w:t>
                  </w:r>
                </w:p>
              </w:tc>
            </w:tr>
            <w:tr w:rsidR="001054C3" w14:paraId="10CA5715" w14:textId="77777777" w:rsidTr="00234FBE">
              <w:tc>
                <w:tcPr>
                  <w:tcW w:w="3583" w:type="pct"/>
                </w:tcPr>
                <w:p w14:paraId="644E15FB" w14:textId="77777777" w:rsidR="001054C3" w:rsidRPr="006615FB" w:rsidRDefault="001054C3" w:rsidP="00234FBE">
                  <w:pPr>
                    <w:pStyle w:val="TableBodyText"/>
                    <w:jc w:val="left"/>
                  </w:pPr>
                  <w:r w:rsidRPr="006615FB">
                    <w:t>Australian Water Association (AWA)</w:t>
                  </w:r>
                </w:p>
              </w:tc>
              <w:tc>
                <w:tcPr>
                  <w:tcW w:w="1417" w:type="pct"/>
                </w:tcPr>
                <w:p w14:paraId="22AE38EB" w14:textId="77777777" w:rsidR="001054C3" w:rsidRPr="00FE59AC" w:rsidRDefault="001054C3" w:rsidP="00234FBE">
                  <w:pPr>
                    <w:pStyle w:val="TableBodyText"/>
                    <w:ind w:right="28"/>
                    <w:jc w:val="left"/>
                  </w:pPr>
                  <w:r w:rsidRPr="00FE59AC">
                    <w:t>Corrine Cheeseman </w:t>
                  </w:r>
                </w:p>
              </w:tc>
            </w:tr>
            <w:tr w:rsidR="001054C3" w14:paraId="6DB1A895" w14:textId="77777777" w:rsidTr="00234FBE">
              <w:tc>
                <w:tcPr>
                  <w:tcW w:w="3583" w:type="pct"/>
                </w:tcPr>
                <w:p w14:paraId="3D7B6D96" w14:textId="77777777" w:rsidR="001054C3" w:rsidRPr="006615FB" w:rsidRDefault="001054C3" w:rsidP="00234FBE">
                  <w:pPr>
                    <w:pStyle w:val="TableBodyText"/>
                    <w:jc w:val="left"/>
                  </w:pPr>
                  <w:r w:rsidRPr="006615FB">
                    <w:t>Coalition of Peaks</w:t>
                  </w:r>
                  <w:r>
                    <w:t xml:space="preserve"> /</w:t>
                  </w:r>
                  <w:r w:rsidRPr="006615FB">
                    <w:t xml:space="preserve"> </w:t>
                  </w:r>
                  <w:r>
                    <w:t xml:space="preserve">NSW Aboriginal Land Council </w:t>
                  </w:r>
                  <w:r w:rsidRPr="006615FB">
                    <w:t>(NSWALC)</w:t>
                  </w:r>
                </w:p>
              </w:tc>
              <w:tc>
                <w:tcPr>
                  <w:tcW w:w="1417" w:type="pct"/>
                </w:tcPr>
                <w:p w14:paraId="4327ECBB" w14:textId="77777777" w:rsidR="001054C3" w:rsidRDefault="001054C3" w:rsidP="00234FBE">
                  <w:pPr>
                    <w:pStyle w:val="TableBodyText"/>
                    <w:ind w:right="28"/>
                    <w:jc w:val="left"/>
                  </w:pPr>
                  <w:r w:rsidRPr="00932913">
                    <w:t>Peter Lalor </w:t>
                  </w:r>
                </w:p>
              </w:tc>
            </w:tr>
            <w:tr w:rsidR="001054C3" w14:paraId="1C866903" w14:textId="77777777" w:rsidTr="00234FBE">
              <w:tc>
                <w:tcPr>
                  <w:tcW w:w="3583" w:type="pct"/>
                  <w:shd w:val="clear" w:color="auto" w:fill="auto"/>
                </w:tcPr>
                <w:p w14:paraId="539D567C" w14:textId="77777777" w:rsidR="001054C3" w:rsidRPr="00921730" w:rsidRDefault="001054C3" w:rsidP="00234FBE">
                  <w:pPr>
                    <w:pStyle w:val="TableBodyText"/>
                    <w:jc w:val="left"/>
                  </w:pPr>
                  <w:r w:rsidRPr="00921730">
                    <w:t>Environmental Defenders Office (EDO)</w:t>
                  </w:r>
                </w:p>
              </w:tc>
              <w:tc>
                <w:tcPr>
                  <w:tcW w:w="1417" w:type="pct"/>
                  <w:shd w:val="clear" w:color="auto" w:fill="auto"/>
                </w:tcPr>
                <w:p w14:paraId="560BC4B6" w14:textId="77777777" w:rsidR="001054C3" w:rsidRPr="00921730" w:rsidRDefault="001054C3" w:rsidP="00234FBE">
                  <w:pPr>
                    <w:pStyle w:val="TableBodyText"/>
                    <w:ind w:right="28"/>
                    <w:jc w:val="left"/>
                  </w:pPr>
                  <w:r w:rsidRPr="00921730">
                    <w:t>Dr Emma Carmody</w:t>
                  </w:r>
                </w:p>
              </w:tc>
            </w:tr>
            <w:tr w:rsidR="001054C3" w14:paraId="24175084" w14:textId="77777777" w:rsidTr="00234FBE">
              <w:tc>
                <w:tcPr>
                  <w:tcW w:w="3583" w:type="pct"/>
                  <w:shd w:val="clear" w:color="auto" w:fill="auto"/>
                </w:tcPr>
                <w:p w14:paraId="6B776B55" w14:textId="77777777" w:rsidR="001054C3" w:rsidRPr="007E24A9" w:rsidRDefault="001054C3" w:rsidP="00234FBE">
                  <w:pPr>
                    <w:pStyle w:val="TableBodyText"/>
                    <w:jc w:val="left"/>
                  </w:pPr>
                  <w:r w:rsidRPr="008B7C89">
                    <w:t xml:space="preserve">Australian </w:t>
                  </w:r>
                  <w:r w:rsidRPr="007E24A9">
                    <w:t>Local Government Association (ALGA/</w:t>
                  </w:r>
                  <w:r w:rsidRPr="006615FB">
                    <w:t>NSW</w:t>
                  </w:r>
                  <w:r w:rsidRPr="007E24A9">
                    <w:t>)</w:t>
                  </w:r>
                </w:p>
              </w:tc>
              <w:tc>
                <w:tcPr>
                  <w:tcW w:w="1417" w:type="pct"/>
                  <w:shd w:val="clear" w:color="auto" w:fill="auto"/>
                </w:tcPr>
                <w:p w14:paraId="5F5D9483" w14:textId="77777777" w:rsidR="001054C3" w:rsidRPr="007E24A9" w:rsidRDefault="001054C3" w:rsidP="00234FBE">
                  <w:pPr>
                    <w:pStyle w:val="TableBodyText"/>
                    <w:ind w:right="28"/>
                    <w:jc w:val="left"/>
                  </w:pPr>
                  <w:r>
                    <w:t>Shaun McBride</w:t>
                  </w:r>
                </w:p>
              </w:tc>
            </w:tr>
            <w:tr w:rsidR="001054C3" w14:paraId="13D0D6FB" w14:textId="77777777" w:rsidTr="00234FBE">
              <w:tc>
                <w:tcPr>
                  <w:tcW w:w="3583" w:type="pct"/>
                  <w:shd w:val="clear" w:color="auto" w:fill="auto"/>
                </w:tcPr>
                <w:p w14:paraId="2D789326" w14:textId="77777777" w:rsidR="001054C3" w:rsidRPr="007E24A9" w:rsidRDefault="001054C3" w:rsidP="00234FBE">
                  <w:pPr>
                    <w:pStyle w:val="TableBodyText"/>
                    <w:jc w:val="left"/>
                  </w:pPr>
                  <w:r w:rsidRPr="008B7C89">
                    <w:t xml:space="preserve">Australian </w:t>
                  </w:r>
                  <w:r w:rsidRPr="007E24A9">
                    <w:t>Local Government Association (ALGA/NSW)</w:t>
                  </w:r>
                </w:p>
              </w:tc>
              <w:tc>
                <w:tcPr>
                  <w:tcW w:w="1417" w:type="pct"/>
                  <w:shd w:val="clear" w:color="auto" w:fill="auto"/>
                </w:tcPr>
                <w:p w14:paraId="05B1DF51" w14:textId="77777777" w:rsidR="001054C3" w:rsidRPr="007E24A9" w:rsidRDefault="001054C3" w:rsidP="00234FBE">
                  <w:pPr>
                    <w:pStyle w:val="TableBodyText"/>
                    <w:ind w:right="28"/>
                    <w:jc w:val="left"/>
                  </w:pPr>
                  <w:r w:rsidRPr="007E24A9">
                    <w:t>Sanjiv Sathiah</w:t>
                  </w:r>
                </w:p>
              </w:tc>
            </w:tr>
            <w:tr w:rsidR="001054C3" w14:paraId="5042BD34" w14:textId="77777777" w:rsidTr="00234FBE">
              <w:tc>
                <w:tcPr>
                  <w:tcW w:w="3583" w:type="pct"/>
                  <w:shd w:val="clear" w:color="auto" w:fill="auto"/>
                </w:tcPr>
                <w:p w14:paraId="4DD429A2" w14:textId="77777777" w:rsidR="001054C3" w:rsidRDefault="001054C3" w:rsidP="00234FBE">
                  <w:pPr>
                    <w:pStyle w:val="TableBodyText"/>
                    <w:jc w:val="left"/>
                  </w:pPr>
                  <w:r>
                    <w:t>Minerals Council of Australia (MCA)</w:t>
                  </w:r>
                </w:p>
              </w:tc>
              <w:tc>
                <w:tcPr>
                  <w:tcW w:w="1417" w:type="pct"/>
                  <w:shd w:val="clear" w:color="auto" w:fill="auto"/>
                </w:tcPr>
                <w:p w14:paraId="5F4E0C82" w14:textId="77777777" w:rsidR="001054C3" w:rsidRPr="007E24A9" w:rsidRDefault="001054C3" w:rsidP="00234FBE">
                  <w:pPr>
                    <w:pStyle w:val="TableBodyText"/>
                    <w:ind w:right="28"/>
                    <w:jc w:val="left"/>
                  </w:pPr>
                  <w:r>
                    <w:t>Chris McCombe</w:t>
                  </w:r>
                </w:p>
              </w:tc>
            </w:tr>
            <w:tr w:rsidR="001054C3" w14:paraId="551DB9C8" w14:textId="77777777" w:rsidTr="00234FBE">
              <w:tc>
                <w:tcPr>
                  <w:tcW w:w="3583" w:type="pct"/>
                  <w:shd w:val="clear" w:color="auto" w:fill="auto"/>
                </w:tcPr>
                <w:p w14:paraId="2B6155E6" w14:textId="77777777" w:rsidR="001054C3" w:rsidRDefault="001054C3" w:rsidP="00234FBE">
                  <w:pPr>
                    <w:pStyle w:val="TableBodyText"/>
                    <w:jc w:val="left"/>
                  </w:pPr>
                  <w:r>
                    <w:t>National Farmers Federation (NFF)</w:t>
                  </w:r>
                </w:p>
              </w:tc>
              <w:tc>
                <w:tcPr>
                  <w:tcW w:w="1417" w:type="pct"/>
                  <w:shd w:val="clear" w:color="auto" w:fill="auto"/>
                </w:tcPr>
                <w:p w14:paraId="50292282" w14:textId="77777777" w:rsidR="001054C3" w:rsidRPr="007E24A9" w:rsidRDefault="001054C3" w:rsidP="00234FBE">
                  <w:pPr>
                    <w:pStyle w:val="TableBodyText"/>
                    <w:ind w:right="28"/>
                    <w:jc w:val="left"/>
                  </w:pPr>
                  <w:r w:rsidRPr="007E24A9">
                    <w:t>Warwick Ragg</w:t>
                  </w:r>
                </w:p>
              </w:tc>
            </w:tr>
            <w:tr w:rsidR="001054C3" w14:paraId="1F2ABBEE" w14:textId="77777777" w:rsidTr="00234FBE">
              <w:tc>
                <w:tcPr>
                  <w:tcW w:w="3583" w:type="pct"/>
                  <w:shd w:val="clear" w:color="auto" w:fill="auto"/>
                </w:tcPr>
                <w:p w14:paraId="706CFE5A" w14:textId="77777777" w:rsidR="001054C3" w:rsidRDefault="001054C3" w:rsidP="00234FBE">
                  <w:pPr>
                    <w:pStyle w:val="TableBodyText"/>
                    <w:jc w:val="left"/>
                  </w:pPr>
                  <w:r>
                    <w:t>National Health and Medical Research Council (NHMRC)</w:t>
                  </w:r>
                </w:p>
              </w:tc>
              <w:tc>
                <w:tcPr>
                  <w:tcW w:w="1417" w:type="pct"/>
                  <w:shd w:val="clear" w:color="auto" w:fill="auto"/>
                </w:tcPr>
                <w:p w14:paraId="2066B497" w14:textId="77777777" w:rsidR="001054C3" w:rsidRPr="00CA7E8D" w:rsidRDefault="001054C3" w:rsidP="00234FBE">
                  <w:pPr>
                    <w:pStyle w:val="TableBodyText"/>
                    <w:ind w:right="28"/>
                    <w:jc w:val="left"/>
                  </w:pPr>
                  <w:r w:rsidRPr="007E24A9">
                    <w:t xml:space="preserve">Jennifer </w:t>
                  </w:r>
                  <w:r w:rsidRPr="00CA7E8D">
                    <w:t>Savenake</w:t>
                  </w:r>
                </w:p>
              </w:tc>
            </w:tr>
            <w:tr w:rsidR="001054C3" w14:paraId="5A6346FE" w14:textId="77777777" w:rsidTr="00234FBE">
              <w:tc>
                <w:tcPr>
                  <w:tcW w:w="3583" w:type="pct"/>
                  <w:shd w:val="clear" w:color="auto" w:fill="auto"/>
                </w:tcPr>
                <w:p w14:paraId="45786058" w14:textId="77777777" w:rsidR="001054C3" w:rsidRDefault="001054C3" w:rsidP="00234FBE">
                  <w:pPr>
                    <w:pStyle w:val="TableBodyText"/>
                    <w:jc w:val="left"/>
                  </w:pPr>
                  <w:r>
                    <w:t>National Irrigators Council (NIC)</w:t>
                  </w:r>
                </w:p>
              </w:tc>
              <w:tc>
                <w:tcPr>
                  <w:tcW w:w="1417" w:type="pct"/>
                  <w:shd w:val="clear" w:color="auto" w:fill="auto"/>
                </w:tcPr>
                <w:p w14:paraId="3614E35D" w14:textId="77777777" w:rsidR="001054C3" w:rsidRPr="007E24A9" w:rsidRDefault="001054C3" w:rsidP="00234FBE">
                  <w:pPr>
                    <w:pStyle w:val="TableBodyText"/>
                    <w:ind w:right="28"/>
                    <w:jc w:val="left"/>
                  </w:pPr>
                  <w:r w:rsidRPr="007E24A9">
                    <w:t>Isaac Jeffrey</w:t>
                  </w:r>
                </w:p>
              </w:tc>
            </w:tr>
            <w:tr w:rsidR="001054C3" w14:paraId="00D11FF7" w14:textId="77777777" w:rsidTr="00234FBE">
              <w:tc>
                <w:tcPr>
                  <w:tcW w:w="3583" w:type="pct"/>
                  <w:shd w:val="clear" w:color="auto" w:fill="auto"/>
                </w:tcPr>
                <w:p w14:paraId="2DA760CE" w14:textId="77777777" w:rsidR="001054C3" w:rsidRDefault="001054C3" w:rsidP="00234FBE">
                  <w:pPr>
                    <w:pStyle w:val="TableBodyText"/>
                    <w:jc w:val="left"/>
                  </w:pPr>
                  <w:r>
                    <w:t>National Irrigators Council (NIC)</w:t>
                  </w:r>
                </w:p>
              </w:tc>
              <w:tc>
                <w:tcPr>
                  <w:tcW w:w="1417" w:type="pct"/>
                  <w:shd w:val="clear" w:color="auto" w:fill="auto"/>
                </w:tcPr>
                <w:p w14:paraId="09399335" w14:textId="77777777" w:rsidR="001054C3" w:rsidRPr="007E24A9" w:rsidRDefault="001054C3" w:rsidP="00234FBE">
                  <w:pPr>
                    <w:pStyle w:val="TableBodyText"/>
                    <w:ind w:right="28"/>
                    <w:jc w:val="left"/>
                  </w:pPr>
                  <w:r w:rsidRPr="007E24A9">
                    <w:t>Joy Thomas</w:t>
                  </w:r>
                </w:p>
              </w:tc>
            </w:tr>
            <w:tr w:rsidR="001054C3" w14:paraId="150A309E" w14:textId="77777777" w:rsidTr="00234FBE">
              <w:tc>
                <w:tcPr>
                  <w:tcW w:w="3583" w:type="pct"/>
                  <w:shd w:val="clear" w:color="auto" w:fill="auto"/>
                </w:tcPr>
                <w:p w14:paraId="71C3F3AF" w14:textId="77777777" w:rsidR="001054C3" w:rsidRDefault="001054C3" w:rsidP="00234FBE">
                  <w:pPr>
                    <w:pStyle w:val="TableBodyText"/>
                    <w:jc w:val="left"/>
                  </w:pPr>
                </w:p>
              </w:tc>
              <w:tc>
                <w:tcPr>
                  <w:tcW w:w="1417" w:type="pct"/>
                  <w:shd w:val="clear" w:color="auto" w:fill="auto"/>
                </w:tcPr>
                <w:p w14:paraId="0568802F" w14:textId="77777777" w:rsidR="001054C3" w:rsidRPr="007E24A9" w:rsidRDefault="001054C3" w:rsidP="00234FBE">
                  <w:pPr>
                    <w:pStyle w:val="TableBodyText"/>
                    <w:ind w:right="28"/>
                    <w:jc w:val="left"/>
                  </w:pPr>
                </w:p>
              </w:tc>
            </w:tr>
            <w:tr w:rsidR="001054C3" w14:paraId="050356A5" w14:textId="77777777" w:rsidTr="00234FBE">
              <w:tc>
                <w:tcPr>
                  <w:tcW w:w="3583" w:type="pct"/>
                  <w:shd w:val="clear" w:color="auto" w:fill="auto"/>
                </w:tcPr>
                <w:p w14:paraId="42F7D0F3" w14:textId="77777777" w:rsidR="001054C3" w:rsidRDefault="001054C3" w:rsidP="00234FBE">
                  <w:pPr>
                    <w:pStyle w:val="TableBodyText"/>
                    <w:jc w:val="left"/>
                  </w:pPr>
                  <w:r w:rsidRPr="00EC0D12">
                    <w:rPr>
                      <w:b/>
                      <w:bCs/>
                    </w:rPr>
                    <w:t>4</w:t>
                  </w:r>
                  <w:r>
                    <w:rPr>
                      <w:b/>
                      <w:bCs/>
                    </w:rPr>
                    <w:t> </w:t>
                  </w:r>
                  <w:r w:rsidRPr="00EC0D12">
                    <w:rPr>
                      <w:b/>
                      <w:bCs/>
                    </w:rPr>
                    <w:t xml:space="preserve">March 2021 – Meeting 3 </w:t>
                  </w:r>
                </w:p>
              </w:tc>
              <w:tc>
                <w:tcPr>
                  <w:tcW w:w="1417" w:type="pct"/>
                  <w:shd w:val="clear" w:color="auto" w:fill="auto"/>
                </w:tcPr>
                <w:p w14:paraId="3817D2EB" w14:textId="77777777" w:rsidR="001054C3" w:rsidRPr="007E24A9" w:rsidRDefault="001054C3" w:rsidP="00234FBE">
                  <w:pPr>
                    <w:pStyle w:val="TableBodyText"/>
                    <w:ind w:right="28"/>
                    <w:jc w:val="left"/>
                  </w:pPr>
                </w:p>
              </w:tc>
            </w:tr>
            <w:tr w:rsidR="001054C3" w14:paraId="7AD31748" w14:textId="77777777" w:rsidTr="00234FBE">
              <w:tc>
                <w:tcPr>
                  <w:tcW w:w="3583" w:type="pct"/>
                  <w:shd w:val="clear" w:color="auto" w:fill="auto"/>
                </w:tcPr>
                <w:p w14:paraId="6C1FA02D" w14:textId="77777777" w:rsidR="001054C3" w:rsidRDefault="001054C3" w:rsidP="00234FBE">
                  <w:pPr>
                    <w:pStyle w:val="TableBodyText"/>
                    <w:jc w:val="left"/>
                  </w:pPr>
                  <w:r w:rsidRPr="00921730">
                    <w:t>Australian Academy of Technology and Engineering (ATSE)</w:t>
                  </w:r>
                </w:p>
              </w:tc>
              <w:tc>
                <w:tcPr>
                  <w:tcW w:w="1417" w:type="pct"/>
                  <w:shd w:val="clear" w:color="auto" w:fill="auto"/>
                </w:tcPr>
                <w:p w14:paraId="1450CCF2" w14:textId="77777777" w:rsidR="001054C3" w:rsidRPr="007E24A9" w:rsidRDefault="001054C3" w:rsidP="00234FBE">
                  <w:pPr>
                    <w:pStyle w:val="TableBodyText"/>
                    <w:ind w:right="28"/>
                    <w:jc w:val="left"/>
                  </w:pPr>
                  <w:r>
                    <w:t>Dr Harry Rolf</w:t>
                  </w:r>
                </w:p>
              </w:tc>
            </w:tr>
            <w:tr w:rsidR="001054C3" w14:paraId="7A64C6D6" w14:textId="77777777" w:rsidTr="00234FBE">
              <w:tc>
                <w:tcPr>
                  <w:tcW w:w="3583" w:type="pct"/>
                  <w:shd w:val="clear" w:color="auto" w:fill="auto"/>
                </w:tcPr>
                <w:p w14:paraId="0F312E47" w14:textId="77777777" w:rsidR="001054C3" w:rsidRDefault="001054C3" w:rsidP="00234FBE">
                  <w:pPr>
                    <w:pStyle w:val="TableBodyText"/>
                    <w:jc w:val="left"/>
                  </w:pPr>
                  <w:r w:rsidRPr="00921730">
                    <w:t>Australian Petroleum Production &amp; Exploration Association (APPEA)</w:t>
                  </w:r>
                </w:p>
              </w:tc>
              <w:tc>
                <w:tcPr>
                  <w:tcW w:w="1417" w:type="pct"/>
                  <w:shd w:val="clear" w:color="auto" w:fill="auto"/>
                </w:tcPr>
                <w:p w14:paraId="6CC91CDA" w14:textId="77777777" w:rsidR="001054C3" w:rsidRPr="007E24A9" w:rsidRDefault="001054C3" w:rsidP="00234FBE">
                  <w:pPr>
                    <w:pStyle w:val="TableBodyText"/>
                    <w:ind w:right="28"/>
                    <w:jc w:val="left"/>
                  </w:pPr>
                  <w:r w:rsidRPr="00921730">
                    <w:t xml:space="preserve">Matthew Paul </w:t>
                  </w:r>
                </w:p>
              </w:tc>
            </w:tr>
            <w:tr w:rsidR="001054C3" w14:paraId="572D976F" w14:textId="77777777" w:rsidTr="00234FBE">
              <w:tc>
                <w:tcPr>
                  <w:tcW w:w="3583" w:type="pct"/>
                  <w:shd w:val="clear" w:color="auto" w:fill="auto"/>
                </w:tcPr>
                <w:p w14:paraId="072CF276" w14:textId="77777777" w:rsidR="001054C3" w:rsidRDefault="001054C3" w:rsidP="00234FBE">
                  <w:pPr>
                    <w:pStyle w:val="TableBodyText"/>
                    <w:jc w:val="left"/>
                  </w:pPr>
                  <w:r w:rsidRPr="00921730">
                    <w:t>Environmental Defenders Office (EDO)</w:t>
                  </w:r>
                </w:p>
              </w:tc>
              <w:tc>
                <w:tcPr>
                  <w:tcW w:w="1417" w:type="pct"/>
                  <w:shd w:val="clear" w:color="auto" w:fill="auto"/>
                </w:tcPr>
                <w:p w14:paraId="625E4FF0" w14:textId="77777777" w:rsidR="001054C3" w:rsidRPr="007E24A9" w:rsidRDefault="001054C3" w:rsidP="00234FBE">
                  <w:pPr>
                    <w:pStyle w:val="TableBodyText"/>
                    <w:ind w:right="28"/>
                    <w:jc w:val="left"/>
                  </w:pPr>
                  <w:r w:rsidRPr="00921730">
                    <w:t>Dr Emma Carmody</w:t>
                  </w:r>
                </w:p>
              </w:tc>
            </w:tr>
            <w:tr w:rsidR="001054C3" w14:paraId="15306C42" w14:textId="77777777" w:rsidTr="00234FBE">
              <w:tc>
                <w:tcPr>
                  <w:tcW w:w="3583" w:type="pct"/>
                  <w:shd w:val="clear" w:color="auto" w:fill="auto"/>
                </w:tcPr>
                <w:p w14:paraId="0B1750B9" w14:textId="77777777" w:rsidR="001054C3" w:rsidRDefault="001054C3" w:rsidP="00234FBE">
                  <w:pPr>
                    <w:pStyle w:val="TableBodyText"/>
                    <w:jc w:val="left"/>
                  </w:pPr>
                  <w:r w:rsidRPr="008B7C89">
                    <w:t>Australian Local Government Association</w:t>
                  </w:r>
                  <w:r w:rsidRPr="007E24A9">
                    <w:t xml:space="preserve"> (ALGA/Qld)</w:t>
                  </w:r>
                </w:p>
              </w:tc>
              <w:tc>
                <w:tcPr>
                  <w:tcW w:w="1417" w:type="pct"/>
                  <w:shd w:val="clear" w:color="auto" w:fill="auto"/>
                </w:tcPr>
                <w:p w14:paraId="1880830E" w14:textId="77777777" w:rsidR="001054C3" w:rsidRPr="007E24A9" w:rsidRDefault="001054C3" w:rsidP="00234FBE">
                  <w:pPr>
                    <w:pStyle w:val="TableBodyText"/>
                    <w:ind w:right="28"/>
                    <w:jc w:val="left"/>
                  </w:pPr>
                  <w:r w:rsidRPr="007E24A9">
                    <w:t xml:space="preserve">Subathra Ramachandram </w:t>
                  </w:r>
                </w:p>
              </w:tc>
            </w:tr>
            <w:tr w:rsidR="001054C3" w14:paraId="5C2C0502" w14:textId="77777777" w:rsidTr="00234FBE">
              <w:tc>
                <w:tcPr>
                  <w:tcW w:w="3583" w:type="pct"/>
                  <w:shd w:val="clear" w:color="auto" w:fill="auto"/>
                </w:tcPr>
                <w:p w14:paraId="7DB5CDFB" w14:textId="77777777" w:rsidR="001054C3" w:rsidRDefault="001054C3" w:rsidP="00234FBE">
                  <w:pPr>
                    <w:pStyle w:val="TableBodyText"/>
                    <w:jc w:val="left"/>
                  </w:pPr>
                  <w:r w:rsidRPr="008B7C89">
                    <w:t>Australian Local Government Association</w:t>
                  </w:r>
                  <w:r w:rsidRPr="007E24A9">
                    <w:t xml:space="preserve"> (ALGA/NSW)</w:t>
                  </w:r>
                </w:p>
              </w:tc>
              <w:tc>
                <w:tcPr>
                  <w:tcW w:w="1417" w:type="pct"/>
                  <w:shd w:val="clear" w:color="auto" w:fill="auto"/>
                </w:tcPr>
                <w:p w14:paraId="42AC0441" w14:textId="77777777" w:rsidR="001054C3" w:rsidRPr="007E24A9" w:rsidRDefault="001054C3" w:rsidP="00234FBE">
                  <w:pPr>
                    <w:pStyle w:val="TableBodyText"/>
                    <w:ind w:right="28"/>
                    <w:jc w:val="left"/>
                  </w:pPr>
                  <w:r w:rsidRPr="007E24A9">
                    <w:t>Sanjiv Sathiah</w:t>
                  </w:r>
                </w:p>
              </w:tc>
            </w:tr>
            <w:tr w:rsidR="001054C3" w14:paraId="50F5236D" w14:textId="77777777" w:rsidTr="00234FBE">
              <w:tc>
                <w:tcPr>
                  <w:tcW w:w="3583" w:type="pct"/>
                  <w:shd w:val="clear" w:color="auto" w:fill="auto"/>
                </w:tcPr>
                <w:p w14:paraId="1FC8FDF0" w14:textId="77777777" w:rsidR="001054C3" w:rsidRDefault="001054C3" w:rsidP="00234FBE">
                  <w:pPr>
                    <w:pStyle w:val="TableBodyText"/>
                    <w:jc w:val="left"/>
                  </w:pPr>
                  <w:r>
                    <w:t>Minerals Council of Australia (MCA)</w:t>
                  </w:r>
                </w:p>
              </w:tc>
              <w:tc>
                <w:tcPr>
                  <w:tcW w:w="1417" w:type="pct"/>
                  <w:shd w:val="clear" w:color="auto" w:fill="auto"/>
                </w:tcPr>
                <w:p w14:paraId="7CC29C5A" w14:textId="77777777" w:rsidR="001054C3" w:rsidRPr="007E24A9" w:rsidRDefault="001054C3" w:rsidP="00234FBE">
                  <w:pPr>
                    <w:pStyle w:val="TableBodyText"/>
                    <w:ind w:right="28"/>
                    <w:jc w:val="left"/>
                  </w:pPr>
                  <w:r w:rsidRPr="007E24A9">
                    <w:t>Matthew Jeffries</w:t>
                  </w:r>
                </w:p>
              </w:tc>
            </w:tr>
            <w:tr w:rsidR="001054C3" w14:paraId="5C46AD12" w14:textId="77777777" w:rsidTr="00234FBE">
              <w:tc>
                <w:tcPr>
                  <w:tcW w:w="3583" w:type="pct"/>
                  <w:shd w:val="clear" w:color="auto" w:fill="auto"/>
                </w:tcPr>
                <w:p w14:paraId="675CFAD1" w14:textId="77777777" w:rsidR="001054C3" w:rsidRDefault="001054C3" w:rsidP="00234FBE">
                  <w:pPr>
                    <w:pStyle w:val="TableBodyText"/>
                    <w:jc w:val="left"/>
                  </w:pPr>
                  <w:r>
                    <w:t>National Farmers Federation (NFF)</w:t>
                  </w:r>
                </w:p>
              </w:tc>
              <w:tc>
                <w:tcPr>
                  <w:tcW w:w="1417" w:type="pct"/>
                  <w:shd w:val="clear" w:color="auto" w:fill="auto"/>
                </w:tcPr>
                <w:p w14:paraId="750F052E" w14:textId="77777777" w:rsidR="001054C3" w:rsidRPr="007E24A9" w:rsidRDefault="001054C3" w:rsidP="00234FBE">
                  <w:pPr>
                    <w:pStyle w:val="TableBodyText"/>
                    <w:ind w:right="28"/>
                    <w:jc w:val="left"/>
                  </w:pPr>
                  <w:r w:rsidRPr="007E24A9">
                    <w:t>Warwick Ragg</w:t>
                  </w:r>
                </w:p>
              </w:tc>
            </w:tr>
            <w:tr w:rsidR="001054C3" w14:paraId="32A50B23" w14:textId="77777777" w:rsidTr="00234FBE">
              <w:tc>
                <w:tcPr>
                  <w:tcW w:w="3583" w:type="pct"/>
                  <w:shd w:val="clear" w:color="auto" w:fill="auto"/>
                </w:tcPr>
                <w:p w14:paraId="1E6A7304" w14:textId="77777777" w:rsidR="001054C3" w:rsidRDefault="001054C3" w:rsidP="00234FBE">
                  <w:pPr>
                    <w:pStyle w:val="TableBodyText"/>
                    <w:jc w:val="left"/>
                  </w:pPr>
                  <w:r>
                    <w:t>National Farmers Federation (NFF)</w:t>
                  </w:r>
                </w:p>
              </w:tc>
              <w:tc>
                <w:tcPr>
                  <w:tcW w:w="1417" w:type="pct"/>
                  <w:shd w:val="clear" w:color="auto" w:fill="auto"/>
                </w:tcPr>
                <w:p w14:paraId="74CB345F" w14:textId="77777777" w:rsidR="001054C3" w:rsidRPr="007E24A9" w:rsidRDefault="001054C3" w:rsidP="00234FBE">
                  <w:pPr>
                    <w:pStyle w:val="TableBodyText"/>
                    <w:ind w:right="28"/>
                    <w:jc w:val="left"/>
                  </w:pPr>
                  <w:r>
                    <w:t>Bruce Tran</w:t>
                  </w:r>
                </w:p>
              </w:tc>
            </w:tr>
            <w:tr w:rsidR="001054C3" w14:paraId="183706AC" w14:textId="77777777" w:rsidTr="00234FBE">
              <w:tc>
                <w:tcPr>
                  <w:tcW w:w="3583" w:type="pct"/>
                  <w:shd w:val="clear" w:color="auto" w:fill="auto"/>
                </w:tcPr>
                <w:p w14:paraId="00A9037A" w14:textId="77777777" w:rsidR="001054C3" w:rsidRDefault="001054C3" w:rsidP="00234FBE">
                  <w:pPr>
                    <w:pStyle w:val="TableBodyText"/>
                    <w:jc w:val="left"/>
                  </w:pPr>
                  <w:r>
                    <w:t>National Health and Medical Research Council (NHMRC)</w:t>
                  </w:r>
                </w:p>
              </w:tc>
              <w:tc>
                <w:tcPr>
                  <w:tcW w:w="1417" w:type="pct"/>
                  <w:shd w:val="clear" w:color="auto" w:fill="auto"/>
                </w:tcPr>
                <w:p w14:paraId="6EF716EA" w14:textId="77777777" w:rsidR="001054C3" w:rsidRPr="007E24A9" w:rsidRDefault="001054C3" w:rsidP="00234FBE">
                  <w:pPr>
                    <w:pStyle w:val="TableBodyText"/>
                    <w:ind w:right="28"/>
                    <w:jc w:val="left"/>
                  </w:pPr>
                  <w:r w:rsidRPr="007E24A9">
                    <w:t xml:space="preserve">Jennifer </w:t>
                  </w:r>
                  <w:r w:rsidRPr="00CA7E8D">
                    <w:t>Savenake</w:t>
                  </w:r>
                </w:p>
              </w:tc>
            </w:tr>
            <w:tr w:rsidR="001054C3" w14:paraId="314B1D98" w14:textId="77777777" w:rsidTr="00234FBE">
              <w:tc>
                <w:tcPr>
                  <w:tcW w:w="3583" w:type="pct"/>
                  <w:shd w:val="clear" w:color="auto" w:fill="auto"/>
                </w:tcPr>
                <w:p w14:paraId="1207B6A6" w14:textId="77777777" w:rsidR="001054C3" w:rsidRDefault="001054C3" w:rsidP="00234FBE">
                  <w:pPr>
                    <w:pStyle w:val="TableBodyText"/>
                    <w:jc w:val="left"/>
                  </w:pPr>
                  <w:r>
                    <w:t>National Irrigators Council (NIC)</w:t>
                  </w:r>
                </w:p>
              </w:tc>
              <w:tc>
                <w:tcPr>
                  <w:tcW w:w="1417" w:type="pct"/>
                  <w:shd w:val="clear" w:color="auto" w:fill="auto"/>
                </w:tcPr>
                <w:p w14:paraId="4CF6C0B1" w14:textId="77777777" w:rsidR="001054C3" w:rsidRPr="007E24A9" w:rsidRDefault="001054C3" w:rsidP="00234FBE">
                  <w:pPr>
                    <w:pStyle w:val="TableBodyText"/>
                    <w:ind w:right="28"/>
                    <w:jc w:val="left"/>
                  </w:pPr>
                  <w:r w:rsidRPr="007E24A9">
                    <w:t>Isaac Jeffrey</w:t>
                  </w:r>
                </w:p>
              </w:tc>
            </w:tr>
            <w:tr w:rsidR="001054C3" w14:paraId="3B4A5569" w14:textId="77777777" w:rsidTr="00234FBE">
              <w:tc>
                <w:tcPr>
                  <w:tcW w:w="3583" w:type="pct"/>
                  <w:shd w:val="clear" w:color="auto" w:fill="auto"/>
                </w:tcPr>
                <w:p w14:paraId="29BB1B26" w14:textId="77777777" w:rsidR="001054C3" w:rsidRDefault="001054C3" w:rsidP="00234FBE">
                  <w:pPr>
                    <w:pStyle w:val="TableBodyText"/>
                    <w:jc w:val="left"/>
                  </w:pPr>
                  <w:r>
                    <w:t>National Irrigators Council (NIC)</w:t>
                  </w:r>
                </w:p>
              </w:tc>
              <w:tc>
                <w:tcPr>
                  <w:tcW w:w="1417" w:type="pct"/>
                  <w:shd w:val="clear" w:color="auto" w:fill="auto"/>
                </w:tcPr>
                <w:p w14:paraId="0A0D4CDC" w14:textId="77777777" w:rsidR="001054C3" w:rsidRPr="007E24A9" w:rsidRDefault="001054C3" w:rsidP="00234FBE">
                  <w:pPr>
                    <w:pStyle w:val="TableBodyText"/>
                    <w:ind w:right="28"/>
                    <w:jc w:val="left"/>
                  </w:pPr>
                  <w:r w:rsidRPr="007E24A9">
                    <w:t>Joy Thomas</w:t>
                  </w:r>
                </w:p>
              </w:tc>
            </w:tr>
            <w:tr w:rsidR="001054C3" w14:paraId="1038E683" w14:textId="77777777" w:rsidTr="00234FBE">
              <w:tc>
                <w:tcPr>
                  <w:tcW w:w="3583" w:type="pct"/>
                  <w:shd w:val="clear" w:color="auto" w:fill="auto"/>
                </w:tcPr>
                <w:p w14:paraId="2DBB6D8B" w14:textId="77777777" w:rsidR="001054C3" w:rsidRDefault="001054C3" w:rsidP="00234FBE">
                  <w:pPr>
                    <w:pStyle w:val="TableBodyText"/>
                    <w:jc w:val="left"/>
                  </w:pPr>
                  <w:r>
                    <w:t>Water Services Association of Australia (WSAA)</w:t>
                  </w:r>
                </w:p>
              </w:tc>
              <w:tc>
                <w:tcPr>
                  <w:tcW w:w="1417" w:type="pct"/>
                  <w:shd w:val="clear" w:color="auto" w:fill="auto"/>
                </w:tcPr>
                <w:p w14:paraId="0A664384" w14:textId="77777777" w:rsidR="001054C3" w:rsidRPr="007E24A9" w:rsidRDefault="001054C3" w:rsidP="00234FBE">
                  <w:pPr>
                    <w:pStyle w:val="TableBodyText"/>
                    <w:ind w:right="28"/>
                    <w:jc w:val="left"/>
                  </w:pPr>
                  <w:r>
                    <w:t>Adam Lovell</w:t>
                  </w:r>
                </w:p>
              </w:tc>
            </w:tr>
            <w:tr w:rsidR="001054C3" w14:paraId="183D3E2B" w14:textId="77777777" w:rsidTr="00234FBE">
              <w:tc>
                <w:tcPr>
                  <w:tcW w:w="3583" w:type="pct"/>
                  <w:tcBorders>
                    <w:bottom w:val="single" w:sz="4" w:space="0" w:color="BFBFBF" w:themeColor="background1" w:themeShade="BF"/>
                  </w:tcBorders>
                  <w:shd w:val="clear" w:color="auto" w:fill="auto"/>
                </w:tcPr>
                <w:p w14:paraId="71EFF4F9" w14:textId="77777777" w:rsidR="001054C3" w:rsidRDefault="001054C3" w:rsidP="00234FBE">
                  <w:pPr>
                    <w:pStyle w:val="TableBodyText"/>
                    <w:jc w:val="left"/>
                  </w:pPr>
                  <w:r>
                    <w:t>Water Services Association of Australia (WSAA)</w:t>
                  </w:r>
                </w:p>
              </w:tc>
              <w:tc>
                <w:tcPr>
                  <w:tcW w:w="1417" w:type="pct"/>
                  <w:tcBorders>
                    <w:bottom w:val="single" w:sz="4" w:space="0" w:color="BFBFBF" w:themeColor="background1" w:themeShade="BF"/>
                  </w:tcBorders>
                  <w:shd w:val="clear" w:color="auto" w:fill="auto"/>
                </w:tcPr>
                <w:p w14:paraId="1D95D5F1" w14:textId="77777777" w:rsidR="001054C3" w:rsidRPr="007E24A9" w:rsidRDefault="001054C3" w:rsidP="00234FBE">
                  <w:pPr>
                    <w:pStyle w:val="TableBodyText"/>
                    <w:ind w:right="28"/>
                    <w:jc w:val="left"/>
                  </w:pPr>
                  <w:r w:rsidRPr="007E24A9">
                    <w:t>Stuart Wilson</w:t>
                  </w:r>
                </w:p>
              </w:tc>
            </w:tr>
          </w:tbl>
          <w:p w14:paraId="0086B345" w14:textId="77777777" w:rsidR="001054C3" w:rsidRDefault="001054C3" w:rsidP="00234FBE">
            <w:pPr>
              <w:pStyle w:val="Box"/>
            </w:pPr>
          </w:p>
        </w:tc>
      </w:tr>
      <w:tr w:rsidR="001054C3" w14:paraId="27934CA8" w14:textId="77777777" w:rsidTr="00234FBE">
        <w:tc>
          <w:tcPr>
            <w:tcW w:w="5000" w:type="pct"/>
            <w:tcBorders>
              <w:top w:val="nil"/>
              <w:left w:val="nil"/>
              <w:bottom w:val="single" w:sz="6" w:space="0" w:color="78A22F" w:themeColor="accent1"/>
              <w:right w:val="nil"/>
            </w:tcBorders>
            <w:shd w:val="clear" w:color="auto" w:fill="auto"/>
          </w:tcPr>
          <w:p w14:paraId="44846E96" w14:textId="77777777" w:rsidR="001054C3" w:rsidRDefault="001054C3" w:rsidP="00234FBE">
            <w:pPr>
              <w:pStyle w:val="Box"/>
              <w:spacing w:before="0" w:line="120" w:lineRule="exact"/>
            </w:pPr>
          </w:p>
        </w:tc>
      </w:tr>
      <w:tr w:rsidR="001054C3" w:rsidRPr="000863A5" w14:paraId="1F4C7D3A" w14:textId="77777777" w:rsidTr="00234FBE">
        <w:tc>
          <w:tcPr>
            <w:tcW w:w="5000" w:type="pct"/>
            <w:tcBorders>
              <w:top w:val="single" w:sz="6" w:space="0" w:color="78A22F" w:themeColor="accent1"/>
              <w:left w:val="nil"/>
              <w:bottom w:val="nil"/>
              <w:right w:val="nil"/>
            </w:tcBorders>
          </w:tcPr>
          <w:p w14:paraId="58F08C8A" w14:textId="77777777" w:rsidR="001054C3" w:rsidRPr="00626D32" w:rsidRDefault="001054C3" w:rsidP="00234FBE">
            <w:pPr>
              <w:pStyle w:val="BoxSpaceBelow"/>
            </w:pPr>
          </w:p>
        </w:tc>
      </w:tr>
    </w:tbl>
    <w:p w14:paraId="6D164587"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77469F68" w14:textId="77777777" w:rsidTr="00234FBE">
        <w:trPr>
          <w:tblHeader/>
        </w:trPr>
        <w:tc>
          <w:tcPr>
            <w:tcW w:w="5000" w:type="pct"/>
            <w:tcBorders>
              <w:top w:val="single" w:sz="6" w:space="0" w:color="78A22F"/>
              <w:left w:val="nil"/>
              <w:bottom w:val="nil"/>
              <w:right w:val="nil"/>
            </w:tcBorders>
            <w:shd w:val="clear" w:color="auto" w:fill="auto"/>
          </w:tcPr>
          <w:p w14:paraId="0A764BCD" w14:textId="7039B88A" w:rsidR="001054C3" w:rsidRPr="00875139" w:rsidRDefault="001054C3" w:rsidP="00234FBE">
            <w:pPr>
              <w:pStyle w:val="TableTitle"/>
            </w:pPr>
            <w:r>
              <w:rPr>
                <w:b w:val="0"/>
              </w:rPr>
              <w:t>Table C.6</w:t>
            </w:r>
            <w:r>
              <w:tab/>
              <w:t>Public Webinar National Water Reform 2020 Draft Report</w:t>
            </w:r>
          </w:p>
        </w:tc>
      </w:tr>
      <w:tr w:rsidR="001054C3" w14:paraId="1898012E" w14:textId="77777777" w:rsidTr="00234FB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1054C3" w14:paraId="743ED644" w14:textId="77777777" w:rsidTr="00234FBE">
              <w:trPr>
                <w:tblHeader/>
              </w:trPr>
              <w:tc>
                <w:tcPr>
                  <w:tcW w:w="1251" w:type="pct"/>
                  <w:tcBorders>
                    <w:top w:val="single" w:sz="6" w:space="0" w:color="BFBFBF"/>
                    <w:bottom w:val="single" w:sz="6" w:space="0" w:color="BFBFBF"/>
                  </w:tcBorders>
                  <w:shd w:val="clear" w:color="auto" w:fill="auto"/>
                  <w:tcMar>
                    <w:top w:w="28" w:type="dxa"/>
                  </w:tcMar>
                </w:tcPr>
                <w:p w14:paraId="6B5E51DD" w14:textId="77777777" w:rsidR="001054C3" w:rsidRDefault="001054C3" w:rsidP="00234FBE">
                  <w:pPr>
                    <w:pStyle w:val="TableColumnHeading"/>
                    <w:jc w:val="left"/>
                  </w:pPr>
                  <w:r>
                    <w:t>Number of participants</w:t>
                  </w:r>
                </w:p>
              </w:tc>
              <w:tc>
                <w:tcPr>
                  <w:tcW w:w="1250" w:type="pct"/>
                  <w:tcBorders>
                    <w:top w:val="single" w:sz="6" w:space="0" w:color="BFBFBF"/>
                    <w:bottom w:val="single" w:sz="6" w:space="0" w:color="BFBFBF"/>
                  </w:tcBorders>
                </w:tcPr>
                <w:p w14:paraId="1C777982" w14:textId="77777777" w:rsidR="001054C3" w:rsidRDefault="001054C3" w:rsidP="00234FBE">
                  <w:pPr>
                    <w:pStyle w:val="TableColumnHeading"/>
                  </w:pPr>
                </w:p>
              </w:tc>
              <w:tc>
                <w:tcPr>
                  <w:tcW w:w="1250" w:type="pct"/>
                  <w:tcBorders>
                    <w:top w:val="single" w:sz="6" w:space="0" w:color="BFBFBF"/>
                    <w:bottom w:val="single" w:sz="6" w:space="0" w:color="BFBFBF"/>
                  </w:tcBorders>
                  <w:shd w:val="clear" w:color="auto" w:fill="auto"/>
                  <w:tcMar>
                    <w:top w:w="28" w:type="dxa"/>
                  </w:tcMar>
                </w:tcPr>
                <w:p w14:paraId="2E7D2B32" w14:textId="77777777" w:rsidR="001054C3" w:rsidRDefault="001054C3" w:rsidP="00234FBE">
                  <w:pPr>
                    <w:pStyle w:val="TableColumnHeading"/>
                  </w:pPr>
                </w:p>
              </w:tc>
              <w:tc>
                <w:tcPr>
                  <w:tcW w:w="1249" w:type="pct"/>
                  <w:tcBorders>
                    <w:top w:val="single" w:sz="6" w:space="0" w:color="BFBFBF"/>
                    <w:bottom w:val="single" w:sz="6" w:space="0" w:color="BFBFBF"/>
                  </w:tcBorders>
                  <w:shd w:val="clear" w:color="auto" w:fill="auto"/>
                  <w:tcMar>
                    <w:top w:w="28" w:type="dxa"/>
                  </w:tcMar>
                </w:tcPr>
                <w:p w14:paraId="12EEF522" w14:textId="77777777" w:rsidR="001054C3" w:rsidRDefault="001054C3" w:rsidP="00234FBE">
                  <w:pPr>
                    <w:pStyle w:val="TableColumnHeading"/>
                    <w:ind w:right="28"/>
                  </w:pPr>
                </w:p>
              </w:tc>
            </w:tr>
            <w:tr w:rsidR="001054C3" w14:paraId="4858337B" w14:textId="77777777" w:rsidTr="00234FBE">
              <w:tc>
                <w:tcPr>
                  <w:tcW w:w="1251" w:type="pct"/>
                  <w:tcBorders>
                    <w:top w:val="single" w:sz="6" w:space="0" w:color="BFBFBF"/>
                  </w:tcBorders>
                </w:tcPr>
                <w:p w14:paraId="29AEE265" w14:textId="77777777" w:rsidR="001054C3" w:rsidRPr="00495781" w:rsidRDefault="001054C3" w:rsidP="00234FBE">
                  <w:pPr>
                    <w:pStyle w:val="TableUnitsRow"/>
                    <w:jc w:val="left"/>
                    <w:rPr>
                      <w:b/>
                      <w:bCs/>
                    </w:rPr>
                  </w:pPr>
                  <w:r w:rsidRPr="00495781">
                    <w:rPr>
                      <w:b/>
                      <w:bCs/>
                    </w:rPr>
                    <w:t>2</w:t>
                  </w:r>
                  <w:r>
                    <w:rPr>
                      <w:b/>
                      <w:bCs/>
                    </w:rPr>
                    <w:t> </w:t>
                  </w:r>
                  <w:r w:rsidRPr="00495781">
                    <w:rPr>
                      <w:b/>
                      <w:bCs/>
                    </w:rPr>
                    <w:t>March 2020</w:t>
                  </w:r>
                </w:p>
              </w:tc>
              <w:tc>
                <w:tcPr>
                  <w:tcW w:w="1250" w:type="pct"/>
                  <w:tcBorders>
                    <w:top w:val="single" w:sz="6" w:space="0" w:color="BFBFBF"/>
                  </w:tcBorders>
                </w:tcPr>
                <w:p w14:paraId="3530018D" w14:textId="77777777" w:rsidR="001054C3" w:rsidRDefault="001054C3" w:rsidP="00234FBE">
                  <w:pPr>
                    <w:pStyle w:val="TableUnitsRow"/>
                  </w:pPr>
                </w:p>
              </w:tc>
              <w:tc>
                <w:tcPr>
                  <w:tcW w:w="1250" w:type="pct"/>
                  <w:tcBorders>
                    <w:top w:val="single" w:sz="6" w:space="0" w:color="BFBFBF"/>
                  </w:tcBorders>
                </w:tcPr>
                <w:p w14:paraId="0DB8554B" w14:textId="77777777" w:rsidR="001054C3" w:rsidRDefault="001054C3" w:rsidP="00234FBE">
                  <w:pPr>
                    <w:pStyle w:val="TableUnitsRow"/>
                  </w:pPr>
                </w:p>
              </w:tc>
              <w:tc>
                <w:tcPr>
                  <w:tcW w:w="1249" w:type="pct"/>
                  <w:tcBorders>
                    <w:top w:val="single" w:sz="6" w:space="0" w:color="BFBFBF"/>
                  </w:tcBorders>
                </w:tcPr>
                <w:p w14:paraId="73ACD444" w14:textId="77777777" w:rsidR="001054C3" w:rsidRDefault="001054C3" w:rsidP="00234FBE">
                  <w:pPr>
                    <w:pStyle w:val="TableUnitsRow"/>
                    <w:ind w:right="28"/>
                  </w:pPr>
                </w:p>
              </w:tc>
            </w:tr>
            <w:tr w:rsidR="001054C3" w14:paraId="78852C57" w14:textId="77777777" w:rsidTr="00234FBE">
              <w:tc>
                <w:tcPr>
                  <w:tcW w:w="1251" w:type="pct"/>
                  <w:tcBorders>
                    <w:bottom w:val="single" w:sz="6" w:space="0" w:color="BFBFBF"/>
                  </w:tcBorders>
                  <w:shd w:val="clear" w:color="auto" w:fill="auto"/>
                </w:tcPr>
                <w:p w14:paraId="7ABBDC68" w14:textId="77777777" w:rsidR="001054C3" w:rsidRDefault="001054C3" w:rsidP="00234FBE">
                  <w:pPr>
                    <w:pStyle w:val="TableBodyText"/>
                    <w:jc w:val="left"/>
                  </w:pPr>
                  <w:r>
                    <w:t>261</w:t>
                  </w:r>
                </w:p>
              </w:tc>
              <w:tc>
                <w:tcPr>
                  <w:tcW w:w="1250" w:type="pct"/>
                  <w:tcBorders>
                    <w:bottom w:val="single" w:sz="6" w:space="0" w:color="BFBFBF"/>
                  </w:tcBorders>
                </w:tcPr>
                <w:p w14:paraId="1403831C" w14:textId="77777777" w:rsidR="001054C3" w:rsidRDefault="001054C3" w:rsidP="00234FBE">
                  <w:pPr>
                    <w:pStyle w:val="TableBodyText"/>
                  </w:pPr>
                </w:p>
              </w:tc>
              <w:tc>
                <w:tcPr>
                  <w:tcW w:w="1250" w:type="pct"/>
                  <w:tcBorders>
                    <w:bottom w:val="single" w:sz="6" w:space="0" w:color="BFBFBF"/>
                  </w:tcBorders>
                  <w:shd w:val="clear" w:color="auto" w:fill="auto"/>
                </w:tcPr>
                <w:p w14:paraId="65C9906D" w14:textId="77777777" w:rsidR="001054C3" w:rsidRDefault="001054C3" w:rsidP="00234FBE">
                  <w:pPr>
                    <w:pStyle w:val="TableBodyText"/>
                  </w:pPr>
                </w:p>
              </w:tc>
              <w:tc>
                <w:tcPr>
                  <w:tcW w:w="1249" w:type="pct"/>
                  <w:tcBorders>
                    <w:bottom w:val="single" w:sz="6" w:space="0" w:color="BFBFBF"/>
                  </w:tcBorders>
                  <w:shd w:val="clear" w:color="auto" w:fill="auto"/>
                </w:tcPr>
                <w:p w14:paraId="00B69BD7" w14:textId="77777777" w:rsidR="001054C3" w:rsidRDefault="001054C3" w:rsidP="00234FBE">
                  <w:pPr>
                    <w:pStyle w:val="TableBodyText"/>
                    <w:ind w:right="28"/>
                  </w:pPr>
                </w:p>
              </w:tc>
            </w:tr>
          </w:tbl>
          <w:p w14:paraId="28031060" w14:textId="77777777" w:rsidR="001054C3" w:rsidRDefault="001054C3" w:rsidP="00234FBE">
            <w:pPr>
              <w:pStyle w:val="Box"/>
            </w:pPr>
          </w:p>
        </w:tc>
      </w:tr>
      <w:tr w:rsidR="001054C3" w14:paraId="1FC6F066" w14:textId="77777777" w:rsidTr="00234FBE">
        <w:tc>
          <w:tcPr>
            <w:tcW w:w="5000" w:type="pct"/>
            <w:tcBorders>
              <w:top w:val="nil"/>
              <w:left w:val="nil"/>
              <w:bottom w:val="single" w:sz="6" w:space="0" w:color="78A22F"/>
              <w:right w:val="nil"/>
            </w:tcBorders>
            <w:shd w:val="clear" w:color="auto" w:fill="auto"/>
          </w:tcPr>
          <w:p w14:paraId="1A71EE12" w14:textId="77777777" w:rsidR="001054C3" w:rsidRDefault="001054C3" w:rsidP="00234FBE">
            <w:pPr>
              <w:pStyle w:val="Box"/>
              <w:spacing w:before="0" w:line="120" w:lineRule="exact"/>
            </w:pPr>
          </w:p>
        </w:tc>
      </w:tr>
      <w:tr w:rsidR="001054C3" w:rsidRPr="000863A5" w14:paraId="7F32C245" w14:textId="77777777" w:rsidTr="00234FBE">
        <w:tc>
          <w:tcPr>
            <w:tcW w:w="5000" w:type="pct"/>
            <w:tcBorders>
              <w:top w:val="single" w:sz="6" w:space="0" w:color="78A22F"/>
              <w:left w:val="nil"/>
              <w:bottom w:val="nil"/>
              <w:right w:val="nil"/>
            </w:tcBorders>
          </w:tcPr>
          <w:p w14:paraId="2E0133F3" w14:textId="77777777" w:rsidR="001054C3" w:rsidRPr="00626D32" w:rsidRDefault="001054C3" w:rsidP="00234FBE">
            <w:pPr>
              <w:pStyle w:val="BoxSpaceBelow"/>
            </w:pPr>
          </w:p>
        </w:tc>
      </w:tr>
    </w:tbl>
    <w:p w14:paraId="01985E56" w14:textId="77777777" w:rsidR="001054C3" w:rsidRDefault="001054C3" w:rsidP="00120072">
      <w:pPr>
        <w:pStyle w:val="BodyText"/>
      </w:pPr>
    </w:p>
    <w:p w14:paraId="4D67AB42" w14:textId="77777777" w:rsidR="001054C3" w:rsidRDefault="001054C3" w:rsidP="00234F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054C3" w14:paraId="39CD3C48" w14:textId="77777777" w:rsidTr="00234FBE">
        <w:trPr>
          <w:tblHeader/>
        </w:trPr>
        <w:tc>
          <w:tcPr>
            <w:tcW w:w="5000" w:type="pct"/>
            <w:tcBorders>
              <w:top w:val="single" w:sz="6" w:space="0" w:color="78A22F"/>
              <w:left w:val="nil"/>
              <w:bottom w:val="nil"/>
              <w:right w:val="nil"/>
            </w:tcBorders>
            <w:shd w:val="clear" w:color="auto" w:fill="auto"/>
          </w:tcPr>
          <w:p w14:paraId="1D21EEA7" w14:textId="26E2F69B" w:rsidR="001054C3" w:rsidRPr="00112664" w:rsidRDefault="001054C3" w:rsidP="00234FBE">
            <w:pPr>
              <w:pStyle w:val="TableTitle"/>
              <w:rPr>
                <w:i/>
                <w:iCs/>
              </w:rPr>
            </w:pPr>
            <w:r>
              <w:rPr>
                <w:b w:val="0"/>
              </w:rPr>
              <w:t>Table C.7</w:t>
            </w:r>
            <w:r>
              <w:tab/>
              <w:t>Public Hearings</w:t>
            </w:r>
          </w:p>
        </w:tc>
      </w:tr>
      <w:tr w:rsidR="001054C3" w14:paraId="18E82B6F" w14:textId="77777777" w:rsidTr="00234FBE">
        <w:tc>
          <w:tcPr>
            <w:tcW w:w="5000" w:type="pct"/>
            <w:tcBorders>
              <w:top w:val="nil"/>
              <w:left w:val="nil"/>
              <w:bottom w:val="nil"/>
              <w:right w:val="nil"/>
            </w:tcBorders>
            <w:shd w:val="clear" w:color="auto" w:fill="auto"/>
          </w:tcPr>
          <w:tbl>
            <w:tblPr>
              <w:tblW w:w="4999" w:type="pct"/>
              <w:tblCellMar>
                <w:top w:w="28" w:type="dxa"/>
                <w:left w:w="0" w:type="dxa"/>
                <w:right w:w="0" w:type="dxa"/>
              </w:tblCellMar>
              <w:tblLook w:val="0000" w:firstRow="0" w:lastRow="0" w:firstColumn="0" w:lastColumn="0" w:noHBand="0" w:noVBand="0"/>
            </w:tblPr>
            <w:tblGrid>
              <w:gridCol w:w="8503"/>
            </w:tblGrid>
            <w:tr w:rsidR="001054C3" w14:paraId="21A4AD37" w14:textId="77777777" w:rsidTr="00234FBE">
              <w:trPr>
                <w:tblHeader/>
              </w:trPr>
              <w:tc>
                <w:tcPr>
                  <w:tcW w:w="5000" w:type="pct"/>
                  <w:tcBorders>
                    <w:top w:val="single" w:sz="6" w:space="0" w:color="BFBFBF"/>
                    <w:bottom w:val="single" w:sz="6" w:space="0" w:color="BFBFBF"/>
                  </w:tcBorders>
                  <w:shd w:val="clear" w:color="auto" w:fill="auto"/>
                  <w:tcMar>
                    <w:top w:w="28" w:type="dxa"/>
                  </w:tcMar>
                </w:tcPr>
                <w:p w14:paraId="118E782A" w14:textId="77777777" w:rsidR="001054C3" w:rsidRPr="00B124BF" w:rsidRDefault="001054C3" w:rsidP="00234FBE">
                  <w:pPr>
                    <w:pStyle w:val="TableColumnHeading"/>
                    <w:jc w:val="left"/>
                    <w:rPr>
                      <w:b/>
                      <w:bCs/>
                      <w:i w:val="0"/>
                      <w:iCs/>
                    </w:rPr>
                  </w:pPr>
                  <w:r w:rsidRPr="00B124BF">
                    <w:rPr>
                      <w:b/>
                      <w:bCs/>
                      <w:i w:val="0"/>
                      <w:iCs/>
                    </w:rPr>
                    <w:t>29 March 2021</w:t>
                  </w:r>
                </w:p>
              </w:tc>
            </w:tr>
            <w:tr w:rsidR="001054C3" w14:paraId="201FC9AF" w14:textId="77777777" w:rsidTr="00234FBE">
              <w:tc>
                <w:tcPr>
                  <w:tcW w:w="5000" w:type="pct"/>
                  <w:tcBorders>
                    <w:top w:val="single" w:sz="6" w:space="0" w:color="BFBFBF"/>
                  </w:tcBorders>
                </w:tcPr>
                <w:p w14:paraId="4595D52C" w14:textId="77777777" w:rsidR="001054C3" w:rsidRDefault="001054C3" w:rsidP="00234FBE">
                  <w:pPr>
                    <w:pStyle w:val="TableUnitsRow"/>
                    <w:jc w:val="left"/>
                  </w:pPr>
                  <w:r>
                    <w:t>Australian Academy of Technology and Engineering (ATSE)      Dr Harry Rolf</w:t>
                  </w:r>
                </w:p>
              </w:tc>
            </w:tr>
            <w:tr w:rsidR="001054C3" w14:paraId="6A5564E1" w14:textId="77777777" w:rsidTr="00234FBE">
              <w:tc>
                <w:tcPr>
                  <w:tcW w:w="5000" w:type="pct"/>
                </w:tcPr>
                <w:p w14:paraId="7E890A19" w14:textId="77777777" w:rsidR="001054C3" w:rsidRDefault="001054C3" w:rsidP="00234FBE">
                  <w:pPr>
                    <w:pStyle w:val="TableBodyText"/>
                    <w:jc w:val="left"/>
                  </w:pPr>
                  <w:r w:rsidRPr="004568C6">
                    <w:t>Environmental Equity Pty Ltd</w:t>
                  </w:r>
                  <w:r>
                    <w:t xml:space="preserve">                                                       Fiona MacDonald</w:t>
                  </w:r>
                </w:p>
              </w:tc>
            </w:tr>
            <w:tr w:rsidR="001054C3" w14:paraId="0B5E8ED1" w14:textId="77777777" w:rsidTr="00234FBE">
              <w:tc>
                <w:tcPr>
                  <w:tcW w:w="5000" w:type="pct"/>
                </w:tcPr>
                <w:p w14:paraId="690BF90E" w14:textId="77777777" w:rsidR="001054C3" w:rsidRDefault="001054C3" w:rsidP="00234FBE">
                  <w:pPr>
                    <w:pStyle w:val="TableBodyText"/>
                    <w:jc w:val="left"/>
                  </w:pPr>
                  <w:r w:rsidRPr="004568C6">
                    <w:t>Grandamico</w:t>
                  </w:r>
                  <w:r>
                    <w:t xml:space="preserve">                                                                                 Grahame Campbell</w:t>
                  </w:r>
                </w:p>
              </w:tc>
            </w:tr>
            <w:tr w:rsidR="001054C3" w14:paraId="3141CC36" w14:textId="77777777" w:rsidTr="00234FBE">
              <w:tc>
                <w:tcPr>
                  <w:tcW w:w="5000" w:type="pct"/>
                </w:tcPr>
                <w:p w14:paraId="45999DA6" w14:textId="77777777" w:rsidR="001054C3" w:rsidRPr="004568C6" w:rsidRDefault="001054C3" w:rsidP="00234FBE">
                  <w:pPr>
                    <w:pStyle w:val="TableBodyText"/>
                    <w:jc w:val="left"/>
                  </w:pPr>
                  <w:r>
                    <w:t>Individual, regional Victoria                                                          Alan Rothacker</w:t>
                  </w:r>
                </w:p>
              </w:tc>
            </w:tr>
            <w:tr w:rsidR="001054C3" w14:paraId="006C22B3" w14:textId="77777777" w:rsidTr="00234FBE">
              <w:tc>
                <w:tcPr>
                  <w:tcW w:w="5000" w:type="pct"/>
                </w:tcPr>
                <w:p w14:paraId="44440477" w14:textId="77777777" w:rsidR="001054C3" w:rsidRDefault="001054C3" w:rsidP="00234FBE">
                  <w:pPr>
                    <w:pStyle w:val="TableBodyText"/>
                    <w:jc w:val="left"/>
                  </w:pPr>
                  <w:r>
                    <w:t>National Farmers’ Federation (NFF)                                            Warwick Ragg and Les Gordon</w:t>
                  </w:r>
                </w:p>
              </w:tc>
            </w:tr>
            <w:tr w:rsidR="001054C3" w14:paraId="5DAE4E8E" w14:textId="77777777" w:rsidTr="00234FBE">
              <w:tc>
                <w:tcPr>
                  <w:tcW w:w="5000" w:type="pct"/>
                </w:tcPr>
                <w:p w14:paraId="4F7BDBDB" w14:textId="77777777" w:rsidR="001054C3" w:rsidRDefault="001054C3" w:rsidP="00234FBE">
                  <w:pPr>
                    <w:pStyle w:val="TableBodyText"/>
                    <w:jc w:val="left"/>
                  </w:pPr>
                  <w:r>
                    <w:t>Northern Land Council                                                                 Bridie Velik</w:t>
                  </w:r>
                  <w:r>
                    <w:noBreakHyphen/>
                    <w:t>Lord</w:t>
                  </w:r>
                </w:p>
              </w:tc>
            </w:tr>
            <w:tr w:rsidR="001054C3" w14:paraId="768CC5C2" w14:textId="77777777" w:rsidTr="00234FBE">
              <w:tc>
                <w:tcPr>
                  <w:tcW w:w="5000" w:type="pct"/>
                  <w:shd w:val="clear" w:color="auto" w:fill="auto"/>
                </w:tcPr>
                <w:p w14:paraId="03087568" w14:textId="77777777" w:rsidR="001054C3" w:rsidRDefault="001054C3" w:rsidP="00234FBE">
                  <w:pPr>
                    <w:pStyle w:val="TableBodyText"/>
                    <w:jc w:val="left"/>
                  </w:pPr>
                  <w:r>
                    <w:t>Prosper Australia                                                                         Emily Sims and Jesse Hermans</w:t>
                  </w:r>
                </w:p>
              </w:tc>
            </w:tr>
            <w:tr w:rsidR="001054C3" w14:paraId="346F5A55" w14:textId="77777777" w:rsidTr="00234FBE">
              <w:tc>
                <w:tcPr>
                  <w:tcW w:w="5000" w:type="pct"/>
                  <w:shd w:val="clear" w:color="auto" w:fill="auto"/>
                </w:tcPr>
                <w:p w14:paraId="118B9F6A" w14:textId="77777777" w:rsidR="001054C3" w:rsidRDefault="001054C3" w:rsidP="00234FBE">
                  <w:pPr>
                    <w:pStyle w:val="TableBodyText"/>
                    <w:jc w:val="left"/>
                  </w:pPr>
                  <w:r>
                    <w:t>Water Services Association of Australia (WSAA)                        Adam Lovell and Stuart Wilson</w:t>
                  </w:r>
                </w:p>
              </w:tc>
            </w:tr>
            <w:tr w:rsidR="001054C3" w14:paraId="46EAE8C4" w14:textId="77777777" w:rsidTr="00234FBE">
              <w:tc>
                <w:tcPr>
                  <w:tcW w:w="5000" w:type="pct"/>
                  <w:shd w:val="clear" w:color="auto" w:fill="auto"/>
                </w:tcPr>
                <w:p w14:paraId="2EE94AE4" w14:textId="77777777" w:rsidR="001054C3" w:rsidRDefault="001054C3" w:rsidP="00234FBE">
                  <w:pPr>
                    <w:pStyle w:val="TableBodyText"/>
                    <w:jc w:val="left"/>
                  </w:pPr>
                  <w:r>
                    <w:t xml:space="preserve">Wentworth Group of Concerned Scientists and </w:t>
                  </w:r>
                  <w:r>
                    <w:br/>
                    <w:t>Australian National University (ANU)                                           Dr Jamie Pittock and Dr Celine Steinfeld</w:t>
                  </w:r>
                </w:p>
              </w:tc>
            </w:tr>
            <w:tr w:rsidR="001054C3" w14:paraId="70D87D12" w14:textId="77777777" w:rsidTr="00234FBE">
              <w:tc>
                <w:tcPr>
                  <w:tcW w:w="5000" w:type="pct"/>
                  <w:shd w:val="clear" w:color="auto" w:fill="auto"/>
                </w:tcPr>
                <w:p w14:paraId="3CF07C2C" w14:textId="77777777" w:rsidR="001054C3" w:rsidRDefault="001054C3" w:rsidP="00234FBE">
                  <w:pPr>
                    <w:pStyle w:val="TableBodyText"/>
                    <w:jc w:val="left"/>
                  </w:pPr>
                </w:p>
              </w:tc>
            </w:tr>
            <w:tr w:rsidR="001054C3" w14:paraId="7560FBA2" w14:textId="77777777" w:rsidTr="00234FBE">
              <w:tc>
                <w:tcPr>
                  <w:tcW w:w="5000" w:type="pct"/>
                  <w:shd w:val="clear" w:color="auto" w:fill="auto"/>
                </w:tcPr>
                <w:p w14:paraId="3C431A9E" w14:textId="77777777" w:rsidR="001054C3" w:rsidRDefault="001054C3" w:rsidP="00234FBE">
                  <w:pPr>
                    <w:pStyle w:val="TableBodyText"/>
                    <w:jc w:val="left"/>
                  </w:pPr>
                  <w:r>
                    <w:rPr>
                      <w:b/>
                      <w:bCs/>
                    </w:rPr>
                    <w:t>31 March 2021</w:t>
                  </w:r>
                </w:p>
              </w:tc>
            </w:tr>
            <w:tr w:rsidR="001054C3" w14:paraId="054A836C" w14:textId="77777777" w:rsidTr="00234FBE">
              <w:tc>
                <w:tcPr>
                  <w:tcW w:w="5000" w:type="pct"/>
                  <w:shd w:val="clear" w:color="auto" w:fill="auto"/>
                </w:tcPr>
                <w:p w14:paraId="24A266B2" w14:textId="77777777" w:rsidR="001054C3" w:rsidRDefault="001054C3" w:rsidP="00234FBE">
                  <w:pPr>
                    <w:pStyle w:val="TableBodyText"/>
                    <w:jc w:val="left"/>
                  </w:pPr>
                  <w:r>
                    <w:t>Adelaide University                                                                      E/Professor of Medicine David Shearman</w:t>
                  </w:r>
                </w:p>
              </w:tc>
            </w:tr>
            <w:tr w:rsidR="001054C3" w14:paraId="278F1417" w14:textId="77777777" w:rsidTr="00234FBE">
              <w:tc>
                <w:tcPr>
                  <w:tcW w:w="5000" w:type="pct"/>
                  <w:shd w:val="clear" w:color="auto" w:fill="auto"/>
                </w:tcPr>
                <w:p w14:paraId="16A08806" w14:textId="77777777" w:rsidR="001054C3" w:rsidRDefault="001054C3" w:rsidP="00234FBE">
                  <w:pPr>
                    <w:pStyle w:val="TableBodyText"/>
                    <w:jc w:val="left"/>
                  </w:pPr>
                  <w:r>
                    <w:t>Ricegrower’s Association of Australia (RGA)                              Rob Massina</w:t>
                  </w:r>
                </w:p>
              </w:tc>
            </w:tr>
            <w:tr w:rsidR="001054C3" w14:paraId="7557A2E1" w14:textId="77777777" w:rsidTr="00234FBE">
              <w:tc>
                <w:tcPr>
                  <w:tcW w:w="5000" w:type="pct"/>
                  <w:shd w:val="clear" w:color="auto" w:fill="auto"/>
                </w:tcPr>
                <w:p w14:paraId="37027BE4" w14:textId="77777777" w:rsidR="001054C3" w:rsidRDefault="001054C3" w:rsidP="00234FBE">
                  <w:pPr>
                    <w:pStyle w:val="TableBodyText"/>
                    <w:jc w:val="left"/>
                  </w:pPr>
                  <w:r>
                    <w:t>Source Global                                                                              Robert Bartrop and Alex Polson</w:t>
                  </w:r>
                </w:p>
              </w:tc>
            </w:tr>
            <w:tr w:rsidR="001054C3" w14:paraId="1D4E35C8" w14:textId="77777777" w:rsidTr="00234FBE">
              <w:tc>
                <w:tcPr>
                  <w:tcW w:w="5000" w:type="pct"/>
                  <w:tcBorders>
                    <w:bottom w:val="single" w:sz="6" w:space="0" w:color="BFBFBF"/>
                  </w:tcBorders>
                  <w:shd w:val="clear" w:color="auto" w:fill="auto"/>
                </w:tcPr>
                <w:p w14:paraId="3E1095C3" w14:textId="77777777" w:rsidR="001054C3" w:rsidRDefault="001054C3" w:rsidP="00234FBE">
                  <w:pPr>
                    <w:pStyle w:val="TableBodyText"/>
                    <w:jc w:val="left"/>
                  </w:pPr>
                  <w:r>
                    <w:t>South Australian Council of Social Service (SACOSS)               Ross Womersley and Rebecca Law</w:t>
                  </w:r>
                </w:p>
              </w:tc>
            </w:tr>
          </w:tbl>
          <w:p w14:paraId="5C71E843" w14:textId="77777777" w:rsidR="001054C3" w:rsidRDefault="001054C3" w:rsidP="00234FBE">
            <w:pPr>
              <w:pStyle w:val="Box"/>
            </w:pPr>
          </w:p>
        </w:tc>
      </w:tr>
      <w:tr w:rsidR="001054C3" w14:paraId="5A4F1015" w14:textId="77777777" w:rsidTr="00234FBE">
        <w:tc>
          <w:tcPr>
            <w:tcW w:w="5000" w:type="pct"/>
            <w:tcBorders>
              <w:top w:val="nil"/>
              <w:left w:val="nil"/>
              <w:bottom w:val="single" w:sz="6" w:space="0" w:color="78A22F"/>
              <w:right w:val="nil"/>
            </w:tcBorders>
            <w:shd w:val="clear" w:color="auto" w:fill="auto"/>
          </w:tcPr>
          <w:p w14:paraId="1DD6F3AE" w14:textId="77777777" w:rsidR="001054C3" w:rsidRDefault="001054C3" w:rsidP="00234FBE">
            <w:pPr>
              <w:pStyle w:val="Box"/>
              <w:spacing w:before="0" w:line="120" w:lineRule="exact"/>
            </w:pPr>
          </w:p>
        </w:tc>
      </w:tr>
      <w:tr w:rsidR="001054C3" w:rsidRPr="000863A5" w14:paraId="0A1E7891" w14:textId="77777777" w:rsidTr="00234FBE">
        <w:tc>
          <w:tcPr>
            <w:tcW w:w="5000" w:type="pct"/>
            <w:tcBorders>
              <w:top w:val="single" w:sz="6" w:space="0" w:color="78A22F"/>
              <w:left w:val="nil"/>
              <w:bottom w:val="nil"/>
              <w:right w:val="nil"/>
            </w:tcBorders>
          </w:tcPr>
          <w:p w14:paraId="2628E679" w14:textId="77777777" w:rsidR="001054C3" w:rsidRPr="00626D32" w:rsidRDefault="001054C3" w:rsidP="00234FBE">
            <w:pPr>
              <w:pStyle w:val="BoxSpaceBelow"/>
            </w:pPr>
          </w:p>
        </w:tc>
      </w:tr>
    </w:tbl>
    <w:p w14:paraId="4E040687" w14:textId="77777777" w:rsidR="001054C3" w:rsidRDefault="001054C3" w:rsidP="00120072">
      <w:pPr>
        <w:pStyle w:val="BodyText"/>
      </w:pPr>
    </w:p>
    <w:p w14:paraId="0B7B3732" w14:textId="77777777" w:rsidR="001054C3" w:rsidRDefault="001054C3" w:rsidP="001054C3">
      <w:pPr>
        <w:sectPr w:rsidR="001054C3" w:rsidSect="001054C3">
          <w:headerReference w:type="even" r:id="rId160"/>
          <w:headerReference w:type="default" r:id="rId161"/>
          <w:footerReference w:type="even" r:id="rId162"/>
          <w:footerReference w:type="default" r:id="rId163"/>
          <w:type w:val="oddPage"/>
          <w:pgSz w:w="11907" w:h="16840" w:code="9"/>
          <w:pgMar w:top="1985" w:right="1304" w:bottom="1247" w:left="1814" w:header="1701" w:footer="397" w:gutter="0"/>
          <w:pgNumType w:chapSep="period"/>
          <w:cols w:space="720"/>
          <w:docGrid w:linePitch="326"/>
        </w:sectPr>
      </w:pPr>
    </w:p>
    <w:p w14:paraId="11013DF4" w14:textId="77777777" w:rsidR="001054C3" w:rsidRDefault="001054C3" w:rsidP="001054C3">
      <w:pPr>
        <w:pStyle w:val="Heading1"/>
      </w:pPr>
      <w:bookmarkStart w:id="221" w:name="_Toc72939558"/>
      <w:r>
        <w:lastRenderedPageBreak/>
        <w:t>References</w:t>
      </w:r>
      <w:bookmarkEnd w:id="221"/>
    </w:p>
    <w:p w14:paraId="5E2CCAD4" w14:textId="09F6E6B6" w:rsidR="00C67DB3" w:rsidRPr="006D6590" w:rsidRDefault="00C67DB3" w:rsidP="006D6590">
      <w:pPr>
        <w:pStyle w:val="Reference"/>
        <w:rPr>
          <w:spacing w:val="-4"/>
        </w:rPr>
      </w:pPr>
      <w:r w:rsidRPr="006D6590">
        <w:rPr>
          <w:spacing w:val="-4"/>
        </w:rPr>
        <w:t xml:space="preserve">ABARES (Australian Bureau of Agricultural and Resource Economics and Sciences) 2020, </w:t>
      </w:r>
      <w:r w:rsidRPr="006D6590">
        <w:rPr>
          <w:i/>
          <w:iCs/>
          <w:spacing w:val="-4"/>
        </w:rPr>
        <w:t>Agricultural overview: March quarter 2020</w:t>
      </w:r>
      <w:r w:rsidRPr="006D6590">
        <w:rPr>
          <w:spacing w:val="-4"/>
        </w:rPr>
        <w:t>, https://www.agriculture.gov.au/</w:t>
      </w:r>
      <w:r w:rsidR="006D6590">
        <w:rPr>
          <w:spacing w:val="-4"/>
        </w:rPr>
        <w:br/>
      </w:r>
      <w:r w:rsidRPr="006D6590">
        <w:rPr>
          <w:spacing w:val="-4"/>
        </w:rPr>
        <w:t>abares/research-topics/agricultural-commodities/mar-2020/agriculture-overview (accessed 4 March 2020).</w:t>
      </w:r>
    </w:p>
    <w:p w14:paraId="776E1E26" w14:textId="77777777" w:rsidR="00C67DB3" w:rsidRPr="006D6590" w:rsidRDefault="00C67DB3" w:rsidP="006D6590">
      <w:pPr>
        <w:pStyle w:val="Reference"/>
        <w:rPr>
          <w:spacing w:val="-4"/>
        </w:rPr>
      </w:pPr>
      <w:r w:rsidRPr="006D6590">
        <w:rPr>
          <w:spacing w:val="-4"/>
        </w:rPr>
        <w:t xml:space="preserve">ABS (Australian Bureau of Statistics) 2002, </w:t>
      </w:r>
      <w:r w:rsidRPr="006D6590">
        <w:rPr>
          <w:i/>
          <w:iCs/>
          <w:spacing w:val="-4"/>
        </w:rPr>
        <w:t>Basic Community Profile</w:t>
      </w:r>
      <w:r w:rsidRPr="006D6590">
        <w:rPr>
          <w:spacing w:val="-4"/>
        </w:rPr>
        <w:t>, Cat. no. 2001, Canberra.</w:t>
      </w:r>
    </w:p>
    <w:p w14:paraId="568790AA" w14:textId="1B8E9933" w:rsidR="00C67DB3" w:rsidRPr="006D6590" w:rsidRDefault="00C67DB3" w:rsidP="006D6590">
      <w:pPr>
        <w:pStyle w:val="Reference"/>
        <w:rPr>
          <w:spacing w:val="-4"/>
        </w:rPr>
      </w:pPr>
      <w:r w:rsidRPr="006D6590">
        <w:rPr>
          <w:spacing w:val="-4"/>
        </w:rPr>
        <w:t>——</w:t>
      </w:r>
      <w:r w:rsidR="005C4C98" w:rsidRPr="006D6590">
        <w:rPr>
          <w:spacing w:val="-4"/>
        </w:rPr>
        <w:t xml:space="preserve"> </w:t>
      </w:r>
      <w:r w:rsidRPr="006D6590">
        <w:rPr>
          <w:spacing w:val="-4"/>
        </w:rPr>
        <w:t xml:space="preserve">2004, </w:t>
      </w:r>
      <w:r w:rsidRPr="006D6590">
        <w:rPr>
          <w:i/>
          <w:iCs/>
          <w:spacing w:val="-4"/>
        </w:rPr>
        <w:t>Water Account, Australia, 2000-01</w:t>
      </w:r>
      <w:r w:rsidRPr="006D6590">
        <w:rPr>
          <w:spacing w:val="-4"/>
        </w:rPr>
        <w:t>, Cat. no. 4610.0, Canberra.</w:t>
      </w:r>
    </w:p>
    <w:p w14:paraId="29C5A326" w14:textId="489807AD" w:rsidR="00C67DB3" w:rsidRPr="006D6590" w:rsidRDefault="00C67DB3" w:rsidP="006D6590">
      <w:pPr>
        <w:pStyle w:val="Reference"/>
        <w:rPr>
          <w:spacing w:val="-4"/>
        </w:rPr>
      </w:pPr>
      <w:r w:rsidRPr="006D6590">
        <w:rPr>
          <w:spacing w:val="-4"/>
        </w:rPr>
        <w:t>——</w:t>
      </w:r>
      <w:r w:rsidR="005C4C98" w:rsidRPr="006D6590">
        <w:rPr>
          <w:spacing w:val="-4"/>
        </w:rPr>
        <w:t xml:space="preserve"> </w:t>
      </w:r>
      <w:r w:rsidRPr="006D6590">
        <w:rPr>
          <w:spacing w:val="-4"/>
        </w:rPr>
        <w:t xml:space="preserve">2016, </w:t>
      </w:r>
      <w:r w:rsidRPr="006D6590">
        <w:rPr>
          <w:i/>
          <w:iCs/>
          <w:spacing w:val="-4"/>
        </w:rPr>
        <w:t>State and Territory (STE) ASGS July 2016 Digital Boundaries in ESRI Shapefile Format</w:t>
      </w:r>
      <w:r w:rsidRPr="006D6590">
        <w:rPr>
          <w:spacing w:val="-4"/>
        </w:rPr>
        <w:t>, Cat. no. 1270.0.55.001, Canberra.</w:t>
      </w:r>
    </w:p>
    <w:p w14:paraId="1E10B708" w14:textId="0B6B6300" w:rsidR="00C67DB3" w:rsidRPr="006D6590" w:rsidRDefault="00C67DB3" w:rsidP="006D6590">
      <w:pPr>
        <w:pStyle w:val="Reference"/>
        <w:rPr>
          <w:spacing w:val="-4"/>
        </w:rPr>
      </w:pPr>
      <w:r w:rsidRPr="006D6590">
        <w:rPr>
          <w:spacing w:val="-4"/>
        </w:rPr>
        <w:t>——</w:t>
      </w:r>
      <w:r w:rsidR="005C4C98" w:rsidRPr="006D6590">
        <w:rPr>
          <w:spacing w:val="-4"/>
        </w:rPr>
        <w:t xml:space="preserve"> </w:t>
      </w:r>
      <w:r w:rsidRPr="006D6590">
        <w:rPr>
          <w:spacing w:val="-4"/>
        </w:rPr>
        <w:t xml:space="preserve">2017, </w:t>
      </w:r>
      <w:r w:rsidRPr="006D6590">
        <w:rPr>
          <w:i/>
          <w:iCs/>
          <w:spacing w:val="-4"/>
        </w:rPr>
        <w:t>2016 Census of Population and Housing: Time Series Profile</w:t>
      </w:r>
      <w:r w:rsidRPr="006D6590">
        <w:rPr>
          <w:spacing w:val="-4"/>
        </w:rPr>
        <w:t>, Cat. no. 2003, Canberra.</w:t>
      </w:r>
    </w:p>
    <w:p w14:paraId="024A79AA" w14:textId="6C402CCD" w:rsidR="00C67DB3" w:rsidRPr="006D6590" w:rsidRDefault="00C67DB3" w:rsidP="006D6590">
      <w:pPr>
        <w:pStyle w:val="Reference"/>
        <w:rPr>
          <w:spacing w:val="-4"/>
        </w:rPr>
      </w:pPr>
      <w:r w:rsidRPr="006D6590">
        <w:rPr>
          <w:spacing w:val="-4"/>
        </w:rPr>
        <w:t>——</w:t>
      </w:r>
      <w:r w:rsidR="005C4C98" w:rsidRPr="006D6590">
        <w:rPr>
          <w:spacing w:val="-4"/>
        </w:rPr>
        <w:t xml:space="preserve"> </w:t>
      </w:r>
      <w:r w:rsidRPr="006D6590">
        <w:rPr>
          <w:spacing w:val="-4"/>
        </w:rPr>
        <w:t xml:space="preserve">2018, </w:t>
      </w:r>
      <w:r w:rsidRPr="006D6590">
        <w:rPr>
          <w:i/>
          <w:iCs/>
          <w:spacing w:val="-4"/>
        </w:rPr>
        <w:t>Population Projections, Australia, 2017 (base) - 2066</w:t>
      </w:r>
      <w:r w:rsidRPr="006D6590">
        <w:rPr>
          <w:spacing w:val="-4"/>
        </w:rPr>
        <w:t>, 22 November, Cat. no. 3222.0, Canberra.</w:t>
      </w:r>
    </w:p>
    <w:p w14:paraId="7E2A145E" w14:textId="7503B2E0" w:rsidR="00C67DB3" w:rsidRPr="006D6590" w:rsidRDefault="00C67DB3" w:rsidP="006D6590">
      <w:pPr>
        <w:pStyle w:val="Reference"/>
        <w:rPr>
          <w:spacing w:val="-4"/>
        </w:rPr>
      </w:pPr>
      <w:r w:rsidRPr="006D6590">
        <w:rPr>
          <w:spacing w:val="-4"/>
        </w:rPr>
        <w:t>——</w:t>
      </w:r>
      <w:r w:rsidR="005C4C98" w:rsidRPr="006D6590">
        <w:rPr>
          <w:spacing w:val="-4"/>
        </w:rPr>
        <w:t xml:space="preserve"> </w:t>
      </w:r>
      <w:r w:rsidRPr="006D6590">
        <w:rPr>
          <w:spacing w:val="-4"/>
        </w:rPr>
        <w:t xml:space="preserve">2019a, </w:t>
      </w:r>
      <w:r w:rsidRPr="006D6590">
        <w:rPr>
          <w:i/>
          <w:iCs/>
          <w:spacing w:val="-4"/>
        </w:rPr>
        <w:t>Australian Demographic Statistics, Jun 2019</w:t>
      </w:r>
      <w:r w:rsidRPr="006D6590">
        <w:rPr>
          <w:spacing w:val="-4"/>
        </w:rPr>
        <w:t>, Cat. no. 3101.0, Canberra.</w:t>
      </w:r>
    </w:p>
    <w:p w14:paraId="2F5C6166" w14:textId="29F225B3" w:rsidR="00C67DB3" w:rsidRPr="006D6590" w:rsidRDefault="00C67DB3" w:rsidP="006D6590">
      <w:pPr>
        <w:pStyle w:val="Reference"/>
        <w:rPr>
          <w:spacing w:val="-4"/>
        </w:rPr>
      </w:pPr>
      <w:r w:rsidRPr="006D6590">
        <w:rPr>
          <w:spacing w:val="-4"/>
        </w:rPr>
        <w:t>——</w:t>
      </w:r>
      <w:r w:rsidR="005C4C98" w:rsidRPr="006D6590">
        <w:rPr>
          <w:spacing w:val="-4"/>
        </w:rPr>
        <w:t xml:space="preserve"> </w:t>
      </w:r>
      <w:r w:rsidRPr="006D6590">
        <w:rPr>
          <w:spacing w:val="-4"/>
        </w:rPr>
        <w:t xml:space="preserve">2019b, </w:t>
      </w:r>
      <w:r w:rsidRPr="006D6590">
        <w:rPr>
          <w:i/>
          <w:iCs/>
          <w:spacing w:val="-4"/>
        </w:rPr>
        <w:t>Historical Population 1901 to 2016</w:t>
      </w:r>
      <w:r w:rsidRPr="006D6590">
        <w:rPr>
          <w:spacing w:val="-4"/>
        </w:rPr>
        <w:t>, Cat. no. 3105.0, Canberra.</w:t>
      </w:r>
    </w:p>
    <w:p w14:paraId="06114B38" w14:textId="499D1446" w:rsidR="00C67DB3" w:rsidRPr="006D6590" w:rsidRDefault="00C67DB3" w:rsidP="006D6590">
      <w:pPr>
        <w:pStyle w:val="Reference"/>
        <w:rPr>
          <w:spacing w:val="-4"/>
        </w:rPr>
      </w:pPr>
      <w:r w:rsidRPr="006D6590">
        <w:rPr>
          <w:spacing w:val="-4"/>
        </w:rPr>
        <w:t>——</w:t>
      </w:r>
      <w:r w:rsidR="005C4C98" w:rsidRPr="006D6590">
        <w:rPr>
          <w:spacing w:val="-4"/>
        </w:rPr>
        <w:t xml:space="preserve"> </w:t>
      </w:r>
      <w:r w:rsidRPr="006D6590">
        <w:rPr>
          <w:spacing w:val="-4"/>
        </w:rPr>
        <w:t xml:space="preserve">2019c, </w:t>
      </w:r>
      <w:r w:rsidRPr="006D6590">
        <w:rPr>
          <w:i/>
          <w:iCs/>
          <w:spacing w:val="-4"/>
        </w:rPr>
        <w:t>Regional Population Growth, Australia, 2018-19</w:t>
      </w:r>
      <w:r w:rsidRPr="006D6590">
        <w:rPr>
          <w:spacing w:val="-4"/>
        </w:rPr>
        <w:t>, Cat. no. 3218.0, Canberra.</w:t>
      </w:r>
    </w:p>
    <w:p w14:paraId="607F498E" w14:textId="08910EF9" w:rsidR="00C67DB3" w:rsidRPr="006D6590" w:rsidRDefault="00C67DB3" w:rsidP="006D6590">
      <w:pPr>
        <w:pStyle w:val="Reference"/>
        <w:rPr>
          <w:spacing w:val="-4"/>
        </w:rPr>
      </w:pPr>
      <w:r w:rsidRPr="006D6590">
        <w:rPr>
          <w:spacing w:val="-4"/>
        </w:rPr>
        <w:t>——</w:t>
      </w:r>
      <w:r w:rsidR="00FC1DE8">
        <w:rPr>
          <w:spacing w:val="-4"/>
        </w:rPr>
        <w:t> </w:t>
      </w:r>
      <w:r w:rsidRPr="006D6590">
        <w:rPr>
          <w:spacing w:val="-4"/>
        </w:rPr>
        <w:t xml:space="preserve">2020a, </w:t>
      </w:r>
      <w:r w:rsidRPr="006D6590">
        <w:rPr>
          <w:i/>
          <w:iCs/>
          <w:spacing w:val="-4"/>
        </w:rPr>
        <w:t>Value of Agricultural Commodities Produced, Australia, 2018-19</w:t>
      </w:r>
      <w:r w:rsidRPr="006D6590">
        <w:rPr>
          <w:spacing w:val="-4"/>
        </w:rPr>
        <w:t>, https://www.abs.gov.au/statistics/industry/agriculture/value-agricultural-commodities-produced-australia/latest-release (accessed 25 January 2021).</w:t>
      </w:r>
    </w:p>
    <w:p w14:paraId="0E35BEDB" w14:textId="1AF253B6" w:rsidR="00C67DB3" w:rsidRPr="006D6590" w:rsidRDefault="00C67DB3" w:rsidP="006D6590">
      <w:pPr>
        <w:pStyle w:val="Reference"/>
        <w:rPr>
          <w:spacing w:val="-4"/>
        </w:rPr>
      </w:pPr>
      <w:r w:rsidRPr="006D6590">
        <w:rPr>
          <w:spacing w:val="-4"/>
        </w:rPr>
        <w:t>——</w:t>
      </w:r>
      <w:r w:rsidR="005C4C98" w:rsidRPr="006D6590">
        <w:rPr>
          <w:spacing w:val="-4"/>
        </w:rPr>
        <w:t xml:space="preserve"> </w:t>
      </w:r>
      <w:r w:rsidRPr="006D6590">
        <w:rPr>
          <w:spacing w:val="-4"/>
        </w:rPr>
        <w:t xml:space="preserve">2020b, </w:t>
      </w:r>
      <w:r w:rsidRPr="006D6590">
        <w:rPr>
          <w:i/>
          <w:iCs/>
          <w:spacing w:val="-4"/>
        </w:rPr>
        <w:t>Water Account, Australia, 2017-18</w:t>
      </w:r>
      <w:r w:rsidRPr="006D6590">
        <w:rPr>
          <w:spacing w:val="-4"/>
        </w:rPr>
        <w:t>, 5 June, Cat. no. 4610.0, Canberra.</w:t>
      </w:r>
    </w:p>
    <w:p w14:paraId="3EE78B1C" w14:textId="2DE4E208" w:rsidR="00C67DB3" w:rsidRPr="006D6590" w:rsidRDefault="00C67DB3" w:rsidP="006D6590">
      <w:pPr>
        <w:pStyle w:val="Reference"/>
        <w:rPr>
          <w:spacing w:val="-4"/>
        </w:rPr>
      </w:pPr>
      <w:r w:rsidRPr="006D6590">
        <w:rPr>
          <w:spacing w:val="-4"/>
        </w:rPr>
        <w:t>——</w:t>
      </w:r>
      <w:r w:rsidR="00FC1DE8">
        <w:rPr>
          <w:spacing w:val="-4"/>
        </w:rPr>
        <w:t> </w:t>
      </w:r>
      <w:r w:rsidRPr="006D6590">
        <w:rPr>
          <w:spacing w:val="-4"/>
        </w:rPr>
        <w:t xml:space="preserve">2020c, </w:t>
      </w:r>
      <w:r w:rsidRPr="006D6590">
        <w:rPr>
          <w:i/>
          <w:iCs/>
          <w:spacing w:val="-4"/>
        </w:rPr>
        <w:t>Water Account, Australia, 2018-19</w:t>
      </w:r>
      <w:r w:rsidRPr="006D6590">
        <w:rPr>
          <w:spacing w:val="-4"/>
        </w:rPr>
        <w:t>, https://www.abs.gov.au/statistics/</w:t>
      </w:r>
      <w:r w:rsidR="006D6590">
        <w:rPr>
          <w:spacing w:val="-4"/>
        </w:rPr>
        <w:br/>
      </w:r>
      <w:r w:rsidRPr="006D6590">
        <w:rPr>
          <w:spacing w:val="-4"/>
        </w:rPr>
        <w:t>environment/environmental-management/water-account-australia/2018-19 (accessed 25 January 2021).</w:t>
      </w:r>
    </w:p>
    <w:p w14:paraId="53D089D0" w14:textId="77777777" w:rsidR="00C67DB3" w:rsidRPr="006D6590" w:rsidRDefault="00C67DB3" w:rsidP="006D6590">
      <w:pPr>
        <w:pStyle w:val="Reference"/>
        <w:rPr>
          <w:spacing w:val="-4"/>
        </w:rPr>
      </w:pPr>
      <w:r w:rsidRPr="006D6590">
        <w:rPr>
          <w:spacing w:val="-4"/>
        </w:rPr>
        <w:t xml:space="preserve">ACCC (Australian Competition and Consumer Commission) 2020, </w:t>
      </w:r>
      <w:r w:rsidRPr="006D6590">
        <w:rPr>
          <w:i/>
          <w:iCs/>
          <w:spacing w:val="-4"/>
        </w:rPr>
        <w:t>Murray-Darling Basin Water Markets Inquiry - Interim Report</w:t>
      </w:r>
      <w:r w:rsidRPr="006D6590">
        <w:rPr>
          <w:spacing w:val="-4"/>
        </w:rPr>
        <w:t>, Canberra.</w:t>
      </w:r>
    </w:p>
    <w:p w14:paraId="0243C5D6" w14:textId="77777777" w:rsidR="00C67DB3" w:rsidRPr="006D6590" w:rsidRDefault="00C67DB3" w:rsidP="006D6590">
      <w:pPr>
        <w:pStyle w:val="Reference"/>
        <w:rPr>
          <w:spacing w:val="-4"/>
        </w:rPr>
      </w:pPr>
      <w:r w:rsidRPr="006D6590">
        <w:rPr>
          <w:spacing w:val="-4"/>
        </w:rPr>
        <w:t xml:space="preserve">Acreman, M., Jain, S., McCartney, M. and Overon, I. 2017, ‘Drivers and Social Context’, </w:t>
      </w:r>
      <w:r w:rsidRPr="006D6590">
        <w:rPr>
          <w:i/>
          <w:iCs/>
          <w:spacing w:val="-4"/>
        </w:rPr>
        <w:t>Water for the Environment: From Policy and Science to Implementation and Management</w:t>
      </w:r>
      <w:r w:rsidRPr="006D6590">
        <w:rPr>
          <w:spacing w:val="-4"/>
        </w:rPr>
        <w:t>, 1st edn, Elsevier.</w:t>
      </w:r>
    </w:p>
    <w:p w14:paraId="7D094AFA" w14:textId="77777777" w:rsidR="00C67DB3" w:rsidRPr="006D6590" w:rsidRDefault="00C67DB3" w:rsidP="006D6590">
      <w:pPr>
        <w:pStyle w:val="Reference"/>
        <w:rPr>
          <w:spacing w:val="-4"/>
        </w:rPr>
      </w:pPr>
      <w:r w:rsidRPr="006D6590">
        <w:rPr>
          <w:spacing w:val="-4"/>
        </w:rPr>
        <w:t xml:space="preserve">Aither 2019, </w:t>
      </w:r>
      <w:r w:rsidRPr="006D6590">
        <w:rPr>
          <w:i/>
          <w:iCs/>
          <w:spacing w:val="-4"/>
        </w:rPr>
        <w:t>Water Markets Report: 2018-19 Review and 2019-20 Outlook</w:t>
      </w:r>
      <w:r w:rsidRPr="006D6590">
        <w:rPr>
          <w:spacing w:val="-4"/>
        </w:rPr>
        <w:t>, Melbourne.</w:t>
      </w:r>
    </w:p>
    <w:p w14:paraId="688E476A" w14:textId="77777777" w:rsidR="00C67DB3" w:rsidRPr="006D6590" w:rsidRDefault="00C67DB3" w:rsidP="006D6590">
      <w:pPr>
        <w:pStyle w:val="Reference"/>
        <w:rPr>
          <w:spacing w:val="-4"/>
        </w:rPr>
      </w:pPr>
      <w:r w:rsidRPr="006D6590">
        <w:rPr>
          <w:spacing w:val="-4"/>
        </w:rPr>
        <w:t xml:space="preserve">—— 2020, </w:t>
      </w:r>
      <w:r w:rsidRPr="006D6590">
        <w:rPr>
          <w:i/>
          <w:iCs/>
          <w:spacing w:val="-4"/>
        </w:rPr>
        <w:t>Water Markets Report: 2019-20 Review and 2020-21 Outlook</w:t>
      </w:r>
      <w:r w:rsidRPr="006D6590">
        <w:rPr>
          <w:spacing w:val="-4"/>
        </w:rPr>
        <w:t>, Melbourne.</w:t>
      </w:r>
    </w:p>
    <w:p w14:paraId="3556A252" w14:textId="77777777" w:rsidR="00C67DB3" w:rsidRPr="006D6590" w:rsidRDefault="00C67DB3" w:rsidP="006D6590">
      <w:pPr>
        <w:pStyle w:val="Reference"/>
        <w:rPr>
          <w:spacing w:val="-4"/>
        </w:rPr>
      </w:pPr>
      <w:r w:rsidRPr="006D6590">
        <w:rPr>
          <w:spacing w:val="-4"/>
        </w:rPr>
        <w:t xml:space="preserve">Australian Governments and the Coalition of Peaks 2020, </w:t>
      </w:r>
      <w:r w:rsidRPr="006D6590">
        <w:rPr>
          <w:i/>
          <w:iCs/>
          <w:spacing w:val="-4"/>
        </w:rPr>
        <w:t>National Agreement on Closing the Gap</w:t>
      </w:r>
      <w:r w:rsidRPr="006D6590">
        <w:rPr>
          <w:spacing w:val="-4"/>
        </w:rPr>
        <w:t>.</w:t>
      </w:r>
    </w:p>
    <w:p w14:paraId="579E0472" w14:textId="77777777" w:rsidR="00C67DB3" w:rsidRPr="006D6590" w:rsidRDefault="00C67DB3" w:rsidP="006D6590">
      <w:pPr>
        <w:pStyle w:val="Reference"/>
        <w:rPr>
          <w:spacing w:val="-4"/>
        </w:rPr>
      </w:pPr>
      <w:r w:rsidRPr="006D6590">
        <w:rPr>
          <w:spacing w:val="-4"/>
        </w:rPr>
        <w:lastRenderedPageBreak/>
        <w:t xml:space="preserve">BDAGroup and CSIRO 2017, </w:t>
      </w:r>
      <w:r w:rsidRPr="006D6590">
        <w:rPr>
          <w:i/>
          <w:iCs/>
          <w:spacing w:val="-4"/>
        </w:rPr>
        <w:t>A Comparative Assessment of Event-Based Mechanisms for Providing Water to the Narran Lakes</w:t>
      </w:r>
      <w:r w:rsidRPr="006D6590">
        <w:rPr>
          <w:spacing w:val="-4"/>
        </w:rPr>
        <w:t>, Prepared for the Commonwealth Environmental Water Office, Canberra.</w:t>
      </w:r>
    </w:p>
    <w:p w14:paraId="641D6F64" w14:textId="77777777" w:rsidR="00C67DB3" w:rsidRPr="006D6590" w:rsidRDefault="00C67DB3" w:rsidP="006D6590">
      <w:pPr>
        <w:pStyle w:val="Reference"/>
        <w:rPr>
          <w:spacing w:val="-4"/>
        </w:rPr>
      </w:pPr>
      <w:r w:rsidRPr="006D6590">
        <w:rPr>
          <w:spacing w:val="-4"/>
        </w:rPr>
        <w:t xml:space="preserve">BOM (Bureau of Meteorology) 2015, </w:t>
      </w:r>
      <w:r w:rsidRPr="006D6590">
        <w:rPr>
          <w:i/>
          <w:iCs/>
          <w:spacing w:val="-4"/>
        </w:rPr>
        <w:t>Recent Rainfall, Drought and Southern Australia’s Long-Term Rainfall Decline</w:t>
      </w:r>
      <w:r w:rsidRPr="006D6590">
        <w:rPr>
          <w:spacing w:val="-4"/>
        </w:rPr>
        <w:t>, Melbourne.</w:t>
      </w:r>
    </w:p>
    <w:p w14:paraId="58473155" w14:textId="66653F27" w:rsidR="00C67DB3" w:rsidRPr="006D6590" w:rsidRDefault="00C67DB3" w:rsidP="006D6590">
      <w:pPr>
        <w:pStyle w:val="Reference"/>
        <w:rPr>
          <w:spacing w:val="-4"/>
        </w:rPr>
      </w:pPr>
      <w:r w:rsidRPr="006D6590">
        <w:rPr>
          <w:spacing w:val="-4"/>
        </w:rPr>
        <w:t>——</w:t>
      </w:r>
      <w:r w:rsidR="005449DB" w:rsidRPr="006D6590">
        <w:rPr>
          <w:spacing w:val="-4"/>
        </w:rPr>
        <w:t xml:space="preserve"> </w:t>
      </w:r>
      <w:r w:rsidRPr="006D6590">
        <w:rPr>
          <w:spacing w:val="-4"/>
        </w:rPr>
        <w:t xml:space="preserve">2019, </w:t>
      </w:r>
      <w:r w:rsidRPr="006D6590">
        <w:rPr>
          <w:i/>
          <w:iCs/>
          <w:spacing w:val="-4"/>
        </w:rPr>
        <w:t>Seasonal Climate Summary for Northern Territory: October to April 2018-19</w:t>
      </w:r>
      <w:r w:rsidRPr="006D6590">
        <w:rPr>
          <w:spacing w:val="-4"/>
        </w:rPr>
        <w:t>, http://www.bom.gov.au/climate/current/season/nt/archive/201904.summary.shtml (accessed 6 January 2021).</w:t>
      </w:r>
    </w:p>
    <w:p w14:paraId="3E3C7A32" w14:textId="5534AC75" w:rsidR="00C67DB3" w:rsidRPr="006D6590" w:rsidRDefault="00C67DB3" w:rsidP="006D6590">
      <w:pPr>
        <w:pStyle w:val="Reference"/>
        <w:rPr>
          <w:spacing w:val="-4"/>
        </w:rPr>
      </w:pPr>
      <w:r w:rsidRPr="006D6590">
        <w:rPr>
          <w:spacing w:val="-4"/>
        </w:rPr>
        <w:t>——</w:t>
      </w:r>
      <w:r w:rsidR="005449DB" w:rsidRPr="006D6590">
        <w:rPr>
          <w:spacing w:val="-4"/>
        </w:rPr>
        <w:t xml:space="preserve"> </w:t>
      </w:r>
      <w:r w:rsidRPr="006D6590">
        <w:rPr>
          <w:spacing w:val="-4"/>
        </w:rPr>
        <w:t xml:space="preserve">2020a, </w:t>
      </w:r>
      <w:r w:rsidRPr="006D6590">
        <w:rPr>
          <w:i/>
          <w:iCs/>
          <w:spacing w:val="-4"/>
        </w:rPr>
        <w:t>Australian Water Markets Report 2018–19</w:t>
      </w:r>
      <w:r w:rsidRPr="006D6590">
        <w:rPr>
          <w:spacing w:val="-4"/>
        </w:rPr>
        <w:t>, Melbourne.</w:t>
      </w:r>
    </w:p>
    <w:p w14:paraId="3128B4B8" w14:textId="56F4ADD4" w:rsidR="00C67DB3" w:rsidRPr="006D6590" w:rsidRDefault="00C67DB3" w:rsidP="006D6590">
      <w:pPr>
        <w:pStyle w:val="Reference"/>
        <w:rPr>
          <w:spacing w:val="-4"/>
        </w:rPr>
      </w:pPr>
      <w:r w:rsidRPr="006D6590">
        <w:rPr>
          <w:spacing w:val="-4"/>
        </w:rPr>
        <w:t>——</w:t>
      </w:r>
      <w:r w:rsidR="005449DB" w:rsidRPr="006D6590">
        <w:rPr>
          <w:spacing w:val="-4"/>
        </w:rPr>
        <w:t xml:space="preserve"> </w:t>
      </w:r>
      <w:r w:rsidRPr="006D6590">
        <w:rPr>
          <w:spacing w:val="-4"/>
        </w:rPr>
        <w:t xml:space="preserve">2020b, </w:t>
      </w:r>
      <w:r w:rsidRPr="006D6590">
        <w:rPr>
          <w:i/>
          <w:iCs/>
          <w:spacing w:val="-4"/>
        </w:rPr>
        <w:t>BOM Water Markets Dashboard</w:t>
      </w:r>
      <w:r w:rsidRPr="006D6590">
        <w:rPr>
          <w:spacing w:val="-4"/>
        </w:rPr>
        <w:t>, http://www.bom.gov.au/water/dashboards/</w:t>
      </w:r>
      <w:r w:rsidR="006D6590">
        <w:rPr>
          <w:spacing w:val="-4"/>
        </w:rPr>
        <w:br/>
      </w:r>
      <w:r w:rsidRPr="006D6590">
        <w:rPr>
          <w:spacing w:val="-4"/>
        </w:rPr>
        <w:t>#/water-markets/national/state/at?s=National (accessed 14 April 2021).</w:t>
      </w:r>
    </w:p>
    <w:p w14:paraId="01A9C78C" w14:textId="173A7F31" w:rsidR="00C67DB3" w:rsidRPr="006D6590" w:rsidRDefault="00C67DB3" w:rsidP="006D6590">
      <w:pPr>
        <w:pStyle w:val="Reference"/>
        <w:rPr>
          <w:spacing w:val="-4"/>
        </w:rPr>
      </w:pPr>
      <w:r w:rsidRPr="006D6590">
        <w:rPr>
          <w:spacing w:val="-4"/>
        </w:rPr>
        <w:t>——</w:t>
      </w:r>
      <w:r w:rsidR="005449DB" w:rsidRPr="006D6590">
        <w:rPr>
          <w:spacing w:val="-4"/>
        </w:rPr>
        <w:t xml:space="preserve"> </w:t>
      </w:r>
      <w:r w:rsidRPr="006D6590">
        <w:rPr>
          <w:spacing w:val="-4"/>
        </w:rPr>
        <w:t xml:space="preserve">2020c, </w:t>
      </w:r>
      <w:r w:rsidRPr="006D6590">
        <w:rPr>
          <w:i/>
          <w:iCs/>
          <w:spacing w:val="-4"/>
        </w:rPr>
        <w:t>Drought Knowledge Centre - Previous Droughts</w:t>
      </w:r>
      <w:r w:rsidRPr="006D6590">
        <w:rPr>
          <w:spacing w:val="-4"/>
        </w:rPr>
        <w:t>, http://www.bom.gov.au/</w:t>
      </w:r>
      <w:r w:rsidR="006D6590">
        <w:rPr>
          <w:spacing w:val="-4"/>
        </w:rPr>
        <w:br/>
      </w:r>
      <w:r w:rsidRPr="006D6590">
        <w:rPr>
          <w:spacing w:val="-4"/>
        </w:rPr>
        <w:t>climate/drought/knowledge-centre/previous-droughts.shtml (accessed 2 December 2020).</w:t>
      </w:r>
    </w:p>
    <w:p w14:paraId="6958EB06" w14:textId="0591C41C" w:rsidR="00C67DB3" w:rsidRPr="006D6590" w:rsidRDefault="00C67DB3" w:rsidP="006D6590">
      <w:pPr>
        <w:pStyle w:val="Reference"/>
        <w:rPr>
          <w:spacing w:val="-4"/>
        </w:rPr>
      </w:pPr>
      <w:r w:rsidRPr="006D6590">
        <w:rPr>
          <w:spacing w:val="-4"/>
        </w:rPr>
        <w:t>——</w:t>
      </w:r>
      <w:r w:rsidR="005449DB" w:rsidRPr="006D6590">
        <w:rPr>
          <w:spacing w:val="-4"/>
        </w:rPr>
        <w:t xml:space="preserve"> </w:t>
      </w:r>
      <w:r w:rsidRPr="006D6590">
        <w:rPr>
          <w:spacing w:val="-4"/>
        </w:rPr>
        <w:t xml:space="preserve">2020d, </w:t>
      </w:r>
      <w:r w:rsidRPr="006D6590">
        <w:rPr>
          <w:i/>
          <w:iCs/>
          <w:spacing w:val="-4"/>
        </w:rPr>
        <w:t>National Performance Report 2018-19: Urban Water Utilities</w:t>
      </w:r>
      <w:r w:rsidRPr="006D6590">
        <w:rPr>
          <w:spacing w:val="-4"/>
        </w:rPr>
        <w:t>, Melbourne.</w:t>
      </w:r>
    </w:p>
    <w:p w14:paraId="133D229F" w14:textId="441D15D4" w:rsidR="00C67DB3" w:rsidRPr="006D6590" w:rsidRDefault="00C67DB3" w:rsidP="006D6590">
      <w:pPr>
        <w:pStyle w:val="Reference"/>
        <w:rPr>
          <w:spacing w:val="-4"/>
        </w:rPr>
      </w:pPr>
      <w:r w:rsidRPr="006D6590">
        <w:rPr>
          <w:spacing w:val="-4"/>
        </w:rPr>
        <w:t>——</w:t>
      </w:r>
      <w:r w:rsidR="005449DB" w:rsidRPr="006D6590">
        <w:rPr>
          <w:spacing w:val="-4"/>
        </w:rPr>
        <w:t xml:space="preserve"> </w:t>
      </w:r>
      <w:r w:rsidRPr="006D6590">
        <w:rPr>
          <w:spacing w:val="-4"/>
        </w:rPr>
        <w:t xml:space="preserve">2020e, </w:t>
      </w:r>
      <w:r w:rsidRPr="006D6590">
        <w:rPr>
          <w:i/>
          <w:iCs/>
          <w:spacing w:val="-4"/>
        </w:rPr>
        <w:t>National Water Account</w:t>
      </w:r>
      <w:r w:rsidRPr="006D6590">
        <w:rPr>
          <w:spacing w:val="-4"/>
        </w:rPr>
        <w:t>, http://www.bom.gov.au/water/nwa/2019/index.shtml (accessed 25 January 2021).</w:t>
      </w:r>
    </w:p>
    <w:p w14:paraId="2B65D9BF" w14:textId="2ADB2D93" w:rsidR="00C67DB3" w:rsidRPr="006D6590" w:rsidRDefault="00C67DB3" w:rsidP="006D6590">
      <w:pPr>
        <w:pStyle w:val="Reference"/>
        <w:rPr>
          <w:spacing w:val="-4"/>
        </w:rPr>
      </w:pPr>
      <w:r w:rsidRPr="006D6590">
        <w:rPr>
          <w:spacing w:val="-4"/>
        </w:rPr>
        <w:t>——</w:t>
      </w:r>
      <w:r w:rsidR="005449DB" w:rsidRPr="006D6590">
        <w:rPr>
          <w:spacing w:val="-4"/>
        </w:rPr>
        <w:t xml:space="preserve"> </w:t>
      </w:r>
      <w:r w:rsidRPr="006D6590">
        <w:rPr>
          <w:spacing w:val="-4"/>
        </w:rPr>
        <w:t xml:space="preserve">2020f, </w:t>
      </w:r>
      <w:r w:rsidRPr="006D6590">
        <w:rPr>
          <w:i/>
          <w:iCs/>
          <w:spacing w:val="-4"/>
        </w:rPr>
        <w:t>Seasonal Climate Summary for Northern Territory: October to April 2019-20</w:t>
      </w:r>
      <w:r w:rsidRPr="006D6590">
        <w:rPr>
          <w:spacing w:val="-4"/>
        </w:rPr>
        <w:t>, http://www.bom.gov.au/climate/current/season/nt/archive/202004.summary.shtml (accessed 6 January 2021).</w:t>
      </w:r>
    </w:p>
    <w:p w14:paraId="7D5F3FC3" w14:textId="357025C9" w:rsidR="00C67DB3" w:rsidRPr="006D6590" w:rsidRDefault="00C67DB3" w:rsidP="006D6590">
      <w:pPr>
        <w:pStyle w:val="Reference"/>
        <w:rPr>
          <w:spacing w:val="-4"/>
        </w:rPr>
      </w:pPr>
      <w:r w:rsidRPr="006D6590">
        <w:rPr>
          <w:spacing w:val="-4"/>
        </w:rPr>
        <w:t>——</w:t>
      </w:r>
      <w:r w:rsidR="005449DB" w:rsidRPr="006D6590">
        <w:rPr>
          <w:spacing w:val="-4"/>
        </w:rPr>
        <w:t xml:space="preserve"> </w:t>
      </w:r>
      <w:r w:rsidRPr="006D6590">
        <w:rPr>
          <w:spacing w:val="-4"/>
        </w:rPr>
        <w:t xml:space="preserve">2020g, </w:t>
      </w:r>
      <w:r w:rsidRPr="006D6590">
        <w:rPr>
          <w:i/>
          <w:iCs/>
          <w:spacing w:val="-4"/>
        </w:rPr>
        <w:t>Urban National Water Performance Report 2019-20: Urban Water Utilities dataset</w:t>
      </w:r>
      <w:r w:rsidRPr="006D6590">
        <w:rPr>
          <w:spacing w:val="-4"/>
        </w:rPr>
        <w:t>, Part B, Melbourne.</w:t>
      </w:r>
    </w:p>
    <w:p w14:paraId="4A1E11B4" w14:textId="2A667181" w:rsidR="00C67DB3" w:rsidRPr="006D6590" w:rsidRDefault="00C67DB3" w:rsidP="006D6590">
      <w:pPr>
        <w:pStyle w:val="Reference"/>
        <w:rPr>
          <w:spacing w:val="-4"/>
        </w:rPr>
      </w:pPr>
      <w:r w:rsidRPr="006D6590">
        <w:rPr>
          <w:spacing w:val="-4"/>
        </w:rPr>
        <w:t>——</w:t>
      </w:r>
      <w:r w:rsidR="005449DB" w:rsidRPr="006D6590">
        <w:rPr>
          <w:spacing w:val="-4"/>
        </w:rPr>
        <w:t xml:space="preserve"> </w:t>
      </w:r>
      <w:r w:rsidRPr="006D6590">
        <w:rPr>
          <w:spacing w:val="-4"/>
        </w:rPr>
        <w:t xml:space="preserve">2021, </w:t>
      </w:r>
      <w:r w:rsidRPr="006D6590">
        <w:rPr>
          <w:i/>
          <w:iCs/>
          <w:spacing w:val="-4"/>
        </w:rPr>
        <w:t>National Performance Report 2019-20: Urban Water Utilities</w:t>
      </w:r>
      <w:r w:rsidRPr="006D6590">
        <w:rPr>
          <w:spacing w:val="-4"/>
        </w:rPr>
        <w:t>, Melbourne.</w:t>
      </w:r>
    </w:p>
    <w:p w14:paraId="7E99F596" w14:textId="77777777" w:rsidR="00C67DB3" w:rsidRPr="006D6590" w:rsidRDefault="00C67DB3" w:rsidP="006D6590">
      <w:pPr>
        <w:pStyle w:val="Reference"/>
        <w:rPr>
          <w:spacing w:val="-4"/>
        </w:rPr>
      </w:pPr>
      <w:r w:rsidRPr="006D6590">
        <w:rPr>
          <w:spacing w:val="-4"/>
        </w:rPr>
        <w:t xml:space="preserve">—— and CSIRO (Bureau of Meteorology and Commonwealth Scientific and Industrial Research Organisation) 2020, </w:t>
      </w:r>
      <w:r w:rsidRPr="006D6590">
        <w:rPr>
          <w:i/>
          <w:iCs/>
          <w:spacing w:val="-4"/>
        </w:rPr>
        <w:t>State of the Climate 2020</w:t>
      </w:r>
      <w:r w:rsidRPr="006D6590">
        <w:rPr>
          <w:spacing w:val="-4"/>
        </w:rPr>
        <w:t>, Melbourne.</w:t>
      </w:r>
    </w:p>
    <w:p w14:paraId="736F7B78" w14:textId="77777777" w:rsidR="00C67DB3" w:rsidRPr="006D6590" w:rsidRDefault="00C67DB3" w:rsidP="006D6590">
      <w:pPr>
        <w:pStyle w:val="Reference"/>
        <w:rPr>
          <w:spacing w:val="-4"/>
        </w:rPr>
      </w:pPr>
      <w:r w:rsidRPr="006D6590">
        <w:rPr>
          <w:spacing w:val="-4"/>
        </w:rPr>
        <w:t xml:space="preserve">Building Queensland 2017, </w:t>
      </w:r>
      <w:r w:rsidRPr="006D6590">
        <w:rPr>
          <w:i/>
          <w:iCs/>
          <w:spacing w:val="-4"/>
        </w:rPr>
        <w:t>Detailed Business Case: Lower Fitzroy River Infrastructure Project</w:t>
      </w:r>
      <w:r w:rsidRPr="006D6590">
        <w:rPr>
          <w:spacing w:val="-4"/>
        </w:rPr>
        <w:t>, Brisbane.</w:t>
      </w:r>
    </w:p>
    <w:p w14:paraId="16E08DBA" w14:textId="77777777" w:rsidR="00C67DB3" w:rsidRPr="006D6590" w:rsidRDefault="00C67DB3" w:rsidP="006D6590">
      <w:pPr>
        <w:pStyle w:val="Reference"/>
        <w:rPr>
          <w:spacing w:val="-4"/>
        </w:rPr>
      </w:pPr>
      <w:r w:rsidRPr="006D6590">
        <w:rPr>
          <w:spacing w:val="-4"/>
        </w:rPr>
        <w:t xml:space="preserve">Centre for Population 2020, </w:t>
      </w:r>
      <w:r w:rsidRPr="006D6590">
        <w:rPr>
          <w:i/>
          <w:iCs/>
          <w:spacing w:val="-4"/>
        </w:rPr>
        <w:t>Centre for Population Projections: Capital city and rest-of-state population and components, 2019-20 to 2030-31</w:t>
      </w:r>
      <w:r w:rsidRPr="006D6590">
        <w:rPr>
          <w:spacing w:val="-4"/>
        </w:rPr>
        <w:t>, Canberra.</w:t>
      </w:r>
    </w:p>
    <w:p w14:paraId="3FA9D809" w14:textId="77777777" w:rsidR="00C67DB3" w:rsidRPr="006D6590" w:rsidRDefault="00C67DB3" w:rsidP="006D6590">
      <w:pPr>
        <w:pStyle w:val="Reference"/>
        <w:rPr>
          <w:spacing w:val="-4"/>
        </w:rPr>
      </w:pPr>
      <w:r w:rsidRPr="006D6590">
        <w:rPr>
          <w:spacing w:val="-4"/>
        </w:rPr>
        <w:t xml:space="preserve">CEWO (Commonwealth Environmental Water Office) 2011, </w:t>
      </w:r>
      <w:r w:rsidRPr="006D6590">
        <w:rPr>
          <w:i/>
          <w:iCs/>
          <w:spacing w:val="-4"/>
        </w:rPr>
        <w:t>Commonwealth Environmental Water - Trading Arrangements, Discussion Paper</w:t>
      </w:r>
      <w:r w:rsidRPr="006D6590">
        <w:rPr>
          <w:spacing w:val="-4"/>
        </w:rPr>
        <w:t>, Canberra.</w:t>
      </w:r>
    </w:p>
    <w:p w14:paraId="71D1A556" w14:textId="4D65FC7F" w:rsidR="00C67DB3" w:rsidRPr="006D6590" w:rsidRDefault="00C67DB3" w:rsidP="006D6590">
      <w:pPr>
        <w:pStyle w:val="Reference"/>
        <w:rPr>
          <w:spacing w:val="-4"/>
        </w:rPr>
      </w:pPr>
      <w:r w:rsidRPr="006D6590">
        <w:rPr>
          <w:spacing w:val="-4"/>
        </w:rPr>
        <w:t>——</w:t>
      </w:r>
      <w:r w:rsidR="00EC3E0B" w:rsidRPr="006D6590">
        <w:rPr>
          <w:spacing w:val="-4"/>
        </w:rPr>
        <w:t xml:space="preserve"> </w:t>
      </w:r>
      <w:r w:rsidRPr="006D6590">
        <w:rPr>
          <w:spacing w:val="-4"/>
        </w:rPr>
        <w:t xml:space="preserve">2020a, </w:t>
      </w:r>
      <w:r w:rsidRPr="006D6590">
        <w:rPr>
          <w:i/>
          <w:iCs/>
          <w:spacing w:val="-4"/>
        </w:rPr>
        <w:t>Environmental Water Holdings</w:t>
      </w:r>
      <w:r w:rsidRPr="006D6590">
        <w:rPr>
          <w:spacing w:val="-4"/>
        </w:rPr>
        <w:t>, http://www.environment.gov.au/water/</w:t>
      </w:r>
      <w:r w:rsidR="006D6590">
        <w:rPr>
          <w:spacing w:val="-4"/>
        </w:rPr>
        <w:br/>
      </w:r>
      <w:r w:rsidRPr="006D6590">
        <w:rPr>
          <w:spacing w:val="-4"/>
        </w:rPr>
        <w:t>cewo/about/water-holdings (accessed 10 September 2020).</w:t>
      </w:r>
    </w:p>
    <w:p w14:paraId="12C0CCCE" w14:textId="5C9460F0" w:rsidR="00C67DB3" w:rsidRPr="006D6590" w:rsidRDefault="00C67DB3" w:rsidP="006D6590">
      <w:pPr>
        <w:pStyle w:val="Reference"/>
        <w:rPr>
          <w:spacing w:val="-6"/>
        </w:rPr>
      </w:pPr>
      <w:r w:rsidRPr="006D6590">
        <w:rPr>
          <w:spacing w:val="-6"/>
        </w:rPr>
        <w:t>——</w:t>
      </w:r>
      <w:r w:rsidR="00EC3E0B" w:rsidRPr="006D6590">
        <w:rPr>
          <w:spacing w:val="-6"/>
        </w:rPr>
        <w:t xml:space="preserve"> </w:t>
      </w:r>
      <w:r w:rsidRPr="006D6590">
        <w:rPr>
          <w:spacing w:val="-6"/>
        </w:rPr>
        <w:t xml:space="preserve">2020b, </w:t>
      </w:r>
      <w:r w:rsidRPr="006D6590">
        <w:rPr>
          <w:i/>
          <w:iCs/>
          <w:spacing w:val="-6"/>
        </w:rPr>
        <w:t>Recent Highlights from the Flow-MER Program</w:t>
      </w:r>
      <w:r w:rsidRPr="006D6590">
        <w:rPr>
          <w:spacing w:val="-6"/>
        </w:rPr>
        <w:t>, https://www.environment.gov.au/</w:t>
      </w:r>
      <w:r w:rsidR="006D6590" w:rsidRPr="006D6590">
        <w:rPr>
          <w:spacing w:val="-6"/>
        </w:rPr>
        <w:br/>
      </w:r>
      <w:r w:rsidRPr="006D6590">
        <w:rPr>
          <w:spacing w:val="-6"/>
        </w:rPr>
        <w:t>water/cewo/monitoring/highlights (accessed 17 September 2020).</w:t>
      </w:r>
    </w:p>
    <w:p w14:paraId="097DB85B" w14:textId="0D9D2195" w:rsidR="00C67DB3" w:rsidRPr="006D6590" w:rsidRDefault="00C67DB3" w:rsidP="006D6590">
      <w:pPr>
        <w:pStyle w:val="Reference"/>
        <w:rPr>
          <w:spacing w:val="-4"/>
        </w:rPr>
      </w:pPr>
      <w:r w:rsidRPr="006D6590">
        <w:rPr>
          <w:spacing w:val="-4"/>
        </w:rPr>
        <w:t>——</w:t>
      </w:r>
      <w:r w:rsidR="00EC3E0B" w:rsidRPr="006D6590">
        <w:rPr>
          <w:spacing w:val="-4"/>
        </w:rPr>
        <w:t xml:space="preserve"> </w:t>
      </w:r>
      <w:r w:rsidRPr="006D6590">
        <w:rPr>
          <w:spacing w:val="-4"/>
        </w:rPr>
        <w:t xml:space="preserve">2020c, </w:t>
      </w:r>
      <w:r w:rsidRPr="006D6590">
        <w:rPr>
          <w:i/>
          <w:iCs/>
          <w:spacing w:val="-4"/>
        </w:rPr>
        <w:t>Water Management Plan 2020-21</w:t>
      </w:r>
      <w:r w:rsidRPr="006D6590">
        <w:rPr>
          <w:spacing w:val="-4"/>
        </w:rPr>
        <w:t>, Canberra.</w:t>
      </w:r>
    </w:p>
    <w:p w14:paraId="37163368" w14:textId="77777777" w:rsidR="00C67DB3" w:rsidRPr="006D6590" w:rsidRDefault="00C67DB3" w:rsidP="006D6590">
      <w:pPr>
        <w:pStyle w:val="Reference"/>
        <w:rPr>
          <w:spacing w:val="-4"/>
        </w:rPr>
      </w:pPr>
      <w:r w:rsidRPr="006D6590">
        <w:rPr>
          <w:spacing w:val="-4"/>
        </w:rPr>
        <w:lastRenderedPageBreak/>
        <w:t xml:space="preserve">Chen, Y., Colloff, M.J., Lukasiewicz, A. and Pittock, J. 2020, ‘A trickle, not a flood: environmental watering in the Murray–Darling Basin, Australia’, </w:t>
      </w:r>
      <w:r w:rsidRPr="006D6590">
        <w:rPr>
          <w:i/>
          <w:iCs/>
          <w:spacing w:val="-4"/>
        </w:rPr>
        <w:t>Marine and Freshwater Research</w:t>
      </w:r>
      <w:r w:rsidRPr="006D6590">
        <w:rPr>
          <w:spacing w:val="-4"/>
        </w:rPr>
        <w:t>, no. MF20172, p. A-S.</w:t>
      </w:r>
    </w:p>
    <w:p w14:paraId="69BEE708" w14:textId="77777777" w:rsidR="00C67DB3" w:rsidRPr="006D6590" w:rsidRDefault="00C67DB3" w:rsidP="006D6590">
      <w:pPr>
        <w:pStyle w:val="Reference"/>
        <w:rPr>
          <w:spacing w:val="-4"/>
        </w:rPr>
      </w:pPr>
      <w:r w:rsidRPr="006D6590">
        <w:rPr>
          <w:spacing w:val="-4"/>
        </w:rPr>
        <w:t xml:space="preserve">COAG (Council of Australian Governments) 2010, </w:t>
      </w:r>
      <w:r w:rsidRPr="006D6590">
        <w:rPr>
          <w:i/>
          <w:iCs/>
          <w:spacing w:val="-4"/>
        </w:rPr>
        <w:t>NWI Policy Guidelines for Water Planning and Management</w:t>
      </w:r>
      <w:r w:rsidRPr="006D6590">
        <w:rPr>
          <w:spacing w:val="-4"/>
        </w:rPr>
        <w:t>, Canberra.</w:t>
      </w:r>
    </w:p>
    <w:p w14:paraId="5BB21E55" w14:textId="601E0F18" w:rsidR="00C67DB3" w:rsidRPr="006D6590" w:rsidRDefault="00C67DB3" w:rsidP="006D6590">
      <w:pPr>
        <w:pStyle w:val="Reference"/>
        <w:rPr>
          <w:spacing w:val="-4"/>
        </w:rPr>
      </w:pPr>
      <w:r w:rsidRPr="006D6590">
        <w:rPr>
          <w:spacing w:val="-4"/>
        </w:rPr>
        <w:t>——</w:t>
      </w:r>
      <w:r w:rsidR="00EC3E0B" w:rsidRPr="006D6590">
        <w:rPr>
          <w:spacing w:val="-4"/>
        </w:rPr>
        <w:t xml:space="preserve"> </w:t>
      </w:r>
      <w:r w:rsidRPr="006D6590">
        <w:rPr>
          <w:spacing w:val="-4"/>
        </w:rPr>
        <w:t xml:space="preserve">2011, </w:t>
      </w:r>
      <w:r w:rsidRPr="006D6590">
        <w:rPr>
          <w:i/>
          <w:iCs/>
          <w:spacing w:val="-4"/>
        </w:rPr>
        <w:t>Intergovernmental Agreement on Federal Financial Relations</w:t>
      </w:r>
      <w:r w:rsidRPr="006D6590">
        <w:rPr>
          <w:spacing w:val="-4"/>
        </w:rPr>
        <w:t>, Canberra.</w:t>
      </w:r>
    </w:p>
    <w:p w14:paraId="5B428974" w14:textId="7C35EDDF" w:rsidR="00C67DB3" w:rsidRPr="006D6590" w:rsidRDefault="00C67DB3" w:rsidP="006D6590">
      <w:pPr>
        <w:pStyle w:val="Reference"/>
        <w:rPr>
          <w:spacing w:val="-4"/>
        </w:rPr>
      </w:pPr>
      <w:r w:rsidRPr="006D6590">
        <w:rPr>
          <w:spacing w:val="-4"/>
        </w:rPr>
        <w:t>——</w:t>
      </w:r>
      <w:r w:rsidR="00EC3E0B" w:rsidRPr="006D6590">
        <w:rPr>
          <w:spacing w:val="-4"/>
        </w:rPr>
        <w:t xml:space="preserve"> </w:t>
      </w:r>
      <w:r w:rsidRPr="006D6590">
        <w:rPr>
          <w:spacing w:val="-4"/>
        </w:rPr>
        <w:t xml:space="preserve">2012, </w:t>
      </w:r>
      <w:r w:rsidRPr="006D6590">
        <w:rPr>
          <w:i/>
          <w:iCs/>
          <w:spacing w:val="-4"/>
        </w:rPr>
        <w:t>National Framework for Compliance and Enforcement Systems for Water Resource Management</w:t>
      </w:r>
      <w:r w:rsidRPr="006D6590">
        <w:rPr>
          <w:spacing w:val="-4"/>
        </w:rPr>
        <w:t>, Canberra.</w:t>
      </w:r>
    </w:p>
    <w:p w14:paraId="22A01A88" w14:textId="77777777" w:rsidR="00C67DB3" w:rsidRPr="006D6590" w:rsidRDefault="00C67DB3" w:rsidP="006D6590">
      <w:pPr>
        <w:pStyle w:val="Reference"/>
        <w:rPr>
          <w:spacing w:val="-4"/>
        </w:rPr>
      </w:pPr>
      <w:r w:rsidRPr="006D6590">
        <w:rPr>
          <w:spacing w:val="-4"/>
        </w:rPr>
        <w:t xml:space="preserve">CSIRO (Commonwealth Scientific and Industrial Research Organisation) 2020, </w:t>
      </w:r>
      <w:r w:rsidRPr="006D6590">
        <w:rPr>
          <w:i/>
          <w:iCs/>
          <w:spacing w:val="-4"/>
        </w:rPr>
        <w:t>Understanding the causes and impacts of flooding</w:t>
      </w:r>
      <w:r w:rsidRPr="006D6590">
        <w:rPr>
          <w:spacing w:val="-4"/>
        </w:rPr>
        <w:t>, https://www.csiro.au/en/research/natural-disasters/floods/causes-and-impacts (accessed 1 April 2020).</w:t>
      </w:r>
    </w:p>
    <w:p w14:paraId="7326A2C1" w14:textId="77777777" w:rsidR="00C67DB3" w:rsidRPr="006D6590" w:rsidRDefault="00C67DB3" w:rsidP="006D6590">
      <w:pPr>
        <w:pStyle w:val="Reference"/>
        <w:rPr>
          <w:spacing w:val="-4"/>
        </w:rPr>
      </w:pPr>
      <w:r w:rsidRPr="006D6590">
        <w:rPr>
          <w:spacing w:val="-4"/>
        </w:rPr>
        <w:t xml:space="preserve">Daly, J. and Lancy, A. 2011, </w:t>
      </w:r>
      <w:r w:rsidRPr="006D6590">
        <w:rPr>
          <w:i/>
          <w:iCs/>
          <w:spacing w:val="-4"/>
        </w:rPr>
        <w:t>Investing in Regions: Making a Difference</w:t>
      </w:r>
      <w:r w:rsidRPr="006D6590">
        <w:rPr>
          <w:spacing w:val="-4"/>
        </w:rPr>
        <w:t>, Grattan Institute, Melbourne.</w:t>
      </w:r>
    </w:p>
    <w:p w14:paraId="2C3EADAA" w14:textId="4357B7FF" w:rsidR="00C67DB3" w:rsidRPr="006D6590" w:rsidRDefault="00C67DB3" w:rsidP="006D6590">
      <w:pPr>
        <w:pStyle w:val="Reference"/>
        <w:rPr>
          <w:spacing w:val="-4"/>
        </w:rPr>
      </w:pPr>
      <w:r w:rsidRPr="006D6590">
        <w:rPr>
          <w:spacing w:val="-4"/>
        </w:rPr>
        <w:t xml:space="preserve">DAWE (Cth) (Department of Agriculture, Water Resources and Environment (Cth)) 2019, </w:t>
      </w:r>
      <w:r w:rsidRPr="006D6590">
        <w:rPr>
          <w:i/>
          <w:iCs/>
          <w:spacing w:val="-4"/>
        </w:rPr>
        <w:t>National Urban Water Planning Principles</w:t>
      </w:r>
      <w:r w:rsidRPr="006D6590">
        <w:rPr>
          <w:spacing w:val="-4"/>
        </w:rPr>
        <w:t>, http://www.agriculture.gov.au/water/</w:t>
      </w:r>
      <w:r w:rsidR="006D6590">
        <w:rPr>
          <w:spacing w:val="-4"/>
        </w:rPr>
        <w:br/>
      </w:r>
      <w:r w:rsidRPr="006D6590">
        <w:rPr>
          <w:spacing w:val="-4"/>
        </w:rPr>
        <w:t>urban/policy-reform-urban-water/planning-principles (accessed 1 October 2020).</w:t>
      </w:r>
    </w:p>
    <w:p w14:paraId="7B992DCB" w14:textId="77777777" w:rsidR="00C67DB3" w:rsidRPr="006D6590" w:rsidRDefault="00C67DB3" w:rsidP="006D6590">
      <w:pPr>
        <w:pStyle w:val="Reference"/>
        <w:rPr>
          <w:spacing w:val="-4"/>
        </w:rPr>
      </w:pPr>
      <w:r w:rsidRPr="006D6590">
        <w:rPr>
          <w:spacing w:val="-4"/>
        </w:rPr>
        <w:t xml:space="preserve">DAWE (Department of Agriculture, Water and the Environment) 2020, </w:t>
      </w:r>
      <w:r w:rsidRPr="006D6590">
        <w:rPr>
          <w:i/>
          <w:iCs/>
          <w:spacing w:val="-4"/>
        </w:rPr>
        <w:t>Rural Financial Counselling Service (RFCS)</w:t>
      </w:r>
      <w:r w:rsidRPr="006D6590">
        <w:rPr>
          <w:spacing w:val="-4"/>
        </w:rPr>
        <w:t>, https://www.agriculture.gov.au/ag-farm-food/drought/assistance/rural-financial-counselling-service (accessed 4 July 2021).</w:t>
      </w:r>
    </w:p>
    <w:p w14:paraId="3E7EB92F" w14:textId="3BF38244" w:rsidR="00C67DB3" w:rsidRPr="006D6590" w:rsidRDefault="00C67DB3" w:rsidP="006D6590">
      <w:pPr>
        <w:pStyle w:val="Reference"/>
        <w:rPr>
          <w:spacing w:val="-4"/>
        </w:rPr>
      </w:pPr>
      <w:r w:rsidRPr="006D6590">
        <w:rPr>
          <w:spacing w:val="-4"/>
        </w:rPr>
        <w:t>——</w:t>
      </w:r>
      <w:r w:rsidR="0059707B" w:rsidRPr="006D6590">
        <w:rPr>
          <w:spacing w:val="-4"/>
        </w:rPr>
        <w:t xml:space="preserve"> </w:t>
      </w:r>
      <w:r w:rsidRPr="006D6590">
        <w:rPr>
          <w:spacing w:val="-4"/>
        </w:rPr>
        <w:t xml:space="preserve">2021, </w:t>
      </w:r>
      <w:r w:rsidRPr="006D6590">
        <w:rPr>
          <w:i/>
          <w:iCs/>
          <w:spacing w:val="-4"/>
        </w:rPr>
        <w:t>Bilateral agreements</w:t>
      </w:r>
      <w:r w:rsidRPr="006D6590">
        <w:rPr>
          <w:spacing w:val="-4"/>
        </w:rPr>
        <w:t>, http://www.environment.gov.au/ (accessed 21 April 2021).</w:t>
      </w:r>
    </w:p>
    <w:p w14:paraId="1E932468" w14:textId="77777777" w:rsidR="00C67DB3" w:rsidRPr="006D6590" w:rsidRDefault="00C67DB3" w:rsidP="006D6590">
      <w:pPr>
        <w:pStyle w:val="Reference"/>
        <w:rPr>
          <w:spacing w:val="-4"/>
        </w:rPr>
      </w:pPr>
      <w:r w:rsidRPr="006D6590">
        <w:rPr>
          <w:spacing w:val="-4"/>
        </w:rPr>
        <w:t xml:space="preserve">DAWR (Department of Agriculture and Water Resources) 2009, </w:t>
      </w:r>
      <w:r w:rsidRPr="006D6590">
        <w:rPr>
          <w:i/>
          <w:iCs/>
          <w:spacing w:val="-4"/>
        </w:rPr>
        <w:t>National Framework for Non-Urban Water Metering: Policy paper</w:t>
      </w:r>
      <w:r w:rsidRPr="006D6590">
        <w:rPr>
          <w:spacing w:val="-4"/>
        </w:rPr>
        <w:t>.</w:t>
      </w:r>
    </w:p>
    <w:p w14:paraId="0DE86594" w14:textId="77777777" w:rsidR="00C67DB3" w:rsidRPr="006D6590" w:rsidRDefault="00C67DB3" w:rsidP="006D6590">
      <w:pPr>
        <w:pStyle w:val="Reference"/>
        <w:rPr>
          <w:spacing w:val="-4"/>
        </w:rPr>
      </w:pPr>
      <w:r w:rsidRPr="006D6590">
        <w:rPr>
          <w:spacing w:val="-4"/>
        </w:rPr>
        <w:t xml:space="preserve">DELWP (Vic) (Department of Environment, Land, Water and Planning (Vic)) 2019, </w:t>
      </w:r>
      <w:r w:rsidRPr="006D6590">
        <w:rPr>
          <w:i/>
          <w:iCs/>
          <w:spacing w:val="-4"/>
        </w:rPr>
        <w:t>Closing the Loop Report - Water Market Transparency</w:t>
      </w:r>
      <w:r w:rsidRPr="006D6590">
        <w:rPr>
          <w:spacing w:val="-4"/>
        </w:rPr>
        <w:t>, Melbourne.</w:t>
      </w:r>
    </w:p>
    <w:p w14:paraId="278D904C" w14:textId="07D94718" w:rsidR="00C67DB3" w:rsidRPr="006D6590" w:rsidRDefault="00C67DB3" w:rsidP="006D6590">
      <w:pPr>
        <w:pStyle w:val="Reference"/>
        <w:rPr>
          <w:spacing w:val="-4"/>
        </w:rPr>
      </w:pPr>
      <w:r w:rsidRPr="006D6590">
        <w:rPr>
          <w:spacing w:val="-4"/>
        </w:rPr>
        <w:t>——</w:t>
      </w:r>
      <w:r w:rsidR="0059707B" w:rsidRPr="006D6590">
        <w:rPr>
          <w:spacing w:val="-4"/>
        </w:rPr>
        <w:t xml:space="preserve"> </w:t>
      </w:r>
      <w:r w:rsidRPr="006D6590">
        <w:rPr>
          <w:spacing w:val="-4"/>
        </w:rPr>
        <w:t xml:space="preserve">2020, </w:t>
      </w:r>
      <w:r w:rsidRPr="006D6590">
        <w:rPr>
          <w:i/>
          <w:iCs/>
          <w:spacing w:val="-4"/>
        </w:rPr>
        <w:t>Long-Term Water Resource Assessment for Southern Victoria</w:t>
      </w:r>
      <w:r w:rsidRPr="006D6590">
        <w:rPr>
          <w:spacing w:val="-4"/>
        </w:rPr>
        <w:t>.</w:t>
      </w:r>
    </w:p>
    <w:p w14:paraId="7CE5698E" w14:textId="77777777" w:rsidR="00C67DB3" w:rsidRPr="006D6590" w:rsidRDefault="00C67DB3" w:rsidP="006D6590">
      <w:pPr>
        <w:pStyle w:val="Reference"/>
        <w:rPr>
          <w:spacing w:val="-4"/>
        </w:rPr>
      </w:pPr>
      <w:r w:rsidRPr="006D6590">
        <w:rPr>
          <w:spacing w:val="-4"/>
        </w:rPr>
        <w:t xml:space="preserve">DENR (NT) (Department of Environment and Natural Resources (NT)) 2020, </w:t>
      </w:r>
      <w:r w:rsidRPr="006D6590">
        <w:rPr>
          <w:i/>
          <w:iCs/>
          <w:spacing w:val="-4"/>
        </w:rPr>
        <w:t>Water Allocation Plan</w:t>
      </w:r>
      <w:r w:rsidRPr="006D6590">
        <w:rPr>
          <w:spacing w:val="-4"/>
        </w:rPr>
        <w:t>, https://nrmaps.nt.gov.au/nrmaps.html (accessed 8 October 2020).</w:t>
      </w:r>
    </w:p>
    <w:p w14:paraId="080F6466" w14:textId="77777777" w:rsidR="00C67DB3" w:rsidRPr="006D6590" w:rsidRDefault="00C67DB3" w:rsidP="006D6590">
      <w:pPr>
        <w:pStyle w:val="Reference"/>
        <w:rPr>
          <w:spacing w:val="-4"/>
        </w:rPr>
      </w:pPr>
      <w:r w:rsidRPr="006D6590">
        <w:rPr>
          <w:spacing w:val="-4"/>
        </w:rPr>
        <w:t xml:space="preserve">DEW (SA) (Department for Environment and Water (SA)) 2020, </w:t>
      </w:r>
      <w:r w:rsidRPr="006D6590">
        <w:rPr>
          <w:i/>
          <w:iCs/>
          <w:spacing w:val="-4"/>
        </w:rPr>
        <w:t>South Australian River Murray WRP Held Environmental Water Register (June 2020)</w:t>
      </w:r>
      <w:r w:rsidRPr="006D6590">
        <w:rPr>
          <w:spacing w:val="-4"/>
        </w:rPr>
        <w:t>, https://www.environment.sa.gov.au/topics/river-murray/improving-river-health/environmental-water#:~:text=There%20is%20no%20held%20environmental,areas%20as%20of%20June%202020. (accessed 8 October 2020).</w:t>
      </w:r>
    </w:p>
    <w:p w14:paraId="518B619D" w14:textId="77777777" w:rsidR="00C67DB3" w:rsidRPr="006D6590" w:rsidRDefault="00C67DB3" w:rsidP="006D6590">
      <w:pPr>
        <w:pStyle w:val="Reference"/>
        <w:rPr>
          <w:spacing w:val="-4"/>
        </w:rPr>
      </w:pPr>
      <w:r w:rsidRPr="006D6590">
        <w:rPr>
          <w:spacing w:val="-4"/>
        </w:rPr>
        <w:t xml:space="preserve">DNRME (Qld) (Department of Natural Resources, Mines and Energy (Qld)) 2019, </w:t>
      </w:r>
      <w:r w:rsidRPr="006D6590">
        <w:rPr>
          <w:i/>
          <w:iCs/>
          <w:spacing w:val="-4"/>
        </w:rPr>
        <w:t>Cape York Water Management Protocol</w:t>
      </w:r>
      <w:r w:rsidRPr="006D6590">
        <w:rPr>
          <w:spacing w:val="-4"/>
        </w:rPr>
        <w:t>, Brisbane.</w:t>
      </w:r>
    </w:p>
    <w:p w14:paraId="6B2CA597" w14:textId="223B061B" w:rsidR="00C67DB3" w:rsidRPr="006D6590" w:rsidRDefault="00C67DB3" w:rsidP="006D6590">
      <w:pPr>
        <w:pStyle w:val="Reference"/>
        <w:rPr>
          <w:spacing w:val="-4"/>
        </w:rPr>
      </w:pPr>
      <w:r w:rsidRPr="006D6590">
        <w:rPr>
          <w:spacing w:val="-4"/>
        </w:rPr>
        <w:t>——</w:t>
      </w:r>
      <w:r w:rsidR="0059707B" w:rsidRPr="006D6590">
        <w:rPr>
          <w:spacing w:val="-4"/>
        </w:rPr>
        <w:t xml:space="preserve"> </w:t>
      </w:r>
      <w:r w:rsidRPr="006D6590">
        <w:rPr>
          <w:spacing w:val="-4"/>
        </w:rPr>
        <w:t xml:space="preserve">2020, </w:t>
      </w:r>
      <w:r w:rsidRPr="006D6590">
        <w:rPr>
          <w:i/>
          <w:iCs/>
          <w:spacing w:val="-4"/>
        </w:rPr>
        <w:t>Water plan areas - Queensland</w:t>
      </w:r>
      <w:r w:rsidRPr="006D6590">
        <w:rPr>
          <w:spacing w:val="-4"/>
        </w:rPr>
        <w:t>, http://qldspatial.information.qld.gov.au/catalogue/</w:t>
      </w:r>
      <w:r w:rsidR="006D6590">
        <w:rPr>
          <w:spacing w:val="-4"/>
        </w:rPr>
        <w:br/>
      </w:r>
      <w:r w:rsidRPr="006D6590">
        <w:rPr>
          <w:spacing w:val="-4"/>
        </w:rPr>
        <w:t>custom/detail.page?fid={8DCF83BC-A683-4403-B8C9-F07DE7838640}# (accessed 8 October 2020).</w:t>
      </w:r>
    </w:p>
    <w:p w14:paraId="2AD97EBA" w14:textId="77777777" w:rsidR="00C67DB3" w:rsidRPr="006D6590" w:rsidRDefault="00C67DB3" w:rsidP="006D6590">
      <w:pPr>
        <w:pStyle w:val="Reference"/>
        <w:rPr>
          <w:spacing w:val="-4"/>
        </w:rPr>
      </w:pPr>
      <w:r w:rsidRPr="006D6590">
        <w:rPr>
          <w:spacing w:val="-4"/>
        </w:rPr>
        <w:lastRenderedPageBreak/>
        <w:t xml:space="preserve">DOE (Cth) (Department of the Environment (Cth)) 2015, </w:t>
      </w:r>
      <w:r w:rsidRPr="006D6590">
        <w:rPr>
          <w:i/>
          <w:iCs/>
          <w:spacing w:val="-4"/>
        </w:rPr>
        <w:t>Review of the National Urban Water Planning Principles - Final Report</w:t>
      </w:r>
      <w:r w:rsidRPr="006D6590">
        <w:rPr>
          <w:spacing w:val="-4"/>
        </w:rPr>
        <w:t>, Canberra.</w:t>
      </w:r>
    </w:p>
    <w:p w14:paraId="74DF7C8F" w14:textId="77777777" w:rsidR="00C67DB3" w:rsidRPr="006D6590" w:rsidRDefault="00C67DB3" w:rsidP="006D6590">
      <w:pPr>
        <w:pStyle w:val="Reference"/>
        <w:rPr>
          <w:spacing w:val="-4"/>
        </w:rPr>
      </w:pPr>
      <w:r w:rsidRPr="006D6590">
        <w:rPr>
          <w:spacing w:val="-4"/>
        </w:rPr>
        <w:t xml:space="preserve">DPI (NSW) (Department of Primary Industries (NSW)) 2020, </w:t>
      </w:r>
      <w:r w:rsidRPr="006D6590">
        <w:rPr>
          <w:i/>
          <w:iCs/>
          <w:spacing w:val="-4"/>
        </w:rPr>
        <w:t>Fish kills in NSW</w:t>
      </w:r>
      <w:r w:rsidRPr="006D6590">
        <w:rPr>
          <w:spacing w:val="-4"/>
        </w:rPr>
        <w:t>, https://www.dpi.nsw.gov.au/fishing/habitat/threats/fish-kills (accessed 25 March 2020).</w:t>
      </w:r>
    </w:p>
    <w:p w14:paraId="3CBA75BB" w14:textId="77777777" w:rsidR="00C67DB3" w:rsidRPr="006D6590" w:rsidRDefault="00C67DB3" w:rsidP="006D6590">
      <w:pPr>
        <w:pStyle w:val="Reference"/>
        <w:rPr>
          <w:spacing w:val="-4"/>
        </w:rPr>
      </w:pPr>
      <w:r w:rsidRPr="006D6590">
        <w:rPr>
          <w:spacing w:val="-4"/>
        </w:rPr>
        <w:t xml:space="preserve">DPIE (NSW) (Department of Planning, Industry and Environment (NSW)) 2019a, </w:t>
      </w:r>
      <w:r w:rsidRPr="006D6590">
        <w:rPr>
          <w:i/>
          <w:iCs/>
          <w:spacing w:val="-4"/>
        </w:rPr>
        <w:t>Cumulative water for the environment holdings (‘held’) recovered to 30 June 2017 (megalitres)</w:t>
      </w:r>
      <w:r w:rsidRPr="006D6590">
        <w:rPr>
          <w:spacing w:val="-4"/>
        </w:rPr>
        <w:t>, https://www.environment.nsw.gov.au/topics/water/water-for-the-environment/about-water-for-the-environment/current-water-holdings (accessed 8 October 2020).</w:t>
      </w:r>
    </w:p>
    <w:p w14:paraId="58436378" w14:textId="2DABD136" w:rsidR="00C67DB3" w:rsidRPr="006D6590" w:rsidRDefault="00C67DB3" w:rsidP="006D6590">
      <w:pPr>
        <w:pStyle w:val="Reference"/>
        <w:rPr>
          <w:spacing w:val="-4"/>
        </w:rPr>
      </w:pPr>
      <w:r w:rsidRPr="006D6590">
        <w:rPr>
          <w:spacing w:val="-4"/>
        </w:rPr>
        <w:t>——</w:t>
      </w:r>
      <w:r w:rsidR="008175AB" w:rsidRPr="006D6590">
        <w:rPr>
          <w:spacing w:val="-4"/>
        </w:rPr>
        <w:t xml:space="preserve"> </w:t>
      </w:r>
      <w:r w:rsidRPr="006D6590">
        <w:rPr>
          <w:spacing w:val="-4"/>
        </w:rPr>
        <w:t xml:space="preserve">2019b, </w:t>
      </w:r>
      <w:r w:rsidRPr="006D6590">
        <w:rPr>
          <w:i/>
          <w:iCs/>
          <w:spacing w:val="-4"/>
        </w:rPr>
        <w:t>Floodplain Harvesting Action Plan</w:t>
      </w:r>
      <w:r w:rsidRPr="006D6590">
        <w:rPr>
          <w:spacing w:val="-4"/>
        </w:rPr>
        <w:t>, Parramatta.</w:t>
      </w:r>
    </w:p>
    <w:p w14:paraId="2C4BD8F3" w14:textId="76943B14" w:rsidR="00C67DB3" w:rsidRPr="006D6590" w:rsidRDefault="00C67DB3" w:rsidP="006D6590">
      <w:pPr>
        <w:pStyle w:val="Reference"/>
        <w:rPr>
          <w:spacing w:val="-4"/>
        </w:rPr>
      </w:pPr>
      <w:r w:rsidRPr="006D6590">
        <w:rPr>
          <w:spacing w:val="-6"/>
        </w:rPr>
        <w:t>——</w:t>
      </w:r>
      <w:r w:rsidR="0059707B" w:rsidRPr="006D6590">
        <w:rPr>
          <w:spacing w:val="-6"/>
        </w:rPr>
        <w:t xml:space="preserve"> </w:t>
      </w:r>
      <w:r w:rsidRPr="006D6590">
        <w:rPr>
          <w:spacing w:val="-6"/>
        </w:rPr>
        <w:t xml:space="preserve">2020, </w:t>
      </w:r>
      <w:r w:rsidRPr="006D6590">
        <w:rPr>
          <w:i/>
          <w:iCs/>
          <w:spacing w:val="-6"/>
        </w:rPr>
        <w:t>Emergency relief for regional town water supplies</w:t>
      </w:r>
      <w:r w:rsidRPr="006D6590">
        <w:rPr>
          <w:spacing w:val="-6"/>
        </w:rPr>
        <w:t>, https://www.industry.nsw.gov.au/</w:t>
      </w:r>
      <w:r w:rsidR="006D6590" w:rsidRPr="006D6590">
        <w:rPr>
          <w:spacing w:val="-6"/>
        </w:rPr>
        <w:br/>
      </w:r>
      <w:r w:rsidRPr="006D6590">
        <w:rPr>
          <w:spacing w:val="-4"/>
        </w:rPr>
        <w:t>water/water-utilities/technical-assistance/emergency (accessed 12 January 2021).</w:t>
      </w:r>
    </w:p>
    <w:p w14:paraId="74CE9A65" w14:textId="77777777" w:rsidR="00C67DB3" w:rsidRPr="006D6590" w:rsidRDefault="00C67DB3" w:rsidP="006D6590">
      <w:pPr>
        <w:pStyle w:val="Reference"/>
        <w:rPr>
          <w:spacing w:val="-4"/>
        </w:rPr>
      </w:pPr>
      <w:r w:rsidRPr="006D6590">
        <w:rPr>
          <w:spacing w:val="-4"/>
        </w:rPr>
        <w:t xml:space="preserve">DPIPWE (Tas) (Department of Primary Industries, Parks, Water and Environment (Tas)) 2020a, </w:t>
      </w:r>
      <w:r w:rsidRPr="006D6590">
        <w:rPr>
          <w:i/>
          <w:iCs/>
          <w:spacing w:val="-4"/>
        </w:rPr>
        <w:t>Rural Water Use Strategy: Position Paper</w:t>
      </w:r>
      <w:r w:rsidRPr="006D6590">
        <w:rPr>
          <w:spacing w:val="-4"/>
        </w:rPr>
        <w:t>, Water and Marine Resources Division, Hobart.</w:t>
      </w:r>
    </w:p>
    <w:p w14:paraId="350616C5" w14:textId="30B42F13" w:rsidR="00C67DB3" w:rsidRPr="006D6590" w:rsidRDefault="00C67DB3" w:rsidP="006D6590">
      <w:pPr>
        <w:pStyle w:val="Reference"/>
        <w:rPr>
          <w:spacing w:val="-4"/>
        </w:rPr>
      </w:pPr>
      <w:r w:rsidRPr="006D6590">
        <w:rPr>
          <w:spacing w:val="-4"/>
        </w:rPr>
        <w:t>——</w:t>
      </w:r>
      <w:r w:rsidR="008175AB" w:rsidRPr="006D6590">
        <w:rPr>
          <w:spacing w:val="-4"/>
        </w:rPr>
        <w:t xml:space="preserve"> </w:t>
      </w:r>
      <w:r w:rsidRPr="006D6590">
        <w:rPr>
          <w:spacing w:val="-4"/>
        </w:rPr>
        <w:t xml:space="preserve">2020b, </w:t>
      </w:r>
      <w:r w:rsidRPr="006D6590">
        <w:rPr>
          <w:i/>
          <w:iCs/>
          <w:spacing w:val="-4"/>
        </w:rPr>
        <w:t>Water Management Plan Areas</w:t>
      </w:r>
      <w:r w:rsidRPr="006D6590">
        <w:rPr>
          <w:spacing w:val="-4"/>
        </w:rPr>
        <w:t>, https://listdata.thelist.tas.gov.au/opendata/ (accessed 8 October 2020).</w:t>
      </w:r>
    </w:p>
    <w:p w14:paraId="45A443A1" w14:textId="77777777" w:rsidR="00C67DB3" w:rsidRPr="006D6590" w:rsidRDefault="00C67DB3" w:rsidP="006D6590">
      <w:pPr>
        <w:pStyle w:val="Reference"/>
        <w:rPr>
          <w:spacing w:val="-4"/>
        </w:rPr>
      </w:pPr>
      <w:r w:rsidRPr="006D6590">
        <w:rPr>
          <w:spacing w:val="-4"/>
        </w:rPr>
        <w:t xml:space="preserve">DWER (WA) (Department of Water and Environmental Regulation (WA)) 2019, </w:t>
      </w:r>
      <w:r w:rsidRPr="006D6590">
        <w:rPr>
          <w:i/>
          <w:iCs/>
          <w:spacing w:val="-4"/>
        </w:rPr>
        <w:t>Procedure: Water Licences and Permits</w:t>
      </w:r>
      <w:r w:rsidRPr="006D6590">
        <w:rPr>
          <w:spacing w:val="-4"/>
        </w:rPr>
        <w:t>, Joondalup.</w:t>
      </w:r>
    </w:p>
    <w:p w14:paraId="49C35CF1" w14:textId="0A20A729" w:rsidR="00C67DB3" w:rsidRPr="006D6590" w:rsidRDefault="00C67DB3" w:rsidP="006D6590">
      <w:pPr>
        <w:pStyle w:val="Reference"/>
        <w:rPr>
          <w:spacing w:val="-4"/>
        </w:rPr>
      </w:pPr>
      <w:r w:rsidRPr="006D6590">
        <w:rPr>
          <w:spacing w:val="-4"/>
        </w:rPr>
        <w:t>——</w:t>
      </w:r>
      <w:r w:rsidR="008175AB" w:rsidRPr="006D6590">
        <w:rPr>
          <w:spacing w:val="-4"/>
        </w:rPr>
        <w:t xml:space="preserve"> </w:t>
      </w:r>
      <w:r w:rsidRPr="006D6590">
        <w:rPr>
          <w:spacing w:val="-4"/>
        </w:rPr>
        <w:t xml:space="preserve">2020, </w:t>
      </w:r>
      <w:r w:rsidRPr="006D6590">
        <w:rPr>
          <w:i/>
          <w:iCs/>
          <w:spacing w:val="-4"/>
        </w:rPr>
        <w:t>RIWI Act Proclaimed Areas</w:t>
      </w:r>
      <w:r w:rsidRPr="006D6590">
        <w:rPr>
          <w:spacing w:val="-4"/>
        </w:rPr>
        <w:t>, https://atlases.water.wa.gov.au/idelve/</w:t>
      </w:r>
      <w:r w:rsidR="006D6590">
        <w:rPr>
          <w:spacing w:val="-4"/>
        </w:rPr>
        <w:br/>
      </w:r>
      <w:r w:rsidRPr="006D6590">
        <w:rPr>
          <w:spacing w:val="-4"/>
        </w:rPr>
        <w:t>dowdataext/download/default.html (accessed 8 October 2020).</w:t>
      </w:r>
    </w:p>
    <w:p w14:paraId="66D16124" w14:textId="77777777" w:rsidR="00C67DB3" w:rsidRPr="006D6590" w:rsidRDefault="00C67DB3" w:rsidP="006D6590">
      <w:pPr>
        <w:pStyle w:val="Reference"/>
        <w:rPr>
          <w:spacing w:val="-4"/>
        </w:rPr>
      </w:pPr>
      <w:r w:rsidRPr="006D6590">
        <w:rPr>
          <w:spacing w:val="-4"/>
        </w:rPr>
        <w:t xml:space="preserve">Fenton and DTI (NSW) (Fenton and Department of Trade and Investment (NSW)) 2015, </w:t>
      </w:r>
      <w:r w:rsidRPr="006D6590">
        <w:rPr>
          <w:i/>
          <w:iCs/>
          <w:spacing w:val="-4"/>
        </w:rPr>
        <w:t>Monitoring Economic and Social Changes in NSW Water Sharing Plan Areas</w:t>
      </w:r>
      <w:r w:rsidRPr="006D6590">
        <w:rPr>
          <w:spacing w:val="-4"/>
        </w:rPr>
        <w:t>, Department of Trade and Investment (New South Wales).</w:t>
      </w:r>
    </w:p>
    <w:p w14:paraId="098888E2" w14:textId="77777777" w:rsidR="00C67DB3" w:rsidRPr="006D6590" w:rsidRDefault="00C67DB3" w:rsidP="006D6590">
      <w:pPr>
        <w:pStyle w:val="Reference"/>
        <w:rPr>
          <w:spacing w:val="-4"/>
        </w:rPr>
      </w:pPr>
      <w:r w:rsidRPr="006D6590">
        <w:rPr>
          <w:spacing w:val="-4"/>
        </w:rPr>
        <w:t xml:space="preserve">Foley, M. 2021, ‘“Breach of faith”: Money meant for Indigenous water rights could go elsewhere’, </w:t>
      </w:r>
      <w:r w:rsidRPr="006D6590">
        <w:rPr>
          <w:i/>
          <w:iCs/>
          <w:spacing w:val="-4"/>
        </w:rPr>
        <w:t>Sydney Morning Herald</w:t>
      </w:r>
      <w:r w:rsidRPr="006D6590">
        <w:rPr>
          <w:spacing w:val="-4"/>
        </w:rPr>
        <w:t>, 26 March.</w:t>
      </w:r>
    </w:p>
    <w:p w14:paraId="55F801AB" w14:textId="77777777" w:rsidR="00C67DB3" w:rsidRPr="006D6590" w:rsidRDefault="00C67DB3" w:rsidP="006D6590">
      <w:pPr>
        <w:pStyle w:val="Reference"/>
        <w:rPr>
          <w:spacing w:val="-4"/>
        </w:rPr>
      </w:pPr>
      <w:r w:rsidRPr="006D6590">
        <w:rPr>
          <w:spacing w:val="-4"/>
        </w:rPr>
        <w:t xml:space="preserve">Frontier Economics 2008, </w:t>
      </w:r>
      <w:r w:rsidRPr="006D6590">
        <w:rPr>
          <w:i/>
          <w:iCs/>
          <w:spacing w:val="-4"/>
        </w:rPr>
        <w:t>Review of Urban Water Entitlements in Australia</w:t>
      </w:r>
      <w:r w:rsidRPr="006D6590">
        <w:rPr>
          <w:spacing w:val="-4"/>
        </w:rPr>
        <w:t>, Joint Steering Committee for Water Sensitive Cities, Melbourne.</w:t>
      </w:r>
    </w:p>
    <w:p w14:paraId="2664E679" w14:textId="77777777" w:rsidR="00C67DB3" w:rsidRPr="006D6590" w:rsidRDefault="00C67DB3" w:rsidP="006D6590">
      <w:pPr>
        <w:pStyle w:val="Reference"/>
        <w:rPr>
          <w:spacing w:val="-4"/>
        </w:rPr>
      </w:pPr>
      <w:r w:rsidRPr="006D6590">
        <w:rPr>
          <w:spacing w:val="-4"/>
        </w:rPr>
        <w:t xml:space="preserve">GHD 2017, </w:t>
      </w:r>
      <w:r w:rsidRPr="006D6590">
        <w:rPr>
          <w:i/>
          <w:iCs/>
          <w:spacing w:val="-4"/>
        </w:rPr>
        <w:t>Dungowan Dam and Peel Valley Feasibility Study Feasibility Assessment Report</w:t>
      </w:r>
      <w:r w:rsidRPr="006D6590">
        <w:rPr>
          <w:spacing w:val="-4"/>
        </w:rPr>
        <w:t>, Report to WaterNSW.</w:t>
      </w:r>
    </w:p>
    <w:p w14:paraId="07EA7246" w14:textId="77777777" w:rsidR="00C67DB3" w:rsidRPr="006D6590" w:rsidRDefault="00C67DB3" w:rsidP="006D6590">
      <w:pPr>
        <w:pStyle w:val="Reference"/>
        <w:rPr>
          <w:spacing w:val="-4"/>
        </w:rPr>
      </w:pPr>
      <w:r w:rsidRPr="006D6590">
        <w:rPr>
          <w:spacing w:val="-4"/>
        </w:rPr>
        <w:t xml:space="preserve">Government of Western Australia 2009, </w:t>
      </w:r>
      <w:r w:rsidRPr="006D6590">
        <w:rPr>
          <w:i/>
          <w:iCs/>
          <w:spacing w:val="-4"/>
        </w:rPr>
        <w:t>Rights in Water and Irrigation (Approved Meters) Order</w:t>
      </w:r>
      <w:r w:rsidRPr="006D6590">
        <w:rPr>
          <w:spacing w:val="-4"/>
        </w:rPr>
        <w:t>, Fact Sheet, Department of Water (Western Australia), Perth.</w:t>
      </w:r>
    </w:p>
    <w:p w14:paraId="482E9164" w14:textId="77777777" w:rsidR="00C67DB3" w:rsidRPr="006D6590" w:rsidRDefault="00C67DB3" w:rsidP="006D6590">
      <w:pPr>
        <w:pStyle w:val="Reference"/>
        <w:rPr>
          <w:spacing w:val="-4"/>
        </w:rPr>
      </w:pPr>
      <w:r w:rsidRPr="006D6590">
        <w:rPr>
          <w:spacing w:val="-4"/>
        </w:rPr>
        <w:t xml:space="preserve">Gupta, M., Hughes, N., Whittle, L. and Westwood, T. 2020, </w:t>
      </w:r>
      <w:r w:rsidRPr="006D6590">
        <w:rPr>
          <w:i/>
          <w:iCs/>
          <w:spacing w:val="-4"/>
        </w:rPr>
        <w:t>Future Scenarios for the Southern Murray-Darling Basin, Report to the Independent Assessment of Social and Economic Conditions in the Basin</w:t>
      </w:r>
      <w:r w:rsidRPr="006D6590">
        <w:rPr>
          <w:spacing w:val="-4"/>
        </w:rPr>
        <w:t>, Report 20.2, Australian Bureau of Agricultural and Resource Economics and Sciences, Canberra.</w:t>
      </w:r>
    </w:p>
    <w:p w14:paraId="3D8C7861" w14:textId="77777777" w:rsidR="00C67DB3" w:rsidRPr="006D6590" w:rsidRDefault="00C67DB3" w:rsidP="006D6590">
      <w:pPr>
        <w:pStyle w:val="Reference"/>
        <w:rPr>
          <w:spacing w:val="-4"/>
        </w:rPr>
      </w:pPr>
      <w:r w:rsidRPr="006D6590">
        <w:rPr>
          <w:spacing w:val="-4"/>
        </w:rPr>
        <w:t xml:space="preserve">Hannam, P. 2018, ‘Federal agency pushes back at Barnaby Joyce’s environmental water grab’, </w:t>
      </w:r>
      <w:r w:rsidRPr="006D6590">
        <w:rPr>
          <w:i/>
          <w:iCs/>
          <w:spacing w:val="-4"/>
        </w:rPr>
        <w:t>Sydney Morning Herald</w:t>
      </w:r>
      <w:r w:rsidRPr="006D6590">
        <w:rPr>
          <w:spacing w:val="-4"/>
        </w:rPr>
        <w:t>, 29 August.</w:t>
      </w:r>
    </w:p>
    <w:p w14:paraId="50F2ECEA" w14:textId="77777777" w:rsidR="00C67DB3" w:rsidRPr="006D6590" w:rsidRDefault="00C67DB3" w:rsidP="006D6590">
      <w:pPr>
        <w:pStyle w:val="Reference"/>
        <w:rPr>
          <w:spacing w:val="-4"/>
        </w:rPr>
      </w:pPr>
      <w:r w:rsidRPr="006D6590">
        <w:rPr>
          <w:spacing w:val="-4"/>
        </w:rPr>
        <w:lastRenderedPageBreak/>
        <w:t xml:space="preserve">Hart, B.T. and Butcher, R. 2018, </w:t>
      </w:r>
      <w:r w:rsidRPr="006D6590">
        <w:rPr>
          <w:i/>
          <w:iCs/>
          <w:spacing w:val="-4"/>
        </w:rPr>
        <w:t>Commonwealth Long-Term Intervention Monitoring Project: Stage 1 Mid-Term Review and Evaluation</w:t>
      </w:r>
      <w:r w:rsidRPr="006D6590">
        <w:rPr>
          <w:spacing w:val="-4"/>
        </w:rPr>
        <w:t>, Department of Agriculture, Water and the Environment.</w:t>
      </w:r>
    </w:p>
    <w:p w14:paraId="1277B862" w14:textId="77777777" w:rsidR="00C67DB3" w:rsidRPr="006D6590" w:rsidRDefault="00C67DB3" w:rsidP="006D6590">
      <w:pPr>
        <w:pStyle w:val="Reference"/>
        <w:rPr>
          <w:spacing w:val="-4"/>
        </w:rPr>
      </w:pPr>
      <w:r w:rsidRPr="006D6590">
        <w:rPr>
          <w:spacing w:val="-4"/>
        </w:rPr>
        <w:t xml:space="preserve">Hughes, N., Gupta, M., Whittle, L. and Westwood, T. 2021, </w:t>
      </w:r>
      <w:r w:rsidRPr="006D6590">
        <w:rPr>
          <w:i/>
          <w:iCs/>
          <w:spacing w:val="-4"/>
        </w:rPr>
        <w:t>A Model of Spatial and Inter-Temporal Water Trade in the Southern Murray-Darling Basin</w:t>
      </w:r>
      <w:r w:rsidRPr="006D6590">
        <w:rPr>
          <w:spacing w:val="-4"/>
        </w:rPr>
        <w:t>, ABARES Technical Report, Canberra.</w:t>
      </w:r>
    </w:p>
    <w:p w14:paraId="15E9463F" w14:textId="77777777" w:rsidR="00C67DB3" w:rsidRPr="006D6590" w:rsidRDefault="00C67DB3" w:rsidP="006D6590">
      <w:pPr>
        <w:pStyle w:val="Reference"/>
        <w:rPr>
          <w:spacing w:val="-4"/>
        </w:rPr>
      </w:pPr>
      <w:r w:rsidRPr="006D6590">
        <w:rPr>
          <w:spacing w:val="-4"/>
        </w:rPr>
        <w:t xml:space="preserve">IA (Infrastructure Australia) 2016, </w:t>
      </w:r>
      <w:r w:rsidRPr="006D6590">
        <w:rPr>
          <w:i/>
          <w:iCs/>
          <w:spacing w:val="-4"/>
        </w:rPr>
        <w:t>Australian Infrastructure Plan: Priorities and reforms for our nation’s future</w:t>
      </w:r>
      <w:r w:rsidRPr="006D6590">
        <w:rPr>
          <w:spacing w:val="-4"/>
        </w:rPr>
        <w:t>, Sydney.</w:t>
      </w:r>
    </w:p>
    <w:p w14:paraId="31388CAB" w14:textId="152DACF9" w:rsidR="00C67DB3" w:rsidRPr="006D6590" w:rsidRDefault="00C67DB3" w:rsidP="006D6590">
      <w:pPr>
        <w:pStyle w:val="Reference"/>
        <w:rPr>
          <w:spacing w:val="-4"/>
        </w:rPr>
      </w:pPr>
      <w:r w:rsidRPr="006D6590">
        <w:rPr>
          <w:spacing w:val="-4"/>
        </w:rPr>
        <w:t>——</w:t>
      </w:r>
      <w:r w:rsidR="008175AB" w:rsidRPr="006D6590">
        <w:rPr>
          <w:spacing w:val="-4"/>
        </w:rPr>
        <w:t xml:space="preserve"> </w:t>
      </w:r>
      <w:r w:rsidRPr="006D6590">
        <w:rPr>
          <w:spacing w:val="-4"/>
        </w:rPr>
        <w:t xml:space="preserve">2018, </w:t>
      </w:r>
      <w:r w:rsidRPr="006D6590">
        <w:rPr>
          <w:i/>
          <w:iCs/>
          <w:spacing w:val="-4"/>
        </w:rPr>
        <w:t>Assessment Framework</w:t>
      </w:r>
      <w:r w:rsidRPr="006D6590">
        <w:rPr>
          <w:spacing w:val="-4"/>
        </w:rPr>
        <w:t>, March, Sydney.</w:t>
      </w:r>
    </w:p>
    <w:p w14:paraId="61795549" w14:textId="14517CB7" w:rsidR="00C67DB3" w:rsidRPr="006D6590" w:rsidRDefault="00C67DB3" w:rsidP="006D6590">
      <w:pPr>
        <w:pStyle w:val="Reference"/>
        <w:rPr>
          <w:spacing w:val="-4"/>
        </w:rPr>
      </w:pPr>
      <w:r w:rsidRPr="006D6590">
        <w:rPr>
          <w:spacing w:val="-4"/>
        </w:rPr>
        <w:t>——</w:t>
      </w:r>
      <w:r w:rsidR="008175AB" w:rsidRPr="006D6590">
        <w:rPr>
          <w:spacing w:val="-4"/>
        </w:rPr>
        <w:t xml:space="preserve"> </w:t>
      </w:r>
      <w:r w:rsidRPr="006D6590">
        <w:rPr>
          <w:spacing w:val="-4"/>
        </w:rPr>
        <w:t xml:space="preserve">2019, </w:t>
      </w:r>
      <w:r w:rsidRPr="006D6590">
        <w:rPr>
          <w:i/>
          <w:iCs/>
          <w:spacing w:val="-4"/>
        </w:rPr>
        <w:t>An Assessment of Australia’s Future Infrastructure Needs: The Australian Infrastructure Audit 2019</w:t>
      </w:r>
      <w:r w:rsidRPr="006D6590">
        <w:rPr>
          <w:spacing w:val="-4"/>
        </w:rPr>
        <w:t>, Sydney.</w:t>
      </w:r>
    </w:p>
    <w:p w14:paraId="06C9B135" w14:textId="77777777" w:rsidR="00C67DB3" w:rsidRPr="006D6590" w:rsidRDefault="00C67DB3" w:rsidP="006D6590">
      <w:pPr>
        <w:pStyle w:val="Reference"/>
        <w:rPr>
          <w:spacing w:val="-4"/>
        </w:rPr>
      </w:pPr>
      <w:r w:rsidRPr="006D6590">
        <w:rPr>
          <w:spacing w:val="-4"/>
        </w:rPr>
        <w:t xml:space="preserve">IC (Industry Commission) 1997, </w:t>
      </w:r>
      <w:r w:rsidRPr="006D6590">
        <w:rPr>
          <w:i/>
          <w:iCs/>
          <w:spacing w:val="-4"/>
        </w:rPr>
        <w:t>Community Service Obligations: Policies and Practices of Australian Governments</w:t>
      </w:r>
      <w:r w:rsidRPr="006D6590">
        <w:rPr>
          <w:spacing w:val="-4"/>
        </w:rPr>
        <w:t>, Staff Information Paper, Canberra.</w:t>
      </w:r>
    </w:p>
    <w:p w14:paraId="029FF003" w14:textId="77777777" w:rsidR="00C67DB3" w:rsidRPr="006D6590" w:rsidRDefault="00C67DB3" w:rsidP="006D6590">
      <w:pPr>
        <w:pStyle w:val="Reference"/>
        <w:rPr>
          <w:spacing w:val="-4"/>
        </w:rPr>
      </w:pPr>
      <w:r w:rsidRPr="006D6590">
        <w:rPr>
          <w:spacing w:val="-4"/>
        </w:rPr>
        <w:t xml:space="preserve">ICAC (NSW) (Independent Commission Against Corruption (NSW)) 2020, </w:t>
      </w:r>
      <w:r w:rsidRPr="006D6590">
        <w:rPr>
          <w:i/>
          <w:iCs/>
          <w:spacing w:val="-4"/>
        </w:rPr>
        <w:t>Investigation into Complaints of Corruption in the Management of Water in NSW and Systemic Non-compliance with the Water Management Act 2000</w:t>
      </w:r>
      <w:r w:rsidRPr="006D6590">
        <w:rPr>
          <w:spacing w:val="-4"/>
        </w:rPr>
        <w:t>, Sydney.</w:t>
      </w:r>
    </w:p>
    <w:p w14:paraId="4CC74794" w14:textId="77777777" w:rsidR="00C67DB3" w:rsidRPr="006D6590" w:rsidRDefault="00C67DB3" w:rsidP="006D6590">
      <w:pPr>
        <w:pStyle w:val="Reference"/>
        <w:rPr>
          <w:spacing w:val="-4"/>
        </w:rPr>
      </w:pPr>
      <w:r w:rsidRPr="006D6590">
        <w:rPr>
          <w:spacing w:val="-4"/>
        </w:rPr>
        <w:t xml:space="preserve">IIGMDB (Interim Inspector-General of Murray-Darling Basin Water Resources) 2020, </w:t>
      </w:r>
      <w:r w:rsidRPr="006D6590">
        <w:rPr>
          <w:i/>
          <w:iCs/>
          <w:spacing w:val="-4"/>
        </w:rPr>
        <w:t>Impact of Lower Inflows on State Shares Under the Murray–Darling Basin Agreement</w:t>
      </w:r>
      <w:r w:rsidRPr="006D6590">
        <w:rPr>
          <w:spacing w:val="-4"/>
        </w:rPr>
        <w:t>, Canberra.</w:t>
      </w:r>
    </w:p>
    <w:p w14:paraId="1411E438" w14:textId="77777777" w:rsidR="00C67DB3" w:rsidRPr="006D6590" w:rsidRDefault="00C67DB3" w:rsidP="006D6590">
      <w:pPr>
        <w:pStyle w:val="Reference"/>
        <w:rPr>
          <w:spacing w:val="-4"/>
        </w:rPr>
      </w:pPr>
      <w:r w:rsidRPr="006D6590">
        <w:rPr>
          <w:spacing w:val="-4"/>
        </w:rPr>
        <w:t xml:space="preserve">Infrastructure Victoria 2019, </w:t>
      </w:r>
      <w:r w:rsidRPr="006D6590">
        <w:rPr>
          <w:i/>
          <w:iCs/>
          <w:spacing w:val="-4"/>
        </w:rPr>
        <w:t>Reforming Water Sector Governance: Key findings to inform the update of Victoria’s 30-year infrastructure strategy</w:t>
      </w:r>
      <w:r w:rsidRPr="006D6590">
        <w:rPr>
          <w:spacing w:val="-4"/>
        </w:rPr>
        <w:t>, October.</w:t>
      </w:r>
    </w:p>
    <w:p w14:paraId="0D6CEE98" w14:textId="77777777" w:rsidR="00C67DB3" w:rsidRPr="006D6590" w:rsidRDefault="00C67DB3" w:rsidP="006D6590">
      <w:pPr>
        <w:pStyle w:val="Reference"/>
        <w:rPr>
          <w:spacing w:val="-4"/>
        </w:rPr>
      </w:pPr>
      <w:r w:rsidRPr="006D6590">
        <w:rPr>
          <w:spacing w:val="-4"/>
        </w:rPr>
        <w:t xml:space="preserve">International Association for Public Participation 2019, </w:t>
      </w:r>
      <w:r w:rsidRPr="006D6590">
        <w:rPr>
          <w:i/>
          <w:iCs/>
          <w:spacing w:val="-4"/>
        </w:rPr>
        <w:t>IAP2 Published Resources</w:t>
      </w:r>
      <w:r w:rsidRPr="006D6590">
        <w:rPr>
          <w:spacing w:val="-4"/>
        </w:rPr>
        <w:t>, https://iap2.org.au/resources/iap2-published-resources/ (accessed 3 December 2020).</w:t>
      </w:r>
    </w:p>
    <w:p w14:paraId="270A042D" w14:textId="77777777" w:rsidR="00C67DB3" w:rsidRPr="006D6590" w:rsidRDefault="00C67DB3" w:rsidP="006D6590">
      <w:pPr>
        <w:pStyle w:val="Reference"/>
        <w:rPr>
          <w:spacing w:val="-4"/>
        </w:rPr>
      </w:pPr>
      <w:r w:rsidRPr="006D6590">
        <w:rPr>
          <w:spacing w:val="-4"/>
        </w:rPr>
        <w:t xml:space="preserve">IRORG (Independent River Operations Review Group) 2020, </w:t>
      </w:r>
      <w:r w:rsidRPr="006D6590">
        <w:rPr>
          <w:i/>
          <w:iCs/>
          <w:spacing w:val="-4"/>
        </w:rPr>
        <w:t>Review of Performance against Objectives and Outcomes 2019/20</w:t>
      </w:r>
      <w:r w:rsidRPr="006D6590">
        <w:rPr>
          <w:spacing w:val="-4"/>
        </w:rPr>
        <w:t>.</w:t>
      </w:r>
    </w:p>
    <w:p w14:paraId="464F0CB6" w14:textId="77777777" w:rsidR="00C67DB3" w:rsidRPr="006D6590" w:rsidRDefault="00C67DB3" w:rsidP="006D6590">
      <w:pPr>
        <w:pStyle w:val="Reference"/>
        <w:rPr>
          <w:spacing w:val="-4"/>
        </w:rPr>
      </w:pPr>
      <w:r w:rsidRPr="006D6590">
        <w:rPr>
          <w:spacing w:val="-4"/>
        </w:rPr>
        <w:t xml:space="preserve">Keelty, M. 2019, </w:t>
      </w:r>
      <w:r w:rsidRPr="006D6590">
        <w:rPr>
          <w:i/>
          <w:iCs/>
          <w:spacing w:val="-4"/>
        </w:rPr>
        <w:t>Northern Basin Commissioner First Year Report 2019</w:t>
      </w:r>
      <w:r w:rsidRPr="006D6590">
        <w:rPr>
          <w:spacing w:val="-4"/>
        </w:rPr>
        <w:t>, Northern Basin Commissioner, Canberra.</w:t>
      </w:r>
    </w:p>
    <w:p w14:paraId="61A77E34" w14:textId="77777777" w:rsidR="00C67DB3" w:rsidRPr="006D6590" w:rsidRDefault="00C67DB3" w:rsidP="006D6590">
      <w:pPr>
        <w:pStyle w:val="Reference"/>
        <w:rPr>
          <w:spacing w:val="-4"/>
        </w:rPr>
      </w:pPr>
      <w:r w:rsidRPr="006D6590">
        <w:rPr>
          <w:spacing w:val="-4"/>
        </w:rPr>
        <w:t xml:space="preserve">Kilvert, N. 2019, ‘Drought, Climate Change and Mismanagement: What Experts Think Caused the Death of a Million Menindee Fish’, </w:t>
      </w:r>
      <w:r w:rsidRPr="006D6590">
        <w:rPr>
          <w:i/>
          <w:iCs/>
          <w:spacing w:val="-4"/>
        </w:rPr>
        <w:t>ABC News</w:t>
      </w:r>
      <w:r w:rsidRPr="006D6590">
        <w:rPr>
          <w:spacing w:val="-4"/>
        </w:rPr>
        <w:t>, 16 January.</w:t>
      </w:r>
    </w:p>
    <w:p w14:paraId="71A173CB" w14:textId="77777777" w:rsidR="00C67DB3" w:rsidRPr="006D6590" w:rsidRDefault="00C67DB3" w:rsidP="006D6590">
      <w:pPr>
        <w:pStyle w:val="Reference"/>
        <w:rPr>
          <w:spacing w:val="-4"/>
        </w:rPr>
      </w:pPr>
      <w:r w:rsidRPr="006D6590">
        <w:rPr>
          <w:spacing w:val="-4"/>
        </w:rPr>
        <w:t xml:space="preserve">Loch, A., Wheeler, S., Bjornlund, H., Beecham, S., Edwards, J., Zuo, A. and Shanahan, M. 2013, </w:t>
      </w:r>
      <w:r w:rsidRPr="006D6590">
        <w:rPr>
          <w:i/>
          <w:iCs/>
          <w:spacing w:val="-4"/>
        </w:rPr>
        <w:t>The Role of Water Markets in Climate Change Adaptation</w:t>
      </w:r>
      <w:r w:rsidRPr="006D6590">
        <w:rPr>
          <w:spacing w:val="-4"/>
        </w:rPr>
        <w:t>, Final Report, National Climate Change Adaptation Research Facility.</w:t>
      </w:r>
    </w:p>
    <w:p w14:paraId="59E429F5" w14:textId="77777777" w:rsidR="00C67DB3" w:rsidRPr="006D6590" w:rsidRDefault="00C67DB3" w:rsidP="006D6590">
      <w:pPr>
        <w:pStyle w:val="Reference"/>
        <w:rPr>
          <w:spacing w:val="-4"/>
        </w:rPr>
      </w:pPr>
      <w:r w:rsidRPr="006D6590">
        <w:rPr>
          <w:spacing w:val="-4"/>
        </w:rPr>
        <w:t xml:space="preserve">Matthews, K. 2017, </w:t>
      </w:r>
      <w:r w:rsidRPr="006D6590">
        <w:rPr>
          <w:i/>
          <w:iCs/>
          <w:spacing w:val="-4"/>
        </w:rPr>
        <w:t>Independent Investigation into NSW Water Management and Compliance: Interim Report</w:t>
      </w:r>
      <w:r w:rsidRPr="006D6590">
        <w:rPr>
          <w:spacing w:val="-4"/>
        </w:rPr>
        <w:t>, New South Wales.</w:t>
      </w:r>
    </w:p>
    <w:p w14:paraId="212A758C" w14:textId="2B662EDD" w:rsidR="00C67DB3" w:rsidRPr="006D6590" w:rsidRDefault="00C67DB3" w:rsidP="006D6590">
      <w:pPr>
        <w:pStyle w:val="Reference"/>
        <w:rPr>
          <w:spacing w:val="-4"/>
        </w:rPr>
      </w:pPr>
      <w:r w:rsidRPr="006D6590">
        <w:rPr>
          <w:spacing w:val="-4"/>
        </w:rPr>
        <w:t xml:space="preserve">McCormack, M., Morrison, S., Berejiklian, G. and Barilaro, J. 2019, </w:t>
      </w:r>
      <w:r w:rsidRPr="006D6590">
        <w:rPr>
          <w:i/>
          <w:iCs/>
          <w:spacing w:val="-4"/>
        </w:rPr>
        <w:t>Billion-dollar investment in NSW dams</w:t>
      </w:r>
      <w:r w:rsidRPr="006D6590">
        <w:rPr>
          <w:spacing w:val="-4"/>
        </w:rPr>
        <w:t>, Media Release, Department of Infrastructure, Transport, Regional Development and Communications, https://minister.infrastructure.gov.au/mccormack/</w:t>
      </w:r>
      <w:r w:rsidR="006D6590">
        <w:rPr>
          <w:spacing w:val="-4"/>
        </w:rPr>
        <w:br/>
      </w:r>
      <w:r w:rsidRPr="006D6590">
        <w:rPr>
          <w:spacing w:val="-4"/>
        </w:rPr>
        <w:t>media-release/billion-dollar-investment-nsw-dams (accessed 21 April 2021).</w:t>
      </w:r>
    </w:p>
    <w:p w14:paraId="74EC31A8" w14:textId="77777777" w:rsidR="00C67DB3" w:rsidRPr="006D6590" w:rsidRDefault="00C67DB3" w:rsidP="006D6590">
      <w:pPr>
        <w:pStyle w:val="Reference"/>
        <w:rPr>
          <w:spacing w:val="-4"/>
        </w:rPr>
      </w:pPr>
      <w:r w:rsidRPr="006D6590">
        <w:rPr>
          <w:spacing w:val="-4"/>
        </w:rPr>
        <w:lastRenderedPageBreak/>
        <w:t xml:space="preserve">MDB Ministerial Council (Murray-Darling Basin Ministerial Council) 2018, </w:t>
      </w:r>
      <w:r w:rsidRPr="006D6590">
        <w:rPr>
          <w:i/>
          <w:iCs/>
          <w:spacing w:val="-4"/>
        </w:rPr>
        <w:t>Murray-Darling Basin Compliance Compact</w:t>
      </w:r>
      <w:r w:rsidRPr="006D6590">
        <w:rPr>
          <w:spacing w:val="-4"/>
        </w:rPr>
        <w:t>, An Agreement between Commonwealth, New South Wales, Victoria, Queensland, South Australia, Australian Capital Territory, Canberra.</w:t>
      </w:r>
    </w:p>
    <w:p w14:paraId="2439E3E8" w14:textId="77777777" w:rsidR="00C67DB3" w:rsidRPr="006D6590" w:rsidRDefault="00C67DB3" w:rsidP="006D6590">
      <w:pPr>
        <w:pStyle w:val="Reference"/>
        <w:rPr>
          <w:spacing w:val="-4"/>
        </w:rPr>
      </w:pPr>
      <w:r w:rsidRPr="006D6590">
        <w:rPr>
          <w:spacing w:val="-4"/>
        </w:rPr>
        <w:t xml:space="preserve">MDBA (Murray-Darling Basin Authority) 2017, </w:t>
      </w:r>
      <w:r w:rsidRPr="006D6590">
        <w:rPr>
          <w:i/>
          <w:iCs/>
          <w:spacing w:val="-4"/>
        </w:rPr>
        <w:t>Basin-Wide Compliance Review</w:t>
      </w:r>
      <w:r w:rsidRPr="006D6590">
        <w:rPr>
          <w:spacing w:val="-4"/>
        </w:rPr>
        <w:t>, Media release, 31 July.</w:t>
      </w:r>
    </w:p>
    <w:p w14:paraId="5BE90815" w14:textId="152A2B0F" w:rsidR="00C67DB3" w:rsidRPr="006D6590" w:rsidRDefault="00C67DB3" w:rsidP="006D6590">
      <w:pPr>
        <w:pStyle w:val="Reference"/>
        <w:rPr>
          <w:spacing w:val="-4"/>
        </w:rPr>
      </w:pPr>
      <w:r w:rsidRPr="006D6590">
        <w:rPr>
          <w:spacing w:val="-4"/>
        </w:rPr>
        <w:t>——</w:t>
      </w:r>
      <w:r w:rsidR="008175AB" w:rsidRPr="006D6590">
        <w:rPr>
          <w:spacing w:val="-4"/>
        </w:rPr>
        <w:t xml:space="preserve"> </w:t>
      </w:r>
      <w:r w:rsidRPr="006D6590">
        <w:rPr>
          <w:spacing w:val="-4"/>
        </w:rPr>
        <w:t xml:space="preserve">2018, </w:t>
      </w:r>
      <w:r w:rsidRPr="006D6590">
        <w:rPr>
          <w:i/>
          <w:iCs/>
          <w:spacing w:val="-4"/>
        </w:rPr>
        <w:t>Objectives and Outcomes for River Operations in the River Murray System</w:t>
      </w:r>
      <w:r w:rsidRPr="006D6590">
        <w:rPr>
          <w:spacing w:val="-4"/>
        </w:rPr>
        <w:t>, May 2017 (Updated June 2018), Canberra.</w:t>
      </w:r>
    </w:p>
    <w:p w14:paraId="15E7EE70" w14:textId="0DC2A93B" w:rsidR="00C67DB3" w:rsidRPr="006D6590" w:rsidRDefault="00C67DB3" w:rsidP="006D6590">
      <w:pPr>
        <w:pStyle w:val="Reference"/>
        <w:rPr>
          <w:spacing w:val="-4"/>
        </w:rPr>
      </w:pPr>
      <w:r w:rsidRPr="006D6590">
        <w:rPr>
          <w:spacing w:val="-4"/>
        </w:rPr>
        <w:t xml:space="preserve">—— 2019, </w:t>
      </w:r>
      <w:r w:rsidRPr="006D6590">
        <w:rPr>
          <w:i/>
          <w:iCs/>
          <w:spacing w:val="-4"/>
        </w:rPr>
        <w:t>Best Practice Guidelines for Minimum Metering Thresholds</w:t>
      </w:r>
      <w:r w:rsidRPr="006D6590">
        <w:rPr>
          <w:spacing w:val="-4"/>
        </w:rPr>
        <w:t>, Guidelines agreed between the governments of New South Wales, Victoria, Queensland, South Australia, Australian Capital Territory and the Australian Government, Canberra.</w:t>
      </w:r>
    </w:p>
    <w:p w14:paraId="7DB30C3C" w14:textId="7FE2FA8C" w:rsidR="00C67DB3" w:rsidRPr="006D6590" w:rsidRDefault="00C67DB3" w:rsidP="006D6590">
      <w:pPr>
        <w:pStyle w:val="Reference"/>
        <w:rPr>
          <w:spacing w:val="-4"/>
        </w:rPr>
      </w:pPr>
      <w:r w:rsidRPr="006D6590">
        <w:rPr>
          <w:spacing w:val="-4"/>
        </w:rPr>
        <w:t>——</w:t>
      </w:r>
      <w:r w:rsidR="008175AB" w:rsidRPr="006D6590">
        <w:rPr>
          <w:spacing w:val="-4"/>
        </w:rPr>
        <w:t xml:space="preserve"> </w:t>
      </w:r>
      <w:r w:rsidRPr="006D6590">
        <w:rPr>
          <w:spacing w:val="-4"/>
        </w:rPr>
        <w:t xml:space="preserve">2020a, </w:t>
      </w:r>
      <w:r w:rsidRPr="006D6590">
        <w:rPr>
          <w:i/>
          <w:iCs/>
          <w:spacing w:val="-4"/>
        </w:rPr>
        <w:t>River Murray System Annual Operating Outlook: 2020-21 Water Year</w:t>
      </w:r>
      <w:r w:rsidRPr="006D6590">
        <w:rPr>
          <w:spacing w:val="-4"/>
        </w:rPr>
        <w:t>, Canberra.</w:t>
      </w:r>
    </w:p>
    <w:p w14:paraId="58E959EC" w14:textId="41B2BCF4" w:rsidR="00C67DB3" w:rsidRPr="006D6590" w:rsidRDefault="00C67DB3" w:rsidP="006D6590">
      <w:pPr>
        <w:pStyle w:val="Reference"/>
        <w:rPr>
          <w:spacing w:val="-4"/>
        </w:rPr>
      </w:pPr>
      <w:r w:rsidRPr="006D6590">
        <w:rPr>
          <w:spacing w:val="-4"/>
        </w:rPr>
        <w:t>——</w:t>
      </w:r>
      <w:r w:rsidR="008175AB" w:rsidRPr="006D6590">
        <w:rPr>
          <w:spacing w:val="-4"/>
        </w:rPr>
        <w:t xml:space="preserve"> </w:t>
      </w:r>
      <w:r w:rsidRPr="006D6590">
        <w:rPr>
          <w:spacing w:val="-4"/>
        </w:rPr>
        <w:t xml:space="preserve">2020b, </w:t>
      </w:r>
      <w:r w:rsidRPr="006D6590">
        <w:rPr>
          <w:i/>
          <w:iCs/>
          <w:spacing w:val="-4"/>
        </w:rPr>
        <w:t>The 2020 Basin Plan Evaluation</w:t>
      </w:r>
      <w:r w:rsidRPr="006D6590">
        <w:rPr>
          <w:spacing w:val="-4"/>
        </w:rPr>
        <w:t>, Canberra.</w:t>
      </w:r>
    </w:p>
    <w:p w14:paraId="0B2BA3F4" w14:textId="0107AC4B" w:rsidR="00C67DB3" w:rsidRPr="006D6590" w:rsidRDefault="00C67DB3" w:rsidP="006D6590">
      <w:pPr>
        <w:pStyle w:val="Reference"/>
        <w:rPr>
          <w:spacing w:val="-4"/>
        </w:rPr>
      </w:pPr>
      <w:r w:rsidRPr="006D6590">
        <w:rPr>
          <w:spacing w:val="-4"/>
        </w:rPr>
        <w:t>——</w:t>
      </w:r>
      <w:r w:rsidR="008175AB" w:rsidRPr="006D6590">
        <w:rPr>
          <w:spacing w:val="-4"/>
        </w:rPr>
        <w:t xml:space="preserve"> </w:t>
      </w:r>
      <w:r w:rsidRPr="006D6590">
        <w:rPr>
          <w:spacing w:val="-4"/>
        </w:rPr>
        <w:t xml:space="preserve">2020c, </w:t>
      </w:r>
      <w:r w:rsidRPr="006D6590">
        <w:rPr>
          <w:i/>
          <w:iCs/>
          <w:spacing w:val="-4"/>
        </w:rPr>
        <w:t>Transition Period Water Take Report 2018-19</w:t>
      </w:r>
      <w:r w:rsidRPr="006D6590">
        <w:rPr>
          <w:spacing w:val="-4"/>
        </w:rPr>
        <w:t>, Report on Cap Compliance and Transitional SDL Accounting, 38/20, Canberra.</w:t>
      </w:r>
    </w:p>
    <w:p w14:paraId="243D8CBA" w14:textId="77777777" w:rsidR="00C67DB3" w:rsidRPr="006D6590" w:rsidRDefault="00C67DB3" w:rsidP="006D6590">
      <w:pPr>
        <w:pStyle w:val="Reference"/>
        <w:rPr>
          <w:spacing w:val="-4"/>
        </w:rPr>
      </w:pPr>
      <w:r w:rsidRPr="006D6590">
        <w:rPr>
          <w:spacing w:val="-4"/>
        </w:rPr>
        <w:t xml:space="preserve">Melbourne Water 2020, </w:t>
      </w:r>
      <w:r w:rsidRPr="006D6590">
        <w:rPr>
          <w:i/>
          <w:iCs/>
          <w:spacing w:val="-4"/>
        </w:rPr>
        <w:t>Melbourne Water Price Submission 2021: 1 July 2021 to 30 June 2026</w:t>
      </w:r>
      <w:r w:rsidRPr="006D6590">
        <w:rPr>
          <w:spacing w:val="-4"/>
        </w:rPr>
        <w:t>, Melbourne.</w:t>
      </w:r>
    </w:p>
    <w:p w14:paraId="684C812D" w14:textId="77777777" w:rsidR="00C67DB3" w:rsidRPr="006D6590" w:rsidRDefault="00C67DB3" w:rsidP="006D6590">
      <w:pPr>
        <w:pStyle w:val="Reference"/>
        <w:rPr>
          <w:spacing w:val="-4"/>
        </w:rPr>
      </w:pPr>
      <w:r w:rsidRPr="006D6590">
        <w:rPr>
          <w:spacing w:val="-4"/>
        </w:rPr>
        <w:t xml:space="preserve">——, City West Water, South East Water and Yarra Valley Water 2017, </w:t>
      </w:r>
      <w:r w:rsidRPr="006D6590">
        <w:rPr>
          <w:i/>
          <w:iCs/>
          <w:spacing w:val="-4"/>
        </w:rPr>
        <w:t>Water for a Future-Thriving Melbourne</w:t>
      </w:r>
      <w:r w:rsidRPr="006D6590">
        <w:rPr>
          <w:spacing w:val="-4"/>
        </w:rPr>
        <w:t>, Melbourne.</w:t>
      </w:r>
    </w:p>
    <w:p w14:paraId="5A0491BC" w14:textId="77777777" w:rsidR="00C67DB3" w:rsidRPr="006D6590" w:rsidRDefault="00C67DB3" w:rsidP="006D6590">
      <w:pPr>
        <w:pStyle w:val="Reference"/>
        <w:rPr>
          <w:spacing w:val="-4"/>
        </w:rPr>
      </w:pPr>
      <w:r w:rsidRPr="006D6590">
        <w:rPr>
          <w:spacing w:val="-4"/>
        </w:rPr>
        <w:t xml:space="preserve">MLDRIN (Murray and Lower Darling Rivers Indigenous Nations) 2007, </w:t>
      </w:r>
      <w:r w:rsidRPr="006D6590">
        <w:rPr>
          <w:i/>
          <w:iCs/>
          <w:spacing w:val="-4"/>
        </w:rPr>
        <w:t>Echuca Declaration</w:t>
      </w:r>
      <w:r w:rsidRPr="006D6590">
        <w:rPr>
          <w:spacing w:val="-4"/>
        </w:rPr>
        <w:t>, Melbourne.</w:t>
      </w:r>
    </w:p>
    <w:p w14:paraId="7C57B2D5" w14:textId="77777777" w:rsidR="00C67DB3" w:rsidRPr="006D6590" w:rsidRDefault="00C67DB3" w:rsidP="006D6590">
      <w:pPr>
        <w:pStyle w:val="Reference"/>
        <w:rPr>
          <w:spacing w:val="-4"/>
        </w:rPr>
      </w:pPr>
      <w:r w:rsidRPr="006D6590">
        <w:rPr>
          <w:spacing w:val="-4"/>
        </w:rPr>
        <w:t xml:space="preserve">National Cultural Flows Research Project 2014, </w:t>
      </w:r>
      <w:r w:rsidRPr="006D6590">
        <w:rPr>
          <w:i/>
          <w:iCs/>
          <w:spacing w:val="-4"/>
        </w:rPr>
        <w:t>Cultural Flows Literature Review</w:t>
      </w:r>
      <w:r w:rsidRPr="006D6590">
        <w:rPr>
          <w:spacing w:val="-4"/>
        </w:rPr>
        <w:t>.</w:t>
      </w:r>
    </w:p>
    <w:p w14:paraId="4B7497E7" w14:textId="77777777" w:rsidR="00C67DB3" w:rsidRPr="006D6590" w:rsidRDefault="00C67DB3" w:rsidP="006D6590">
      <w:pPr>
        <w:pStyle w:val="Reference"/>
        <w:rPr>
          <w:spacing w:val="-4"/>
        </w:rPr>
      </w:pPr>
      <w:r w:rsidRPr="006D6590">
        <w:rPr>
          <w:spacing w:val="-4"/>
        </w:rPr>
        <w:t xml:space="preserve">—— 2018, </w:t>
      </w:r>
      <w:r w:rsidRPr="006D6590">
        <w:rPr>
          <w:i/>
          <w:iCs/>
          <w:spacing w:val="-4"/>
        </w:rPr>
        <w:t>A pathway to cultural flows in Australia: Law and Policy Summary</w:t>
      </w:r>
      <w:r w:rsidRPr="006D6590">
        <w:rPr>
          <w:spacing w:val="-4"/>
        </w:rPr>
        <w:t>.</w:t>
      </w:r>
    </w:p>
    <w:p w14:paraId="52F462F1" w14:textId="77777777" w:rsidR="00C67DB3" w:rsidRPr="006D6590" w:rsidRDefault="00C67DB3" w:rsidP="006D6590">
      <w:pPr>
        <w:pStyle w:val="Reference"/>
        <w:rPr>
          <w:spacing w:val="-4"/>
        </w:rPr>
      </w:pPr>
      <w:r w:rsidRPr="006D6590">
        <w:rPr>
          <w:spacing w:val="-4"/>
        </w:rPr>
        <w:t xml:space="preserve">Northern Territory Government 2017, </w:t>
      </w:r>
      <w:r w:rsidRPr="006D6590">
        <w:rPr>
          <w:i/>
          <w:iCs/>
          <w:spacing w:val="-4"/>
        </w:rPr>
        <w:t>Strategic Aboriginal Water Reserve: Policy Framework</w:t>
      </w:r>
      <w:r w:rsidRPr="006D6590">
        <w:rPr>
          <w:spacing w:val="-4"/>
        </w:rPr>
        <w:t>, version 13/10/17.</w:t>
      </w:r>
    </w:p>
    <w:p w14:paraId="04849238" w14:textId="77777777" w:rsidR="00C67DB3" w:rsidRPr="006D6590" w:rsidRDefault="00C67DB3" w:rsidP="006D6590">
      <w:pPr>
        <w:pStyle w:val="Reference"/>
        <w:rPr>
          <w:spacing w:val="-4"/>
        </w:rPr>
      </w:pPr>
      <w:r w:rsidRPr="006D6590">
        <w:rPr>
          <w:spacing w:val="-4"/>
        </w:rPr>
        <w:t xml:space="preserve">NRC (NSW) (Natural Resources Commission (NSW)) 2020, </w:t>
      </w:r>
      <w:r w:rsidRPr="006D6590">
        <w:rPr>
          <w:i/>
          <w:iCs/>
          <w:spacing w:val="-4"/>
        </w:rPr>
        <w:t>2019-2020 Water sharing plan reviews</w:t>
      </w:r>
      <w:r w:rsidRPr="006D6590">
        <w:rPr>
          <w:spacing w:val="-4"/>
        </w:rPr>
        <w:t>, https://www.nrc.nsw.gov.au/2019-2020-wsp-reviews (accessed 12 March 2020).</w:t>
      </w:r>
    </w:p>
    <w:p w14:paraId="6CEA1993" w14:textId="77777777" w:rsidR="00C67DB3" w:rsidRPr="006D6590" w:rsidRDefault="00C67DB3" w:rsidP="006D6590">
      <w:pPr>
        <w:pStyle w:val="Reference"/>
        <w:rPr>
          <w:spacing w:val="-4"/>
        </w:rPr>
      </w:pPr>
      <w:r w:rsidRPr="006D6590">
        <w:rPr>
          <w:spacing w:val="-4"/>
        </w:rPr>
        <w:t xml:space="preserve">NRMMC (Natural Resource Management Ministerial Council) 2010, </w:t>
      </w:r>
      <w:r w:rsidRPr="006D6590">
        <w:rPr>
          <w:i/>
          <w:iCs/>
          <w:spacing w:val="-4"/>
        </w:rPr>
        <w:t>National Water Initiative Pricing Principles</w:t>
      </w:r>
      <w:r w:rsidRPr="006D6590">
        <w:rPr>
          <w:spacing w:val="-4"/>
        </w:rPr>
        <w:t>.</w:t>
      </w:r>
    </w:p>
    <w:p w14:paraId="6BE4152F" w14:textId="77777777" w:rsidR="00C67DB3" w:rsidRPr="006D6590" w:rsidRDefault="00C67DB3" w:rsidP="006D6590">
      <w:pPr>
        <w:pStyle w:val="Reference"/>
        <w:rPr>
          <w:spacing w:val="-4"/>
        </w:rPr>
      </w:pPr>
      <w:r w:rsidRPr="006D6590">
        <w:rPr>
          <w:spacing w:val="-4"/>
        </w:rPr>
        <w:t xml:space="preserve">NRMSC (Natural Resource Management Standing Committee) 2002, </w:t>
      </w:r>
      <w:r w:rsidRPr="006D6590">
        <w:rPr>
          <w:i/>
          <w:iCs/>
          <w:spacing w:val="-4"/>
        </w:rPr>
        <w:t>A National Approach to Water Trading</w:t>
      </w:r>
      <w:r w:rsidRPr="006D6590">
        <w:rPr>
          <w:spacing w:val="-4"/>
        </w:rPr>
        <w:t>, Canberra.</w:t>
      </w:r>
    </w:p>
    <w:p w14:paraId="280DA4C9" w14:textId="77777777" w:rsidR="00C67DB3" w:rsidRPr="006D6590" w:rsidRDefault="00C67DB3" w:rsidP="006D6590">
      <w:pPr>
        <w:pStyle w:val="Reference"/>
        <w:rPr>
          <w:spacing w:val="-4"/>
        </w:rPr>
      </w:pPr>
      <w:r w:rsidRPr="006D6590">
        <w:rPr>
          <w:spacing w:val="-4"/>
        </w:rPr>
        <w:t xml:space="preserve">NSW Government 2019, </w:t>
      </w:r>
      <w:r w:rsidRPr="006D6590">
        <w:rPr>
          <w:i/>
          <w:iCs/>
          <w:spacing w:val="-4"/>
        </w:rPr>
        <w:t>NSW Budget 2019-20: Budget Paper No. 1 Budget Statement</w:t>
      </w:r>
      <w:r w:rsidRPr="006D6590">
        <w:rPr>
          <w:spacing w:val="-4"/>
        </w:rPr>
        <w:t>, Sydney.</w:t>
      </w:r>
    </w:p>
    <w:p w14:paraId="2E777E79" w14:textId="77777777" w:rsidR="00C67DB3" w:rsidRPr="006D6590" w:rsidRDefault="00C67DB3" w:rsidP="006D6590">
      <w:pPr>
        <w:pStyle w:val="Reference"/>
        <w:rPr>
          <w:spacing w:val="-4"/>
        </w:rPr>
      </w:pPr>
      <w:r w:rsidRPr="006D6590">
        <w:rPr>
          <w:spacing w:val="-4"/>
        </w:rPr>
        <w:t xml:space="preserve">NSW Ombudsman 2017, </w:t>
      </w:r>
      <w:r w:rsidRPr="006D6590">
        <w:rPr>
          <w:i/>
          <w:iCs/>
          <w:spacing w:val="-4"/>
        </w:rPr>
        <w:t>Investigation into Water Compliance and Enforcement 2007-17</w:t>
      </w:r>
      <w:r w:rsidRPr="006D6590">
        <w:rPr>
          <w:spacing w:val="-4"/>
        </w:rPr>
        <w:t>, New South Wales.</w:t>
      </w:r>
    </w:p>
    <w:p w14:paraId="393BBE6D" w14:textId="77777777" w:rsidR="00C67DB3" w:rsidRPr="006D6590" w:rsidRDefault="00C67DB3" w:rsidP="006D6590">
      <w:pPr>
        <w:pStyle w:val="Reference"/>
        <w:rPr>
          <w:spacing w:val="-4"/>
        </w:rPr>
      </w:pPr>
      <w:r w:rsidRPr="006D6590">
        <w:rPr>
          <w:spacing w:val="-4"/>
        </w:rPr>
        <w:t xml:space="preserve">NWC (National Water Commission) 2010, </w:t>
      </w:r>
      <w:r w:rsidRPr="006D6590">
        <w:rPr>
          <w:i/>
          <w:iCs/>
          <w:spacing w:val="-4"/>
        </w:rPr>
        <w:t>The Impacts of Water Trading in the Southern Murray-Darling Basin</w:t>
      </w:r>
      <w:r w:rsidRPr="006D6590">
        <w:rPr>
          <w:spacing w:val="-4"/>
        </w:rPr>
        <w:t>, Canberra.</w:t>
      </w:r>
    </w:p>
    <w:p w14:paraId="4405269A" w14:textId="1E696FF2" w:rsidR="00C67DB3" w:rsidRPr="006D6590" w:rsidRDefault="00C67DB3" w:rsidP="006D6590">
      <w:pPr>
        <w:pStyle w:val="Reference"/>
        <w:rPr>
          <w:spacing w:val="-4"/>
        </w:rPr>
      </w:pPr>
      <w:r w:rsidRPr="006D6590">
        <w:rPr>
          <w:spacing w:val="-4"/>
        </w:rPr>
        <w:t>——</w:t>
      </w:r>
      <w:r w:rsidR="00883577" w:rsidRPr="006D6590">
        <w:rPr>
          <w:spacing w:val="-4"/>
        </w:rPr>
        <w:t xml:space="preserve"> </w:t>
      </w:r>
      <w:r w:rsidRPr="006D6590">
        <w:rPr>
          <w:spacing w:val="-4"/>
        </w:rPr>
        <w:t xml:space="preserve">2011, </w:t>
      </w:r>
      <w:r w:rsidRPr="006D6590">
        <w:rPr>
          <w:i/>
          <w:iCs/>
          <w:spacing w:val="-4"/>
        </w:rPr>
        <w:t>The National Water Initiative — Securing Australia’s Water Future: 2011 Assessment</w:t>
      </w:r>
      <w:r w:rsidRPr="006D6590">
        <w:rPr>
          <w:spacing w:val="-4"/>
        </w:rPr>
        <w:t>, Canberra.</w:t>
      </w:r>
    </w:p>
    <w:p w14:paraId="14A6B4F8" w14:textId="4DF86152" w:rsidR="00C67DB3" w:rsidRPr="006D6590" w:rsidRDefault="00C67DB3" w:rsidP="006D6590">
      <w:pPr>
        <w:pStyle w:val="Reference"/>
        <w:rPr>
          <w:spacing w:val="-4"/>
        </w:rPr>
      </w:pPr>
      <w:r w:rsidRPr="006D6590">
        <w:rPr>
          <w:spacing w:val="-4"/>
        </w:rPr>
        <w:lastRenderedPageBreak/>
        <w:t>——</w:t>
      </w:r>
      <w:r w:rsidR="00883577" w:rsidRPr="006D6590">
        <w:rPr>
          <w:spacing w:val="-4"/>
        </w:rPr>
        <w:t xml:space="preserve"> </w:t>
      </w:r>
      <w:r w:rsidRPr="006D6590">
        <w:rPr>
          <w:spacing w:val="-4"/>
        </w:rPr>
        <w:t xml:space="preserve">2012, </w:t>
      </w:r>
      <w:r w:rsidRPr="006D6590">
        <w:rPr>
          <w:i/>
          <w:iCs/>
          <w:spacing w:val="-4"/>
        </w:rPr>
        <w:t>The Impacts of Water Trading in the Southern Murray-Darling Basin Between 2006-07 and 2010-11</w:t>
      </w:r>
      <w:r w:rsidRPr="006D6590">
        <w:rPr>
          <w:spacing w:val="-4"/>
        </w:rPr>
        <w:t>, Canberra.</w:t>
      </w:r>
    </w:p>
    <w:p w14:paraId="5A794B75" w14:textId="4CBA53ED" w:rsidR="00C67DB3" w:rsidRPr="006D6590" w:rsidRDefault="00C67DB3" w:rsidP="006D6590">
      <w:pPr>
        <w:pStyle w:val="Reference"/>
        <w:rPr>
          <w:spacing w:val="-4"/>
        </w:rPr>
      </w:pPr>
      <w:r w:rsidRPr="006D6590">
        <w:rPr>
          <w:spacing w:val="-4"/>
        </w:rPr>
        <w:t xml:space="preserve">—— 2014, </w:t>
      </w:r>
      <w:r w:rsidRPr="006D6590">
        <w:rPr>
          <w:i/>
          <w:iCs/>
          <w:spacing w:val="-4"/>
        </w:rPr>
        <w:t>Water for Mining and Unconventional Gas under the National Water Initiative</w:t>
      </w:r>
      <w:r w:rsidRPr="006D6590">
        <w:rPr>
          <w:spacing w:val="-4"/>
        </w:rPr>
        <w:t>, Canberra.</w:t>
      </w:r>
    </w:p>
    <w:p w14:paraId="7A50BEA3" w14:textId="77777777" w:rsidR="00C67DB3" w:rsidRPr="006D6590" w:rsidRDefault="00C67DB3" w:rsidP="006D6590">
      <w:pPr>
        <w:pStyle w:val="Reference"/>
        <w:rPr>
          <w:spacing w:val="-4"/>
        </w:rPr>
      </w:pPr>
      <w:r w:rsidRPr="006D6590">
        <w:rPr>
          <w:spacing w:val="-4"/>
        </w:rPr>
        <w:t xml:space="preserve">NWGA (National Water Grid Authority) 2020, </w:t>
      </w:r>
      <w:r w:rsidRPr="006D6590">
        <w:rPr>
          <w:i/>
          <w:iCs/>
          <w:spacing w:val="-4"/>
        </w:rPr>
        <w:t>National Water Infrastructure Investment Policy Framework</w:t>
      </w:r>
      <w:r w:rsidRPr="006D6590">
        <w:rPr>
          <w:spacing w:val="-4"/>
        </w:rPr>
        <w:t>, Canberra.</w:t>
      </w:r>
    </w:p>
    <w:p w14:paraId="06AE6C14" w14:textId="2332980C" w:rsidR="00C67DB3" w:rsidRPr="006D6590" w:rsidRDefault="00C67DB3" w:rsidP="006D6590">
      <w:pPr>
        <w:pStyle w:val="Reference"/>
        <w:rPr>
          <w:spacing w:val="-4"/>
        </w:rPr>
      </w:pPr>
      <w:r w:rsidRPr="006D6590">
        <w:rPr>
          <w:spacing w:val="-4"/>
        </w:rPr>
        <w:t>——</w:t>
      </w:r>
      <w:r w:rsidR="00883577" w:rsidRPr="006D6590">
        <w:rPr>
          <w:spacing w:val="-4"/>
        </w:rPr>
        <w:t xml:space="preserve"> </w:t>
      </w:r>
      <w:r w:rsidRPr="006D6590">
        <w:rPr>
          <w:spacing w:val="-4"/>
        </w:rPr>
        <w:t xml:space="preserve">2021a, </w:t>
      </w:r>
      <w:r w:rsidRPr="006D6590">
        <w:rPr>
          <w:i/>
          <w:iCs/>
          <w:spacing w:val="-4"/>
        </w:rPr>
        <w:t>Capital Projects - Progress and project stages (As at 22 March 2021)</w:t>
      </w:r>
      <w:r w:rsidRPr="006D6590">
        <w:rPr>
          <w:spacing w:val="-4"/>
        </w:rPr>
        <w:t>.</w:t>
      </w:r>
    </w:p>
    <w:p w14:paraId="6C74EE4A" w14:textId="66FFBBE1" w:rsidR="00C67DB3" w:rsidRPr="006D6590" w:rsidRDefault="00C67DB3" w:rsidP="006D6590">
      <w:pPr>
        <w:pStyle w:val="Reference"/>
        <w:rPr>
          <w:spacing w:val="-4"/>
        </w:rPr>
      </w:pPr>
      <w:r w:rsidRPr="006D6590">
        <w:rPr>
          <w:spacing w:val="-4"/>
        </w:rPr>
        <w:t>——</w:t>
      </w:r>
      <w:r w:rsidR="00883577" w:rsidRPr="006D6590">
        <w:rPr>
          <w:spacing w:val="-4"/>
        </w:rPr>
        <w:t xml:space="preserve"> </w:t>
      </w:r>
      <w:r w:rsidRPr="006D6590">
        <w:rPr>
          <w:spacing w:val="-4"/>
        </w:rPr>
        <w:t xml:space="preserve">2021b, </w:t>
      </w:r>
      <w:r w:rsidRPr="006D6590">
        <w:rPr>
          <w:i/>
          <w:iCs/>
          <w:spacing w:val="-4"/>
        </w:rPr>
        <w:t>Rookwood Weir</w:t>
      </w:r>
      <w:r w:rsidRPr="006D6590">
        <w:rPr>
          <w:spacing w:val="-4"/>
        </w:rPr>
        <w:t>, Department of Infrastructure, Transport, Regional Development and Communications, https://www.nationalwatergrid.gov.au/program/rookwood-weir (accessed 19 April 2021).</w:t>
      </w:r>
    </w:p>
    <w:p w14:paraId="5CE68178" w14:textId="7BD7976D" w:rsidR="00C67DB3" w:rsidRPr="006D6590" w:rsidRDefault="00C67DB3" w:rsidP="006D6590">
      <w:pPr>
        <w:pStyle w:val="Reference"/>
        <w:rPr>
          <w:spacing w:val="-4"/>
        </w:rPr>
      </w:pPr>
      <w:r w:rsidRPr="006D6590">
        <w:rPr>
          <w:spacing w:val="-4"/>
        </w:rPr>
        <w:t xml:space="preserve">—— 2021c, </w:t>
      </w:r>
      <w:r w:rsidRPr="006D6590">
        <w:rPr>
          <w:i/>
          <w:iCs/>
          <w:spacing w:val="-4"/>
        </w:rPr>
        <w:t>Status of the 22 National Water Infrastructure Development Fund (NWIDF) capital projects (as at 15 March 2021)</w:t>
      </w:r>
      <w:r w:rsidRPr="006D6590">
        <w:rPr>
          <w:spacing w:val="-4"/>
        </w:rPr>
        <w:t>, Canberra.</w:t>
      </w:r>
    </w:p>
    <w:p w14:paraId="1201CAB6" w14:textId="77777777" w:rsidR="00C67DB3" w:rsidRPr="006D6590" w:rsidRDefault="00C67DB3" w:rsidP="006D6590">
      <w:pPr>
        <w:pStyle w:val="Reference"/>
        <w:rPr>
          <w:spacing w:val="-4"/>
        </w:rPr>
      </w:pPr>
      <w:r w:rsidRPr="006D6590">
        <w:rPr>
          <w:spacing w:val="-4"/>
        </w:rPr>
        <w:t xml:space="preserve">OBPR (Office of Best Practice Regulation) 2016, </w:t>
      </w:r>
      <w:r w:rsidRPr="006D6590">
        <w:rPr>
          <w:i/>
          <w:iCs/>
          <w:spacing w:val="-4"/>
        </w:rPr>
        <w:t>Best Practice Consultation</w:t>
      </w:r>
      <w:r w:rsidRPr="006D6590">
        <w:rPr>
          <w:spacing w:val="-4"/>
        </w:rPr>
        <w:t>, Guidance note, Canberra.</w:t>
      </w:r>
    </w:p>
    <w:p w14:paraId="69CA7418" w14:textId="77777777" w:rsidR="00C67DB3" w:rsidRPr="006D6590" w:rsidRDefault="00C67DB3" w:rsidP="006D6590">
      <w:pPr>
        <w:pStyle w:val="Reference"/>
        <w:rPr>
          <w:spacing w:val="-4"/>
        </w:rPr>
      </w:pPr>
      <w:r w:rsidRPr="006D6590">
        <w:rPr>
          <w:spacing w:val="-4"/>
        </w:rPr>
        <w:t xml:space="preserve">O’Donnell, E. and Horne, A. 2018, ‘Giving environmental water to drought-stricken farmers sounds straightforward, but it’s a bad idea’, </w:t>
      </w:r>
      <w:r w:rsidRPr="006D6590">
        <w:rPr>
          <w:i/>
          <w:iCs/>
          <w:spacing w:val="-4"/>
        </w:rPr>
        <w:t>The Conversation</w:t>
      </w:r>
      <w:r w:rsidRPr="006D6590">
        <w:rPr>
          <w:spacing w:val="-4"/>
        </w:rPr>
        <w:t>, 18 September.</w:t>
      </w:r>
    </w:p>
    <w:p w14:paraId="16D49D9B" w14:textId="77777777" w:rsidR="00C67DB3" w:rsidRPr="006D6590" w:rsidRDefault="00C67DB3" w:rsidP="006D6590">
      <w:pPr>
        <w:pStyle w:val="Reference"/>
        <w:rPr>
          <w:spacing w:val="-4"/>
        </w:rPr>
      </w:pPr>
      <w:r w:rsidRPr="006D6590">
        <w:rPr>
          <w:spacing w:val="-4"/>
        </w:rPr>
        <w:t xml:space="preserve">OECD (Organisation for Economic Co-operation and Development) 2015, </w:t>
      </w:r>
      <w:r w:rsidRPr="006D6590">
        <w:rPr>
          <w:i/>
          <w:iCs/>
          <w:spacing w:val="-4"/>
        </w:rPr>
        <w:t>OECD Principles on Water Governance</w:t>
      </w:r>
      <w:r w:rsidRPr="006D6590">
        <w:rPr>
          <w:spacing w:val="-4"/>
        </w:rPr>
        <w:t>, https://www.oecd.org/governance/oecd-principles-on-water-governance.htm (accessed 21 September 2020).</w:t>
      </w:r>
    </w:p>
    <w:p w14:paraId="75AEF176" w14:textId="18D937FF" w:rsidR="00C67DB3" w:rsidRPr="006D6590" w:rsidRDefault="00C67DB3" w:rsidP="006D6590">
      <w:pPr>
        <w:pStyle w:val="Reference"/>
        <w:rPr>
          <w:spacing w:val="-4"/>
        </w:rPr>
      </w:pPr>
      <w:r w:rsidRPr="006D6590">
        <w:rPr>
          <w:spacing w:val="-4"/>
        </w:rPr>
        <w:t xml:space="preserve">—— 2017, </w:t>
      </w:r>
      <w:r w:rsidRPr="006D6590">
        <w:rPr>
          <w:i/>
          <w:iCs/>
          <w:spacing w:val="-4"/>
        </w:rPr>
        <w:t>Leading practice community engagement guidelines</w:t>
      </w:r>
      <w:r w:rsidRPr="006D6590">
        <w:rPr>
          <w:spacing w:val="-4"/>
        </w:rPr>
        <w:t>, Paris.</w:t>
      </w:r>
    </w:p>
    <w:p w14:paraId="537237DF" w14:textId="77777777" w:rsidR="00C67DB3" w:rsidRPr="006D6590" w:rsidRDefault="00C67DB3" w:rsidP="006D6590">
      <w:pPr>
        <w:pStyle w:val="Reference"/>
        <w:rPr>
          <w:spacing w:val="-4"/>
        </w:rPr>
      </w:pPr>
      <w:r w:rsidRPr="006D6590">
        <w:rPr>
          <w:spacing w:val="-4"/>
        </w:rPr>
        <w:t xml:space="preserve">PC (Productivity Commission) 2001, </w:t>
      </w:r>
      <w:r w:rsidRPr="006D6590">
        <w:rPr>
          <w:i/>
          <w:iCs/>
          <w:spacing w:val="-4"/>
        </w:rPr>
        <w:t>Structural Adjustment: Key Policy Issues</w:t>
      </w:r>
      <w:r w:rsidRPr="006D6590">
        <w:rPr>
          <w:spacing w:val="-4"/>
        </w:rPr>
        <w:t>, Commission Research Paper, Canberra.</w:t>
      </w:r>
    </w:p>
    <w:p w14:paraId="5FD65787" w14:textId="6045EDCD" w:rsidR="00C67DB3" w:rsidRPr="006D6590" w:rsidRDefault="00C67DB3" w:rsidP="006D6590">
      <w:pPr>
        <w:pStyle w:val="Reference"/>
        <w:rPr>
          <w:spacing w:val="-4"/>
        </w:rPr>
      </w:pPr>
      <w:r w:rsidRPr="006D6590">
        <w:rPr>
          <w:spacing w:val="-4"/>
        </w:rPr>
        <w:t>——</w:t>
      </w:r>
      <w:r w:rsidR="002E235C" w:rsidRPr="006D6590">
        <w:rPr>
          <w:spacing w:val="-4"/>
        </w:rPr>
        <w:t xml:space="preserve"> </w:t>
      </w:r>
      <w:r w:rsidRPr="006D6590">
        <w:rPr>
          <w:spacing w:val="-4"/>
        </w:rPr>
        <w:t xml:space="preserve">2007, </w:t>
      </w:r>
      <w:r w:rsidRPr="006D6590">
        <w:rPr>
          <w:i/>
          <w:iCs/>
          <w:spacing w:val="-4"/>
        </w:rPr>
        <w:t>Public Support for Science &amp; Innovation</w:t>
      </w:r>
      <w:r w:rsidRPr="006D6590">
        <w:rPr>
          <w:spacing w:val="-4"/>
        </w:rPr>
        <w:t>, Research Report, Canberra.</w:t>
      </w:r>
    </w:p>
    <w:p w14:paraId="3CE8B700" w14:textId="75C0CC34" w:rsidR="00C67DB3" w:rsidRPr="006D6590" w:rsidRDefault="00C67DB3" w:rsidP="006D6590">
      <w:pPr>
        <w:pStyle w:val="Reference"/>
        <w:rPr>
          <w:spacing w:val="-4"/>
        </w:rPr>
      </w:pPr>
      <w:r w:rsidRPr="006D6590">
        <w:rPr>
          <w:spacing w:val="-4"/>
        </w:rPr>
        <w:t>——</w:t>
      </w:r>
      <w:r w:rsidR="002E235C" w:rsidRPr="006D6590">
        <w:rPr>
          <w:spacing w:val="-4"/>
        </w:rPr>
        <w:t xml:space="preserve"> </w:t>
      </w:r>
      <w:r w:rsidRPr="006D6590">
        <w:rPr>
          <w:spacing w:val="-4"/>
        </w:rPr>
        <w:t xml:space="preserve">2009, </w:t>
      </w:r>
      <w:r w:rsidRPr="006D6590">
        <w:rPr>
          <w:i/>
          <w:iCs/>
          <w:spacing w:val="-4"/>
        </w:rPr>
        <w:t>Government Drought Support</w:t>
      </w:r>
      <w:r w:rsidRPr="006D6590">
        <w:rPr>
          <w:spacing w:val="-4"/>
        </w:rPr>
        <w:t>, Report no. 46, Canberra.</w:t>
      </w:r>
    </w:p>
    <w:p w14:paraId="46C1567D" w14:textId="0066D4F7" w:rsidR="00C67DB3" w:rsidRPr="006D6590" w:rsidRDefault="00C67DB3" w:rsidP="006D6590">
      <w:pPr>
        <w:pStyle w:val="Reference"/>
        <w:rPr>
          <w:spacing w:val="-4"/>
        </w:rPr>
      </w:pPr>
      <w:r w:rsidRPr="006D6590">
        <w:rPr>
          <w:spacing w:val="-4"/>
        </w:rPr>
        <w:t>——</w:t>
      </w:r>
      <w:r w:rsidR="002E235C" w:rsidRPr="006D6590">
        <w:rPr>
          <w:spacing w:val="-4"/>
        </w:rPr>
        <w:t xml:space="preserve"> </w:t>
      </w:r>
      <w:r w:rsidRPr="006D6590">
        <w:rPr>
          <w:spacing w:val="-4"/>
        </w:rPr>
        <w:t xml:space="preserve">2010, </w:t>
      </w:r>
      <w:r w:rsidRPr="006D6590">
        <w:rPr>
          <w:i/>
          <w:iCs/>
          <w:spacing w:val="-4"/>
        </w:rPr>
        <w:t>Strengthening Evidence-Based Policy in the Australian Federation</w:t>
      </w:r>
      <w:r w:rsidRPr="006D6590">
        <w:rPr>
          <w:spacing w:val="-4"/>
        </w:rPr>
        <w:t>, Roundtable Proceedings, Productivity Commission, Canberra.</w:t>
      </w:r>
    </w:p>
    <w:p w14:paraId="021FCAF0" w14:textId="0404B4C4" w:rsidR="00C67DB3" w:rsidRPr="006D6590" w:rsidRDefault="00C67DB3" w:rsidP="006D6590">
      <w:pPr>
        <w:pStyle w:val="Reference"/>
        <w:rPr>
          <w:spacing w:val="-4"/>
        </w:rPr>
      </w:pPr>
      <w:r w:rsidRPr="006D6590">
        <w:rPr>
          <w:spacing w:val="-4"/>
        </w:rPr>
        <w:t>——</w:t>
      </w:r>
      <w:r w:rsidR="002E235C" w:rsidRPr="006D6590">
        <w:rPr>
          <w:spacing w:val="-4"/>
        </w:rPr>
        <w:t xml:space="preserve"> </w:t>
      </w:r>
      <w:r w:rsidRPr="006D6590">
        <w:rPr>
          <w:spacing w:val="-4"/>
        </w:rPr>
        <w:t xml:space="preserve">2014, </w:t>
      </w:r>
      <w:r w:rsidRPr="006D6590">
        <w:rPr>
          <w:i/>
          <w:iCs/>
          <w:spacing w:val="-4"/>
        </w:rPr>
        <w:t>Public Infrastructure</w:t>
      </w:r>
      <w:r w:rsidRPr="006D6590">
        <w:rPr>
          <w:spacing w:val="-4"/>
        </w:rPr>
        <w:t>, Report no. 71, Canberra.</w:t>
      </w:r>
    </w:p>
    <w:p w14:paraId="18B8FE48" w14:textId="43977D0D" w:rsidR="00C67DB3" w:rsidRPr="006D6590" w:rsidRDefault="00C67DB3" w:rsidP="006D6590">
      <w:pPr>
        <w:pStyle w:val="Reference"/>
        <w:rPr>
          <w:spacing w:val="-4"/>
        </w:rPr>
      </w:pPr>
      <w:r w:rsidRPr="006D6590">
        <w:rPr>
          <w:spacing w:val="-4"/>
        </w:rPr>
        <w:t>——</w:t>
      </w:r>
      <w:r w:rsidR="002E235C" w:rsidRPr="006D6590">
        <w:rPr>
          <w:spacing w:val="-4"/>
        </w:rPr>
        <w:t xml:space="preserve"> </w:t>
      </w:r>
      <w:r w:rsidRPr="006D6590">
        <w:rPr>
          <w:spacing w:val="-4"/>
        </w:rPr>
        <w:t xml:space="preserve">2017a, </w:t>
      </w:r>
      <w:r w:rsidRPr="006D6590">
        <w:rPr>
          <w:i/>
          <w:iCs/>
          <w:spacing w:val="-4"/>
        </w:rPr>
        <w:t>National Water Reform</w:t>
      </w:r>
      <w:r w:rsidRPr="006D6590">
        <w:rPr>
          <w:spacing w:val="-4"/>
        </w:rPr>
        <w:t>, Report no. 87, Canberra.</w:t>
      </w:r>
    </w:p>
    <w:p w14:paraId="0BFFC044" w14:textId="25A52644" w:rsidR="00C67DB3" w:rsidRPr="006D6590" w:rsidRDefault="00C67DB3" w:rsidP="006D6590">
      <w:pPr>
        <w:pStyle w:val="Reference"/>
        <w:rPr>
          <w:spacing w:val="-4"/>
        </w:rPr>
      </w:pPr>
      <w:r w:rsidRPr="006D6590">
        <w:rPr>
          <w:spacing w:val="-4"/>
        </w:rPr>
        <w:t>——</w:t>
      </w:r>
      <w:r w:rsidR="002E235C" w:rsidRPr="006D6590">
        <w:rPr>
          <w:spacing w:val="-4"/>
        </w:rPr>
        <w:t xml:space="preserve"> </w:t>
      </w:r>
      <w:r w:rsidRPr="006D6590">
        <w:rPr>
          <w:spacing w:val="-4"/>
        </w:rPr>
        <w:t xml:space="preserve">2017b, </w:t>
      </w:r>
      <w:r w:rsidRPr="006D6590">
        <w:rPr>
          <w:i/>
          <w:iCs/>
          <w:spacing w:val="-4"/>
        </w:rPr>
        <w:t>National Water Reform</w:t>
      </w:r>
      <w:r w:rsidRPr="006D6590">
        <w:rPr>
          <w:spacing w:val="-4"/>
        </w:rPr>
        <w:t>, Report no. 87, Canberra.</w:t>
      </w:r>
    </w:p>
    <w:p w14:paraId="6D7FAC58" w14:textId="60C05D56" w:rsidR="00C67DB3" w:rsidRPr="006D6590" w:rsidRDefault="00C67DB3" w:rsidP="006D6590">
      <w:pPr>
        <w:pStyle w:val="Reference"/>
        <w:rPr>
          <w:spacing w:val="-4"/>
        </w:rPr>
      </w:pPr>
      <w:r w:rsidRPr="006D6590">
        <w:rPr>
          <w:spacing w:val="-4"/>
        </w:rPr>
        <w:t>——</w:t>
      </w:r>
      <w:r w:rsidR="002E235C" w:rsidRPr="006D6590">
        <w:rPr>
          <w:spacing w:val="-4"/>
        </w:rPr>
        <w:t xml:space="preserve"> </w:t>
      </w:r>
      <w:r w:rsidRPr="006D6590">
        <w:rPr>
          <w:spacing w:val="-4"/>
        </w:rPr>
        <w:t xml:space="preserve">2017c, </w:t>
      </w:r>
      <w:r w:rsidRPr="006D6590">
        <w:rPr>
          <w:i/>
          <w:iCs/>
          <w:spacing w:val="-4"/>
        </w:rPr>
        <w:t>Transitioning Regional Economies</w:t>
      </w:r>
      <w:r w:rsidRPr="006D6590">
        <w:rPr>
          <w:spacing w:val="-4"/>
        </w:rPr>
        <w:t>, Study Report, Canberra.</w:t>
      </w:r>
    </w:p>
    <w:p w14:paraId="56039C49" w14:textId="4EC994B1" w:rsidR="00C67DB3" w:rsidRPr="006D6590" w:rsidRDefault="00C67DB3" w:rsidP="006D6590">
      <w:pPr>
        <w:pStyle w:val="Reference"/>
        <w:rPr>
          <w:spacing w:val="-4"/>
        </w:rPr>
      </w:pPr>
      <w:r w:rsidRPr="006D6590">
        <w:rPr>
          <w:spacing w:val="-4"/>
        </w:rPr>
        <w:t>——</w:t>
      </w:r>
      <w:r w:rsidR="002E235C" w:rsidRPr="006D6590">
        <w:rPr>
          <w:spacing w:val="-4"/>
        </w:rPr>
        <w:t xml:space="preserve"> </w:t>
      </w:r>
      <w:r w:rsidRPr="006D6590">
        <w:rPr>
          <w:spacing w:val="-4"/>
        </w:rPr>
        <w:t xml:space="preserve">2018, </w:t>
      </w:r>
      <w:r w:rsidRPr="006D6590">
        <w:rPr>
          <w:i/>
          <w:iCs/>
          <w:spacing w:val="-4"/>
        </w:rPr>
        <w:t>Murray-Darling Basin Plan: Five-year Assessment</w:t>
      </w:r>
      <w:r w:rsidRPr="006D6590">
        <w:rPr>
          <w:spacing w:val="-4"/>
        </w:rPr>
        <w:t>, Report no. 90, Canberra.</w:t>
      </w:r>
    </w:p>
    <w:p w14:paraId="638F8125" w14:textId="265A2C16" w:rsidR="00C67DB3" w:rsidRPr="006D6590" w:rsidRDefault="00C67DB3" w:rsidP="006D6590">
      <w:pPr>
        <w:pStyle w:val="Reference"/>
        <w:rPr>
          <w:spacing w:val="-4"/>
        </w:rPr>
      </w:pPr>
      <w:r w:rsidRPr="006D6590">
        <w:rPr>
          <w:spacing w:val="-4"/>
        </w:rPr>
        <w:t>——</w:t>
      </w:r>
      <w:r w:rsidR="00F21E02" w:rsidRPr="006D6590">
        <w:rPr>
          <w:spacing w:val="-4"/>
        </w:rPr>
        <w:t xml:space="preserve"> </w:t>
      </w:r>
      <w:r w:rsidRPr="006D6590">
        <w:rPr>
          <w:spacing w:val="-4"/>
        </w:rPr>
        <w:t xml:space="preserve">2020a, </w:t>
      </w:r>
      <w:r w:rsidRPr="006D6590">
        <w:rPr>
          <w:i/>
          <w:iCs/>
          <w:spacing w:val="-4"/>
        </w:rPr>
        <w:t>Integrated Urban Water Management - Why a good idea seems hard to implement</w:t>
      </w:r>
      <w:r w:rsidRPr="006D6590">
        <w:rPr>
          <w:spacing w:val="-4"/>
        </w:rPr>
        <w:t>, Research Report, Canberra.</w:t>
      </w:r>
    </w:p>
    <w:p w14:paraId="135A6679" w14:textId="534D598D" w:rsidR="00C67DB3" w:rsidRPr="006D6590" w:rsidRDefault="00C67DB3" w:rsidP="006D6590">
      <w:pPr>
        <w:pStyle w:val="Reference"/>
        <w:rPr>
          <w:spacing w:val="-4"/>
        </w:rPr>
      </w:pPr>
      <w:r w:rsidRPr="006D6590">
        <w:rPr>
          <w:spacing w:val="-4"/>
        </w:rPr>
        <w:t>——</w:t>
      </w:r>
      <w:r w:rsidR="00F21E02" w:rsidRPr="006D6590">
        <w:rPr>
          <w:spacing w:val="-4"/>
        </w:rPr>
        <w:t xml:space="preserve"> </w:t>
      </w:r>
      <w:r w:rsidRPr="006D6590">
        <w:rPr>
          <w:spacing w:val="-4"/>
        </w:rPr>
        <w:t xml:space="preserve">2020b, </w:t>
      </w:r>
      <w:r w:rsidRPr="006D6590">
        <w:rPr>
          <w:i/>
          <w:iCs/>
          <w:spacing w:val="-4"/>
        </w:rPr>
        <w:t>Integrated Urban Water Management: Why a good idea seems hard to implement</w:t>
      </w:r>
      <w:r w:rsidRPr="006D6590">
        <w:rPr>
          <w:spacing w:val="-4"/>
        </w:rPr>
        <w:t>, Commission Research Paper, Canberra.</w:t>
      </w:r>
    </w:p>
    <w:p w14:paraId="0E19F75E" w14:textId="77777777" w:rsidR="00C67DB3" w:rsidRPr="006D6590" w:rsidRDefault="00C67DB3" w:rsidP="006D6590">
      <w:pPr>
        <w:pStyle w:val="Reference"/>
        <w:rPr>
          <w:spacing w:val="-4"/>
        </w:rPr>
      </w:pPr>
      <w:r w:rsidRPr="006D6590">
        <w:rPr>
          <w:spacing w:val="-4"/>
        </w:rPr>
        <w:lastRenderedPageBreak/>
        <w:t xml:space="preserve">PM&amp;C (Department of the Prime Minister and Cabinet) 2020, </w:t>
      </w:r>
      <w:r w:rsidRPr="006D6590">
        <w:rPr>
          <w:i/>
          <w:iCs/>
          <w:spacing w:val="-4"/>
        </w:rPr>
        <w:t>Review of COAG Councils and Ministerial Forums</w:t>
      </w:r>
      <w:r w:rsidRPr="006D6590">
        <w:rPr>
          <w:spacing w:val="-4"/>
        </w:rPr>
        <w:t>, Canberra.</w:t>
      </w:r>
    </w:p>
    <w:p w14:paraId="15338899" w14:textId="77777777" w:rsidR="00C67DB3" w:rsidRPr="006D6590" w:rsidRDefault="00C67DB3" w:rsidP="006D6590">
      <w:pPr>
        <w:pStyle w:val="Reference"/>
        <w:rPr>
          <w:spacing w:val="-4"/>
        </w:rPr>
      </w:pPr>
      <w:r w:rsidRPr="006D6590">
        <w:rPr>
          <w:spacing w:val="-4"/>
        </w:rPr>
        <w:t xml:space="preserve">Prosser, I. 2011, ‘Chapter 1: Current Water Availability and Use’, in Prosser, I. (ed), </w:t>
      </w:r>
      <w:r w:rsidRPr="006D6590">
        <w:rPr>
          <w:i/>
          <w:iCs/>
          <w:spacing w:val="-4"/>
        </w:rPr>
        <w:t>Water: Science and Solutions for Australia</w:t>
      </w:r>
      <w:r w:rsidRPr="006D6590">
        <w:rPr>
          <w:spacing w:val="-4"/>
        </w:rPr>
        <w:t>, CSIRO, Collingwood, Victoria.</w:t>
      </w:r>
    </w:p>
    <w:p w14:paraId="750C18F1" w14:textId="77777777" w:rsidR="00C67DB3" w:rsidRPr="006D6590" w:rsidRDefault="00C67DB3" w:rsidP="006D6590">
      <w:pPr>
        <w:pStyle w:val="Reference"/>
        <w:rPr>
          <w:spacing w:val="-4"/>
        </w:rPr>
      </w:pPr>
      <w:r w:rsidRPr="006D6590">
        <w:rPr>
          <w:spacing w:val="-4"/>
        </w:rPr>
        <w:t xml:space="preserve">Queensland Government 2016, </w:t>
      </w:r>
      <w:r w:rsidRPr="006D6590">
        <w:rPr>
          <w:i/>
          <w:iCs/>
          <w:spacing w:val="-4"/>
        </w:rPr>
        <w:t>Rockhampton Regional Water Supply Security Assessment</w:t>
      </w:r>
      <w:r w:rsidRPr="006D6590">
        <w:rPr>
          <w:spacing w:val="-4"/>
        </w:rPr>
        <w:t>.</w:t>
      </w:r>
    </w:p>
    <w:p w14:paraId="6C25BAB4" w14:textId="77777777" w:rsidR="00C67DB3" w:rsidRPr="006D6590" w:rsidRDefault="00C67DB3" w:rsidP="006D6590">
      <w:pPr>
        <w:pStyle w:val="Reference"/>
        <w:rPr>
          <w:spacing w:val="-4"/>
        </w:rPr>
      </w:pPr>
      <w:r w:rsidRPr="006D6590">
        <w:rPr>
          <w:spacing w:val="-4"/>
        </w:rPr>
        <w:t xml:space="preserve">RRATLC (Rural and Regional Affairs and Transport Legislation Committee) 2021, </w:t>
      </w:r>
      <w:r w:rsidRPr="006D6590">
        <w:rPr>
          <w:i/>
          <w:iCs/>
          <w:spacing w:val="-4"/>
        </w:rPr>
        <w:t>Cross-Portfolio Murray-Darling Basin Plan Matters - Senate Estimates</w:t>
      </w:r>
      <w:r w:rsidRPr="006D6590">
        <w:rPr>
          <w:spacing w:val="-4"/>
        </w:rPr>
        <w:t>, 26 March, Proof Committee Hansard, Canberra.</w:t>
      </w:r>
    </w:p>
    <w:p w14:paraId="7E786D9E" w14:textId="77777777" w:rsidR="00C67DB3" w:rsidRPr="006D6590" w:rsidRDefault="00C67DB3" w:rsidP="006D6590">
      <w:pPr>
        <w:pStyle w:val="Reference"/>
        <w:rPr>
          <w:spacing w:val="-4"/>
        </w:rPr>
      </w:pPr>
      <w:r w:rsidRPr="006D6590">
        <w:rPr>
          <w:spacing w:val="-4"/>
        </w:rPr>
        <w:t xml:space="preserve">SA Government (South Australian Government) 2019, </w:t>
      </w:r>
      <w:r w:rsidRPr="006D6590">
        <w:rPr>
          <w:i/>
          <w:iCs/>
          <w:spacing w:val="-4"/>
        </w:rPr>
        <w:t>Murray-Darling Basin Royal Commission</w:t>
      </w:r>
      <w:r w:rsidRPr="006D6590">
        <w:rPr>
          <w:spacing w:val="-4"/>
        </w:rPr>
        <w:t>, 29 January, Bret Walker SC Commissioner, South Australia.</w:t>
      </w:r>
    </w:p>
    <w:p w14:paraId="6D124BB2" w14:textId="77777777" w:rsidR="00C67DB3" w:rsidRPr="006D6590" w:rsidRDefault="00C67DB3" w:rsidP="006D6590">
      <w:pPr>
        <w:pStyle w:val="Reference"/>
        <w:rPr>
          <w:spacing w:val="-4"/>
        </w:rPr>
      </w:pPr>
      <w:r w:rsidRPr="006D6590">
        <w:rPr>
          <w:spacing w:val="-4"/>
        </w:rPr>
        <w:t xml:space="preserve">Salisbury, C., Head, B.W. and Groom, E. 2017, </w:t>
      </w:r>
      <w:r w:rsidRPr="006D6590">
        <w:rPr>
          <w:i/>
          <w:iCs/>
          <w:spacing w:val="-4"/>
        </w:rPr>
        <w:t>Australian Urban Water Reform Story: with Detailed Case Study of New South Wales</w:t>
      </w:r>
      <w:r w:rsidRPr="006D6590">
        <w:rPr>
          <w:spacing w:val="-4"/>
        </w:rPr>
        <w:t>, World Bank, Washington, DC.</w:t>
      </w:r>
    </w:p>
    <w:p w14:paraId="71EECAE5" w14:textId="77777777" w:rsidR="00C67DB3" w:rsidRPr="006D6590" w:rsidRDefault="00C67DB3" w:rsidP="006D6590">
      <w:pPr>
        <w:pStyle w:val="Reference"/>
        <w:rPr>
          <w:spacing w:val="-4"/>
        </w:rPr>
      </w:pPr>
      <w:r w:rsidRPr="006D6590">
        <w:rPr>
          <w:spacing w:val="-4"/>
        </w:rPr>
        <w:t xml:space="preserve">Sefton, R., Peterson, D., Woods, R., Kassebaum, A., McKenzie, D., Simpson, B. and Ramsay, M. 2020a, </w:t>
      </w:r>
      <w:r w:rsidRPr="006D6590">
        <w:rPr>
          <w:i/>
          <w:iCs/>
          <w:spacing w:val="-4"/>
        </w:rPr>
        <w:t>Final Report: Independent Assessment of Social and Economic Conditions in the Murray-Darling Basin</w:t>
      </w:r>
      <w:r w:rsidRPr="006D6590">
        <w:rPr>
          <w:spacing w:val="-4"/>
        </w:rPr>
        <w:t>, Panel for Independent Assessment of Social and Economic Conditions in the Murray-Darling Basin, Melbourne.</w:t>
      </w:r>
    </w:p>
    <w:p w14:paraId="70EAAE4C" w14:textId="597145DF" w:rsidR="00C67DB3" w:rsidRPr="006D6590" w:rsidRDefault="00C67DB3" w:rsidP="006D6590">
      <w:pPr>
        <w:pStyle w:val="Reference"/>
        <w:rPr>
          <w:spacing w:val="-4"/>
        </w:rPr>
      </w:pPr>
      <w:r w:rsidRPr="006D6590">
        <w:rPr>
          <w:spacing w:val="-4"/>
        </w:rPr>
        <w:t>——</w:t>
      </w:r>
      <w:r w:rsidR="00F21E02" w:rsidRPr="006D6590">
        <w:rPr>
          <w:spacing w:val="-4"/>
        </w:rPr>
        <w:t xml:space="preserve"> </w:t>
      </w:r>
      <w:r w:rsidRPr="006D6590">
        <w:rPr>
          <w:spacing w:val="-4"/>
        </w:rPr>
        <w:t xml:space="preserve">2020b, </w:t>
      </w:r>
      <w:r w:rsidRPr="006D6590">
        <w:rPr>
          <w:i/>
          <w:iCs/>
          <w:spacing w:val="-4"/>
        </w:rPr>
        <w:t>Panel report: Independent assessment of social and economic conditions in the Basin - Draft Report</w:t>
      </w:r>
      <w:r w:rsidRPr="006D6590">
        <w:rPr>
          <w:spacing w:val="-4"/>
        </w:rPr>
        <w:t>, Melbourne.</w:t>
      </w:r>
    </w:p>
    <w:p w14:paraId="762D843B" w14:textId="77777777" w:rsidR="00C67DB3" w:rsidRPr="006D6590" w:rsidRDefault="00C67DB3" w:rsidP="006D6590">
      <w:pPr>
        <w:pStyle w:val="Reference"/>
        <w:rPr>
          <w:spacing w:val="-4"/>
        </w:rPr>
      </w:pPr>
      <w:r w:rsidRPr="006D6590">
        <w:rPr>
          <w:spacing w:val="-4"/>
        </w:rPr>
        <w:t xml:space="preserve">Steinfeld, C.M.M., Sharma, A., Mehrotra, R. and Kingsford, R.T. 2020, ‘The human dimension of water availability: Influence of management rules on water supply for irrigated agriculture and the environment’, </w:t>
      </w:r>
      <w:r w:rsidRPr="006D6590">
        <w:rPr>
          <w:i/>
          <w:iCs/>
          <w:spacing w:val="-4"/>
        </w:rPr>
        <w:t>Journal of Hydrology</w:t>
      </w:r>
      <w:r w:rsidRPr="006D6590">
        <w:rPr>
          <w:spacing w:val="-4"/>
        </w:rPr>
        <w:t>, vol. 588, p. 125009.</w:t>
      </w:r>
    </w:p>
    <w:p w14:paraId="4B36B78E" w14:textId="77777777" w:rsidR="00C67DB3" w:rsidRPr="006D6590" w:rsidRDefault="00C67DB3" w:rsidP="006D6590">
      <w:pPr>
        <w:pStyle w:val="Reference"/>
        <w:rPr>
          <w:spacing w:val="-4"/>
        </w:rPr>
      </w:pPr>
      <w:r w:rsidRPr="006D6590">
        <w:rPr>
          <w:spacing w:val="-4"/>
        </w:rPr>
        <w:t xml:space="preserve">SunWater 2020, </w:t>
      </w:r>
      <w:r w:rsidRPr="006D6590">
        <w:rPr>
          <w:i/>
          <w:iCs/>
          <w:spacing w:val="-4"/>
        </w:rPr>
        <w:t>Fact Sheet: Bundaberg Water Supply Scheme</w:t>
      </w:r>
      <w:r w:rsidRPr="006D6590">
        <w:rPr>
          <w:spacing w:val="-4"/>
        </w:rPr>
        <w:t>, Brisbane.</w:t>
      </w:r>
    </w:p>
    <w:p w14:paraId="0D2CA0A0" w14:textId="77777777" w:rsidR="00C67DB3" w:rsidRPr="006D6590" w:rsidRDefault="00C67DB3" w:rsidP="006D6590">
      <w:pPr>
        <w:pStyle w:val="Reference"/>
        <w:rPr>
          <w:spacing w:val="-4"/>
        </w:rPr>
      </w:pPr>
      <w:r w:rsidRPr="006D6590">
        <w:rPr>
          <w:spacing w:val="-4"/>
        </w:rPr>
        <w:t xml:space="preserve">Thurgate, N., Mynott, J., Smith, L. and Bond, N. 2019, </w:t>
      </w:r>
      <w:r w:rsidRPr="006D6590">
        <w:rPr>
          <w:i/>
          <w:iCs/>
          <w:spacing w:val="-4"/>
        </w:rPr>
        <w:t>Murray-Darling Basin Environmental Water Knowledge and Research Project</w:t>
      </w:r>
      <w:r w:rsidRPr="006D6590">
        <w:rPr>
          <w:spacing w:val="-4"/>
        </w:rPr>
        <w:t>, Synthesis Report, p. 41.</w:t>
      </w:r>
    </w:p>
    <w:p w14:paraId="041ACC08" w14:textId="77777777" w:rsidR="00C67DB3" w:rsidRPr="006D6590" w:rsidRDefault="00C67DB3" w:rsidP="006D6590">
      <w:pPr>
        <w:pStyle w:val="Reference"/>
        <w:rPr>
          <w:spacing w:val="-4"/>
        </w:rPr>
      </w:pPr>
      <w:r w:rsidRPr="006D6590">
        <w:rPr>
          <w:spacing w:val="-4"/>
        </w:rPr>
        <w:t xml:space="preserve">Townsville City Council 2021, </w:t>
      </w:r>
      <w:r w:rsidRPr="006D6590">
        <w:rPr>
          <w:i/>
          <w:iCs/>
          <w:spacing w:val="-4"/>
        </w:rPr>
        <w:t>Haughton Pipeline Project</w:t>
      </w:r>
      <w:r w:rsidRPr="006D6590">
        <w:rPr>
          <w:spacing w:val="-4"/>
        </w:rPr>
        <w:t>, Townsville City Council, https://www.townsville.qld.gov.au/building-planning-and-projects/council-projects/haughton-pipeline-project (accessed 19 April 2021).</w:t>
      </w:r>
    </w:p>
    <w:p w14:paraId="13120156" w14:textId="77777777" w:rsidR="00C67DB3" w:rsidRPr="006D6590" w:rsidRDefault="00C67DB3" w:rsidP="006D6590">
      <w:pPr>
        <w:pStyle w:val="Reference"/>
        <w:rPr>
          <w:spacing w:val="-4"/>
        </w:rPr>
      </w:pPr>
      <w:r w:rsidRPr="006D6590">
        <w:rPr>
          <w:spacing w:val="-4"/>
        </w:rPr>
        <w:t xml:space="preserve">Turner, G., Vanderbyl, T. and Kumar, S. 2019, </w:t>
      </w:r>
      <w:r w:rsidRPr="006D6590">
        <w:rPr>
          <w:i/>
          <w:iCs/>
          <w:spacing w:val="-4"/>
        </w:rPr>
        <w:t>Final Report of the Independent Panel’s Review of the Sustainable Diversion Limit (SDL) Water Accounting Framework</w:t>
      </w:r>
      <w:r w:rsidRPr="006D6590">
        <w:rPr>
          <w:spacing w:val="-4"/>
        </w:rPr>
        <w:t>, Canberra.</w:t>
      </w:r>
    </w:p>
    <w:p w14:paraId="34C9FD16" w14:textId="77777777" w:rsidR="00C67DB3" w:rsidRPr="006D6590" w:rsidRDefault="00C67DB3" w:rsidP="006D6590">
      <w:pPr>
        <w:pStyle w:val="Reference"/>
        <w:rPr>
          <w:spacing w:val="-4"/>
        </w:rPr>
      </w:pPr>
      <w:r w:rsidRPr="006D6590">
        <w:rPr>
          <w:spacing w:val="-4"/>
        </w:rPr>
        <w:t xml:space="preserve">UN (United Nations) 2007, </w:t>
      </w:r>
      <w:r w:rsidRPr="006D6590">
        <w:rPr>
          <w:i/>
          <w:iCs/>
          <w:spacing w:val="-4"/>
        </w:rPr>
        <w:t>United Nations Declaration on the Rights of Indigenous Peoples</w:t>
      </w:r>
      <w:r w:rsidRPr="006D6590">
        <w:rPr>
          <w:spacing w:val="-4"/>
        </w:rPr>
        <w:t>, Geneva, Switzerland.</w:t>
      </w:r>
    </w:p>
    <w:p w14:paraId="43FEFB5A" w14:textId="77777777" w:rsidR="00C67DB3" w:rsidRPr="006D6590" w:rsidRDefault="00C67DB3" w:rsidP="006D6590">
      <w:pPr>
        <w:pStyle w:val="Reference"/>
        <w:rPr>
          <w:spacing w:val="-4"/>
        </w:rPr>
      </w:pPr>
      <w:r w:rsidRPr="006D6590">
        <w:rPr>
          <w:spacing w:val="-4"/>
        </w:rPr>
        <w:t xml:space="preserve">Vertessy, R., Barma, D., Baumgartner, L., Mitrovic, S., Sheldon, F. and Bond, N. 2019, </w:t>
      </w:r>
      <w:r w:rsidRPr="006D6590">
        <w:rPr>
          <w:i/>
          <w:iCs/>
          <w:spacing w:val="-4"/>
        </w:rPr>
        <w:t>Independent Assessment of the 2018-19 Fish Deaths in the Lower Darling</w:t>
      </w:r>
      <w:r w:rsidRPr="006D6590">
        <w:rPr>
          <w:spacing w:val="-4"/>
        </w:rPr>
        <w:t>.</w:t>
      </w:r>
    </w:p>
    <w:p w14:paraId="27FD74AD" w14:textId="77777777" w:rsidR="00C67DB3" w:rsidRPr="006D6590" w:rsidRDefault="00C67DB3" w:rsidP="006D6590">
      <w:pPr>
        <w:pStyle w:val="Reference"/>
        <w:rPr>
          <w:spacing w:val="-4"/>
        </w:rPr>
      </w:pPr>
      <w:r w:rsidRPr="006D6590">
        <w:rPr>
          <w:spacing w:val="-4"/>
        </w:rPr>
        <w:t xml:space="preserve">VEWH (Victorian Environmental Water Holder) 2015, </w:t>
      </w:r>
      <w:r w:rsidRPr="006D6590">
        <w:rPr>
          <w:i/>
          <w:iCs/>
          <w:spacing w:val="-4"/>
        </w:rPr>
        <w:t>What does environmental watering involve?</w:t>
      </w:r>
    </w:p>
    <w:p w14:paraId="4171E78A" w14:textId="669B488A" w:rsidR="00C67DB3" w:rsidRPr="006D6590" w:rsidRDefault="00C67DB3" w:rsidP="006D6590">
      <w:pPr>
        <w:pStyle w:val="Reference"/>
        <w:rPr>
          <w:spacing w:val="-4"/>
        </w:rPr>
      </w:pPr>
      <w:r w:rsidRPr="006D6590">
        <w:rPr>
          <w:spacing w:val="-4"/>
        </w:rPr>
        <w:t>——</w:t>
      </w:r>
      <w:r w:rsidR="00DC68C0" w:rsidRPr="006D6590">
        <w:rPr>
          <w:spacing w:val="-4"/>
        </w:rPr>
        <w:t xml:space="preserve"> </w:t>
      </w:r>
      <w:r w:rsidRPr="006D6590">
        <w:rPr>
          <w:spacing w:val="-4"/>
        </w:rPr>
        <w:t xml:space="preserve">2020, </w:t>
      </w:r>
      <w:r w:rsidRPr="006D6590">
        <w:rPr>
          <w:i/>
          <w:iCs/>
          <w:spacing w:val="-4"/>
        </w:rPr>
        <w:t>Where do environmental water entitlements exist in Victoria?</w:t>
      </w:r>
      <w:r w:rsidRPr="006D6590">
        <w:rPr>
          <w:spacing w:val="-4"/>
        </w:rPr>
        <w:t>, https://vewh.vic.gov.au/watering-program/how-much-water-is-available (accessed 8 October 2020).</w:t>
      </w:r>
    </w:p>
    <w:p w14:paraId="49CC790A" w14:textId="77777777" w:rsidR="00C67DB3" w:rsidRPr="006D6590" w:rsidRDefault="00C67DB3" w:rsidP="006D6590">
      <w:pPr>
        <w:pStyle w:val="Reference"/>
        <w:rPr>
          <w:spacing w:val="-4"/>
        </w:rPr>
      </w:pPr>
      <w:r w:rsidRPr="006D6590">
        <w:rPr>
          <w:spacing w:val="-4"/>
        </w:rPr>
        <w:lastRenderedPageBreak/>
        <w:t xml:space="preserve">Waldron, T., Tan, P.-L. and Johnson, I. 2018, </w:t>
      </w:r>
      <w:r w:rsidRPr="006D6590">
        <w:rPr>
          <w:i/>
          <w:iCs/>
          <w:spacing w:val="-4"/>
        </w:rPr>
        <w:t>Independent Audit of Queensland Non-Urban Water Measurement and Compliance</w:t>
      </w:r>
      <w:r w:rsidRPr="006D6590">
        <w:rPr>
          <w:spacing w:val="-4"/>
        </w:rPr>
        <w:t>, Brisbane.</w:t>
      </w:r>
    </w:p>
    <w:p w14:paraId="444C61A7" w14:textId="77777777" w:rsidR="00C67DB3" w:rsidRPr="006D6590" w:rsidRDefault="00C67DB3" w:rsidP="006D6590">
      <w:pPr>
        <w:pStyle w:val="Reference"/>
        <w:rPr>
          <w:spacing w:val="-4"/>
        </w:rPr>
      </w:pPr>
      <w:r w:rsidRPr="006D6590">
        <w:rPr>
          <w:spacing w:val="-4"/>
        </w:rPr>
        <w:t xml:space="preserve">Water Corporation 2020, </w:t>
      </w:r>
      <w:r w:rsidRPr="006D6590">
        <w:rPr>
          <w:i/>
          <w:iCs/>
          <w:spacing w:val="-4"/>
        </w:rPr>
        <w:t>Perth Streamflow | Current &amp; Annual Statistics</w:t>
      </w:r>
      <w:r w:rsidRPr="006D6590">
        <w:rPr>
          <w:spacing w:val="-4"/>
        </w:rPr>
        <w:t>, https://www.watercorporation.com.au/Our-water/Rainfall-and-dams/Streamflow (accessed 7 January 2021).</w:t>
      </w:r>
    </w:p>
    <w:p w14:paraId="414B2886" w14:textId="77777777" w:rsidR="00C67DB3" w:rsidRPr="006D6590" w:rsidRDefault="00C67DB3" w:rsidP="006D6590">
      <w:pPr>
        <w:pStyle w:val="Reference"/>
        <w:rPr>
          <w:spacing w:val="-4"/>
        </w:rPr>
      </w:pPr>
      <w:r w:rsidRPr="006D6590">
        <w:rPr>
          <w:spacing w:val="-4"/>
        </w:rPr>
        <w:t xml:space="preserve">WaterNSW 2018, </w:t>
      </w:r>
      <w:r w:rsidRPr="006D6590">
        <w:rPr>
          <w:i/>
          <w:iCs/>
          <w:spacing w:val="-4"/>
        </w:rPr>
        <w:t>20 Year Infrastructure Options Study - Rural Valleys</w:t>
      </w:r>
      <w:r w:rsidRPr="006D6590">
        <w:rPr>
          <w:spacing w:val="-4"/>
        </w:rPr>
        <w:t>, Summary Report, Parramatta.</w:t>
      </w:r>
    </w:p>
    <w:p w14:paraId="7B5E62E2" w14:textId="77777777" w:rsidR="00C67DB3" w:rsidRPr="006D6590" w:rsidRDefault="00C67DB3" w:rsidP="006D6590">
      <w:pPr>
        <w:pStyle w:val="Reference"/>
        <w:rPr>
          <w:spacing w:val="-4"/>
        </w:rPr>
      </w:pPr>
      <w:r w:rsidRPr="006D6590">
        <w:rPr>
          <w:spacing w:val="-4"/>
        </w:rPr>
        <w:t xml:space="preserve">—— 2019, </w:t>
      </w:r>
      <w:r w:rsidRPr="006D6590">
        <w:rPr>
          <w:i/>
          <w:iCs/>
          <w:spacing w:val="-4"/>
        </w:rPr>
        <w:t>Water Balance Report: Peel Valley 2018-2019</w:t>
      </w:r>
      <w:r w:rsidRPr="006D6590">
        <w:rPr>
          <w:spacing w:val="-4"/>
        </w:rPr>
        <w:t>, Parramatta.</w:t>
      </w:r>
    </w:p>
    <w:p w14:paraId="6F047FDE" w14:textId="77777777" w:rsidR="00C67DB3" w:rsidRPr="006D6590" w:rsidRDefault="00C67DB3" w:rsidP="006D6590">
      <w:pPr>
        <w:pStyle w:val="Reference"/>
        <w:rPr>
          <w:spacing w:val="-4"/>
        </w:rPr>
      </w:pPr>
      <w:r w:rsidRPr="006D6590">
        <w:rPr>
          <w:spacing w:val="-4"/>
        </w:rPr>
        <w:t xml:space="preserve">—— 2020, </w:t>
      </w:r>
      <w:r w:rsidRPr="006D6590">
        <w:rPr>
          <w:i/>
          <w:iCs/>
          <w:spacing w:val="-4"/>
        </w:rPr>
        <w:t>Dungowan Dam</w:t>
      </w:r>
      <w:r w:rsidRPr="006D6590">
        <w:rPr>
          <w:spacing w:val="-4"/>
        </w:rPr>
        <w:t>, https://www.waternsw.com.au/projects/new-dams-for-nsw/dungowan-dam (accessed 18 November 2020).</w:t>
      </w:r>
    </w:p>
    <w:p w14:paraId="1AAA6CF3" w14:textId="77777777" w:rsidR="00C67DB3" w:rsidRPr="006D6590" w:rsidRDefault="00C67DB3" w:rsidP="006D6590">
      <w:pPr>
        <w:pStyle w:val="Reference"/>
        <w:rPr>
          <w:spacing w:val="-4"/>
        </w:rPr>
      </w:pPr>
      <w:r w:rsidRPr="006D6590">
        <w:rPr>
          <w:spacing w:val="-4"/>
        </w:rPr>
        <w:t xml:space="preserve">Wheeler, S.A., Zuo, A., Xu, Y., Haensch, J. and Seidl, C. 2020, </w:t>
      </w:r>
      <w:r w:rsidRPr="006D6590">
        <w:rPr>
          <w:i/>
          <w:iCs/>
          <w:spacing w:val="-4"/>
        </w:rPr>
        <w:t>Water Market Literature Review and Empirical Analysis</w:t>
      </w:r>
      <w:r w:rsidRPr="006D6590">
        <w:rPr>
          <w:spacing w:val="-4"/>
        </w:rPr>
        <w:t>, 29 May, Prepared for the Australian Competition and Consumer Commission (ACCC), The University of Adelaide.</w:t>
      </w:r>
    </w:p>
    <w:p w14:paraId="17225F27" w14:textId="77777777" w:rsidR="00C67DB3" w:rsidRPr="006D6590" w:rsidRDefault="00C67DB3" w:rsidP="006D6590">
      <w:pPr>
        <w:pStyle w:val="Reference"/>
        <w:rPr>
          <w:spacing w:val="-4"/>
        </w:rPr>
      </w:pPr>
      <w:r w:rsidRPr="006D6590">
        <w:rPr>
          <w:spacing w:val="-4"/>
        </w:rPr>
        <w:t xml:space="preserve">Whittle, L., Galeano, D., Hughes, N., Gupta, M., Legg, P., Westwood, T., Jackson, T. and Hatfield-Dodds, S. 2020, </w:t>
      </w:r>
      <w:r w:rsidRPr="006D6590">
        <w:rPr>
          <w:i/>
          <w:iCs/>
          <w:spacing w:val="-4"/>
        </w:rPr>
        <w:t>Economic Effects of Water Recovery in the Murray-Darling Basin</w:t>
      </w:r>
      <w:r w:rsidRPr="006D6590">
        <w:rPr>
          <w:spacing w:val="-4"/>
        </w:rPr>
        <w:t>, Issue no. 7, Australian Bureau of Agricultural and Resource Economics and Sciences.</w:t>
      </w:r>
    </w:p>
    <w:p w14:paraId="1CA9097A" w14:textId="77777777" w:rsidR="00C67DB3" w:rsidRPr="006D6590" w:rsidRDefault="00C67DB3" w:rsidP="006D6590">
      <w:pPr>
        <w:pStyle w:val="Reference"/>
        <w:rPr>
          <w:spacing w:val="-4"/>
        </w:rPr>
      </w:pPr>
      <w:r w:rsidRPr="006D6590">
        <w:rPr>
          <w:spacing w:val="-4"/>
        </w:rPr>
        <w:t xml:space="preserve">Wittwer, G. 2020, </w:t>
      </w:r>
      <w:r w:rsidRPr="006D6590">
        <w:rPr>
          <w:i/>
          <w:iCs/>
          <w:spacing w:val="-4"/>
        </w:rPr>
        <w:t>Modelling Variants of the Murray-Darling Basin Plan in the Context of Adverse Conditions in the Basin</w:t>
      </w:r>
      <w:r w:rsidRPr="006D6590">
        <w:rPr>
          <w:spacing w:val="-4"/>
        </w:rPr>
        <w:t>, Centre of Policy Studies, Victoria University, Melbourne.</w:t>
      </w:r>
    </w:p>
    <w:p w14:paraId="1BDD4A8A" w14:textId="77777777" w:rsidR="00C67DB3" w:rsidRPr="006D6590" w:rsidRDefault="00C67DB3" w:rsidP="006D6590">
      <w:pPr>
        <w:pStyle w:val="Reference"/>
        <w:rPr>
          <w:spacing w:val="-4"/>
        </w:rPr>
      </w:pPr>
      <w:r w:rsidRPr="006D6590">
        <w:rPr>
          <w:spacing w:val="-4"/>
        </w:rPr>
        <w:t xml:space="preserve">WSAA (Water Services Association of Australia) 2014, </w:t>
      </w:r>
      <w:r w:rsidRPr="006D6590">
        <w:rPr>
          <w:i/>
          <w:iCs/>
          <w:spacing w:val="-4"/>
        </w:rPr>
        <w:t>The Role of the Urban Water Industry in Contributing to Liveability</w:t>
      </w:r>
      <w:r w:rsidRPr="006D6590">
        <w:rPr>
          <w:spacing w:val="-4"/>
        </w:rPr>
        <w:t>, 1 March, Occasional Paper 30, Water Services Association of Australia, Sydney.</w:t>
      </w:r>
    </w:p>
    <w:p w14:paraId="138152F9" w14:textId="77777777" w:rsidR="00C67DB3" w:rsidRPr="006D6590" w:rsidRDefault="00C67DB3" w:rsidP="006D6590">
      <w:pPr>
        <w:pStyle w:val="Reference"/>
        <w:rPr>
          <w:spacing w:val="-4"/>
        </w:rPr>
      </w:pPr>
      <w:r w:rsidRPr="006D6590">
        <w:rPr>
          <w:spacing w:val="-4"/>
        </w:rPr>
        <w:t xml:space="preserve">Zheng, H., Chiew, F.H.S., Potter, N.J. and Kirono, D.G.C. 2019, ‘Projections of water futures for Australia: an update’, presented at the </w:t>
      </w:r>
      <w:r w:rsidRPr="006D6590">
        <w:rPr>
          <w:i/>
          <w:iCs/>
          <w:spacing w:val="-4"/>
        </w:rPr>
        <w:t>23rd International Congress on Modelling and Simulation (MODSIM2019)</w:t>
      </w:r>
      <w:r w:rsidRPr="006D6590">
        <w:rPr>
          <w:spacing w:val="-4"/>
        </w:rPr>
        <w:t>, Canberra.</w:t>
      </w:r>
    </w:p>
    <w:sectPr w:rsidR="00C67DB3" w:rsidRPr="006D6590" w:rsidSect="001054C3">
      <w:headerReference w:type="even" r:id="rId164"/>
      <w:headerReference w:type="default" r:id="rId165"/>
      <w:footerReference w:type="even" r:id="rId166"/>
      <w:footerReference w:type="default" r:id="rId167"/>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C733E" w14:textId="77777777" w:rsidR="007F5C1C" w:rsidRDefault="007F5C1C">
      <w:r>
        <w:separator/>
      </w:r>
    </w:p>
  </w:endnote>
  <w:endnote w:type="continuationSeparator" w:id="0">
    <w:p w14:paraId="090EAC79" w14:textId="77777777" w:rsidR="007F5C1C" w:rsidRDefault="007F5C1C">
      <w:r>
        <w:continuationSeparator/>
      </w:r>
    </w:p>
  </w:endnote>
  <w:endnote w:type="continuationNotice" w:id="1">
    <w:p w14:paraId="4D506DEE" w14:textId="77777777" w:rsidR="007F5C1C" w:rsidRDefault="007F5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C565C" w14:paraId="7A6B5778" w14:textId="77777777" w:rsidTr="005464E7">
      <w:trPr>
        <w:trHeight w:hRule="exact" w:val="567"/>
      </w:trPr>
      <w:tc>
        <w:tcPr>
          <w:tcW w:w="510" w:type="dxa"/>
        </w:tcPr>
        <w:p w14:paraId="0A33FFD3" w14:textId="77777777" w:rsidR="008C565C" w:rsidRPr="00A24443" w:rsidRDefault="008C565C" w:rsidP="005464E7">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07E9F608" w14:textId="6B137CAE" w:rsidR="008C565C" w:rsidRPr="0013739A" w:rsidRDefault="00474BEB" w:rsidP="005464E7">
          <w:pPr>
            <w:pStyle w:val="Footer"/>
            <w:rPr>
              <w:rFonts w:cs="Arial"/>
            </w:rPr>
          </w:pPr>
          <w:r>
            <w:rPr>
              <w:rFonts w:cs="Arial"/>
            </w:rPr>
            <w:t>National water reform 2020</w:t>
          </w:r>
        </w:p>
      </w:tc>
      <w:tc>
        <w:tcPr>
          <w:tcW w:w="510" w:type="dxa"/>
        </w:tcPr>
        <w:p w14:paraId="3590431C" w14:textId="77777777" w:rsidR="008C565C" w:rsidRDefault="008C565C" w:rsidP="005464E7">
          <w:pPr>
            <w:pStyle w:val="Footer"/>
          </w:pPr>
        </w:p>
      </w:tc>
    </w:tr>
  </w:tbl>
  <w:p w14:paraId="03078FAF" w14:textId="77777777" w:rsidR="008C565C" w:rsidRDefault="008C565C" w:rsidP="005464E7">
    <w:pPr>
      <w:pStyle w:val="FooterEnd"/>
    </w:pPr>
  </w:p>
  <w:p w14:paraId="541FCE11" w14:textId="77777777" w:rsidR="008C565C" w:rsidRDefault="008C565C">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2A5DAF88" w14:textId="77777777" w:rsidTr="001054C3">
      <w:trPr>
        <w:trHeight w:val="567"/>
      </w:trPr>
      <w:tc>
        <w:tcPr>
          <w:tcW w:w="510" w:type="dxa"/>
          <w:tcBorders>
            <w:top w:val="single" w:sz="4" w:space="0" w:color="auto"/>
          </w:tcBorders>
          <w:shd w:val="clear" w:color="auto" w:fill="auto"/>
        </w:tcPr>
        <w:p w14:paraId="33339EE0" w14:textId="77777777" w:rsidR="001054C3" w:rsidRDefault="001054C3" w:rsidP="001054C3">
          <w:pPr>
            <w:pStyle w:val="Footer"/>
          </w:pPr>
        </w:p>
      </w:tc>
      <w:tc>
        <w:tcPr>
          <w:tcW w:w="7767" w:type="dxa"/>
          <w:tcBorders>
            <w:top w:val="single" w:sz="4" w:space="0" w:color="auto"/>
          </w:tcBorders>
          <w:shd w:val="clear" w:color="auto" w:fill="auto"/>
        </w:tcPr>
        <w:p w14:paraId="5E62D70F" w14:textId="267507CE" w:rsidR="001054C3" w:rsidRDefault="000F64D9" w:rsidP="001054C3">
          <w:pPr>
            <w:pStyle w:val="Footer"/>
            <w:jc w:val="right"/>
          </w:pPr>
          <w:r>
            <w:t>Executive Summary</w:t>
          </w:r>
        </w:p>
      </w:tc>
      <w:tc>
        <w:tcPr>
          <w:tcW w:w="510" w:type="dxa"/>
          <w:tcBorders>
            <w:top w:val="single" w:sz="4" w:space="0" w:color="auto"/>
          </w:tcBorders>
          <w:shd w:val="clear" w:color="auto" w:fill="auto"/>
        </w:tcPr>
        <w:p w14:paraId="10E13291"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79</w:t>
          </w:r>
          <w:r>
            <w:rPr>
              <w:rStyle w:val="PageNumber"/>
            </w:rPr>
            <w:fldChar w:fldCharType="end"/>
          </w:r>
        </w:p>
      </w:tc>
    </w:tr>
  </w:tbl>
  <w:p w14:paraId="6723B97D" w14:textId="77777777" w:rsidR="00772909" w:rsidRPr="001054C3" w:rsidRDefault="00772909" w:rsidP="001054C3">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243664B9" w14:textId="77777777" w:rsidTr="001054C3">
      <w:trPr>
        <w:trHeight w:val="567"/>
      </w:trPr>
      <w:tc>
        <w:tcPr>
          <w:tcW w:w="510" w:type="dxa"/>
          <w:tcBorders>
            <w:top w:val="single" w:sz="4" w:space="0" w:color="auto"/>
          </w:tcBorders>
          <w:shd w:val="clear" w:color="auto" w:fill="auto"/>
        </w:tcPr>
        <w:p w14:paraId="02195BA2"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21DD0968"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37BE8D10" w14:textId="77777777" w:rsidR="001054C3" w:rsidRDefault="001054C3" w:rsidP="001054C3">
          <w:pPr>
            <w:pStyle w:val="Footer"/>
          </w:pPr>
        </w:p>
      </w:tc>
    </w:tr>
  </w:tbl>
  <w:p w14:paraId="55C2D2BD" w14:textId="77777777" w:rsidR="001054C3" w:rsidRPr="001054C3" w:rsidRDefault="001054C3" w:rsidP="001054C3">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662B757" w14:textId="77777777" w:rsidTr="001054C3">
      <w:trPr>
        <w:trHeight w:val="567"/>
      </w:trPr>
      <w:tc>
        <w:tcPr>
          <w:tcW w:w="510" w:type="dxa"/>
          <w:tcBorders>
            <w:top w:val="single" w:sz="4" w:space="0" w:color="auto"/>
          </w:tcBorders>
          <w:shd w:val="clear" w:color="auto" w:fill="auto"/>
        </w:tcPr>
        <w:p w14:paraId="71D9B8EC" w14:textId="77777777" w:rsidR="001054C3" w:rsidRDefault="001054C3" w:rsidP="001054C3">
          <w:pPr>
            <w:pStyle w:val="Footer"/>
          </w:pPr>
        </w:p>
      </w:tc>
      <w:tc>
        <w:tcPr>
          <w:tcW w:w="7767" w:type="dxa"/>
          <w:tcBorders>
            <w:top w:val="single" w:sz="4" w:space="0" w:color="auto"/>
          </w:tcBorders>
          <w:shd w:val="clear" w:color="auto" w:fill="auto"/>
        </w:tcPr>
        <w:p w14:paraId="489837E2" w14:textId="77777777" w:rsidR="001054C3" w:rsidRDefault="001054C3" w:rsidP="001054C3">
          <w:pPr>
            <w:pStyle w:val="Footer"/>
            <w:jc w:val="right"/>
          </w:pPr>
          <w:r>
            <w:t>ABOUT THE INQUIRY</w:t>
          </w:r>
        </w:p>
      </w:tc>
      <w:tc>
        <w:tcPr>
          <w:tcW w:w="510" w:type="dxa"/>
          <w:tcBorders>
            <w:top w:val="single" w:sz="4" w:space="0" w:color="auto"/>
          </w:tcBorders>
          <w:shd w:val="clear" w:color="auto" w:fill="auto"/>
        </w:tcPr>
        <w:p w14:paraId="12A4C693"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24205874" w14:textId="77777777" w:rsidR="001054C3" w:rsidRPr="001054C3" w:rsidRDefault="001054C3" w:rsidP="001054C3">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44C6685F" w14:textId="77777777" w:rsidTr="001054C3">
      <w:trPr>
        <w:trHeight w:val="567"/>
      </w:trPr>
      <w:tc>
        <w:tcPr>
          <w:tcW w:w="510" w:type="dxa"/>
          <w:tcBorders>
            <w:top w:val="single" w:sz="4" w:space="0" w:color="auto"/>
          </w:tcBorders>
          <w:shd w:val="clear" w:color="auto" w:fill="auto"/>
        </w:tcPr>
        <w:p w14:paraId="31F98631"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4C9DD8F9"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5E9993C2" w14:textId="77777777" w:rsidR="001054C3" w:rsidRDefault="001054C3" w:rsidP="001054C3">
          <w:pPr>
            <w:pStyle w:val="Footer"/>
          </w:pPr>
        </w:p>
      </w:tc>
    </w:tr>
  </w:tbl>
  <w:p w14:paraId="0A9ED7C3" w14:textId="77777777" w:rsidR="001054C3" w:rsidRPr="001054C3" w:rsidRDefault="001054C3" w:rsidP="001054C3">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75BEE68F" w14:textId="77777777" w:rsidTr="001054C3">
      <w:trPr>
        <w:trHeight w:val="567"/>
      </w:trPr>
      <w:tc>
        <w:tcPr>
          <w:tcW w:w="510" w:type="dxa"/>
          <w:tcBorders>
            <w:top w:val="single" w:sz="4" w:space="0" w:color="auto"/>
          </w:tcBorders>
          <w:shd w:val="clear" w:color="auto" w:fill="auto"/>
        </w:tcPr>
        <w:p w14:paraId="35AB2D29" w14:textId="77777777" w:rsidR="001054C3" w:rsidRDefault="001054C3" w:rsidP="001054C3">
          <w:pPr>
            <w:pStyle w:val="Footer"/>
          </w:pPr>
        </w:p>
      </w:tc>
      <w:tc>
        <w:tcPr>
          <w:tcW w:w="7767" w:type="dxa"/>
          <w:tcBorders>
            <w:top w:val="single" w:sz="4" w:space="0" w:color="auto"/>
          </w:tcBorders>
          <w:shd w:val="clear" w:color="auto" w:fill="auto"/>
        </w:tcPr>
        <w:p w14:paraId="02F05185" w14:textId="77777777" w:rsidR="001054C3" w:rsidRDefault="001054C3" w:rsidP="001054C3">
          <w:pPr>
            <w:pStyle w:val="Footer"/>
            <w:jc w:val="right"/>
          </w:pPr>
          <w:r>
            <w:t>PROGRESS AGAINST THE NWI AND THE CASE FOR CONTINUING REFORM</w:t>
          </w:r>
        </w:p>
      </w:tc>
      <w:tc>
        <w:tcPr>
          <w:tcW w:w="510" w:type="dxa"/>
          <w:tcBorders>
            <w:top w:val="single" w:sz="4" w:space="0" w:color="auto"/>
          </w:tcBorders>
          <w:shd w:val="clear" w:color="auto" w:fill="auto"/>
        </w:tcPr>
        <w:p w14:paraId="587403B4"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379FE872" w14:textId="77777777" w:rsidR="001054C3" w:rsidRPr="001054C3" w:rsidRDefault="001054C3" w:rsidP="001054C3">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2EEE2DC9" w14:textId="77777777" w:rsidTr="001054C3">
      <w:trPr>
        <w:trHeight w:val="567"/>
      </w:trPr>
      <w:tc>
        <w:tcPr>
          <w:tcW w:w="510" w:type="dxa"/>
          <w:tcBorders>
            <w:top w:val="single" w:sz="4" w:space="0" w:color="auto"/>
          </w:tcBorders>
          <w:shd w:val="clear" w:color="auto" w:fill="auto"/>
        </w:tcPr>
        <w:p w14:paraId="7B201D48"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1A1041AE"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7CB460B0" w14:textId="77777777" w:rsidR="001054C3" w:rsidRDefault="001054C3" w:rsidP="001054C3">
          <w:pPr>
            <w:pStyle w:val="Footer"/>
          </w:pPr>
        </w:p>
      </w:tc>
    </w:tr>
  </w:tbl>
  <w:p w14:paraId="025F3697" w14:textId="77777777" w:rsidR="001054C3" w:rsidRPr="001054C3" w:rsidRDefault="001054C3" w:rsidP="001054C3">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C4A2850" w14:textId="77777777" w:rsidTr="001054C3">
      <w:trPr>
        <w:trHeight w:val="567"/>
      </w:trPr>
      <w:tc>
        <w:tcPr>
          <w:tcW w:w="510" w:type="dxa"/>
          <w:tcBorders>
            <w:top w:val="single" w:sz="4" w:space="0" w:color="auto"/>
          </w:tcBorders>
          <w:shd w:val="clear" w:color="auto" w:fill="auto"/>
        </w:tcPr>
        <w:p w14:paraId="2520AE69" w14:textId="77777777" w:rsidR="001054C3" w:rsidRDefault="001054C3" w:rsidP="001054C3">
          <w:pPr>
            <w:pStyle w:val="Footer"/>
          </w:pPr>
        </w:p>
      </w:tc>
      <w:tc>
        <w:tcPr>
          <w:tcW w:w="7767" w:type="dxa"/>
          <w:tcBorders>
            <w:top w:val="single" w:sz="4" w:space="0" w:color="auto"/>
          </w:tcBorders>
          <w:shd w:val="clear" w:color="auto" w:fill="auto"/>
        </w:tcPr>
        <w:p w14:paraId="71CFC217" w14:textId="77777777" w:rsidR="001054C3" w:rsidRDefault="001054C3" w:rsidP="001054C3">
          <w:pPr>
            <w:pStyle w:val="Footer"/>
            <w:jc w:val="right"/>
          </w:pPr>
          <w:r>
            <w:t>NWI RENEWAL: A REFRESHED INTENT</w:t>
          </w:r>
        </w:p>
      </w:tc>
      <w:tc>
        <w:tcPr>
          <w:tcW w:w="510" w:type="dxa"/>
          <w:tcBorders>
            <w:top w:val="single" w:sz="4" w:space="0" w:color="auto"/>
          </w:tcBorders>
          <w:shd w:val="clear" w:color="auto" w:fill="auto"/>
        </w:tcPr>
        <w:p w14:paraId="4A55E54A"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23F97C80" w14:textId="77777777" w:rsidR="001054C3" w:rsidRPr="001054C3" w:rsidRDefault="001054C3" w:rsidP="001054C3">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7245EFD" w14:textId="77777777" w:rsidTr="001054C3">
      <w:trPr>
        <w:trHeight w:val="567"/>
      </w:trPr>
      <w:tc>
        <w:tcPr>
          <w:tcW w:w="510" w:type="dxa"/>
          <w:tcBorders>
            <w:top w:val="single" w:sz="4" w:space="0" w:color="auto"/>
          </w:tcBorders>
          <w:shd w:val="clear" w:color="auto" w:fill="auto"/>
        </w:tcPr>
        <w:p w14:paraId="3B6D0943"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61092462"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36C5A3A9" w14:textId="77777777" w:rsidR="001054C3" w:rsidRDefault="001054C3" w:rsidP="001054C3">
          <w:pPr>
            <w:pStyle w:val="Footer"/>
          </w:pPr>
        </w:p>
      </w:tc>
    </w:tr>
  </w:tbl>
  <w:p w14:paraId="295CEC86" w14:textId="77777777" w:rsidR="001054C3" w:rsidRPr="001054C3" w:rsidRDefault="001054C3" w:rsidP="001054C3">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7E0BAF2" w14:textId="77777777" w:rsidTr="001054C3">
      <w:trPr>
        <w:trHeight w:val="567"/>
      </w:trPr>
      <w:tc>
        <w:tcPr>
          <w:tcW w:w="510" w:type="dxa"/>
          <w:tcBorders>
            <w:top w:val="single" w:sz="4" w:space="0" w:color="auto"/>
          </w:tcBorders>
          <w:shd w:val="clear" w:color="auto" w:fill="auto"/>
        </w:tcPr>
        <w:p w14:paraId="7EC82293" w14:textId="77777777" w:rsidR="001054C3" w:rsidRDefault="001054C3" w:rsidP="001054C3">
          <w:pPr>
            <w:pStyle w:val="Footer"/>
          </w:pPr>
        </w:p>
      </w:tc>
      <w:tc>
        <w:tcPr>
          <w:tcW w:w="7767" w:type="dxa"/>
          <w:tcBorders>
            <w:top w:val="single" w:sz="4" w:space="0" w:color="auto"/>
          </w:tcBorders>
          <w:shd w:val="clear" w:color="auto" w:fill="auto"/>
        </w:tcPr>
        <w:p w14:paraId="5EE36400" w14:textId="77777777" w:rsidR="001054C3" w:rsidRDefault="001054C3" w:rsidP="001054C3">
          <w:pPr>
            <w:pStyle w:val="Footer"/>
            <w:jc w:val="right"/>
          </w:pPr>
          <w:r>
            <w:t>BUILDING IN GOOD GOVERNANCE FOR A RENEWED NWI</w:t>
          </w:r>
        </w:p>
      </w:tc>
      <w:tc>
        <w:tcPr>
          <w:tcW w:w="510" w:type="dxa"/>
          <w:tcBorders>
            <w:top w:val="single" w:sz="4" w:space="0" w:color="auto"/>
          </w:tcBorders>
          <w:shd w:val="clear" w:color="auto" w:fill="auto"/>
        </w:tcPr>
        <w:p w14:paraId="548044EA"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6370AC01" w14:textId="77777777" w:rsidR="001054C3" w:rsidRPr="001054C3" w:rsidRDefault="001054C3" w:rsidP="001054C3">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0EB0FAA" w14:textId="77777777" w:rsidTr="001054C3">
      <w:trPr>
        <w:trHeight w:val="567"/>
      </w:trPr>
      <w:tc>
        <w:tcPr>
          <w:tcW w:w="510" w:type="dxa"/>
          <w:tcBorders>
            <w:top w:val="single" w:sz="4" w:space="0" w:color="auto"/>
          </w:tcBorders>
          <w:shd w:val="clear" w:color="auto" w:fill="auto"/>
        </w:tcPr>
        <w:p w14:paraId="78166B39"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0F1C69D6"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50150198" w14:textId="77777777" w:rsidR="001054C3" w:rsidRDefault="001054C3" w:rsidP="001054C3">
          <w:pPr>
            <w:pStyle w:val="Footer"/>
          </w:pPr>
        </w:p>
      </w:tc>
    </w:tr>
  </w:tbl>
  <w:p w14:paraId="64C4D8BA" w14:textId="77777777" w:rsidR="001054C3" w:rsidRPr="001054C3" w:rsidRDefault="001054C3" w:rsidP="001054C3">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C565C" w14:paraId="51E6419D" w14:textId="77777777" w:rsidTr="005464E7">
      <w:trPr>
        <w:trHeight w:hRule="exact" w:val="567"/>
      </w:trPr>
      <w:tc>
        <w:tcPr>
          <w:tcW w:w="510" w:type="dxa"/>
        </w:tcPr>
        <w:p w14:paraId="73F4E152" w14:textId="3CF8304C" w:rsidR="008C565C" w:rsidRDefault="008C565C">
          <w:pPr>
            <w:pStyle w:val="Footer"/>
            <w:ind w:right="360" w:firstLine="360"/>
          </w:pPr>
        </w:p>
      </w:tc>
      <w:tc>
        <w:tcPr>
          <w:tcW w:w="7767" w:type="dxa"/>
        </w:tcPr>
        <w:p w14:paraId="14750B7D" w14:textId="712F32C2" w:rsidR="008C565C" w:rsidRPr="00BA5B14" w:rsidRDefault="008C565C" w:rsidP="007448F7">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104E04" w:rsidRPr="00104E04">
            <w:rPr>
              <w:bCs/>
              <w:noProof/>
            </w:rPr>
            <w:t>Contents</w:t>
          </w:r>
          <w:r w:rsidRPr="008F7DB7">
            <w:rPr>
              <w:noProof/>
            </w:rPr>
            <w:fldChar w:fldCharType="end"/>
          </w:r>
          <w:r>
            <w:rPr>
              <w:rFonts w:cs="Arial"/>
            </w:rPr>
            <w:t xml:space="preserve"> </w:t>
          </w:r>
        </w:p>
      </w:tc>
      <w:tc>
        <w:tcPr>
          <w:tcW w:w="510" w:type="dxa"/>
        </w:tcPr>
        <w:p w14:paraId="69468842" w14:textId="77777777" w:rsidR="008C565C" w:rsidRPr="007448F7" w:rsidRDefault="008C565C">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iii</w:t>
          </w:r>
          <w:r w:rsidRPr="007448F7">
            <w:rPr>
              <w:rStyle w:val="PageNumber"/>
              <w:caps w:val="0"/>
            </w:rPr>
            <w:fldChar w:fldCharType="end"/>
          </w:r>
        </w:p>
      </w:tc>
    </w:tr>
  </w:tbl>
  <w:p w14:paraId="0970049F" w14:textId="77777777" w:rsidR="008C565C" w:rsidRDefault="008C565C">
    <w:pPr>
      <w:pStyle w:val="FooterEnd"/>
    </w:pPr>
  </w:p>
  <w:p w14:paraId="296E0069" w14:textId="77777777" w:rsidR="008C565C" w:rsidRDefault="008C565C">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D4FD5E6" w14:textId="77777777" w:rsidTr="001054C3">
      <w:trPr>
        <w:trHeight w:val="567"/>
      </w:trPr>
      <w:tc>
        <w:tcPr>
          <w:tcW w:w="510" w:type="dxa"/>
          <w:tcBorders>
            <w:top w:val="single" w:sz="4" w:space="0" w:color="auto"/>
          </w:tcBorders>
          <w:shd w:val="clear" w:color="auto" w:fill="auto"/>
        </w:tcPr>
        <w:p w14:paraId="22AA898C" w14:textId="77777777" w:rsidR="001054C3" w:rsidRDefault="001054C3" w:rsidP="001054C3">
          <w:pPr>
            <w:pStyle w:val="Footer"/>
          </w:pPr>
        </w:p>
      </w:tc>
      <w:tc>
        <w:tcPr>
          <w:tcW w:w="7767" w:type="dxa"/>
          <w:tcBorders>
            <w:top w:val="single" w:sz="4" w:space="0" w:color="auto"/>
          </w:tcBorders>
          <w:shd w:val="clear" w:color="auto" w:fill="auto"/>
        </w:tcPr>
        <w:p w14:paraId="036B75BD" w14:textId="5E4C6497" w:rsidR="001054C3" w:rsidRDefault="001054C3" w:rsidP="001054C3">
          <w:pPr>
            <w:pStyle w:val="Footer"/>
            <w:jc w:val="right"/>
          </w:pPr>
          <w:r>
            <w:t xml:space="preserve">WATER RESOURCE MANAGEMENT </w:t>
          </w:r>
          <w:r w:rsidR="00C956BE">
            <w:t>—</w:t>
          </w:r>
          <w:r>
            <w:t xml:space="preserve"> A FIT-FOR-PURPOSE FRAMEWORK</w:t>
          </w:r>
        </w:p>
      </w:tc>
      <w:tc>
        <w:tcPr>
          <w:tcW w:w="510" w:type="dxa"/>
          <w:tcBorders>
            <w:top w:val="single" w:sz="4" w:space="0" w:color="auto"/>
          </w:tcBorders>
          <w:shd w:val="clear" w:color="auto" w:fill="auto"/>
        </w:tcPr>
        <w:p w14:paraId="4C9077C6"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5ACDB2C4" w14:textId="77777777" w:rsidR="001054C3" w:rsidRPr="001054C3" w:rsidRDefault="001054C3" w:rsidP="001054C3">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4F2997BE" w14:textId="77777777" w:rsidTr="001054C3">
      <w:trPr>
        <w:trHeight w:val="567"/>
      </w:trPr>
      <w:tc>
        <w:tcPr>
          <w:tcW w:w="510" w:type="dxa"/>
          <w:tcBorders>
            <w:top w:val="single" w:sz="4" w:space="0" w:color="auto"/>
          </w:tcBorders>
          <w:shd w:val="clear" w:color="auto" w:fill="auto"/>
        </w:tcPr>
        <w:p w14:paraId="7E73D9E2"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3D7AC07E"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29377253" w14:textId="77777777" w:rsidR="001054C3" w:rsidRDefault="001054C3" w:rsidP="001054C3">
          <w:pPr>
            <w:pStyle w:val="Footer"/>
          </w:pPr>
        </w:p>
      </w:tc>
    </w:tr>
  </w:tbl>
  <w:p w14:paraId="09AF39B4" w14:textId="77777777" w:rsidR="001054C3" w:rsidRPr="001054C3" w:rsidRDefault="001054C3" w:rsidP="001054C3">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728B01D1" w14:textId="77777777" w:rsidTr="001054C3">
      <w:trPr>
        <w:trHeight w:val="567"/>
      </w:trPr>
      <w:tc>
        <w:tcPr>
          <w:tcW w:w="510" w:type="dxa"/>
          <w:tcBorders>
            <w:top w:val="single" w:sz="4" w:space="0" w:color="auto"/>
          </w:tcBorders>
          <w:shd w:val="clear" w:color="auto" w:fill="auto"/>
        </w:tcPr>
        <w:p w14:paraId="5D94131E" w14:textId="77777777" w:rsidR="001054C3" w:rsidRDefault="001054C3" w:rsidP="001054C3">
          <w:pPr>
            <w:pStyle w:val="Footer"/>
          </w:pPr>
        </w:p>
      </w:tc>
      <w:tc>
        <w:tcPr>
          <w:tcW w:w="7767" w:type="dxa"/>
          <w:tcBorders>
            <w:top w:val="single" w:sz="4" w:space="0" w:color="auto"/>
          </w:tcBorders>
          <w:shd w:val="clear" w:color="auto" w:fill="auto"/>
        </w:tcPr>
        <w:p w14:paraId="14AE48F5" w14:textId="77777777" w:rsidR="001054C3" w:rsidRDefault="001054C3" w:rsidP="001054C3">
          <w:pPr>
            <w:pStyle w:val="Footer"/>
            <w:jc w:val="right"/>
          </w:pPr>
          <w:r>
            <w:t>WATER ENTITLEMENTS AND PLANNING</w:t>
          </w:r>
        </w:p>
      </w:tc>
      <w:tc>
        <w:tcPr>
          <w:tcW w:w="510" w:type="dxa"/>
          <w:tcBorders>
            <w:top w:val="single" w:sz="4" w:space="0" w:color="auto"/>
          </w:tcBorders>
          <w:shd w:val="clear" w:color="auto" w:fill="auto"/>
        </w:tcPr>
        <w:p w14:paraId="7D31976C"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59D1AB3B" w14:textId="77777777" w:rsidR="001054C3" w:rsidRPr="001054C3" w:rsidRDefault="001054C3" w:rsidP="001054C3">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24FC37C0" w14:textId="77777777" w:rsidTr="001054C3">
      <w:trPr>
        <w:trHeight w:val="567"/>
      </w:trPr>
      <w:tc>
        <w:tcPr>
          <w:tcW w:w="510" w:type="dxa"/>
          <w:tcBorders>
            <w:top w:val="single" w:sz="4" w:space="0" w:color="auto"/>
          </w:tcBorders>
          <w:shd w:val="clear" w:color="auto" w:fill="auto"/>
        </w:tcPr>
        <w:p w14:paraId="71E4A3BD"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6B6A7B19"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6F016E95" w14:textId="77777777" w:rsidR="001054C3" w:rsidRDefault="001054C3" w:rsidP="001054C3">
          <w:pPr>
            <w:pStyle w:val="Footer"/>
          </w:pPr>
        </w:p>
      </w:tc>
    </w:tr>
  </w:tbl>
  <w:p w14:paraId="7AF390B2" w14:textId="77777777" w:rsidR="001054C3" w:rsidRPr="001054C3" w:rsidRDefault="001054C3" w:rsidP="001054C3">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202F8172" w14:textId="77777777" w:rsidTr="001054C3">
      <w:trPr>
        <w:trHeight w:val="567"/>
      </w:trPr>
      <w:tc>
        <w:tcPr>
          <w:tcW w:w="510" w:type="dxa"/>
          <w:tcBorders>
            <w:top w:val="single" w:sz="4" w:space="0" w:color="auto"/>
          </w:tcBorders>
          <w:shd w:val="clear" w:color="auto" w:fill="auto"/>
        </w:tcPr>
        <w:p w14:paraId="2594CF04" w14:textId="77777777" w:rsidR="001054C3" w:rsidRDefault="001054C3" w:rsidP="001054C3">
          <w:pPr>
            <w:pStyle w:val="Footer"/>
          </w:pPr>
        </w:p>
      </w:tc>
      <w:tc>
        <w:tcPr>
          <w:tcW w:w="7767" w:type="dxa"/>
          <w:tcBorders>
            <w:top w:val="single" w:sz="4" w:space="0" w:color="auto"/>
          </w:tcBorders>
          <w:shd w:val="clear" w:color="auto" w:fill="auto"/>
        </w:tcPr>
        <w:p w14:paraId="58D69D99" w14:textId="77777777" w:rsidR="001054C3" w:rsidRDefault="001054C3" w:rsidP="001054C3">
          <w:pPr>
            <w:pStyle w:val="Footer"/>
            <w:jc w:val="right"/>
          </w:pPr>
          <w:r>
            <w:t>WATER TRADING AND MARKETS</w:t>
          </w:r>
        </w:p>
      </w:tc>
      <w:tc>
        <w:tcPr>
          <w:tcW w:w="510" w:type="dxa"/>
          <w:tcBorders>
            <w:top w:val="single" w:sz="4" w:space="0" w:color="auto"/>
          </w:tcBorders>
          <w:shd w:val="clear" w:color="auto" w:fill="auto"/>
        </w:tcPr>
        <w:p w14:paraId="3C68EBEC"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5985BB8B" w14:textId="77777777" w:rsidR="001054C3" w:rsidRPr="001054C3" w:rsidRDefault="001054C3" w:rsidP="001054C3">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4AEC83C8" w14:textId="77777777" w:rsidTr="001054C3">
      <w:trPr>
        <w:trHeight w:val="567"/>
      </w:trPr>
      <w:tc>
        <w:tcPr>
          <w:tcW w:w="510" w:type="dxa"/>
          <w:tcBorders>
            <w:top w:val="single" w:sz="4" w:space="0" w:color="auto"/>
          </w:tcBorders>
          <w:shd w:val="clear" w:color="auto" w:fill="auto"/>
        </w:tcPr>
        <w:p w14:paraId="51FF9903"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559DF1AA"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274CDDFA" w14:textId="77777777" w:rsidR="001054C3" w:rsidRDefault="001054C3" w:rsidP="001054C3">
          <w:pPr>
            <w:pStyle w:val="Footer"/>
          </w:pPr>
        </w:p>
      </w:tc>
    </w:tr>
  </w:tbl>
  <w:p w14:paraId="6E885FD4" w14:textId="77777777" w:rsidR="001054C3" w:rsidRPr="001054C3" w:rsidRDefault="001054C3" w:rsidP="001054C3">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BF028EF" w14:textId="77777777" w:rsidTr="001054C3">
      <w:trPr>
        <w:trHeight w:val="567"/>
      </w:trPr>
      <w:tc>
        <w:tcPr>
          <w:tcW w:w="510" w:type="dxa"/>
          <w:tcBorders>
            <w:top w:val="single" w:sz="4" w:space="0" w:color="auto"/>
          </w:tcBorders>
          <w:shd w:val="clear" w:color="auto" w:fill="auto"/>
        </w:tcPr>
        <w:p w14:paraId="7417C8C4" w14:textId="77777777" w:rsidR="001054C3" w:rsidRDefault="001054C3" w:rsidP="001054C3">
          <w:pPr>
            <w:pStyle w:val="Footer"/>
          </w:pPr>
        </w:p>
      </w:tc>
      <w:tc>
        <w:tcPr>
          <w:tcW w:w="7767" w:type="dxa"/>
          <w:tcBorders>
            <w:top w:val="single" w:sz="4" w:space="0" w:color="auto"/>
          </w:tcBorders>
          <w:shd w:val="clear" w:color="auto" w:fill="auto"/>
        </w:tcPr>
        <w:p w14:paraId="4F7DF8CC" w14:textId="77777777" w:rsidR="001054C3" w:rsidRDefault="001054C3" w:rsidP="001054C3">
          <w:pPr>
            <w:pStyle w:val="Footer"/>
            <w:jc w:val="right"/>
          </w:pPr>
          <w:r>
            <w:t>ENVIRONMENTAL MANAGEMENT</w:t>
          </w:r>
        </w:p>
      </w:tc>
      <w:tc>
        <w:tcPr>
          <w:tcW w:w="510" w:type="dxa"/>
          <w:tcBorders>
            <w:top w:val="single" w:sz="4" w:space="0" w:color="auto"/>
          </w:tcBorders>
          <w:shd w:val="clear" w:color="auto" w:fill="auto"/>
        </w:tcPr>
        <w:p w14:paraId="2EBE7736"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275F3C42" w14:textId="77777777" w:rsidR="001054C3" w:rsidRPr="001054C3" w:rsidRDefault="001054C3" w:rsidP="001054C3">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B2EC5"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2CB3E"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1F0C554D" w14:textId="77777777" w:rsidTr="001054C3">
      <w:trPr>
        <w:trHeight w:val="567"/>
      </w:trPr>
      <w:tc>
        <w:tcPr>
          <w:tcW w:w="510" w:type="dxa"/>
          <w:tcBorders>
            <w:top w:val="single" w:sz="4" w:space="0" w:color="auto"/>
          </w:tcBorders>
          <w:shd w:val="clear" w:color="auto" w:fill="auto"/>
        </w:tcPr>
        <w:p w14:paraId="0D0F1CCE"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17D0C56F"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3F32E873" w14:textId="77777777" w:rsidR="001054C3" w:rsidRDefault="001054C3" w:rsidP="001054C3">
          <w:pPr>
            <w:pStyle w:val="Footer"/>
            <w:rPr>
              <w:rStyle w:val="PageNumber"/>
              <w:b w:val="0"/>
            </w:rPr>
          </w:pPr>
        </w:p>
      </w:tc>
    </w:tr>
  </w:tbl>
  <w:p w14:paraId="3731366D" w14:textId="77777777" w:rsidR="001054C3" w:rsidRPr="001054C3" w:rsidRDefault="001054C3" w:rsidP="001054C3">
    <w:pPr>
      <w:pStyle w:val="FooterEnd"/>
      <w:rPr>
        <w:rStyle w:val="PageNumber"/>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C565C" w14:paraId="58E0E9AA" w14:textId="77777777" w:rsidTr="005464E7">
      <w:trPr>
        <w:trHeight w:hRule="exact" w:val="567"/>
      </w:trPr>
      <w:tc>
        <w:tcPr>
          <w:tcW w:w="510" w:type="dxa"/>
        </w:tcPr>
        <w:p w14:paraId="7A0A48FB" w14:textId="718766B2" w:rsidR="008C565C" w:rsidRPr="00A24443" w:rsidRDefault="008C565C" w:rsidP="005464E7">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w:t>
          </w:r>
          <w:r w:rsidRPr="00A24443">
            <w:rPr>
              <w:rStyle w:val="PageNumber"/>
              <w:caps w:val="0"/>
            </w:rPr>
            <w:fldChar w:fldCharType="end"/>
          </w:r>
        </w:p>
      </w:tc>
      <w:tc>
        <w:tcPr>
          <w:tcW w:w="7767" w:type="dxa"/>
        </w:tcPr>
        <w:p w14:paraId="779EB2CD" w14:textId="0ACB7B74" w:rsidR="008C565C" w:rsidRPr="0013739A" w:rsidRDefault="008C565C" w:rsidP="005464E7">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104E04">
            <w:rPr>
              <w:rFonts w:cs="Arial"/>
            </w:rPr>
            <w:t>Inquiry report - National Water Reform 2020</w:t>
          </w:r>
          <w:r w:rsidRPr="00BA5B14">
            <w:rPr>
              <w:rFonts w:cs="Arial"/>
            </w:rPr>
            <w:fldChar w:fldCharType="end"/>
          </w:r>
        </w:p>
      </w:tc>
      <w:tc>
        <w:tcPr>
          <w:tcW w:w="510" w:type="dxa"/>
        </w:tcPr>
        <w:p w14:paraId="1E3E58C9" w14:textId="77777777" w:rsidR="008C565C" w:rsidRDefault="008C565C" w:rsidP="005464E7">
          <w:pPr>
            <w:pStyle w:val="Footer"/>
          </w:pPr>
        </w:p>
      </w:tc>
    </w:tr>
  </w:tbl>
  <w:p w14:paraId="47710602" w14:textId="77777777" w:rsidR="008C565C" w:rsidRDefault="008C565C" w:rsidP="005464E7">
    <w:pPr>
      <w:pStyle w:val="FooterEnd"/>
    </w:pPr>
  </w:p>
  <w:p w14:paraId="5600601B" w14:textId="77777777" w:rsidR="008C565C" w:rsidRDefault="008C565C">
    <w:pPr>
      <w:pStyle w:val="FooterE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B75A56B" w14:textId="77777777" w:rsidTr="001054C3">
      <w:trPr>
        <w:trHeight w:val="567"/>
      </w:trPr>
      <w:tc>
        <w:tcPr>
          <w:tcW w:w="510" w:type="dxa"/>
          <w:tcBorders>
            <w:top w:val="single" w:sz="4" w:space="0" w:color="auto"/>
          </w:tcBorders>
          <w:shd w:val="clear" w:color="auto" w:fill="auto"/>
        </w:tcPr>
        <w:p w14:paraId="3DB1B92E"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6619ECCE" w14:textId="77777777" w:rsidR="001054C3" w:rsidRDefault="001054C3" w:rsidP="001054C3">
          <w:pPr>
            <w:pStyle w:val="Footer"/>
            <w:jc w:val="right"/>
            <w:rPr>
              <w:rStyle w:val="PageNumber"/>
              <w:b w:val="0"/>
            </w:rPr>
          </w:pPr>
          <w:r>
            <w:rPr>
              <w:rStyle w:val="PageNumber"/>
              <w:b w:val="0"/>
            </w:rPr>
            <w:t>ENVIRONMENTAL MANAGEMENT</w:t>
          </w:r>
        </w:p>
      </w:tc>
      <w:tc>
        <w:tcPr>
          <w:tcW w:w="510" w:type="dxa"/>
          <w:tcBorders>
            <w:top w:val="single" w:sz="4" w:space="0" w:color="auto"/>
          </w:tcBorders>
          <w:shd w:val="clear" w:color="auto" w:fill="auto"/>
        </w:tcPr>
        <w:p w14:paraId="0B9E858A"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4B57F31B" w14:textId="77777777" w:rsidR="001054C3" w:rsidRPr="001054C3" w:rsidRDefault="001054C3" w:rsidP="001054C3">
    <w:pPr>
      <w:pStyle w:val="FooterEnd"/>
      <w:rPr>
        <w:rStyle w:val="PageNumber"/>
        <w:b w:val="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0D9CDCE" w14:textId="77777777" w:rsidTr="001054C3">
      <w:trPr>
        <w:trHeight w:val="567"/>
      </w:trPr>
      <w:tc>
        <w:tcPr>
          <w:tcW w:w="510" w:type="dxa"/>
          <w:tcBorders>
            <w:top w:val="single" w:sz="4" w:space="0" w:color="auto"/>
          </w:tcBorders>
          <w:shd w:val="clear" w:color="auto" w:fill="auto"/>
        </w:tcPr>
        <w:p w14:paraId="7AC39C81"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3D57F4ED"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725C0FDF" w14:textId="77777777" w:rsidR="001054C3" w:rsidRDefault="001054C3" w:rsidP="001054C3">
          <w:pPr>
            <w:pStyle w:val="Footer"/>
            <w:rPr>
              <w:rStyle w:val="PageNumber"/>
              <w:b w:val="0"/>
            </w:rPr>
          </w:pPr>
        </w:p>
      </w:tc>
    </w:tr>
  </w:tbl>
  <w:p w14:paraId="4EB931F9" w14:textId="77777777" w:rsidR="001054C3" w:rsidRPr="001054C3" w:rsidRDefault="001054C3" w:rsidP="001054C3">
    <w:pPr>
      <w:pStyle w:val="FooterEnd"/>
      <w:rPr>
        <w:rStyle w:val="PageNumber"/>
        <w:b w:val="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117909CB" w14:textId="77777777" w:rsidTr="001054C3">
      <w:trPr>
        <w:trHeight w:val="567"/>
      </w:trPr>
      <w:tc>
        <w:tcPr>
          <w:tcW w:w="510" w:type="dxa"/>
          <w:tcBorders>
            <w:top w:val="single" w:sz="4" w:space="0" w:color="auto"/>
          </w:tcBorders>
          <w:shd w:val="clear" w:color="auto" w:fill="auto"/>
        </w:tcPr>
        <w:p w14:paraId="0915EE46"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29629CCB" w14:textId="77777777" w:rsidR="001054C3" w:rsidRDefault="001054C3" w:rsidP="001054C3">
          <w:pPr>
            <w:pStyle w:val="Footer"/>
            <w:jc w:val="right"/>
            <w:rPr>
              <w:rStyle w:val="PageNumber"/>
              <w:b w:val="0"/>
            </w:rPr>
          </w:pPr>
          <w:r>
            <w:rPr>
              <w:rStyle w:val="PageNumber"/>
              <w:b w:val="0"/>
            </w:rPr>
            <w:t>ABORIGINAL AND TORRES STRAIT ISLANDER PEOPLE'S INTERESTS IN WATER</w:t>
          </w:r>
        </w:p>
      </w:tc>
      <w:tc>
        <w:tcPr>
          <w:tcW w:w="510" w:type="dxa"/>
          <w:tcBorders>
            <w:top w:val="single" w:sz="4" w:space="0" w:color="auto"/>
          </w:tcBorders>
          <w:shd w:val="clear" w:color="auto" w:fill="auto"/>
        </w:tcPr>
        <w:p w14:paraId="4725D569"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6B7972C1" w14:textId="77777777" w:rsidR="001054C3" w:rsidRPr="001054C3" w:rsidRDefault="001054C3" w:rsidP="001054C3">
    <w:pPr>
      <w:pStyle w:val="FooterEnd"/>
      <w:rPr>
        <w:rStyle w:val="PageNumber"/>
        <w:b w:val="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5E1B45A9" w14:textId="77777777" w:rsidTr="001054C3">
      <w:trPr>
        <w:trHeight w:val="567"/>
      </w:trPr>
      <w:tc>
        <w:tcPr>
          <w:tcW w:w="510" w:type="dxa"/>
          <w:tcBorders>
            <w:top w:val="single" w:sz="4" w:space="0" w:color="auto"/>
          </w:tcBorders>
          <w:shd w:val="clear" w:color="auto" w:fill="auto"/>
        </w:tcPr>
        <w:p w14:paraId="6F06EF96"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78225077"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5775D28D" w14:textId="77777777" w:rsidR="001054C3" w:rsidRDefault="001054C3" w:rsidP="001054C3">
          <w:pPr>
            <w:pStyle w:val="Footer"/>
          </w:pPr>
        </w:p>
      </w:tc>
    </w:tr>
  </w:tbl>
  <w:p w14:paraId="574C4773" w14:textId="77777777" w:rsidR="001054C3" w:rsidRPr="001054C3" w:rsidRDefault="001054C3" w:rsidP="001054C3">
    <w:pPr>
      <w:pStyle w:val="FooterEnd"/>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7E8FC80A" w14:textId="77777777" w:rsidTr="001054C3">
      <w:trPr>
        <w:trHeight w:val="567"/>
      </w:trPr>
      <w:tc>
        <w:tcPr>
          <w:tcW w:w="510" w:type="dxa"/>
          <w:tcBorders>
            <w:top w:val="single" w:sz="4" w:space="0" w:color="auto"/>
          </w:tcBorders>
          <w:shd w:val="clear" w:color="auto" w:fill="auto"/>
        </w:tcPr>
        <w:p w14:paraId="413C9689" w14:textId="77777777" w:rsidR="001054C3" w:rsidRDefault="001054C3" w:rsidP="001054C3">
          <w:pPr>
            <w:pStyle w:val="Footer"/>
          </w:pPr>
        </w:p>
      </w:tc>
      <w:tc>
        <w:tcPr>
          <w:tcW w:w="7767" w:type="dxa"/>
          <w:tcBorders>
            <w:top w:val="single" w:sz="4" w:space="0" w:color="auto"/>
          </w:tcBorders>
          <w:shd w:val="clear" w:color="auto" w:fill="auto"/>
        </w:tcPr>
        <w:p w14:paraId="4C67DBB6" w14:textId="77777777" w:rsidR="001054C3" w:rsidRDefault="001054C3" w:rsidP="001054C3">
          <w:pPr>
            <w:pStyle w:val="Footer"/>
            <w:jc w:val="right"/>
          </w:pPr>
          <w:r>
            <w:t>ENSURING THE INTEGRITY OF WATER RESOURCE MANAGEMENT</w:t>
          </w:r>
        </w:p>
      </w:tc>
      <w:tc>
        <w:tcPr>
          <w:tcW w:w="510" w:type="dxa"/>
          <w:tcBorders>
            <w:top w:val="single" w:sz="4" w:space="0" w:color="auto"/>
          </w:tcBorders>
          <w:shd w:val="clear" w:color="auto" w:fill="auto"/>
        </w:tcPr>
        <w:p w14:paraId="4764BC12"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6CFA2F1A" w14:textId="77777777" w:rsidR="001054C3" w:rsidRPr="001054C3" w:rsidRDefault="001054C3" w:rsidP="001054C3">
    <w:pPr>
      <w:pStyle w:val="FooterEnd"/>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DF318" w14:textId="77777777" w:rsidR="001054C3" w:rsidRDefault="001054C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C36C9"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04900"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74C0D36A" w14:textId="77777777" w:rsidTr="001054C3">
      <w:trPr>
        <w:trHeight w:val="567"/>
      </w:trPr>
      <w:tc>
        <w:tcPr>
          <w:tcW w:w="510" w:type="dxa"/>
          <w:tcBorders>
            <w:top w:val="single" w:sz="4" w:space="0" w:color="auto"/>
          </w:tcBorders>
          <w:shd w:val="clear" w:color="auto" w:fill="auto"/>
        </w:tcPr>
        <w:p w14:paraId="4EF8C849"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39286CAA"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5EDD8EEC" w14:textId="77777777" w:rsidR="001054C3" w:rsidRDefault="001054C3" w:rsidP="001054C3">
          <w:pPr>
            <w:pStyle w:val="Footer"/>
            <w:rPr>
              <w:rStyle w:val="PageNumber"/>
              <w:b w:val="0"/>
            </w:rPr>
          </w:pPr>
        </w:p>
      </w:tc>
    </w:tr>
  </w:tbl>
  <w:p w14:paraId="247B87FD" w14:textId="77777777" w:rsidR="001054C3" w:rsidRPr="001054C3" w:rsidRDefault="001054C3" w:rsidP="001054C3">
    <w:pPr>
      <w:pStyle w:val="FooterEnd"/>
      <w:rPr>
        <w:rStyle w:val="PageNumber"/>
        <w:b w:val="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2B6017A6" w14:textId="77777777" w:rsidTr="001054C3">
      <w:trPr>
        <w:trHeight w:val="567"/>
      </w:trPr>
      <w:tc>
        <w:tcPr>
          <w:tcW w:w="510" w:type="dxa"/>
          <w:tcBorders>
            <w:top w:val="single" w:sz="4" w:space="0" w:color="auto"/>
          </w:tcBorders>
          <w:shd w:val="clear" w:color="auto" w:fill="auto"/>
        </w:tcPr>
        <w:p w14:paraId="13F5874A"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4D53E77E" w14:textId="77777777" w:rsidR="001054C3" w:rsidRDefault="001054C3" w:rsidP="001054C3">
          <w:pPr>
            <w:pStyle w:val="Footer"/>
            <w:jc w:val="right"/>
            <w:rPr>
              <w:rStyle w:val="PageNumber"/>
              <w:b w:val="0"/>
            </w:rPr>
          </w:pPr>
          <w:r>
            <w:rPr>
              <w:rStyle w:val="PageNumber"/>
              <w:b w:val="0"/>
            </w:rPr>
            <w:t>ENSURING THE INTEGRITY OF WATER RESOURCE MANAGEMENT</w:t>
          </w:r>
        </w:p>
      </w:tc>
      <w:tc>
        <w:tcPr>
          <w:tcW w:w="510" w:type="dxa"/>
          <w:tcBorders>
            <w:top w:val="single" w:sz="4" w:space="0" w:color="auto"/>
          </w:tcBorders>
          <w:shd w:val="clear" w:color="auto" w:fill="auto"/>
        </w:tcPr>
        <w:p w14:paraId="26E49CCC"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20781778" w14:textId="77777777" w:rsidR="001054C3" w:rsidRPr="001054C3" w:rsidRDefault="001054C3" w:rsidP="001054C3">
    <w:pPr>
      <w:pStyle w:val="FooterEnd"/>
      <w:rPr>
        <w:rStyle w:val="PageNumber"/>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C565C" w14:paraId="12D6FAD6" w14:textId="77777777" w:rsidTr="005464E7">
      <w:trPr>
        <w:trHeight w:hRule="exact" w:val="567"/>
      </w:trPr>
      <w:tc>
        <w:tcPr>
          <w:tcW w:w="510" w:type="dxa"/>
        </w:tcPr>
        <w:p w14:paraId="5E10B2E2" w14:textId="34B7923B" w:rsidR="008C565C" w:rsidRDefault="008C565C">
          <w:pPr>
            <w:pStyle w:val="Footer"/>
            <w:ind w:right="360" w:firstLine="360"/>
          </w:pPr>
        </w:p>
      </w:tc>
      <w:tc>
        <w:tcPr>
          <w:tcW w:w="7767" w:type="dxa"/>
        </w:tcPr>
        <w:p w14:paraId="41AB69A9" w14:textId="1DA39922" w:rsidR="008C565C" w:rsidRPr="00A90DAF" w:rsidRDefault="008C565C" w:rsidP="005464E7">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00104E04" w:rsidRPr="00104E04">
            <w:rPr>
              <w:bCs/>
              <w:noProof/>
              <w:lang w:val="en-US"/>
            </w:rPr>
            <w:t>Acknowledgments</w:t>
          </w:r>
          <w:r w:rsidRPr="00A90DAF">
            <w:rPr>
              <w:noProof/>
            </w:rPr>
            <w:fldChar w:fldCharType="end"/>
          </w:r>
        </w:p>
      </w:tc>
      <w:tc>
        <w:tcPr>
          <w:tcW w:w="510" w:type="dxa"/>
        </w:tcPr>
        <w:p w14:paraId="68013EE6" w14:textId="77777777" w:rsidR="008C565C" w:rsidRPr="00A24443" w:rsidRDefault="008C565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ix</w:t>
          </w:r>
          <w:r w:rsidRPr="00A24443">
            <w:rPr>
              <w:rStyle w:val="PageNumber"/>
              <w:caps w:val="0"/>
            </w:rPr>
            <w:fldChar w:fldCharType="end"/>
          </w:r>
        </w:p>
      </w:tc>
    </w:tr>
  </w:tbl>
  <w:p w14:paraId="5C61B231" w14:textId="77777777" w:rsidR="008C565C" w:rsidRDefault="008C565C">
    <w:pPr>
      <w:pStyle w:val="FooterEnd"/>
    </w:pPr>
  </w:p>
  <w:p w14:paraId="2AFDE276" w14:textId="77777777" w:rsidR="008C565C" w:rsidRDefault="008C565C">
    <w:pPr>
      <w:pStyle w:val="FooterEnd"/>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015C512E" w14:textId="77777777" w:rsidTr="001054C3">
      <w:trPr>
        <w:trHeight w:val="567"/>
      </w:trPr>
      <w:tc>
        <w:tcPr>
          <w:tcW w:w="510" w:type="dxa"/>
          <w:tcBorders>
            <w:top w:val="single" w:sz="4" w:space="0" w:color="auto"/>
          </w:tcBorders>
          <w:shd w:val="clear" w:color="auto" w:fill="auto"/>
        </w:tcPr>
        <w:p w14:paraId="2B57B801"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5F3AC6BE"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6CE752B1" w14:textId="77777777" w:rsidR="001054C3" w:rsidRDefault="001054C3" w:rsidP="001054C3">
          <w:pPr>
            <w:pStyle w:val="Footer"/>
            <w:rPr>
              <w:rStyle w:val="PageNumber"/>
              <w:b w:val="0"/>
            </w:rPr>
          </w:pPr>
        </w:p>
      </w:tc>
    </w:tr>
  </w:tbl>
  <w:p w14:paraId="4DA3155F" w14:textId="77777777" w:rsidR="001054C3" w:rsidRPr="001054C3" w:rsidRDefault="001054C3" w:rsidP="001054C3">
    <w:pPr>
      <w:pStyle w:val="FooterEnd"/>
      <w:rPr>
        <w:rStyle w:val="PageNumber"/>
        <w:b w:val="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3A9E4521" w14:textId="77777777" w:rsidTr="001054C3">
      <w:trPr>
        <w:trHeight w:val="567"/>
      </w:trPr>
      <w:tc>
        <w:tcPr>
          <w:tcW w:w="510" w:type="dxa"/>
          <w:tcBorders>
            <w:top w:val="single" w:sz="4" w:space="0" w:color="auto"/>
          </w:tcBorders>
          <w:shd w:val="clear" w:color="auto" w:fill="auto"/>
        </w:tcPr>
        <w:p w14:paraId="7FE17368"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07154D8D" w14:textId="77777777" w:rsidR="001054C3" w:rsidRDefault="001054C3" w:rsidP="001054C3">
          <w:pPr>
            <w:pStyle w:val="Footer"/>
            <w:jc w:val="right"/>
            <w:rPr>
              <w:rStyle w:val="PageNumber"/>
              <w:b w:val="0"/>
            </w:rPr>
          </w:pPr>
          <w:r>
            <w:rPr>
              <w:rStyle w:val="PageNumber"/>
              <w:b w:val="0"/>
            </w:rPr>
            <w:t>PROVISION OF WATER SERVICES</w:t>
          </w:r>
        </w:p>
      </w:tc>
      <w:tc>
        <w:tcPr>
          <w:tcW w:w="510" w:type="dxa"/>
          <w:tcBorders>
            <w:top w:val="single" w:sz="4" w:space="0" w:color="auto"/>
          </w:tcBorders>
          <w:shd w:val="clear" w:color="auto" w:fill="auto"/>
        </w:tcPr>
        <w:p w14:paraId="574CDBEF"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64CECCA4" w14:textId="77777777" w:rsidR="001054C3" w:rsidRPr="001054C3" w:rsidRDefault="001054C3" w:rsidP="001054C3">
    <w:pPr>
      <w:pStyle w:val="FooterEnd"/>
      <w:rPr>
        <w:rStyle w:val="PageNumber"/>
        <w:b w:val="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29F14BB5" w14:textId="77777777" w:rsidTr="001054C3">
      <w:trPr>
        <w:trHeight w:val="567"/>
      </w:trPr>
      <w:tc>
        <w:tcPr>
          <w:tcW w:w="510" w:type="dxa"/>
          <w:tcBorders>
            <w:top w:val="single" w:sz="4" w:space="0" w:color="auto"/>
          </w:tcBorders>
          <w:shd w:val="clear" w:color="auto" w:fill="auto"/>
        </w:tcPr>
        <w:p w14:paraId="38A0A4C1"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05DD43DA"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1480BD77" w14:textId="77777777" w:rsidR="001054C3" w:rsidRDefault="001054C3" w:rsidP="001054C3">
          <w:pPr>
            <w:pStyle w:val="Footer"/>
            <w:rPr>
              <w:rStyle w:val="PageNumber"/>
              <w:b w:val="0"/>
            </w:rPr>
          </w:pPr>
        </w:p>
      </w:tc>
    </w:tr>
  </w:tbl>
  <w:p w14:paraId="28F2318D" w14:textId="77777777" w:rsidR="001054C3" w:rsidRPr="001054C3" w:rsidRDefault="001054C3" w:rsidP="001054C3">
    <w:pPr>
      <w:pStyle w:val="FooterEnd"/>
      <w:rPr>
        <w:rStyle w:val="PageNumber"/>
        <w:b w:val="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0F33D290" w14:textId="77777777" w:rsidTr="001054C3">
      <w:trPr>
        <w:trHeight w:val="567"/>
      </w:trPr>
      <w:tc>
        <w:tcPr>
          <w:tcW w:w="510" w:type="dxa"/>
          <w:tcBorders>
            <w:top w:val="single" w:sz="4" w:space="0" w:color="auto"/>
          </w:tcBorders>
          <w:shd w:val="clear" w:color="auto" w:fill="auto"/>
        </w:tcPr>
        <w:p w14:paraId="03585280"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6E61A395" w14:textId="77777777" w:rsidR="001054C3" w:rsidRDefault="001054C3" w:rsidP="001054C3">
          <w:pPr>
            <w:pStyle w:val="Footer"/>
            <w:jc w:val="right"/>
            <w:rPr>
              <w:rStyle w:val="PageNumber"/>
              <w:b w:val="0"/>
            </w:rPr>
          </w:pPr>
          <w:r>
            <w:rPr>
              <w:rStyle w:val="PageNumber"/>
              <w:b w:val="0"/>
            </w:rPr>
            <w:t>URBAN WATER  SERVICES</w:t>
          </w:r>
        </w:p>
      </w:tc>
      <w:tc>
        <w:tcPr>
          <w:tcW w:w="510" w:type="dxa"/>
          <w:tcBorders>
            <w:top w:val="single" w:sz="4" w:space="0" w:color="auto"/>
          </w:tcBorders>
          <w:shd w:val="clear" w:color="auto" w:fill="auto"/>
        </w:tcPr>
        <w:p w14:paraId="32CD75FA"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52219084" w14:textId="77777777" w:rsidR="001054C3" w:rsidRPr="001054C3" w:rsidRDefault="001054C3" w:rsidP="001054C3">
    <w:pPr>
      <w:pStyle w:val="FooterEnd"/>
      <w:rPr>
        <w:rStyle w:val="PageNumber"/>
        <w:b w:val="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7F55FC00" w14:textId="77777777" w:rsidTr="001054C3">
      <w:trPr>
        <w:trHeight w:val="567"/>
      </w:trPr>
      <w:tc>
        <w:tcPr>
          <w:tcW w:w="510" w:type="dxa"/>
          <w:tcBorders>
            <w:top w:val="single" w:sz="4" w:space="0" w:color="auto"/>
          </w:tcBorders>
          <w:shd w:val="clear" w:color="auto" w:fill="auto"/>
        </w:tcPr>
        <w:p w14:paraId="63CE7569"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027B18DC"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47756FFC" w14:textId="77777777" w:rsidR="001054C3" w:rsidRDefault="001054C3" w:rsidP="001054C3">
          <w:pPr>
            <w:pStyle w:val="Footer"/>
            <w:rPr>
              <w:rStyle w:val="PageNumber"/>
              <w:b w:val="0"/>
            </w:rPr>
          </w:pPr>
        </w:p>
      </w:tc>
    </w:tr>
  </w:tbl>
  <w:p w14:paraId="20B17A99" w14:textId="77777777" w:rsidR="001054C3" w:rsidRPr="001054C3" w:rsidRDefault="001054C3" w:rsidP="001054C3">
    <w:pPr>
      <w:pStyle w:val="FooterEnd"/>
      <w:rPr>
        <w:rStyle w:val="PageNumber"/>
        <w:b w:val="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0E2C6601" w14:textId="77777777" w:rsidTr="001054C3">
      <w:trPr>
        <w:trHeight w:val="567"/>
      </w:trPr>
      <w:tc>
        <w:tcPr>
          <w:tcW w:w="510" w:type="dxa"/>
          <w:tcBorders>
            <w:top w:val="single" w:sz="4" w:space="0" w:color="auto"/>
          </w:tcBorders>
          <w:shd w:val="clear" w:color="auto" w:fill="auto"/>
        </w:tcPr>
        <w:p w14:paraId="79E6D165"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26FBF8F8" w14:textId="77777777" w:rsidR="001054C3" w:rsidRDefault="001054C3" w:rsidP="001054C3">
          <w:pPr>
            <w:pStyle w:val="Footer"/>
            <w:jc w:val="right"/>
            <w:rPr>
              <w:rStyle w:val="PageNumber"/>
              <w:b w:val="0"/>
            </w:rPr>
          </w:pPr>
          <w:r>
            <w:rPr>
              <w:rStyle w:val="PageNumber"/>
              <w:b w:val="0"/>
            </w:rPr>
            <w:t>WATER REFORM IN RURAL AUSTRALIA</w:t>
          </w:r>
        </w:p>
      </w:tc>
      <w:tc>
        <w:tcPr>
          <w:tcW w:w="510" w:type="dxa"/>
          <w:tcBorders>
            <w:top w:val="single" w:sz="4" w:space="0" w:color="auto"/>
          </w:tcBorders>
          <w:shd w:val="clear" w:color="auto" w:fill="auto"/>
        </w:tcPr>
        <w:p w14:paraId="2B8AFD83"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5851FEEA" w14:textId="77777777" w:rsidR="001054C3" w:rsidRPr="001054C3" w:rsidRDefault="001054C3" w:rsidP="001054C3">
    <w:pPr>
      <w:pStyle w:val="FooterEnd"/>
      <w:rPr>
        <w:rStyle w:val="PageNumber"/>
        <w:b w:val="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7CA20C0D" w14:textId="77777777" w:rsidTr="001054C3">
      <w:trPr>
        <w:trHeight w:val="567"/>
      </w:trPr>
      <w:tc>
        <w:tcPr>
          <w:tcW w:w="510" w:type="dxa"/>
          <w:tcBorders>
            <w:top w:val="single" w:sz="4" w:space="0" w:color="auto"/>
          </w:tcBorders>
          <w:shd w:val="clear" w:color="auto" w:fill="auto"/>
        </w:tcPr>
        <w:p w14:paraId="61874BB0"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1E6F8D62"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388FB867" w14:textId="77777777" w:rsidR="001054C3" w:rsidRDefault="001054C3" w:rsidP="001054C3">
          <w:pPr>
            <w:pStyle w:val="Footer"/>
            <w:rPr>
              <w:rStyle w:val="PageNumber"/>
              <w:b w:val="0"/>
            </w:rPr>
          </w:pPr>
        </w:p>
      </w:tc>
    </w:tr>
  </w:tbl>
  <w:p w14:paraId="6FB5373F" w14:textId="77777777" w:rsidR="001054C3" w:rsidRPr="001054C3" w:rsidRDefault="001054C3" w:rsidP="001054C3">
    <w:pPr>
      <w:pStyle w:val="FooterEnd"/>
      <w:rPr>
        <w:rStyle w:val="PageNumber"/>
        <w:b w:val="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6BF4A38D" w14:textId="77777777" w:rsidTr="001054C3">
      <w:trPr>
        <w:trHeight w:val="567"/>
      </w:trPr>
      <w:tc>
        <w:tcPr>
          <w:tcW w:w="510" w:type="dxa"/>
          <w:tcBorders>
            <w:top w:val="single" w:sz="4" w:space="0" w:color="auto"/>
          </w:tcBorders>
          <w:shd w:val="clear" w:color="auto" w:fill="auto"/>
        </w:tcPr>
        <w:p w14:paraId="4B5FA874"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2FCE37EB" w14:textId="77777777" w:rsidR="001054C3" w:rsidRDefault="001054C3" w:rsidP="001054C3">
          <w:pPr>
            <w:pStyle w:val="Footer"/>
            <w:jc w:val="right"/>
            <w:rPr>
              <w:rStyle w:val="PageNumber"/>
              <w:b w:val="0"/>
            </w:rPr>
          </w:pPr>
          <w:r>
            <w:rPr>
              <w:rStyle w:val="PageNumber"/>
              <w:b w:val="0"/>
            </w:rPr>
            <w:t>GOVERNMENT INVESTMENT IN MAJOR WATER INFRASTRUCTURE</w:t>
          </w:r>
        </w:p>
      </w:tc>
      <w:tc>
        <w:tcPr>
          <w:tcW w:w="510" w:type="dxa"/>
          <w:tcBorders>
            <w:top w:val="single" w:sz="4" w:space="0" w:color="auto"/>
          </w:tcBorders>
          <w:shd w:val="clear" w:color="auto" w:fill="auto"/>
        </w:tcPr>
        <w:p w14:paraId="1543FAAE"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233336DC" w14:textId="77777777" w:rsidR="001054C3" w:rsidRPr="001054C3" w:rsidRDefault="001054C3" w:rsidP="001054C3">
    <w:pPr>
      <w:pStyle w:val="FooterEnd"/>
      <w:rPr>
        <w:rStyle w:val="PageNumber"/>
        <w:b w:val="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607918A0" w14:textId="77777777" w:rsidTr="001054C3">
      <w:trPr>
        <w:trHeight w:val="567"/>
      </w:trPr>
      <w:tc>
        <w:tcPr>
          <w:tcW w:w="510" w:type="dxa"/>
          <w:tcBorders>
            <w:top w:val="single" w:sz="4" w:space="0" w:color="auto"/>
          </w:tcBorders>
          <w:shd w:val="clear" w:color="auto" w:fill="auto"/>
        </w:tcPr>
        <w:p w14:paraId="66856AD9"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2760E70B"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4B8C4D2A" w14:textId="77777777" w:rsidR="001054C3" w:rsidRDefault="001054C3" w:rsidP="001054C3">
          <w:pPr>
            <w:pStyle w:val="Footer"/>
            <w:rPr>
              <w:rStyle w:val="PageNumber"/>
              <w:b w:val="0"/>
            </w:rPr>
          </w:pPr>
        </w:p>
      </w:tc>
    </w:tr>
  </w:tbl>
  <w:p w14:paraId="20B2A032" w14:textId="77777777" w:rsidR="001054C3" w:rsidRPr="001054C3" w:rsidRDefault="001054C3" w:rsidP="001054C3">
    <w:pPr>
      <w:pStyle w:val="FooterEnd"/>
      <w:rPr>
        <w:rStyle w:val="PageNumber"/>
        <w:b w:val="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6473E74D" w14:textId="77777777" w:rsidTr="001054C3">
      <w:trPr>
        <w:trHeight w:val="567"/>
      </w:trPr>
      <w:tc>
        <w:tcPr>
          <w:tcW w:w="510" w:type="dxa"/>
          <w:tcBorders>
            <w:top w:val="single" w:sz="4" w:space="0" w:color="auto"/>
          </w:tcBorders>
          <w:shd w:val="clear" w:color="auto" w:fill="auto"/>
        </w:tcPr>
        <w:p w14:paraId="61E67B49"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6214863F" w14:textId="77777777" w:rsidR="001054C3" w:rsidRDefault="001054C3" w:rsidP="001054C3">
          <w:pPr>
            <w:pStyle w:val="Footer"/>
            <w:jc w:val="right"/>
            <w:rPr>
              <w:rStyle w:val="PageNumber"/>
              <w:b w:val="0"/>
            </w:rPr>
          </w:pPr>
          <w:r>
            <w:rPr>
              <w:rStyle w:val="PageNumber"/>
              <w:b w:val="0"/>
            </w:rPr>
            <w:t>COMMUNITY ENGAGEMENT</w:t>
          </w:r>
        </w:p>
      </w:tc>
      <w:tc>
        <w:tcPr>
          <w:tcW w:w="510" w:type="dxa"/>
          <w:tcBorders>
            <w:top w:val="single" w:sz="4" w:space="0" w:color="auto"/>
          </w:tcBorders>
          <w:shd w:val="clear" w:color="auto" w:fill="auto"/>
        </w:tcPr>
        <w:p w14:paraId="486EF9D9"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4D7D5D46" w14:textId="77777777" w:rsidR="001054C3" w:rsidRPr="001054C3" w:rsidRDefault="001054C3" w:rsidP="001054C3">
    <w:pPr>
      <w:pStyle w:val="FooterEnd"/>
      <w:rPr>
        <w:rStyle w:val="PageNumber"/>
        <w:b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C565C" w14:paraId="799367CB" w14:textId="77777777" w:rsidTr="005464E7">
      <w:trPr>
        <w:trHeight w:hRule="exact" w:val="567"/>
      </w:trPr>
      <w:tc>
        <w:tcPr>
          <w:tcW w:w="510" w:type="dxa"/>
        </w:tcPr>
        <w:p w14:paraId="291969E0" w14:textId="77777777" w:rsidR="008C565C" w:rsidRPr="007448F7" w:rsidRDefault="008C565C" w:rsidP="005464E7">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iv</w:t>
          </w:r>
          <w:r w:rsidRPr="007448F7">
            <w:rPr>
              <w:rStyle w:val="PageNumber"/>
              <w:caps w:val="0"/>
            </w:rPr>
            <w:fldChar w:fldCharType="end"/>
          </w:r>
        </w:p>
      </w:tc>
      <w:tc>
        <w:tcPr>
          <w:tcW w:w="7767" w:type="dxa"/>
        </w:tcPr>
        <w:p w14:paraId="4EFF770A" w14:textId="71103E14" w:rsidR="008C565C" w:rsidRPr="0013739A" w:rsidRDefault="00807006" w:rsidP="00271B0C">
          <w:pPr>
            <w:pStyle w:val="Footer"/>
            <w:rPr>
              <w:rFonts w:cs="Arial"/>
            </w:rPr>
          </w:pPr>
          <w:r>
            <w:rPr>
              <w:rFonts w:cs="Arial"/>
            </w:rPr>
            <w:t>national water reform 2020</w:t>
          </w:r>
        </w:p>
      </w:tc>
      <w:tc>
        <w:tcPr>
          <w:tcW w:w="510" w:type="dxa"/>
        </w:tcPr>
        <w:p w14:paraId="39868B1B" w14:textId="77777777" w:rsidR="008C565C" w:rsidRDefault="008C565C" w:rsidP="005464E7">
          <w:pPr>
            <w:pStyle w:val="Footer"/>
          </w:pPr>
        </w:p>
      </w:tc>
    </w:tr>
  </w:tbl>
  <w:p w14:paraId="2701C08C" w14:textId="77777777" w:rsidR="008C565C" w:rsidRDefault="008C565C" w:rsidP="005464E7">
    <w:pPr>
      <w:pStyle w:val="FooterEnd"/>
    </w:pPr>
  </w:p>
  <w:p w14:paraId="0944809F" w14:textId="77777777" w:rsidR="008C565C" w:rsidRDefault="008C565C">
    <w:pPr>
      <w:pStyle w:val="FooterEnd"/>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2D98D9D5" w14:textId="77777777" w:rsidTr="001054C3">
      <w:trPr>
        <w:trHeight w:val="567"/>
      </w:trPr>
      <w:tc>
        <w:tcPr>
          <w:tcW w:w="510" w:type="dxa"/>
          <w:tcBorders>
            <w:top w:val="single" w:sz="4" w:space="0" w:color="auto"/>
          </w:tcBorders>
          <w:shd w:val="clear" w:color="auto" w:fill="auto"/>
        </w:tcPr>
        <w:p w14:paraId="39CCE2F1"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042B15E4"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03F3733F" w14:textId="77777777" w:rsidR="001054C3" w:rsidRDefault="001054C3" w:rsidP="001054C3">
          <w:pPr>
            <w:pStyle w:val="Footer"/>
            <w:rPr>
              <w:rStyle w:val="PageNumber"/>
              <w:b w:val="0"/>
            </w:rPr>
          </w:pPr>
        </w:p>
      </w:tc>
    </w:tr>
  </w:tbl>
  <w:p w14:paraId="5BE97EB8" w14:textId="77777777" w:rsidR="001054C3" w:rsidRPr="001054C3" w:rsidRDefault="001054C3" w:rsidP="001054C3">
    <w:pPr>
      <w:pStyle w:val="FooterEnd"/>
      <w:rPr>
        <w:rStyle w:val="PageNumber"/>
        <w:b w:val="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4156F02F" w14:textId="77777777" w:rsidTr="001054C3">
      <w:trPr>
        <w:trHeight w:val="567"/>
      </w:trPr>
      <w:tc>
        <w:tcPr>
          <w:tcW w:w="510" w:type="dxa"/>
          <w:tcBorders>
            <w:top w:val="single" w:sz="4" w:space="0" w:color="auto"/>
          </w:tcBorders>
          <w:shd w:val="clear" w:color="auto" w:fill="auto"/>
        </w:tcPr>
        <w:p w14:paraId="07F02CF9"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23FA0448" w14:textId="77777777" w:rsidR="001054C3" w:rsidRDefault="001054C3" w:rsidP="001054C3">
          <w:pPr>
            <w:pStyle w:val="Footer"/>
            <w:jc w:val="right"/>
            <w:rPr>
              <w:rStyle w:val="PageNumber"/>
              <w:b w:val="0"/>
            </w:rPr>
          </w:pPr>
          <w:r>
            <w:rPr>
              <w:rStyle w:val="PageNumber"/>
              <w:b w:val="0"/>
            </w:rPr>
            <w:t>KNOWLEDGE, CAPACITY AND CAPABILITY BUILDING</w:t>
          </w:r>
        </w:p>
      </w:tc>
      <w:tc>
        <w:tcPr>
          <w:tcW w:w="510" w:type="dxa"/>
          <w:tcBorders>
            <w:top w:val="single" w:sz="4" w:space="0" w:color="auto"/>
          </w:tcBorders>
          <w:shd w:val="clear" w:color="auto" w:fill="auto"/>
        </w:tcPr>
        <w:p w14:paraId="4982FDFF"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3F491F07" w14:textId="77777777" w:rsidR="001054C3" w:rsidRPr="001054C3" w:rsidRDefault="001054C3" w:rsidP="001054C3">
    <w:pPr>
      <w:pStyle w:val="FooterEnd"/>
      <w:rPr>
        <w:rStyle w:val="PageNumber"/>
        <w:b w:val="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19A99579" w14:textId="77777777" w:rsidTr="001054C3">
      <w:trPr>
        <w:trHeight w:val="567"/>
      </w:trPr>
      <w:tc>
        <w:tcPr>
          <w:tcW w:w="510" w:type="dxa"/>
          <w:tcBorders>
            <w:top w:val="single" w:sz="4" w:space="0" w:color="auto"/>
          </w:tcBorders>
          <w:shd w:val="clear" w:color="auto" w:fill="auto"/>
        </w:tcPr>
        <w:p w14:paraId="78997C02"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33375D0D"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6DF98D2B" w14:textId="77777777" w:rsidR="001054C3" w:rsidRDefault="001054C3" w:rsidP="001054C3">
          <w:pPr>
            <w:pStyle w:val="Footer"/>
            <w:rPr>
              <w:rStyle w:val="PageNumber"/>
              <w:b w:val="0"/>
            </w:rPr>
          </w:pPr>
        </w:p>
      </w:tc>
    </w:tr>
  </w:tbl>
  <w:p w14:paraId="19D7F756" w14:textId="77777777" w:rsidR="001054C3" w:rsidRPr="001054C3" w:rsidRDefault="001054C3" w:rsidP="001054C3">
    <w:pPr>
      <w:pStyle w:val="FooterEnd"/>
      <w:rPr>
        <w:rStyle w:val="PageNumber"/>
        <w:b w:val="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7681C0A4" w14:textId="77777777" w:rsidTr="001054C3">
      <w:trPr>
        <w:trHeight w:val="567"/>
      </w:trPr>
      <w:tc>
        <w:tcPr>
          <w:tcW w:w="510" w:type="dxa"/>
          <w:tcBorders>
            <w:top w:val="single" w:sz="4" w:space="0" w:color="auto"/>
          </w:tcBorders>
          <w:shd w:val="clear" w:color="auto" w:fill="auto"/>
        </w:tcPr>
        <w:p w14:paraId="4472F3B7"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08FC8634" w14:textId="77777777" w:rsidR="001054C3" w:rsidRDefault="001054C3" w:rsidP="001054C3">
          <w:pPr>
            <w:pStyle w:val="Footer"/>
            <w:jc w:val="right"/>
            <w:rPr>
              <w:rStyle w:val="PageNumber"/>
              <w:b w:val="0"/>
            </w:rPr>
          </w:pPr>
          <w:r>
            <w:rPr>
              <w:rStyle w:val="PageNumber"/>
              <w:b w:val="0"/>
            </w:rPr>
            <w:t>TERMS OF REFERENCE</w:t>
          </w:r>
        </w:p>
      </w:tc>
      <w:tc>
        <w:tcPr>
          <w:tcW w:w="510" w:type="dxa"/>
          <w:tcBorders>
            <w:top w:val="single" w:sz="4" w:space="0" w:color="auto"/>
          </w:tcBorders>
          <w:shd w:val="clear" w:color="auto" w:fill="auto"/>
        </w:tcPr>
        <w:p w14:paraId="5AB540BF"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6AC84AF0" w14:textId="77777777" w:rsidR="001054C3" w:rsidRPr="001054C3" w:rsidRDefault="001054C3" w:rsidP="001054C3">
    <w:pPr>
      <w:pStyle w:val="FooterEnd"/>
      <w:rPr>
        <w:rStyle w:val="PageNumber"/>
        <w:b w:val="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6D92888F" w14:textId="77777777" w:rsidTr="001054C3">
      <w:trPr>
        <w:trHeight w:val="567"/>
      </w:trPr>
      <w:tc>
        <w:tcPr>
          <w:tcW w:w="510" w:type="dxa"/>
          <w:tcBorders>
            <w:top w:val="single" w:sz="4" w:space="0" w:color="auto"/>
          </w:tcBorders>
          <w:shd w:val="clear" w:color="auto" w:fill="auto"/>
        </w:tcPr>
        <w:p w14:paraId="0488AD44"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0A6BAAFA"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5F8ADECF" w14:textId="77777777" w:rsidR="001054C3" w:rsidRDefault="001054C3" w:rsidP="001054C3">
          <w:pPr>
            <w:pStyle w:val="Footer"/>
            <w:rPr>
              <w:rStyle w:val="PageNumber"/>
              <w:b w:val="0"/>
            </w:rPr>
          </w:pPr>
        </w:p>
      </w:tc>
    </w:tr>
  </w:tbl>
  <w:p w14:paraId="298DBC3A" w14:textId="77777777" w:rsidR="001054C3" w:rsidRPr="001054C3" w:rsidRDefault="001054C3" w:rsidP="001054C3">
    <w:pPr>
      <w:pStyle w:val="FooterEnd"/>
      <w:rPr>
        <w:rStyle w:val="PageNumber"/>
        <w:b w:val="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20DC44DA" w14:textId="77777777" w:rsidTr="001054C3">
      <w:trPr>
        <w:trHeight w:val="567"/>
      </w:trPr>
      <w:tc>
        <w:tcPr>
          <w:tcW w:w="510" w:type="dxa"/>
          <w:tcBorders>
            <w:top w:val="single" w:sz="4" w:space="0" w:color="auto"/>
          </w:tcBorders>
          <w:shd w:val="clear" w:color="auto" w:fill="auto"/>
        </w:tcPr>
        <w:p w14:paraId="2C3D3E33"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4487E618" w14:textId="77777777" w:rsidR="001054C3" w:rsidRDefault="001054C3" w:rsidP="001054C3">
          <w:pPr>
            <w:pStyle w:val="Footer"/>
            <w:jc w:val="right"/>
            <w:rPr>
              <w:rStyle w:val="PageNumber"/>
              <w:b w:val="0"/>
            </w:rPr>
          </w:pPr>
          <w:r>
            <w:rPr>
              <w:rStyle w:val="PageNumber"/>
              <w:b w:val="0"/>
            </w:rPr>
            <w:t>GLOSSARY</w:t>
          </w:r>
        </w:p>
      </w:tc>
      <w:tc>
        <w:tcPr>
          <w:tcW w:w="510" w:type="dxa"/>
          <w:tcBorders>
            <w:top w:val="single" w:sz="4" w:space="0" w:color="auto"/>
          </w:tcBorders>
          <w:shd w:val="clear" w:color="auto" w:fill="auto"/>
        </w:tcPr>
        <w:p w14:paraId="2C931012"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3D4A2F85" w14:textId="77777777" w:rsidR="001054C3" w:rsidRPr="001054C3" w:rsidRDefault="001054C3" w:rsidP="001054C3">
    <w:pPr>
      <w:pStyle w:val="FooterEnd"/>
      <w:rPr>
        <w:rStyle w:val="PageNumber"/>
        <w:b w:val="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43C060EB" w14:textId="77777777" w:rsidTr="001054C3">
      <w:trPr>
        <w:trHeight w:val="567"/>
      </w:trPr>
      <w:tc>
        <w:tcPr>
          <w:tcW w:w="510" w:type="dxa"/>
          <w:tcBorders>
            <w:top w:val="single" w:sz="4" w:space="0" w:color="auto"/>
          </w:tcBorders>
          <w:shd w:val="clear" w:color="auto" w:fill="auto"/>
        </w:tcPr>
        <w:p w14:paraId="2EDD5780"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7C729061"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5219D2FF" w14:textId="77777777" w:rsidR="001054C3" w:rsidRDefault="001054C3" w:rsidP="001054C3">
          <w:pPr>
            <w:pStyle w:val="Footer"/>
            <w:rPr>
              <w:rStyle w:val="PageNumber"/>
              <w:b w:val="0"/>
            </w:rPr>
          </w:pPr>
        </w:p>
      </w:tc>
    </w:tr>
  </w:tbl>
  <w:p w14:paraId="465300DF" w14:textId="77777777" w:rsidR="001054C3" w:rsidRPr="001054C3" w:rsidRDefault="001054C3" w:rsidP="001054C3">
    <w:pPr>
      <w:pStyle w:val="FooterEnd"/>
      <w:rPr>
        <w:rStyle w:val="PageNumber"/>
        <w:b w:val="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02065F3A" w14:textId="77777777" w:rsidTr="001054C3">
      <w:trPr>
        <w:trHeight w:val="567"/>
      </w:trPr>
      <w:tc>
        <w:tcPr>
          <w:tcW w:w="510" w:type="dxa"/>
          <w:tcBorders>
            <w:top w:val="single" w:sz="4" w:space="0" w:color="auto"/>
          </w:tcBorders>
          <w:shd w:val="clear" w:color="auto" w:fill="auto"/>
        </w:tcPr>
        <w:p w14:paraId="55CF416B"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0B0D9C30" w14:textId="77777777" w:rsidR="001054C3" w:rsidRDefault="001054C3" w:rsidP="001054C3">
          <w:pPr>
            <w:pStyle w:val="Footer"/>
            <w:jc w:val="right"/>
            <w:rPr>
              <w:rStyle w:val="PageNumber"/>
              <w:b w:val="0"/>
            </w:rPr>
          </w:pPr>
          <w:r>
            <w:rPr>
              <w:rStyle w:val="PageNumber"/>
              <w:b w:val="0"/>
            </w:rPr>
            <w:t>INQUIRY CONDUCT AND PARTICIPANTS</w:t>
          </w:r>
        </w:p>
      </w:tc>
      <w:tc>
        <w:tcPr>
          <w:tcW w:w="510" w:type="dxa"/>
          <w:tcBorders>
            <w:top w:val="single" w:sz="4" w:space="0" w:color="auto"/>
          </w:tcBorders>
          <w:shd w:val="clear" w:color="auto" w:fill="auto"/>
        </w:tcPr>
        <w:p w14:paraId="242D89A6"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497FF735" w14:textId="77777777" w:rsidR="001054C3" w:rsidRPr="001054C3" w:rsidRDefault="001054C3" w:rsidP="001054C3">
    <w:pPr>
      <w:pStyle w:val="FooterEnd"/>
      <w:rPr>
        <w:rStyle w:val="PageNumber"/>
        <w:b w:val="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46662974" w14:textId="77777777" w:rsidTr="001054C3">
      <w:trPr>
        <w:trHeight w:val="567"/>
      </w:trPr>
      <w:tc>
        <w:tcPr>
          <w:tcW w:w="510" w:type="dxa"/>
          <w:tcBorders>
            <w:top w:val="single" w:sz="4" w:space="0" w:color="auto"/>
          </w:tcBorders>
          <w:shd w:val="clear" w:color="auto" w:fill="auto"/>
        </w:tcPr>
        <w:p w14:paraId="3C229118"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15252794" w14:textId="77777777" w:rsidR="001054C3" w:rsidRDefault="001054C3" w:rsidP="001054C3">
          <w:pPr>
            <w:pStyle w:val="Footer"/>
            <w:rPr>
              <w:rStyle w:val="PageNumber"/>
              <w:b w:val="0"/>
            </w:rPr>
          </w:pPr>
          <w:r>
            <w:rPr>
              <w:rStyle w:val="PageNumber"/>
              <w:b w:val="0"/>
            </w:rPr>
            <w:t>NATIONAL WATER REFORM 2020</w:t>
          </w:r>
        </w:p>
      </w:tc>
      <w:tc>
        <w:tcPr>
          <w:tcW w:w="510" w:type="dxa"/>
          <w:tcBorders>
            <w:top w:val="single" w:sz="4" w:space="0" w:color="auto"/>
          </w:tcBorders>
          <w:shd w:val="clear" w:color="auto" w:fill="auto"/>
        </w:tcPr>
        <w:p w14:paraId="4D6C14C8" w14:textId="77777777" w:rsidR="001054C3" w:rsidRDefault="001054C3" w:rsidP="001054C3">
          <w:pPr>
            <w:pStyle w:val="Footer"/>
            <w:rPr>
              <w:rStyle w:val="PageNumber"/>
              <w:b w:val="0"/>
            </w:rPr>
          </w:pPr>
        </w:p>
      </w:tc>
    </w:tr>
  </w:tbl>
  <w:p w14:paraId="58511717" w14:textId="77777777" w:rsidR="001054C3" w:rsidRPr="001054C3" w:rsidRDefault="001054C3" w:rsidP="001054C3">
    <w:pPr>
      <w:pStyle w:val="FooterEnd"/>
      <w:rPr>
        <w:rStyle w:val="PageNumber"/>
        <w:b w:val="0"/>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058F51BB" w14:textId="77777777" w:rsidTr="001054C3">
      <w:trPr>
        <w:trHeight w:val="567"/>
      </w:trPr>
      <w:tc>
        <w:tcPr>
          <w:tcW w:w="510" w:type="dxa"/>
          <w:tcBorders>
            <w:top w:val="single" w:sz="4" w:space="0" w:color="auto"/>
          </w:tcBorders>
          <w:shd w:val="clear" w:color="auto" w:fill="auto"/>
        </w:tcPr>
        <w:p w14:paraId="38D72762" w14:textId="77777777" w:rsidR="001054C3" w:rsidRDefault="001054C3" w:rsidP="001054C3">
          <w:pPr>
            <w:pStyle w:val="Footer"/>
            <w:rPr>
              <w:rStyle w:val="PageNumber"/>
              <w:b w:val="0"/>
            </w:rPr>
          </w:pPr>
        </w:p>
      </w:tc>
      <w:tc>
        <w:tcPr>
          <w:tcW w:w="7767" w:type="dxa"/>
          <w:tcBorders>
            <w:top w:val="single" w:sz="4" w:space="0" w:color="auto"/>
          </w:tcBorders>
          <w:shd w:val="clear" w:color="auto" w:fill="auto"/>
        </w:tcPr>
        <w:p w14:paraId="310E9DBD" w14:textId="77777777" w:rsidR="001054C3" w:rsidRDefault="001054C3" w:rsidP="001054C3">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18C62BE9"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r>
  </w:tbl>
  <w:p w14:paraId="663F1C5E" w14:textId="77777777" w:rsidR="001054C3" w:rsidRPr="001054C3" w:rsidRDefault="001054C3" w:rsidP="001054C3">
    <w:pPr>
      <w:pStyle w:val="FooterEnd"/>
      <w:rPr>
        <w:rStyle w:val="PageNumber"/>
        <w:b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C565C" w14:paraId="08A907CC" w14:textId="77777777" w:rsidTr="005464E7">
      <w:trPr>
        <w:trHeight w:hRule="exact" w:val="567"/>
      </w:trPr>
      <w:tc>
        <w:tcPr>
          <w:tcW w:w="510" w:type="dxa"/>
        </w:tcPr>
        <w:p w14:paraId="3D4B99B8" w14:textId="721D08CA" w:rsidR="008C565C" w:rsidRDefault="008C565C">
          <w:pPr>
            <w:pStyle w:val="Footer"/>
            <w:ind w:right="360" w:firstLine="360"/>
          </w:pPr>
        </w:p>
      </w:tc>
      <w:tc>
        <w:tcPr>
          <w:tcW w:w="7767" w:type="dxa"/>
        </w:tcPr>
        <w:p w14:paraId="185504C2" w14:textId="61DB2656" w:rsidR="008C565C" w:rsidRPr="00340511" w:rsidRDefault="008C565C" w:rsidP="00340511">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104E04" w:rsidRPr="00104E04">
            <w:rPr>
              <w:bCs/>
              <w:noProof/>
              <w:lang w:val="en-US"/>
            </w:rPr>
            <w:t>Acknowledgments</w:t>
          </w:r>
          <w:r w:rsidRPr="00340511">
            <w:rPr>
              <w:noProof/>
            </w:rPr>
            <w:fldChar w:fldCharType="end"/>
          </w:r>
        </w:p>
      </w:tc>
      <w:tc>
        <w:tcPr>
          <w:tcW w:w="510" w:type="dxa"/>
        </w:tcPr>
        <w:p w14:paraId="10A442F2" w14:textId="77777777" w:rsidR="008C565C" w:rsidRPr="00A24443" w:rsidRDefault="008C565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579CD455" w14:textId="77777777" w:rsidR="008C565C" w:rsidRDefault="008C565C">
    <w:pPr>
      <w:pStyle w:val="FooterEnd"/>
    </w:pPr>
  </w:p>
  <w:p w14:paraId="368A95B3" w14:textId="77777777" w:rsidR="008C565C" w:rsidRDefault="008C565C" w:rsidP="00B95339">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64A8882A" w14:textId="77777777" w:rsidTr="001054C3">
      <w:trPr>
        <w:trHeight w:val="567"/>
      </w:trPr>
      <w:tc>
        <w:tcPr>
          <w:tcW w:w="510" w:type="dxa"/>
          <w:tcBorders>
            <w:top w:val="single" w:sz="4" w:space="0" w:color="auto"/>
          </w:tcBorders>
          <w:shd w:val="clear" w:color="auto" w:fill="auto"/>
        </w:tcPr>
        <w:p w14:paraId="0A1A7500"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79</w:t>
          </w:r>
          <w:r>
            <w:rPr>
              <w:rStyle w:val="PageNumber"/>
            </w:rPr>
            <w:fldChar w:fldCharType="end"/>
          </w:r>
        </w:p>
      </w:tc>
      <w:tc>
        <w:tcPr>
          <w:tcW w:w="7767" w:type="dxa"/>
          <w:tcBorders>
            <w:top w:val="single" w:sz="4" w:space="0" w:color="auto"/>
          </w:tcBorders>
          <w:shd w:val="clear" w:color="auto" w:fill="auto"/>
        </w:tcPr>
        <w:p w14:paraId="34073BAB"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1488F194" w14:textId="77777777" w:rsidR="001054C3" w:rsidRDefault="001054C3" w:rsidP="001054C3">
          <w:pPr>
            <w:pStyle w:val="Footer"/>
          </w:pPr>
        </w:p>
      </w:tc>
    </w:tr>
  </w:tbl>
  <w:p w14:paraId="307CA573" w14:textId="77777777" w:rsidR="001054C3" w:rsidRPr="001054C3" w:rsidRDefault="001054C3" w:rsidP="001054C3">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6219E1BE" w14:textId="77777777" w:rsidTr="001054C3">
      <w:trPr>
        <w:trHeight w:val="567"/>
      </w:trPr>
      <w:tc>
        <w:tcPr>
          <w:tcW w:w="510" w:type="dxa"/>
          <w:tcBorders>
            <w:top w:val="single" w:sz="4" w:space="0" w:color="auto"/>
          </w:tcBorders>
          <w:shd w:val="clear" w:color="auto" w:fill="auto"/>
        </w:tcPr>
        <w:p w14:paraId="1DD638F8" w14:textId="77777777" w:rsidR="001054C3" w:rsidRDefault="001054C3" w:rsidP="001054C3">
          <w:pPr>
            <w:pStyle w:val="Footer"/>
          </w:pPr>
        </w:p>
      </w:tc>
      <w:tc>
        <w:tcPr>
          <w:tcW w:w="7767" w:type="dxa"/>
          <w:tcBorders>
            <w:top w:val="single" w:sz="4" w:space="0" w:color="auto"/>
          </w:tcBorders>
          <w:shd w:val="clear" w:color="auto" w:fill="auto"/>
        </w:tcPr>
        <w:p w14:paraId="3E5456FD" w14:textId="77777777" w:rsidR="001054C3" w:rsidRDefault="001054C3" w:rsidP="001054C3">
          <w:pPr>
            <w:pStyle w:val="Footer"/>
            <w:jc w:val="right"/>
          </w:pPr>
          <w:r>
            <w:t>Overview</w:t>
          </w:r>
        </w:p>
      </w:tc>
      <w:tc>
        <w:tcPr>
          <w:tcW w:w="510" w:type="dxa"/>
          <w:tcBorders>
            <w:top w:val="single" w:sz="4" w:space="0" w:color="auto"/>
          </w:tcBorders>
          <w:shd w:val="clear" w:color="auto" w:fill="auto"/>
        </w:tcPr>
        <w:p w14:paraId="4499FA08" w14:textId="77777777" w:rsidR="001054C3" w:rsidRPr="001054C3" w:rsidRDefault="001054C3" w:rsidP="001054C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79</w:t>
          </w:r>
          <w:r>
            <w:rPr>
              <w:rStyle w:val="PageNumber"/>
            </w:rPr>
            <w:fldChar w:fldCharType="end"/>
          </w:r>
        </w:p>
      </w:tc>
    </w:tr>
  </w:tbl>
  <w:p w14:paraId="15F611E3" w14:textId="77777777" w:rsidR="001054C3" w:rsidRPr="001054C3" w:rsidRDefault="001054C3" w:rsidP="001054C3">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054C3" w14:paraId="1853424D" w14:textId="77777777" w:rsidTr="001054C3">
      <w:trPr>
        <w:trHeight w:val="567"/>
      </w:trPr>
      <w:tc>
        <w:tcPr>
          <w:tcW w:w="510" w:type="dxa"/>
          <w:tcBorders>
            <w:top w:val="single" w:sz="4" w:space="0" w:color="auto"/>
          </w:tcBorders>
          <w:shd w:val="clear" w:color="auto" w:fill="auto"/>
        </w:tcPr>
        <w:p w14:paraId="43ED4743" w14:textId="77777777" w:rsidR="001054C3" w:rsidRPr="001054C3" w:rsidRDefault="001054C3" w:rsidP="001054C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78</w:t>
          </w:r>
          <w:r>
            <w:rPr>
              <w:rStyle w:val="PageNumber"/>
            </w:rPr>
            <w:fldChar w:fldCharType="end"/>
          </w:r>
        </w:p>
      </w:tc>
      <w:tc>
        <w:tcPr>
          <w:tcW w:w="7767" w:type="dxa"/>
          <w:tcBorders>
            <w:top w:val="single" w:sz="4" w:space="0" w:color="auto"/>
          </w:tcBorders>
          <w:shd w:val="clear" w:color="auto" w:fill="auto"/>
        </w:tcPr>
        <w:p w14:paraId="00D3C0CB" w14:textId="77777777" w:rsidR="001054C3" w:rsidRDefault="001054C3" w:rsidP="001054C3">
          <w:pPr>
            <w:pStyle w:val="Footer"/>
          </w:pPr>
          <w:r>
            <w:t>NATIONAL WATER REFORM 2020</w:t>
          </w:r>
        </w:p>
      </w:tc>
      <w:tc>
        <w:tcPr>
          <w:tcW w:w="510" w:type="dxa"/>
          <w:tcBorders>
            <w:top w:val="single" w:sz="4" w:space="0" w:color="auto"/>
          </w:tcBorders>
          <w:shd w:val="clear" w:color="auto" w:fill="auto"/>
        </w:tcPr>
        <w:p w14:paraId="5697CAFD" w14:textId="77777777" w:rsidR="001054C3" w:rsidRDefault="001054C3" w:rsidP="001054C3">
          <w:pPr>
            <w:pStyle w:val="Footer"/>
          </w:pPr>
        </w:p>
      </w:tc>
    </w:tr>
  </w:tbl>
  <w:p w14:paraId="4D23429D" w14:textId="77777777" w:rsidR="00772909" w:rsidRPr="001054C3" w:rsidRDefault="00772909" w:rsidP="001054C3">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1FA52" w14:textId="77777777" w:rsidR="007F5C1C" w:rsidRDefault="007F5C1C">
      <w:r>
        <w:separator/>
      </w:r>
    </w:p>
  </w:footnote>
  <w:footnote w:type="continuationSeparator" w:id="0">
    <w:p w14:paraId="51794730" w14:textId="77777777" w:rsidR="007F5C1C" w:rsidRDefault="007F5C1C">
      <w:r>
        <w:continuationSeparator/>
      </w:r>
    </w:p>
  </w:footnote>
  <w:footnote w:type="continuationNotice" w:id="1">
    <w:p w14:paraId="685154AF" w14:textId="77777777" w:rsidR="007F5C1C" w:rsidRDefault="007F5C1C"/>
  </w:footnote>
  <w:footnote w:id="2">
    <w:p w14:paraId="0604087C" w14:textId="77777777" w:rsidR="001054C3" w:rsidRDefault="001054C3" w:rsidP="00234FBE">
      <w:pPr>
        <w:pStyle w:val="FootnoteText"/>
      </w:pPr>
      <w:r>
        <w:rPr>
          <w:rStyle w:val="FootnoteReference"/>
        </w:rPr>
        <w:footnoteRef/>
      </w:r>
      <w:r>
        <w:tab/>
        <w:t>The full assessment report and more extensive supporting papers that underlie the report’s chapters are available at www.</w:t>
      </w:r>
      <w:r w:rsidRPr="00FC7BF1">
        <w:t>pc.gov.au/inquiries/</w:t>
      </w:r>
      <w:r>
        <w:t>completed</w:t>
      </w:r>
      <w:r w:rsidRPr="00FC7BF1">
        <w:t>/water-reform-2020</w:t>
      </w:r>
      <w:r>
        <w:t>.</w:t>
      </w:r>
    </w:p>
  </w:footnote>
  <w:footnote w:id="3">
    <w:p w14:paraId="63C62DF9" w14:textId="77777777" w:rsidR="001054C3" w:rsidRPr="00A43715" w:rsidRDefault="001054C3" w:rsidP="00234FBE">
      <w:pPr>
        <w:pStyle w:val="FootnoteText"/>
        <w:rPr>
          <w:b/>
          <w:color w:val="000000" w:themeColor="text1"/>
        </w:rPr>
      </w:pPr>
      <w:r w:rsidRPr="00CE01ED">
        <w:rPr>
          <w:rStyle w:val="FootnoteReference"/>
        </w:rPr>
        <w:footnoteRef/>
      </w:r>
      <w:r>
        <w:tab/>
        <w:t>T</w:t>
      </w:r>
      <w:r w:rsidRPr="00732E19">
        <w:t>he terms</w:t>
      </w:r>
      <w:r>
        <w:t xml:space="preserve"> of reference</w:t>
      </w:r>
      <w:r w:rsidRPr="00732E19">
        <w:t xml:space="preserve"> </w:t>
      </w:r>
      <w:r>
        <w:t xml:space="preserve">are </w:t>
      </w:r>
      <w:r>
        <w:rPr>
          <w:color w:val="000000" w:themeColor="text1"/>
        </w:rPr>
        <w:t>presented in</w:t>
      </w:r>
      <w:r w:rsidRPr="00A43715">
        <w:rPr>
          <w:color w:val="000000" w:themeColor="text1"/>
        </w:rPr>
        <w:t xml:space="preserve"> </w:t>
      </w:r>
      <w:r>
        <w:rPr>
          <w:color w:val="000000" w:themeColor="text1"/>
        </w:rPr>
        <w:t>appendix A</w:t>
      </w:r>
      <w:r w:rsidRPr="00A43715">
        <w:rPr>
          <w:color w:val="000000" w:themeColor="text1"/>
        </w:rPr>
        <w:t>.</w:t>
      </w:r>
    </w:p>
  </w:footnote>
  <w:footnote w:id="4">
    <w:p w14:paraId="44DE9AC0" w14:textId="77777777" w:rsidR="001054C3" w:rsidRDefault="001054C3">
      <w:pPr>
        <w:pStyle w:val="FootnoteText"/>
      </w:pPr>
      <w:r>
        <w:rPr>
          <w:rStyle w:val="FootnoteReference"/>
        </w:rPr>
        <w:footnoteRef/>
      </w:r>
      <w:r>
        <w:tab/>
        <w:t>While not all submissions have been cited, this is not a reflection on the quality of those not referenced but because their content was outside the Commission’s scope of reference. In particular, quite a few submissions commented on issues specific to the Murray–Darling Basin, for example, calculation of an Environmentally Sustainable Level of Take or solutions for restoring balance in the Basin by transferral of water from rivers including the Burdekin and Herbert in Queensland.</w:t>
      </w:r>
    </w:p>
  </w:footnote>
  <w:footnote w:id="5">
    <w:p w14:paraId="2AE383CE" w14:textId="77777777" w:rsidR="001054C3" w:rsidRDefault="001054C3">
      <w:pPr>
        <w:pStyle w:val="FootnoteText"/>
      </w:pPr>
      <w:r>
        <w:rPr>
          <w:rStyle w:val="FootnoteReference"/>
        </w:rPr>
        <w:footnoteRef/>
      </w:r>
      <w:r>
        <w:tab/>
        <w:t>NWI paragraph 23</w:t>
      </w:r>
    </w:p>
  </w:footnote>
  <w:footnote w:id="6">
    <w:p w14:paraId="75443752" w14:textId="656F0C76" w:rsidR="001054C3" w:rsidRDefault="001054C3">
      <w:pPr>
        <w:pStyle w:val="FootnoteText"/>
      </w:pPr>
      <w:r>
        <w:rPr>
          <w:rStyle w:val="FootnoteReference"/>
        </w:rPr>
        <w:footnoteRef/>
      </w:r>
      <w:r>
        <w:tab/>
        <w:t>NWI paragraph 69</w:t>
      </w:r>
      <w:r w:rsidR="00C210B0">
        <w:t>.</w:t>
      </w:r>
    </w:p>
  </w:footnote>
  <w:footnote w:id="7">
    <w:p w14:paraId="550B3B8D" w14:textId="77777777" w:rsidR="001054C3" w:rsidRDefault="001054C3" w:rsidP="00234FBE">
      <w:pPr>
        <w:pStyle w:val="FootnoteText"/>
      </w:pPr>
      <w:r>
        <w:rPr>
          <w:rStyle w:val="FootnoteReference"/>
        </w:rPr>
        <w:footnoteRef/>
      </w:r>
      <w:r>
        <w:t xml:space="preserve"> </w:t>
      </w:r>
      <w:r w:rsidRPr="00853FF0">
        <w:tab/>
        <w:t>Katherine Council weather station (014902)</w:t>
      </w:r>
      <w:r>
        <w:t>.</w:t>
      </w:r>
    </w:p>
  </w:footnote>
  <w:footnote w:id="8">
    <w:p w14:paraId="2AF86651" w14:textId="77777777" w:rsidR="001054C3" w:rsidRDefault="001054C3" w:rsidP="00234FBE">
      <w:pPr>
        <w:pStyle w:val="FootnoteText"/>
      </w:pPr>
      <w:r>
        <w:rPr>
          <w:rStyle w:val="FootnoteReference"/>
        </w:rPr>
        <w:footnoteRef/>
      </w:r>
      <w:r>
        <w:t xml:space="preserve"> </w:t>
      </w:r>
      <w:r w:rsidRPr="00853FF0">
        <w:tab/>
        <w:t>Darwin Airport weather station (014015)</w:t>
      </w:r>
      <w:r>
        <w:t>.</w:t>
      </w:r>
    </w:p>
  </w:footnote>
  <w:footnote w:id="9">
    <w:p w14:paraId="1679FFF4" w14:textId="0D3EEA9C" w:rsidR="001054C3" w:rsidRDefault="001054C3" w:rsidP="00234FBE">
      <w:pPr>
        <w:pStyle w:val="FootnoteText"/>
      </w:pPr>
      <w:r w:rsidRPr="002162AF">
        <w:rPr>
          <w:rStyle w:val="FootnoteReference"/>
        </w:rPr>
        <w:footnoteRef/>
      </w:r>
      <w:r>
        <w:tab/>
        <w:t xml:space="preserve">Much of this section draws on information published in </w:t>
      </w:r>
      <w:r w:rsidRPr="003C5215">
        <w:rPr>
          <w:i/>
        </w:rPr>
        <w:t>State of the Climate</w:t>
      </w:r>
      <w:r>
        <w:t xml:space="preserve"> </w:t>
      </w:r>
      <w:r w:rsidRPr="007514ED">
        <w:rPr>
          <w:szCs w:val="24"/>
        </w:rPr>
        <w:t>(BOM and CSIRO 2020)</w:t>
      </w:r>
      <w:r>
        <w:t>.</w:t>
      </w:r>
    </w:p>
  </w:footnote>
  <w:footnote w:id="10">
    <w:p w14:paraId="615CF4E7" w14:textId="77777777" w:rsidR="001054C3" w:rsidRDefault="001054C3">
      <w:pPr>
        <w:pStyle w:val="FootnoteText"/>
      </w:pPr>
      <w:r>
        <w:rPr>
          <w:rStyle w:val="FootnoteReference"/>
        </w:rPr>
        <w:footnoteRef/>
      </w:r>
      <w:r>
        <w:tab/>
        <w:t>Population growth has been rebased from 30 June 2017 (used in the original 2017 to 2066 ABS population projections) to 30 June 2020.</w:t>
      </w:r>
    </w:p>
  </w:footnote>
  <w:footnote w:id="11">
    <w:p w14:paraId="462C23C6" w14:textId="77777777" w:rsidR="001054C3" w:rsidRDefault="001054C3">
      <w:pPr>
        <w:pStyle w:val="FootnoteText"/>
      </w:pPr>
      <w:r>
        <w:rPr>
          <w:rStyle w:val="FootnoteReference"/>
        </w:rPr>
        <w:footnoteRef/>
      </w:r>
      <w:r>
        <w:tab/>
        <w:t>Suggestions for changes came, for example, from Lifeblood Alliance (sub. DR133), North Queensland Conservation Council (sub. DR157), Leeton Shire Council (sub. DR175) and the Murray Lower Darling Rivers Indigenous Nations (sub. DR185).</w:t>
      </w:r>
    </w:p>
  </w:footnote>
  <w:footnote w:id="12">
    <w:p w14:paraId="26654550" w14:textId="77777777" w:rsidR="001054C3" w:rsidRDefault="001054C3">
      <w:pPr>
        <w:pStyle w:val="FootnoteText"/>
      </w:pPr>
      <w:r>
        <w:rPr>
          <w:rStyle w:val="FootnoteReference"/>
        </w:rPr>
        <w:footnoteRef/>
      </w:r>
      <w:r>
        <w:tab/>
        <w:t>Feedback on the principles was received from the Inland Rivers Network (sub. DR136), the Public Interest Advocacy Centre (sub. DR156) and the National Farmers Federation (sub. DR178).</w:t>
      </w:r>
    </w:p>
  </w:footnote>
  <w:footnote w:id="13">
    <w:p w14:paraId="1620D47F" w14:textId="77777777" w:rsidR="001054C3" w:rsidRPr="000B073E" w:rsidRDefault="001054C3" w:rsidP="00234FBE">
      <w:pPr>
        <w:pStyle w:val="FootnoteText"/>
        <w:rPr>
          <w:lang w:val="en-GB"/>
        </w:rPr>
      </w:pPr>
      <w:r>
        <w:rPr>
          <w:rStyle w:val="FootnoteReference"/>
        </w:rPr>
        <w:footnoteRef/>
      </w:r>
      <w:r>
        <w:tab/>
      </w:r>
      <w:r w:rsidRPr="00A343F0">
        <w:rPr>
          <w:i/>
          <w:iCs/>
        </w:rPr>
        <w:t>Water Act 2007</w:t>
      </w:r>
      <w:r>
        <w:t xml:space="preserve"> (Cth), s. 88(2).</w:t>
      </w:r>
    </w:p>
  </w:footnote>
  <w:footnote w:id="14">
    <w:p w14:paraId="0484DC17" w14:textId="77777777" w:rsidR="001054C3" w:rsidRPr="0076664D" w:rsidRDefault="001054C3" w:rsidP="00234FBE">
      <w:pPr>
        <w:pStyle w:val="FootnoteText"/>
        <w:rPr>
          <w:lang w:val="en-GB"/>
        </w:rPr>
      </w:pPr>
      <w:r>
        <w:rPr>
          <w:rStyle w:val="FootnoteReference"/>
        </w:rPr>
        <w:footnoteRef/>
      </w:r>
      <w:r>
        <w:tab/>
      </w:r>
      <w:r w:rsidRPr="00A343F0">
        <w:rPr>
          <w:i/>
          <w:iCs/>
        </w:rPr>
        <w:t>Water Act 2007</w:t>
      </w:r>
      <w:r>
        <w:t xml:space="preserve"> (Cth), s. 88(3)(b).</w:t>
      </w:r>
    </w:p>
  </w:footnote>
  <w:footnote w:id="15">
    <w:p w14:paraId="77FC0A8F" w14:textId="77777777" w:rsidR="001054C3" w:rsidRDefault="001054C3">
      <w:pPr>
        <w:pStyle w:val="FootnoteText"/>
      </w:pPr>
      <w:r>
        <w:rPr>
          <w:rStyle w:val="FootnoteReference"/>
        </w:rPr>
        <w:footnoteRef/>
      </w:r>
      <w:r>
        <w:tab/>
        <w:t>NWI paragraph 38.</w:t>
      </w:r>
    </w:p>
  </w:footnote>
  <w:footnote w:id="16">
    <w:p w14:paraId="1B2E1699" w14:textId="77777777" w:rsidR="001054C3" w:rsidRDefault="001054C3" w:rsidP="00234FBE">
      <w:pPr>
        <w:pStyle w:val="FootnoteText"/>
      </w:pPr>
      <w:r w:rsidRPr="002E108D">
        <w:rPr>
          <w:rStyle w:val="FootnoteReference"/>
        </w:rPr>
        <w:footnoteRef/>
      </w:r>
      <w:r>
        <w:tab/>
        <w:t>NWI paragraph 33(i).</w:t>
      </w:r>
    </w:p>
  </w:footnote>
  <w:footnote w:id="17">
    <w:p w14:paraId="5225AECB" w14:textId="77777777" w:rsidR="001054C3" w:rsidRDefault="001054C3" w:rsidP="00234FBE">
      <w:pPr>
        <w:pStyle w:val="FootnoteText"/>
      </w:pPr>
      <w:r w:rsidRPr="002E108D">
        <w:rPr>
          <w:rStyle w:val="FootnoteReference"/>
        </w:rPr>
        <w:footnoteRef/>
      </w:r>
      <w:r>
        <w:tab/>
        <w:t>NWI paragraph 33(ii).</w:t>
      </w:r>
    </w:p>
  </w:footnote>
  <w:footnote w:id="18">
    <w:p w14:paraId="0AAF78F7" w14:textId="77777777" w:rsidR="001054C3" w:rsidRDefault="001054C3" w:rsidP="00234FBE">
      <w:pPr>
        <w:pStyle w:val="FootnoteText"/>
      </w:pPr>
      <w:r w:rsidRPr="00310F08">
        <w:rPr>
          <w:rStyle w:val="FootnoteReference"/>
        </w:rPr>
        <w:footnoteRef/>
      </w:r>
      <w:r>
        <w:tab/>
        <w:t>NWI paragraph 34.</w:t>
      </w:r>
    </w:p>
  </w:footnote>
  <w:footnote w:id="19">
    <w:p w14:paraId="08C05FB2" w14:textId="77777777" w:rsidR="001054C3" w:rsidRDefault="001054C3" w:rsidP="00234FBE">
      <w:pPr>
        <w:pStyle w:val="FootnoteText"/>
      </w:pPr>
      <w:r>
        <w:rPr>
          <w:rStyle w:val="FootnoteReference"/>
        </w:rPr>
        <w:footnoteRef/>
      </w:r>
      <w:r>
        <w:tab/>
        <w:t>G</w:t>
      </w:r>
      <w:r w:rsidRPr="00CA3A9D">
        <w:t>roundwater taken or interfered with in the course of mining activity</w:t>
      </w:r>
      <w:r>
        <w:t>.</w:t>
      </w:r>
    </w:p>
  </w:footnote>
  <w:footnote w:id="20">
    <w:p w14:paraId="5723D979" w14:textId="77777777" w:rsidR="001054C3" w:rsidRDefault="001054C3" w:rsidP="00234FBE">
      <w:pPr>
        <w:pStyle w:val="FootnoteText"/>
      </w:pPr>
      <w:r w:rsidRPr="00310F08">
        <w:rPr>
          <w:rStyle w:val="FootnoteReference"/>
        </w:rPr>
        <w:footnoteRef/>
      </w:r>
      <w:r>
        <w:tab/>
        <w:t>NWI paragraph 38.</w:t>
      </w:r>
    </w:p>
  </w:footnote>
  <w:footnote w:id="21">
    <w:p w14:paraId="155ADE70" w14:textId="77777777" w:rsidR="001054C3" w:rsidRPr="0013328D" w:rsidRDefault="001054C3">
      <w:pPr>
        <w:pStyle w:val="FootnoteText"/>
        <w:rPr>
          <w:lang w:val="en-GB"/>
        </w:rPr>
      </w:pPr>
      <w:r w:rsidRPr="00FB548A">
        <w:rPr>
          <w:rStyle w:val="FootnoteReference"/>
        </w:rPr>
        <w:footnoteRef/>
      </w:r>
      <w:r>
        <w:tab/>
        <w:t>NWI paragraph 58(ii).</w:t>
      </w:r>
    </w:p>
  </w:footnote>
  <w:footnote w:id="22">
    <w:p w14:paraId="5A141C3E" w14:textId="77777777" w:rsidR="001054C3" w:rsidRDefault="001054C3" w:rsidP="00234FBE">
      <w:pPr>
        <w:pStyle w:val="FootnoteText"/>
      </w:pPr>
      <w:r w:rsidRPr="00813988">
        <w:rPr>
          <w:rStyle w:val="FootnoteReference"/>
        </w:rPr>
        <w:footnoteRef/>
      </w:r>
      <w:r>
        <w:tab/>
      </w:r>
      <w:r w:rsidRPr="00F31F52">
        <w:t xml:space="preserve">Western Australia </w:t>
      </w:r>
      <w:r>
        <w:t>employs</w:t>
      </w:r>
      <w:r w:rsidRPr="00F31F52">
        <w:t xml:space="preserve"> water allocation plans and extraction limits, </w:t>
      </w:r>
      <w:r>
        <w:t xml:space="preserve">but </w:t>
      </w:r>
      <w:r w:rsidRPr="00F31F52">
        <w:t xml:space="preserve">the lack of statutory backing of these arrangements makes </w:t>
      </w:r>
      <w:r>
        <w:t xml:space="preserve">environmental </w:t>
      </w:r>
      <w:r w:rsidRPr="00F31F52">
        <w:t>provisions less secure.</w:t>
      </w:r>
    </w:p>
  </w:footnote>
  <w:footnote w:id="23">
    <w:p w14:paraId="508C6125" w14:textId="77777777" w:rsidR="001054C3" w:rsidRDefault="001054C3" w:rsidP="00234FBE">
      <w:pPr>
        <w:pStyle w:val="FootnoteText"/>
      </w:pPr>
      <w:r>
        <w:rPr>
          <w:rStyle w:val="FootnoteReference"/>
        </w:rPr>
        <w:footnoteRef/>
      </w:r>
      <w:r>
        <w:tab/>
        <w:t>Benefits may not always be widespread, for example at the systems level.</w:t>
      </w:r>
    </w:p>
  </w:footnote>
  <w:footnote w:id="24">
    <w:p w14:paraId="3477B47D" w14:textId="77777777" w:rsidR="001054C3" w:rsidRDefault="001054C3" w:rsidP="00234FBE">
      <w:pPr>
        <w:pStyle w:val="FootnoteText"/>
      </w:pPr>
      <w:r w:rsidRPr="00CB190C">
        <w:rPr>
          <w:rStyle w:val="FootnoteReference"/>
        </w:rPr>
        <w:footnoteRef/>
      </w:r>
      <w:r>
        <w:t xml:space="preserve"> </w:t>
      </w:r>
      <w:r>
        <w:tab/>
      </w:r>
      <w:r w:rsidRPr="0091651C">
        <w:t>NWI paragraph 80.</w:t>
      </w:r>
    </w:p>
  </w:footnote>
  <w:footnote w:id="25">
    <w:p w14:paraId="6F53F666" w14:textId="18B4D1A2" w:rsidR="001054C3" w:rsidRPr="005E6410" w:rsidRDefault="001054C3" w:rsidP="00234FBE">
      <w:pPr>
        <w:pStyle w:val="FootnoteText"/>
        <w:rPr>
          <w:lang w:val="en-GB"/>
        </w:rPr>
      </w:pPr>
      <w:r w:rsidRPr="00CB190C">
        <w:rPr>
          <w:rStyle w:val="FootnoteReference"/>
        </w:rPr>
        <w:footnoteRef/>
      </w:r>
      <w:r>
        <w:tab/>
      </w:r>
      <w:bookmarkStart w:id="142" w:name="_Hlk59177451"/>
      <w:r>
        <w:t xml:space="preserve">The 2017 review into compliance found that Victoria and South Australia had strong compliance systems and cultures in place with the main issues being an inadequate suite of penalties and sanctions and an ageing meter fleet respectively </w:t>
      </w:r>
      <w:r w:rsidRPr="00245C24">
        <w:rPr>
          <w:szCs w:val="24"/>
        </w:rPr>
        <w:t>(MDBA 2017, pp. 12–13)</w:t>
      </w:r>
      <w:r>
        <w:t>.</w:t>
      </w:r>
    </w:p>
    <w:bookmarkEnd w:id="142"/>
  </w:footnote>
  <w:footnote w:id="26">
    <w:p w14:paraId="0320A2D7" w14:textId="236D4CB5" w:rsidR="001054C3" w:rsidRDefault="001054C3" w:rsidP="00234FBE">
      <w:pPr>
        <w:pStyle w:val="FootnoteText"/>
      </w:pPr>
      <w:r w:rsidRPr="00CB190C">
        <w:rPr>
          <w:rStyle w:val="FootnoteReference"/>
        </w:rPr>
        <w:footnoteRef/>
      </w:r>
      <w:r>
        <w:tab/>
        <w:t>ICAC (NSW) </w:t>
      </w:r>
      <w:r w:rsidRPr="0033119A">
        <w:t>(2020)</w:t>
      </w:r>
      <w:r w:rsidRPr="00304E9E">
        <w:rPr>
          <w:szCs w:val="24"/>
        </w:rPr>
        <w:t xml:space="preserve">; </w:t>
      </w:r>
      <w:r>
        <w:rPr>
          <w:szCs w:val="24"/>
        </w:rPr>
        <w:t>Matthews </w:t>
      </w:r>
      <w:r w:rsidRPr="00975999">
        <w:t>(2017)</w:t>
      </w:r>
      <w:r w:rsidRPr="00304E9E">
        <w:rPr>
          <w:szCs w:val="24"/>
        </w:rPr>
        <w:t xml:space="preserve">; </w:t>
      </w:r>
      <w:r>
        <w:rPr>
          <w:szCs w:val="24"/>
        </w:rPr>
        <w:t>MDBA </w:t>
      </w:r>
      <w:r w:rsidRPr="007630FC">
        <w:t>(2017)</w:t>
      </w:r>
      <w:r w:rsidRPr="00304E9E">
        <w:rPr>
          <w:szCs w:val="24"/>
        </w:rPr>
        <w:t xml:space="preserve">; </w:t>
      </w:r>
      <w:r>
        <w:rPr>
          <w:szCs w:val="24"/>
        </w:rPr>
        <w:t>NSW Ombudsman </w:t>
      </w:r>
      <w:r w:rsidRPr="00125CAC">
        <w:t>(2017)</w:t>
      </w:r>
      <w:r w:rsidRPr="00304E9E">
        <w:rPr>
          <w:szCs w:val="24"/>
        </w:rPr>
        <w:t xml:space="preserve">; </w:t>
      </w:r>
      <w:r>
        <w:rPr>
          <w:szCs w:val="24"/>
        </w:rPr>
        <w:t>SA Government </w:t>
      </w:r>
      <w:r w:rsidRPr="00942AD9">
        <w:t>(2019)</w:t>
      </w:r>
      <w:r w:rsidRPr="00304E9E">
        <w:rPr>
          <w:szCs w:val="24"/>
        </w:rPr>
        <w:t>; Waldron, Tan and Johnson </w:t>
      </w:r>
      <w:r w:rsidRPr="00F72B7F">
        <w:t>(2018)</w:t>
      </w:r>
      <w:r>
        <w:rPr>
          <w:szCs w:val="24"/>
        </w:rPr>
        <w:t>.</w:t>
      </w:r>
    </w:p>
  </w:footnote>
  <w:footnote w:id="27">
    <w:p w14:paraId="1613C848" w14:textId="77777777" w:rsidR="001054C3" w:rsidRDefault="001054C3" w:rsidP="00234FBE">
      <w:pPr>
        <w:pStyle w:val="FootnoteText"/>
      </w:pPr>
      <w:r w:rsidRPr="00CB190C">
        <w:rPr>
          <w:rStyle w:val="FootnoteReference"/>
        </w:rPr>
        <w:footnoteRef/>
      </w:r>
      <w:r>
        <w:tab/>
        <w:t>Measurement is given effect through the use of meters to assess the volume of water taken from surface water or groundwater resources and estimates of the water taken when metering is not practical, such as interception of water through farm dams, forestry or floodplain harvesting.</w:t>
      </w:r>
    </w:p>
  </w:footnote>
  <w:footnote w:id="28">
    <w:p w14:paraId="0FF73227" w14:textId="49470B0B" w:rsidR="001054C3" w:rsidRPr="00431D61" w:rsidRDefault="001054C3" w:rsidP="00234FBE">
      <w:pPr>
        <w:pStyle w:val="FootnoteText"/>
        <w:rPr>
          <w:spacing w:val="-2"/>
          <w:lang w:val="en-GB"/>
        </w:rPr>
      </w:pPr>
      <w:r w:rsidRPr="00CB190C">
        <w:rPr>
          <w:rStyle w:val="FootnoteReference"/>
        </w:rPr>
        <w:footnoteRef/>
      </w:r>
      <w:r>
        <w:tab/>
      </w:r>
      <w:r w:rsidRPr="00431D61">
        <w:rPr>
          <w:spacing w:val="-2"/>
        </w:rPr>
        <w:t xml:space="preserve">Under the </w:t>
      </w:r>
      <w:r w:rsidRPr="00431D61">
        <w:rPr>
          <w:i/>
          <w:iCs/>
          <w:spacing w:val="-2"/>
        </w:rPr>
        <w:t>Rights in Water and Irrigation (Approved Meters) Order 2009</w:t>
      </w:r>
      <w:r w:rsidRPr="00431D61">
        <w:rPr>
          <w:spacing w:val="-2"/>
        </w:rPr>
        <w:t xml:space="preserve">, s.3, the Department of Water does not advise on selection of a preferred type, make, model or water meter manufacturer. Selection of a water meter is based on a ‘fit for purpose’ rule considering the local water and environmental considerations, cost effectiveness, maintenance and system operating requirements </w:t>
      </w:r>
      <w:r w:rsidRPr="00431D61">
        <w:rPr>
          <w:spacing w:val="-2"/>
          <w:szCs w:val="24"/>
        </w:rPr>
        <w:t>(Government of Western Australia 2009, p. 4)</w:t>
      </w:r>
      <w:r w:rsidRPr="00431D61">
        <w:rPr>
          <w:spacing w:val="-2"/>
        </w:rPr>
        <w:t>.</w:t>
      </w:r>
    </w:p>
  </w:footnote>
  <w:footnote w:id="29">
    <w:p w14:paraId="194BAAEF" w14:textId="77777777" w:rsidR="001054C3" w:rsidRPr="00A9059E" w:rsidRDefault="001054C3">
      <w:pPr>
        <w:pStyle w:val="FootnoteText"/>
      </w:pPr>
      <w:r>
        <w:rPr>
          <w:rStyle w:val="FootnoteReference"/>
        </w:rPr>
        <w:footnoteRef/>
      </w:r>
      <w:r>
        <w:tab/>
        <w:t xml:space="preserve">Capital expenditure, water supply and wastewater (indicators F14 and F15) reported in Part B of the </w:t>
      </w:r>
      <w:r>
        <w:rPr>
          <w:i/>
          <w:iCs/>
        </w:rPr>
        <w:t>National Performance Report 2019</w:t>
      </w:r>
      <w:r>
        <w:rPr>
          <w:i/>
          <w:iCs/>
        </w:rPr>
        <w:noBreakHyphen/>
        <w:t>20: urban water utilities</w:t>
      </w:r>
      <w:r>
        <w:t>, excluding bulk water providers and utilities serving fewer than 10 000 connections.</w:t>
      </w:r>
    </w:p>
  </w:footnote>
  <w:footnote w:id="30">
    <w:p w14:paraId="06E93F1C" w14:textId="77777777" w:rsidR="001054C3" w:rsidRDefault="001054C3">
      <w:pPr>
        <w:pStyle w:val="FootnoteText"/>
      </w:pPr>
      <w:r>
        <w:rPr>
          <w:rStyle w:val="FootnoteReference"/>
        </w:rPr>
        <w:footnoteRef/>
      </w:r>
      <w:r>
        <w:tab/>
        <w:t>Written</w:t>
      </w:r>
      <w:r>
        <w:noBreakHyphen/>
        <w:t>down replacement cost of water supply and wastewater assets (indicators F9 and F10) reported in Part B of the National Performance Report, excluding bulk water providers and utilities serving fewer than 10 000 connections.</w:t>
      </w:r>
    </w:p>
  </w:footnote>
  <w:footnote w:id="31">
    <w:p w14:paraId="3D26D60F" w14:textId="77777777" w:rsidR="001054C3" w:rsidRDefault="001054C3" w:rsidP="00234FBE">
      <w:pPr>
        <w:pStyle w:val="FootnoteText"/>
      </w:pPr>
      <w:r>
        <w:rPr>
          <w:rStyle w:val="FootnoteReference"/>
        </w:rPr>
        <w:footnoteRef/>
      </w:r>
      <w:r>
        <w:tab/>
        <w:t>Except in some cross</w:t>
      </w:r>
      <w:r>
        <w:noBreakHyphen/>
        <w:t>jurisdictional systems: for example, operation of the River Murray system is undertaken by the Murray–Darling Basin Authority (a statutory Australian Government agency) on behalf of New South Wales, Victoria and South Australia.</w:t>
      </w:r>
    </w:p>
  </w:footnote>
  <w:footnote w:id="32">
    <w:p w14:paraId="15EEE2D5" w14:textId="09C46D72" w:rsidR="001054C3" w:rsidRPr="006368BE" w:rsidRDefault="001054C3">
      <w:pPr>
        <w:pStyle w:val="FootnoteText"/>
      </w:pPr>
      <w:r>
        <w:rPr>
          <w:rStyle w:val="FootnoteReference"/>
        </w:rPr>
        <w:footnoteRef/>
      </w:r>
      <w:r>
        <w:tab/>
        <w:t xml:space="preserve">Chapters 7 and 8 of the Commission’s 2017 </w:t>
      </w:r>
      <w:r>
        <w:rPr>
          <w:i/>
          <w:iCs/>
        </w:rPr>
        <w:t xml:space="preserve">National Water Reform </w:t>
      </w:r>
      <w:r>
        <w:t xml:space="preserve">inquiry provide more context on the history of reform in the urban and rural water sectors, respectively </w:t>
      </w:r>
      <w:r w:rsidR="00C67DB3" w:rsidRPr="00C67DB3">
        <w:rPr>
          <w:szCs w:val="24"/>
        </w:rPr>
        <w:t>(PC 2017b)</w:t>
      </w:r>
      <w:r>
        <w:t>.</w:t>
      </w:r>
    </w:p>
  </w:footnote>
  <w:footnote w:id="33">
    <w:p w14:paraId="0880AFA4" w14:textId="77777777" w:rsidR="001054C3" w:rsidRDefault="001054C3">
      <w:pPr>
        <w:pStyle w:val="FootnoteText"/>
      </w:pPr>
      <w:r>
        <w:rPr>
          <w:rStyle w:val="FootnoteReference"/>
        </w:rPr>
        <w:footnoteRef/>
      </w:r>
      <w:r>
        <w:tab/>
        <w:t>NWI paragraph 64.</w:t>
      </w:r>
    </w:p>
  </w:footnote>
  <w:footnote w:id="34">
    <w:p w14:paraId="4BDEEB23" w14:textId="77777777" w:rsidR="001054C3" w:rsidRDefault="001054C3">
      <w:pPr>
        <w:pStyle w:val="FootnoteText"/>
      </w:pPr>
      <w:r>
        <w:rPr>
          <w:rStyle w:val="FootnoteReference"/>
        </w:rPr>
        <w:footnoteRef/>
      </w:r>
      <w:r>
        <w:tab/>
        <w:t>NWI paragraph 90.</w:t>
      </w:r>
    </w:p>
  </w:footnote>
  <w:footnote w:id="35">
    <w:p w14:paraId="41EF7F46" w14:textId="77777777" w:rsidR="001054C3" w:rsidRDefault="001054C3">
      <w:pPr>
        <w:pStyle w:val="FootnoteText"/>
      </w:pPr>
      <w:r>
        <w:rPr>
          <w:rStyle w:val="FootnoteReference"/>
        </w:rPr>
        <w:footnoteRef/>
      </w:r>
      <w:r>
        <w:tab/>
        <w:t>NWI paragraph 77.</w:t>
      </w:r>
    </w:p>
  </w:footnote>
  <w:footnote w:id="36">
    <w:p w14:paraId="1BF266F1" w14:textId="77777777" w:rsidR="001054C3" w:rsidRDefault="001054C3" w:rsidP="00234FBE">
      <w:pPr>
        <w:pStyle w:val="FootnoteText"/>
      </w:pPr>
      <w:r>
        <w:rPr>
          <w:rStyle w:val="FootnoteReference"/>
        </w:rPr>
        <w:footnoteRef/>
      </w:r>
      <w:r>
        <w:tab/>
        <w:t>NWI paragraph 69.</w:t>
      </w:r>
    </w:p>
  </w:footnote>
  <w:footnote w:id="37">
    <w:p w14:paraId="3D63DC1B" w14:textId="77777777" w:rsidR="001054C3" w:rsidRDefault="001054C3">
      <w:pPr>
        <w:pStyle w:val="FootnoteText"/>
      </w:pPr>
      <w:r>
        <w:rPr>
          <w:rStyle w:val="FootnoteReference"/>
        </w:rPr>
        <w:footnoteRef/>
      </w:r>
      <w:r>
        <w:tab/>
        <w:t>NWI paragraph 77.</w:t>
      </w:r>
    </w:p>
  </w:footnote>
  <w:footnote w:id="38">
    <w:p w14:paraId="3AFFC642" w14:textId="77777777" w:rsidR="001054C3" w:rsidRDefault="001054C3" w:rsidP="00234FBE">
      <w:pPr>
        <w:pStyle w:val="FootnoteText"/>
      </w:pPr>
      <w:r w:rsidRPr="004174C6">
        <w:rPr>
          <w:rStyle w:val="FootnoteReference"/>
        </w:rPr>
        <w:footnoteRef/>
      </w:r>
      <w:r>
        <w:tab/>
        <w:t>NWI paragraph 77(i).</w:t>
      </w:r>
    </w:p>
  </w:footnote>
  <w:footnote w:id="39">
    <w:p w14:paraId="0165B2A3" w14:textId="77777777" w:rsidR="001054C3" w:rsidRDefault="001054C3" w:rsidP="00234FBE">
      <w:pPr>
        <w:pStyle w:val="FootnoteText"/>
      </w:pPr>
      <w:r>
        <w:rPr>
          <w:rStyle w:val="FootnoteReference"/>
        </w:rPr>
        <w:footnoteRef/>
      </w:r>
      <w:r>
        <w:tab/>
        <w:t>National monitoring and reporting of rural service providers was required under the NWI, but was later discontinued as the costs were considered to outweigh the benefits.</w:t>
      </w:r>
    </w:p>
  </w:footnote>
  <w:footnote w:id="40">
    <w:p w14:paraId="3582D6D4" w14:textId="77777777" w:rsidR="001054C3" w:rsidRDefault="001054C3">
      <w:pPr>
        <w:pStyle w:val="FootnoteText"/>
      </w:pPr>
      <w:r w:rsidRPr="00754F34">
        <w:rPr>
          <w:rStyle w:val="FootnoteReference"/>
        </w:rPr>
        <w:footnoteRef/>
      </w:r>
      <w:r>
        <w:tab/>
        <w:t>NWI paragraph 48.</w:t>
      </w:r>
    </w:p>
  </w:footnote>
  <w:footnote w:id="41">
    <w:p w14:paraId="77786505" w14:textId="77777777" w:rsidR="001054C3" w:rsidRDefault="001054C3">
      <w:pPr>
        <w:pStyle w:val="FootnoteText"/>
      </w:pPr>
      <w:r w:rsidRPr="00754F34">
        <w:rPr>
          <w:rStyle w:val="FootnoteReference"/>
        </w:rPr>
        <w:footnoteRef/>
      </w:r>
      <w:r>
        <w:tab/>
        <w:t>NWI paragraph 97.</w:t>
      </w:r>
    </w:p>
  </w:footnote>
  <w:footnote w:id="42">
    <w:p w14:paraId="60C86C99" w14:textId="77777777" w:rsidR="001054C3" w:rsidRDefault="001054C3" w:rsidP="00234FBE">
      <w:pPr>
        <w:pStyle w:val="FootnoteText"/>
      </w:pPr>
      <w:r>
        <w:rPr>
          <w:rStyle w:val="FootnoteReference"/>
        </w:rPr>
        <w:footnoteRef/>
      </w:r>
      <w:r>
        <w:tab/>
        <w:t>NWI paragraph 69.</w:t>
      </w:r>
    </w:p>
  </w:footnote>
  <w:footnote w:id="43">
    <w:p w14:paraId="03FB061F" w14:textId="4922D6AC" w:rsidR="001054C3" w:rsidRDefault="001054C3">
      <w:pPr>
        <w:pStyle w:val="FootnoteText"/>
      </w:pPr>
      <w:r>
        <w:rPr>
          <w:rStyle w:val="FootnoteReference"/>
        </w:rPr>
        <w:footnoteRef/>
      </w:r>
      <w:r>
        <w:tab/>
        <w:t>Rookwood Weir is co</w:t>
      </w:r>
      <w:r>
        <w:noBreakHyphen/>
        <w:t xml:space="preserve">funded by the Australian and Queensland Governments, while Stage 2 of the </w:t>
      </w:r>
      <w:r w:rsidRPr="00733528">
        <w:rPr>
          <w:spacing w:val="-2"/>
        </w:rPr>
        <w:t xml:space="preserve">Haughton Pipeline is funded by the Queensland Government </w:t>
      </w:r>
      <w:r w:rsidRPr="00733528">
        <w:rPr>
          <w:spacing w:val="-2"/>
          <w:szCs w:val="24"/>
        </w:rPr>
        <w:t>(NWGA 2021b; Townsville City Council 2021)</w:t>
      </w:r>
      <w:r w:rsidRPr="00733528">
        <w:rPr>
          <w:spacing w:val="-2"/>
        </w:rPr>
        <w:t>.</w:t>
      </w:r>
    </w:p>
  </w:footnote>
  <w:footnote w:id="44">
    <w:p w14:paraId="50269340" w14:textId="5295B27C" w:rsidR="001054C3" w:rsidRDefault="001054C3">
      <w:pPr>
        <w:pStyle w:val="FootnoteText"/>
      </w:pPr>
      <w:r>
        <w:rPr>
          <w:rStyle w:val="FootnoteReference"/>
        </w:rPr>
        <w:footnoteRef/>
      </w:r>
      <w:r>
        <w:tab/>
        <w:t xml:space="preserve">As of March 2021, the NWGA now publishes a summary table of project progress, including the status and expected timing of business cases and environmental approvals </w:t>
      </w:r>
      <w:r w:rsidRPr="00E80D75">
        <w:rPr>
          <w:szCs w:val="24"/>
        </w:rPr>
        <w:t>(NWGA 2021a)</w:t>
      </w:r>
      <w:r>
        <w:t>.</w:t>
      </w:r>
    </w:p>
  </w:footnote>
  <w:footnote w:id="45">
    <w:p w14:paraId="72EBDCBB" w14:textId="332DF7D8" w:rsidR="001054C3" w:rsidRDefault="001054C3">
      <w:pPr>
        <w:pStyle w:val="FootnoteText"/>
      </w:pPr>
      <w:r>
        <w:rPr>
          <w:rStyle w:val="FootnoteReference"/>
        </w:rPr>
        <w:footnoteRef/>
      </w:r>
      <w:r>
        <w:tab/>
        <w:t xml:space="preserve">Although both the Australian and New South Wales Governments have publicly committed to the project, the funding </w:t>
      </w:r>
      <w:r w:rsidRPr="003F4E8A">
        <w:t xml:space="preserve">agreement between the governments includes a ‘pause point’ </w:t>
      </w:r>
      <w:r>
        <w:t>that</w:t>
      </w:r>
      <w:r w:rsidRPr="003F4E8A">
        <w:t xml:space="preserve"> allow</w:t>
      </w:r>
      <w:r>
        <w:t>s</w:t>
      </w:r>
      <w:r w:rsidRPr="003F4E8A">
        <w:t xml:space="preserve"> the Australian Government to reassess its funding contributions following the outcomes of the final business case </w:t>
      </w:r>
      <w:r w:rsidRPr="001E017E">
        <w:rPr>
          <w:szCs w:val="24"/>
        </w:rPr>
        <w:t>(RRATLC 2021, pp. 47–48)</w:t>
      </w:r>
      <w:r w:rsidRPr="003F4E8A">
        <w:t>.</w:t>
      </w:r>
    </w:p>
  </w:footnote>
  <w:footnote w:id="46">
    <w:p w14:paraId="5D7FF402" w14:textId="1B9D6103" w:rsidR="001054C3" w:rsidRDefault="001054C3" w:rsidP="00234FBE">
      <w:pPr>
        <w:pStyle w:val="FootnoteText"/>
      </w:pPr>
      <w:r w:rsidRPr="00CD4CBE">
        <w:rPr>
          <w:rStyle w:val="FootnoteReference"/>
        </w:rPr>
        <w:footnoteRef/>
      </w:r>
      <w:r>
        <w:tab/>
        <w:t xml:space="preserve">For example, in 2017 the Commission noted that 85–90 per cent of the water made available by the construction of Paradise Dam had not yet been sold to users </w:t>
      </w:r>
      <w:r w:rsidR="00C67DB3" w:rsidRPr="00C67DB3">
        <w:rPr>
          <w:szCs w:val="24"/>
        </w:rPr>
        <w:t>(PC 2017b, p. 275)</w:t>
      </w:r>
      <w:r>
        <w:t xml:space="preserve">. As of May 2020, 80 per cent of the Paradise Dam entitlements still remained unsold </w:t>
      </w:r>
      <w:r w:rsidRPr="00ED1844">
        <w:rPr>
          <w:szCs w:val="24"/>
        </w:rPr>
        <w:t>(SunWater 2020, p. 9)</w:t>
      </w:r>
      <w:r>
        <w:t xml:space="preserve">. </w:t>
      </w:r>
    </w:p>
  </w:footnote>
  <w:footnote w:id="47">
    <w:p w14:paraId="10C0D728" w14:textId="77777777" w:rsidR="001054C3" w:rsidRDefault="001054C3" w:rsidP="00234FBE">
      <w:pPr>
        <w:pStyle w:val="FootnoteText"/>
      </w:pPr>
      <w:r>
        <w:rPr>
          <w:rStyle w:val="FootnoteReference"/>
        </w:rPr>
        <w:footnoteRef/>
      </w:r>
      <w:r>
        <w:tab/>
        <w:t xml:space="preserve">LBA, sub. DR133, p. 16; NLC, sub. DR134, p. 28; IRN, sub. DR136, pp. 12–13; NSW Government, sub. DR138, pp. 16–17; LGNSW, sub. DR147, p. 10; NQCC, sub. DR157, p. 3; MLDRIN, sub. DR185, pp 6–8; VicWater, sub. DR191, p. 2. </w:t>
      </w:r>
    </w:p>
  </w:footnote>
  <w:footnote w:id="48">
    <w:p w14:paraId="510AD89F" w14:textId="77777777" w:rsidR="001054C3" w:rsidRDefault="001054C3" w:rsidP="00234FBE">
      <w:pPr>
        <w:pStyle w:val="FootnoteText"/>
      </w:pPr>
      <w:r w:rsidRPr="00CD4CBE">
        <w:rPr>
          <w:rStyle w:val="FootnoteReference"/>
        </w:rPr>
        <w:footnoteRef/>
      </w:r>
      <w:r>
        <w:tab/>
        <w:t>Economic viability requires a benefit–cost ratio exceeding one, as determined by the business case, whereas commercial viability is determined by whether infrastructure users are willing (and able) to pay the full costs of infrastructure construction and maintenance — simply put, whether the benefits that accrue to infrastructure users are sufficient for them to fund the project without a subsidy, in which case a commercially</w:t>
      </w:r>
      <w:r>
        <w:noBreakHyphen/>
        <w:t>focused service provider would have incentive to provide the infrastructure.</w:t>
      </w:r>
    </w:p>
  </w:footnote>
  <w:footnote w:id="49">
    <w:p w14:paraId="2825235B" w14:textId="1726EE19" w:rsidR="001054C3" w:rsidRPr="00552F81" w:rsidRDefault="001054C3" w:rsidP="00234FBE">
      <w:pPr>
        <w:pStyle w:val="FootnoteText"/>
      </w:pPr>
      <w:r w:rsidRPr="00CD4CBE">
        <w:rPr>
          <w:rStyle w:val="FootnoteReference"/>
        </w:rPr>
        <w:footnoteRef/>
      </w:r>
      <w:r>
        <w:tab/>
        <w:t xml:space="preserve">The Australian Government has some responsibilities for major developments under the </w:t>
      </w:r>
      <w:r w:rsidRPr="00552F81">
        <w:rPr>
          <w:i/>
        </w:rPr>
        <w:t>Environment Protection and Biodiversity Conservation Act 1999</w:t>
      </w:r>
      <w:r>
        <w:t xml:space="preserve"> (Cth), although the Australian Government is negotiating ‘a</w:t>
      </w:r>
      <w:r w:rsidRPr="006A2BA4">
        <w:t>pproval bilateral agreements</w:t>
      </w:r>
      <w:r>
        <w:t xml:space="preserve">’ with State and Territory Governments to allow them to make approvals over certain matters of national environmental significance </w:t>
      </w:r>
      <w:r w:rsidRPr="009E7D5D">
        <w:rPr>
          <w:szCs w:val="24"/>
        </w:rPr>
        <w:t>(DAWE 2021)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8C565C" w14:paraId="31188A63" w14:textId="77777777">
      <w:tc>
        <w:tcPr>
          <w:tcW w:w="2155" w:type="dxa"/>
          <w:tcBorders>
            <w:top w:val="single" w:sz="24" w:space="0" w:color="auto"/>
          </w:tcBorders>
        </w:tcPr>
        <w:p w14:paraId="0E899F90" w14:textId="77777777" w:rsidR="008C565C" w:rsidRDefault="008C565C">
          <w:pPr>
            <w:pStyle w:val="Header"/>
          </w:pPr>
        </w:p>
      </w:tc>
      <w:tc>
        <w:tcPr>
          <w:tcW w:w="6634" w:type="dxa"/>
          <w:tcBorders>
            <w:top w:val="single" w:sz="6" w:space="0" w:color="auto"/>
          </w:tcBorders>
        </w:tcPr>
        <w:p w14:paraId="50BB00BF" w14:textId="77777777" w:rsidR="008C565C" w:rsidRDefault="008C565C">
          <w:pPr>
            <w:pStyle w:val="Header"/>
          </w:pPr>
        </w:p>
      </w:tc>
    </w:tr>
  </w:tbl>
  <w:p w14:paraId="1581BA21" w14:textId="77777777" w:rsidR="008C565C" w:rsidRDefault="008C565C">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3218106C" w14:textId="77777777" w:rsidTr="001054C3">
      <w:trPr>
        <w:trHeight w:val="300"/>
      </w:trPr>
      <w:tc>
        <w:tcPr>
          <w:tcW w:w="6633" w:type="dxa"/>
          <w:tcBorders>
            <w:top w:val="single" w:sz="6" w:space="0" w:color="auto"/>
          </w:tcBorders>
          <w:shd w:val="clear" w:color="auto" w:fill="auto"/>
        </w:tcPr>
        <w:p w14:paraId="3C01FDC9" w14:textId="77777777" w:rsidR="001054C3" w:rsidRDefault="001054C3" w:rsidP="001054C3">
          <w:pPr>
            <w:pStyle w:val="HeaderOdd"/>
          </w:pPr>
        </w:p>
      </w:tc>
      <w:tc>
        <w:tcPr>
          <w:tcW w:w="2154" w:type="dxa"/>
          <w:tcBorders>
            <w:top w:val="single" w:sz="24" w:space="0" w:color="auto"/>
          </w:tcBorders>
          <w:shd w:val="clear" w:color="auto" w:fill="auto"/>
        </w:tcPr>
        <w:p w14:paraId="3371DC2A" w14:textId="77777777" w:rsidR="001054C3" w:rsidRDefault="001054C3" w:rsidP="001054C3">
          <w:pPr>
            <w:pStyle w:val="HeaderOdd"/>
          </w:pPr>
        </w:p>
      </w:tc>
    </w:tr>
  </w:tbl>
  <w:p w14:paraId="603ADEEB" w14:textId="77777777" w:rsidR="00772909" w:rsidRPr="001054C3" w:rsidRDefault="00772909" w:rsidP="001054C3">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5FE1FFEB" w14:textId="77777777" w:rsidTr="001054C3">
      <w:trPr>
        <w:trHeight w:val="300"/>
      </w:trPr>
      <w:tc>
        <w:tcPr>
          <w:tcW w:w="2154" w:type="dxa"/>
          <w:tcBorders>
            <w:top w:val="single" w:sz="24" w:space="0" w:color="auto"/>
          </w:tcBorders>
          <w:shd w:val="clear" w:color="auto" w:fill="auto"/>
        </w:tcPr>
        <w:p w14:paraId="0A066BA1" w14:textId="77777777" w:rsidR="001054C3" w:rsidRDefault="001054C3" w:rsidP="001054C3">
          <w:pPr>
            <w:pStyle w:val="HeaderEven"/>
          </w:pPr>
        </w:p>
      </w:tc>
      <w:tc>
        <w:tcPr>
          <w:tcW w:w="6633" w:type="dxa"/>
          <w:tcBorders>
            <w:top w:val="single" w:sz="6" w:space="0" w:color="auto"/>
          </w:tcBorders>
          <w:shd w:val="clear" w:color="auto" w:fill="auto"/>
        </w:tcPr>
        <w:p w14:paraId="335BB2AA" w14:textId="77777777" w:rsidR="001054C3" w:rsidRDefault="001054C3" w:rsidP="001054C3">
          <w:pPr>
            <w:pStyle w:val="HeaderEven"/>
          </w:pPr>
        </w:p>
      </w:tc>
    </w:tr>
  </w:tbl>
  <w:p w14:paraId="7C23C43E" w14:textId="77777777" w:rsidR="001054C3" w:rsidRPr="001054C3" w:rsidRDefault="001054C3" w:rsidP="001054C3">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133048C1" w14:textId="77777777" w:rsidTr="001054C3">
      <w:trPr>
        <w:trHeight w:val="300"/>
      </w:trPr>
      <w:tc>
        <w:tcPr>
          <w:tcW w:w="6633" w:type="dxa"/>
          <w:tcBorders>
            <w:top w:val="single" w:sz="6" w:space="0" w:color="auto"/>
          </w:tcBorders>
          <w:shd w:val="clear" w:color="auto" w:fill="auto"/>
        </w:tcPr>
        <w:p w14:paraId="5B0F6DDF" w14:textId="77777777" w:rsidR="001054C3" w:rsidRDefault="001054C3" w:rsidP="001054C3">
          <w:pPr>
            <w:pStyle w:val="HeaderOdd"/>
          </w:pPr>
        </w:p>
      </w:tc>
      <w:tc>
        <w:tcPr>
          <w:tcW w:w="2154" w:type="dxa"/>
          <w:tcBorders>
            <w:top w:val="single" w:sz="24" w:space="0" w:color="auto"/>
          </w:tcBorders>
          <w:shd w:val="clear" w:color="auto" w:fill="auto"/>
        </w:tcPr>
        <w:p w14:paraId="79F6FC0C" w14:textId="77777777" w:rsidR="001054C3" w:rsidRDefault="001054C3" w:rsidP="001054C3">
          <w:pPr>
            <w:pStyle w:val="HeaderOdd"/>
          </w:pPr>
        </w:p>
      </w:tc>
    </w:tr>
  </w:tbl>
  <w:p w14:paraId="3E63D946" w14:textId="77777777" w:rsidR="001054C3" w:rsidRPr="001054C3" w:rsidRDefault="001054C3" w:rsidP="001054C3">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49BDFA40" w14:textId="77777777" w:rsidTr="001054C3">
      <w:trPr>
        <w:trHeight w:val="300"/>
      </w:trPr>
      <w:tc>
        <w:tcPr>
          <w:tcW w:w="2154" w:type="dxa"/>
          <w:tcBorders>
            <w:top w:val="single" w:sz="24" w:space="0" w:color="auto"/>
          </w:tcBorders>
          <w:shd w:val="clear" w:color="auto" w:fill="auto"/>
        </w:tcPr>
        <w:p w14:paraId="5405C721" w14:textId="77777777" w:rsidR="001054C3" w:rsidRDefault="001054C3" w:rsidP="001054C3">
          <w:pPr>
            <w:pStyle w:val="HeaderEven"/>
          </w:pPr>
        </w:p>
      </w:tc>
      <w:tc>
        <w:tcPr>
          <w:tcW w:w="6633" w:type="dxa"/>
          <w:tcBorders>
            <w:top w:val="single" w:sz="6" w:space="0" w:color="auto"/>
          </w:tcBorders>
          <w:shd w:val="clear" w:color="auto" w:fill="auto"/>
        </w:tcPr>
        <w:p w14:paraId="7CB5139A" w14:textId="77777777" w:rsidR="001054C3" w:rsidRDefault="001054C3" w:rsidP="001054C3">
          <w:pPr>
            <w:pStyle w:val="HeaderEven"/>
          </w:pPr>
        </w:p>
      </w:tc>
    </w:tr>
  </w:tbl>
  <w:p w14:paraId="1836341B" w14:textId="77777777" w:rsidR="001054C3" w:rsidRPr="001054C3" w:rsidRDefault="001054C3" w:rsidP="001054C3">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2259F38D" w14:textId="77777777" w:rsidTr="001054C3">
      <w:trPr>
        <w:trHeight w:val="300"/>
      </w:trPr>
      <w:tc>
        <w:tcPr>
          <w:tcW w:w="6633" w:type="dxa"/>
          <w:tcBorders>
            <w:top w:val="single" w:sz="6" w:space="0" w:color="auto"/>
          </w:tcBorders>
          <w:shd w:val="clear" w:color="auto" w:fill="auto"/>
        </w:tcPr>
        <w:p w14:paraId="421D7ACD" w14:textId="77777777" w:rsidR="001054C3" w:rsidRDefault="001054C3" w:rsidP="001054C3">
          <w:pPr>
            <w:pStyle w:val="HeaderOdd"/>
          </w:pPr>
        </w:p>
      </w:tc>
      <w:tc>
        <w:tcPr>
          <w:tcW w:w="2154" w:type="dxa"/>
          <w:tcBorders>
            <w:top w:val="single" w:sz="24" w:space="0" w:color="auto"/>
          </w:tcBorders>
          <w:shd w:val="clear" w:color="auto" w:fill="auto"/>
        </w:tcPr>
        <w:p w14:paraId="7FFCDA91" w14:textId="77777777" w:rsidR="001054C3" w:rsidRDefault="001054C3" w:rsidP="001054C3">
          <w:pPr>
            <w:pStyle w:val="HeaderOdd"/>
          </w:pPr>
        </w:p>
      </w:tc>
    </w:tr>
  </w:tbl>
  <w:p w14:paraId="6FE119E6" w14:textId="77777777" w:rsidR="001054C3" w:rsidRPr="001054C3" w:rsidRDefault="001054C3" w:rsidP="001054C3">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5987997E" w14:textId="77777777" w:rsidTr="001054C3">
      <w:trPr>
        <w:trHeight w:val="300"/>
      </w:trPr>
      <w:tc>
        <w:tcPr>
          <w:tcW w:w="2154" w:type="dxa"/>
          <w:tcBorders>
            <w:top w:val="single" w:sz="24" w:space="0" w:color="auto"/>
          </w:tcBorders>
          <w:shd w:val="clear" w:color="auto" w:fill="auto"/>
        </w:tcPr>
        <w:p w14:paraId="395C8940" w14:textId="77777777" w:rsidR="001054C3" w:rsidRDefault="001054C3" w:rsidP="001054C3">
          <w:pPr>
            <w:pStyle w:val="HeaderEven"/>
          </w:pPr>
        </w:p>
      </w:tc>
      <w:tc>
        <w:tcPr>
          <w:tcW w:w="6633" w:type="dxa"/>
          <w:tcBorders>
            <w:top w:val="single" w:sz="6" w:space="0" w:color="auto"/>
          </w:tcBorders>
          <w:shd w:val="clear" w:color="auto" w:fill="auto"/>
        </w:tcPr>
        <w:p w14:paraId="2E0A3B09" w14:textId="77777777" w:rsidR="001054C3" w:rsidRDefault="001054C3" w:rsidP="001054C3">
          <w:pPr>
            <w:pStyle w:val="HeaderEven"/>
          </w:pPr>
        </w:p>
      </w:tc>
    </w:tr>
  </w:tbl>
  <w:p w14:paraId="42184CB7" w14:textId="77777777" w:rsidR="001054C3" w:rsidRPr="001054C3" w:rsidRDefault="001054C3" w:rsidP="001054C3">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20118AB0" w14:textId="77777777" w:rsidTr="001054C3">
      <w:trPr>
        <w:trHeight w:val="300"/>
      </w:trPr>
      <w:tc>
        <w:tcPr>
          <w:tcW w:w="6633" w:type="dxa"/>
          <w:tcBorders>
            <w:top w:val="single" w:sz="6" w:space="0" w:color="auto"/>
          </w:tcBorders>
          <w:shd w:val="clear" w:color="auto" w:fill="auto"/>
        </w:tcPr>
        <w:p w14:paraId="7E453ED3" w14:textId="77777777" w:rsidR="001054C3" w:rsidRDefault="001054C3" w:rsidP="001054C3">
          <w:pPr>
            <w:pStyle w:val="HeaderOdd"/>
          </w:pPr>
        </w:p>
      </w:tc>
      <w:tc>
        <w:tcPr>
          <w:tcW w:w="2154" w:type="dxa"/>
          <w:tcBorders>
            <w:top w:val="single" w:sz="24" w:space="0" w:color="auto"/>
          </w:tcBorders>
          <w:shd w:val="clear" w:color="auto" w:fill="auto"/>
        </w:tcPr>
        <w:p w14:paraId="41882C1F" w14:textId="77777777" w:rsidR="001054C3" w:rsidRDefault="001054C3" w:rsidP="001054C3">
          <w:pPr>
            <w:pStyle w:val="HeaderOdd"/>
          </w:pPr>
        </w:p>
      </w:tc>
    </w:tr>
  </w:tbl>
  <w:p w14:paraId="5C024B37" w14:textId="77777777" w:rsidR="001054C3" w:rsidRPr="001054C3" w:rsidRDefault="001054C3" w:rsidP="001054C3">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06A6090B" w14:textId="77777777" w:rsidTr="001054C3">
      <w:trPr>
        <w:trHeight w:val="300"/>
      </w:trPr>
      <w:tc>
        <w:tcPr>
          <w:tcW w:w="2154" w:type="dxa"/>
          <w:tcBorders>
            <w:top w:val="single" w:sz="24" w:space="0" w:color="auto"/>
          </w:tcBorders>
          <w:shd w:val="clear" w:color="auto" w:fill="auto"/>
        </w:tcPr>
        <w:p w14:paraId="27AEFE0F" w14:textId="77777777" w:rsidR="001054C3" w:rsidRDefault="001054C3" w:rsidP="001054C3">
          <w:pPr>
            <w:pStyle w:val="HeaderEven"/>
          </w:pPr>
        </w:p>
      </w:tc>
      <w:tc>
        <w:tcPr>
          <w:tcW w:w="6633" w:type="dxa"/>
          <w:tcBorders>
            <w:top w:val="single" w:sz="6" w:space="0" w:color="auto"/>
          </w:tcBorders>
          <w:shd w:val="clear" w:color="auto" w:fill="auto"/>
        </w:tcPr>
        <w:p w14:paraId="7F554E33" w14:textId="77777777" w:rsidR="001054C3" w:rsidRDefault="001054C3" w:rsidP="001054C3">
          <w:pPr>
            <w:pStyle w:val="HeaderEven"/>
          </w:pPr>
        </w:p>
      </w:tc>
    </w:tr>
  </w:tbl>
  <w:p w14:paraId="2AB5B10E" w14:textId="77777777" w:rsidR="001054C3" w:rsidRPr="001054C3" w:rsidRDefault="001054C3" w:rsidP="001054C3">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60CE01FE" w14:textId="77777777" w:rsidTr="001054C3">
      <w:trPr>
        <w:trHeight w:val="300"/>
      </w:trPr>
      <w:tc>
        <w:tcPr>
          <w:tcW w:w="6633" w:type="dxa"/>
          <w:tcBorders>
            <w:top w:val="single" w:sz="6" w:space="0" w:color="auto"/>
          </w:tcBorders>
          <w:shd w:val="clear" w:color="auto" w:fill="auto"/>
        </w:tcPr>
        <w:p w14:paraId="61EAE3C3" w14:textId="77777777" w:rsidR="001054C3" w:rsidRDefault="001054C3" w:rsidP="001054C3">
          <w:pPr>
            <w:pStyle w:val="HeaderOdd"/>
          </w:pPr>
        </w:p>
      </w:tc>
      <w:tc>
        <w:tcPr>
          <w:tcW w:w="2154" w:type="dxa"/>
          <w:tcBorders>
            <w:top w:val="single" w:sz="24" w:space="0" w:color="auto"/>
          </w:tcBorders>
          <w:shd w:val="clear" w:color="auto" w:fill="auto"/>
        </w:tcPr>
        <w:p w14:paraId="0B308E41" w14:textId="77777777" w:rsidR="001054C3" w:rsidRDefault="001054C3" w:rsidP="001054C3">
          <w:pPr>
            <w:pStyle w:val="HeaderOdd"/>
          </w:pPr>
        </w:p>
      </w:tc>
    </w:tr>
  </w:tbl>
  <w:p w14:paraId="5A2F57D2" w14:textId="77777777" w:rsidR="001054C3" w:rsidRPr="001054C3" w:rsidRDefault="001054C3" w:rsidP="001054C3">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4B4341C2" w14:textId="77777777" w:rsidTr="001054C3">
      <w:trPr>
        <w:trHeight w:val="300"/>
      </w:trPr>
      <w:tc>
        <w:tcPr>
          <w:tcW w:w="2154" w:type="dxa"/>
          <w:tcBorders>
            <w:top w:val="single" w:sz="24" w:space="0" w:color="auto"/>
          </w:tcBorders>
          <w:shd w:val="clear" w:color="auto" w:fill="auto"/>
        </w:tcPr>
        <w:p w14:paraId="774E59DF" w14:textId="77777777" w:rsidR="001054C3" w:rsidRDefault="001054C3" w:rsidP="001054C3">
          <w:pPr>
            <w:pStyle w:val="HeaderEven"/>
          </w:pPr>
        </w:p>
      </w:tc>
      <w:tc>
        <w:tcPr>
          <w:tcW w:w="6633" w:type="dxa"/>
          <w:tcBorders>
            <w:top w:val="single" w:sz="6" w:space="0" w:color="auto"/>
          </w:tcBorders>
          <w:shd w:val="clear" w:color="auto" w:fill="auto"/>
        </w:tcPr>
        <w:p w14:paraId="13DAC84F" w14:textId="77777777" w:rsidR="001054C3" w:rsidRDefault="001054C3" w:rsidP="001054C3">
          <w:pPr>
            <w:pStyle w:val="HeaderEven"/>
          </w:pPr>
        </w:p>
      </w:tc>
    </w:tr>
  </w:tbl>
  <w:p w14:paraId="6E3E9F1E" w14:textId="77777777" w:rsidR="001054C3" w:rsidRPr="001054C3" w:rsidRDefault="001054C3" w:rsidP="001054C3">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C565C" w14:paraId="2CF0A147" w14:textId="77777777" w:rsidTr="005C68FE">
      <w:tc>
        <w:tcPr>
          <w:tcW w:w="6634" w:type="dxa"/>
          <w:tcBorders>
            <w:top w:val="single" w:sz="6" w:space="0" w:color="auto"/>
          </w:tcBorders>
        </w:tcPr>
        <w:p w14:paraId="006EA82C" w14:textId="77777777" w:rsidR="008C565C" w:rsidRDefault="008C565C" w:rsidP="005C68FE">
          <w:pPr>
            <w:pStyle w:val="HeaderOdd"/>
          </w:pPr>
        </w:p>
      </w:tc>
      <w:tc>
        <w:tcPr>
          <w:tcW w:w="2155" w:type="dxa"/>
          <w:tcBorders>
            <w:top w:val="single" w:sz="24" w:space="0" w:color="auto"/>
          </w:tcBorders>
        </w:tcPr>
        <w:p w14:paraId="3036448D" w14:textId="77777777" w:rsidR="008C565C" w:rsidRDefault="008C565C" w:rsidP="005C68FE">
          <w:pPr>
            <w:pStyle w:val="HeaderOdd"/>
          </w:pPr>
        </w:p>
      </w:tc>
    </w:tr>
  </w:tbl>
  <w:p w14:paraId="2667EDC9" w14:textId="77777777" w:rsidR="008C565C" w:rsidRPr="005C68FE" w:rsidRDefault="008C565C" w:rsidP="005C68FE">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2C601B0B" w14:textId="77777777" w:rsidTr="001054C3">
      <w:trPr>
        <w:trHeight w:val="300"/>
      </w:trPr>
      <w:tc>
        <w:tcPr>
          <w:tcW w:w="6633" w:type="dxa"/>
          <w:tcBorders>
            <w:top w:val="single" w:sz="6" w:space="0" w:color="auto"/>
          </w:tcBorders>
          <w:shd w:val="clear" w:color="auto" w:fill="auto"/>
        </w:tcPr>
        <w:p w14:paraId="72C888BA" w14:textId="77777777" w:rsidR="001054C3" w:rsidRDefault="001054C3" w:rsidP="001054C3">
          <w:pPr>
            <w:pStyle w:val="HeaderOdd"/>
          </w:pPr>
        </w:p>
      </w:tc>
      <w:tc>
        <w:tcPr>
          <w:tcW w:w="2154" w:type="dxa"/>
          <w:tcBorders>
            <w:top w:val="single" w:sz="24" w:space="0" w:color="auto"/>
          </w:tcBorders>
          <w:shd w:val="clear" w:color="auto" w:fill="auto"/>
        </w:tcPr>
        <w:p w14:paraId="12323D23" w14:textId="77777777" w:rsidR="001054C3" w:rsidRDefault="001054C3" w:rsidP="001054C3">
          <w:pPr>
            <w:pStyle w:val="HeaderOdd"/>
          </w:pPr>
        </w:p>
      </w:tc>
    </w:tr>
  </w:tbl>
  <w:p w14:paraId="7DFA38BA" w14:textId="77777777" w:rsidR="001054C3" w:rsidRPr="001054C3" w:rsidRDefault="001054C3" w:rsidP="001054C3">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1D4DCB01" w14:textId="77777777" w:rsidTr="001054C3">
      <w:trPr>
        <w:trHeight w:val="300"/>
      </w:trPr>
      <w:tc>
        <w:tcPr>
          <w:tcW w:w="2154" w:type="dxa"/>
          <w:tcBorders>
            <w:top w:val="single" w:sz="24" w:space="0" w:color="auto"/>
          </w:tcBorders>
          <w:shd w:val="clear" w:color="auto" w:fill="auto"/>
        </w:tcPr>
        <w:p w14:paraId="37C540A1" w14:textId="77777777" w:rsidR="001054C3" w:rsidRDefault="001054C3" w:rsidP="001054C3">
          <w:pPr>
            <w:pStyle w:val="HeaderEven"/>
          </w:pPr>
        </w:p>
      </w:tc>
      <w:tc>
        <w:tcPr>
          <w:tcW w:w="6633" w:type="dxa"/>
          <w:tcBorders>
            <w:top w:val="single" w:sz="6" w:space="0" w:color="auto"/>
          </w:tcBorders>
          <w:shd w:val="clear" w:color="auto" w:fill="auto"/>
        </w:tcPr>
        <w:p w14:paraId="254D3097" w14:textId="77777777" w:rsidR="001054C3" w:rsidRDefault="001054C3" w:rsidP="001054C3">
          <w:pPr>
            <w:pStyle w:val="HeaderEven"/>
          </w:pPr>
        </w:p>
      </w:tc>
    </w:tr>
  </w:tbl>
  <w:p w14:paraId="4C71970A" w14:textId="77777777" w:rsidR="001054C3" w:rsidRPr="001054C3" w:rsidRDefault="001054C3" w:rsidP="001054C3">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4CDC665E" w14:textId="77777777" w:rsidTr="001054C3">
      <w:trPr>
        <w:trHeight w:val="300"/>
      </w:trPr>
      <w:tc>
        <w:tcPr>
          <w:tcW w:w="6633" w:type="dxa"/>
          <w:tcBorders>
            <w:top w:val="single" w:sz="6" w:space="0" w:color="auto"/>
          </w:tcBorders>
          <w:shd w:val="clear" w:color="auto" w:fill="auto"/>
        </w:tcPr>
        <w:p w14:paraId="1DAB5B4F" w14:textId="77777777" w:rsidR="001054C3" w:rsidRDefault="001054C3" w:rsidP="001054C3">
          <w:pPr>
            <w:pStyle w:val="HeaderOdd"/>
          </w:pPr>
        </w:p>
      </w:tc>
      <w:tc>
        <w:tcPr>
          <w:tcW w:w="2154" w:type="dxa"/>
          <w:tcBorders>
            <w:top w:val="single" w:sz="24" w:space="0" w:color="auto"/>
          </w:tcBorders>
          <w:shd w:val="clear" w:color="auto" w:fill="auto"/>
        </w:tcPr>
        <w:p w14:paraId="51DAAAEF" w14:textId="77777777" w:rsidR="001054C3" w:rsidRDefault="001054C3" w:rsidP="001054C3">
          <w:pPr>
            <w:pStyle w:val="HeaderOdd"/>
          </w:pPr>
        </w:p>
      </w:tc>
    </w:tr>
  </w:tbl>
  <w:p w14:paraId="3E50124B" w14:textId="77777777" w:rsidR="001054C3" w:rsidRPr="001054C3" w:rsidRDefault="001054C3" w:rsidP="001054C3">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093B20A8" w14:textId="77777777" w:rsidTr="001054C3">
      <w:trPr>
        <w:trHeight w:val="300"/>
      </w:trPr>
      <w:tc>
        <w:tcPr>
          <w:tcW w:w="2154" w:type="dxa"/>
          <w:tcBorders>
            <w:top w:val="single" w:sz="24" w:space="0" w:color="auto"/>
          </w:tcBorders>
          <w:shd w:val="clear" w:color="auto" w:fill="auto"/>
        </w:tcPr>
        <w:p w14:paraId="1216C858" w14:textId="77777777" w:rsidR="001054C3" w:rsidRDefault="001054C3" w:rsidP="001054C3">
          <w:pPr>
            <w:pStyle w:val="HeaderEven"/>
          </w:pPr>
        </w:p>
      </w:tc>
      <w:tc>
        <w:tcPr>
          <w:tcW w:w="6633" w:type="dxa"/>
          <w:tcBorders>
            <w:top w:val="single" w:sz="6" w:space="0" w:color="auto"/>
          </w:tcBorders>
          <w:shd w:val="clear" w:color="auto" w:fill="auto"/>
        </w:tcPr>
        <w:p w14:paraId="0F108E98" w14:textId="77777777" w:rsidR="001054C3" w:rsidRDefault="001054C3" w:rsidP="001054C3">
          <w:pPr>
            <w:pStyle w:val="HeaderEven"/>
          </w:pPr>
        </w:p>
      </w:tc>
    </w:tr>
  </w:tbl>
  <w:p w14:paraId="3C6092CA" w14:textId="77777777" w:rsidR="001054C3" w:rsidRPr="001054C3" w:rsidRDefault="001054C3" w:rsidP="001054C3">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115ECCDF" w14:textId="77777777" w:rsidTr="001054C3">
      <w:trPr>
        <w:trHeight w:val="300"/>
      </w:trPr>
      <w:tc>
        <w:tcPr>
          <w:tcW w:w="6633" w:type="dxa"/>
          <w:tcBorders>
            <w:top w:val="single" w:sz="6" w:space="0" w:color="auto"/>
          </w:tcBorders>
          <w:shd w:val="clear" w:color="auto" w:fill="auto"/>
        </w:tcPr>
        <w:p w14:paraId="02945A45" w14:textId="77777777" w:rsidR="001054C3" w:rsidRDefault="001054C3" w:rsidP="001054C3">
          <w:pPr>
            <w:pStyle w:val="HeaderOdd"/>
          </w:pPr>
        </w:p>
      </w:tc>
      <w:tc>
        <w:tcPr>
          <w:tcW w:w="2154" w:type="dxa"/>
          <w:tcBorders>
            <w:top w:val="single" w:sz="24" w:space="0" w:color="auto"/>
          </w:tcBorders>
          <w:shd w:val="clear" w:color="auto" w:fill="auto"/>
        </w:tcPr>
        <w:p w14:paraId="1057BF9E" w14:textId="77777777" w:rsidR="001054C3" w:rsidRDefault="001054C3" w:rsidP="001054C3">
          <w:pPr>
            <w:pStyle w:val="HeaderOdd"/>
          </w:pPr>
        </w:p>
      </w:tc>
    </w:tr>
  </w:tbl>
  <w:p w14:paraId="7CE64187" w14:textId="77777777" w:rsidR="001054C3" w:rsidRPr="001054C3" w:rsidRDefault="001054C3" w:rsidP="001054C3">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06485B3A" w14:textId="77777777" w:rsidTr="001054C3">
      <w:trPr>
        <w:trHeight w:val="300"/>
      </w:trPr>
      <w:tc>
        <w:tcPr>
          <w:tcW w:w="2154" w:type="dxa"/>
          <w:tcBorders>
            <w:top w:val="single" w:sz="24" w:space="0" w:color="auto"/>
          </w:tcBorders>
          <w:shd w:val="clear" w:color="auto" w:fill="auto"/>
        </w:tcPr>
        <w:p w14:paraId="01D6AB4C" w14:textId="77777777" w:rsidR="001054C3" w:rsidRDefault="001054C3" w:rsidP="001054C3">
          <w:pPr>
            <w:pStyle w:val="HeaderEven"/>
          </w:pPr>
        </w:p>
      </w:tc>
      <w:tc>
        <w:tcPr>
          <w:tcW w:w="6633" w:type="dxa"/>
          <w:tcBorders>
            <w:top w:val="single" w:sz="6" w:space="0" w:color="auto"/>
          </w:tcBorders>
          <w:shd w:val="clear" w:color="auto" w:fill="auto"/>
        </w:tcPr>
        <w:p w14:paraId="237623CE" w14:textId="77777777" w:rsidR="001054C3" w:rsidRDefault="001054C3" w:rsidP="001054C3">
          <w:pPr>
            <w:pStyle w:val="HeaderEven"/>
          </w:pPr>
        </w:p>
      </w:tc>
    </w:tr>
  </w:tbl>
  <w:p w14:paraId="20E06BD5" w14:textId="77777777" w:rsidR="001054C3" w:rsidRPr="001054C3" w:rsidRDefault="001054C3" w:rsidP="001054C3">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72D9510F" w14:textId="77777777" w:rsidTr="001054C3">
      <w:trPr>
        <w:trHeight w:val="300"/>
      </w:trPr>
      <w:tc>
        <w:tcPr>
          <w:tcW w:w="6633" w:type="dxa"/>
          <w:tcBorders>
            <w:top w:val="single" w:sz="6" w:space="0" w:color="auto"/>
          </w:tcBorders>
          <w:shd w:val="clear" w:color="auto" w:fill="auto"/>
        </w:tcPr>
        <w:p w14:paraId="6E7D070E" w14:textId="77777777" w:rsidR="001054C3" w:rsidRDefault="001054C3" w:rsidP="001054C3">
          <w:pPr>
            <w:pStyle w:val="HeaderOdd"/>
          </w:pPr>
        </w:p>
      </w:tc>
      <w:tc>
        <w:tcPr>
          <w:tcW w:w="2154" w:type="dxa"/>
          <w:tcBorders>
            <w:top w:val="single" w:sz="24" w:space="0" w:color="auto"/>
          </w:tcBorders>
          <w:shd w:val="clear" w:color="auto" w:fill="auto"/>
        </w:tcPr>
        <w:p w14:paraId="4D849873" w14:textId="77777777" w:rsidR="001054C3" w:rsidRDefault="001054C3" w:rsidP="001054C3">
          <w:pPr>
            <w:pStyle w:val="HeaderOdd"/>
          </w:pPr>
        </w:p>
      </w:tc>
    </w:tr>
  </w:tbl>
  <w:p w14:paraId="1607B220" w14:textId="77777777" w:rsidR="001054C3" w:rsidRPr="001054C3" w:rsidRDefault="001054C3" w:rsidP="001054C3">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5C85B" w14:textId="77777777" w:rsidR="001054C3" w:rsidRPr="001054C3" w:rsidRDefault="001054C3" w:rsidP="001054C3">
    <w:pPr>
      <w:pStyle w:val="Header"/>
      <w:spacing w:line="20"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AC0B7" w14:textId="77777777" w:rsidR="001054C3" w:rsidRPr="001054C3" w:rsidRDefault="001054C3" w:rsidP="001054C3">
    <w:pPr>
      <w:pStyle w:val="Header"/>
      <w:spacing w:line="20"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2BC9D874" w14:textId="77777777" w:rsidTr="001054C3">
      <w:trPr>
        <w:trHeight w:val="300"/>
      </w:trPr>
      <w:tc>
        <w:tcPr>
          <w:tcW w:w="2154" w:type="dxa"/>
          <w:tcBorders>
            <w:top w:val="single" w:sz="24" w:space="0" w:color="auto"/>
          </w:tcBorders>
          <w:shd w:val="clear" w:color="auto" w:fill="auto"/>
        </w:tcPr>
        <w:p w14:paraId="21A4A017" w14:textId="77777777" w:rsidR="001054C3" w:rsidRDefault="001054C3" w:rsidP="001054C3">
          <w:pPr>
            <w:pStyle w:val="HeaderEven"/>
          </w:pPr>
        </w:p>
      </w:tc>
      <w:tc>
        <w:tcPr>
          <w:tcW w:w="6633" w:type="dxa"/>
          <w:tcBorders>
            <w:top w:val="single" w:sz="6" w:space="0" w:color="auto"/>
          </w:tcBorders>
          <w:shd w:val="clear" w:color="auto" w:fill="auto"/>
        </w:tcPr>
        <w:p w14:paraId="439E5258" w14:textId="77777777" w:rsidR="001054C3" w:rsidRDefault="001054C3" w:rsidP="001054C3">
          <w:pPr>
            <w:pStyle w:val="HeaderEven"/>
          </w:pPr>
        </w:p>
      </w:tc>
    </w:tr>
  </w:tbl>
  <w:p w14:paraId="7981B5DA" w14:textId="77777777" w:rsidR="001054C3" w:rsidRPr="001054C3" w:rsidRDefault="001054C3" w:rsidP="001054C3">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8C565C" w14:paraId="3AB3C2C7" w14:textId="77777777">
      <w:tc>
        <w:tcPr>
          <w:tcW w:w="2155" w:type="dxa"/>
          <w:tcBorders>
            <w:top w:val="single" w:sz="24" w:space="0" w:color="auto"/>
          </w:tcBorders>
        </w:tcPr>
        <w:p w14:paraId="6C286339" w14:textId="77777777" w:rsidR="008C565C" w:rsidRDefault="008C565C">
          <w:pPr>
            <w:pStyle w:val="HeaderEven"/>
          </w:pPr>
        </w:p>
      </w:tc>
      <w:tc>
        <w:tcPr>
          <w:tcW w:w="6634" w:type="dxa"/>
          <w:tcBorders>
            <w:top w:val="single" w:sz="6" w:space="0" w:color="auto"/>
          </w:tcBorders>
        </w:tcPr>
        <w:p w14:paraId="647369EE" w14:textId="77777777" w:rsidR="008C565C" w:rsidRDefault="008C565C">
          <w:pPr>
            <w:pStyle w:val="HeaderEven"/>
          </w:pPr>
        </w:p>
      </w:tc>
    </w:tr>
  </w:tbl>
  <w:p w14:paraId="1D4414AD" w14:textId="77777777" w:rsidR="008C565C" w:rsidRDefault="008C565C">
    <w:pPr>
      <w:pStyle w:val="HeaderEnd"/>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1B7DBC1F" w14:textId="77777777" w:rsidTr="001054C3">
      <w:trPr>
        <w:trHeight w:val="300"/>
      </w:trPr>
      <w:tc>
        <w:tcPr>
          <w:tcW w:w="6633" w:type="dxa"/>
          <w:tcBorders>
            <w:top w:val="single" w:sz="6" w:space="0" w:color="auto"/>
          </w:tcBorders>
          <w:shd w:val="clear" w:color="auto" w:fill="auto"/>
        </w:tcPr>
        <w:p w14:paraId="72B08349" w14:textId="77777777" w:rsidR="001054C3" w:rsidRDefault="001054C3" w:rsidP="001054C3">
          <w:pPr>
            <w:pStyle w:val="HeaderOdd"/>
          </w:pPr>
        </w:p>
      </w:tc>
      <w:tc>
        <w:tcPr>
          <w:tcW w:w="2154" w:type="dxa"/>
          <w:tcBorders>
            <w:top w:val="single" w:sz="24" w:space="0" w:color="auto"/>
          </w:tcBorders>
          <w:shd w:val="clear" w:color="auto" w:fill="auto"/>
        </w:tcPr>
        <w:p w14:paraId="78A98C71" w14:textId="77777777" w:rsidR="001054C3" w:rsidRDefault="001054C3" w:rsidP="001054C3">
          <w:pPr>
            <w:pStyle w:val="HeaderOdd"/>
          </w:pPr>
        </w:p>
      </w:tc>
    </w:tr>
  </w:tbl>
  <w:p w14:paraId="41A6A87C" w14:textId="77777777" w:rsidR="001054C3" w:rsidRPr="001054C3" w:rsidRDefault="001054C3" w:rsidP="001054C3">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3436DFE5" w14:textId="77777777" w:rsidTr="001054C3">
      <w:trPr>
        <w:trHeight w:val="300"/>
      </w:trPr>
      <w:tc>
        <w:tcPr>
          <w:tcW w:w="2154" w:type="dxa"/>
          <w:tcBorders>
            <w:top w:val="single" w:sz="24" w:space="0" w:color="auto"/>
          </w:tcBorders>
          <w:shd w:val="clear" w:color="auto" w:fill="auto"/>
        </w:tcPr>
        <w:p w14:paraId="552074F6" w14:textId="77777777" w:rsidR="001054C3" w:rsidRDefault="001054C3" w:rsidP="001054C3">
          <w:pPr>
            <w:pStyle w:val="HeaderEven"/>
          </w:pPr>
        </w:p>
      </w:tc>
      <w:tc>
        <w:tcPr>
          <w:tcW w:w="6633" w:type="dxa"/>
          <w:tcBorders>
            <w:top w:val="single" w:sz="6" w:space="0" w:color="auto"/>
          </w:tcBorders>
          <w:shd w:val="clear" w:color="auto" w:fill="auto"/>
        </w:tcPr>
        <w:p w14:paraId="5933D31D" w14:textId="77777777" w:rsidR="001054C3" w:rsidRDefault="001054C3" w:rsidP="001054C3">
          <w:pPr>
            <w:pStyle w:val="HeaderEven"/>
          </w:pPr>
        </w:p>
      </w:tc>
    </w:tr>
  </w:tbl>
  <w:p w14:paraId="38381E4C" w14:textId="77777777" w:rsidR="001054C3" w:rsidRPr="001054C3" w:rsidRDefault="001054C3" w:rsidP="001054C3">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35C66FE4" w14:textId="77777777" w:rsidTr="001054C3">
      <w:trPr>
        <w:trHeight w:val="300"/>
      </w:trPr>
      <w:tc>
        <w:tcPr>
          <w:tcW w:w="6633" w:type="dxa"/>
          <w:tcBorders>
            <w:top w:val="single" w:sz="6" w:space="0" w:color="auto"/>
          </w:tcBorders>
          <w:shd w:val="clear" w:color="auto" w:fill="auto"/>
        </w:tcPr>
        <w:p w14:paraId="7E21BC1D" w14:textId="77777777" w:rsidR="001054C3" w:rsidRDefault="001054C3" w:rsidP="001054C3">
          <w:pPr>
            <w:pStyle w:val="HeaderOdd"/>
          </w:pPr>
        </w:p>
      </w:tc>
      <w:tc>
        <w:tcPr>
          <w:tcW w:w="2154" w:type="dxa"/>
          <w:tcBorders>
            <w:top w:val="single" w:sz="24" w:space="0" w:color="auto"/>
          </w:tcBorders>
          <w:shd w:val="clear" w:color="auto" w:fill="auto"/>
        </w:tcPr>
        <w:p w14:paraId="6F3A972C" w14:textId="77777777" w:rsidR="001054C3" w:rsidRDefault="001054C3" w:rsidP="001054C3">
          <w:pPr>
            <w:pStyle w:val="HeaderOdd"/>
          </w:pPr>
        </w:p>
      </w:tc>
    </w:tr>
  </w:tbl>
  <w:p w14:paraId="18BF4FE1" w14:textId="77777777" w:rsidR="001054C3" w:rsidRPr="001054C3" w:rsidRDefault="001054C3" w:rsidP="001054C3">
    <w:pPr>
      <w:pStyle w:val="HeaderEnd"/>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374545D2" w14:textId="77777777" w:rsidTr="001054C3">
      <w:trPr>
        <w:trHeight w:val="300"/>
      </w:trPr>
      <w:tc>
        <w:tcPr>
          <w:tcW w:w="2154" w:type="dxa"/>
          <w:tcBorders>
            <w:top w:val="single" w:sz="24" w:space="0" w:color="auto"/>
          </w:tcBorders>
          <w:shd w:val="clear" w:color="auto" w:fill="auto"/>
        </w:tcPr>
        <w:p w14:paraId="4C05916A" w14:textId="77777777" w:rsidR="001054C3" w:rsidRDefault="001054C3" w:rsidP="001054C3">
          <w:pPr>
            <w:pStyle w:val="HeaderEven"/>
          </w:pPr>
        </w:p>
      </w:tc>
      <w:tc>
        <w:tcPr>
          <w:tcW w:w="6633" w:type="dxa"/>
          <w:tcBorders>
            <w:top w:val="single" w:sz="6" w:space="0" w:color="auto"/>
          </w:tcBorders>
          <w:shd w:val="clear" w:color="auto" w:fill="auto"/>
        </w:tcPr>
        <w:p w14:paraId="0CA8800E" w14:textId="77777777" w:rsidR="001054C3" w:rsidRDefault="001054C3" w:rsidP="001054C3">
          <w:pPr>
            <w:pStyle w:val="HeaderEven"/>
          </w:pPr>
        </w:p>
      </w:tc>
    </w:tr>
  </w:tbl>
  <w:p w14:paraId="77944D9F" w14:textId="77777777" w:rsidR="001054C3" w:rsidRPr="001054C3" w:rsidRDefault="001054C3" w:rsidP="001054C3">
    <w:pPr>
      <w:pStyle w:val="HeaderEn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00F07AA2" w14:textId="77777777" w:rsidTr="001054C3">
      <w:trPr>
        <w:trHeight w:val="300"/>
      </w:trPr>
      <w:tc>
        <w:tcPr>
          <w:tcW w:w="6633" w:type="dxa"/>
          <w:tcBorders>
            <w:top w:val="single" w:sz="6" w:space="0" w:color="auto"/>
          </w:tcBorders>
          <w:shd w:val="clear" w:color="auto" w:fill="auto"/>
        </w:tcPr>
        <w:p w14:paraId="4034083D" w14:textId="77777777" w:rsidR="001054C3" w:rsidRDefault="001054C3" w:rsidP="001054C3">
          <w:pPr>
            <w:pStyle w:val="HeaderOdd"/>
          </w:pPr>
        </w:p>
      </w:tc>
      <w:tc>
        <w:tcPr>
          <w:tcW w:w="2154" w:type="dxa"/>
          <w:tcBorders>
            <w:top w:val="single" w:sz="24" w:space="0" w:color="auto"/>
          </w:tcBorders>
          <w:shd w:val="clear" w:color="auto" w:fill="auto"/>
        </w:tcPr>
        <w:p w14:paraId="272CE8EC" w14:textId="77777777" w:rsidR="001054C3" w:rsidRDefault="001054C3" w:rsidP="001054C3">
          <w:pPr>
            <w:pStyle w:val="HeaderOdd"/>
          </w:pPr>
        </w:p>
      </w:tc>
    </w:tr>
  </w:tbl>
  <w:p w14:paraId="249D449D" w14:textId="77777777" w:rsidR="001054C3" w:rsidRPr="001054C3" w:rsidRDefault="001054C3" w:rsidP="001054C3">
    <w:pPr>
      <w:pStyle w:val="HeaderEn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EF15E" w14:textId="77777777" w:rsidR="001054C3" w:rsidRDefault="001054C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A727E" w14:textId="77777777" w:rsidR="001054C3" w:rsidRPr="001054C3" w:rsidRDefault="001054C3" w:rsidP="001054C3">
    <w:pPr>
      <w:pStyle w:val="Header"/>
      <w:spacing w:line="20"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834B5" w14:textId="77777777" w:rsidR="001054C3" w:rsidRPr="001054C3" w:rsidRDefault="001054C3" w:rsidP="001054C3">
    <w:pPr>
      <w:pStyle w:val="Header"/>
      <w:spacing w:line="20" w:lineRule="exac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5EE1480C" w14:textId="77777777" w:rsidTr="001054C3">
      <w:trPr>
        <w:trHeight w:val="300"/>
      </w:trPr>
      <w:tc>
        <w:tcPr>
          <w:tcW w:w="2154" w:type="dxa"/>
          <w:tcBorders>
            <w:top w:val="single" w:sz="24" w:space="0" w:color="auto"/>
          </w:tcBorders>
          <w:shd w:val="clear" w:color="auto" w:fill="auto"/>
        </w:tcPr>
        <w:p w14:paraId="484F5C44" w14:textId="77777777" w:rsidR="001054C3" w:rsidRDefault="001054C3" w:rsidP="001054C3">
          <w:pPr>
            <w:pStyle w:val="HeaderEven"/>
          </w:pPr>
        </w:p>
      </w:tc>
      <w:tc>
        <w:tcPr>
          <w:tcW w:w="6633" w:type="dxa"/>
          <w:tcBorders>
            <w:top w:val="single" w:sz="6" w:space="0" w:color="auto"/>
          </w:tcBorders>
          <w:shd w:val="clear" w:color="auto" w:fill="auto"/>
        </w:tcPr>
        <w:p w14:paraId="2793744C" w14:textId="77777777" w:rsidR="001054C3" w:rsidRDefault="001054C3" w:rsidP="001054C3">
          <w:pPr>
            <w:pStyle w:val="HeaderEven"/>
          </w:pPr>
        </w:p>
      </w:tc>
    </w:tr>
  </w:tbl>
  <w:p w14:paraId="0395D64B" w14:textId="77777777" w:rsidR="001054C3" w:rsidRPr="001054C3" w:rsidRDefault="001054C3" w:rsidP="001054C3">
    <w:pPr>
      <w:pStyle w:val="HeaderEnd"/>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47530730" w14:textId="77777777" w:rsidTr="001054C3">
      <w:trPr>
        <w:trHeight w:val="300"/>
      </w:trPr>
      <w:tc>
        <w:tcPr>
          <w:tcW w:w="6633" w:type="dxa"/>
          <w:tcBorders>
            <w:top w:val="single" w:sz="6" w:space="0" w:color="auto"/>
          </w:tcBorders>
          <w:shd w:val="clear" w:color="auto" w:fill="auto"/>
        </w:tcPr>
        <w:p w14:paraId="1C70C61C" w14:textId="77777777" w:rsidR="001054C3" w:rsidRDefault="001054C3" w:rsidP="001054C3">
          <w:pPr>
            <w:pStyle w:val="HeaderOdd"/>
          </w:pPr>
        </w:p>
      </w:tc>
      <w:tc>
        <w:tcPr>
          <w:tcW w:w="2154" w:type="dxa"/>
          <w:tcBorders>
            <w:top w:val="single" w:sz="24" w:space="0" w:color="auto"/>
          </w:tcBorders>
          <w:shd w:val="clear" w:color="auto" w:fill="auto"/>
        </w:tcPr>
        <w:p w14:paraId="2D6CF07F" w14:textId="77777777" w:rsidR="001054C3" w:rsidRDefault="001054C3" w:rsidP="001054C3">
          <w:pPr>
            <w:pStyle w:val="HeaderOdd"/>
          </w:pPr>
        </w:p>
      </w:tc>
    </w:tr>
  </w:tbl>
  <w:p w14:paraId="5747881D" w14:textId="77777777" w:rsidR="001054C3" w:rsidRPr="001054C3" w:rsidRDefault="001054C3" w:rsidP="001054C3">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C565C" w14:paraId="6D2B197A" w14:textId="77777777">
      <w:tc>
        <w:tcPr>
          <w:tcW w:w="6634" w:type="dxa"/>
          <w:tcBorders>
            <w:top w:val="single" w:sz="6" w:space="0" w:color="auto"/>
          </w:tcBorders>
        </w:tcPr>
        <w:p w14:paraId="5FC5370B" w14:textId="77777777" w:rsidR="008C565C" w:rsidRDefault="008C565C">
          <w:pPr>
            <w:pStyle w:val="HeaderOdd"/>
          </w:pPr>
        </w:p>
      </w:tc>
      <w:tc>
        <w:tcPr>
          <w:tcW w:w="2155" w:type="dxa"/>
          <w:tcBorders>
            <w:top w:val="single" w:sz="24" w:space="0" w:color="auto"/>
            <w:bottom w:val="nil"/>
          </w:tcBorders>
        </w:tcPr>
        <w:p w14:paraId="2BDD8B05" w14:textId="77777777" w:rsidR="008C565C" w:rsidRDefault="008C565C">
          <w:pPr>
            <w:pStyle w:val="HeaderOdd"/>
          </w:pPr>
        </w:p>
      </w:tc>
    </w:tr>
  </w:tbl>
  <w:p w14:paraId="297D5548" w14:textId="77777777" w:rsidR="008C565C" w:rsidRDefault="008C565C">
    <w:pPr>
      <w:pStyle w:val="HeaderEnd"/>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6F798957" w14:textId="77777777" w:rsidTr="001054C3">
      <w:trPr>
        <w:trHeight w:val="300"/>
      </w:trPr>
      <w:tc>
        <w:tcPr>
          <w:tcW w:w="2154" w:type="dxa"/>
          <w:tcBorders>
            <w:top w:val="single" w:sz="24" w:space="0" w:color="auto"/>
          </w:tcBorders>
          <w:shd w:val="clear" w:color="auto" w:fill="auto"/>
        </w:tcPr>
        <w:p w14:paraId="55DB4A89" w14:textId="77777777" w:rsidR="001054C3" w:rsidRDefault="001054C3" w:rsidP="001054C3">
          <w:pPr>
            <w:pStyle w:val="HeaderEven"/>
          </w:pPr>
        </w:p>
      </w:tc>
      <w:tc>
        <w:tcPr>
          <w:tcW w:w="6633" w:type="dxa"/>
          <w:tcBorders>
            <w:top w:val="single" w:sz="6" w:space="0" w:color="auto"/>
          </w:tcBorders>
          <w:shd w:val="clear" w:color="auto" w:fill="auto"/>
        </w:tcPr>
        <w:p w14:paraId="58C7439B" w14:textId="77777777" w:rsidR="001054C3" w:rsidRDefault="001054C3" w:rsidP="001054C3">
          <w:pPr>
            <w:pStyle w:val="HeaderEven"/>
          </w:pPr>
        </w:p>
      </w:tc>
    </w:tr>
  </w:tbl>
  <w:p w14:paraId="2496CE5C" w14:textId="77777777" w:rsidR="001054C3" w:rsidRPr="001054C3" w:rsidRDefault="001054C3" w:rsidP="001054C3">
    <w:pPr>
      <w:pStyle w:val="HeaderEnd"/>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318FB2AF" w14:textId="77777777" w:rsidTr="001054C3">
      <w:trPr>
        <w:trHeight w:val="300"/>
      </w:trPr>
      <w:tc>
        <w:tcPr>
          <w:tcW w:w="6633" w:type="dxa"/>
          <w:tcBorders>
            <w:top w:val="single" w:sz="6" w:space="0" w:color="auto"/>
          </w:tcBorders>
          <w:shd w:val="clear" w:color="auto" w:fill="auto"/>
        </w:tcPr>
        <w:p w14:paraId="28B924EE" w14:textId="77777777" w:rsidR="001054C3" w:rsidRDefault="001054C3" w:rsidP="001054C3">
          <w:pPr>
            <w:pStyle w:val="HeaderOdd"/>
          </w:pPr>
        </w:p>
      </w:tc>
      <w:tc>
        <w:tcPr>
          <w:tcW w:w="2154" w:type="dxa"/>
          <w:tcBorders>
            <w:top w:val="single" w:sz="24" w:space="0" w:color="auto"/>
          </w:tcBorders>
          <w:shd w:val="clear" w:color="auto" w:fill="auto"/>
        </w:tcPr>
        <w:p w14:paraId="61CA8651" w14:textId="77777777" w:rsidR="001054C3" w:rsidRDefault="001054C3" w:rsidP="001054C3">
          <w:pPr>
            <w:pStyle w:val="HeaderOdd"/>
          </w:pPr>
        </w:p>
      </w:tc>
    </w:tr>
  </w:tbl>
  <w:p w14:paraId="70C6B492" w14:textId="77777777" w:rsidR="001054C3" w:rsidRPr="001054C3" w:rsidRDefault="001054C3" w:rsidP="001054C3">
    <w:pPr>
      <w:pStyle w:val="HeaderEnd"/>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74DD0BF1" w14:textId="77777777" w:rsidTr="001054C3">
      <w:trPr>
        <w:trHeight w:val="300"/>
      </w:trPr>
      <w:tc>
        <w:tcPr>
          <w:tcW w:w="2154" w:type="dxa"/>
          <w:tcBorders>
            <w:top w:val="single" w:sz="24" w:space="0" w:color="auto"/>
          </w:tcBorders>
          <w:shd w:val="clear" w:color="auto" w:fill="auto"/>
        </w:tcPr>
        <w:p w14:paraId="100B1AF2" w14:textId="77777777" w:rsidR="001054C3" w:rsidRDefault="001054C3" w:rsidP="001054C3">
          <w:pPr>
            <w:pStyle w:val="HeaderEven"/>
          </w:pPr>
        </w:p>
      </w:tc>
      <w:tc>
        <w:tcPr>
          <w:tcW w:w="6633" w:type="dxa"/>
          <w:tcBorders>
            <w:top w:val="single" w:sz="6" w:space="0" w:color="auto"/>
          </w:tcBorders>
          <w:shd w:val="clear" w:color="auto" w:fill="auto"/>
        </w:tcPr>
        <w:p w14:paraId="15158005" w14:textId="77777777" w:rsidR="001054C3" w:rsidRDefault="001054C3" w:rsidP="001054C3">
          <w:pPr>
            <w:pStyle w:val="HeaderEven"/>
          </w:pPr>
        </w:p>
      </w:tc>
    </w:tr>
  </w:tbl>
  <w:p w14:paraId="5F200B5E" w14:textId="77777777" w:rsidR="001054C3" w:rsidRPr="001054C3" w:rsidRDefault="001054C3" w:rsidP="001054C3">
    <w:pPr>
      <w:pStyle w:val="HeaderEnd"/>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474C519A" w14:textId="77777777" w:rsidTr="001054C3">
      <w:trPr>
        <w:trHeight w:val="300"/>
      </w:trPr>
      <w:tc>
        <w:tcPr>
          <w:tcW w:w="6633" w:type="dxa"/>
          <w:tcBorders>
            <w:top w:val="single" w:sz="6" w:space="0" w:color="auto"/>
          </w:tcBorders>
          <w:shd w:val="clear" w:color="auto" w:fill="auto"/>
        </w:tcPr>
        <w:p w14:paraId="047786A6" w14:textId="77777777" w:rsidR="001054C3" w:rsidRDefault="001054C3" w:rsidP="001054C3">
          <w:pPr>
            <w:pStyle w:val="HeaderOdd"/>
          </w:pPr>
        </w:p>
      </w:tc>
      <w:tc>
        <w:tcPr>
          <w:tcW w:w="2154" w:type="dxa"/>
          <w:tcBorders>
            <w:top w:val="single" w:sz="24" w:space="0" w:color="auto"/>
          </w:tcBorders>
          <w:shd w:val="clear" w:color="auto" w:fill="auto"/>
        </w:tcPr>
        <w:p w14:paraId="78754E5E" w14:textId="77777777" w:rsidR="001054C3" w:rsidRDefault="001054C3" w:rsidP="001054C3">
          <w:pPr>
            <w:pStyle w:val="HeaderOdd"/>
          </w:pPr>
        </w:p>
      </w:tc>
    </w:tr>
  </w:tbl>
  <w:p w14:paraId="55E358AF" w14:textId="77777777" w:rsidR="001054C3" w:rsidRPr="001054C3" w:rsidRDefault="001054C3" w:rsidP="001054C3">
    <w:pPr>
      <w:pStyle w:val="HeaderEnd"/>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4CF64D6A" w14:textId="77777777" w:rsidTr="001054C3">
      <w:trPr>
        <w:trHeight w:val="300"/>
      </w:trPr>
      <w:tc>
        <w:tcPr>
          <w:tcW w:w="2154" w:type="dxa"/>
          <w:tcBorders>
            <w:top w:val="single" w:sz="24" w:space="0" w:color="auto"/>
          </w:tcBorders>
          <w:shd w:val="clear" w:color="auto" w:fill="auto"/>
        </w:tcPr>
        <w:p w14:paraId="7FDB1E55" w14:textId="77777777" w:rsidR="001054C3" w:rsidRDefault="001054C3" w:rsidP="001054C3">
          <w:pPr>
            <w:pStyle w:val="HeaderEven"/>
          </w:pPr>
        </w:p>
      </w:tc>
      <w:tc>
        <w:tcPr>
          <w:tcW w:w="6633" w:type="dxa"/>
          <w:tcBorders>
            <w:top w:val="single" w:sz="6" w:space="0" w:color="auto"/>
          </w:tcBorders>
          <w:shd w:val="clear" w:color="auto" w:fill="auto"/>
        </w:tcPr>
        <w:p w14:paraId="1427911A" w14:textId="77777777" w:rsidR="001054C3" w:rsidRDefault="001054C3" w:rsidP="001054C3">
          <w:pPr>
            <w:pStyle w:val="HeaderEven"/>
          </w:pPr>
        </w:p>
      </w:tc>
    </w:tr>
  </w:tbl>
  <w:p w14:paraId="2004B37A" w14:textId="77777777" w:rsidR="001054C3" w:rsidRPr="001054C3" w:rsidRDefault="001054C3" w:rsidP="001054C3">
    <w:pPr>
      <w:pStyle w:val="HeaderEnd"/>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330E2322" w14:textId="77777777" w:rsidTr="001054C3">
      <w:trPr>
        <w:trHeight w:val="300"/>
      </w:trPr>
      <w:tc>
        <w:tcPr>
          <w:tcW w:w="6633" w:type="dxa"/>
          <w:tcBorders>
            <w:top w:val="single" w:sz="6" w:space="0" w:color="auto"/>
          </w:tcBorders>
          <w:shd w:val="clear" w:color="auto" w:fill="auto"/>
        </w:tcPr>
        <w:p w14:paraId="38F04D7D" w14:textId="77777777" w:rsidR="001054C3" w:rsidRDefault="001054C3" w:rsidP="001054C3">
          <w:pPr>
            <w:pStyle w:val="HeaderOdd"/>
          </w:pPr>
        </w:p>
      </w:tc>
      <w:tc>
        <w:tcPr>
          <w:tcW w:w="2154" w:type="dxa"/>
          <w:tcBorders>
            <w:top w:val="single" w:sz="24" w:space="0" w:color="auto"/>
          </w:tcBorders>
          <w:shd w:val="clear" w:color="auto" w:fill="auto"/>
        </w:tcPr>
        <w:p w14:paraId="75D97944" w14:textId="77777777" w:rsidR="001054C3" w:rsidRDefault="001054C3" w:rsidP="001054C3">
          <w:pPr>
            <w:pStyle w:val="HeaderOdd"/>
          </w:pPr>
        </w:p>
      </w:tc>
    </w:tr>
  </w:tbl>
  <w:p w14:paraId="4066ABE3" w14:textId="77777777" w:rsidR="001054C3" w:rsidRPr="001054C3" w:rsidRDefault="001054C3" w:rsidP="001054C3">
    <w:pPr>
      <w:pStyle w:val="HeaderEnd"/>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375D33E0" w14:textId="77777777" w:rsidTr="001054C3">
      <w:trPr>
        <w:trHeight w:val="300"/>
      </w:trPr>
      <w:tc>
        <w:tcPr>
          <w:tcW w:w="2154" w:type="dxa"/>
          <w:tcBorders>
            <w:top w:val="single" w:sz="24" w:space="0" w:color="auto"/>
          </w:tcBorders>
          <w:shd w:val="clear" w:color="auto" w:fill="auto"/>
        </w:tcPr>
        <w:p w14:paraId="7F6DB601" w14:textId="77777777" w:rsidR="001054C3" w:rsidRDefault="001054C3" w:rsidP="001054C3">
          <w:pPr>
            <w:pStyle w:val="HeaderEven"/>
          </w:pPr>
        </w:p>
      </w:tc>
      <w:tc>
        <w:tcPr>
          <w:tcW w:w="6633" w:type="dxa"/>
          <w:tcBorders>
            <w:top w:val="single" w:sz="6" w:space="0" w:color="auto"/>
          </w:tcBorders>
          <w:shd w:val="clear" w:color="auto" w:fill="auto"/>
        </w:tcPr>
        <w:p w14:paraId="2EEC3941" w14:textId="77777777" w:rsidR="001054C3" w:rsidRDefault="001054C3" w:rsidP="001054C3">
          <w:pPr>
            <w:pStyle w:val="HeaderEven"/>
          </w:pPr>
        </w:p>
      </w:tc>
    </w:tr>
  </w:tbl>
  <w:p w14:paraId="0D9BFA3C" w14:textId="77777777" w:rsidR="001054C3" w:rsidRPr="001054C3" w:rsidRDefault="001054C3" w:rsidP="001054C3">
    <w:pPr>
      <w:pStyle w:val="HeaderEnd"/>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4AB33315" w14:textId="77777777" w:rsidTr="001054C3">
      <w:trPr>
        <w:trHeight w:val="300"/>
      </w:trPr>
      <w:tc>
        <w:tcPr>
          <w:tcW w:w="6633" w:type="dxa"/>
          <w:tcBorders>
            <w:top w:val="single" w:sz="6" w:space="0" w:color="auto"/>
          </w:tcBorders>
          <w:shd w:val="clear" w:color="auto" w:fill="auto"/>
        </w:tcPr>
        <w:p w14:paraId="088F975D" w14:textId="77777777" w:rsidR="001054C3" w:rsidRDefault="001054C3" w:rsidP="001054C3">
          <w:pPr>
            <w:pStyle w:val="HeaderOdd"/>
          </w:pPr>
        </w:p>
      </w:tc>
      <w:tc>
        <w:tcPr>
          <w:tcW w:w="2154" w:type="dxa"/>
          <w:tcBorders>
            <w:top w:val="single" w:sz="24" w:space="0" w:color="auto"/>
          </w:tcBorders>
          <w:shd w:val="clear" w:color="auto" w:fill="auto"/>
        </w:tcPr>
        <w:p w14:paraId="07AE7460" w14:textId="77777777" w:rsidR="001054C3" w:rsidRDefault="001054C3" w:rsidP="001054C3">
          <w:pPr>
            <w:pStyle w:val="HeaderOdd"/>
          </w:pPr>
        </w:p>
      </w:tc>
    </w:tr>
  </w:tbl>
  <w:p w14:paraId="57BB8CE9" w14:textId="77777777" w:rsidR="001054C3" w:rsidRPr="001054C3" w:rsidRDefault="001054C3" w:rsidP="001054C3">
    <w:pPr>
      <w:pStyle w:val="HeaderEnd"/>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6BCC8552" w14:textId="77777777" w:rsidTr="001054C3">
      <w:trPr>
        <w:trHeight w:val="300"/>
      </w:trPr>
      <w:tc>
        <w:tcPr>
          <w:tcW w:w="2154" w:type="dxa"/>
          <w:tcBorders>
            <w:top w:val="single" w:sz="24" w:space="0" w:color="auto"/>
          </w:tcBorders>
          <w:shd w:val="clear" w:color="auto" w:fill="auto"/>
        </w:tcPr>
        <w:p w14:paraId="008A0450" w14:textId="77777777" w:rsidR="001054C3" w:rsidRDefault="001054C3" w:rsidP="001054C3">
          <w:pPr>
            <w:pStyle w:val="HeaderEven"/>
          </w:pPr>
        </w:p>
      </w:tc>
      <w:tc>
        <w:tcPr>
          <w:tcW w:w="6633" w:type="dxa"/>
          <w:tcBorders>
            <w:top w:val="single" w:sz="6" w:space="0" w:color="auto"/>
          </w:tcBorders>
          <w:shd w:val="clear" w:color="auto" w:fill="auto"/>
        </w:tcPr>
        <w:p w14:paraId="49D42CEE" w14:textId="77777777" w:rsidR="001054C3" w:rsidRDefault="001054C3" w:rsidP="001054C3">
          <w:pPr>
            <w:pStyle w:val="HeaderEven"/>
          </w:pPr>
        </w:p>
      </w:tc>
    </w:tr>
  </w:tbl>
  <w:p w14:paraId="20237E72" w14:textId="77777777" w:rsidR="001054C3" w:rsidRPr="001054C3" w:rsidRDefault="001054C3" w:rsidP="001054C3">
    <w:pPr>
      <w:pStyle w:val="HeaderEnd"/>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08BA22E3" w14:textId="77777777" w:rsidTr="001054C3">
      <w:trPr>
        <w:trHeight w:val="300"/>
      </w:trPr>
      <w:tc>
        <w:tcPr>
          <w:tcW w:w="6633" w:type="dxa"/>
          <w:tcBorders>
            <w:top w:val="single" w:sz="6" w:space="0" w:color="auto"/>
          </w:tcBorders>
          <w:shd w:val="clear" w:color="auto" w:fill="auto"/>
        </w:tcPr>
        <w:p w14:paraId="55F2EBB4" w14:textId="77777777" w:rsidR="001054C3" w:rsidRDefault="001054C3" w:rsidP="001054C3">
          <w:pPr>
            <w:pStyle w:val="HeaderOdd"/>
          </w:pPr>
        </w:p>
      </w:tc>
      <w:tc>
        <w:tcPr>
          <w:tcW w:w="2154" w:type="dxa"/>
          <w:tcBorders>
            <w:top w:val="single" w:sz="24" w:space="0" w:color="auto"/>
          </w:tcBorders>
          <w:shd w:val="clear" w:color="auto" w:fill="auto"/>
        </w:tcPr>
        <w:p w14:paraId="63492916" w14:textId="77777777" w:rsidR="001054C3" w:rsidRDefault="001054C3" w:rsidP="001054C3">
          <w:pPr>
            <w:pStyle w:val="HeaderOdd"/>
          </w:pPr>
        </w:p>
      </w:tc>
    </w:tr>
  </w:tbl>
  <w:p w14:paraId="67D91589" w14:textId="77777777" w:rsidR="001054C3" w:rsidRPr="001054C3" w:rsidRDefault="001054C3" w:rsidP="001054C3">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8C565C" w14:paraId="5EA02A2A" w14:textId="77777777" w:rsidTr="005C68FE">
      <w:tc>
        <w:tcPr>
          <w:tcW w:w="2155" w:type="dxa"/>
          <w:tcBorders>
            <w:top w:val="single" w:sz="24" w:space="0" w:color="auto"/>
          </w:tcBorders>
        </w:tcPr>
        <w:p w14:paraId="48B1B8B1" w14:textId="77777777" w:rsidR="008C565C" w:rsidRDefault="008C565C" w:rsidP="005C68FE">
          <w:pPr>
            <w:pStyle w:val="HeaderEven"/>
          </w:pPr>
        </w:p>
      </w:tc>
      <w:tc>
        <w:tcPr>
          <w:tcW w:w="6634" w:type="dxa"/>
          <w:tcBorders>
            <w:top w:val="single" w:sz="6" w:space="0" w:color="auto"/>
          </w:tcBorders>
        </w:tcPr>
        <w:p w14:paraId="65072841" w14:textId="77777777" w:rsidR="008C565C" w:rsidRDefault="008C565C" w:rsidP="005C68FE">
          <w:pPr>
            <w:pStyle w:val="HeaderEven"/>
          </w:pPr>
        </w:p>
      </w:tc>
    </w:tr>
  </w:tbl>
  <w:p w14:paraId="417E8452" w14:textId="77777777" w:rsidR="008C565C" w:rsidRDefault="008C565C" w:rsidP="00D732FE">
    <w:pPr>
      <w:pStyle w:val="HeaderEnd"/>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0F99B4BB" w14:textId="77777777" w:rsidTr="001054C3">
      <w:trPr>
        <w:trHeight w:val="300"/>
      </w:trPr>
      <w:tc>
        <w:tcPr>
          <w:tcW w:w="2154" w:type="dxa"/>
          <w:tcBorders>
            <w:top w:val="single" w:sz="24" w:space="0" w:color="auto"/>
          </w:tcBorders>
          <w:shd w:val="clear" w:color="auto" w:fill="auto"/>
        </w:tcPr>
        <w:p w14:paraId="30ACD316" w14:textId="77777777" w:rsidR="001054C3" w:rsidRDefault="001054C3" w:rsidP="001054C3">
          <w:pPr>
            <w:pStyle w:val="HeaderEven"/>
          </w:pPr>
        </w:p>
      </w:tc>
      <w:tc>
        <w:tcPr>
          <w:tcW w:w="6633" w:type="dxa"/>
          <w:tcBorders>
            <w:top w:val="single" w:sz="6" w:space="0" w:color="auto"/>
          </w:tcBorders>
          <w:shd w:val="clear" w:color="auto" w:fill="auto"/>
        </w:tcPr>
        <w:p w14:paraId="712ABCCB" w14:textId="77777777" w:rsidR="001054C3" w:rsidRDefault="001054C3" w:rsidP="001054C3">
          <w:pPr>
            <w:pStyle w:val="HeaderEven"/>
          </w:pPr>
        </w:p>
      </w:tc>
    </w:tr>
  </w:tbl>
  <w:p w14:paraId="16B71C83" w14:textId="77777777" w:rsidR="001054C3" w:rsidRPr="001054C3" w:rsidRDefault="001054C3" w:rsidP="001054C3">
    <w:pPr>
      <w:pStyle w:val="HeaderEnd"/>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42BE77FE" w14:textId="77777777" w:rsidTr="001054C3">
      <w:trPr>
        <w:trHeight w:val="300"/>
      </w:trPr>
      <w:tc>
        <w:tcPr>
          <w:tcW w:w="6633" w:type="dxa"/>
          <w:tcBorders>
            <w:top w:val="single" w:sz="6" w:space="0" w:color="auto"/>
          </w:tcBorders>
          <w:shd w:val="clear" w:color="auto" w:fill="auto"/>
        </w:tcPr>
        <w:p w14:paraId="2F5B32A1" w14:textId="77777777" w:rsidR="001054C3" w:rsidRDefault="001054C3" w:rsidP="001054C3">
          <w:pPr>
            <w:pStyle w:val="HeaderOdd"/>
          </w:pPr>
        </w:p>
      </w:tc>
      <w:tc>
        <w:tcPr>
          <w:tcW w:w="2154" w:type="dxa"/>
          <w:tcBorders>
            <w:top w:val="single" w:sz="24" w:space="0" w:color="auto"/>
          </w:tcBorders>
          <w:shd w:val="clear" w:color="auto" w:fill="auto"/>
        </w:tcPr>
        <w:p w14:paraId="58B21437" w14:textId="77777777" w:rsidR="001054C3" w:rsidRDefault="001054C3" w:rsidP="001054C3">
          <w:pPr>
            <w:pStyle w:val="HeaderOdd"/>
          </w:pPr>
        </w:p>
      </w:tc>
    </w:tr>
  </w:tbl>
  <w:p w14:paraId="200E2856" w14:textId="77777777" w:rsidR="001054C3" w:rsidRPr="001054C3" w:rsidRDefault="001054C3" w:rsidP="001054C3">
    <w:pPr>
      <w:pStyle w:val="HeaderEnd"/>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337A1A8D" w14:textId="77777777" w:rsidTr="001054C3">
      <w:trPr>
        <w:trHeight w:val="300"/>
      </w:trPr>
      <w:tc>
        <w:tcPr>
          <w:tcW w:w="2154" w:type="dxa"/>
          <w:tcBorders>
            <w:top w:val="single" w:sz="24" w:space="0" w:color="auto"/>
          </w:tcBorders>
          <w:shd w:val="clear" w:color="auto" w:fill="auto"/>
        </w:tcPr>
        <w:p w14:paraId="4E5E91D7" w14:textId="77777777" w:rsidR="001054C3" w:rsidRDefault="001054C3" w:rsidP="001054C3">
          <w:pPr>
            <w:pStyle w:val="HeaderEven"/>
          </w:pPr>
        </w:p>
      </w:tc>
      <w:tc>
        <w:tcPr>
          <w:tcW w:w="6633" w:type="dxa"/>
          <w:tcBorders>
            <w:top w:val="single" w:sz="6" w:space="0" w:color="auto"/>
          </w:tcBorders>
          <w:shd w:val="clear" w:color="auto" w:fill="auto"/>
        </w:tcPr>
        <w:p w14:paraId="1D0DBF8C" w14:textId="77777777" w:rsidR="001054C3" w:rsidRDefault="001054C3" w:rsidP="001054C3">
          <w:pPr>
            <w:pStyle w:val="HeaderEven"/>
          </w:pPr>
        </w:p>
      </w:tc>
    </w:tr>
  </w:tbl>
  <w:p w14:paraId="6E597201" w14:textId="77777777" w:rsidR="001054C3" w:rsidRPr="001054C3" w:rsidRDefault="001054C3" w:rsidP="001054C3">
    <w:pPr>
      <w:pStyle w:val="HeaderEnd"/>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11B22EFD" w14:textId="77777777" w:rsidTr="001054C3">
      <w:trPr>
        <w:trHeight w:val="300"/>
      </w:trPr>
      <w:tc>
        <w:tcPr>
          <w:tcW w:w="6633" w:type="dxa"/>
          <w:tcBorders>
            <w:top w:val="single" w:sz="6" w:space="0" w:color="auto"/>
          </w:tcBorders>
          <w:shd w:val="clear" w:color="auto" w:fill="auto"/>
        </w:tcPr>
        <w:p w14:paraId="1CA74B39" w14:textId="77777777" w:rsidR="001054C3" w:rsidRDefault="001054C3" w:rsidP="001054C3">
          <w:pPr>
            <w:pStyle w:val="HeaderOdd"/>
          </w:pPr>
        </w:p>
      </w:tc>
      <w:tc>
        <w:tcPr>
          <w:tcW w:w="2154" w:type="dxa"/>
          <w:tcBorders>
            <w:top w:val="single" w:sz="24" w:space="0" w:color="auto"/>
          </w:tcBorders>
          <w:shd w:val="clear" w:color="auto" w:fill="auto"/>
        </w:tcPr>
        <w:p w14:paraId="58FD8A5E" w14:textId="77777777" w:rsidR="001054C3" w:rsidRDefault="001054C3" w:rsidP="001054C3">
          <w:pPr>
            <w:pStyle w:val="HeaderOdd"/>
          </w:pPr>
        </w:p>
      </w:tc>
    </w:tr>
  </w:tbl>
  <w:p w14:paraId="7BC15688" w14:textId="77777777" w:rsidR="001054C3" w:rsidRPr="001054C3" w:rsidRDefault="001054C3" w:rsidP="001054C3">
    <w:pPr>
      <w:pStyle w:val="HeaderEnd"/>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6805A187" w14:textId="77777777" w:rsidTr="001054C3">
      <w:trPr>
        <w:trHeight w:val="300"/>
      </w:trPr>
      <w:tc>
        <w:tcPr>
          <w:tcW w:w="2154" w:type="dxa"/>
          <w:tcBorders>
            <w:top w:val="single" w:sz="24" w:space="0" w:color="auto"/>
          </w:tcBorders>
          <w:shd w:val="clear" w:color="auto" w:fill="auto"/>
        </w:tcPr>
        <w:p w14:paraId="28BF0DC1" w14:textId="77777777" w:rsidR="001054C3" w:rsidRDefault="001054C3" w:rsidP="001054C3">
          <w:pPr>
            <w:pStyle w:val="HeaderEven"/>
          </w:pPr>
        </w:p>
      </w:tc>
      <w:tc>
        <w:tcPr>
          <w:tcW w:w="6633" w:type="dxa"/>
          <w:tcBorders>
            <w:top w:val="single" w:sz="6" w:space="0" w:color="auto"/>
          </w:tcBorders>
          <w:shd w:val="clear" w:color="auto" w:fill="auto"/>
        </w:tcPr>
        <w:p w14:paraId="447F7057" w14:textId="77777777" w:rsidR="001054C3" w:rsidRDefault="001054C3" w:rsidP="001054C3">
          <w:pPr>
            <w:pStyle w:val="HeaderEven"/>
          </w:pPr>
        </w:p>
      </w:tc>
    </w:tr>
  </w:tbl>
  <w:p w14:paraId="3B12B5C6" w14:textId="77777777" w:rsidR="001054C3" w:rsidRPr="001054C3" w:rsidRDefault="001054C3" w:rsidP="001054C3">
    <w:pPr>
      <w:pStyle w:val="HeaderEnd"/>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17624FF5" w14:textId="77777777" w:rsidTr="001054C3">
      <w:trPr>
        <w:trHeight w:val="300"/>
      </w:trPr>
      <w:tc>
        <w:tcPr>
          <w:tcW w:w="6633" w:type="dxa"/>
          <w:tcBorders>
            <w:top w:val="single" w:sz="6" w:space="0" w:color="auto"/>
          </w:tcBorders>
          <w:shd w:val="clear" w:color="auto" w:fill="auto"/>
        </w:tcPr>
        <w:p w14:paraId="047B12F3" w14:textId="77777777" w:rsidR="001054C3" w:rsidRDefault="001054C3" w:rsidP="001054C3">
          <w:pPr>
            <w:pStyle w:val="HeaderOdd"/>
          </w:pPr>
        </w:p>
      </w:tc>
      <w:tc>
        <w:tcPr>
          <w:tcW w:w="2154" w:type="dxa"/>
          <w:tcBorders>
            <w:top w:val="single" w:sz="24" w:space="0" w:color="auto"/>
          </w:tcBorders>
          <w:shd w:val="clear" w:color="auto" w:fill="auto"/>
        </w:tcPr>
        <w:p w14:paraId="0092B625" w14:textId="77777777" w:rsidR="001054C3" w:rsidRDefault="001054C3" w:rsidP="001054C3">
          <w:pPr>
            <w:pStyle w:val="HeaderOdd"/>
          </w:pPr>
        </w:p>
      </w:tc>
    </w:tr>
  </w:tbl>
  <w:p w14:paraId="31A22B6B" w14:textId="77777777" w:rsidR="001054C3" w:rsidRPr="001054C3" w:rsidRDefault="001054C3" w:rsidP="001054C3">
    <w:pPr>
      <w:pStyle w:val="HeaderEnd"/>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3AB4A62F" w14:textId="77777777" w:rsidTr="001054C3">
      <w:trPr>
        <w:trHeight w:val="300"/>
      </w:trPr>
      <w:tc>
        <w:tcPr>
          <w:tcW w:w="2154" w:type="dxa"/>
          <w:tcBorders>
            <w:top w:val="single" w:sz="24" w:space="0" w:color="auto"/>
          </w:tcBorders>
          <w:shd w:val="clear" w:color="auto" w:fill="auto"/>
        </w:tcPr>
        <w:p w14:paraId="46FF71D3" w14:textId="77777777" w:rsidR="001054C3" w:rsidRDefault="001054C3" w:rsidP="001054C3">
          <w:pPr>
            <w:pStyle w:val="HeaderEven"/>
          </w:pPr>
        </w:p>
      </w:tc>
      <w:tc>
        <w:tcPr>
          <w:tcW w:w="6633" w:type="dxa"/>
          <w:tcBorders>
            <w:top w:val="single" w:sz="6" w:space="0" w:color="auto"/>
          </w:tcBorders>
          <w:shd w:val="clear" w:color="auto" w:fill="auto"/>
        </w:tcPr>
        <w:p w14:paraId="50BE9706" w14:textId="77777777" w:rsidR="001054C3" w:rsidRDefault="001054C3" w:rsidP="001054C3">
          <w:pPr>
            <w:pStyle w:val="HeaderEven"/>
          </w:pPr>
        </w:p>
      </w:tc>
    </w:tr>
  </w:tbl>
  <w:p w14:paraId="3F582D38" w14:textId="77777777" w:rsidR="001054C3" w:rsidRPr="001054C3" w:rsidRDefault="001054C3" w:rsidP="001054C3">
    <w:pPr>
      <w:pStyle w:val="HeaderEnd"/>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1E5215B2" w14:textId="77777777" w:rsidTr="001054C3">
      <w:trPr>
        <w:trHeight w:val="300"/>
      </w:trPr>
      <w:tc>
        <w:tcPr>
          <w:tcW w:w="6633" w:type="dxa"/>
          <w:tcBorders>
            <w:top w:val="single" w:sz="6" w:space="0" w:color="auto"/>
          </w:tcBorders>
          <w:shd w:val="clear" w:color="auto" w:fill="auto"/>
        </w:tcPr>
        <w:p w14:paraId="0159D8EA" w14:textId="77777777" w:rsidR="001054C3" w:rsidRDefault="001054C3" w:rsidP="001054C3">
          <w:pPr>
            <w:pStyle w:val="HeaderOdd"/>
          </w:pPr>
        </w:p>
      </w:tc>
      <w:tc>
        <w:tcPr>
          <w:tcW w:w="2154" w:type="dxa"/>
          <w:tcBorders>
            <w:top w:val="single" w:sz="24" w:space="0" w:color="auto"/>
          </w:tcBorders>
          <w:shd w:val="clear" w:color="auto" w:fill="auto"/>
        </w:tcPr>
        <w:p w14:paraId="6EE33AC2" w14:textId="77777777" w:rsidR="001054C3" w:rsidRDefault="001054C3" w:rsidP="001054C3">
          <w:pPr>
            <w:pStyle w:val="HeaderOdd"/>
          </w:pPr>
        </w:p>
      </w:tc>
    </w:tr>
  </w:tbl>
  <w:p w14:paraId="4E171E5C" w14:textId="77777777" w:rsidR="001054C3" w:rsidRPr="001054C3" w:rsidRDefault="001054C3" w:rsidP="001054C3">
    <w:pPr>
      <w:pStyle w:val="HeaderEnd"/>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172A7C8D" w14:textId="77777777" w:rsidTr="001054C3">
      <w:trPr>
        <w:trHeight w:val="300"/>
      </w:trPr>
      <w:tc>
        <w:tcPr>
          <w:tcW w:w="2154" w:type="dxa"/>
          <w:tcBorders>
            <w:top w:val="single" w:sz="24" w:space="0" w:color="auto"/>
          </w:tcBorders>
          <w:shd w:val="clear" w:color="auto" w:fill="auto"/>
        </w:tcPr>
        <w:p w14:paraId="7E243FF2" w14:textId="77777777" w:rsidR="001054C3" w:rsidRDefault="001054C3" w:rsidP="001054C3">
          <w:pPr>
            <w:pStyle w:val="HeaderEven"/>
          </w:pPr>
        </w:p>
      </w:tc>
      <w:tc>
        <w:tcPr>
          <w:tcW w:w="6633" w:type="dxa"/>
          <w:tcBorders>
            <w:top w:val="single" w:sz="6" w:space="0" w:color="auto"/>
          </w:tcBorders>
          <w:shd w:val="clear" w:color="auto" w:fill="auto"/>
        </w:tcPr>
        <w:p w14:paraId="4FB61402" w14:textId="77777777" w:rsidR="001054C3" w:rsidRDefault="001054C3" w:rsidP="001054C3">
          <w:pPr>
            <w:pStyle w:val="HeaderEven"/>
          </w:pPr>
        </w:p>
      </w:tc>
    </w:tr>
  </w:tbl>
  <w:p w14:paraId="53F8EF4F" w14:textId="77777777" w:rsidR="001054C3" w:rsidRPr="001054C3" w:rsidRDefault="001054C3" w:rsidP="001054C3">
    <w:pPr>
      <w:pStyle w:val="HeaderEnd"/>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154FD2CB" w14:textId="77777777" w:rsidTr="001054C3">
      <w:trPr>
        <w:trHeight w:val="300"/>
      </w:trPr>
      <w:tc>
        <w:tcPr>
          <w:tcW w:w="6633" w:type="dxa"/>
          <w:tcBorders>
            <w:top w:val="single" w:sz="6" w:space="0" w:color="auto"/>
          </w:tcBorders>
          <w:shd w:val="clear" w:color="auto" w:fill="auto"/>
        </w:tcPr>
        <w:p w14:paraId="2650C919" w14:textId="77777777" w:rsidR="001054C3" w:rsidRDefault="001054C3" w:rsidP="001054C3">
          <w:pPr>
            <w:pStyle w:val="HeaderOdd"/>
          </w:pPr>
        </w:p>
      </w:tc>
      <w:tc>
        <w:tcPr>
          <w:tcW w:w="2154" w:type="dxa"/>
          <w:tcBorders>
            <w:top w:val="single" w:sz="24" w:space="0" w:color="auto"/>
          </w:tcBorders>
          <w:shd w:val="clear" w:color="auto" w:fill="auto"/>
        </w:tcPr>
        <w:p w14:paraId="043F8EA4" w14:textId="77777777" w:rsidR="001054C3" w:rsidRDefault="001054C3" w:rsidP="001054C3">
          <w:pPr>
            <w:pStyle w:val="HeaderOdd"/>
          </w:pPr>
        </w:p>
      </w:tc>
    </w:tr>
  </w:tbl>
  <w:p w14:paraId="3256657A" w14:textId="77777777" w:rsidR="001054C3" w:rsidRPr="001054C3" w:rsidRDefault="001054C3" w:rsidP="001054C3">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C565C" w14:paraId="54A9A32A" w14:textId="77777777">
      <w:tc>
        <w:tcPr>
          <w:tcW w:w="6634" w:type="dxa"/>
          <w:tcBorders>
            <w:top w:val="single" w:sz="6" w:space="0" w:color="auto"/>
          </w:tcBorders>
        </w:tcPr>
        <w:p w14:paraId="7C1D45DC" w14:textId="77777777" w:rsidR="008C565C" w:rsidRDefault="008C565C">
          <w:pPr>
            <w:pStyle w:val="HeaderOdd"/>
          </w:pPr>
        </w:p>
      </w:tc>
      <w:tc>
        <w:tcPr>
          <w:tcW w:w="2155" w:type="dxa"/>
          <w:tcBorders>
            <w:top w:val="single" w:sz="24" w:space="0" w:color="auto"/>
          </w:tcBorders>
        </w:tcPr>
        <w:p w14:paraId="0A0DF62C" w14:textId="77777777" w:rsidR="008C565C" w:rsidRDefault="008C565C">
          <w:pPr>
            <w:pStyle w:val="HeaderOdd"/>
          </w:pPr>
        </w:p>
      </w:tc>
    </w:tr>
  </w:tbl>
  <w:p w14:paraId="0AE57068" w14:textId="77777777" w:rsidR="008C565C" w:rsidRDefault="008C565C" w:rsidP="00B95339">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5BCCD2D4" w14:textId="77777777" w:rsidTr="001054C3">
      <w:trPr>
        <w:trHeight w:val="300"/>
      </w:trPr>
      <w:tc>
        <w:tcPr>
          <w:tcW w:w="2154" w:type="dxa"/>
          <w:tcBorders>
            <w:top w:val="single" w:sz="24" w:space="0" w:color="auto"/>
          </w:tcBorders>
          <w:shd w:val="clear" w:color="auto" w:fill="auto"/>
        </w:tcPr>
        <w:p w14:paraId="042A8DE6" w14:textId="77777777" w:rsidR="001054C3" w:rsidRDefault="001054C3" w:rsidP="001054C3">
          <w:pPr>
            <w:pStyle w:val="HeaderEven"/>
          </w:pPr>
        </w:p>
      </w:tc>
      <w:tc>
        <w:tcPr>
          <w:tcW w:w="6633" w:type="dxa"/>
          <w:tcBorders>
            <w:top w:val="single" w:sz="6" w:space="0" w:color="auto"/>
          </w:tcBorders>
          <w:shd w:val="clear" w:color="auto" w:fill="auto"/>
        </w:tcPr>
        <w:p w14:paraId="6F9254D1" w14:textId="77777777" w:rsidR="001054C3" w:rsidRDefault="001054C3" w:rsidP="001054C3">
          <w:pPr>
            <w:pStyle w:val="HeaderEven"/>
          </w:pPr>
        </w:p>
      </w:tc>
    </w:tr>
  </w:tbl>
  <w:p w14:paraId="5BC1076D" w14:textId="77777777" w:rsidR="001054C3" w:rsidRPr="001054C3" w:rsidRDefault="001054C3" w:rsidP="001054C3">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054C3" w14:paraId="47B9C50A" w14:textId="77777777" w:rsidTr="001054C3">
      <w:trPr>
        <w:trHeight w:val="300"/>
      </w:trPr>
      <w:tc>
        <w:tcPr>
          <w:tcW w:w="6633" w:type="dxa"/>
          <w:tcBorders>
            <w:top w:val="single" w:sz="6" w:space="0" w:color="auto"/>
          </w:tcBorders>
          <w:shd w:val="clear" w:color="auto" w:fill="auto"/>
        </w:tcPr>
        <w:p w14:paraId="0ED2D338" w14:textId="77777777" w:rsidR="001054C3" w:rsidRDefault="001054C3" w:rsidP="001054C3">
          <w:pPr>
            <w:pStyle w:val="HeaderOdd"/>
          </w:pPr>
        </w:p>
      </w:tc>
      <w:tc>
        <w:tcPr>
          <w:tcW w:w="2154" w:type="dxa"/>
          <w:tcBorders>
            <w:top w:val="single" w:sz="24" w:space="0" w:color="auto"/>
          </w:tcBorders>
          <w:shd w:val="clear" w:color="auto" w:fill="auto"/>
        </w:tcPr>
        <w:p w14:paraId="48FDB29B" w14:textId="77777777" w:rsidR="001054C3" w:rsidRDefault="001054C3" w:rsidP="001054C3">
          <w:pPr>
            <w:pStyle w:val="HeaderOdd"/>
          </w:pPr>
        </w:p>
      </w:tc>
    </w:tr>
  </w:tbl>
  <w:p w14:paraId="3CC8FD94" w14:textId="77777777" w:rsidR="001054C3" w:rsidRPr="001054C3" w:rsidRDefault="001054C3" w:rsidP="001054C3">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1054C3" w14:paraId="77F8BB0C" w14:textId="77777777" w:rsidTr="001054C3">
      <w:trPr>
        <w:trHeight w:val="300"/>
      </w:trPr>
      <w:tc>
        <w:tcPr>
          <w:tcW w:w="2154" w:type="dxa"/>
          <w:tcBorders>
            <w:top w:val="single" w:sz="24" w:space="0" w:color="auto"/>
          </w:tcBorders>
          <w:shd w:val="clear" w:color="auto" w:fill="auto"/>
        </w:tcPr>
        <w:p w14:paraId="3C3D0AD6" w14:textId="77777777" w:rsidR="001054C3" w:rsidRDefault="001054C3" w:rsidP="001054C3">
          <w:pPr>
            <w:pStyle w:val="HeaderEven"/>
          </w:pPr>
        </w:p>
      </w:tc>
      <w:tc>
        <w:tcPr>
          <w:tcW w:w="6633" w:type="dxa"/>
          <w:tcBorders>
            <w:top w:val="single" w:sz="6" w:space="0" w:color="auto"/>
          </w:tcBorders>
          <w:shd w:val="clear" w:color="auto" w:fill="auto"/>
        </w:tcPr>
        <w:p w14:paraId="0CD58FC2" w14:textId="77777777" w:rsidR="001054C3" w:rsidRDefault="001054C3" w:rsidP="001054C3">
          <w:pPr>
            <w:pStyle w:val="HeaderEven"/>
          </w:pPr>
        </w:p>
      </w:tc>
    </w:tr>
  </w:tbl>
  <w:p w14:paraId="1C2CB6B2" w14:textId="77777777" w:rsidR="00772909" w:rsidRPr="001054C3" w:rsidRDefault="00772909" w:rsidP="001054C3">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898638C"/>
    <w:multiLevelType w:val="hybridMultilevel"/>
    <w:tmpl w:val="A3A8D5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F8A4853"/>
    <w:multiLevelType w:val="hybridMultilevel"/>
    <w:tmpl w:val="26FCF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861DBB"/>
    <w:multiLevelType w:val="hybridMultilevel"/>
    <w:tmpl w:val="A42E2810"/>
    <w:lvl w:ilvl="0" w:tplc="F064F6A4">
      <w:start w:val="1"/>
      <w:numFmt w:val="lowerLetter"/>
      <w:lvlText w:val="%1)"/>
      <w:lvlJc w:val="left"/>
      <w:pPr>
        <w:ind w:left="410" w:hanging="36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39F000C"/>
    <w:multiLevelType w:val="hybridMultilevel"/>
    <w:tmpl w:val="00946654"/>
    <w:lvl w:ilvl="0" w:tplc="0A1E63C6">
      <w:start w:val="1"/>
      <w:numFmt w:val="bullet"/>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AF5944"/>
    <w:multiLevelType w:val="hybridMultilevel"/>
    <w:tmpl w:val="9D2639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7042BA"/>
    <w:multiLevelType w:val="hybridMultilevel"/>
    <w:tmpl w:val="1B48FE4E"/>
    <w:lvl w:ilvl="0" w:tplc="AB185BC4">
      <w:numFmt w:val="bullet"/>
      <w:pStyle w:val="RecBullet2"/>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B0537"/>
    <w:multiLevelType w:val="hybridMultilevel"/>
    <w:tmpl w:val="35F42B30"/>
    <w:lvl w:ilvl="0" w:tplc="13D881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15:restartNumberingAfterBreak="0">
    <w:nsid w:val="56455F7B"/>
    <w:multiLevelType w:val="hybridMultilevel"/>
    <w:tmpl w:val="50BA6B54"/>
    <w:lvl w:ilvl="0" w:tplc="DACA13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5" w15:restartNumberingAfterBreak="0">
    <w:nsid w:val="661466A8"/>
    <w:multiLevelType w:val="hybridMultilevel"/>
    <w:tmpl w:val="64BA97BE"/>
    <w:lvl w:ilvl="0" w:tplc="1E46A9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9D18CE"/>
    <w:multiLevelType w:val="hybridMultilevel"/>
    <w:tmpl w:val="2CFE52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640D92"/>
    <w:multiLevelType w:val="hybridMultilevel"/>
    <w:tmpl w:val="26FCF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6"/>
  </w:num>
  <w:num w:numId="2">
    <w:abstractNumId w:val="0"/>
  </w:num>
  <w:num w:numId="3">
    <w:abstractNumId w:val="18"/>
  </w:num>
  <w:num w:numId="4">
    <w:abstractNumId w:val="1"/>
  </w:num>
  <w:num w:numId="5">
    <w:abstractNumId w:val="24"/>
  </w:num>
  <w:num w:numId="6">
    <w:abstractNumId w:val="20"/>
  </w:num>
  <w:num w:numId="7">
    <w:abstractNumId w:val="8"/>
  </w:num>
  <w:num w:numId="8">
    <w:abstractNumId w:val="19"/>
  </w:num>
  <w:num w:numId="9">
    <w:abstractNumId w:val="5"/>
  </w:num>
  <w:num w:numId="10">
    <w:abstractNumId w:val="4"/>
  </w:num>
  <w:num w:numId="11">
    <w:abstractNumId w:val="14"/>
  </w:num>
  <w:num w:numId="12">
    <w:abstractNumId w:val="15"/>
  </w:num>
  <w:num w:numId="13">
    <w:abstractNumId w:val="2"/>
  </w:num>
  <w:num w:numId="14">
    <w:abstractNumId w:val="22"/>
  </w:num>
  <w:num w:numId="15">
    <w:abstractNumId w:val="28"/>
  </w:num>
  <w:num w:numId="16">
    <w:abstractNumId w:val="17"/>
  </w:num>
  <w:num w:numId="17">
    <w:abstractNumId w:val="29"/>
  </w:num>
  <w:num w:numId="18">
    <w:abstractNumId w:val="23"/>
  </w:num>
  <w:num w:numId="19">
    <w:abstractNumId w:val="10"/>
  </w:num>
  <w:num w:numId="20">
    <w:abstractNumId w:val="27"/>
  </w:num>
  <w:num w:numId="21">
    <w:abstractNumId w:val="7"/>
  </w:num>
  <w:num w:numId="22">
    <w:abstractNumId w:val="3"/>
  </w:num>
  <w:num w:numId="23">
    <w:abstractNumId w:val="21"/>
  </w:num>
  <w:num w:numId="24">
    <w:abstractNumId w:val="11"/>
  </w:num>
  <w:num w:numId="25">
    <w:abstractNumId w:val="13"/>
  </w:num>
  <w:num w:numId="26">
    <w:abstractNumId w:val="25"/>
  </w:num>
  <w:num w:numId="27">
    <w:abstractNumId w:val="26"/>
  </w:num>
  <w:num w:numId="28">
    <w:abstractNumId w:val="12"/>
  </w:num>
  <w:num w:numId="29">
    <w:abstractNumId w:val="9"/>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dingOptions" w:val="1"/>
    <w:docVar w:name="RecOptions" w:val="111"/>
    <w:docVar w:name="ShortChapterTitle" w:val="Chapter"/>
    <w:docVar w:name="ShortReportTitle" w:val="Report"/>
  </w:docVars>
  <w:rsids>
    <w:rsidRoot w:val="001054C3"/>
    <w:rsid w:val="000022CE"/>
    <w:rsid w:val="000227D5"/>
    <w:rsid w:val="000233BD"/>
    <w:rsid w:val="00023A99"/>
    <w:rsid w:val="000245AA"/>
    <w:rsid w:val="00026F8A"/>
    <w:rsid w:val="0003664B"/>
    <w:rsid w:val="00037FD8"/>
    <w:rsid w:val="00041063"/>
    <w:rsid w:val="0004111F"/>
    <w:rsid w:val="00044901"/>
    <w:rsid w:val="000548E3"/>
    <w:rsid w:val="00055077"/>
    <w:rsid w:val="000565B3"/>
    <w:rsid w:val="00063CA8"/>
    <w:rsid w:val="000646CB"/>
    <w:rsid w:val="00065089"/>
    <w:rsid w:val="0007150B"/>
    <w:rsid w:val="00074492"/>
    <w:rsid w:val="000938F5"/>
    <w:rsid w:val="00095663"/>
    <w:rsid w:val="00096E55"/>
    <w:rsid w:val="000971C6"/>
    <w:rsid w:val="0009783E"/>
    <w:rsid w:val="000B1022"/>
    <w:rsid w:val="000B22BC"/>
    <w:rsid w:val="000B601B"/>
    <w:rsid w:val="000C022E"/>
    <w:rsid w:val="000C207E"/>
    <w:rsid w:val="000D32F2"/>
    <w:rsid w:val="000D41E9"/>
    <w:rsid w:val="000D4B63"/>
    <w:rsid w:val="000E4E98"/>
    <w:rsid w:val="000F0035"/>
    <w:rsid w:val="000F04E7"/>
    <w:rsid w:val="000F060A"/>
    <w:rsid w:val="000F420B"/>
    <w:rsid w:val="000F64D9"/>
    <w:rsid w:val="00104E04"/>
    <w:rsid w:val="001054C3"/>
    <w:rsid w:val="00105504"/>
    <w:rsid w:val="00105A46"/>
    <w:rsid w:val="00110116"/>
    <w:rsid w:val="001110D3"/>
    <w:rsid w:val="00120072"/>
    <w:rsid w:val="00122DF3"/>
    <w:rsid w:val="00126EB8"/>
    <w:rsid w:val="001274D4"/>
    <w:rsid w:val="001363AA"/>
    <w:rsid w:val="0013739A"/>
    <w:rsid w:val="00142165"/>
    <w:rsid w:val="00155EAA"/>
    <w:rsid w:val="00160848"/>
    <w:rsid w:val="00162434"/>
    <w:rsid w:val="00183E82"/>
    <w:rsid w:val="00185FB8"/>
    <w:rsid w:val="001878BB"/>
    <w:rsid w:val="00190496"/>
    <w:rsid w:val="00191AE0"/>
    <w:rsid w:val="0019293B"/>
    <w:rsid w:val="0019426B"/>
    <w:rsid w:val="001A6A4B"/>
    <w:rsid w:val="001C0463"/>
    <w:rsid w:val="001C0865"/>
    <w:rsid w:val="001C0AED"/>
    <w:rsid w:val="001C3ABA"/>
    <w:rsid w:val="001C4675"/>
    <w:rsid w:val="001C5111"/>
    <w:rsid w:val="001D1FC4"/>
    <w:rsid w:val="001D4F75"/>
    <w:rsid w:val="001E1EB1"/>
    <w:rsid w:val="001E7BE8"/>
    <w:rsid w:val="001F0058"/>
    <w:rsid w:val="001F0248"/>
    <w:rsid w:val="001F3EB3"/>
    <w:rsid w:val="001F4F86"/>
    <w:rsid w:val="00201944"/>
    <w:rsid w:val="00202C2C"/>
    <w:rsid w:val="00203050"/>
    <w:rsid w:val="00204E75"/>
    <w:rsid w:val="002135AB"/>
    <w:rsid w:val="002144BE"/>
    <w:rsid w:val="0022126A"/>
    <w:rsid w:val="00234FBE"/>
    <w:rsid w:val="00235BA4"/>
    <w:rsid w:val="00242279"/>
    <w:rsid w:val="0024291E"/>
    <w:rsid w:val="00243997"/>
    <w:rsid w:val="0024516C"/>
    <w:rsid w:val="00245C82"/>
    <w:rsid w:val="00247723"/>
    <w:rsid w:val="00251A0E"/>
    <w:rsid w:val="00265288"/>
    <w:rsid w:val="002659D1"/>
    <w:rsid w:val="00265BA6"/>
    <w:rsid w:val="002724BA"/>
    <w:rsid w:val="00285904"/>
    <w:rsid w:val="00286F1B"/>
    <w:rsid w:val="00291B40"/>
    <w:rsid w:val="00297A19"/>
    <w:rsid w:val="002A3C0B"/>
    <w:rsid w:val="002B4008"/>
    <w:rsid w:val="002B4A85"/>
    <w:rsid w:val="002C25F4"/>
    <w:rsid w:val="002C439F"/>
    <w:rsid w:val="002C44C8"/>
    <w:rsid w:val="002D0C42"/>
    <w:rsid w:val="002D0E8E"/>
    <w:rsid w:val="002E235C"/>
    <w:rsid w:val="002E5423"/>
    <w:rsid w:val="002F6F8F"/>
    <w:rsid w:val="00301189"/>
    <w:rsid w:val="00301E4A"/>
    <w:rsid w:val="00307B5C"/>
    <w:rsid w:val="003131BA"/>
    <w:rsid w:val="003168B8"/>
    <w:rsid w:val="003220F4"/>
    <w:rsid w:val="00322BD6"/>
    <w:rsid w:val="00322D64"/>
    <w:rsid w:val="00323E09"/>
    <w:rsid w:val="00332EBB"/>
    <w:rsid w:val="00333932"/>
    <w:rsid w:val="0033635C"/>
    <w:rsid w:val="00341272"/>
    <w:rsid w:val="00345A86"/>
    <w:rsid w:val="00346177"/>
    <w:rsid w:val="003518AA"/>
    <w:rsid w:val="00352165"/>
    <w:rsid w:val="00353182"/>
    <w:rsid w:val="00353F2F"/>
    <w:rsid w:val="003565D9"/>
    <w:rsid w:val="003602E1"/>
    <w:rsid w:val="003606FA"/>
    <w:rsid w:val="00360710"/>
    <w:rsid w:val="003649B7"/>
    <w:rsid w:val="0037026F"/>
    <w:rsid w:val="00371240"/>
    <w:rsid w:val="0037438D"/>
    <w:rsid w:val="003746E5"/>
    <w:rsid w:val="00374731"/>
    <w:rsid w:val="00376E59"/>
    <w:rsid w:val="00377EC1"/>
    <w:rsid w:val="00380340"/>
    <w:rsid w:val="00380D3E"/>
    <w:rsid w:val="00386AF1"/>
    <w:rsid w:val="003919F9"/>
    <w:rsid w:val="003920CF"/>
    <w:rsid w:val="00397438"/>
    <w:rsid w:val="003A1884"/>
    <w:rsid w:val="003A6759"/>
    <w:rsid w:val="003B23C2"/>
    <w:rsid w:val="003B7AED"/>
    <w:rsid w:val="003C38B5"/>
    <w:rsid w:val="003C5D99"/>
    <w:rsid w:val="003D1087"/>
    <w:rsid w:val="003E2F59"/>
    <w:rsid w:val="003E746B"/>
    <w:rsid w:val="003F0789"/>
    <w:rsid w:val="003F3B4B"/>
    <w:rsid w:val="00401882"/>
    <w:rsid w:val="004100C8"/>
    <w:rsid w:val="00411DBD"/>
    <w:rsid w:val="00412ACE"/>
    <w:rsid w:val="004145D2"/>
    <w:rsid w:val="00420F8B"/>
    <w:rsid w:val="00425D05"/>
    <w:rsid w:val="00426CB4"/>
    <w:rsid w:val="00431249"/>
    <w:rsid w:val="00431D61"/>
    <w:rsid w:val="00434C19"/>
    <w:rsid w:val="00441789"/>
    <w:rsid w:val="00450810"/>
    <w:rsid w:val="00456BE2"/>
    <w:rsid w:val="00462B3E"/>
    <w:rsid w:val="00462C59"/>
    <w:rsid w:val="004638B0"/>
    <w:rsid w:val="00465139"/>
    <w:rsid w:val="00467A06"/>
    <w:rsid w:val="00470737"/>
    <w:rsid w:val="00474BEB"/>
    <w:rsid w:val="00477144"/>
    <w:rsid w:val="00482E0C"/>
    <w:rsid w:val="00482EF2"/>
    <w:rsid w:val="00487CEC"/>
    <w:rsid w:val="00491380"/>
    <w:rsid w:val="00492BCE"/>
    <w:rsid w:val="004942AE"/>
    <w:rsid w:val="0049459F"/>
    <w:rsid w:val="004A10C5"/>
    <w:rsid w:val="004A38DD"/>
    <w:rsid w:val="004B43AE"/>
    <w:rsid w:val="004C30ED"/>
    <w:rsid w:val="004C532B"/>
    <w:rsid w:val="004C77B9"/>
    <w:rsid w:val="004D0474"/>
    <w:rsid w:val="004D5675"/>
    <w:rsid w:val="00517795"/>
    <w:rsid w:val="00523222"/>
    <w:rsid w:val="00523639"/>
    <w:rsid w:val="00531FE5"/>
    <w:rsid w:val="005402FA"/>
    <w:rsid w:val="005449DB"/>
    <w:rsid w:val="00554C52"/>
    <w:rsid w:val="005729BD"/>
    <w:rsid w:val="005759C3"/>
    <w:rsid w:val="00576353"/>
    <w:rsid w:val="00580154"/>
    <w:rsid w:val="005839F3"/>
    <w:rsid w:val="00583C39"/>
    <w:rsid w:val="00586332"/>
    <w:rsid w:val="00586A90"/>
    <w:rsid w:val="00587F28"/>
    <w:rsid w:val="005909CF"/>
    <w:rsid w:val="00590B2D"/>
    <w:rsid w:val="00591E71"/>
    <w:rsid w:val="0059642F"/>
    <w:rsid w:val="0059707B"/>
    <w:rsid w:val="005A0D41"/>
    <w:rsid w:val="005B3969"/>
    <w:rsid w:val="005C4C98"/>
    <w:rsid w:val="005D329F"/>
    <w:rsid w:val="005D4044"/>
    <w:rsid w:val="005E5F11"/>
    <w:rsid w:val="005E68A1"/>
    <w:rsid w:val="005F48ED"/>
    <w:rsid w:val="005F5333"/>
    <w:rsid w:val="00600364"/>
    <w:rsid w:val="00601E1E"/>
    <w:rsid w:val="00606E78"/>
    <w:rsid w:val="00607BF1"/>
    <w:rsid w:val="00616ABA"/>
    <w:rsid w:val="0062181B"/>
    <w:rsid w:val="00622EAA"/>
    <w:rsid w:val="0062370A"/>
    <w:rsid w:val="00630D4D"/>
    <w:rsid w:val="00632A74"/>
    <w:rsid w:val="00641911"/>
    <w:rsid w:val="006435FB"/>
    <w:rsid w:val="006513B3"/>
    <w:rsid w:val="0065164B"/>
    <w:rsid w:val="00654D42"/>
    <w:rsid w:val="006647F6"/>
    <w:rsid w:val="00666E02"/>
    <w:rsid w:val="006677A7"/>
    <w:rsid w:val="0067452E"/>
    <w:rsid w:val="00675F5F"/>
    <w:rsid w:val="00676107"/>
    <w:rsid w:val="00681F57"/>
    <w:rsid w:val="00683DC5"/>
    <w:rsid w:val="00690B25"/>
    <w:rsid w:val="006934AA"/>
    <w:rsid w:val="006935B1"/>
    <w:rsid w:val="006A4655"/>
    <w:rsid w:val="006B2B3C"/>
    <w:rsid w:val="006B559F"/>
    <w:rsid w:val="006C1D81"/>
    <w:rsid w:val="006C7038"/>
    <w:rsid w:val="006D581F"/>
    <w:rsid w:val="006D6590"/>
    <w:rsid w:val="006E73EF"/>
    <w:rsid w:val="00705214"/>
    <w:rsid w:val="007079C9"/>
    <w:rsid w:val="00714D4D"/>
    <w:rsid w:val="007223A3"/>
    <w:rsid w:val="007266D3"/>
    <w:rsid w:val="00730DA9"/>
    <w:rsid w:val="00732029"/>
    <w:rsid w:val="007355AF"/>
    <w:rsid w:val="007604BB"/>
    <w:rsid w:val="00763C4A"/>
    <w:rsid w:val="00764E2C"/>
    <w:rsid w:val="00772909"/>
    <w:rsid w:val="00785232"/>
    <w:rsid w:val="00787230"/>
    <w:rsid w:val="0079701E"/>
    <w:rsid w:val="007A21EB"/>
    <w:rsid w:val="007B1A93"/>
    <w:rsid w:val="007B240F"/>
    <w:rsid w:val="007B69E1"/>
    <w:rsid w:val="007C36C9"/>
    <w:rsid w:val="007D6401"/>
    <w:rsid w:val="007D69D3"/>
    <w:rsid w:val="007D7BF5"/>
    <w:rsid w:val="007E01E4"/>
    <w:rsid w:val="007E426C"/>
    <w:rsid w:val="007E7A12"/>
    <w:rsid w:val="007F4714"/>
    <w:rsid w:val="007F5C1C"/>
    <w:rsid w:val="007F7107"/>
    <w:rsid w:val="00800D4C"/>
    <w:rsid w:val="00807006"/>
    <w:rsid w:val="0081030F"/>
    <w:rsid w:val="008119C4"/>
    <w:rsid w:val="00812F4A"/>
    <w:rsid w:val="0081506D"/>
    <w:rsid w:val="008175AB"/>
    <w:rsid w:val="0082087D"/>
    <w:rsid w:val="00834BB0"/>
    <w:rsid w:val="00835771"/>
    <w:rsid w:val="00842933"/>
    <w:rsid w:val="00843454"/>
    <w:rsid w:val="0086082C"/>
    <w:rsid w:val="008630CF"/>
    <w:rsid w:val="00864ADC"/>
    <w:rsid w:val="0086538E"/>
    <w:rsid w:val="0087585D"/>
    <w:rsid w:val="00880153"/>
    <w:rsid w:val="00880F97"/>
    <w:rsid w:val="0088133A"/>
    <w:rsid w:val="00883577"/>
    <w:rsid w:val="0088373D"/>
    <w:rsid w:val="00883FA9"/>
    <w:rsid w:val="00884779"/>
    <w:rsid w:val="00887AC8"/>
    <w:rsid w:val="0089285E"/>
    <w:rsid w:val="0089436C"/>
    <w:rsid w:val="008962B5"/>
    <w:rsid w:val="008A2453"/>
    <w:rsid w:val="008B20F5"/>
    <w:rsid w:val="008C565C"/>
    <w:rsid w:val="008D365C"/>
    <w:rsid w:val="008D7622"/>
    <w:rsid w:val="008F3F02"/>
    <w:rsid w:val="009021A6"/>
    <w:rsid w:val="009030BF"/>
    <w:rsid w:val="00903B52"/>
    <w:rsid w:val="0091032F"/>
    <w:rsid w:val="00914368"/>
    <w:rsid w:val="00915EB9"/>
    <w:rsid w:val="00931076"/>
    <w:rsid w:val="009345D9"/>
    <w:rsid w:val="00934B15"/>
    <w:rsid w:val="00940C87"/>
    <w:rsid w:val="00942B62"/>
    <w:rsid w:val="0095323B"/>
    <w:rsid w:val="00953CF5"/>
    <w:rsid w:val="00956847"/>
    <w:rsid w:val="00956A0C"/>
    <w:rsid w:val="00956BD9"/>
    <w:rsid w:val="009606BA"/>
    <w:rsid w:val="00962489"/>
    <w:rsid w:val="00967CD3"/>
    <w:rsid w:val="00983DBD"/>
    <w:rsid w:val="00990AE2"/>
    <w:rsid w:val="00990C2C"/>
    <w:rsid w:val="009A4626"/>
    <w:rsid w:val="009A5171"/>
    <w:rsid w:val="009A7C06"/>
    <w:rsid w:val="009E1844"/>
    <w:rsid w:val="009E4086"/>
    <w:rsid w:val="009F0D1B"/>
    <w:rsid w:val="009F0FA9"/>
    <w:rsid w:val="009F5BBD"/>
    <w:rsid w:val="009F696D"/>
    <w:rsid w:val="009F6BC6"/>
    <w:rsid w:val="009F74EF"/>
    <w:rsid w:val="00A008A9"/>
    <w:rsid w:val="00A02826"/>
    <w:rsid w:val="00A05C5E"/>
    <w:rsid w:val="00A13FCB"/>
    <w:rsid w:val="00A15D5A"/>
    <w:rsid w:val="00A17328"/>
    <w:rsid w:val="00A23A20"/>
    <w:rsid w:val="00A24443"/>
    <w:rsid w:val="00A268B9"/>
    <w:rsid w:val="00A2703A"/>
    <w:rsid w:val="00A27B10"/>
    <w:rsid w:val="00A27C34"/>
    <w:rsid w:val="00A33DFF"/>
    <w:rsid w:val="00A35115"/>
    <w:rsid w:val="00A36D9A"/>
    <w:rsid w:val="00A37372"/>
    <w:rsid w:val="00A37A72"/>
    <w:rsid w:val="00A41F1A"/>
    <w:rsid w:val="00A43769"/>
    <w:rsid w:val="00A4414C"/>
    <w:rsid w:val="00A4480C"/>
    <w:rsid w:val="00A451DC"/>
    <w:rsid w:val="00A554AB"/>
    <w:rsid w:val="00A57062"/>
    <w:rsid w:val="00A66D51"/>
    <w:rsid w:val="00A67781"/>
    <w:rsid w:val="00A761F9"/>
    <w:rsid w:val="00A84992"/>
    <w:rsid w:val="00A85C77"/>
    <w:rsid w:val="00A87508"/>
    <w:rsid w:val="00A92B53"/>
    <w:rsid w:val="00A94FA6"/>
    <w:rsid w:val="00AA49A0"/>
    <w:rsid w:val="00AA6710"/>
    <w:rsid w:val="00AB0681"/>
    <w:rsid w:val="00AB0B9A"/>
    <w:rsid w:val="00AC3A15"/>
    <w:rsid w:val="00AD35F8"/>
    <w:rsid w:val="00AD520B"/>
    <w:rsid w:val="00AD628E"/>
    <w:rsid w:val="00AE3BCC"/>
    <w:rsid w:val="00AF4975"/>
    <w:rsid w:val="00B00867"/>
    <w:rsid w:val="00B21B48"/>
    <w:rsid w:val="00B27916"/>
    <w:rsid w:val="00B32F03"/>
    <w:rsid w:val="00B425C3"/>
    <w:rsid w:val="00B440AD"/>
    <w:rsid w:val="00B479BB"/>
    <w:rsid w:val="00B53E7E"/>
    <w:rsid w:val="00B55846"/>
    <w:rsid w:val="00B6196D"/>
    <w:rsid w:val="00B61FE1"/>
    <w:rsid w:val="00B6342E"/>
    <w:rsid w:val="00B7113F"/>
    <w:rsid w:val="00B716A6"/>
    <w:rsid w:val="00B75E07"/>
    <w:rsid w:val="00B909B0"/>
    <w:rsid w:val="00BA2BCF"/>
    <w:rsid w:val="00BA2E01"/>
    <w:rsid w:val="00BA5B14"/>
    <w:rsid w:val="00BA73B6"/>
    <w:rsid w:val="00BA7E27"/>
    <w:rsid w:val="00BB2603"/>
    <w:rsid w:val="00BB4FCD"/>
    <w:rsid w:val="00BB5EEC"/>
    <w:rsid w:val="00BC04E9"/>
    <w:rsid w:val="00BC6153"/>
    <w:rsid w:val="00BD13EA"/>
    <w:rsid w:val="00BE3159"/>
    <w:rsid w:val="00BE3808"/>
    <w:rsid w:val="00C03B88"/>
    <w:rsid w:val="00C062E9"/>
    <w:rsid w:val="00C07B64"/>
    <w:rsid w:val="00C13721"/>
    <w:rsid w:val="00C14FE4"/>
    <w:rsid w:val="00C1691C"/>
    <w:rsid w:val="00C16F09"/>
    <w:rsid w:val="00C210B0"/>
    <w:rsid w:val="00C21231"/>
    <w:rsid w:val="00C219DC"/>
    <w:rsid w:val="00C3066D"/>
    <w:rsid w:val="00C40AF3"/>
    <w:rsid w:val="00C4489B"/>
    <w:rsid w:val="00C52416"/>
    <w:rsid w:val="00C543F4"/>
    <w:rsid w:val="00C6291C"/>
    <w:rsid w:val="00C633CB"/>
    <w:rsid w:val="00C664CD"/>
    <w:rsid w:val="00C67DB3"/>
    <w:rsid w:val="00C72E62"/>
    <w:rsid w:val="00C73418"/>
    <w:rsid w:val="00C736B7"/>
    <w:rsid w:val="00C81D4A"/>
    <w:rsid w:val="00C8295B"/>
    <w:rsid w:val="00C8762C"/>
    <w:rsid w:val="00C90E4D"/>
    <w:rsid w:val="00C92225"/>
    <w:rsid w:val="00C941E7"/>
    <w:rsid w:val="00C956BE"/>
    <w:rsid w:val="00CA00F9"/>
    <w:rsid w:val="00CA20F2"/>
    <w:rsid w:val="00CA2961"/>
    <w:rsid w:val="00CB50D7"/>
    <w:rsid w:val="00CB7177"/>
    <w:rsid w:val="00CB7CED"/>
    <w:rsid w:val="00CC070F"/>
    <w:rsid w:val="00CC1998"/>
    <w:rsid w:val="00CC4946"/>
    <w:rsid w:val="00CC64A1"/>
    <w:rsid w:val="00CD7753"/>
    <w:rsid w:val="00CF3B11"/>
    <w:rsid w:val="00CF685F"/>
    <w:rsid w:val="00CF7158"/>
    <w:rsid w:val="00CF7DEE"/>
    <w:rsid w:val="00D270A4"/>
    <w:rsid w:val="00D31FE9"/>
    <w:rsid w:val="00D34E1B"/>
    <w:rsid w:val="00D376BA"/>
    <w:rsid w:val="00D434A0"/>
    <w:rsid w:val="00D45634"/>
    <w:rsid w:val="00D5568A"/>
    <w:rsid w:val="00D63D73"/>
    <w:rsid w:val="00D64452"/>
    <w:rsid w:val="00D66E1E"/>
    <w:rsid w:val="00D70696"/>
    <w:rsid w:val="00D75722"/>
    <w:rsid w:val="00D80CF5"/>
    <w:rsid w:val="00D8541A"/>
    <w:rsid w:val="00DA5BBA"/>
    <w:rsid w:val="00DB26D2"/>
    <w:rsid w:val="00DB2767"/>
    <w:rsid w:val="00DB67C9"/>
    <w:rsid w:val="00DB7FE4"/>
    <w:rsid w:val="00DC0C95"/>
    <w:rsid w:val="00DC4F0B"/>
    <w:rsid w:val="00DC68C0"/>
    <w:rsid w:val="00DC71B6"/>
    <w:rsid w:val="00DD44E4"/>
    <w:rsid w:val="00DD6580"/>
    <w:rsid w:val="00DE0928"/>
    <w:rsid w:val="00DE301C"/>
    <w:rsid w:val="00DE3E3F"/>
    <w:rsid w:val="00DE4231"/>
    <w:rsid w:val="00DF3894"/>
    <w:rsid w:val="00E01D7F"/>
    <w:rsid w:val="00E05C03"/>
    <w:rsid w:val="00E17C72"/>
    <w:rsid w:val="00E21FC6"/>
    <w:rsid w:val="00E415E1"/>
    <w:rsid w:val="00E431A9"/>
    <w:rsid w:val="00E438B9"/>
    <w:rsid w:val="00E468AC"/>
    <w:rsid w:val="00E540CA"/>
    <w:rsid w:val="00E669E2"/>
    <w:rsid w:val="00E71452"/>
    <w:rsid w:val="00E71C15"/>
    <w:rsid w:val="00E730B0"/>
    <w:rsid w:val="00E73944"/>
    <w:rsid w:val="00E76135"/>
    <w:rsid w:val="00E80659"/>
    <w:rsid w:val="00E82F4F"/>
    <w:rsid w:val="00E864DF"/>
    <w:rsid w:val="00E868D3"/>
    <w:rsid w:val="00E95F6A"/>
    <w:rsid w:val="00EB1F04"/>
    <w:rsid w:val="00EB2CC3"/>
    <w:rsid w:val="00EC2844"/>
    <w:rsid w:val="00EC3E0B"/>
    <w:rsid w:val="00EC5500"/>
    <w:rsid w:val="00ED18F8"/>
    <w:rsid w:val="00ED25D5"/>
    <w:rsid w:val="00EE5D62"/>
    <w:rsid w:val="00EE6EDA"/>
    <w:rsid w:val="00EE778E"/>
    <w:rsid w:val="00EF6719"/>
    <w:rsid w:val="00EF6C6C"/>
    <w:rsid w:val="00F056FC"/>
    <w:rsid w:val="00F0632F"/>
    <w:rsid w:val="00F069AE"/>
    <w:rsid w:val="00F10476"/>
    <w:rsid w:val="00F12323"/>
    <w:rsid w:val="00F135D8"/>
    <w:rsid w:val="00F202C5"/>
    <w:rsid w:val="00F21E02"/>
    <w:rsid w:val="00F31299"/>
    <w:rsid w:val="00F3534A"/>
    <w:rsid w:val="00F35BFB"/>
    <w:rsid w:val="00F36ACC"/>
    <w:rsid w:val="00F433ED"/>
    <w:rsid w:val="00F51609"/>
    <w:rsid w:val="00F522D0"/>
    <w:rsid w:val="00F53411"/>
    <w:rsid w:val="00F55C25"/>
    <w:rsid w:val="00F569B3"/>
    <w:rsid w:val="00F70AF7"/>
    <w:rsid w:val="00F719D4"/>
    <w:rsid w:val="00F73727"/>
    <w:rsid w:val="00F766A7"/>
    <w:rsid w:val="00F80C48"/>
    <w:rsid w:val="00F81006"/>
    <w:rsid w:val="00F85325"/>
    <w:rsid w:val="00FA49A6"/>
    <w:rsid w:val="00FB6589"/>
    <w:rsid w:val="00FC1DE8"/>
    <w:rsid w:val="00FC3C17"/>
    <w:rsid w:val="00FD22B1"/>
    <w:rsid w:val="00FD3172"/>
    <w:rsid w:val="00FD33F1"/>
    <w:rsid w:val="00FD3566"/>
    <w:rsid w:val="00FD3942"/>
    <w:rsid w:val="00FE53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43E186"/>
  <w15:docId w15:val="{F37B95CD-C57B-4D8A-AA28-2B4C55394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95F6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065089"/>
    <w:pPr>
      <w:keepNext/>
      <w:numPr>
        <w:numId w:val="18"/>
      </w:numPr>
      <w:spacing w:before="100" w:line="260" w:lineRule="atLeast"/>
      <w:ind w:left="284" w:hanging="284"/>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95F6A"/>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1054C3"/>
    <w:rPr>
      <w:rFonts w:ascii="Arial" w:hAnsi="Arial"/>
      <w:b/>
      <w:sz w:val="18"/>
    </w:rPr>
  </w:style>
  <w:style w:type="character" w:customStyle="1" w:styleId="Heading2Char">
    <w:name w:val="Heading 2 Char"/>
    <w:basedOn w:val="DefaultParagraphFont"/>
    <w:link w:val="Heading2"/>
    <w:rsid w:val="001054C3"/>
    <w:rPr>
      <w:rFonts w:ascii="Arial" w:hAnsi="Arial"/>
      <w:b/>
      <w:sz w:val="32"/>
    </w:rPr>
  </w:style>
  <w:style w:type="character" w:customStyle="1" w:styleId="Heading3Char">
    <w:name w:val="Heading 3 Char"/>
    <w:basedOn w:val="DefaultParagraphFont"/>
    <w:link w:val="Heading3"/>
    <w:rsid w:val="001054C3"/>
    <w:rPr>
      <w:rFonts w:ascii="Arial" w:hAnsi="Arial"/>
      <w:b/>
      <w:sz w:val="26"/>
    </w:rPr>
  </w:style>
  <w:style w:type="character" w:customStyle="1" w:styleId="FootnoteTextChar">
    <w:name w:val="Footnote Text Char"/>
    <w:basedOn w:val="DefaultParagraphFont"/>
    <w:link w:val="FootnoteText"/>
    <w:uiPriority w:val="99"/>
    <w:rsid w:val="001054C3"/>
  </w:style>
  <w:style w:type="character" w:customStyle="1" w:styleId="ListBulletChar">
    <w:name w:val="List Bullet Char"/>
    <w:basedOn w:val="DefaultParagraphFont"/>
    <w:link w:val="ListBullet"/>
    <w:rsid w:val="001054C3"/>
    <w:rPr>
      <w:sz w:val="24"/>
    </w:rPr>
  </w:style>
  <w:style w:type="character" w:customStyle="1" w:styleId="Heading4Char">
    <w:name w:val="Heading 4 Char"/>
    <w:basedOn w:val="DefaultParagraphFont"/>
    <w:link w:val="Heading4"/>
    <w:rsid w:val="001054C3"/>
    <w:rPr>
      <w:rFonts w:ascii="Arial" w:hAnsi="Arial"/>
      <w:sz w:val="24"/>
    </w:rPr>
  </w:style>
  <w:style w:type="character" w:customStyle="1" w:styleId="QuoteChar">
    <w:name w:val="Quote Char"/>
    <w:basedOn w:val="DefaultParagraphFont"/>
    <w:link w:val="Quote"/>
    <w:uiPriority w:val="29"/>
    <w:rsid w:val="001054C3"/>
    <w:rPr>
      <w:sz w:val="22"/>
    </w:rPr>
  </w:style>
  <w:style w:type="paragraph" w:styleId="CommentSubject">
    <w:name w:val="annotation subject"/>
    <w:basedOn w:val="CommentText"/>
    <w:next w:val="CommentText"/>
    <w:link w:val="CommentSubjectChar"/>
    <w:semiHidden/>
    <w:unhideWhenUsed/>
    <w:rsid w:val="001054C3"/>
    <w:pPr>
      <w:spacing w:before="0" w:line="240" w:lineRule="auto"/>
      <w:ind w:left="0" w:firstLine="0"/>
    </w:pPr>
    <w:rPr>
      <w:b/>
      <w:bCs/>
      <w:szCs w:val="20"/>
    </w:rPr>
  </w:style>
  <w:style w:type="character" w:customStyle="1" w:styleId="CommentTextChar">
    <w:name w:val="Comment Text Char"/>
    <w:basedOn w:val="DefaultParagraphFont"/>
    <w:link w:val="CommentText"/>
    <w:rsid w:val="001054C3"/>
    <w:rPr>
      <w:szCs w:val="24"/>
    </w:rPr>
  </w:style>
  <w:style w:type="character" w:customStyle="1" w:styleId="CommentSubjectChar">
    <w:name w:val="Comment Subject Char"/>
    <w:basedOn w:val="CommentTextChar"/>
    <w:link w:val="CommentSubject"/>
    <w:semiHidden/>
    <w:rsid w:val="001054C3"/>
    <w:rPr>
      <w:b/>
      <w:bCs/>
      <w:szCs w:val="24"/>
    </w:rPr>
  </w:style>
  <w:style w:type="character" w:styleId="Mention">
    <w:name w:val="Mention"/>
    <w:basedOn w:val="DefaultParagraphFont"/>
    <w:uiPriority w:val="99"/>
    <w:unhideWhenUsed/>
    <w:rsid w:val="001054C3"/>
    <w:rPr>
      <w:color w:val="2B579A"/>
      <w:shd w:val="clear" w:color="auto" w:fill="E1DFDD"/>
    </w:rPr>
  </w:style>
  <w:style w:type="character" w:styleId="UnresolvedMention">
    <w:name w:val="Unresolved Mention"/>
    <w:basedOn w:val="DefaultParagraphFont"/>
    <w:uiPriority w:val="99"/>
    <w:unhideWhenUsed/>
    <w:rsid w:val="001054C3"/>
    <w:rPr>
      <w:color w:val="605E5C"/>
      <w:shd w:val="clear" w:color="auto" w:fill="E1DFDD"/>
    </w:rPr>
  </w:style>
  <w:style w:type="character" w:styleId="Hyperlink">
    <w:name w:val="Hyperlink"/>
    <w:basedOn w:val="DefaultParagraphFont"/>
    <w:unhideWhenUsed/>
    <w:rsid w:val="001054C3"/>
    <w:rPr>
      <w:color w:val="000000" w:themeColor="hyperlink"/>
      <w:u w:val="single"/>
    </w:rPr>
  </w:style>
  <w:style w:type="paragraph" w:styleId="Revision">
    <w:name w:val="Revision"/>
    <w:hidden/>
    <w:uiPriority w:val="99"/>
    <w:semiHidden/>
    <w:rsid w:val="001054C3"/>
    <w:rPr>
      <w:sz w:val="24"/>
      <w:szCs w:val="24"/>
    </w:rPr>
  </w:style>
  <w:style w:type="character" w:styleId="EndnoteReference">
    <w:name w:val="endnote reference"/>
    <w:basedOn w:val="DefaultParagraphFont"/>
    <w:semiHidden/>
    <w:unhideWhenUsed/>
    <w:rsid w:val="001054C3"/>
    <w:rPr>
      <w:vertAlign w:val="superscript"/>
    </w:rPr>
  </w:style>
  <w:style w:type="character" w:customStyle="1" w:styleId="CommentTextChar1">
    <w:name w:val="Comment Text Char1"/>
    <w:basedOn w:val="DefaultParagraphFont"/>
    <w:uiPriority w:val="99"/>
    <w:rsid w:val="001054C3"/>
    <w:rPr>
      <w:szCs w:val="24"/>
    </w:rPr>
  </w:style>
  <w:style w:type="paragraph" w:customStyle="1" w:styleId="Default">
    <w:name w:val="Default"/>
    <w:rsid w:val="001054C3"/>
    <w:pPr>
      <w:autoSpaceDE w:val="0"/>
      <w:autoSpaceDN w:val="0"/>
      <w:adjustRightInd w:val="0"/>
    </w:pPr>
    <w:rPr>
      <w:color w:val="000000"/>
      <w:sz w:val="24"/>
      <w:szCs w:val="24"/>
    </w:rPr>
  </w:style>
  <w:style w:type="character" w:customStyle="1" w:styleId="Heading1Char">
    <w:name w:val="Heading 1 Char"/>
    <w:basedOn w:val="DefaultParagraphFont"/>
    <w:link w:val="Heading1"/>
    <w:rsid w:val="001054C3"/>
    <w:rPr>
      <w:sz w:val="52"/>
    </w:rPr>
  </w:style>
  <w:style w:type="character" w:customStyle="1" w:styleId="normaltextrun">
    <w:name w:val="normaltextrun"/>
    <w:basedOn w:val="DefaultParagraphFont"/>
    <w:rsid w:val="001054C3"/>
  </w:style>
  <w:style w:type="paragraph" w:customStyle="1" w:styleId="RecBullet2">
    <w:name w:val="Rec Bullet 2"/>
    <w:basedOn w:val="RecBullet"/>
    <w:qFormat/>
    <w:rsid w:val="001054C3"/>
    <w:pPr>
      <w:numPr>
        <w:numId w:val="28"/>
      </w:numPr>
    </w:pPr>
  </w:style>
  <w:style w:type="paragraph" w:customStyle="1" w:styleId="BoxSpaceAboveElement">
    <w:name w:val="Box Space Above Element"/>
    <w:basedOn w:val="BoxSpaceAbove"/>
    <w:link w:val="BoxSpaceAboveElementChar"/>
    <w:qFormat/>
    <w:rsid w:val="001054C3"/>
    <w:pPr>
      <w:spacing w:before="240"/>
    </w:pPr>
    <w:rPr>
      <w:b/>
      <w:vanish/>
      <w:color w:val="FF00FF"/>
      <w:sz w:val="14"/>
    </w:rPr>
  </w:style>
  <w:style w:type="character" w:customStyle="1" w:styleId="BoxSpaceAboveElementChar">
    <w:name w:val="Box Space Above Element Char"/>
    <w:basedOn w:val="DefaultParagraphFont"/>
    <w:link w:val="BoxSpaceAboveElement"/>
    <w:rsid w:val="001054C3"/>
    <w:rPr>
      <w:b/>
      <w:vanish/>
      <w:color w:val="FF00FF"/>
      <w:sz w:val="14"/>
    </w:rPr>
  </w:style>
  <w:style w:type="paragraph" w:styleId="Bibliography">
    <w:name w:val="Bibliography"/>
    <w:basedOn w:val="Normal"/>
    <w:next w:val="Normal"/>
    <w:uiPriority w:val="37"/>
    <w:unhideWhenUsed/>
    <w:rsid w:val="001054C3"/>
    <w:pPr>
      <w:spacing w:after="240"/>
      <w:ind w:left="720" w:hanging="720"/>
    </w:pPr>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1054C3"/>
    <w:rPr>
      <w:color w:val="605E5C"/>
      <w:shd w:val="clear" w:color="auto" w:fill="E1DFDD"/>
    </w:rPr>
  </w:style>
  <w:style w:type="character" w:customStyle="1" w:styleId="HeaderChar">
    <w:name w:val="Header Char"/>
    <w:basedOn w:val="DefaultParagraphFont"/>
    <w:link w:val="Header"/>
    <w:rsid w:val="001054C3"/>
    <w:rPr>
      <w:rFonts w:ascii="Arial" w:hAnsi="Arial"/>
      <w:caps/>
      <w:sz w:val="24"/>
    </w:rPr>
  </w:style>
  <w:style w:type="paragraph" w:styleId="TOCHeading">
    <w:name w:val="TOC Heading"/>
    <w:basedOn w:val="Heading1"/>
    <w:next w:val="Normal"/>
    <w:uiPriority w:val="39"/>
    <w:unhideWhenUsed/>
    <w:qFormat/>
    <w:rsid w:val="001054C3"/>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Heading1NotTOC">
    <w:name w:val="Heading 1 Not TOC"/>
    <w:basedOn w:val="Heading1"/>
    <w:next w:val="BodyText"/>
    <w:rsid w:val="001054C3"/>
    <w:rPr>
      <w:kern w:val="28"/>
      <w:szCs w:val="26"/>
      <w:lang w:eastAsia="en-US"/>
    </w:rPr>
  </w:style>
  <w:style w:type="character" w:customStyle="1" w:styleId="CommentTextChar2">
    <w:name w:val="Comment Text Char2"/>
    <w:basedOn w:val="DefaultParagraphFont"/>
    <w:uiPriority w:val="99"/>
    <w:rsid w:val="001054C3"/>
    <w:rPr>
      <w:szCs w:val="24"/>
    </w:rPr>
  </w:style>
  <w:style w:type="character" w:styleId="FollowedHyperlink">
    <w:name w:val="FollowedHyperlink"/>
    <w:basedOn w:val="DefaultParagraphFont"/>
    <w:semiHidden/>
    <w:unhideWhenUsed/>
    <w:rsid w:val="001054C3"/>
    <w:rPr>
      <w:color w:val="BFBFBF" w:themeColor="followedHyperlink"/>
      <w:u w:val="single"/>
    </w:rPr>
  </w:style>
  <w:style w:type="table" w:customStyle="1" w:styleId="assessmenttablev1">
    <w:name w:val="assessment table v1"/>
    <w:basedOn w:val="TableNormal"/>
    <w:uiPriority w:val="99"/>
    <w:rsid w:val="001054C3"/>
    <w:tblPr>
      <w:tblStyleRowBandSize w:val="1"/>
    </w:tblPr>
    <w:tblStylePr w:type="firstRow">
      <w:rPr>
        <w:rFonts w:asciiTheme="majorHAnsi" w:hAnsiTheme="majorHAnsi"/>
        <w:i/>
        <w:color w:val="FFFFFF" w:themeColor="background1"/>
        <w:sz w:val="18"/>
      </w:rPr>
      <w:tblPr/>
      <w:tcPr>
        <w:shd w:val="clear" w:color="auto" w:fill="4D7028" w:themeFill="accent2"/>
      </w:tcPr>
    </w:tblStylePr>
    <w:tblStylePr w:type="band1Horz">
      <w:rPr>
        <w:rFonts w:ascii="Arial" w:hAnsi="Arial"/>
        <w:color w:val="auto"/>
        <w:sz w:val="18"/>
      </w:rPr>
      <w:tblPr/>
      <w:tcPr>
        <w:shd w:val="clear" w:color="auto" w:fill="FFFFFF" w:themeFill="background1"/>
      </w:tcPr>
    </w:tblStylePr>
    <w:tblStylePr w:type="band2Horz">
      <w:rPr>
        <w:rFonts w:ascii="Arial" w:hAnsi="Arial"/>
        <w:sz w:val="18"/>
      </w:rPr>
      <w:tblPr/>
      <w:tcPr>
        <w:shd w:val="clear" w:color="auto" w:fill="E5F1D0" w:themeFill="accent1" w:themeFillTint="33"/>
      </w:tcPr>
    </w:tblStylePr>
  </w:style>
  <w:style w:type="paragraph" w:styleId="ListParagraph">
    <w:name w:val="List Paragraph"/>
    <w:basedOn w:val="Normal"/>
    <w:uiPriority w:val="34"/>
    <w:rsid w:val="001054C3"/>
    <w:pPr>
      <w:ind w:left="720"/>
      <w:contextualSpacing/>
    </w:pPr>
  </w:style>
  <w:style w:type="paragraph" w:styleId="NormalWeb">
    <w:name w:val="Normal (Web)"/>
    <w:basedOn w:val="Normal"/>
    <w:uiPriority w:val="99"/>
    <w:semiHidden/>
    <w:unhideWhenUsed/>
    <w:rsid w:val="001054C3"/>
    <w:pPr>
      <w:spacing w:before="100" w:beforeAutospacing="1" w:after="100" w:afterAutospacing="1"/>
    </w:pPr>
  </w:style>
  <w:style w:type="character" w:customStyle="1" w:styleId="cf01">
    <w:name w:val="cf01"/>
    <w:basedOn w:val="DefaultParagraphFont"/>
    <w:rsid w:val="001054C3"/>
    <w:rPr>
      <w:rFonts w:ascii="Segoe UI" w:hAnsi="Segoe UI" w:cs="Segoe UI" w:hint="default"/>
      <w:sz w:val="18"/>
      <w:szCs w:val="18"/>
    </w:rPr>
  </w:style>
  <w:style w:type="paragraph" w:customStyle="1" w:styleId="KeyPointsListBullet3">
    <w:name w:val="Key Points List Bullet 3"/>
    <w:basedOn w:val="BoxListBullet3"/>
    <w:rsid w:val="001054C3"/>
    <w:pPr>
      <w:spacing w:before="100"/>
    </w:pPr>
  </w:style>
  <w:style w:type="paragraph" w:customStyle="1" w:styleId="PCAddress">
    <w:name w:val="PC Address"/>
    <w:basedOn w:val="Normal"/>
    <w:rsid w:val="008C565C"/>
    <w:pPr>
      <w:tabs>
        <w:tab w:val="left" w:pos="866"/>
      </w:tabs>
      <w:spacing w:after="60"/>
    </w:pPr>
    <w:rPr>
      <w:sz w:val="16"/>
      <w:szCs w:val="20"/>
    </w:rPr>
  </w:style>
  <w:style w:type="paragraph" w:styleId="Salutation">
    <w:name w:val="Salutation"/>
    <w:basedOn w:val="Normal"/>
    <w:next w:val="Normal"/>
    <w:link w:val="SalutationChar"/>
    <w:autoRedefine/>
    <w:rsid w:val="008C565C"/>
    <w:rPr>
      <w:noProof/>
      <w:szCs w:val="20"/>
    </w:rPr>
  </w:style>
  <w:style w:type="character" w:customStyle="1" w:styleId="SalutationChar">
    <w:name w:val="Salutation Char"/>
    <w:basedOn w:val="DefaultParagraphFont"/>
    <w:link w:val="Salutation"/>
    <w:rsid w:val="008C565C"/>
    <w:rPr>
      <w:noProof/>
      <w:sz w:val="24"/>
    </w:rPr>
  </w:style>
  <w:style w:type="paragraph" w:customStyle="1" w:styleId="Signoff">
    <w:name w:val="Signoff"/>
    <w:basedOn w:val="Normal"/>
    <w:autoRedefine/>
    <w:rsid w:val="008C565C"/>
    <w:pPr>
      <w:spacing w:before="480" w:after="1000"/>
    </w:pPr>
    <w:rPr>
      <w:szCs w:val="20"/>
    </w:rPr>
  </w:style>
  <w:style w:type="paragraph" w:customStyle="1" w:styleId="LetterDate">
    <w:name w:val="Letter Date"/>
    <w:basedOn w:val="BodyText"/>
    <w:rsid w:val="008C565C"/>
    <w:pPr>
      <w:spacing w:before="0" w:after="240" w:line="240" w:lineRule="auto"/>
      <w:ind w:left="-108"/>
      <w:jc w:val="left"/>
    </w:pPr>
  </w:style>
  <w:style w:type="paragraph" w:customStyle="1" w:styleId="LetterAddress">
    <w:name w:val="Letter Address"/>
    <w:basedOn w:val="BodyText"/>
    <w:rsid w:val="008C565C"/>
    <w:pPr>
      <w:spacing w:before="0" w:line="240" w:lineRule="auto"/>
      <w:jc w:val="left"/>
    </w:pPr>
  </w:style>
  <w:style w:type="paragraph" w:customStyle="1" w:styleId="Copyrightheading">
    <w:name w:val="Copyright heading"/>
    <w:basedOn w:val="TOC1"/>
    <w:link w:val="CopyrightheadingChar"/>
    <w:qFormat/>
    <w:rsid w:val="008C565C"/>
    <w:pPr>
      <w:spacing w:line="300" w:lineRule="exact"/>
    </w:pPr>
    <w:rPr>
      <w:sz w:val="22"/>
    </w:rPr>
  </w:style>
  <w:style w:type="character" w:customStyle="1" w:styleId="CopyrightheadingChar">
    <w:name w:val="Copyright heading Char"/>
    <w:basedOn w:val="TOC1Char"/>
    <w:link w:val="Copyrightheading"/>
    <w:rsid w:val="008C565C"/>
    <w:rPr>
      <w:rFonts w:ascii="Arial" w:hAnsi="Arial"/>
      <w:b/>
      <w:sz w:val="22"/>
      <w:szCs w:val="26"/>
      <w:lang w:eastAsia="en-US"/>
    </w:rPr>
  </w:style>
  <w:style w:type="paragraph" w:customStyle="1" w:styleId="Copyrightsubtitle">
    <w:name w:val="Copyright subtitle"/>
    <w:basedOn w:val="BodyText"/>
    <w:rsid w:val="008C565C"/>
    <w:rPr>
      <w:rFonts w:ascii="Arial" w:hAnsi="Arial"/>
      <w:b/>
      <w:sz w:val="22"/>
      <w:szCs w:val="25"/>
    </w:rPr>
  </w:style>
  <w:style w:type="paragraph" w:customStyle="1" w:styleId="Copyrightbodytext">
    <w:name w:val="Copyright bodytext"/>
    <w:basedOn w:val="BodyText"/>
    <w:link w:val="CopyrightbodytextChar"/>
    <w:qFormat/>
    <w:rsid w:val="008C565C"/>
    <w:pPr>
      <w:spacing w:before="60"/>
    </w:pPr>
  </w:style>
  <w:style w:type="character" w:customStyle="1" w:styleId="CopyrightbodytextChar">
    <w:name w:val="Copyright bodytext Char"/>
    <w:basedOn w:val="BodyTextChar"/>
    <w:link w:val="Copyrightbodytext"/>
    <w:rsid w:val="008C565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5.emf"/><Relationship Id="rId21" Type="http://schemas.openxmlformats.org/officeDocument/2006/relationships/footer" Target="footer2.xml"/><Relationship Id="rId42" Type="http://schemas.openxmlformats.org/officeDocument/2006/relationships/image" Target="media/image10.emf"/><Relationship Id="rId63" Type="http://schemas.openxmlformats.org/officeDocument/2006/relationships/image" Target="media/image23.emf"/><Relationship Id="rId84" Type="http://schemas.openxmlformats.org/officeDocument/2006/relationships/footer" Target="footer22.xml"/><Relationship Id="rId138" Type="http://schemas.openxmlformats.org/officeDocument/2006/relationships/footer" Target="footer45.xml"/><Relationship Id="rId159" Type="http://schemas.openxmlformats.org/officeDocument/2006/relationships/footer" Target="footer55.xml"/><Relationship Id="rId107" Type="http://schemas.openxmlformats.org/officeDocument/2006/relationships/header" Target="header31.xml"/><Relationship Id="rId11" Type="http://schemas.openxmlformats.org/officeDocument/2006/relationships/image" Target="media/image1.png"/><Relationship Id="rId32" Type="http://schemas.openxmlformats.org/officeDocument/2006/relationships/footer" Target="footer7.xml"/><Relationship Id="rId53" Type="http://schemas.openxmlformats.org/officeDocument/2006/relationships/image" Target="media/image17.emf"/><Relationship Id="rId74" Type="http://schemas.openxmlformats.org/officeDocument/2006/relationships/footer" Target="footer17.xml"/><Relationship Id="rId128" Type="http://schemas.openxmlformats.org/officeDocument/2006/relationships/footer" Target="footer40.xml"/><Relationship Id="rId149" Type="http://schemas.openxmlformats.org/officeDocument/2006/relationships/header" Target="header51.xml"/><Relationship Id="rId5" Type="http://schemas.openxmlformats.org/officeDocument/2006/relationships/numbering" Target="numbering.xml"/><Relationship Id="rId95" Type="http://schemas.openxmlformats.org/officeDocument/2006/relationships/footer" Target="footer26.xml"/><Relationship Id="rId160" Type="http://schemas.openxmlformats.org/officeDocument/2006/relationships/header" Target="header56.xml"/><Relationship Id="rId22" Type="http://schemas.openxmlformats.org/officeDocument/2006/relationships/header" Target="header3.xml"/><Relationship Id="rId43" Type="http://schemas.openxmlformats.org/officeDocument/2006/relationships/header" Target="header11.xml"/><Relationship Id="rId64" Type="http://schemas.openxmlformats.org/officeDocument/2006/relationships/image" Target="media/image24.emf"/><Relationship Id="rId118" Type="http://schemas.openxmlformats.org/officeDocument/2006/relationships/header" Target="header36.xml"/><Relationship Id="rId139" Type="http://schemas.openxmlformats.org/officeDocument/2006/relationships/header" Target="header46.xml"/><Relationship Id="rId85" Type="http://schemas.openxmlformats.org/officeDocument/2006/relationships/header" Target="header23.xml"/><Relationship Id="rId150" Type="http://schemas.openxmlformats.org/officeDocument/2006/relationships/footer" Target="footer50.xml"/><Relationship Id="rId12" Type="http://schemas.openxmlformats.org/officeDocument/2006/relationships/image" Target="media/image2.png"/><Relationship Id="rId33" Type="http://schemas.openxmlformats.org/officeDocument/2006/relationships/footer" Target="footer8.xml"/><Relationship Id="rId108" Type="http://schemas.openxmlformats.org/officeDocument/2006/relationships/header" Target="header32.xml"/><Relationship Id="rId129" Type="http://schemas.openxmlformats.org/officeDocument/2006/relationships/footer" Target="footer41.xml"/><Relationship Id="rId54" Type="http://schemas.openxmlformats.org/officeDocument/2006/relationships/image" Target="media/image18.png"/><Relationship Id="rId70" Type="http://schemas.openxmlformats.org/officeDocument/2006/relationships/footer" Target="footer15.xml"/><Relationship Id="rId75" Type="http://schemas.openxmlformats.org/officeDocument/2006/relationships/footer" Target="footer18.xml"/><Relationship Id="rId91" Type="http://schemas.openxmlformats.org/officeDocument/2006/relationships/image" Target="media/image31.emf"/><Relationship Id="rId96" Type="http://schemas.openxmlformats.org/officeDocument/2006/relationships/image" Target="media/image32.png"/><Relationship Id="rId140" Type="http://schemas.openxmlformats.org/officeDocument/2006/relationships/header" Target="header47.xml"/><Relationship Id="rId145" Type="http://schemas.openxmlformats.org/officeDocument/2006/relationships/header" Target="header49.xml"/><Relationship Id="rId161" Type="http://schemas.openxmlformats.org/officeDocument/2006/relationships/header" Target="header57.xml"/><Relationship Id="rId166" Type="http://schemas.openxmlformats.org/officeDocument/2006/relationships/footer" Target="footer5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footer" Target="footer5.xml"/><Relationship Id="rId49" Type="http://schemas.openxmlformats.org/officeDocument/2006/relationships/image" Target="media/image13.emf"/><Relationship Id="rId114" Type="http://schemas.openxmlformats.org/officeDocument/2006/relationships/footer" Target="footer34.xml"/><Relationship Id="rId119" Type="http://schemas.openxmlformats.org/officeDocument/2006/relationships/header" Target="header37.xml"/><Relationship Id="rId44" Type="http://schemas.openxmlformats.org/officeDocument/2006/relationships/header" Target="header12.xml"/><Relationship Id="rId60" Type="http://schemas.openxmlformats.org/officeDocument/2006/relationships/header" Target="header14.xml"/><Relationship Id="rId65" Type="http://schemas.openxmlformats.org/officeDocument/2006/relationships/image" Target="media/image25.emf"/><Relationship Id="rId81" Type="http://schemas.openxmlformats.org/officeDocument/2006/relationships/header" Target="header21.xml"/><Relationship Id="rId86" Type="http://schemas.openxmlformats.org/officeDocument/2006/relationships/header" Target="header24.xml"/><Relationship Id="rId130" Type="http://schemas.openxmlformats.org/officeDocument/2006/relationships/header" Target="header42.xml"/><Relationship Id="rId135" Type="http://schemas.openxmlformats.org/officeDocument/2006/relationships/header" Target="header44.xml"/><Relationship Id="rId151" Type="http://schemas.openxmlformats.org/officeDocument/2006/relationships/footer" Target="footer51.xml"/><Relationship Id="rId156" Type="http://schemas.openxmlformats.org/officeDocument/2006/relationships/header" Target="header54.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footer" Target="footer10.xml"/><Relationship Id="rId109" Type="http://schemas.openxmlformats.org/officeDocument/2006/relationships/footer" Target="footer31.xml"/><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image" Target="media/image19.emf"/><Relationship Id="rId76" Type="http://schemas.openxmlformats.org/officeDocument/2006/relationships/image" Target="media/image28.emf"/><Relationship Id="rId97" Type="http://schemas.openxmlformats.org/officeDocument/2006/relationships/header" Target="header27.xml"/><Relationship Id="rId104" Type="http://schemas.openxmlformats.org/officeDocument/2006/relationships/footer" Target="footer29.xml"/><Relationship Id="rId120" Type="http://schemas.openxmlformats.org/officeDocument/2006/relationships/footer" Target="footer36.xml"/><Relationship Id="rId125" Type="http://schemas.openxmlformats.org/officeDocument/2006/relationships/footer" Target="footer39.xml"/><Relationship Id="rId141" Type="http://schemas.openxmlformats.org/officeDocument/2006/relationships/footer" Target="footer46.xml"/><Relationship Id="rId146" Type="http://schemas.openxmlformats.org/officeDocument/2006/relationships/footer" Target="footer48.xml"/><Relationship Id="rId167" Type="http://schemas.openxmlformats.org/officeDocument/2006/relationships/footer" Target="footer59.xml"/><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header" Target="header25.xml"/><Relationship Id="rId162" Type="http://schemas.openxmlformats.org/officeDocument/2006/relationships/footer" Target="footer56.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image" Target="media/image8.emf"/><Relationship Id="rId45" Type="http://schemas.openxmlformats.org/officeDocument/2006/relationships/footer" Target="footer11.xml"/><Relationship Id="rId66" Type="http://schemas.openxmlformats.org/officeDocument/2006/relationships/image" Target="media/image26.emf"/><Relationship Id="rId87" Type="http://schemas.openxmlformats.org/officeDocument/2006/relationships/footer" Target="footer23.xml"/><Relationship Id="rId110" Type="http://schemas.openxmlformats.org/officeDocument/2006/relationships/footer" Target="footer32.xml"/><Relationship Id="rId115" Type="http://schemas.openxmlformats.org/officeDocument/2006/relationships/header" Target="header35.xml"/><Relationship Id="rId131" Type="http://schemas.openxmlformats.org/officeDocument/2006/relationships/header" Target="header43.xml"/><Relationship Id="rId136" Type="http://schemas.openxmlformats.org/officeDocument/2006/relationships/header" Target="header45.xml"/><Relationship Id="rId157" Type="http://schemas.openxmlformats.org/officeDocument/2006/relationships/header" Target="header55.xml"/><Relationship Id="rId61" Type="http://schemas.openxmlformats.org/officeDocument/2006/relationships/footer" Target="footer13.xml"/><Relationship Id="rId82" Type="http://schemas.openxmlformats.org/officeDocument/2006/relationships/header" Target="header22.xml"/><Relationship Id="rId152" Type="http://schemas.openxmlformats.org/officeDocument/2006/relationships/header" Target="header52.xml"/><Relationship Id="rId19" Type="http://schemas.openxmlformats.org/officeDocument/2006/relationships/header" Target="header2.xml"/><Relationship Id="rId14" Type="http://schemas.openxmlformats.org/officeDocument/2006/relationships/image" Target="media/image4.jpg"/><Relationship Id="rId30" Type="http://schemas.openxmlformats.org/officeDocument/2006/relationships/header" Target="header7.xml"/><Relationship Id="rId35" Type="http://schemas.openxmlformats.org/officeDocument/2006/relationships/image" Target="media/image7.emf"/><Relationship Id="rId56" Type="http://schemas.openxmlformats.org/officeDocument/2006/relationships/image" Target="media/image20.emf"/><Relationship Id="rId77" Type="http://schemas.openxmlformats.org/officeDocument/2006/relationships/header" Target="header19.xml"/><Relationship Id="rId100" Type="http://schemas.openxmlformats.org/officeDocument/2006/relationships/footer" Target="footer28.xml"/><Relationship Id="rId105" Type="http://schemas.openxmlformats.org/officeDocument/2006/relationships/footer" Target="footer30.xml"/><Relationship Id="rId126" Type="http://schemas.openxmlformats.org/officeDocument/2006/relationships/header" Target="header40.xml"/><Relationship Id="rId147" Type="http://schemas.openxmlformats.org/officeDocument/2006/relationships/footer" Target="footer49.xml"/><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emf"/><Relationship Id="rId72" Type="http://schemas.openxmlformats.org/officeDocument/2006/relationships/header" Target="header17.xml"/><Relationship Id="rId93" Type="http://schemas.openxmlformats.org/officeDocument/2006/relationships/header" Target="header26.xml"/><Relationship Id="rId98" Type="http://schemas.openxmlformats.org/officeDocument/2006/relationships/header" Target="header28.xml"/><Relationship Id="rId121" Type="http://schemas.openxmlformats.org/officeDocument/2006/relationships/footer" Target="footer37.xml"/><Relationship Id="rId142" Type="http://schemas.openxmlformats.org/officeDocument/2006/relationships/footer" Target="footer47.xml"/><Relationship Id="rId163" Type="http://schemas.openxmlformats.org/officeDocument/2006/relationships/footer" Target="footer57.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footer" Target="footer12.xml"/><Relationship Id="rId67" Type="http://schemas.openxmlformats.org/officeDocument/2006/relationships/image" Target="media/image27.emf"/><Relationship Id="rId116" Type="http://schemas.openxmlformats.org/officeDocument/2006/relationships/footer" Target="footer35.xml"/><Relationship Id="rId137" Type="http://schemas.openxmlformats.org/officeDocument/2006/relationships/footer" Target="footer44.xml"/><Relationship Id="rId158" Type="http://schemas.openxmlformats.org/officeDocument/2006/relationships/footer" Target="footer54.xml"/><Relationship Id="rId20" Type="http://schemas.openxmlformats.org/officeDocument/2006/relationships/footer" Target="footer1.xml"/><Relationship Id="rId41" Type="http://schemas.openxmlformats.org/officeDocument/2006/relationships/image" Target="media/image9.emf"/><Relationship Id="rId62" Type="http://schemas.openxmlformats.org/officeDocument/2006/relationships/footer" Target="footer14.xml"/><Relationship Id="rId83" Type="http://schemas.openxmlformats.org/officeDocument/2006/relationships/footer" Target="footer21.xml"/><Relationship Id="rId88" Type="http://schemas.openxmlformats.org/officeDocument/2006/relationships/footer" Target="footer24.xml"/><Relationship Id="rId111" Type="http://schemas.openxmlformats.org/officeDocument/2006/relationships/header" Target="header33.xml"/><Relationship Id="rId132" Type="http://schemas.openxmlformats.org/officeDocument/2006/relationships/footer" Target="footer42.xml"/><Relationship Id="rId153" Type="http://schemas.openxmlformats.org/officeDocument/2006/relationships/header" Target="header53.xml"/><Relationship Id="rId15" Type="http://schemas.openxmlformats.org/officeDocument/2006/relationships/image" Target="media/image5.png"/><Relationship Id="rId36" Type="http://schemas.openxmlformats.org/officeDocument/2006/relationships/header" Target="header9.xml"/><Relationship Id="rId57" Type="http://schemas.openxmlformats.org/officeDocument/2006/relationships/image" Target="media/image21.emf"/><Relationship Id="rId106" Type="http://schemas.openxmlformats.org/officeDocument/2006/relationships/image" Target="media/image34.emf"/><Relationship Id="rId127" Type="http://schemas.openxmlformats.org/officeDocument/2006/relationships/header" Target="header41.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image" Target="media/image16.emf"/><Relationship Id="rId73" Type="http://schemas.openxmlformats.org/officeDocument/2006/relationships/header" Target="header18.xml"/><Relationship Id="rId78" Type="http://schemas.openxmlformats.org/officeDocument/2006/relationships/header" Target="header20.xml"/><Relationship Id="rId94" Type="http://schemas.openxmlformats.org/officeDocument/2006/relationships/footer" Target="footer25.xml"/><Relationship Id="rId99" Type="http://schemas.openxmlformats.org/officeDocument/2006/relationships/footer" Target="footer27.xml"/><Relationship Id="rId101" Type="http://schemas.openxmlformats.org/officeDocument/2006/relationships/image" Target="media/image33.emf"/><Relationship Id="rId122" Type="http://schemas.openxmlformats.org/officeDocument/2006/relationships/header" Target="header38.xml"/><Relationship Id="rId143" Type="http://schemas.openxmlformats.org/officeDocument/2006/relationships/image" Target="media/image37.emf"/><Relationship Id="rId148" Type="http://schemas.openxmlformats.org/officeDocument/2006/relationships/header" Target="header50.xml"/><Relationship Id="rId164" Type="http://schemas.openxmlformats.org/officeDocument/2006/relationships/header" Target="header58.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5.xml"/><Relationship Id="rId47" Type="http://schemas.openxmlformats.org/officeDocument/2006/relationships/image" Target="media/image11.emf"/><Relationship Id="rId68" Type="http://schemas.openxmlformats.org/officeDocument/2006/relationships/header" Target="header15.xml"/><Relationship Id="rId89" Type="http://schemas.openxmlformats.org/officeDocument/2006/relationships/image" Target="media/image29.emf"/><Relationship Id="rId112" Type="http://schemas.openxmlformats.org/officeDocument/2006/relationships/header" Target="header34.xml"/><Relationship Id="rId133" Type="http://schemas.openxmlformats.org/officeDocument/2006/relationships/footer" Target="footer43.xml"/><Relationship Id="rId154" Type="http://schemas.openxmlformats.org/officeDocument/2006/relationships/footer" Target="footer52.xml"/><Relationship Id="rId16" Type="http://schemas.openxmlformats.org/officeDocument/2006/relationships/hyperlink" Target="http://www.pc.gov.au/water-reform-2020/report" TargetMode="External"/><Relationship Id="rId37" Type="http://schemas.openxmlformats.org/officeDocument/2006/relationships/header" Target="header10.xml"/><Relationship Id="rId58" Type="http://schemas.openxmlformats.org/officeDocument/2006/relationships/image" Target="media/image22.emf"/><Relationship Id="rId79" Type="http://schemas.openxmlformats.org/officeDocument/2006/relationships/footer" Target="footer19.xml"/><Relationship Id="rId102" Type="http://schemas.openxmlformats.org/officeDocument/2006/relationships/header" Target="header29.xml"/><Relationship Id="rId123" Type="http://schemas.openxmlformats.org/officeDocument/2006/relationships/header" Target="header39.xml"/><Relationship Id="rId144" Type="http://schemas.openxmlformats.org/officeDocument/2006/relationships/header" Target="header48.xml"/><Relationship Id="rId90" Type="http://schemas.openxmlformats.org/officeDocument/2006/relationships/image" Target="media/image30.emf"/><Relationship Id="rId165" Type="http://schemas.openxmlformats.org/officeDocument/2006/relationships/header" Target="header59.xml"/><Relationship Id="rId27" Type="http://schemas.openxmlformats.org/officeDocument/2006/relationships/header" Target="header6.xml"/><Relationship Id="rId48" Type="http://schemas.openxmlformats.org/officeDocument/2006/relationships/image" Target="media/image12.emf"/><Relationship Id="rId69" Type="http://schemas.openxmlformats.org/officeDocument/2006/relationships/header" Target="header16.xml"/><Relationship Id="rId113" Type="http://schemas.openxmlformats.org/officeDocument/2006/relationships/footer" Target="footer33.xml"/><Relationship Id="rId134" Type="http://schemas.openxmlformats.org/officeDocument/2006/relationships/image" Target="media/image36.emf"/><Relationship Id="rId80" Type="http://schemas.openxmlformats.org/officeDocument/2006/relationships/footer" Target="footer20.xml"/><Relationship Id="rId155" Type="http://schemas.openxmlformats.org/officeDocument/2006/relationships/footer" Target="footer53.xml"/><Relationship Id="rId17" Type="http://schemas.openxmlformats.org/officeDocument/2006/relationships/hyperlink" Target="http://www.pc.gov.au/water-reform-2020/report" TargetMode="External"/><Relationship Id="rId38" Type="http://schemas.openxmlformats.org/officeDocument/2006/relationships/footer" Target="footer9.xml"/><Relationship Id="rId59" Type="http://schemas.openxmlformats.org/officeDocument/2006/relationships/header" Target="header13.xml"/><Relationship Id="rId103" Type="http://schemas.openxmlformats.org/officeDocument/2006/relationships/header" Target="header30.xml"/><Relationship Id="rId124" Type="http://schemas.openxmlformats.org/officeDocument/2006/relationships/footer" Target="footer3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ston\Productivity%20Commission\OfficeTemplates%20-%20Documents\Templates\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d862590d-c2a7-449c-a904-fa2763ba841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34AE7653480D1478BE93450E1857641" ma:contentTypeVersion="4" ma:contentTypeDescription="Create a new document." ma:contentTypeScope="" ma:versionID="b54ebcfa26208cd1f1f5f69e425c3342">
  <xsd:schema xmlns:xsd="http://www.w3.org/2001/XMLSchema" xmlns:xs="http://www.w3.org/2001/XMLSchema" xmlns:p="http://schemas.microsoft.com/office/2006/metadata/properties" xmlns:ns2="afe9431e-8601-43a7-8cca-77987d34e908" xmlns:ns3="d862590d-c2a7-449c-a904-fa2763ba841b" targetNamespace="http://schemas.microsoft.com/office/2006/metadata/properties" ma:root="true" ma:fieldsID="234ba01e077b3945028e76ad9fd29bec" ns2:_="" ns3:_="">
    <xsd:import namespace="afe9431e-8601-43a7-8cca-77987d34e908"/>
    <xsd:import namespace="d862590d-c2a7-449c-a904-fa2763ba841b"/>
    <xsd:element name="properties">
      <xsd:complexType>
        <xsd:sequence>
          <xsd:element name="documentManagement">
            <xsd:complexType>
              <xsd:all>
                <xsd:element ref="ns2:MediaServiceMetadata" minOccurs="0"/>
                <xsd:element ref="ns2:MediaServiceFastMetadata"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9431e-8601-43a7-8cca-77987d34e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2590d-c2a7-449c-a904-fa2763ba841b"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27E509-9E56-40F1-B8A9-274E983C795D}">
  <ds:schemaRefs>
    <ds:schemaRef ds:uri="http://schemas.openxmlformats.org/officeDocument/2006/bibliography"/>
  </ds:schemaRefs>
</ds:datastoreItem>
</file>

<file path=customXml/itemProps2.xml><?xml version="1.0" encoding="utf-8"?>
<ds:datastoreItem xmlns:ds="http://schemas.openxmlformats.org/officeDocument/2006/customXml" ds:itemID="{6C14F113-434C-4FD2-8F22-CF51440B047C}">
  <ds:schemaRefs>
    <ds:schemaRef ds:uri="http://schemas.microsoft.com/sharepoint/v3/contenttype/forms"/>
  </ds:schemaRefs>
</ds:datastoreItem>
</file>

<file path=customXml/itemProps3.xml><?xml version="1.0" encoding="utf-8"?>
<ds:datastoreItem xmlns:ds="http://schemas.openxmlformats.org/officeDocument/2006/customXml" ds:itemID="{2205931B-7519-4D6D-9D59-07F02DB29291}">
  <ds:schemaRefs>
    <ds:schemaRef ds:uri="http://schemas.microsoft.com/office/2006/metadata/properties"/>
    <ds:schemaRef ds:uri="http://schemas.microsoft.com/office/infopath/2007/PartnerControls"/>
    <ds:schemaRef ds:uri="d862590d-c2a7-449c-a904-fa2763ba841b"/>
  </ds:schemaRefs>
</ds:datastoreItem>
</file>

<file path=customXml/itemProps4.xml><?xml version="1.0" encoding="utf-8"?>
<ds:datastoreItem xmlns:ds="http://schemas.openxmlformats.org/officeDocument/2006/customXml" ds:itemID="{F5CD6F26-1A64-436D-AC4C-E3261AAF0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9431e-8601-43a7-8cca-77987d34e908"/>
    <ds:schemaRef ds:uri="d862590d-c2a7-449c-a904-fa2763ba8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481</TotalTime>
  <Pages>257</Pages>
  <Words>86446</Words>
  <Characters>492747</Characters>
  <Application>Microsoft Office Word</Application>
  <DocSecurity>0</DocSecurity>
  <Lines>4106</Lines>
  <Paragraphs>1156</Paragraphs>
  <ScaleCrop>false</ScaleCrop>
  <HeadingPairs>
    <vt:vector size="2" baseType="variant">
      <vt:variant>
        <vt:lpstr>Title</vt:lpstr>
      </vt:variant>
      <vt:variant>
        <vt:i4>1</vt:i4>
      </vt:variant>
    </vt:vector>
  </HeadingPairs>
  <TitlesOfParts>
    <vt:vector size="1" baseType="lpstr">
      <vt:lpstr>Inquiry report - National Water Reform 2020</vt:lpstr>
    </vt:vector>
  </TitlesOfParts>
  <Company>Productivity Commission</Company>
  <LinksUpToDate>false</LinksUpToDate>
  <CharactersWithSpaces>578037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National Water Reform 2020</dc:title>
  <dc:subject>Report</dc:subject>
  <dc:creator>Productivity Commission</dc:creator>
  <cp:keywords/>
  <dc:description>1.</dc:description>
  <cp:lastModifiedBy>Alston, Chris</cp:lastModifiedBy>
  <cp:revision>151</cp:revision>
  <cp:lastPrinted>2021-08-18T23:03:00Z</cp:lastPrinted>
  <dcterms:created xsi:type="dcterms:W3CDTF">2021-05-20T04:20:00Z</dcterms:created>
  <dcterms:modified xsi:type="dcterms:W3CDTF">2021-08-18T23:03:00Z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0x010100034AE7653480D1478BE93450E1857641</vt:lpwstr>
  </property>
  <property fmtid="{D5CDD505-2E9C-101B-9397-08002B2CF9AE}" pid="3" name="RevIMBCS">
    <vt:lpwstr>1;#Unclassified|3955eeb1-2d18-4582-aeb2-00144ec3aaf5</vt:lpwstr>
  </property>
  <property fmtid="{D5CDD505-2E9C-101B-9397-08002B2CF9AE}" pid="4" name="ZOTERO_PREF_1">
    <vt:lpwstr>&lt;data data-version="3" zotero-version="5.0.96"&gt;&lt;session id="XRE8tU8A"/&gt;&lt;style id="http://www.zotero.org/styles/Productivity-Commission" hasBibliography="1" bibliographyStyleHasBeenSet="1"/&gt;&lt;prefs&gt;&lt;pref name="fieldType" value="Field"/&gt;&lt;/prefs&gt;&lt;/data&gt;</vt:lpwstr>
  </property>
</Properties>
</file>