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7E9EB" w14:textId="273820D2" w:rsidR="00C70C04" w:rsidRPr="00C70C04" w:rsidRDefault="00561A87" w:rsidP="00561A87">
      <w:pPr>
        <w:spacing w:before="360" w:after="240" w:line="240" w:lineRule="auto"/>
        <w:rPr>
          <w:sz w:val="28"/>
          <w:szCs w:val="28"/>
        </w:rPr>
      </w:pPr>
      <w:r w:rsidRPr="00561A87">
        <w:rPr>
          <w:sz w:val="28"/>
          <w:szCs w:val="28"/>
        </w:rPr>
        <w:t xml:space="preserve">The </w:t>
      </w:r>
      <w:r w:rsidRPr="00561A87">
        <w:rPr>
          <w:b/>
          <w:bCs/>
          <w:sz w:val="28"/>
          <w:szCs w:val="28"/>
        </w:rPr>
        <w:t>DGR</w:t>
      </w:r>
      <w:r w:rsidRPr="00561A87">
        <w:rPr>
          <w:sz w:val="28"/>
          <w:szCs w:val="28"/>
        </w:rPr>
        <w:t xml:space="preserve"> system provides a </w:t>
      </w:r>
      <w:r w:rsidRPr="00561A87">
        <w:rPr>
          <w:b/>
          <w:bCs/>
          <w:sz w:val="28"/>
          <w:szCs w:val="28"/>
        </w:rPr>
        <w:t>tax deduction for giving to certain charities</w:t>
      </w:r>
      <w:r w:rsidRPr="00561A87">
        <w:rPr>
          <w:sz w:val="28"/>
          <w:szCs w:val="28"/>
        </w:rPr>
        <w:t>. The system benefits taxpayers who donate and recipient charities, and is a key policy lever to incentivise giving.</w:t>
      </w:r>
    </w:p>
    <w:p w14:paraId="1A4A8857" w14:textId="01454425" w:rsidR="00C70C04" w:rsidRPr="00C70C04" w:rsidRDefault="00980ACF" w:rsidP="00C70C04">
      <w:pPr>
        <w:pStyle w:val="Heading2"/>
        <w:spacing w:after="120" w:line="240" w:lineRule="auto"/>
        <w:rPr>
          <w:sz w:val="28"/>
          <w:szCs w:val="28"/>
        </w:rPr>
      </w:pPr>
      <w:r w:rsidRPr="00980ACF">
        <w:rPr>
          <w:sz w:val="28"/>
          <w:szCs w:val="28"/>
        </w:rPr>
        <w:t>The DGR system creates inefficient, inconsistent and unfair outcomes:</w:t>
      </w:r>
    </w:p>
    <w:p w14:paraId="4CF3CBAB" w14:textId="0C745C58" w:rsidR="00005B5D" w:rsidRPr="00005B5D" w:rsidRDefault="00980ACF" w:rsidP="0010578E">
      <w:pPr>
        <w:pStyle w:val="ListBullet"/>
        <w:spacing w:after="120" w:line="240" w:lineRule="auto"/>
        <w:contextualSpacing w:val="0"/>
        <w:rPr>
          <w:sz w:val="24"/>
          <w:szCs w:val="21"/>
        </w:rPr>
      </w:pPr>
      <w:r w:rsidRPr="00980ACF">
        <w:rPr>
          <w:sz w:val="24"/>
          <w:szCs w:val="21"/>
        </w:rPr>
        <w:t xml:space="preserve">There is </w:t>
      </w:r>
      <w:r w:rsidRPr="00B67726">
        <w:rPr>
          <w:b/>
          <w:bCs/>
          <w:sz w:val="24"/>
          <w:szCs w:val="21"/>
        </w:rPr>
        <w:t xml:space="preserve">no coherent policy rationale </w:t>
      </w:r>
      <w:r w:rsidRPr="00980ACF">
        <w:rPr>
          <w:sz w:val="24"/>
          <w:szCs w:val="21"/>
        </w:rPr>
        <w:t>for why certain charities are eligible for DGR status and others miss out.</w:t>
      </w:r>
    </w:p>
    <w:p w14:paraId="4AB8B415" w14:textId="76E9DDD1" w:rsidR="00005B5D" w:rsidRPr="00EE5B19" w:rsidRDefault="00EE5B19" w:rsidP="0010578E">
      <w:pPr>
        <w:pStyle w:val="ListBullet"/>
        <w:spacing w:after="120" w:line="240" w:lineRule="auto"/>
        <w:contextualSpacing w:val="0"/>
        <w:rPr>
          <w:sz w:val="24"/>
          <w:szCs w:val="21"/>
        </w:rPr>
      </w:pPr>
      <w:r w:rsidRPr="00EE5B19">
        <w:rPr>
          <w:sz w:val="24"/>
          <w:szCs w:val="21"/>
        </w:rPr>
        <w:t>DGR eligibility requirements</w:t>
      </w:r>
      <w:r>
        <w:rPr>
          <w:sz w:val="24"/>
          <w:szCs w:val="21"/>
        </w:rPr>
        <w:t xml:space="preserve"> </w:t>
      </w:r>
      <w:r w:rsidRPr="00EE5B19">
        <w:rPr>
          <w:sz w:val="24"/>
          <w:szCs w:val="21"/>
        </w:rPr>
        <w:t xml:space="preserve">can inadvertently </w:t>
      </w:r>
      <w:r w:rsidRPr="00B67726">
        <w:rPr>
          <w:b/>
          <w:bCs/>
          <w:sz w:val="24"/>
          <w:szCs w:val="21"/>
        </w:rPr>
        <w:t>limit access for some smaller charities</w:t>
      </w:r>
      <w:r w:rsidRPr="00EE5B19">
        <w:rPr>
          <w:sz w:val="24"/>
          <w:szCs w:val="21"/>
        </w:rPr>
        <w:t>, which also tend to be more reliant on volunteers.</w:t>
      </w:r>
    </w:p>
    <w:p w14:paraId="12BDA4C3" w14:textId="1A3897AA" w:rsidR="00C7347C" w:rsidRDefault="00EE5B19" w:rsidP="0010578E">
      <w:pPr>
        <w:pStyle w:val="ListBullet"/>
        <w:spacing w:after="120" w:line="240" w:lineRule="auto"/>
        <w:contextualSpacing w:val="0"/>
        <w:rPr>
          <w:sz w:val="24"/>
          <w:szCs w:val="21"/>
        </w:rPr>
      </w:pPr>
      <w:r w:rsidRPr="00EE5B19">
        <w:rPr>
          <w:sz w:val="24"/>
          <w:szCs w:val="21"/>
        </w:rPr>
        <w:t xml:space="preserve">The </w:t>
      </w:r>
      <w:r w:rsidRPr="00B67726">
        <w:rPr>
          <w:b/>
          <w:bCs/>
          <w:sz w:val="24"/>
          <w:szCs w:val="21"/>
        </w:rPr>
        <w:t>complexity of the system continues to increase</w:t>
      </w:r>
      <w:r w:rsidRPr="00EE5B19">
        <w:rPr>
          <w:sz w:val="24"/>
          <w:szCs w:val="21"/>
        </w:rPr>
        <w:t xml:space="preserve"> as new DGR categories are added in a piecemeal manner.</w:t>
      </w:r>
    </w:p>
    <w:p w14:paraId="29FBD26D" w14:textId="19D56263" w:rsidR="00EE5B19" w:rsidRPr="0010578E" w:rsidRDefault="0010578E" w:rsidP="0010578E">
      <w:pPr>
        <w:pStyle w:val="ListBullet"/>
        <w:spacing w:after="240" w:line="240" w:lineRule="auto"/>
        <w:contextualSpacing w:val="0"/>
        <w:rPr>
          <w:sz w:val="24"/>
          <w:szCs w:val="21"/>
        </w:rPr>
      </w:pPr>
      <w:r w:rsidRPr="00B67726">
        <w:rPr>
          <w:b/>
          <w:bCs/>
          <w:sz w:val="24"/>
          <w:szCs w:val="21"/>
        </w:rPr>
        <w:t>Charities that have multiple purposes</w:t>
      </w:r>
      <w:r w:rsidRPr="0010578E">
        <w:rPr>
          <w:sz w:val="24"/>
          <w:szCs w:val="21"/>
        </w:rPr>
        <w:t xml:space="preserve"> may need DGR endorsement for each eligible activity, so </w:t>
      </w:r>
      <w:r w:rsidRPr="00B67726">
        <w:rPr>
          <w:b/>
          <w:bCs/>
          <w:sz w:val="24"/>
          <w:szCs w:val="21"/>
        </w:rPr>
        <w:t>accessing DGR status can be complex</w:t>
      </w:r>
      <w:r w:rsidRPr="0010578E">
        <w:rPr>
          <w:sz w:val="24"/>
          <w:szCs w:val="21"/>
        </w:rPr>
        <w:t>.</w:t>
      </w:r>
    </w:p>
    <w:p w14:paraId="1C5EC387" w14:textId="19DC2624" w:rsidR="00C70C04" w:rsidRPr="00C70C04" w:rsidRDefault="0075245A" w:rsidP="00C70C04">
      <w:pPr>
        <w:pStyle w:val="Heading2"/>
        <w:spacing w:after="120" w:line="240" w:lineRule="auto"/>
        <w:rPr>
          <w:sz w:val="28"/>
          <w:szCs w:val="28"/>
        </w:rPr>
      </w:pPr>
      <w:r w:rsidRPr="0075245A">
        <w:rPr>
          <w:sz w:val="28"/>
          <w:szCs w:val="28"/>
        </w:rPr>
        <w:t>The scope of the reformed DGR system should be based on the following principles (draft recommendation 6.1)</w:t>
      </w:r>
      <w:r w:rsidR="00C70C04" w:rsidRPr="00C70C04">
        <w:rPr>
          <w:sz w:val="28"/>
          <w:szCs w:val="28"/>
        </w:rPr>
        <w:t>:</w:t>
      </w:r>
    </w:p>
    <w:p w14:paraId="7882E552" w14:textId="77777777" w:rsidR="0075245A" w:rsidRDefault="0075245A" w:rsidP="008B2FE7">
      <w:pPr>
        <w:pStyle w:val="ListBullet"/>
        <w:spacing w:after="120" w:line="240" w:lineRule="auto"/>
        <w:contextualSpacing w:val="0"/>
        <w:rPr>
          <w:sz w:val="24"/>
          <w:szCs w:val="21"/>
        </w:rPr>
      </w:pPr>
      <w:r w:rsidRPr="0075245A">
        <w:rPr>
          <w:sz w:val="24"/>
          <w:szCs w:val="21"/>
        </w:rPr>
        <w:t xml:space="preserve">There is a rationale for Australian Government support because the activity has </w:t>
      </w:r>
      <w:r w:rsidRPr="008B2FE7">
        <w:rPr>
          <w:b/>
          <w:bCs/>
          <w:sz w:val="24"/>
          <w:szCs w:val="21"/>
        </w:rPr>
        <w:t>net community-wide benefits</w:t>
      </w:r>
      <w:r w:rsidRPr="0075245A">
        <w:rPr>
          <w:sz w:val="24"/>
          <w:szCs w:val="21"/>
        </w:rPr>
        <w:t xml:space="preserve"> and would otherwise be undersupplied.</w:t>
      </w:r>
    </w:p>
    <w:p w14:paraId="5881E4F5" w14:textId="77777777" w:rsidR="00241AD2" w:rsidRPr="00241AD2" w:rsidRDefault="00241AD2" w:rsidP="008B2FE7">
      <w:pPr>
        <w:pStyle w:val="ListBullet"/>
        <w:spacing w:after="120" w:line="240" w:lineRule="auto"/>
        <w:contextualSpacing w:val="0"/>
      </w:pPr>
      <w:r w:rsidRPr="00241AD2">
        <w:rPr>
          <w:sz w:val="24"/>
          <w:szCs w:val="21"/>
        </w:rPr>
        <w:t xml:space="preserve">There are net benefits from providing Australian Government support for the activity through </w:t>
      </w:r>
      <w:r w:rsidRPr="008B2FE7">
        <w:rPr>
          <w:b/>
          <w:bCs/>
          <w:sz w:val="24"/>
          <w:szCs w:val="21"/>
        </w:rPr>
        <w:t>subsidising philanthropy</w:t>
      </w:r>
      <w:r w:rsidRPr="00241AD2">
        <w:rPr>
          <w:sz w:val="24"/>
          <w:szCs w:val="21"/>
        </w:rPr>
        <w:t>.</w:t>
      </w:r>
    </w:p>
    <w:p w14:paraId="7CAFD983" w14:textId="16D890AA" w:rsidR="00096645" w:rsidRPr="00096645" w:rsidRDefault="00241AD2" w:rsidP="008B2FE7">
      <w:pPr>
        <w:pStyle w:val="ListBullet"/>
        <w:spacing w:after="240" w:line="240" w:lineRule="auto"/>
        <w:contextualSpacing w:val="0"/>
      </w:pPr>
      <w:r w:rsidRPr="00241AD2">
        <w:rPr>
          <w:sz w:val="24"/>
          <w:szCs w:val="21"/>
        </w:rPr>
        <w:t xml:space="preserve">There is unlikely to be a close nexus between donors and beneficiaries, such as the </w:t>
      </w:r>
      <w:r w:rsidRPr="008B2FE7">
        <w:rPr>
          <w:b/>
          <w:bCs/>
          <w:sz w:val="24"/>
          <w:szCs w:val="21"/>
        </w:rPr>
        <w:t>material risk of substitution between fees and donations</w:t>
      </w:r>
      <w:r w:rsidRPr="00241AD2">
        <w:rPr>
          <w:sz w:val="24"/>
          <w:szCs w:val="21"/>
        </w:rPr>
        <w:t>.</w:t>
      </w:r>
      <w:r w:rsidR="00096645" w:rsidRPr="00096645">
        <w:rPr>
          <w:sz w:val="24"/>
          <w:szCs w:val="21"/>
        </w:rPr>
        <w:t xml:space="preserve"> </w:t>
      </w:r>
    </w:p>
    <w:p w14:paraId="70C60C84" w14:textId="1702B5A3" w:rsidR="00AE7C97" w:rsidRPr="00AE7C97" w:rsidRDefault="00CE26BF" w:rsidP="00CE26BF">
      <w:pPr>
        <w:pStyle w:val="ListBullet"/>
        <w:numPr>
          <w:ilvl w:val="0"/>
          <w:numId w:val="0"/>
        </w:numPr>
      </w:pPr>
      <w:r w:rsidRPr="00CE26BF">
        <w:rPr>
          <w:sz w:val="24"/>
          <w:szCs w:val="21"/>
        </w:rPr>
        <w:t xml:space="preserve">The Commission used the principles to </w:t>
      </w:r>
      <w:r w:rsidRPr="008B2FE7">
        <w:rPr>
          <w:b/>
          <w:bCs/>
          <w:sz w:val="24"/>
          <w:szCs w:val="21"/>
        </w:rPr>
        <w:t>assess classes of charitable activities</w:t>
      </w:r>
      <w:r w:rsidRPr="00CE26BF">
        <w:rPr>
          <w:sz w:val="24"/>
          <w:szCs w:val="21"/>
        </w:rPr>
        <w:t>, not individual charities. Applying the principles means most, but not all classes of activities, would be eligible for DGR status.</w:t>
      </w:r>
    </w:p>
    <w:p w14:paraId="06B6EA5C" w14:textId="65E086ED" w:rsidR="00AE7C97" w:rsidRPr="00AE7C97" w:rsidRDefault="00B67726" w:rsidP="00AE7C97">
      <w:r w:rsidRPr="00CE26BF">
        <w:rPr>
          <w:noProof/>
          <w:sz w:val="24"/>
          <w:szCs w:val="21"/>
        </w:rPr>
        <w:drawing>
          <wp:anchor distT="0" distB="0" distL="114300" distR="114300" simplePos="0" relativeHeight="251658240" behindDoc="0" locked="0" layoutInCell="1" allowOverlap="1" wp14:anchorId="4081EF3D" wp14:editId="0E002344">
            <wp:simplePos x="0" y="0"/>
            <wp:positionH relativeFrom="column">
              <wp:posOffset>4205605</wp:posOffset>
            </wp:positionH>
            <wp:positionV relativeFrom="paragraph">
              <wp:posOffset>49761</wp:posOffset>
            </wp:positionV>
            <wp:extent cx="1687830" cy="1619885"/>
            <wp:effectExtent l="0" t="0" r="1270" b="5715"/>
            <wp:wrapSquare wrapText="bothSides"/>
            <wp:docPr id="482421512" name="Picture 4824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1512" name=""/>
                    <pic:cNvPicPr/>
                  </pic:nvPicPr>
                  <pic:blipFill>
                    <a:blip r:embed="rId13">
                      <a:extLst>
                        <a:ext uri="{28A0092B-C50C-407E-A947-70E740481C1C}">
                          <a14:useLocalDpi xmlns:a14="http://schemas.microsoft.com/office/drawing/2010/main" val="0"/>
                        </a:ext>
                      </a:extLst>
                    </a:blip>
                    <a:stretch>
                      <a:fillRect/>
                    </a:stretch>
                  </pic:blipFill>
                  <pic:spPr>
                    <a:xfrm>
                      <a:off x="0" y="0"/>
                      <a:ext cx="1687830" cy="1619885"/>
                    </a:xfrm>
                    <a:prstGeom prst="rect">
                      <a:avLst/>
                    </a:prstGeom>
                  </pic:spPr>
                </pic:pic>
              </a:graphicData>
            </a:graphic>
            <wp14:sizeRelH relativeFrom="page">
              <wp14:pctWidth>0</wp14:pctWidth>
            </wp14:sizeRelH>
            <wp14:sizeRelV relativeFrom="page">
              <wp14:pctHeight>0</wp14:pctHeight>
            </wp14:sizeRelV>
          </wp:anchor>
        </w:drawing>
      </w:r>
    </w:p>
    <w:p w14:paraId="46BEA470" w14:textId="1D453557" w:rsidR="00AE7C97" w:rsidRPr="00AE7C97" w:rsidRDefault="00AE7C97" w:rsidP="00AE7C97"/>
    <w:p w14:paraId="7F6F04D6" w14:textId="68604A44" w:rsidR="00AE7C97" w:rsidRPr="00AE7C97" w:rsidRDefault="00AE7C97" w:rsidP="00AE7C97"/>
    <w:p w14:paraId="29687B5B" w14:textId="6B835547" w:rsidR="008A64C0" w:rsidRDefault="00AE7C97" w:rsidP="00AE7C97">
      <w:pPr>
        <w:tabs>
          <w:tab w:val="left" w:pos="4102"/>
        </w:tabs>
      </w:pPr>
      <w:r>
        <w:tab/>
      </w:r>
    </w:p>
    <w:p w14:paraId="71F62796" w14:textId="6B6DA66D" w:rsidR="005106A8" w:rsidRPr="007417CF" w:rsidRDefault="008A64C0" w:rsidP="007417CF">
      <w:pPr>
        <w:spacing w:after="120"/>
      </w:pPr>
      <w:r>
        <w:br w:type="page"/>
      </w:r>
      <w:r w:rsidR="005106A8">
        <w:lastRenderedPageBreak/>
        <w:br/>
      </w:r>
    </w:p>
    <w:p w14:paraId="0B5989E6" w14:textId="43219E27" w:rsidR="005106A8" w:rsidRPr="00C70C04" w:rsidRDefault="002C6149" w:rsidP="005106A8">
      <w:pPr>
        <w:pStyle w:val="Heading2"/>
        <w:spacing w:after="120" w:line="240" w:lineRule="auto"/>
        <w:rPr>
          <w:sz w:val="28"/>
          <w:szCs w:val="28"/>
        </w:rPr>
      </w:pPr>
      <w:r w:rsidRPr="002C6149">
        <w:rPr>
          <w:sz w:val="28"/>
          <w:szCs w:val="28"/>
        </w:rPr>
        <w:t>The status quo is maintained for…</w:t>
      </w:r>
    </w:p>
    <w:p w14:paraId="56CEAAD9" w14:textId="77777777" w:rsidR="005F63CC" w:rsidRPr="005F63CC" w:rsidRDefault="005F63CC" w:rsidP="009A2851">
      <w:pPr>
        <w:pStyle w:val="ListBullet"/>
        <w:spacing w:after="120"/>
        <w:contextualSpacing w:val="0"/>
        <w:rPr>
          <w:b/>
          <w:bCs/>
          <w:sz w:val="24"/>
          <w:szCs w:val="21"/>
        </w:rPr>
      </w:pPr>
      <w:r w:rsidRPr="005F63CC">
        <w:rPr>
          <w:b/>
          <w:bCs/>
          <w:sz w:val="24"/>
          <w:szCs w:val="21"/>
        </w:rPr>
        <w:t>Charities retaining DGR status</w:t>
      </w:r>
    </w:p>
    <w:p w14:paraId="262B4BA2" w14:textId="532BEA77" w:rsidR="004A284E" w:rsidRPr="009A2851" w:rsidRDefault="004A284E" w:rsidP="009A2851">
      <w:pPr>
        <w:pStyle w:val="ListBullet2"/>
        <w:spacing w:after="120"/>
      </w:pPr>
      <w:r w:rsidRPr="009A2851">
        <w:t xml:space="preserve">Most charities that </w:t>
      </w:r>
      <w:r w:rsidRPr="009A2851">
        <w:rPr>
          <w:b/>
        </w:rPr>
        <w:t>currently do have DGR status</w:t>
      </w:r>
      <w:r w:rsidRPr="009A2851">
        <w:t>, including public benevolent institutions, health promotion charities, animal welfare, environmental, cultural and formal higher education charities.</w:t>
      </w:r>
      <w:r w:rsidR="0062614E" w:rsidRPr="009A2851">
        <w:t xml:space="preserve"> </w:t>
      </w:r>
      <w:r w:rsidR="0062614E" w:rsidRPr="009A2851">
        <w:rPr>
          <w:b/>
        </w:rPr>
        <w:t>More than 20,000 charities are in this group</w:t>
      </w:r>
      <w:r w:rsidR="0062614E" w:rsidRPr="009A2851">
        <w:t>.</w:t>
      </w:r>
    </w:p>
    <w:p w14:paraId="199C9C34" w14:textId="77777777" w:rsidR="005F63CC" w:rsidRPr="005F63CC" w:rsidRDefault="005F63CC" w:rsidP="009A2851">
      <w:pPr>
        <w:pStyle w:val="ListBullet"/>
        <w:spacing w:after="120"/>
        <w:contextualSpacing w:val="0"/>
        <w:rPr>
          <w:b/>
          <w:bCs/>
          <w:sz w:val="24"/>
          <w:szCs w:val="21"/>
        </w:rPr>
      </w:pPr>
      <w:r w:rsidRPr="005F63CC">
        <w:rPr>
          <w:b/>
          <w:bCs/>
          <w:sz w:val="24"/>
          <w:szCs w:val="21"/>
        </w:rPr>
        <w:t>Charities not gaining DGR status</w:t>
      </w:r>
    </w:p>
    <w:p w14:paraId="2EFC3C17" w14:textId="7C0BC286" w:rsidR="005106A8" w:rsidRPr="009A2851" w:rsidRDefault="00FC173A" w:rsidP="009A2851">
      <w:pPr>
        <w:pStyle w:val="ListBullet2"/>
        <w:spacing w:after="120"/>
      </w:pPr>
      <w:r w:rsidRPr="00FC173A">
        <w:t xml:space="preserve">Charities undertaking activities including </w:t>
      </w:r>
      <w:r w:rsidRPr="009A2851">
        <w:rPr>
          <w:b/>
        </w:rPr>
        <w:t>advancing religion</w:t>
      </w:r>
      <w:r w:rsidRPr="00FC173A">
        <w:t xml:space="preserve">, </w:t>
      </w:r>
      <w:r w:rsidRPr="009A2851">
        <w:rPr>
          <w:b/>
        </w:rPr>
        <w:t>advancing industry</w:t>
      </w:r>
      <w:r w:rsidRPr="00FC173A">
        <w:t xml:space="preserve">, as well as some </w:t>
      </w:r>
      <w:r w:rsidRPr="009A2851">
        <w:rPr>
          <w:b/>
        </w:rPr>
        <w:t>aged care</w:t>
      </w:r>
      <w:r w:rsidRPr="00FC173A">
        <w:t xml:space="preserve">, </w:t>
      </w:r>
      <w:r w:rsidRPr="009A2851">
        <w:rPr>
          <w:b/>
        </w:rPr>
        <w:t>childcare</w:t>
      </w:r>
      <w:r w:rsidRPr="00FC173A">
        <w:t xml:space="preserve"> and </w:t>
      </w:r>
      <w:r w:rsidRPr="009A2851">
        <w:rPr>
          <w:b/>
        </w:rPr>
        <w:t>education charities</w:t>
      </w:r>
      <w:r w:rsidRPr="00FC173A">
        <w:t xml:space="preserve"> would remain outside the DGR system.</w:t>
      </w:r>
      <w:r w:rsidR="00456800" w:rsidRPr="00456800">
        <w:t xml:space="preserve"> </w:t>
      </w:r>
      <w:r w:rsidR="00456800" w:rsidRPr="009A2851">
        <w:rPr>
          <w:b/>
        </w:rPr>
        <w:t>About 15,000 to 20,000 charities are in this group</w:t>
      </w:r>
      <w:r w:rsidR="00456800" w:rsidRPr="009A2851">
        <w:t>.</w:t>
      </w:r>
    </w:p>
    <w:p w14:paraId="11CB0911" w14:textId="700D2CEB" w:rsidR="00FC173A" w:rsidRPr="00C70C04" w:rsidRDefault="00C03686" w:rsidP="00FC173A">
      <w:pPr>
        <w:pStyle w:val="Heading2"/>
        <w:spacing w:after="120" w:line="240" w:lineRule="auto"/>
        <w:rPr>
          <w:sz w:val="28"/>
          <w:szCs w:val="28"/>
        </w:rPr>
      </w:pPr>
      <w:r w:rsidRPr="00C03686">
        <w:rPr>
          <w:sz w:val="28"/>
          <w:szCs w:val="28"/>
        </w:rPr>
        <w:t>Changes to DGR status for…</w:t>
      </w:r>
    </w:p>
    <w:p w14:paraId="7FDB1709" w14:textId="73655203" w:rsidR="005F63CC" w:rsidRPr="005F63CC" w:rsidRDefault="005F63CC" w:rsidP="009A2851">
      <w:pPr>
        <w:pStyle w:val="ListBullet"/>
        <w:spacing w:after="120"/>
        <w:contextualSpacing w:val="0"/>
        <w:rPr>
          <w:b/>
          <w:bCs/>
          <w:sz w:val="24"/>
          <w:szCs w:val="21"/>
        </w:rPr>
      </w:pPr>
      <w:r w:rsidRPr="005F63CC">
        <w:rPr>
          <w:b/>
          <w:bCs/>
          <w:sz w:val="24"/>
          <w:szCs w:val="21"/>
        </w:rPr>
        <w:t>Charities gaining DGR status</w:t>
      </w:r>
    </w:p>
    <w:p w14:paraId="71638549" w14:textId="554A5453" w:rsidR="001E3EA4" w:rsidRPr="009A2851" w:rsidRDefault="00C03686" w:rsidP="009A2851">
      <w:pPr>
        <w:pStyle w:val="ListBullet2"/>
        <w:spacing w:after="120"/>
      </w:pPr>
      <w:r w:rsidRPr="009A2851">
        <w:t xml:space="preserve">Charities that </w:t>
      </w:r>
      <w:r w:rsidRPr="009A2851">
        <w:rPr>
          <w:b/>
        </w:rPr>
        <w:t>currently do not have DGR statu</w:t>
      </w:r>
      <w:r w:rsidRPr="00C4021F">
        <w:rPr>
          <w:b/>
          <w:bCs/>
        </w:rPr>
        <w:t>s</w:t>
      </w:r>
      <w:r w:rsidRPr="009A2851">
        <w:t xml:space="preserve">, such as those focused on advocacy and prevention, a wider range of animal welfare charities and many charities run solely by volunteers. </w:t>
      </w:r>
      <w:r w:rsidR="00456800" w:rsidRPr="009A2851">
        <w:rPr>
          <w:b/>
        </w:rPr>
        <w:t>An estimated 10,000 to 20,000 charities could gain DGR status.</w:t>
      </w:r>
    </w:p>
    <w:p w14:paraId="23558B1D" w14:textId="58D365EB" w:rsidR="00C03686" w:rsidRPr="00064467" w:rsidRDefault="00064467" w:rsidP="009A2851">
      <w:pPr>
        <w:pStyle w:val="ListBullet"/>
        <w:spacing w:after="120"/>
        <w:contextualSpacing w:val="0"/>
        <w:rPr>
          <w:b/>
          <w:sz w:val="24"/>
          <w:szCs w:val="21"/>
        </w:rPr>
      </w:pPr>
      <w:r w:rsidRPr="00064467">
        <w:rPr>
          <w:b/>
          <w:bCs/>
          <w:sz w:val="24"/>
          <w:szCs w:val="21"/>
        </w:rPr>
        <w:t>Charities with DGR status withdrawn</w:t>
      </w:r>
    </w:p>
    <w:p w14:paraId="4A4097BB" w14:textId="7F60A823" w:rsidR="00306FBB" w:rsidRPr="009A2851" w:rsidRDefault="00064467" w:rsidP="009A2851">
      <w:pPr>
        <w:pStyle w:val="ListBullet2"/>
        <w:spacing w:after="120"/>
        <w:rPr>
          <w:sz w:val="21"/>
          <w:szCs w:val="18"/>
        </w:rPr>
      </w:pPr>
      <w:r w:rsidRPr="009A2851">
        <w:t xml:space="preserve">Mainly charities that </w:t>
      </w:r>
      <w:r w:rsidRPr="009A2851">
        <w:rPr>
          <w:b/>
          <w:bCs/>
        </w:rPr>
        <w:t xml:space="preserve">have DGR status </w:t>
      </w:r>
      <w:r w:rsidRPr="009A2851">
        <w:t xml:space="preserve">for </w:t>
      </w:r>
      <w:r w:rsidRPr="009A2851">
        <w:rPr>
          <w:b/>
          <w:bCs/>
        </w:rPr>
        <w:t>school building funds</w:t>
      </w:r>
      <w:r w:rsidRPr="009A2851">
        <w:t xml:space="preserve"> or to </w:t>
      </w:r>
      <w:r w:rsidRPr="009A2851">
        <w:rPr>
          <w:b/>
          <w:bCs/>
        </w:rPr>
        <w:t xml:space="preserve">provide religious education </w:t>
      </w:r>
      <w:r w:rsidRPr="009A2851">
        <w:t>in government schools.</w:t>
      </w:r>
      <w:r w:rsidRPr="009A2851">
        <w:rPr>
          <w:sz w:val="24"/>
          <w:szCs w:val="21"/>
        </w:rPr>
        <w:t xml:space="preserve"> </w:t>
      </w:r>
      <w:r w:rsidRPr="009A2851">
        <w:rPr>
          <w:b/>
          <w:bCs/>
        </w:rPr>
        <w:t>Fewer than 5,000 charities are in this group.</w:t>
      </w:r>
    </w:p>
    <w:p w14:paraId="19D21C82" w14:textId="64AE1204" w:rsidR="005106A8" w:rsidRPr="00C70C04" w:rsidRDefault="007D1F93" w:rsidP="005106A8">
      <w:pPr>
        <w:pStyle w:val="Heading2"/>
        <w:spacing w:after="120" w:line="240" w:lineRule="auto"/>
        <w:rPr>
          <w:sz w:val="28"/>
          <w:szCs w:val="28"/>
        </w:rPr>
      </w:pPr>
      <w:r w:rsidRPr="007D1F93">
        <w:rPr>
          <w:sz w:val="28"/>
          <w:szCs w:val="28"/>
        </w:rPr>
        <w:t>The Commission’s draft report:</w:t>
      </w:r>
    </w:p>
    <w:p w14:paraId="4154C12B" w14:textId="3E4C4339" w:rsidR="00AE7C97" w:rsidRDefault="00937D19" w:rsidP="004F6AEA">
      <w:pPr>
        <w:pStyle w:val="ListBullet"/>
        <w:spacing w:after="120"/>
        <w:contextualSpacing w:val="0"/>
        <w:rPr>
          <w:sz w:val="24"/>
          <w:szCs w:val="21"/>
        </w:rPr>
      </w:pPr>
      <w:r w:rsidRPr="00937D19">
        <w:rPr>
          <w:sz w:val="24"/>
          <w:szCs w:val="21"/>
        </w:rPr>
        <w:t xml:space="preserve">Is also </w:t>
      </w:r>
      <w:r w:rsidRPr="007417CF">
        <w:rPr>
          <w:b/>
          <w:bCs/>
          <w:sz w:val="24"/>
          <w:szCs w:val="21"/>
        </w:rPr>
        <w:t>recommending supporting</w:t>
      </w:r>
      <w:r w:rsidRPr="00937D19">
        <w:rPr>
          <w:sz w:val="24"/>
          <w:szCs w:val="21"/>
        </w:rPr>
        <w:t xml:space="preserve"> changes to require charities to be registered by the Australian Charities and Not-for-profits Commission with all applicable charity subtypes and legislate a definition of what constitutes a public benevolent institution </w:t>
      </w:r>
      <w:r w:rsidRPr="00E83BAC">
        <w:rPr>
          <w:sz w:val="24"/>
          <w:szCs w:val="21"/>
        </w:rPr>
        <w:t>(draft recommendation 6.2).</w:t>
      </w:r>
    </w:p>
    <w:p w14:paraId="526A434A" w14:textId="18557564" w:rsidR="00AE7C97" w:rsidRDefault="00940995" w:rsidP="00B11CE6">
      <w:pPr>
        <w:pStyle w:val="ListBullet"/>
        <w:spacing w:after="120"/>
        <w:contextualSpacing w:val="0"/>
        <w:rPr>
          <w:sz w:val="24"/>
          <w:szCs w:val="21"/>
        </w:rPr>
      </w:pPr>
      <w:r w:rsidRPr="00940995">
        <w:rPr>
          <w:sz w:val="24"/>
          <w:szCs w:val="21"/>
        </w:rPr>
        <w:t xml:space="preserve">Invites </w:t>
      </w:r>
      <w:r w:rsidRPr="007417CF">
        <w:rPr>
          <w:b/>
          <w:bCs/>
          <w:sz w:val="24"/>
          <w:szCs w:val="21"/>
        </w:rPr>
        <w:t>feedback on its proposed reforms to inform the final report</w:t>
      </w:r>
      <w:r w:rsidRPr="00940995">
        <w:rPr>
          <w:sz w:val="24"/>
          <w:szCs w:val="21"/>
        </w:rPr>
        <w:t>, including views on: the role and operation of the specific listing process (information request 6.1), the case for changing reporting obligations for charities with DGR status (information request 6.2), transition arrangements for implementing the reforms in draft recommendation 6.1 (information request 6.3) and how giving behaviour could change (information request 6.4).</w:t>
      </w:r>
    </w:p>
    <w:sectPr w:rsidR="00AE7C97" w:rsidSect="00640730">
      <w:headerReference w:type="even" r:id="rId14"/>
      <w:headerReference w:type="default" r:id="rId15"/>
      <w:footerReference w:type="even" r:id="rId16"/>
      <w:footerReference w:type="default" r:id="rId17"/>
      <w:headerReference w:type="first" r:id="rId18"/>
      <w:footerReference w:type="first" r:id="rId19"/>
      <w:pgSz w:w="11906" w:h="16838"/>
      <w:pgMar w:top="2693" w:right="1134" w:bottom="1701"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5BE8B" w14:textId="77777777" w:rsidR="00B2275F" w:rsidRDefault="00B2275F" w:rsidP="00BF738A">
      <w:pPr>
        <w:spacing w:after="0" w:line="240" w:lineRule="auto"/>
      </w:pPr>
      <w:r>
        <w:separator/>
      </w:r>
    </w:p>
  </w:endnote>
  <w:endnote w:type="continuationSeparator" w:id="0">
    <w:p w14:paraId="182C2343" w14:textId="77777777" w:rsidR="00B2275F" w:rsidRDefault="00B2275F" w:rsidP="00BF738A">
      <w:pPr>
        <w:spacing w:after="0" w:line="240" w:lineRule="auto"/>
      </w:pPr>
      <w:r>
        <w:continuationSeparator/>
      </w:r>
    </w:p>
  </w:endnote>
  <w:endnote w:type="continuationNotice" w:id="1">
    <w:p w14:paraId="0353E110" w14:textId="77777777" w:rsidR="00B2275F" w:rsidRDefault="00B227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40AAD" w14:textId="33D7F238" w:rsidR="0084499E" w:rsidRPr="00640730" w:rsidRDefault="00640730" w:rsidP="00640730">
    <w:pPr>
      <w:tabs>
        <w:tab w:val="left" w:pos="2552"/>
        <w:tab w:val="right" w:pos="9072"/>
      </w:tabs>
      <w:spacing w:before="100" w:beforeAutospacing="1" w:after="100" w:afterAutospacing="1" w:line="260" w:lineRule="atLeast"/>
      <w:ind w:right="360"/>
      <w:rPr>
        <w:rFonts w:ascii="Arial" w:eastAsia="Times New Roman" w:hAnsi="Arial" w:cs="Arial"/>
        <w:b/>
        <w:kern w:val="16"/>
        <w:lang w:eastAsia="en-AU"/>
      </w:rPr>
    </w:pPr>
    <w:r w:rsidRPr="00AE7C97">
      <w:rPr>
        <w:rFonts w:ascii="Arial" w:eastAsia="Times New Roman" w:hAnsi="Arial" w:cs="Arial"/>
        <w:b/>
        <w:bCs/>
        <w:noProof/>
        <w:color w:val="265A9A" w:themeColor="background2"/>
        <w:kern w:val="16"/>
        <w:sz w:val="20"/>
        <w:szCs w:val="20"/>
        <w:lang w:eastAsia="en-AU"/>
      </w:rPr>
      <w:drawing>
        <wp:anchor distT="0" distB="0" distL="114300" distR="114300" simplePos="0" relativeHeight="251658242" behindDoc="1" locked="0" layoutInCell="1" allowOverlap="1" wp14:anchorId="28DB8162" wp14:editId="0D83C3CD">
          <wp:simplePos x="0" y="0"/>
          <wp:positionH relativeFrom="page">
            <wp:posOffset>-240632</wp:posOffset>
          </wp:positionH>
          <wp:positionV relativeFrom="page">
            <wp:posOffset>9577136</wp:posOffset>
          </wp:positionV>
          <wp:extent cx="7903677" cy="644625"/>
          <wp:effectExtent l="0" t="0" r="0" b="3175"/>
          <wp:wrapNone/>
          <wp:docPr id="1170791839" name="Picture 1170791839" descr="Providing independent research and advice to Government on economic, social and environmenta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viding independent research and advice to Government on economic, social and environmental issues."/>
                  <pic:cNvPicPr/>
                </pic:nvPicPr>
                <pic:blipFill rotWithShape="1">
                  <a:blip r:embed="rId1">
                    <a:extLst>
                      <a:ext uri="{28A0092B-C50C-407E-A947-70E740481C1C}">
                        <a14:useLocalDpi xmlns:a14="http://schemas.microsoft.com/office/drawing/2010/main" val="0"/>
                      </a:ext>
                    </a:extLst>
                  </a:blip>
                  <a:srcRect l="-3" t="-2082" r="3" b="53256"/>
                  <a:stretch/>
                </pic:blipFill>
                <pic:spPr bwMode="auto">
                  <a:xfrm>
                    <a:off x="0" y="0"/>
                    <a:ext cx="7969013" cy="649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7C97">
      <w:rPr>
        <w:rFonts w:ascii="Arial" w:eastAsia="Times New Roman" w:hAnsi="Arial" w:cs="Arial"/>
        <w:b/>
        <w:bCs/>
        <w:noProof/>
        <w:color w:val="265A9A" w:themeColor="background2"/>
        <w:kern w:val="16"/>
        <w:sz w:val="20"/>
        <w:szCs w:val="20"/>
        <w:lang w:eastAsia="en-AU"/>
      </w:rPr>
      <mc:AlternateContent>
        <mc:Choice Requires="wps">
          <w:drawing>
            <wp:anchor distT="0" distB="0" distL="114300" distR="114300" simplePos="0" relativeHeight="251658243" behindDoc="0" locked="0" layoutInCell="1" allowOverlap="1" wp14:anchorId="65E59281" wp14:editId="7011FB26">
              <wp:simplePos x="0" y="0"/>
              <wp:positionH relativeFrom="column">
                <wp:posOffset>-719689</wp:posOffset>
              </wp:positionH>
              <wp:positionV relativeFrom="paragraph">
                <wp:posOffset>559435</wp:posOffset>
              </wp:positionV>
              <wp:extent cx="7592291" cy="591453"/>
              <wp:effectExtent l="0" t="0" r="2540" b="5715"/>
              <wp:wrapNone/>
              <wp:docPr id="40120736" name="Rectangle 40120736"/>
              <wp:cNvGraphicFramePr/>
              <a:graphic xmlns:a="http://schemas.openxmlformats.org/drawingml/2006/main">
                <a:graphicData uri="http://schemas.microsoft.com/office/word/2010/wordprocessingShape">
                  <wps:wsp>
                    <wps:cNvSpPr/>
                    <wps:spPr>
                      <a:xfrm>
                        <a:off x="0" y="0"/>
                        <a:ext cx="7592291" cy="59145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24C2A8" w14:textId="59E16FAA" w:rsidR="009F1FC1" w:rsidRPr="00640730" w:rsidRDefault="00640730" w:rsidP="00640730">
                          <w:pPr>
                            <w:ind w:left="10800"/>
                            <w:jc w:val="center"/>
                            <w:rPr>
                              <w:color w:val="FFFFFF" w:themeColor="background1"/>
                              <w:sz w:val="44"/>
                              <w:szCs w:val="44"/>
                            </w:rPr>
                          </w:pPr>
                          <w:r w:rsidRPr="00640730">
                            <w:rPr>
                              <w:color w:val="FFFFFF" w:themeColor="background1"/>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5E59281" id="Rectangle 40120736" o:spid="_x0000_s1026" style="position:absolute;margin-left:-56.65pt;margin-top:44.05pt;width:597.8pt;height:46.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" fillcolor="#265a9a [3214]" stroked="f" strokeweight="2pt">
              <v:textbox>
                <w:txbxContent>
                  <w:p w14:paraId="2D24C2A8" w14:textId="59E16FAA" w:rsidR="009F1FC1" w:rsidRPr="00640730" w:rsidRDefault="00640730" w:rsidP="00640730">
                    <w:pPr>
                      <w:ind w:left="10800"/>
                      <w:jc w:val="center"/>
                      <w:rPr>
                        <w:color w:val="FFFFFF" w:themeColor="background1"/>
                        <w:sz w:val="44"/>
                        <w:szCs w:val="44"/>
                      </w:rPr>
                    </w:pPr>
                    <w:r w:rsidRPr="00640730">
                      <w:rPr>
                        <w:color w:val="FFFFFF" w:themeColor="background1"/>
                        <w:sz w:val="44"/>
                        <w:szCs w:val="44"/>
                      </w:rPr>
                      <w:t>2</w:t>
                    </w:r>
                  </w:p>
                </w:txbxContent>
              </v:textbox>
            </v:rect>
          </w:pict>
        </mc:Fallback>
      </mc:AlternateContent>
    </w:r>
    <w:hyperlink r:id="rId2" w:history="1">
      <w:r w:rsidR="001F5722" w:rsidRPr="00AE7C97">
        <w:rPr>
          <w:rStyle w:val="Hyperlink"/>
          <w:rFonts w:ascii="Arial" w:eastAsia="Times New Roman" w:hAnsi="Arial" w:cs="Arial"/>
          <w:b/>
          <w:bCs/>
          <w:noProof/>
          <w:color w:val="265A9A" w:themeColor="background2"/>
          <w:kern w:val="16"/>
          <w:lang w:eastAsia="en-AU"/>
        </w:rPr>
        <w:t>philanthropy@pc.gov.au</w:t>
      </w:r>
    </w:hyperlink>
    <w:r w:rsidR="001F5722" w:rsidRPr="00AE7C97">
      <w:rPr>
        <w:rFonts w:ascii="Arial" w:eastAsia="Times New Roman" w:hAnsi="Arial" w:cs="Arial"/>
        <w:kern w:val="16"/>
        <w:lang w:eastAsia="en-AU"/>
      </w:rPr>
      <w:br/>
      <w:t xml:space="preserve">This publication can be accessed from the Commission’s website at </w:t>
    </w:r>
    <w:hyperlink r:id="rId3" w:history="1">
      <w:r w:rsidR="001F5722" w:rsidRPr="00AE7C97">
        <w:rPr>
          <w:rStyle w:val="Hyperlink"/>
          <w:rFonts w:ascii="Arial" w:eastAsia="Times New Roman" w:hAnsi="Arial" w:cs="Arial"/>
          <w:b/>
          <w:color w:val="265A9A" w:themeColor="background2"/>
          <w:kern w:val="16"/>
          <w:lang w:eastAsia="en-AU"/>
        </w:rPr>
        <w:t>www.pc.gov.au/philanthropy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437636"/>
      <w:docPartObj>
        <w:docPartGallery w:val="Page Numbers (Bottom of Page)"/>
        <w:docPartUnique/>
      </w:docPartObj>
    </w:sdtPr>
    <w:sdtEndPr>
      <w:rPr>
        <w:rStyle w:val="PageNumber"/>
      </w:rPr>
    </w:sdtEndPr>
    <w:sdtContent>
      <w:p w14:paraId="1D506384" w14:textId="73942C19" w:rsidR="003E6D33" w:rsidRDefault="003E6D33" w:rsidP="003E6D33">
        <w:pPr>
          <w:pStyle w:val="Footer"/>
          <w:framePr w:wrap="none" w:vAnchor="text" w:hAnchor="page" w:x="11082" w:y="129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84E127" w14:textId="3FA5629B" w:rsidR="00BF738A" w:rsidRPr="00AE7C97" w:rsidRDefault="00640730" w:rsidP="003E6D33">
    <w:pPr>
      <w:tabs>
        <w:tab w:val="left" w:pos="2552"/>
        <w:tab w:val="right" w:pos="9072"/>
      </w:tabs>
      <w:spacing w:before="100" w:beforeAutospacing="1" w:after="100" w:afterAutospacing="1" w:line="260" w:lineRule="atLeast"/>
      <w:ind w:right="360"/>
      <w:rPr>
        <w:rFonts w:ascii="Arial" w:eastAsia="Times New Roman" w:hAnsi="Arial" w:cs="Arial"/>
        <w:kern w:val="16"/>
        <w:lang w:eastAsia="en-AU"/>
      </w:rPr>
    </w:pPr>
    <w:r w:rsidRPr="00AE7C97">
      <w:rPr>
        <w:rFonts w:ascii="Arial" w:eastAsia="Times New Roman" w:hAnsi="Arial" w:cs="Arial"/>
        <w:b/>
        <w:bCs/>
        <w:noProof/>
        <w:color w:val="265A9A" w:themeColor="background2"/>
        <w:kern w:val="16"/>
        <w:sz w:val="20"/>
        <w:szCs w:val="20"/>
        <w:lang w:eastAsia="en-AU"/>
      </w:rPr>
      <mc:AlternateContent>
        <mc:Choice Requires="wps">
          <w:drawing>
            <wp:anchor distT="0" distB="0" distL="114300" distR="114300" simplePos="0" relativeHeight="251658245" behindDoc="0" locked="0" layoutInCell="1" allowOverlap="1" wp14:anchorId="4AC34BFD" wp14:editId="4B282E7F">
              <wp:simplePos x="0" y="0"/>
              <wp:positionH relativeFrom="column">
                <wp:posOffset>-719689</wp:posOffset>
              </wp:positionH>
              <wp:positionV relativeFrom="paragraph">
                <wp:posOffset>633095</wp:posOffset>
              </wp:positionV>
              <wp:extent cx="7592291" cy="561942"/>
              <wp:effectExtent l="0" t="0" r="2540" b="0"/>
              <wp:wrapNone/>
              <wp:docPr id="1399186418" name="Rectangle 1399186418"/>
              <wp:cNvGraphicFramePr/>
              <a:graphic xmlns:a="http://schemas.openxmlformats.org/drawingml/2006/main">
                <a:graphicData uri="http://schemas.microsoft.com/office/word/2010/wordprocessingShape">
                  <wps:wsp>
                    <wps:cNvSpPr/>
                    <wps:spPr>
                      <a:xfrm>
                        <a:off x="0" y="0"/>
                        <a:ext cx="7592291" cy="561942"/>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2B2532" w14:textId="1866A1B9" w:rsidR="00640730" w:rsidRPr="00640730" w:rsidRDefault="00640730" w:rsidP="00640730">
                          <w:pPr>
                            <w:ind w:left="10800"/>
                            <w:jc w:val="center"/>
                            <w:rPr>
                              <w:sz w:val="44"/>
                              <w:szCs w:val="44"/>
                            </w:rPr>
                          </w:pPr>
                          <w:r>
                            <w:rPr>
                              <w:sz w:val="44"/>
                              <w:szCs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AC34BFD" id="Rectangle 1399186418" o:spid="_x0000_s1027" style="position:absolute;margin-left:-56.65pt;margin-top:49.85pt;width:597.8pt;height:44.2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" fillcolor="#265a9a [3214]" stroked="f" strokeweight="2pt">
              <v:textbox>
                <w:txbxContent>
                  <w:p w14:paraId="132B2532" w14:textId="1866A1B9" w:rsidR="00640730" w:rsidRPr="00640730" w:rsidRDefault="00640730" w:rsidP="00640730">
                    <w:pPr>
                      <w:ind w:left="10800"/>
                      <w:jc w:val="center"/>
                      <w:rPr>
                        <w:sz w:val="44"/>
                        <w:szCs w:val="44"/>
                      </w:rPr>
                    </w:pPr>
                    <w:r>
                      <w:rPr>
                        <w:sz w:val="44"/>
                        <w:szCs w:val="44"/>
                      </w:rPr>
                      <w:t>1</w:t>
                    </w:r>
                  </w:p>
                </w:txbxContent>
              </v:textbox>
            </v:rect>
          </w:pict>
        </mc:Fallback>
      </mc:AlternateContent>
    </w:r>
    <w:r w:rsidRPr="00AE7C97">
      <w:rPr>
        <w:rFonts w:ascii="Arial" w:eastAsia="Times New Roman" w:hAnsi="Arial" w:cs="Arial"/>
        <w:b/>
        <w:bCs/>
        <w:noProof/>
        <w:color w:val="265A9A" w:themeColor="background2"/>
        <w:kern w:val="16"/>
        <w:sz w:val="20"/>
        <w:szCs w:val="20"/>
        <w:lang w:eastAsia="en-AU"/>
      </w:rPr>
      <w:drawing>
        <wp:anchor distT="0" distB="0" distL="114300" distR="114300" simplePos="0" relativeHeight="251658244" behindDoc="1" locked="0" layoutInCell="1" allowOverlap="1" wp14:anchorId="697D6A4C" wp14:editId="75E0F619">
          <wp:simplePos x="0" y="0"/>
          <wp:positionH relativeFrom="page">
            <wp:posOffset>-241852</wp:posOffset>
          </wp:positionH>
          <wp:positionV relativeFrom="page">
            <wp:posOffset>9544618</wp:posOffset>
          </wp:positionV>
          <wp:extent cx="7928882" cy="753687"/>
          <wp:effectExtent l="0" t="0" r="0" b="0"/>
          <wp:wrapNone/>
          <wp:docPr id="829278440" name="Picture 829278440" descr="Providing independent research and advice to Government on economic, social and environmental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viding independent research and advice to Government on economic, social and environmental issues."/>
                  <pic:cNvPicPr/>
                </pic:nvPicPr>
                <pic:blipFill rotWithShape="1">
                  <a:blip r:embed="rId1">
                    <a:extLst>
                      <a:ext uri="{28A0092B-C50C-407E-A947-70E740481C1C}">
                        <a14:useLocalDpi xmlns:a14="http://schemas.microsoft.com/office/drawing/2010/main" val="0"/>
                      </a:ext>
                    </a:extLst>
                  </a:blip>
                  <a:srcRect l="-3" t="-2082" r="3" b="53256"/>
                  <a:stretch/>
                </pic:blipFill>
                <pic:spPr bwMode="auto">
                  <a:xfrm>
                    <a:off x="0" y="0"/>
                    <a:ext cx="7928882" cy="7536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 w:history="1">
      <w:r w:rsidR="00AE7C97" w:rsidRPr="00AE7C97">
        <w:rPr>
          <w:rStyle w:val="Hyperlink"/>
          <w:rFonts w:ascii="Arial" w:eastAsia="Times New Roman" w:hAnsi="Arial" w:cs="Arial"/>
          <w:b/>
          <w:bCs/>
          <w:noProof/>
          <w:color w:val="265A9A" w:themeColor="background2"/>
          <w:kern w:val="16"/>
          <w:lang w:eastAsia="en-AU"/>
        </w:rPr>
        <w:t>philanthropy@pc.gov.au</w:t>
      </w:r>
    </w:hyperlink>
    <w:r w:rsidR="00AE7C97" w:rsidRPr="00AE7C97">
      <w:rPr>
        <w:rFonts w:ascii="Arial" w:eastAsia="Times New Roman" w:hAnsi="Arial" w:cs="Arial"/>
        <w:kern w:val="16"/>
        <w:lang w:eastAsia="en-AU"/>
      </w:rPr>
      <w:br/>
      <w:t>T</w:t>
    </w:r>
    <w:r w:rsidR="00BF738A" w:rsidRPr="00AE7C97">
      <w:rPr>
        <w:rFonts w:ascii="Arial" w:eastAsia="Times New Roman" w:hAnsi="Arial" w:cs="Arial"/>
        <w:kern w:val="16"/>
        <w:lang w:eastAsia="en-AU"/>
      </w:rPr>
      <w:t xml:space="preserve">his publication can be accessed from the Commission’s website at </w:t>
    </w:r>
    <w:hyperlink r:id="rId3" w:history="1">
      <w:r w:rsidR="00AE7C97" w:rsidRPr="00AE7C97">
        <w:rPr>
          <w:rStyle w:val="Hyperlink"/>
          <w:rFonts w:ascii="Arial" w:eastAsia="Times New Roman" w:hAnsi="Arial" w:cs="Arial"/>
          <w:b/>
          <w:color w:val="265A9A" w:themeColor="background2"/>
          <w:kern w:val="16"/>
          <w:lang w:eastAsia="en-AU"/>
        </w:rPr>
        <w:t>www.pc.gov.au/philanthropy</w:t>
      </w:r>
    </w:hyperlink>
    <w:r w:rsidR="00AE7C97" w:rsidRPr="00AE7C97">
      <w:rPr>
        <w:rFonts w:ascii="Arial" w:eastAsia="Times New Roman" w:hAnsi="Arial" w:cs="Arial"/>
        <w:b/>
        <w:kern w:val="16"/>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5946" w14:textId="77777777" w:rsidR="00AC220C" w:rsidRDefault="00AC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9781" w14:textId="77777777" w:rsidR="00B2275F" w:rsidRDefault="00B2275F" w:rsidP="00BF738A">
      <w:pPr>
        <w:spacing w:after="0" w:line="240" w:lineRule="auto"/>
      </w:pPr>
      <w:r>
        <w:separator/>
      </w:r>
    </w:p>
  </w:footnote>
  <w:footnote w:type="continuationSeparator" w:id="0">
    <w:p w14:paraId="28525DB7" w14:textId="77777777" w:rsidR="00B2275F" w:rsidRDefault="00B2275F" w:rsidP="00BF738A">
      <w:pPr>
        <w:spacing w:after="0" w:line="240" w:lineRule="auto"/>
      </w:pPr>
      <w:r>
        <w:continuationSeparator/>
      </w:r>
    </w:p>
  </w:footnote>
  <w:footnote w:type="continuationNotice" w:id="1">
    <w:p w14:paraId="4CEB748A" w14:textId="77777777" w:rsidR="00B2275F" w:rsidRDefault="00B227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200B" w14:textId="77777777" w:rsidR="001F5722" w:rsidRDefault="001F5722" w:rsidP="001F5722">
    <w:pPr>
      <w:pStyle w:val="Heading2"/>
      <w:spacing w:before="0" w:after="0" w:line="240" w:lineRule="auto"/>
      <w:rPr>
        <w:sz w:val="56"/>
        <w:szCs w:val="56"/>
      </w:rPr>
    </w:pPr>
    <w:r w:rsidRPr="00C70C04">
      <w:rPr>
        <w:noProof/>
        <w:color w:val="FFFFFF" w:themeColor="background1"/>
        <w:sz w:val="56"/>
        <w:szCs w:val="56"/>
      </w:rPr>
      <w:drawing>
        <wp:anchor distT="0" distB="0" distL="114300" distR="114300" simplePos="0" relativeHeight="251658241" behindDoc="1" locked="0" layoutInCell="1" allowOverlap="1" wp14:anchorId="05475E75" wp14:editId="1DFF5A1D">
          <wp:simplePos x="0" y="0"/>
          <wp:positionH relativeFrom="column">
            <wp:posOffset>-720090</wp:posOffset>
          </wp:positionH>
          <wp:positionV relativeFrom="paragraph">
            <wp:posOffset>-201872</wp:posOffset>
          </wp:positionV>
          <wp:extent cx="7553325" cy="1731564"/>
          <wp:effectExtent l="0" t="0" r="3175" b="0"/>
          <wp:wrapNone/>
          <wp:docPr id="1386380348" name="Graphic 138638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2743"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852" b="2852"/>
                  <a:stretch>
                    <a:fillRect/>
                  </a:stretch>
                </pic:blipFill>
                <pic:spPr bwMode="auto">
                  <a:xfrm>
                    <a:off x="0" y="0"/>
                    <a:ext cx="7559748" cy="173303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rPr>
      <w:drawing>
        <wp:inline distT="0" distB="0" distL="0" distR="0" wp14:anchorId="6830D96F" wp14:editId="35125B6E">
          <wp:extent cx="2130804" cy="507335"/>
          <wp:effectExtent l="0" t="0" r="3175" b="1270"/>
          <wp:docPr id="892713072" name="Graphic 89271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Graphic 188627984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246475" cy="534876"/>
                  </a:xfrm>
                  <a:prstGeom prst="rect">
                    <a:avLst/>
                  </a:prstGeom>
                </pic:spPr>
              </pic:pic>
            </a:graphicData>
          </a:graphic>
        </wp:inline>
      </w:drawing>
    </w:r>
  </w:p>
  <w:p w14:paraId="302136FD" w14:textId="77777777" w:rsidR="001F5722" w:rsidRDefault="001F5722" w:rsidP="001F5722">
    <w:pPr>
      <w:pStyle w:val="Heading2"/>
      <w:spacing w:after="0" w:line="240" w:lineRule="auto"/>
      <w:rPr>
        <w:color w:val="FFFFFF" w:themeColor="background1"/>
        <w:sz w:val="44"/>
        <w:szCs w:val="44"/>
      </w:rPr>
    </w:pPr>
    <w:r w:rsidRPr="002436B4">
      <w:rPr>
        <w:color w:val="FFFFFF" w:themeColor="background1"/>
        <w:sz w:val="44"/>
        <w:szCs w:val="44"/>
      </w:rPr>
      <w:t>Future foundations for giving</w:t>
    </w:r>
  </w:p>
  <w:p w14:paraId="6E5201BC" w14:textId="2657565E" w:rsidR="0084499E" w:rsidRPr="00AF4209" w:rsidRDefault="00AF4209" w:rsidP="00AF4209">
    <w:pPr>
      <w:pStyle w:val="Header"/>
      <w:jc w:val="left"/>
      <w:rPr>
        <w:sz w:val="27"/>
        <w:szCs w:val="27"/>
      </w:rPr>
    </w:pPr>
    <w:r w:rsidRPr="00AF4209">
      <w:rPr>
        <w:rFonts w:asciiTheme="majorHAnsi" w:eastAsiaTheme="majorEastAsia" w:hAnsiTheme="majorHAnsi" w:cstheme="majorBidi"/>
        <w:b/>
        <w:color w:val="FFFFFF" w:themeColor="background1"/>
        <w:spacing w:val="0"/>
        <w:sz w:val="27"/>
        <w:szCs w:val="27"/>
        <w:lang w:eastAsia="en-US"/>
      </w:rPr>
      <w:t>The deductible gift recipient (</w:t>
    </w:r>
    <w:r w:rsidRPr="00AF4209">
      <w:rPr>
        <w:rFonts w:asciiTheme="majorHAnsi" w:eastAsiaTheme="majorEastAsia" w:hAnsiTheme="majorHAnsi" w:cstheme="majorBidi"/>
        <w:b/>
        <w:color w:val="F8D07A" w:themeColor="accent3" w:themeTint="99"/>
        <w:spacing w:val="0"/>
        <w:sz w:val="27"/>
        <w:szCs w:val="27"/>
        <w:lang w:eastAsia="en-US"/>
      </w:rPr>
      <w:t>DGR</w:t>
    </w:r>
    <w:r w:rsidRPr="00AF4209">
      <w:rPr>
        <w:rFonts w:asciiTheme="majorHAnsi" w:eastAsiaTheme="majorEastAsia" w:hAnsiTheme="majorHAnsi" w:cstheme="majorBidi"/>
        <w:b/>
        <w:color w:val="FFFFFF" w:themeColor="background1"/>
        <w:spacing w:val="0"/>
        <w:sz w:val="27"/>
        <w:szCs w:val="27"/>
        <w:lang w:eastAsia="en-US"/>
      </w:rPr>
      <w:t xml:space="preserve">) proposed reforms </w:t>
    </w:r>
    <w:r>
      <w:rPr>
        <w:rFonts w:asciiTheme="majorHAnsi" w:eastAsiaTheme="majorEastAsia" w:hAnsiTheme="majorHAnsi" w:cstheme="majorBidi"/>
        <w:b/>
        <w:color w:val="FFFFFF" w:themeColor="background1"/>
        <w:spacing w:val="0"/>
        <w:sz w:val="27"/>
        <w:szCs w:val="27"/>
        <w:lang w:eastAsia="en-US"/>
      </w:rPr>
      <w:br/>
    </w:r>
    <w:r w:rsidRPr="00AF4209">
      <w:rPr>
        <w:rFonts w:asciiTheme="majorHAnsi" w:eastAsiaTheme="majorEastAsia" w:hAnsiTheme="majorHAnsi" w:cstheme="majorBidi"/>
        <w:b/>
        <w:color w:val="FFFFFF" w:themeColor="background1"/>
        <w:spacing w:val="0"/>
        <w:sz w:val="27"/>
        <w:szCs w:val="27"/>
        <w:lang w:eastAsia="en-US"/>
      </w:rPr>
      <w:t>would have four possible outcomes for charities: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CAF7" w14:textId="77777777" w:rsidR="002436B4" w:rsidRDefault="00C70C04" w:rsidP="00C7347C">
    <w:pPr>
      <w:pStyle w:val="Heading2"/>
      <w:spacing w:before="0" w:after="0" w:line="240" w:lineRule="auto"/>
      <w:rPr>
        <w:sz w:val="56"/>
        <w:szCs w:val="56"/>
      </w:rPr>
    </w:pPr>
    <w:r w:rsidRPr="00C70C04">
      <w:rPr>
        <w:noProof/>
        <w:color w:val="FFFFFF" w:themeColor="background1"/>
        <w:sz w:val="56"/>
        <w:szCs w:val="56"/>
      </w:rPr>
      <w:drawing>
        <wp:anchor distT="0" distB="0" distL="114300" distR="114300" simplePos="0" relativeHeight="251658240" behindDoc="1" locked="0" layoutInCell="1" allowOverlap="1" wp14:anchorId="3892B733" wp14:editId="30F79392">
          <wp:simplePos x="0" y="0"/>
          <wp:positionH relativeFrom="column">
            <wp:posOffset>-720090</wp:posOffset>
          </wp:positionH>
          <wp:positionV relativeFrom="paragraph">
            <wp:posOffset>-201872</wp:posOffset>
          </wp:positionV>
          <wp:extent cx="7553325" cy="1731564"/>
          <wp:effectExtent l="0" t="0" r="3175" b="0"/>
          <wp:wrapNone/>
          <wp:docPr id="1618955334" name="Graphic 161895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2743"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852" b="2852"/>
                  <a:stretch>
                    <a:fillRect/>
                  </a:stretch>
                </pic:blipFill>
                <pic:spPr bwMode="auto">
                  <a:xfrm>
                    <a:off x="0" y="0"/>
                    <a:ext cx="7559748" cy="173303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rPr>
      <w:drawing>
        <wp:inline distT="0" distB="0" distL="0" distR="0" wp14:anchorId="726B4F65" wp14:editId="3A1EC47E">
          <wp:extent cx="2130804" cy="507335"/>
          <wp:effectExtent l="0" t="0" r="3175" b="1270"/>
          <wp:docPr id="923236185" name="Graphic 92323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847" name="Graphic 188627984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246475" cy="534876"/>
                  </a:xfrm>
                  <a:prstGeom prst="rect">
                    <a:avLst/>
                  </a:prstGeom>
                </pic:spPr>
              </pic:pic>
            </a:graphicData>
          </a:graphic>
        </wp:inline>
      </w:drawing>
    </w:r>
  </w:p>
  <w:p w14:paraId="76DDA8A7" w14:textId="45288EDF" w:rsidR="00BF738A" w:rsidRDefault="002436B4" w:rsidP="002436B4">
    <w:pPr>
      <w:pStyle w:val="Heading2"/>
      <w:spacing w:after="0" w:line="240" w:lineRule="auto"/>
      <w:rPr>
        <w:color w:val="FFFFFF" w:themeColor="background1"/>
        <w:sz w:val="56"/>
        <w:szCs w:val="56"/>
      </w:rPr>
    </w:pPr>
    <w:r w:rsidRPr="002436B4">
      <w:rPr>
        <w:color w:val="FFFFFF" w:themeColor="background1"/>
        <w:sz w:val="44"/>
        <w:szCs w:val="44"/>
      </w:rPr>
      <w:t>Future foundations for giving</w:t>
    </w:r>
  </w:p>
  <w:p w14:paraId="50FCCDE6" w14:textId="57C31E8B" w:rsidR="00C70C04" w:rsidRPr="00C70C04" w:rsidRDefault="00561A87" w:rsidP="008C3FBB">
    <w:pPr>
      <w:pStyle w:val="Heading1"/>
      <w:spacing w:before="100" w:after="0" w:line="240" w:lineRule="auto"/>
      <w:rPr>
        <w:color w:val="FFFFFF" w:themeColor="background1"/>
      </w:rPr>
    </w:pPr>
    <w:r w:rsidRPr="00561A87">
      <w:rPr>
        <w:color w:val="FFFFFF" w:themeColor="background1"/>
      </w:rPr>
      <w:t xml:space="preserve">Proposed reforms to the </w:t>
    </w:r>
    <w:r>
      <w:rPr>
        <w:color w:val="FFFFFF" w:themeColor="background1"/>
      </w:rPr>
      <w:br/>
    </w:r>
    <w:r w:rsidRPr="00561A87">
      <w:rPr>
        <w:color w:val="FFFFFF" w:themeColor="background1"/>
      </w:rPr>
      <w:t>deductible gift recipient (</w:t>
    </w:r>
    <w:r w:rsidRPr="00AF4209">
      <w:rPr>
        <w:color w:val="F8D07A" w:themeColor="accent3" w:themeTint="99"/>
      </w:rPr>
      <w:t>DGR</w:t>
    </w:r>
    <w:r w:rsidRPr="00561A87">
      <w:rPr>
        <w:color w:val="FFFFFF" w:themeColor="background1"/>
      </w:rPr>
      <w:t>)</w:t>
    </w:r>
    <w:r w:rsidRPr="00561A87">
      <w:rPr>
        <w:color w:val="F8D07A" w:themeColor="accent3" w:themeTint="99"/>
      </w:rPr>
      <w:t xml:space="preserve"> </w:t>
    </w:r>
    <w:r w:rsidRPr="00561A87">
      <w:rPr>
        <w:color w:val="FFFFFF" w:themeColor="background1"/>
      </w:rPr>
      <w:t>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D6EB" w14:textId="77777777" w:rsidR="00AC220C" w:rsidRDefault="00AC22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00E10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BB885A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E20ED2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C308877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1A37EF"/>
    <w:multiLevelType w:val="hybridMultilevel"/>
    <w:tmpl w:val="3EB88730"/>
    <w:lvl w:ilvl="0" w:tplc="AA2616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E6C9D"/>
    <w:multiLevelType w:val="multilevel"/>
    <w:tmpl w:val="FF8069A4"/>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6" w15:restartNumberingAfterBreak="0">
    <w:nsid w:val="28AD2195"/>
    <w:multiLevelType w:val="hybridMultilevel"/>
    <w:tmpl w:val="2236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3306796">
    <w:abstractNumId w:val="4"/>
  </w:num>
  <w:num w:numId="2" w16cid:durableId="427622698">
    <w:abstractNumId w:val="3"/>
  </w:num>
  <w:num w:numId="3" w16cid:durableId="251281831">
    <w:abstractNumId w:val="5"/>
  </w:num>
  <w:num w:numId="4" w16cid:durableId="2116289593">
    <w:abstractNumId w:val="1"/>
  </w:num>
  <w:num w:numId="5" w16cid:durableId="382870783">
    <w:abstractNumId w:val="5"/>
  </w:num>
  <w:num w:numId="6" w16cid:durableId="503974340">
    <w:abstractNumId w:val="0"/>
  </w:num>
  <w:num w:numId="7" w16cid:durableId="1133446918">
    <w:abstractNumId w:val="5"/>
  </w:num>
  <w:num w:numId="8" w16cid:durableId="1408189284">
    <w:abstractNumId w:val="2"/>
  </w:num>
  <w:num w:numId="9" w16cid:durableId="1817527221">
    <w:abstractNumId w:val="2"/>
  </w:num>
  <w:num w:numId="10" w16cid:durableId="1264218748">
    <w:abstractNumId w:val="5"/>
  </w:num>
  <w:num w:numId="11" w16cid:durableId="2052879940">
    <w:abstractNumId w:val="5"/>
  </w:num>
  <w:num w:numId="12" w16cid:durableId="1700398896">
    <w:abstractNumId w:val="5"/>
  </w:num>
  <w:num w:numId="13" w16cid:durableId="1882328437">
    <w:abstractNumId w:val="2"/>
  </w:num>
  <w:num w:numId="14" w16cid:durableId="860901578">
    <w:abstractNumId w:val="5"/>
  </w:num>
  <w:num w:numId="15" w16cid:durableId="1641157000">
    <w:abstractNumId w:val="5"/>
  </w:num>
  <w:num w:numId="16" w16cid:durableId="1084789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EA"/>
    <w:rsid w:val="00005B5D"/>
    <w:rsid w:val="00025B41"/>
    <w:rsid w:val="0003218F"/>
    <w:rsid w:val="00042021"/>
    <w:rsid w:val="0004470C"/>
    <w:rsid w:val="00051EB2"/>
    <w:rsid w:val="00057037"/>
    <w:rsid w:val="00064467"/>
    <w:rsid w:val="0006760F"/>
    <w:rsid w:val="00081B90"/>
    <w:rsid w:val="000872C3"/>
    <w:rsid w:val="00096645"/>
    <w:rsid w:val="000E1E49"/>
    <w:rsid w:val="0010578E"/>
    <w:rsid w:val="00127D05"/>
    <w:rsid w:val="0015274A"/>
    <w:rsid w:val="001709F1"/>
    <w:rsid w:val="00193FEF"/>
    <w:rsid w:val="001A5655"/>
    <w:rsid w:val="001C31C8"/>
    <w:rsid w:val="001E1748"/>
    <w:rsid w:val="001E1C8B"/>
    <w:rsid w:val="001E3EA4"/>
    <w:rsid w:val="001F5722"/>
    <w:rsid w:val="00241AD2"/>
    <w:rsid w:val="002436B4"/>
    <w:rsid w:val="00256ED3"/>
    <w:rsid w:val="002647C2"/>
    <w:rsid w:val="0027127B"/>
    <w:rsid w:val="00297CA7"/>
    <w:rsid w:val="002C6149"/>
    <w:rsid w:val="002E346B"/>
    <w:rsid w:val="002F0346"/>
    <w:rsid w:val="002F48C1"/>
    <w:rsid w:val="00300254"/>
    <w:rsid w:val="00306FBB"/>
    <w:rsid w:val="00321C8A"/>
    <w:rsid w:val="003739EE"/>
    <w:rsid w:val="0038191A"/>
    <w:rsid w:val="003A5166"/>
    <w:rsid w:val="003C0C27"/>
    <w:rsid w:val="003C6629"/>
    <w:rsid w:val="003C6BF2"/>
    <w:rsid w:val="003D07BE"/>
    <w:rsid w:val="003D5F85"/>
    <w:rsid w:val="003D6819"/>
    <w:rsid w:val="003E011F"/>
    <w:rsid w:val="003E45E1"/>
    <w:rsid w:val="003E6D33"/>
    <w:rsid w:val="00421411"/>
    <w:rsid w:val="00425485"/>
    <w:rsid w:val="00430C34"/>
    <w:rsid w:val="00434FA3"/>
    <w:rsid w:val="004401EB"/>
    <w:rsid w:val="0044336A"/>
    <w:rsid w:val="00452FB0"/>
    <w:rsid w:val="00453BCA"/>
    <w:rsid w:val="00456800"/>
    <w:rsid w:val="004808F7"/>
    <w:rsid w:val="00490D0C"/>
    <w:rsid w:val="00494DE7"/>
    <w:rsid w:val="004A284E"/>
    <w:rsid w:val="004B1EAA"/>
    <w:rsid w:val="004B7031"/>
    <w:rsid w:val="004D1CB9"/>
    <w:rsid w:val="004F1455"/>
    <w:rsid w:val="004F28F5"/>
    <w:rsid w:val="004F4126"/>
    <w:rsid w:val="004F6AEA"/>
    <w:rsid w:val="005062CE"/>
    <w:rsid w:val="005106A8"/>
    <w:rsid w:val="00511BFF"/>
    <w:rsid w:val="00561A87"/>
    <w:rsid w:val="005666FE"/>
    <w:rsid w:val="005D6A0B"/>
    <w:rsid w:val="005E4B38"/>
    <w:rsid w:val="005F63CC"/>
    <w:rsid w:val="005F7BF9"/>
    <w:rsid w:val="0060421B"/>
    <w:rsid w:val="0062614E"/>
    <w:rsid w:val="00626F0D"/>
    <w:rsid w:val="00640730"/>
    <w:rsid w:val="00643311"/>
    <w:rsid w:val="00654212"/>
    <w:rsid w:val="006D7C2C"/>
    <w:rsid w:val="006E16F7"/>
    <w:rsid w:val="006E27BE"/>
    <w:rsid w:val="006F19CC"/>
    <w:rsid w:val="006F24AB"/>
    <w:rsid w:val="006F3CF6"/>
    <w:rsid w:val="00706574"/>
    <w:rsid w:val="00712096"/>
    <w:rsid w:val="007144DA"/>
    <w:rsid w:val="00724381"/>
    <w:rsid w:val="0073286C"/>
    <w:rsid w:val="007417CF"/>
    <w:rsid w:val="0075245A"/>
    <w:rsid w:val="00764E46"/>
    <w:rsid w:val="00766E79"/>
    <w:rsid w:val="00786A2D"/>
    <w:rsid w:val="007A4797"/>
    <w:rsid w:val="007D0634"/>
    <w:rsid w:val="007D1F93"/>
    <w:rsid w:val="007F4BD6"/>
    <w:rsid w:val="00815FD5"/>
    <w:rsid w:val="008413EB"/>
    <w:rsid w:val="0084499E"/>
    <w:rsid w:val="00847BD4"/>
    <w:rsid w:val="00850178"/>
    <w:rsid w:val="008577D1"/>
    <w:rsid w:val="0088364F"/>
    <w:rsid w:val="0088402D"/>
    <w:rsid w:val="00887AD2"/>
    <w:rsid w:val="00894462"/>
    <w:rsid w:val="008A64C0"/>
    <w:rsid w:val="008B2FE7"/>
    <w:rsid w:val="008C1E20"/>
    <w:rsid w:val="008C2413"/>
    <w:rsid w:val="008C36DE"/>
    <w:rsid w:val="008C3FBB"/>
    <w:rsid w:val="008D2D20"/>
    <w:rsid w:val="008D5A05"/>
    <w:rsid w:val="008F241E"/>
    <w:rsid w:val="008F37BE"/>
    <w:rsid w:val="009251C4"/>
    <w:rsid w:val="00934BEC"/>
    <w:rsid w:val="00937D19"/>
    <w:rsid w:val="00940995"/>
    <w:rsid w:val="009414FB"/>
    <w:rsid w:val="00942692"/>
    <w:rsid w:val="009548C1"/>
    <w:rsid w:val="0097186E"/>
    <w:rsid w:val="00973096"/>
    <w:rsid w:val="00975997"/>
    <w:rsid w:val="00980ACF"/>
    <w:rsid w:val="009A2851"/>
    <w:rsid w:val="009A7B89"/>
    <w:rsid w:val="009F1FC1"/>
    <w:rsid w:val="009F696C"/>
    <w:rsid w:val="00A26E91"/>
    <w:rsid w:val="00A326BA"/>
    <w:rsid w:val="00A36781"/>
    <w:rsid w:val="00A52026"/>
    <w:rsid w:val="00A6285E"/>
    <w:rsid w:val="00A62EEF"/>
    <w:rsid w:val="00A64887"/>
    <w:rsid w:val="00A671CC"/>
    <w:rsid w:val="00A80EF3"/>
    <w:rsid w:val="00AB35D7"/>
    <w:rsid w:val="00AB4BE0"/>
    <w:rsid w:val="00AC220C"/>
    <w:rsid w:val="00AE7C97"/>
    <w:rsid w:val="00AF4209"/>
    <w:rsid w:val="00AF5830"/>
    <w:rsid w:val="00AF5C1A"/>
    <w:rsid w:val="00B00048"/>
    <w:rsid w:val="00B040EA"/>
    <w:rsid w:val="00B10305"/>
    <w:rsid w:val="00B11CE6"/>
    <w:rsid w:val="00B2275F"/>
    <w:rsid w:val="00B43566"/>
    <w:rsid w:val="00B45471"/>
    <w:rsid w:val="00B52ACF"/>
    <w:rsid w:val="00B546FD"/>
    <w:rsid w:val="00B67726"/>
    <w:rsid w:val="00BC1982"/>
    <w:rsid w:val="00BC2B85"/>
    <w:rsid w:val="00BC3186"/>
    <w:rsid w:val="00BD3A48"/>
    <w:rsid w:val="00BE01C1"/>
    <w:rsid w:val="00BF738A"/>
    <w:rsid w:val="00C03686"/>
    <w:rsid w:val="00C06C50"/>
    <w:rsid w:val="00C17A92"/>
    <w:rsid w:val="00C4021F"/>
    <w:rsid w:val="00C63A5F"/>
    <w:rsid w:val="00C70C04"/>
    <w:rsid w:val="00C7347C"/>
    <w:rsid w:val="00C9459E"/>
    <w:rsid w:val="00CC514D"/>
    <w:rsid w:val="00CD6563"/>
    <w:rsid w:val="00CE26BF"/>
    <w:rsid w:val="00CF2996"/>
    <w:rsid w:val="00D034B7"/>
    <w:rsid w:val="00D07FD1"/>
    <w:rsid w:val="00D353E1"/>
    <w:rsid w:val="00D80F72"/>
    <w:rsid w:val="00D86D6E"/>
    <w:rsid w:val="00DA6291"/>
    <w:rsid w:val="00DC040D"/>
    <w:rsid w:val="00E11003"/>
    <w:rsid w:val="00E12FC6"/>
    <w:rsid w:val="00E151AD"/>
    <w:rsid w:val="00E40370"/>
    <w:rsid w:val="00E83BAC"/>
    <w:rsid w:val="00EE46F4"/>
    <w:rsid w:val="00EE5B19"/>
    <w:rsid w:val="00EF23D9"/>
    <w:rsid w:val="00F0576F"/>
    <w:rsid w:val="00F11F63"/>
    <w:rsid w:val="00F31674"/>
    <w:rsid w:val="00F40E5D"/>
    <w:rsid w:val="00F45DB2"/>
    <w:rsid w:val="00F554C4"/>
    <w:rsid w:val="00F7037A"/>
    <w:rsid w:val="00F96226"/>
    <w:rsid w:val="00FC173A"/>
    <w:rsid w:val="00FC60AC"/>
    <w:rsid w:val="00FE3664"/>
    <w:rsid w:val="00FE531F"/>
    <w:rsid w:val="00FF3BD2"/>
    <w:rsid w:val="00FF6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E9FEC"/>
  <w15:docId w15:val="{E564C653-F836-4399-B3B4-6541D9E79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4D"/>
  </w:style>
  <w:style w:type="paragraph" w:styleId="Heading1">
    <w:name w:val="heading 1"/>
    <w:basedOn w:val="Normal"/>
    <w:next w:val="Normal"/>
    <w:link w:val="Heading1Char"/>
    <w:uiPriority w:val="9"/>
    <w:qFormat/>
    <w:rsid w:val="001E1748"/>
    <w:pPr>
      <w:keepNext/>
      <w:keepLines/>
      <w:spacing w:before="240" w:after="120"/>
      <w:outlineLvl w:val="0"/>
    </w:pPr>
    <w:rPr>
      <w:rFonts w:asciiTheme="majorHAnsi" w:eastAsiaTheme="majorEastAsia" w:hAnsiTheme="majorHAnsi" w:cstheme="majorBidi"/>
      <w:b/>
      <w:color w:val="26539D"/>
      <w:sz w:val="32"/>
      <w:szCs w:val="32"/>
    </w:rPr>
  </w:style>
  <w:style w:type="paragraph" w:styleId="Heading2">
    <w:name w:val="heading 2"/>
    <w:basedOn w:val="Normal"/>
    <w:next w:val="Normal"/>
    <w:link w:val="Heading2Char"/>
    <w:uiPriority w:val="9"/>
    <w:unhideWhenUsed/>
    <w:qFormat/>
    <w:rsid w:val="001E1748"/>
    <w:pPr>
      <w:keepNext/>
      <w:keepLines/>
      <w:spacing w:before="40" w:after="80"/>
      <w:outlineLvl w:val="1"/>
    </w:pPr>
    <w:rPr>
      <w:rFonts w:asciiTheme="majorHAnsi" w:eastAsiaTheme="majorEastAsia" w:hAnsiTheme="majorHAnsi" w:cstheme="majorBidi"/>
      <w:b/>
      <w:color w:val="31A2CF"/>
      <w:sz w:val="26"/>
      <w:szCs w:val="26"/>
    </w:rPr>
  </w:style>
  <w:style w:type="paragraph" w:styleId="Heading3">
    <w:name w:val="heading 3"/>
    <w:basedOn w:val="Normal"/>
    <w:next w:val="Normal"/>
    <w:link w:val="Heading3Char"/>
    <w:uiPriority w:val="9"/>
    <w:unhideWhenUsed/>
    <w:qFormat/>
    <w:rsid w:val="00CC514D"/>
    <w:pPr>
      <w:keepNext/>
      <w:keepLines/>
      <w:spacing w:before="40" w:after="0"/>
      <w:outlineLvl w:val="2"/>
    </w:pPr>
    <w:rPr>
      <w:rFonts w:asciiTheme="majorHAnsi" w:eastAsiaTheme="majorEastAsia" w:hAnsiTheme="majorHAnsi" w:cstheme="majorBidi"/>
      <w:b/>
      <w:color w:val="000000"/>
      <w:sz w:val="24"/>
      <w:szCs w:val="24"/>
    </w:rPr>
  </w:style>
  <w:style w:type="paragraph" w:styleId="Heading4">
    <w:name w:val="heading 4"/>
    <w:basedOn w:val="Normal"/>
    <w:next w:val="Normal"/>
    <w:link w:val="Heading4Char"/>
    <w:uiPriority w:val="9"/>
    <w:semiHidden/>
    <w:unhideWhenUsed/>
    <w:qFormat/>
    <w:rsid w:val="00CC514D"/>
    <w:pPr>
      <w:keepNext/>
      <w:keepLines/>
      <w:spacing w:before="40" w:after="0"/>
      <w:outlineLvl w:val="3"/>
    </w:pPr>
    <w:rPr>
      <w:rFonts w:asciiTheme="majorHAnsi" w:eastAsiaTheme="majorEastAsia" w:hAnsiTheme="majorHAnsi" w:cstheme="majorBidi"/>
      <w:i/>
      <w:iCs/>
      <w:color w:val="265A9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748"/>
    <w:rPr>
      <w:rFonts w:ascii="Tahoma" w:hAnsi="Tahoma" w:cs="Tahoma"/>
      <w:sz w:val="16"/>
      <w:szCs w:val="16"/>
    </w:rPr>
  </w:style>
  <w:style w:type="character" w:styleId="BookTitle">
    <w:name w:val="Book Title"/>
    <w:basedOn w:val="DefaultParagraphFont"/>
    <w:uiPriority w:val="33"/>
    <w:semiHidden/>
    <w:rsid w:val="001E1748"/>
    <w:rPr>
      <w:b/>
      <w:bCs/>
      <w:i/>
      <w:iCs/>
      <w:spacing w:val="5"/>
    </w:rPr>
  </w:style>
  <w:style w:type="character" w:styleId="FollowedHyperlink">
    <w:name w:val="FollowedHyperlink"/>
    <w:basedOn w:val="DefaultParagraphFont"/>
    <w:uiPriority w:val="99"/>
    <w:semiHidden/>
    <w:unhideWhenUsed/>
    <w:rsid w:val="001E1748"/>
    <w:rPr>
      <w:color w:val="BFBFBF" w:themeColor="followedHyperlink"/>
      <w:u w:val="single"/>
    </w:rPr>
  </w:style>
  <w:style w:type="paragraph" w:styleId="Footer">
    <w:name w:val="footer"/>
    <w:basedOn w:val="Normal"/>
    <w:link w:val="FooterChar"/>
    <w:uiPriority w:val="99"/>
    <w:unhideWhenUsed/>
    <w:rsid w:val="001E1748"/>
    <w:pPr>
      <w:tabs>
        <w:tab w:val="left" w:pos="2552"/>
        <w:tab w:val="right" w:pos="9072"/>
      </w:tabs>
      <w:spacing w:before="100" w:beforeAutospacing="1" w:after="100" w:afterAutospacing="1" w:line="260" w:lineRule="atLeast"/>
      <w:ind w:left="284" w:right="-427"/>
    </w:pPr>
    <w:rPr>
      <w:rFonts w:ascii="Arial" w:eastAsia="Times New Roman" w:hAnsi="Arial" w:cs="Arial"/>
      <w:noProof/>
      <w:kern w:val="16"/>
      <w:sz w:val="20"/>
      <w:szCs w:val="20"/>
      <w:lang w:eastAsia="en-AU"/>
    </w:rPr>
  </w:style>
  <w:style w:type="character" w:customStyle="1" w:styleId="FooterChar">
    <w:name w:val="Footer Char"/>
    <w:basedOn w:val="DefaultParagraphFont"/>
    <w:link w:val="Footer"/>
    <w:uiPriority w:val="99"/>
    <w:rsid w:val="001E1748"/>
    <w:rPr>
      <w:rFonts w:ascii="Arial" w:eastAsia="Times New Roman" w:hAnsi="Arial" w:cs="Arial"/>
      <w:noProof/>
      <w:kern w:val="16"/>
      <w:sz w:val="20"/>
      <w:szCs w:val="20"/>
      <w:lang w:eastAsia="en-AU"/>
    </w:rPr>
  </w:style>
  <w:style w:type="paragraph" w:styleId="Header">
    <w:name w:val="header"/>
    <w:basedOn w:val="Normal"/>
    <w:link w:val="HeaderChar"/>
    <w:uiPriority w:val="99"/>
    <w:unhideWhenUsed/>
    <w:rsid w:val="001E1748"/>
    <w:pPr>
      <w:spacing w:before="200" w:after="0" w:line="240" w:lineRule="auto"/>
      <w:ind w:right="-794"/>
      <w:contextualSpacing/>
      <w:jc w:val="right"/>
    </w:pPr>
    <w:rPr>
      <w:rFonts w:ascii="Arial" w:eastAsia="Times New Roman" w:hAnsi="Arial" w:cs="Arial"/>
      <w:color w:val="000000" w:themeColor="text1"/>
      <w:spacing w:val="2"/>
      <w:lang w:eastAsia="en-AU"/>
    </w:rPr>
  </w:style>
  <w:style w:type="character" w:customStyle="1" w:styleId="Heading1Char">
    <w:name w:val="Heading 1 Char"/>
    <w:basedOn w:val="DefaultParagraphFont"/>
    <w:link w:val="Heading1"/>
    <w:uiPriority w:val="9"/>
    <w:rsid w:val="001E1748"/>
    <w:rPr>
      <w:rFonts w:asciiTheme="majorHAnsi" w:eastAsiaTheme="majorEastAsia" w:hAnsiTheme="majorHAnsi" w:cstheme="majorBidi"/>
      <w:b/>
      <w:color w:val="26539D"/>
      <w:sz w:val="32"/>
      <w:szCs w:val="32"/>
    </w:rPr>
  </w:style>
  <w:style w:type="character" w:customStyle="1" w:styleId="Heading2Char">
    <w:name w:val="Heading 2 Char"/>
    <w:basedOn w:val="DefaultParagraphFont"/>
    <w:link w:val="Heading2"/>
    <w:uiPriority w:val="9"/>
    <w:rsid w:val="001E1748"/>
    <w:rPr>
      <w:rFonts w:asciiTheme="majorHAnsi" w:eastAsiaTheme="majorEastAsia" w:hAnsiTheme="majorHAnsi" w:cstheme="majorBidi"/>
      <w:b/>
      <w:color w:val="31A2CF"/>
      <w:sz w:val="26"/>
      <w:szCs w:val="26"/>
    </w:rPr>
  </w:style>
  <w:style w:type="character" w:customStyle="1" w:styleId="Heading3Char">
    <w:name w:val="Heading 3 Char"/>
    <w:basedOn w:val="DefaultParagraphFont"/>
    <w:link w:val="Heading3"/>
    <w:uiPriority w:val="9"/>
    <w:rsid w:val="00CC514D"/>
    <w:rPr>
      <w:rFonts w:asciiTheme="majorHAnsi" w:eastAsiaTheme="majorEastAsia" w:hAnsiTheme="majorHAnsi" w:cstheme="majorBidi"/>
      <w:b/>
      <w:color w:val="000000"/>
      <w:sz w:val="24"/>
      <w:szCs w:val="24"/>
    </w:rPr>
  </w:style>
  <w:style w:type="character" w:customStyle="1" w:styleId="HeaderChar">
    <w:name w:val="Header Char"/>
    <w:basedOn w:val="DefaultParagraphFont"/>
    <w:link w:val="Header"/>
    <w:uiPriority w:val="99"/>
    <w:rsid w:val="001E1748"/>
    <w:rPr>
      <w:rFonts w:ascii="Arial" w:eastAsia="Times New Roman" w:hAnsi="Arial" w:cs="Arial"/>
      <w:color w:val="000000" w:themeColor="text1"/>
      <w:spacing w:val="2"/>
      <w:lang w:eastAsia="en-AU"/>
    </w:rPr>
  </w:style>
  <w:style w:type="character" w:styleId="Hyperlink">
    <w:name w:val="Hyperlink"/>
    <w:basedOn w:val="DefaultParagraphFont"/>
    <w:uiPriority w:val="99"/>
    <w:qFormat/>
    <w:rsid w:val="001E1748"/>
    <w:rPr>
      <w:color w:val="265A9A"/>
      <w:u w:val="single"/>
    </w:rPr>
  </w:style>
  <w:style w:type="character" w:styleId="IntenseEmphasis">
    <w:name w:val="Intense Emphasis"/>
    <w:basedOn w:val="DefaultParagraphFont"/>
    <w:uiPriority w:val="21"/>
    <w:rsid w:val="001E1748"/>
    <w:rPr>
      <w:i/>
      <w:iCs/>
      <w:color w:val="265A9A" w:themeColor="background2"/>
    </w:rPr>
  </w:style>
  <w:style w:type="paragraph" w:styleId="IntenseQuote">
    <w:name w:val="Intense Quote"/>
    <w:basedOn w:val="Normal"/>
    <w:next w:val="Normal"/>
    <w:link w:val="IntenseQuoteChar"/>
    <w:uiPriority w:val="30"/>
    <w:semiHidden/>
    <w:rsid w:val="001E1748"/>
    <w:pPr>
      <w:pBdr>
        <w:top w:val="single" w:sz="4" w:space="10" w:color="265A9A" w:themeColor="background2"/>
        <w:bottom w:val="single" w:sz="4" w:space="10" w:color="265A9A" w:themeColor="background2"/>
      </w:pBdr>
      <w:spacing w:before="360" w:after="360"/>
      <w:ind w:left="864" w:right="864"/>
      <w:jc w:val="center"/>
    </w:pPr>
    <w:rPr>
      <w:i/>
      <w:iCs/>
      <w:color w:val="265A9A"/>
    </w:rPr>
  </w:style>
  <w:style w:type="character" w:customStyle="1" w:styleId="IntenseQuoteChar">
    <w:name w:val="Intense Quote Char"/>
    <w:basedOn w:val="DefaultParagraphFont"/>
    <w:link w:val="IntenseQuote"/>
    <w:uiPriority w:val="30"/>
    <w:semiHidden/>
    <w:rsid w:val="00CC514D"/>
    <w:rPr>
      <w:i/>
      <w:iCs/>
      <w:color w:val="265A9A"/>
    </w:rPr>
  </w:style>
  <w:style w:type="character" w:styleId="IntenseReference">
    <w:name w:val="Intense Reference"/>
    <w:basedOn w:val="DefaultParagraphFont"/>
    <w:uiPriority w:val="32"/>
    <w:semiHidden/>
    <w:rsid w:val="001E1748"/>
    <w:rPr>
      <w:b/>
      <w:bCs/>
      <w:smallCaps/>
      <w:color w:val="265A9A" w:themeColor="background2"/>
      <w:spacing w:val="5"/>
    </w:rPr>
  </w:style>
  <w:style w:type="paragraph" w:styleId="ListBullet">
    <w:name w:val="List Bullet"/>
    <w:basedOn w:val="Normal"/>
    <w:link w:val="ListBulletChar"/>
    <w:uiPriority w:val="1"/>
    <w:qFormat/>
    <w:rsid w:val="001E1748"/>
    <w:pPr>
      <w:numPr>
        <w:numId w:val="14"/>
      </w:numPr>
      <w:spacing w:before="60" w:after="60"/>
      <w:contextualSpacing/>
    </w:pPr>
    <w:rPr>
      <w:szCs w:val="20"/>
    </w:rPr>
  </w:style>
  <w:style w:type="character" w:customStyle="1" w:styleId="ListBulletChar">
    <w:name w:val="List Bullet Char"/>
    <w:basedOn w:val="DefaultParagraphFont"/>
    <w:link w:val="ListBullet"/>
    <w:uiPriority w:val="1"/>
    <w:rsid w:val="001E1748"/>
    <w:rPr>
      <w:szCs w:val="20"/>
    </w:rPr>
  </w:style>
  <w:style w:type="paragraph" w:styleId="ListBullet2">
    <w:name w:val="List Bullet 2"/>
    <w:basedOn w:val="Normal"/>
    <w:uiPriority w:val="1"/>
    <w:qFormat/>
    <w:rsid w:val="00425485"/>
    <w:pPr>
      <w:numPr>
        <w:ilvl w:val="1"/>
        <w:numId w:val="14"/>
      </w:numPr>
      <w:spacing w:before="60" w:after="60"/>
      <w:contextualSpacing/>
    </w:pPr>
    <w:rPr>
      <w:szCs w:val="20"/>
    </w:rPr>
  </w:style>
  <w:style w:type="paragraph" w:styleId="ListBullet3">
    <w:name w:val="List Bullet 3"/>
    <w:basedOn w:val="Normal"/>
    <w:uiPriority w:val="1"/>
    <w:qFormat/>
    <w:rsid w:val="001E1748"/>
    <w:pPr>
      <w:numPr>
        <w:ilvl w:val="2"/>
        <w:numId w:val="14"/>
      </w:numPr>
      <w:spacing w:before="60" w:after="60" w:line="274" w:lineRule="auto"/>
      <w:contextualSpacing/>
    </w:pPr>
    <w:rPr>
      <w:szCs w:val="20"/>
    </w:rPr>
  </w:style>
  <w:style w:type="paragraph" w:styleId="ListNumber">
    <w:name w:val="List Number"/>
    <w:basedOn w:val="Normal"/>
    <w:uiPriority w:val="2"/>
    <w:qFormat/>
    <w:rsid w:val="001E1748"/>
    <w:pPr>
      <w:numPr>
        <w:numId w:val="13"/>
      </w:numPr>
      <w:ind w:left="227" w:hanging="227"/>
      <w:contextualSpacing/>
    </w:pPr>
  </w:style>
  <w:style w:type="paragraph" w:styleId="ListParagraph">
    <w:name w:val="List Paragraph"/>
    <w:basedOn w:val="Normal"/>
    <w:uiPriority w:val="34"/>
    <w:semiHidden/>
    <w:rsid w:val="001E1748"/>
    <w:pPr>
      <w:ind w:left="720"/>
      <w:contextualSpacing/>
    </w:pPr>
  </w:style>
  <w:style w:type="paragraph" w:styleId="NoSpacing">
    <w:name w:val="No Spacing"/>
    <w:uiPriority w:val="2"/>
    <w:unhideWhenUsed/>
    <w:rsid w:val="001E1748"/>
    <w:pPr>
      <w:spacing w:after="0" w:line="240" w:lineRule="auto"/>
    </w:pPr>
  </w:style>
  <w:style w:type="paragraph" w:styleId="Quote">
    <w:name w:val="Quote"/>
    <w:basedOn w:val="Normal"/>
    <w:next w:val="Normal"/>
    <w:link w:val="QuoteChar"/>
    <w:uiPriority w:val="29"/>
    <w:rsid w:val="001E1748"/>
    <w:pPr>
      <w:spacing w:before="200" w:after="160"/>
      <w:ind w:left="1134" w:right="1134"/>
    </w:pPr>
    <w:rPr>
      <w:iCs/>
      <w:color w:val="404040" w:themeColor="text1" w:themeTint="BF"/>
    </w:rPr>
  </w:style>
  <w:style w:type="character" w:customStyle="1" w:styleId="QuoteChar">
    <w:name w:val="Quote Char"/>
    <w:basedOn w:val="DefaultParagraphFont"/>
    <w:link w:val="Quote"/>
    <w:uiPriority w:val="29"/>
    <w:rsid w:val="001E1748"/>
    <w:rPr>
      <w:iCs/>
      <w:color w:val="404040" w:themeColor="text1" w:themeTint="BF"/>
    </w:rPr>
  </w:style>
  <w:style w:type="paragraph" w:styleId="Subtitle">
    <w:name w:val="Subtitle"/>
    <w:basedOn w:val="Normal"/>
    <w:next w:val="Normal"/>
    <w:link w:val="SubtitleChar"/>
    <w:uiPriority w:val="11"/>
    <w:semiHidden/>
    <w:rsid w:val="001E174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CC514D"/>
    <w:rPr>
      <w:rFonts w:eastAsiaTheme="minorEastAsia"/>
      <w:color w:val="5A5A5A" w:themeColor="text1" w:themeTint="A5"/>
      <w:spacing w:val="15"/>
    </w:rPr>
  </w:style>
  <w:style w:type="character" w:styleId="SubtleEmphasis">
    <w:name w:val="Subtle Emphasis"/>
    <w:basedOn w:val="DefaultParagraphFont"/>
    <w:uiPriority w:val="19"/>
    <w:rsid w:val="001E1748"/>
    <w:rPr>
      <w:i/>
      <w:iCs/>
      <w:color w:val="404040" w:themeColor="text1" w:themeTint="BF"/>
    </w:rPr>
  </w:style>
  <w:style w:type="paragraph" w:styleId="Title">
    <w:name w:val="Title"/>
    <w:basedOn w:val="Normal"/>
    <w:next w:val="Normal"/>
    <w:link w:val="TitleChar"/>
    <w:uiPriority w:val="10"/>
    <w:semiHidden/>
    <w:rsid w:val="001E17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C514D"/>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CC514D"/>
    <w:rPr>
      <w:rFonts w:asciiTheme="majorHAnsi" w:eastAsiaTheme="majorEastAsia" w:hAnsiTheme="majorHAnsi" w:cstheme="majorBidi"/>
      <w:i/>
      <w:iCs/>
      <w:color w:val="265A9A"/>
    </w:rPr>
  </w:style>
  <w:style w:type="paragraph" w:customStyle="1" w:styleId="PullQuote">
    <w:name w:val="Pull Quote"/>
    <w:basedOn w:val="BodyText"/>
    <w:next w:val="BodyText"/>
    <w:uiPriority w:val="30"/>
    <w:qFormat/>
    <w:rsid w:val="00A6285E"/>
    <w:pPr>
      <w:spacing w:before="120" w:line="280" w:lineRule="atLeast"/>
      <w:ind w:left="284" w:right="284"/>
    </w:pPr>
    <w:rPr>
      <w:rFonts w:ascii="Arial Black" w:hAnsi="Arial Black"/>
      <w:color w:val="265A9A"/>
      <w:sz w:val="24"/>
      <w:szCs w:val="20"/>
    </w:rPr>
  </w:style>
  <w:style w:type="paragraph" w:styleId="BodyText">
    <w:name w:val="Body Text"/>
    <w:basedOn w:val="Normal"/>
    <w:link w:val="BodyTextChar"/>
    <w:uiPriority w:val="99"/>
    <w:semiHidden/>
    <w:unhideWhenUsed/>
    <w:rsid w:val="00A6285E"/>
    <w:pPr>
      <w:spacing w:after="120"/>
    </w:pPr>
  </w:style>
  <w:style w:type="character" w:customStyle="1" w:styleId="BodyTextChar">
    <w:name w:val="Body Text Char"/>
    <w:basedOn w:val="DefaultParagraphFont"/>
    <w:link w:val="BodyText"/>
    <w:uiPriority w:val="99"/>
    <w:semiHidden/>
    <w:rsid w:val="00A6285E"/>
  </w:style>
  <w:style w:type="character" w:styleId="Strong">
    <w:name w:val="Strong"/>
    <w:basedOn w:val="DefaultParagraphFont"/>
    <w:uiPriority w:val="22"/>
    <w:qFormat/>
    <w:rsid w:val="00C70C04"/>
    <w:rPr>
      <w:b/>
      <w:bCs/>
    </w:rPr>
  </w:style>
  <w:style w:type="character" w:styleId="UnresolvedMention">
    <w:name w:val="Unresolved Mention"/>
    <w:basedOn w:val="DefaultParagraphFont"/>
    <w:uiPriority w:val="99"/>
    <w:semiHidden/>
    <w:unhideWhenUsed/>
    <w:rsid w:val="00AE7C97"/>
    <w:rPr>
      <w:color w:val="605E5C"/>
      <w:shd w:val="clear" w:color="auto" w:fill="E1DFDD"/>
    </w:rPr>
  </w:style>
  <w:style w:type="character" w:styleId="PageNumber">
    <w:name w:val="page number"/>
    <w:basedOn w:val="DefaultParagraphFont"/>
    <w:uiPriority w:val="99"/>
    <w:semiHidden/>
    <w:unhideWhenUsed/>
    <w:rsid w:val="00DA62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pc.gov.au/philanthropy" TargetMode="External"/><Relationship Id="rId2" Type="http://schemas.openxmlformats.org/officeDocument/2006/relationships/hyperlink" Target="mailto:philanthropy@pc.gov.au"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pc.gov.au/philanthropy" TargetMode="External"/><Relationship Id="rId2" Type="http://schemas.openxmlformats.org/officeDocument/2006/relationships/hyperlink" Target="mailto:philanthropy@pc.gov.au" TargetMode="External"/><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OneDrive%20-%20Productivity%20Commission\MPW%20working%20files\Templates%20and%20Templafy\media%20release\Media%20release%202022%20-%20TEMPLATE.dotx"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Fact sheet","templateDescription":"","enableDocumentContentUpdater":false,"version":"2.0"}]]></TemplafyTemplate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1f8a1cfc22fc66246e9b5dfc3012b5a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ce8085c790d4db09a7d062618594d2c7"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MPWT-2140667901-47339</_dlc_DocId>
    <_dlc_DocIdUrl xmlns="20393cdf-440a-4521-8f19-00ba43423d00">
      <Url>https://pcgov.sharepoint.com/sites/sceteam/_layouts/15/DocIdRedir.aspx?ID=MPWT-2140667901-47339</Url>
      <Description>MPWT-2140667901-47339</Description>
    </_dlc_DocIdUrl>
  </documentManagement>
</p:properties>
</file>

<file path=customXml/item5.xml><?xml version="1.0" encoding="utf-8"?>
<TemplafyFormConfiguration><![CDATA[{"formFields":[],"formDataEntries":[]}]]></TemplafyForm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68110A-EF1F-4D08-BFD7-961C5DE3AE4D}">
  <ds:schemaRefs/>
</ds:datastoreItem>
</file>

<file path=customXml/itemProps2.xml><?xml version="1.0" encoding="utf-8"?>
<ds:datastoreItem xmlns:ds="http://schemas.openxmlformats.org/officeDocument/2006/customXml" ds:itemID="{593F0079-A84A-4D22-866F-ED2DBDDF8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EAAF1-62BC-4CFF-A9E3-E4A462ED37D1}">
  <ds:schemaRefs>
    <ds:schemaRef ds:uri="http://schemas.microsoft.com/sharepoint/v3/contenttype/forms"/>
  </ds:schemaRefs>
</ds:datastoreItem>
</file>

<file path=customXml/itemProps4.xml><?xml version="1.0" encoding="utf-8"?>
<ds:datastoreItem xmlns:ds="http://schemas.openxmlformats.org/officeDocument/2006/customXml" ds:itemID="{F40AC987-D9A1-40EC-941D-31F79E724F71}">
  <ds:schemaRefs>
    <ds:schemaRef ds:uri="http://purl.org/dc/terms/"/>
    <ds:schemaRef ds:uri="20393cdf-440a-4521-8f19-00ba43423d00"/>
    <ds:schemaRef ds:uri="http://schemas.microsoft.com/office/2006/documentManagement/types"/>
    <ds:schemaRef ds:uri="3d385984-9344-419b-a80b-49c06a2bdab8"/>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59111142-F2B6-4AB6-AAC1-4BEBADF25789}">
  <ds:schemaRefs/>
</ds:datastoreItem>
</file>

<file path=customXml/itemProps6.xml><?xml version="1.0" encoding="utf-8"?>
<ds:datastoreItem xmlns:ds="http://schemas.openxmlformats.org/officeDocument/2006/customXml" ds:itemID="{C0E60F31-0B1F-44C7-94DE-64D6BA6807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Media release 2022 - TEMPLATE.dotx</Template>
  <TotalTime>83</TotalTime>
  <Pages>2</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Proposed reforms to the deductible gift recipient (DGR) system</vt:lpstr>
    </vt:vector>
  </TitlesOfParts>
  <Company>Productivity Commission</Company>
  <LinksUpToDate>false</LinksUpToDate>
  <CharactersWithSpaces>3316</CharactersWithSpaces>
  <SharedDoc>false</SharedDoc>
  <HLinks>
    <vt:vector size="24" baseType="variant">
      <vt:variant>
        <vt:i4>5177345</vt:i4>
      </vt:variant>
      <vt:variant>
        <vt:i4>12</vt:i4>
      </vt:variant>
      <vt:variant>
        <vt:i4>0</vt:i4>
      </vt:variant>
      <vt:variant>
        <vt:i4>5</vt:i4>
      </vt:variant>
      <vt:variant>
        <vt:lpwstr>http://www.pc.gov.au/philanthropy</vt:lpwstr>
      </vt:variant>
      <vt:variant>
        <vt:lpwstr/>
      </vt:variant>
      <vt:variant>
        <vt:i4>4128833</vt:i4>
      </vt:variant>
      <vt:variant>
        <vt:i4>9</vt:i4>
      </vt:variant>
      <vt:variant>
        <vt:i4>0</vt:i4>
      </vt:variant>
      <vt:variant>
        <vt:i4>5</vt:i4>
      </vt:variant>
      <vt:variant>
        <vt:lpwstr>mailto:philanthropy@pc.gov.au</vt:lpwstr>
      </vt:variant>
      <vt:variant>
        <vt:lpwstr/>
      </vt:variant>
      <vt:variant>
        <vt:i4>5177345</vt:i4>
      </vt:variant>
      <vt:variant>
        <vt:i4>3</vt:i4>
      </vt:variant>
      <vt:variant>
        <vt:i4>0</vt:i4>
      </vt:variant>
      <vt:variant>
        <vt:i4>5</vt:i4>
      </vt:variant>
      <vt:variant>
        <vt:lpwstr>http://www.pc.gov.au/philanthropy</vt:lpwstr>
      </vt:variant>
      <vt:variant>
        <vt:lpwstr/>
      </vt:variant>
      <vt:variant>
        <vt:i4>4128833</vt:i4>
      </vt:variant>
      <vt:variant>
        <vt:i4>0</vt:i4>
      </vt:variant>
      <vt:variant>
        <vt:i4>0</vt:i4>
      </vt:variant>
      <vt:variant>
        <vt:i4>5</vt:i4>
      </vt:variant>
      <vt:variant>
        <vt:lpwstr>mailto:philanthropy@pc.gov.au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reforms to the deductible gift recipient (DGR) system</dc:title>
  <dc:subject/>
  <dc:creator>Productivity Commission</dc:creator>
  <cp:keywords/>
  <cp:lastModifiedBy>Bianca Dobson</cp:lastModifiedBy>
  <cp:revision>65</cp:revision>
  <dcterms:created xsi:type="dcterms:W3CDTF">2023-11-25T17:43:00Z</dcterms:created>
  <dcterms:modified xsi:type="dcterms:W3CDTF">2023-12-04T04:26:00Z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637346222824850435</vt:lpwstr>
  </property>
  <property fmtid="{D5CDD505-2E9C-101B-9397-08002B2CF9AE}" pid="4" name="TemplafyUserProfileId">
    <vt:lpwstr>752650215664648239</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_dlc_DocIdItemGuid">
    <vt:lpwstr>251ba119-4948-4e65-9988-acf8a6742e13</vt:lpwstr>
  </property>
  <property fmtid="{D5CDD505-2E9C-101B-9397-08002B2CF9AE}" pid="9" name="MediaServiceImageTags">
    <vt:lpwstr/>
  </property>
</Properties>
</file>