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F742D" w14:textId="77777777" w:rsidR="00F11F63" w:rsidRPr="00F11F63" w:rsidRDefault="00F11F63" w:rsidP="00F11F63">
      <w:pPr>
        <w:spacing w:before="360" w:after="240" w:line="240" w:lineRule="auto"/>
        <w:rPr>
          <w:sz w:val="28"/>
          <w:szCs w:val="28"/>
        </w:rPr>
      </w:pPr>
      <w:r w:rsidRPr="00F11F63">
        <w:rPr>
          <w:sz w:val="28"/>
          <w:szCs w:val="28"/>
        </w:rPr>
        <w:t xml:space="preserve">Charities </w:t>
      </w:r>
      <w:r w:rsidRPr="004808F7">
        <w:rPr>
          <w:b/>
          <w:bCs/>
          <w:sz w:val="28"/>
          <w:szCs w:val="28"/>
        </w:rPr>
        <w:t xml:space="preserve">support people’s social and economic participation </w:t>
      </w:r>
      <w:r w:rsidRPr="00F11F63">
        <w:rPr>
          <w:sz w:val="28"/>
          <w:szCs w:val="28"/>
        </w:rPr>
        <w:t xml:space="preserve">and </w:t>
      </w:r>
      <w:r w:rsidRPr="004808F7">
        <w:rPr>
          <w:b/>
          <w:bCs/>
          <w:sz w:val="28"/>
          <w:szCs w:val="28"/>
        </w:rPr>
        <w:t>contribute to community wellbeing</w:t>
      </w:r>
      <w:r w:rsidRPr="00F11F63">
        <w:rPr>
          <w:sz w:val="28"/>
          <w:szCs w:val="28"/>
        </w:rPr>
        <w:t xml:space="preserve">. </w:t>
      </w:r>
    </w:p>
    <w:p w14:paraId="0D87E9EB" w14:textId="02E92684" w:rsidR="00C70C04" w:rsidRPr="00C70C04" w:rsidRDefault="00F11F63" w:rsidP="00F11F63">
      <w:pPr>
        <w:spacing w:before="360" w:after="240" w:line="240" w:lineRule="auto"/>
        <w:rPr>
          <w:sz w:val="28"/>
          <w:szCs w:val="28"/>
        </w:rPr>
      </w:pPr>
      <w:r w:rsidRPr="00F11F63">
        <w:rPr>
          <w:sz w:val="28"/>
          <w:szCs w:val="28"/>
        </w:rPr>
        <w:t xml:space="preserve">Governments support charities in many ways, including by giving a </w:t>
      </w:r>
      <w:r w:rsidRPr="004808F7">
        <w:rPr>
          <w:b/>
          <w:bCs/>
          <w:sz w:val="28"/>
          <w:szCs w:val="28"/>
        </w:rPr>
        <w:t>tax deduction</w:t>
      </w:r>
      <w:r w:rsidRPr="00F11F63">
        <w:rPr>
          <w:sz w:val="28"/>
          <w:szCs w:val="28"/>
        </w:rPr>
        <w:t xml:space="preserve"> to people who make donations to charities with deductible gift recipient (DGR) status.</w:t>
      </w:r>
    </w:p>
    <w:p w14:paraId="1A4A8857" w14:textId="08185241" w:rsidR="00C70C04" w:rsidRPr="00C70C04" w:rsidRDefault="00D07FD1" w:rsidP="00C70C04">
      <w:pPr>
        <w:pStyle w:val="Heading2"/>
        <w:spacing w:after="120" w:line="240" w:lineRule="auto"/>
        <w:rPr>
          <w:sz w:val="28"/>
          <w:szCs w:val="28"/>
        </w:rPr>
      </w:pPr>
      <w:r w:rsidRPr="00D07FD1">
        <w:rPr>
          <w:sz w:val="28"/>
          <w:szCs w:val="28"/>
        </w:rPr>
        <w:t xml:space="preserve">The Commission finds policies could better support charities to </w:t>
      </w:r>
      <w:r w:rsidR="002F0346">
        <w:rPr>
          <w:sz w:val="28"/>
          <w:szCs w:val="28"/>
        </w:rPr>
        <w:br/>
      </w:r>
      <w:r w:rsidRPr="00D07FD1">
        <w:rPr>
          <w:sz w:val="28"/>
          <w:szCs w:val="28"/>
        </w:rPr>
        <w:t>access philanthropy:</w:t>
      </w:r>
    </w:p>
    <w:p w14:paraId="4CF3CBAB" w14:textId="043BB8C0" w:rsidR="00005B5D" w:rsidRPr="00005B5D" w:rsidRDefault="00D07FD1" w:rsidP="00096645">
      <w:pPr>
        <w:pStyle w:val="ListBullet"/>
        <w:spacing w:after="120" w:line="240" w:lineRule="auto"/>
        <w:contextualSpacing w:val="0"/>
        <w:rPr>
          <w:sz w:val="24"/>
          <w:szCs w:val="21"/>
        </w:rPr>
      </w:pPr>
      <w:r w:rsidRPr="00D07FD1">
        <w:rPr>
          <w:sz w:val="24"/>
          <w:szCs w:val="21"/>
        </w:rPr>
        <w:t>The DGR system</w:t>
      </w:r>
      <w:r w:rsidRPr="004808F7">
        <w:rPr>
          <w:sz w:val="24"/>
          <w:szCs w:val="21"/>
        </w:rPr>
        <w:t xml:space="preserve"> is</w:t>
      </w:r>
      <w:r w:rsidRPr="004808F7">
        <w:rPr>
          <w:b/>
          <w:bCs/>
          <w:sz w:val="24"/>
          <w:szCs w:val="21"/>
        </w:rPr>
        <w:t xml:space="preserve"> poorly designed and overly </w:t>
      </w:r>
      <w:r w:rsidR="004808F7" w:rsidRPr="004808F7">
        <w:rPr>
          <w:b/>
          <w:bCs/>
          <w:sz w:val="24"/>
          <w:szCs w:val="21"/>
        </w:rPr>
        <w:t>complex</w:t>
      </w:r>
      <w:r w:rsidR="00850178" w:rsidRPr="00850178">
        <w:rPr>
          <w:sz w:val="24"/>
          <w:szCs w:val="21"/>
        </w:rPr>
        <w:t>,</w:t>
      </w:r>
      <w:r w:rsidR="004808F7" w:rsidRPr="00D07FD1">
        <w:rPr>
          <w:sz w:val="24"/>
          <w:szCs w:val="21"/>
        </w:rPr>
        <w:t xml:space="preserve"> and</w:t>
      </w:r>
      <w:r w:rsidRPr="00D07FD1">
        <w:rPr>
          <w:sz w:val="24"/>
          <w:szCs w:val="21"/>
        </w:rPr>
        <w:t xml:space="preserve"> excludes many causes without a coherent policy rationale.</w:t>
      </w:r>
    </w:p>
    <w:p w14:paraId="4AB8B415" w14:textId="28184B5A" w:rsidR="00005B5D" w:rsidRPr="00D07FD1" w:rsidRDefault="00D07FD1" w:rsidP="00096645">
      <w:pPr>
        <w:pStyle w:val="ListBullet"/>
        <w:spacing w:after="120" w:line="240" w:lineRule="auto"/>
        <w:contextualSpacing w:val="0"/>
        <w:rPr>
          <w:sz w:val="24"/>
          <w:szCs w:val="21"/>
        </w:rPr>
      </w:pPr>
      <w:r w:rsidRPr="00D07FD1">
        <w:rPr>
          <w:sz w:val="24"/>
          <w:szCs w:val="21"/>
        </w:rPr>
        <w:t xml:space="preserve">The Australian Charities and Not-for-profits Commission (ACNC) </w:t>
      </w:r>
      <w:r w:rsidRPr="004808F7">
        <w:rPr>
          <w:b/>
          <w:bCs/>
          <w:sz w:val="24"/>
          <w:szCs w:val="21"/>
        </w:rPr>
        <w:t>lacks powers to transfer assets held by charities</w:t>
      </w:r>
      <w:r w:rsidRPr="00D07FD1">
        <w:rPr>
          <w:sz w:val="24"/>
          <w:szCs w:val="21"/>
        </w:rPr>
        <w:t xml:space="preserve"> that are dormant, to active charities.</w:t>
      </w:r>
      <w:r>
        <w:rPr>
          <w:sz w:val="24"/>
          <w:szCs w:val="21"/>
        </w:rPr>
        <w:t xml:space="preserve"> </w:t>
      </w:r>
      <w:r w:rsidRPr="00D07FD1">
        <w:rPr>
          <w:sz w:val="24"/>
          <w:szCs w:val="21"/>
        </w:rPr>
        <w:t xml:space="preserve">This means donated funds in dormant charities are unavailable to fund services that benefit </w:t>
      </w:r>
      <w:r w:rsidR="002F0346">
        <w:rPr>
          <w:sz w:val="24"/>
          <w:szCs w:val="21"/>
        </w:rPr>
        <w:br/>
      </w:r>
      <w:r w:rsidRPr="00D07FD1">
        <w:rPr>
          <w:sz w:val="24"/>
          <w:szCs w:val="21"/>
        </w:rPr>
        <w:t>the community.</w:t>
      </w:r>
    </w:p>
    <w:p w14:paraId="12BDA4C3" w14:textId="7679A714" w:rsidR="00C7347C" w:rsidRPr="00096645" w:rsidRDefault="00096645" w:rsidP="00096645">
      <w:pPr>
        <w:pStyle w:val="ListBullet"/>
        <w:spacing w:after="240" w:line="240" w:lineRule="auto"/>
        <w:contextualSpacing w:val="0"/>
        <w:rPr>
          <w:sz w:val="24"/>
          <w:szCs w:val="21"/>
        </w:rPr>
      </w:pPr>
      <w:r w:rsidRPr="00096645">
        <w:rPr>
          <w:sz w:val="24"/>
          <w:szCs w:val="21"/>
        </w:rPr>
        <w:t xml:space="preserve">Charities can </w:t>
      </w:r>
      <w:r w:rsidRPr="004808F7">
        <w:rPr>
          <w:b/>
          <w:bCs/>
          <w:sz w:val="24"/>
          <w:szCs w:val="21"/>
        </w:rPr>
        <w:t>face challenges accessing philanthropy</w:t>
      </w:r>
      <w:r w:rsidRPr="00096645">
        <w:rPr>
          <w:sz w:val="24"/>
          <w:szCs w:val="21"/>
        </w:rPr>
        <w:t xml:space="preserve"> because of their size, location and nature of their activities. This could inhibit specific groups or communities that these charities serve from accessing quality services or support.</w:t>
      </w:r>
    </w:p>
    <w:p w14:paraId="1C5EC387" w14:textId="13390B8E" w:rsidR="00C70C04" w:rsidRPr="00C70C04" w:rsidRDefault="00C70C04" w:rsidP="00C70C04">
      <w:pPr>
        <w:pStyle w:val="Heading2"/>
        <w:spacing w:after="120" w:line="240" w:lineRule="auto"/>
        <w:rPr>
          <w:sz w:val="28"/>
          <w:szCs w:val="28"/>
        </w:rPr>
      </w:pPr>
      <w:r w:rsidRPr="00C70C04">
        <w:rPr>
          <w:sz w:val="28"/>
          <w:szCs w:val="28"/>
        </w:rPr>
        <w:t>The Commission’s draft report:</w:t>
      </w:r>
    </w:p>
    <w:p w14:paraId="4ABF2EFD" w14:textId="16119F39" w:rsidR="00096645" w:rsidRDefault="00096645" w:rsidP="00005B5D">
      <w:pPr>
        <w:pStyle w:val="ListBullet"/>
        <w:spacing w:after="120" w:line="240" w:lineRule="auto"/>
        <w:contextualSpacing w:val="0"/>
        <w:rPr>
          <w:sz w:val="24"/>
          <w:szCs w:val="21"/>
        </w:rPr>
      </w:pPr>
      <w:r w:rsidRPr="00096645">
        <w:rPr>
          <w:sz w:val="24"/>
          <w:szCs w:val="21"/>
        </w:rPr>
        <w:t xml:space="preserve">Recommends a </w:t>
      </w:r>
      <w:r w:rsidRPr="004808F7">
        <w:rPr>
          <w:b/>
          <w:bCs/>
          <w:sz w:val="24"/>
          <w:szCs w:val="21"/>
        </w:rPr>
        <w:t>simpler and more consistent DGR system</w:t>
      </w:r>
      <w:r w:rsidRPr="00096645">
        <w:rPr>
          <w:sz w:val="24"/>
          <w:szCs w:val="21"/>
        </w:rPr>
        <w:t xml:space="preserve"> that is accessible to a broader range of charities (draft recommendation 6.1).</w:t>
      </w:r>
    </w:p>
    <w:p w14:paraId="7CAFD983" w14:textId="2906AC57" w:rsidR="00096645" w:rsidRPr="00096645" w:rsidRDefault="00096645" w:rsidP="00005B5D">
      <w:pPr>
        <w:pStyle w:val="ListBullet"/>
        <w:spacing w:after="120" w:line="240" w:lineRule="auto"/>
        <w:contextualSpacing w:val="0"/>
      </w:pPr>
      <w:r w:rsidRPr="00096645">
        <w:rPr>
          <w:sz w:val="24"/>
          <w:szCs w:val="21"/>
        </w:rPr>
        <w:t xml:space="preserve">Recommends </w:t>
      </w:r>
      <w:r w:rsidRPr="004808F7">
        <w:rPr>
          <w:b/>
          <w:bCs/>
          <w:sz w:val="24"/>
          <w:szCs w:val="21"/>
        </w:rPr>
        <w:t>providing greater clarity about the application of charity law</w:t>
      </w:r>
      <w:r w:rsidRPr="00096645">
        <w:rPr>
          <w:sz w:val="24"/>
          <w:szCs w:val="21"/>
        </w:rPr>
        <w:t xml:space="preserve"> by introducing test case funding, a binding rulings scheme (draft recommendation 7.3) and a legislated definition of a public benevolent institution (draft recommendation 6.2). </w:t>
      </w:r>
    </w:p>
    <w:p w14:paraId="320CCC9D" w14:textId="00099E95" w:rsidR="00005B5D" w:rsidRPr="00AE7C97" w:rsidRDefault="004808F7" w:rsidP="00005B5D">
      <w:pPr>
        <w:pStyle w:val="ListBullet"/>
        <w:spacing w:after="120" w:line="240" w:lineRule="auto"/>
        <w:contextualSpacing w:val="0"/>
      </w:pPr>
      <w:r w:rsidRPr="004808F7">
        <w:rPr>
          <w:sz w:val="24"/>
          <w:szCs w:val="21"/>
        </w:rPr>
        <w:t xml:space="preserve">Is seeking views on options to </w:t>
      </w:r>
      <w:r w:rsidRPr="004808F7">
        <w:rPr>
          <w:b/>
          <w:bCs/>
          <w:sz w:val="24"/>
          <w:szCs w:val="21"/>
        </w:rPr>
        <w:t>enable the ACNC to direct unused or surplus charity assets for use by eligible active charities</w:t>
      </w:r>
      <w:r w:rsidRPr="004808F7">
        <w:rPr>
          <w:sz w:val="24"/>
          <w:szCs w:val="21"/>
        </w:rPr>
        <w:t xml:space="preserve"> (information request 7.1).</w:t>
      </w:r>
    </w:p>
    <w:p w14:paraId="70C60C84" w14:textId="5C6839EC" w:rsidR="00AE7C97" w:rsidRPr="00AE7C97" w:rsidRDefault="004808F7" w:rsidP="00AE7C97">
      <w:r w:rsidRPr="004808F7">
        <w:rPr>
          <w:noProof/>
        </w:rPr>
        <w:drawing>
          <wp:anchor distT="0" distB="0" distL="114300" distR="114300" simplePos="0" relativeHeight="251658240" behindDoc="0" locked="0" layoutInCell="1" allowOverlap="1" wp14:anchorId="21F60759" wp14:editId="00E9A87F">
            <wp:simplePos x="0" y="0"/>
            <wp:positionH relativeFrom="column">
              <wp:posOffset>4665980</wp:posOffset>
            </wp:positionH>
            <wp:positionV relativeFrom="paragraph">
              <wp:posOffset>211455</wp:posOffset>
            </wp:positionV>
            <wp:extent cx="1257300" cy="1628775"/>
            <wp:effectExtent l="0" t="0" r="0" b="0"/>
            <wp:wrapSquare wrapText="bothSides"/>
            <wp:docPr id="101244671" name="Picture 101244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467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70"/>
                    <a:stretch/>
                  </pic:blipFill>
                  <pic:spPr bwMode="auto">
                    <a:xfrm>
                      <a:off x="0" y="0"/>
                      <a:ext cx="125730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6EA5C" w14:textId="5E58EE5C" w:rsidR="00AE7C97" w:rsidRPr="00AE7C97" w:rsidRDefault="00AE7C97" w:rsidP="00AE7C97"/>
    <w:p w14:paraId="46BEA470" w14:textId="36519F6F" w:rsidR="00AE7C97" w:rsidRPr="00AE7C97" w:rsidRDefault="00AE7C97" w:rsidP="00AE7C97"/>
    <w:p w14:paraId="7F6F04D6" w14:textId="06992CDD" w:rsidR="00AE7C97" w:rsidRPr="00AE7C97" w:rsidRDefault="00AE7C97" w:rsidP="00AE7C97"/>
    <w:p w14:paraId="29687B5B" w14:textId="2851133F" w:rsidR="00AE7C97" w:rsidRPr="00AE7C97" w:rsidRDefault="00AE7C97" w:rsidP="00AE7C97">
      <w:pPr>
        <w:tabs>
          <w:tab w:val="left" w:pos="4102"/>
        </w:tabs>
      </w:pPr>
      <w:r>
        <w:tab/>
      </w:r>
    </w:p>
    <w:sectPr w:rsidR="00AE7C97" w:rsidRPr="00AE7C97" w:rsidSect="00AE7C9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693" w:right="1134" w:bottom="1701" w:left="1134" w:header="284" w:footer="8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2FECC" w14:textId="77777777" w:rsidR="00B10305" w:rsidRDefault="00B10305" w:rsidP="00BF738A">
      <w:pPr>
        <w:spacing w:after="0" w:line="240" w:lineRule="auto"/>
      </w:pPr>
      <w:r>
        <w:separator/>
      </w:r>
    </w:p>
  </w:endnote>
  <w:endnote w:type="continuationSeparator" w:id="0">
    <w:p w14:paraId="570381A6" w14:textId="77777777" w:rsidR="00B10305" w:rsidRDefault="00B10305" w:rsidP="00BF738A">
      <w:pPr>
        <w:spacing w:after="0" w:line="240" w:lineRule="auto"/>
      </w:pPr>
      <w:r>
        <w:continuationSeparator/>
      </w:r>
    </w:p>
  </w:endnote>
  <w:endnote w:type="continuationNotice" w:id="1">
    <w:p w14:paraId="3B4B967D" w14:textId="77777777" w:rsidR="00B10305" w:rsidRDefault="00B103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BA8E7" w14:textId="77777777" w:rsidR="00615C5C" w:rsidRDefault="00615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4E127" w14:textId="715F06C8" w:rsidR="00BF738A" w:rsidRPr="00AE7C97" w:rsidRDefault="00AE7C97" w:rsidP="00AE7C97">
    <w:pPr>
      <w:tabs>
        <w:tab w:val="left" w:pos="2552"/>
        <w:tab w:val="right" w:pos="9072"/>
      </w:tabs>
      <w:spacing w:before="100" w:beforeAutospacing="1" w:after="100" w:afterAutospacing="1" w:line="260" w:lineRule="atLeast"/>
      <w:rPr>
        <w:rFonts w:ascii="Arial" w:eastAsia="Times New Roman" w:hAnsi="Arial" w:cs="Arial"/>
        <w:kern w:val="16"/>
        <w:lang w:eastAsia="en-AU"/>
      </w:rPr>
    </w:pPr>
    <w:r w:rsidRPr="00AE7C97">
      <w:rPr>
        <w:rFonts w:ascii="Arial" w:eastAsia="Times New Roman" w:hAnsi="Arial" w:cs="Arial"/>
        <w:b/>
        <w:bCs/>
        <w:noProof/>
        <w:color w:val="265A9A" w:themeColor="background2"/>
        <w:kern w:val="16"/>
        <w:sz w:val="20"/>
        <w:szCs w:val="20"/>
        <w:lang w:eastAsia="en-AU"/>
      </w:rPr>
      <w:drawing>
        <wp:anchor distT="0" distB="0" distL="114300" distR="114300" simplePos="0" relativeHeight="251658240" behindDoc="1" locked="0" layoutInCell="1" allowOverlap="1" wp14:anchorId="697D6A4C" wp14:editId="72CD51D9">
          <wp:simplePos x="0" y="0"/>
          <wp:positionH relativeFrom="page">
            <wp:posOffset>-260465</wp:posOffset>
          </wp:positionH>
          <wp:positionV relativeFrom="page">
            <wp:posOffset>9509759</wp:posOffset>
          </wp:positionV>
          <wp:extent cx="7928882" cy="753687"/>
          <wp:effectExtent l="0" t="0" r="0" b="0"/>
          <wp:wrapNone/>
          <wp:docPr id="1440379643" name="Picture 1440379643" descr="Providing independent research and advice to Government on economic, social and environmental issue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Providing independent research and advice to Government on economic, social and environmental issue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" t="-2082" r="3" b="53256"/>
                  <a:stretch/>
                </pic:blipFill>
                <pic:spPr bwMode="auto">
                  <a:xfrm>
                    <a:off x="0" y="0"/>
                    <a:ext cx="8012876" cy="7616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E7C97">
      <w:rPr>
        <w:rFonts w:ascii="Arial" w:eastAsia="Times New Roman" w:hAnsi="Arial" w:cs="Arial"/>
        <w:b/>
        <w:bCs/>
        <w:noProof/>
        <w:color w:val="265A9A" w:themeColor="background2"/>
        <w:kern w:val="16"/>
        <w:sz w:val="20"/>
        <w:szCs w:val="20"/>
        <w:lang w:eastAsia="en-AU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AC34BFD" wp14:editId="005B8F65">
              <wp:simplePos x="0" y="0"/>
              <wp:positionH relativeFrom="column">
                <wp:posOffset>-720090</wp:posOffset>
              </wp:positionH>
              <wp:positionV relativeFrom="paragraph">
                <wp:posOffset>579293</wp:posOffset>
              </wp:positionV>
              <wp:extent cx="7592291" cy="687359"/>
              <wp:effectExtent l="0" t="0" r="2540" b="0"/>
              <wp:wrapNone/>
              <wp:docPr id="1254473338" name="Rectangle 12544733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2291" cy="68735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w16du="http://schemas.microsoft.com/office/word/2023/wordml/word16du">
          <w:pict>
            <v:rect w14:anchorId="4C5573E1" id="Rectangle 1" o:spid="_x0000_s1026" style="position:absolute;margin-left:-56.7pt;margin-top:45.6pt;width:597.8pt;height:5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" fillcolor="#265a9a [3214]" stroked="f" strokeweight="2pt"/>
          </w:pict>
        </mc:Fallback>
      </mc:AlternateContent>
    </w:r>
    <w:hyperlink r:id="rId2" w:history="1">
      <w:r w:rsidRPr="00AE7C97">
        <w:rPr>
          <w:rStyle w:val="Hyperlink"/>
          <w:rFonts w:ascii="Arial" w:eastAsia="Times New Roman" w:hAnsi="Arial" w:cs="Arial"/>
          <w:b/>
          <w:bCs/>
          <w:noProof/>
          <w:color w:val="265A9A" w:themeColor="background2"/>
          <w:kern w:val="16"/>
          <w:lang w:eastAsia="en-AU"/>
        </w:rPr>
        <w:t>philanthropy@pc.gov.au</w:t>
      </w:r>
    </w:hyperlink>
    <w:r w:rsidRPr="00AE7C97">
      <w:rPr>
        <w:rFonts w:ascii="Arial" w:eastAsia="Times New Roman" w:hAnsi="Arial" w:cs="Arial"/>
        <w:kern w:val="16"/>
        <w:lang w:eastAsia="en-AU"/>
      </w:rPr>
      <w:br/>
      <w:t>T</w:t>
    </w:r>
    <w:r w:rsidR="00BF738A" w:rsidRPr="00AE7C97">
      <w:rPr>
        <w:rFonts w:ascii="Arial" w:eastAsia="Times New Roman" w:hAnsi="Arial" w:cs="Arial"/>
        <w:kern w:val="16"/>
        <w:lang w:eastAsia="en-AU"/>
      </w:rPr>
      <w:t xml:space="preserve">his publication can be accessed from the Commission’s website at </w:t>
    </w:r>
    <w:hyperlink r:id="rId3" w:history="1">
      <w:r w:rsidRPr="00AE7C97">
        <w:rPr>
          <w:rStyle w:val="Hyperlink"/>
          <w:rFonts w:ascii="Arial" w:eastAsia="Times New Roman" w:hAnsi="Arial" w:cs="Arial"/>
          <w:b/>
          <w:color w:val="265A9A" w:themeColor="background2"/>
          <w:kern w:val="16"/>
          <w:lang w:eastAsia="en-AU"/>
        </w:rPr>
        <w:t>www.pc.gov.au/philanthropy</w:t>
      </w:r>
    </w:hyperlink>
    <w:r w:rsidRPr="00AE7C97">
      <w:rPr>
        <w:rFonts w:ascii="Arial" w:eastAsia="Times New Roman" w:hAnsi="Arial" w:cs="Arial"/>
        <w:b/>
        <w:kern w:val="16"/>
        <w:lang w:eastAsia="en-AU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5713F" w14:textId="77777777" w:rsidR="00615C5C" w:rsidRDefault="00615C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1DF44" w14:textId="77777777" w:rsidR="00B10305" w:rsidRDefault="00B10305" w:rsidP="00BF738A">
      <w:pPr>
        <w:spacing w:after="0" w:line="240" w:lineRule="auto"/>
      </w:pPr>
      <w:r>
        <w:separator/>
      </w:r>
    </w:p>
  </w:footnote>
  <w:footnote w:type="continuationSeparator" w:id="0">
    <w:p w14:paraId="77E3F48D" w14:textId="77777777" w:rsidR="00B10305" w:rsidRDefault="00B10305" w:rsidP="00BF738A">
      <w:pPr>
        <w:spacing w:after="0" w:line="240" w:lineRule="auto"/>
      </w:pPr>
      <w:r>
        <w:continuationSeparator/>
      </w:r>
    </w:p>
  </w:footnote>
  <w:footnote w:type="continuationNotice" w:id="1">
    <w:p w14:paraId="7E3792FB" w14:textId="77777777" w:rsidR="00B10305" w:rsidRDefault="00B103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6D4A0" w14:textId="77777777" w:rsidR="00615C5C" w:rsidRDefault="00615C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DCAF7" w14:textId="77777777" w:rsidR="002436B4" w:rsidRDefault="00C70C04" w:rsidP="00C7347C">
    <w:pPr>
      <w:pStyle w:val="Heading2"/>
      <w:spacing w:before="0" w:after="0" w:line="240" w:lineRule="auto"/>
      <w:rPr>
        <w:sz w:val="56"/>
        <w:szCs w:val="56"/>
      </w:rPr>
    </w:pPr>
    <w:r w:rsidRPr="00C70C04">
      <w:rPr>
        <w:noProof/>
        <w:color w:val="FFFFFF" w:themeColor="background1"/>
        <w:sz w:val="56"/>
        <w:szCs w:val="56"/>
      </w:rPr>
      <w:drawing>
        <wp:anchor distT="0" distB="0" distL="114300" distR="114300" simplePos="0" relativeHeight="251658241" behindDoc="1" locked="0" layoutInCell="1" allowOverlap="1" wp14:anchorId="3892B733" wp14:editId="30F79392">
          <wp:simplePos x="0" y="0"/>
          <wp:positionH relativeFrom="column">
            <wp:posOffset>-720090</wp:posOffset>
          </wp:positionH>
          <wp:positionV relativeFrom="paragraph">
            <wp:posOffset>-201872</wp:posOffset>
          </wp:positionV>
          <wp:extent cx="7553325" cy="1731564"/>
          <wp:effectExtent l="0" t="0" r="3175" b="0"/>
          <wp:wrapNone/>
          <wp:docPr id="1271092743" name="Picture 12710927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092743" name="Graphic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2852" b="2852"/>
                  <a:stretch>
                    <a:fillRect/>
                  </a:stretch>
                </pic:blipFill>
                <pic:spPr bwMode="auto">
                  <a:xfrm>
                    <a:off x="0" y="0"/>
                    <a:ext cx="7559748" cy="1733036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56"/>
        <w:szCs w:val="56"/>
      </w:rPr>
      <w:drawing>
        <wp:inline distT="0" distB="0" distL="0" distR="0" wp14:anchorId="726B4F65" wp14:editId="3A1EC47E">
          <wp:extent cx="2130804" cy="507335"/>
          <wp:effectExtent l="0" t="0" r="3175" b="1270"/>
          <wp:docPr id="1886279847" name="Picture 1886279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6279847" name="Graphic 188627984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475" cy="534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DDA8A7" w14:textId="45288EDF" w:rsidR="00BF738A" w:rsidRDefault="002436B4" w:rsidP="002436B4">
    <w:pPr>
      <w:pStyle w:val="Heading2"/>
      <w:spacing w:after="0" w:line="240" w:lineRule="auto"/>
      <w:rPr>
        <w:color w:val="FFFFFF" w:themeColor="background1"/>
        <w:sz w:val="56"/>
        <w:szCs w:val="56"/>
      </w:rPr>
    </w:pPr>
    <w:r w:rsidRPr="002436B4">
      <w:rPr>
        <w:color w:val="FFFFFF" w:themeColor="background1"/>
        <w:sz w:val="44"/>
        <w:szCs w:val="44"/>
      </w:rPr>
      <w:t>Future foundations for giving</w:t>
    </w:r>
  </w:p>
  <w:p w14:paraId="50FCCDE6" w14:textId="01B74B36" w:rsidR="00C70C04" w:rsidRPr="00C70C04" w:rsidRDefault="008C3FBB" w:rsidP="008C3FBB">
    <w:pPr>
      <w:pStyle w:val="Heading1"/>
      <w:spacing w:before="100" w:after="0" w:line="240" w:lineRule="auto"/>
      <w:rPr>
        <w:color w:val="FFFFFF" w:themeColor="background1"/>
      </w:rPr>
    </w:pPr>
    <w:r w:rsidRPr="008C3FBB">
      <w:rPr>
        <w:color w:val="FFFFFF" w:themeColor="background1"/>
      </w:rPr>
      <w:t xml:space="preserve">What is in the philanthropy draft report </w:t>
    </w:r>
    <w:r>
      <w:rPr>
        <w:color w:val="FFFFFF" w:themeColor="background1"/>
      </w:rPr>
      <w:br/>
    </w:r>
    <w:r w:rsidRPr="008C3FBB">
      <w:rPr>
        <w:color w:val="F8D07A" w:themeColor="accent3" w:themeTint="99"/>
      </w:rPr>
      <w:t xml:space="preserve">for </w:t>
    </w:r>
    <w:r w:rsidR="00615C5C">
      <w:rPr>
        <w:color w:val="F8D07A" w:themeColor="accent3" w:themeTint="99"/>
      </w:rPr>
      <w:t>c</w:t>
    </w:r>
    <w:r w:rsidR="005D6A0B">
      <w:rPr>
        <w:color w:val="F8D07A" w:themeColor="accent3" w:themeTint="99"/>
      </w:rPr>
      <w:t>harities</w:t>
    </w:r>
    <w:r w:rsidRPr="008C3FBB">
      <w:rPr>
        <w:color w:val="FFFFFF" w:themeColor="background1"/>
      </w:rPr>
      <w:t>?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C972F" w14:textId="77777777" w:rsidR="00615C5C" w:rsidRDefault="00615C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300E10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9BB885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8E20ED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C30887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31A37EF"/>
    <w:multiLevelType w:val="hybridMultilevel"/>
    <w:tmpl w:val="3EB88730"/>
    <w:lvl w:ilvl="0" w:tplc="AA2616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E6C9D"/>
    <w:multiLevelType w:val="multilevel"/>
    <w:tmpl w:val="FF8069A4"/>
    <w:lvl w:ilvl="0">
      <w:start w:val="1"/>
      <w:numFmt w:val="bullet"/>
      <w:pStyle w:val="ListBullet"/>
      <w:lvlText w:val="•"/>
      <w:lvlJc w:val="left"/>
      <w:pPr>
        <w:ind w:left="227" w:hanging="227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454" w:hanging="227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»"/>
      <w:lvlJc w:val="left"/>
      <w:pPr>
        <w:ind w:left="907" w:hanging="227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907" w:hanging="227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1134" w:hanging="227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361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1588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1814" w:hanging="226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211"/>
        </w:tabs>
        <w:ind w:left="2041" w:hanging="227"/>
      </w:pPr>
      <w:rPr>
        <w:rFonts w:ascii="Arial" w:hAnsi="Arial" w:hint="default"/>
      </w:rPr>
    </w:lvl>
  </w:abstractNum>
  <w:num w:numId="1" w16cid:durableId="443306796">
    <w:abstractNumId w:val="4"/>
  </w:num>
  <w:num w:numId="2" w16cid:durableId="427622698">
    <w:abstractNumId w:val="3"/>
  </w:num>
  <w:num w:numId="3" w16cid:durableId="251281831">
    <w:abstractNumId w:val="5"/>
  </w:num>
  <w:num w:numId="4" w16cid:durableId="2116289593">
    <w:abstractNumId w:val="1"/>
  </w:num>
  <w:num w:numId="5" w16cid:durableId="382870783">
    <w:abstractNumId w:val="5"/>
  </w:num>
  <w:num w:numId="6" w16cid:durableId="503974340">
    <w:abstractNumId w:val="0"/>
  </w:num>
  <w:num w:numId="7" w16cid:durableId="1133446918">
    <w:abstractNumId w:val="5"/>
  </w:num>
  <w:num w:numId="8" w16cid:durableId="1408189284">
    <w:abstractNumId w:val="2"/>
  </w:num>
  <w:num w:numId="9" w16cid:durableId="1817527221">
    <w:abstractNumId w:val="2"/>
  </w:num>
  <w:num w:numId="10" w16cid:durableId="1264218748">
    <w:abstractNumId w:val="5"/>
  </w:num>
  <w:num w:numId="11" w16cid:durableId="2052879940">
    <w:abstractNumId w:val="5"/>
  </w:num>
  <w:num w:numId="12" w16cid:durableId="1700398896">
    <w:abstractNumId w:val="5"/>
  </w:num>
  <w:num w:numId="13" w16cid:durableId="1882328437">
    <w:abstractNumId w:val="2"/>
  </w:num>
  <w:num w:numId="14" w16cid:durableId="860901578">
    <w:abstractNumId w:val="5"/>
  </w:num>
  <w:num w:numId="15" w16cid:durableId="16411570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0EA"/>
    <w:rsid w:val="00005B5D"/>
    <w:rsid w:val="0003218F"/>
    <w:rsid w:val="00057037"/>
    <w:rsid w:val="000872C3"/>
    <w:rsid w:val="00096645"/>
    <w:rsid w:val="0015274A"/>
    <w:rsid w:val="001E1748"/>
    <w:rsid w:val="001E1C8B"/>
    <w:rsid w:val="002436B4"/>
    <w:rsid w:val="00256ED3"/>
    <w:rsid w:val="002647C2"/>
    <w:rsid w:val="0027127B"/>
    <w:rsid w:val="002F0346"/>
    <w:rsid w:val="0038191A"/>
    <w:rsid w:val="003C0C27"/>
    <w:rsid w:val="003C6629"/>
    <w:rsid w:val="003C6BF2"/>
    <w:rsid w:val="003D5F85"/>
    <w:rsid w:val="003E011F"/>
    <w:rsid w:val="00421411"/>
    <w:rsid w:val="00425485"/>
    <w:rsid w:val="00430C34"/>
    <w:rsid w:val="004401EB"/>
    <w:rsid w:val="00452FB0"/>
    <w:rsid w:val="004808F7"/>
    <w:rsid w:val="00490D0C"/>
    <w:rsid w:val="00494DE7"/>
    <w:rsid w:val="004B1EAA"/>
    <w:rsid w:val="004B7031"/>
    <w:rsid w:val="004D1CB9"/>
    <w:rsid w:val="004F28F5"/>
    <w:rsid w:val="005062CE"/>
    <w:rsid w:val="00570D44"/>
    <w:rsid w:val="005D6A0B"/>
    <w:rsid w:val="005F7BF9"/>
    <w:rsid w:val="0060421B"/>
    <w:rsid w:val="00615C5C"/>
    <w:rsid w:val="00626F0D"/>
    <w:rsid w:val="00654212"/>
    <w:rsid w:val="006D7C2C"/>
    <w:rsid w:val="006E16F7"/>
    <w:rsid w:val="006F19CC"/>
    <w:rsid w:val="006F24AB"/>
    <w:rsid w:val="006F3CF6"/>
    <w:rsid w:val="007144DA"/>
    <w:rsid w:val="00724381"/>
    <w:rsid w:val="0073286C"/>
    <w:rsid w:val="00764E46"/>
    <w:rsid w:val="007A4797"/>
    <w:rsid w:val="007D0634"/>
    <w:rsid w:val="007F4BD6"/>
    <w:rsid w:val="00815FD5"/>
    <w:rsid w:val="00820998"/>
    <w:rsid w:val="008413EB"/>
    <w:rsid w:val="00847BD4"/>
    <w:rsid w:val="00850178"/>
    <w:rsid w:val="008C1E20"/>
    <w:rsid w:val="008C36DE"/>
    <w:rsid w:val="008C3FBB"/>
    <w:rsid w:val="008D5A05"/>
    <w:rsid w:val="009251C4"/>
    <w:rsid w:val="00934BEC"/>
    <w:rsid w:val="009414FB"/>
    <w:rsid w:val="009548C1"/>
    <w:rsid w:val="0097186E"/>
    <w:rsid w:val="00973096"/>
    <w:rsid w:val="00975997"/>
    <w:rsid w:val="009C6C24"/>
    <w:rsid w:val="009F696C"/>
    <w:rsid w:val="00A326BA"/>
    <w:rsid w:val="00A36781"/>
    <w:rsid w:val="00A52026"/>
    <w:rsid w:val="00A6285E"/>
    <w:rsid w:val="00A671CC"/>
    <w:rsid w:val="00A80EF3"/>
    <w:rsid w:val="00AB35D7"/>
    <w:rsid w:val="00AE7C97"/>
    <w:rsid w:val="00AF5830"/>
    <w:rsid w:val="00AF5C1A"/>
    <w:rsid w:val="00B00048"/>
    <w:rsid w:val="00B040EA"/>
    <w:rsid w:val="00B10305"/>
    <w:rsid w:val="00B43566"/>
    <w:rsid w:val="00B45471"/>
    <w:rsid w:val="00B546FD"/>
    <w:rsid w:val="00BC2B85"/>
    <w:rsid w:val="00BE01C1"/>
    <w:rsid w:val="00BF738A"/>
    <w:rsid w:val="00C06C50"/>
    <w:rsid w:val="00C17A92"/>
    <w:rsid w:val="00C63A5F"/>
    <w:rsid w:val="00C70C04"/>
    <w:rsid w:val="00C7347C"/>
    <w:rsid w:val="00C9459E"/>
    <w:rsid w:val="00CC514D"/>
    <w:rsid w:val="00CD6563"/>
    <w:rsid w:val="00D07FD1"/>
    <w:rsid w:val="00D353E1"/>
    <w:rsid w:val="00D86D6E"/>
    <w:rsid w:val="00E12FC6"/>
    <w:rsid w:val="00E151AD"/>
    <w:rsid w:val="00EF23D9"/>
    <w:rsid w:val="00F11F63"/>
    <w:rsid w:val="00F31674"/>
    <w:rsid w:val="00F7037A"/>
    <w:rsid w:val="00FC60AC"/>
    <w:rsid w:val="00FE3664"/>
    <w:rsid w:val="00FE531F"/>
    <w:rsid w:val="00FF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E9FEC"/>
  <w15:docId w15:val="{9D936BF5-6F8E-419F-AA8F-ACA450550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14D"/>
  </w:style>
  <w:style w:type="paragraph" w:styleId="Heading1">
    <w:name w:val="heading 1"/>
    <w:basedOn w:val="Normal"/>
    <w:next w:val="Normal"/>
    <w:link w:val="Heading1Char"/>
    <w:uiPriority w:val="9"/>
    <w:qFormat/>
    <w:rsid w:val="001E1748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color w:val="26539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748"/>
    <w:pPr>
      <w:keepNext/>
      <w:keepLines/>
      <w:spacing w:before="40" w:after="80"/>
      <w:outlineLvl w:val="1"/>
    </w:pPr>
    <w:rPr>
      <w:rFonts w:asciiTheme="majorHAnsi" w:eastAsiaTheme="majorEastAsia" w:hAnsiTheme="majorHAnsi" w:cstheme="majorBidi"/>
      <w:b/>
      <w:color w:val="31A2C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51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000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1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65A9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748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semiHidden/>
    <w:rsid w:val="001E1748"/>
    <w:rPr>
      <w:b/>
      <w:bCs/>
      <w:i/>
      <w:iC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1E1748"/>
    <w:rPr>
      <w:color w:val="BFBFB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E1748"/>
    <w:pPr>
      <w:tabs>
        <w:tab w:val="left" w:pos="2552"/>
        <w:tab w:val="right" w:pos="9072"/>
      </w:tabs>
      <w:spacing w:before="100" w:beforeAutospacing="1" w:after="100" w:afterAutospacing="1" w:line="260" w:lineRule="atLeast"/>
      <w:ind w:left="284" w:right="-427"/>
    </w:pPr>
    <w:rPr>
      <w:rFonts w:ascii="Arial" w:eastAsia="Times New Roman" w:hAnsi="Arial" w:cs="Arial"/>
      <w:noProof/>
      <w:kern w:val="16"/>
      <w:sz w:val="20"/>
      <w:szCs w:val="20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1E1748"/>
    <w:rPr>
      <w:rFonts w:ascii="Arial" w:eastAsia="Times New Roman" w:hAnsi="Arial" w:cs="Arial"/>
      <w:noProof/>
      <w:kern w:val="16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E1748"/>
    <w:pPr>
      <w:spacing w:before="200" w:after="0" w:line="240" w:lineRule="auto"/>
      <w:ind w:right="-794"/>
      <w:contextualSpacing/>
      <w:jc w:val="right"/>
    </w:pPr>
    <w:rPr>
      <w:rFonts w:ascii="Arial" w:eastAsia="Times New Roman" w:hAnsi="Arial" w:cs="Arial"/>
      <w:color w:val="000000" w:themeColor="text1"/>
      <w:spacing w:val="2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E1748"/>
    <w:rPr>
      <w:rFonts w:asciiTheme="majorHAnsi" w:eastAsiaTheme="majorEastAsia" w:hAnsiTheme="majorHAnsi" w:cstheme="majorBidi"/>
      <w:b/>
      <w:color w:val="26539D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1748"/>
    <w:rPr>
      <w:rFonts w:asciiTheme="majorHAnsi" w:eastAsiaTheme="majorEastAsia" w:hAnsiTheme="majorHAnsi" w:cstheme="majorBidi"/>
      <w:b/>
      <w:color w:val="31A2C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514D"/>
    <w:rPr>
      <w:rFonts w:asciiTheme="majorHAnsi" w:eastAsiaTheme="majorEastAsia" w:hAnsiTheme="majorHAnsi" w:cstheme="majorBidi"/>
      <w:b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E1748"/>
    <w:rPr>
      <w:rFonts w:ascii="Arial" w:eastAsia="Times New Roman" w:hAnsi="Arial" w:cs="Arial"/>
      <w:color w:val="000000" w:themeColor="text1"/>
      <w:spacing w:val="2"/>
      <w:lang w:eastAsia="en-AU"/>
    </w:rPr>
  </w:style>
  <w:style w:type="character" w:styleId="Hyperlink">
    <w:name w:val="Hyperlink"/>
    <w:basedOn w:val="DefaultParagraphFont"/>
    <w:uiPriority w:val="99"/>
    <w:qFormat/>
    <w:rsid w:val="001E1748"/>
    <w:rPr>
      <w:color w:val="265A9A"/>
      <w:u w:val="single"/>
    </w:rPr>
  </w:style>
  <w:style w:type="character" w:styleId="IntenseEmphasis">
    <w:name w:val="Intense Emphasis"/>
    <w:basedOn w:val="DefaultParagraphFont"/>
    <w:uiPriority w:val="21"/>
    <w:rsid w:val="001E1748"/>
    <w:rPr>
      <w:i/>
      <w:iCs/>
      <w:color w:val="265A9A" w:themeColor="background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E1748"/>
    <w:pPr>
      <w:pBdr>
        <w:top w:val="single" w:sz="4" w:space="10" w:color="265A9A" w:themeColor="background2"/>
        <w:bottom w:val="single" w:sz="4" w:space="10" w:color="265A9A" w:themeColor="background2"/>
      </w:pBdr>
      <w:spacing w:before="360" w:after="360"/>
      <w:ind w:left="864" w:right="864"/>
      <w:jc w:val="center"/>
    </w:pPr>
    <w:rPr>
      <w:i/>
      <w:iCs/>
      <w:color w:val="265A9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C514D"/>
    <w:rPr>
      <w:i/>
      <w:iCs/>
      <w:color w:val="265A9A"/>
    </w:rPr>
  </w:style>
  <w:style w:type="character" w:styleId="IntenseReference">
    <w:name w:val="Intense Reference"/>
    <w:basedOn w:val="DefaultParagraphFont"/>
    <w:uiPriority w:val="32"/>
    <w:semiHidden/>
    <w:rsid w:val="001E1748"/>
    <w:rPr>
      <w:b/>
      <w:bCs/>
      <w:smallCaps/>
      <w:color w:val="265A9A" w:themeColor="background2"/>
      <w:spacing w:val="5"/>
    </w:rPr>
  </w:style>
  <w:style w:type="paragraph" w:styleId="ListBullet">
    <w:name w:val="List Bullet"/>
    <w:basedOn w:val="Normal"/>
    <w:link w:val="ListBulletChar"/>
    <w:uiPriority w:val="1"/>
    <w:qFormat/>
    <w:rsid w:val="001E1748"/>
    <w:pPr>
      <w:numPr>
        <w:numId w:val="14"/>
      </w:numPr>
      <w:spacing w:before="60" w:after="60"/>
      <w:contextualSpacing/>
    </w:pPr>
    <w:rPr>
      <w:szCs w:val="20"/>
    </w:rPr>
  </w:style>
  <w:style w:type="character" w:customStyle="1" w:styleId="ListBulletChar">
    <w:name w:val="List Bullet Char"/>
    <w:basedOn w:val="DefaultParagraphFont"/>
    <w:link w:val="ListBullet"/>
    <w:uiPriority w:val="1"/>
    <w:rsid w:val="001E1748"/>
    <w:rPr>
      <w:szCs w:val="20"/>
    </w:rPr>
  </w:style>
  <w:style w:type="paragraph" w:styleId="ListBullet2">
    <w:name w:val="List Bullet 2"/>
    <w:basedOn w:val="Normal"/>
    <w:uiPriority w:val="1"/>
    <w:qFormat/>
    <w:rsid w:val="00425485"/>
    <w:pPr>
      <w:numPr>
        <w:ilvl w:val="1"/>
        <w:numId w:val="14"/>
      </w:numPr>
      <w:spacing w:before="60" w:after="60"/>
      <w:contextualSpacing/>
    </w:pPr>
    <w:rPr>
      <w:szCs w:val="20"/>
    </w:rPr>
  </w:style>
  <w:style w:type="paragraph" w:styleId="ListBullet3">
    <w:name w:val="List Bullet 3"/>
    <w:basedOn w:val="Normal"/>
    <w:uiPriority w:val="1"/>
    <w:qFormat/>
    <w:rsid w:val="001E1748"/>
    <w:pPr>
      <w:numPr>
        <w:ilvl w:val="2"/>
        <w:numId w:val="14"/>
      </w:numPr>
      <w:spacing w:before="60" w:after="60" w:line="274" w:lineRule="auto"/>
      <w:contextualSpacing/>
    </w:pPr>
    <w:rPr>
      <w:szCs w:val="20"/>
    </w:rPr>
  </w:style>
  <w:style w:type="paragraph" w:styleId="ListNumber">
    <w:name w:val="List Number"/>
    <w:basedOn w:val="Normal"/>
    <w:uiPriority w:val="2"/>
    <w:qFormat/>
    <w:rsid w:val="001E1748"/>
    <w:pPr>
      <w:numPr>
        <w:numId w:val="13"/>
      </w:numPr>
      <w:ind w:left="227" w:hanging="227"/>
      <w:contextualSpacing/>
    </w:pPr>
  </w:style>
  <w:style w:type="paragraph" w:styleId="ListParagraph">
    <w:name w:val="List Paragraph"/>
    <w:basedOn w:val="Normal"/>
    <w:uiPriority w:val="34"/>
    <w:semiHidden/>
    <w:rsid w:val="001E1748"/>
    <w:pPr>
      <w:ind w:left="720"/>
      <w:contextualSpacing/>
    </w:pPr>
  </w:style>
  <w:style w:type="paragraph" w:styleId="NoSpacing">
    <w:name w:val="No Spacing"/>
    <w:uiPriority w:val="2"/>
    <w:unhideWhenUsed/>
    <w:rsid w:val="001E174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rsid w:val="001E1748"/>
    <w:pPr>
      <w:spacing w:before="200" w:after="160"/>
      <w:ind w:left="1134" w:right="1134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1748"/>
    <w:rPr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E174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C514D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rsid w:val="001E1748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semiHidden/>
    <w:rsid w:val="001E17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C51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14D"/>
    <w:rPr>
      <w:rFonts w:asciiTheme="majorHAnsi" w:eastAsiaTheme="majorEastAsia" w:hAnsiTheme="majorHAnsi" w:cstheme="majorBidi"/>
      <w:i/>
      <w:iCs/>
      <w:color w:val="265A9A"/>
    </w:rPr>
  </w:style>
  <w:style w:type="paragraph" w:customStyle="1" w:styleId="PullQuote">
    <w:name w:val="Pull Quote"/>
    <w:basedOn w:val="BodyText"/>
    <w:next w:val="BodyText"/>
    <w:uiPriority w:val="30"/>
    <w:qFormat/>
    <w:rsid w:val="00A6285E"/>
    <w:pPr>
      <w:spacing w:before="120" w:line="280" w:lineRule="atLeast"/>
      <w:ind w:left="284" w:right="284"/>
    </w:pPr>
    <w:rPr>
      <w:rFonts w:ascii="Arial Black" w:hAnsi="Arial Black"/>
      <w:color w:val="265A9A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A6285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6285E"/>
  </w:style>
  <w:style w:type="character" w:styleId="Strong">
    <w:name w:val="Strong"/>
    <w:basedOn w:val="DefaultParagraphFont"/>
    <w:uiPriority w:val="22"/>
    <w:qFormat/>
    <w:rsid w:val="00C70C0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AE7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c.gov.au/philanthropy" TargetMode="External"/><Relationship Id="rId2" Type="http://schemas.openxmlformats.org/officeDocument/2006/relationships/hyperlink" Target="mailto:philanthropy@pc.gov.au" TargetMode="External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ross\OneDrive%20-%20Productivity%20Commission\MPW%20working%20files\Templates%20and%20Templafy\media%20release\Media%20release%202022%20-%20TEMPLATE.dotx" TargetMode="External"/></Relationships>
</file>

<file path=word/theme/theme1.xml><?xml version="1.0" encoding="utf-8"?>
<a:theme xmlns:a="http://schemas.openxmlformats.org/drawingml/2006/main" name="ProdCommTheme">
  <a:themeElements>
    <a:clrScheme name="PC colour themeNew">
      <a:dk1>
        <a:sysClr val="windowText" lastClr="000000"/>
      </a:dk1>
      <a:lt1>
        <a:sysClr val="window" lastClr="FFFFFF"/>
      </a:lt1>
      <a:dk2>
        <a:srgbClr val="66BCDB"/>
      </a:dk2>
      <a:lt2>
        <a:srgbClr val="265A9A"/>
      </a:lt2>
      <a:accent1>
        <a:srgbClr val="78A22F"/>
      </a:accent1>
      <a:accent2>
        <a:srgbClr val="4D7028"/>
      </a:accent2>
      <a:accent3>
        <a:srgbClr val="F4B123"/>
      </a:accent3>
      <a:accent4>
        <a:srgbClr val="F15A25"/>
      </a:accent4>
      <a:accent5>
        <a:srgbClr val="A52828"/>
      </a:accent5>
      <a:accent6>
        <a:srgbClr val="8956A3"/>
      </a:accent6>
      <a:hlink>
        <a:srgbClr val="000000"/>
      </a:hlink>
      <a:folHlink>
        <a:srgbClr val="BFBFBF"/>
      </a:folHlink>
    </a:clrScheme>
    <a:fontScheme name="PC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0f84bba906045b4af568ee102a52dcb xmlns="20393cdf-440a-4521-8f19-00ba43423d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3955eeb1-2d18-4582-aeb2-00144ec3aaf5</TermId>
        </TermInfo>
      </Terms>
    </i0f84bba906045b4af568ee102a52dcb>
    <TaxCatchAll xmlns="20393cdf-440a-4521-8f19-00ba43423d00">
      <Value>1</Value>
    </TaxCatchAll>
    <lcf76f155ced4ddcb4097134ff3c332f xmlns="3d385984-9344-419b-a80b-49c06a2bdab8">
      <Terms xmlns="http://schemas.microsoft.com/office/infopath/2007/PartnerControls"/>
    </lcf76f155ced4ddcb4097134ff3c332f>
    <thumbnail xmlns="3d385984-9344-419b-a80b-49c06a2bdab8" xsi:nil="true"/>
    <_Flow_SignoffStatus xmlns="3d385984-9344-419b-a80b-49c06a2bdab8" xsi:nil="true"/>
    <_dlc_DocId xmlns="20393cdf-440a-4521-8f19-00ba43423d00">MPWT-2140667901-47340</_dlc_DocId>
    <_dlc_DocIdUrl xmlns="20393cdf-440a-4521-8f19-00ba43423d00">
      <Url>https://pcgov.sharepoint.com/sites/sceteam/_layouts/15/DocIdRedir.aspx?ID=MPWT-2140667901-47340</Url>
      <Description>MPWT-2140667901-47340</Description>
    </_dlc_DocIdUrl>
  </documentManagement>
</p:properties>
</file>

<file path=customXml/item2.xml><?xml version="1.0" encoding="utf-8"?>
<TemplafyFormConfiguration><![CDATA[{"formFields":[],"formDataEntries":[]}]]></TemplafyFormConfiguration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PW Document" ma:contentTypeID="0x0101006C0B5E815648EF46B6FA6D42F17E5E9F000C963E276195B04F83BC027CFDC94A8D" ma:contentTypeVersion="18" ma:contentTypeDescription="" ma:contentTypeScope="" ma:versionID="1f8a1cfc22fc66246e9b5dfc3012b5a0">
  <xsd:schema xmlns:xsd="http://www.w3.org/2001/XMLSchema" xmlns:xs="http://www.w3.org/2001/XMLSchema" xmlns:p="http://schemas.microsoft.com/office/2006/metadata/properties" xmlns:ns2="20393cdf-440a-4521-8f19-00ba43423d00" xmlns:ns3="3d385984-9344-419b-a80b-49c06a2bdab8" targetNamespace="http://schemas.microsoft.com/office/2006/metadata/properties" ma:root="true" ma:fieldsID="ce8085c790d4db09a7d062618594d2c7" ns2:_="" ns3:_="">
    <xsd:import namespace="20393cdf-440a-4521-8f19-00ba43423d00"/>
    <xsd:import namespace="3d385984-9344-419b-a80b-49c06a2bdab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  <xsd:element ref="ns2:i0f84bba906045b4af568ee102a52dcb" minOccurs="0"/>
                <xsd:element ref="ns2:TaxCatchAll" minOccurs="0"/>
                <xsd:element ref="ns3:MediaLengthInSeconds" minOccurs="0"/>
                <xsd:element ref="ns3:thumbnail" minOccurs="0"/>
                <xsd:element ref="ns3:lcf76f155ced4ddcb4097134ff3c332f" minOccurs="0"/>
                <xsd:element ref="ns3:_Flow_SignoffStatu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93cdf-440a-4521-8f19-00ba43423d0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i0f84bba906045b4af568ee102a52dcb" ma:index="20" nillable="true" ma:taxonomy="true" ma:internalName="i0f84bba906045b4af568ee102a52dcb" ma:taxonomyFieldName="RevIMBCS" ma:displayName="Record" ma:indexed="true" ma:default="1;#Unclassified|3955eeb1-2d18-4582-aeb2-00144ec3aaf5" ma:fieldId="{20f84bba-9060-45b4-af56-8ee102a52dcb}" ma:sspId="9e7832e3-0c1d-4697-8be2-0d137dca2da6" ma:termSetId="3c672b5e-1100-4960-a8a3-535520ee11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af6d4cc1-c529-4b5b-a8f1-9797b2b9eddf}" ma:internalName="TaxCatchAll" ma:showField="CatchAllData" ma:web="20393cdf-440a-4521-8f19-00ba43423d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85984-9344-419b-a80b-49c06a2bdab8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thumbnail" ma:index="23" nillable="true" ma:displayName="thumbnail" ma:format="Thumbnail" ma:internalName="thumbnail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e7832e3-0c1d-4697-8be2-0d137dca2d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TemplafyTemplateConfiguration><![CDATA[{"elementsMetadata":[],"transformationConfigurations":[],"templateName":"Fact sheet","templateDescription":"","enableDocumentContentUpdater":false,"version":"2.0"}]]></TemplafyTemplateConfiguration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0AC987-D9A1-40EC-941D-31F79E724F71}">
  <ds:schemaRefs>
    <ds:schemaRef ds:uri="http://schemas.microsoft.com/office/2006/documentManagement/types"/>
    <ds:schemaRef ds:uri="20393cdf-440a-4521-8f19-00ba43423d00"/>
    <ds:schemaRef ds:uri="3d385984-9344-419b-a80b-49c06a2bdab8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9111142-F2B6-4AB6-AAC1-4BEBADF25789}">
  <ds:schemaRefs/>
</ds:datastoreItem>
</file>

<file path=customXml/itemProps3.xml><?xml version="1.0" encoding="utf-8"?>
<ds:datastoreItem xmlns:ds="http://schemas.openxmlformats.org/officeDocument/2006/customXml" ds:itemID="{33C08B02-57AF-47DC-8202-D199E72FA5E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0409516-027C-4C60-9ED0-E457C7E048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93cdf-440a-4521-8f19-00ba43423d00"/>
    <ds:schemaRef ds:uri="3d385984-9344-419b-a80b-49c06a2bda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668110A-EF1F-4D08-BFD7-961C5DE3AE4D}">
  <ds:schemaRefs/>
</ds:datastoreItem>
</file>

<file path=customXml/itemProps6.xml><?xml version="1.0" encoding="utf-8"?>
<ds:datastoreItem xmlns:ds="http://schemas.openxmlformats.org/officeDocument/2006/customXml" ds:itemID="{5D7EAAF1-62BC-4CFF-A9E3-E4A462ED37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Media release 2022 - TEMPLATE.dotx</Template>
  <TotalTime>50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in the philanthropy draft report for charities?</vt:lpstr>
    </vt:vector>
  </TitlesOfParts>
  <Company>Productivity Commission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in the philanthropy draft report for charities?</dc:title>
  <dc:subject/>
  <dc:creator>Productivity Commission</dc:creator>
  <cp:keywords/>
  <cp:lastModifiedBy>Bianca Dobson</cp:lastModifiedBy>
  <cp:revision>26</cp:revision>
  <dcterms:created xsi:type="dcterms:W3CDTF">2023-11-25T17:43:00Z</dcterms:created>
  <dcterms:modified xsi:type="dcterms:W3CDTF">2023-12-04T04:28:00Z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productivitycommission</vt:lpwstr>
  </property>
  <property fmtid="{D5CDD505-2E9C-101B-9397-08002B2CF9AE}" pid="3" name="TemplafyTemplateId">
    <vt:lpwstr>637346222824850435</vt:lpwstr>
  </property>
  <property fmtid="{D5CDD505-2E9C-101B-9397-08002B2CF9AE}" pid="4" name="TemplafyUserProfileId">
    <vt:lpwstr>752650215664648239</vt:lpwstr>
  </property>
  <property fmtid="{D5CDD505-2E9C-101B-9397-08002B2CF9AE}" pid="5" name="TemplafyFromBlank">
    <vt:bool>false</vt:bool>
  </property>
  <property fmtid="{D5CDD505-2E9C-101B-9397-08002B2CF9AE}" pid="6" name="ContentTypeId">
    <vt:lpwstr>0x010100701643EB437E814B9F804656CD4347FE</vt:lpwstr>
  </property>
  <property fmtid="{D5CDD505-2E9C-101B-9397-08002B2CF9AE}" pid="7" name="RevIMBCS">
    <vt:lpwstr>1;#Unclassified|3955eeb1-2d18-4582-aeb2-00144ec3aaf5</vt:lpwstr>
  </property>
  <property fmtid="{D5CDD505-2E9C-101B-9397-08002B2CF9AE}" pid="8" name="_dlc_DocIdItemGuid">
    <vt:lpwstr>29d20653-9fe0-4b15-b219-ac9dab4a62ee</vt:lpwstr>
  </property>
  <property fmtid="{D5CDD505-2E9C-101B-9397-08002B2CF9AE}" pid="9" name="MediaServiceImageTags">
    <vt:lpwstr/>
  </property>
</Properties>
</file>