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274DA7" w:rsidP="00274DA7">
      <w:pPr>
        <w:pStyle w:val="Heading1"/>
        <w:spacing w:before="0"/>
      </w:pPr>
      <w:bookmarkStart w:id="0" w:name="ChapterNumber"/>
      <w:r>
        <w:t>7</w:t>
      </w:r>
      <w:bookmarkEnd w:id="0"/>
      <w:r>
        <w:tab/>
      </w:r>
      <w:bookmarkStart w:id="1" w:name="ChapterTitle"/>
      <w:r>
        <w:t>Education and training</w:t>
      </w:r>
      <w:bookmarkEnd w:id="1"/>
      <w:r w:rsidR="00522FF8">
        <w:t xml:space="preserve"> </w:t>
      </w:r>
    </w:p>
    <w:p w:rsidR="003B6F04" w:rsidRDefault="003B6F04" w:rsidP="003B6F04">
      <w:pPr>
        <w:pStyle w:val="BoxSpaceAbove"/>
      </w:pPr>
      <w:bookmarkStart w:id="2" w:name="begin"/>
      <w:bookmarkEnd w:id="2"/>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3B6F04" w:rsidTr="00C070C3">
        <w:tc>
          <w:tcPr>
            <w:tcW w:w="8767" w:type="dxa"/>
            <w:tcBorders>
              <w:top w:val="single" w:sz="6" w:space="0" w:color="78A22F"/>
              <w:left w:val="nil"/>
              <w:bottom w:val="nil"/>
              <w:right w:val="nil"/>
            </w:tcBorders>
            <w:shd w:val="clear" w:color="auto" w:fill="auto"/>
          </w:tcPr>
          <w:p w:rsidR="003B6F04" w:rsidRPr="00784A05" w:rsidRDefault="003B6F04" w:rsidP="00C070C3">
            <w:pPr>
              <w:pStyle w:val="TableTitle"/>
            </w:pPr>
            <w:r>
              <w:t>Strategic areas for action</w:t>
            </w:r>
          </w:p>
        </w:tc>
      </w:tr>
      <w:tr w:rsidR="003B6F04" w:rsidTr="00C070C3">
        <w:tc>
          <w:tcPr>
            <w:tcW w:w="8767" w:type="dxa"/>
            <w:tcBorders>
              <w:top w:val="nil"/>
              <w:left w:val="nil"/>
              <w:bottom w:val="nil"/>
              <w:right w:val="nil"/>
            </w:tcBorders>
            <w:shd w:val="clear" w:color="auto" w:fill="auto"/>
          </w:tcPr>
          <w:p w:rsidR="003B6F04" w:rsidRPr="008C0DD9" w:rsidRDefault="003B6F04" w:rsidP="00C070C3">
            <w:pPr>
              <w:pStyle w:val="TableTitle"/>
              <w:spacing w:before="0" w:after="0" w:line="240" w:lineRule="auto"/>
              <w:rPr>
                <w:sz w:val="10"/>
                <w:szCs w:val="10"/>
              </w:rPr>
            </w:pPr>
          </w:p>
        </w:tc>
      </w:tr>
      <w:tr w:rsidR="003B6F04" w:rsidTr="00C070C3">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3B6F04" w:rsidTr="003B6F04">
              <w:tc>
                <w:tcPr>
                  <w:tcW w:w="675" w:type="pct"/>
                  <w:tcBorders>
                    <w:top w:val="single" w:sz="6" w:space="0" w:color="BFBFBF"/>
                    <w:bottom w:val="single" w:sz="6" w:space="0" w:color="000000" w:themeColor="text1"/>
                  </w:tcBorders>
                  <w:shd w:val="clear" w:color="auto" w:fill="auto"/>
                  <w:tcMar>
                    <w:top w:w="28" w:type="dxa"/>
                  </w:tcMar>
                </w:tcPr>
                <w:p w:rsidR="003B6F04" w:rsidRPr="008C0DD9" w:rsidRDefault="003B6F04" w:rsidP="00C070C3">
                  <w:pPr>
                    <w:pStyle w:val="TableColumnHeading"/>
                    <w:spacing w:before="0" w:after="0" w:line="240" w:lineRule="auto"/>
                    <w:ind w:right="28"/>
                    <w:jc w:val="center"/>
                    <w:rPr>
                      <w:i w:val="0"/>
                      <w:sz w:val="10"/>
                      <w:szCs w:val="10"/>
                    </w:rPr>
                  </w:pPr>
                  <w:bookmarkStart w:id="3" w:name="_GoBack"/>
                  <w:r>
                    <w:rPr>
                      <w:noProof/>
                      <w:sz w:val="16"/>
                      <w:szCs w:val="16"/>
                    </w:rPr>
                    <mc:AlternateContent>
                      <mc:Choice Requires="wps">
                        <w:drawing>
                          <wp:anchor distT="0" distB="0" distL="114300" distR="114300" simplePos="0" relativeHeight="251665408" behindDoc="0" locked="0" layoutInCell="0" allowOverlap="1" wp14:anchorId="51A9DA5E" wp14:editId="7C2B3025">
                            <wp:simplePos x="0" y="0"/>
                            <wp:positionH relativeFrom="column">
                              <wp:posOffset>2069201</wp:posOffset>
                            </wp:positionH>
                            <wp:positionV relativeFrom="paragraph">
                              <wp:posOffset>600710</wp:posOffset>
                            </wp:positionV>
                            <wp:extent cx="0" cy="100965"/>
                            <wp:effectExtent l="38100" t="0" r="57150" b="51435"/>
                            <wp:wrapNone/>
                            <wp:docPr id="1" name="Line 105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47.3pt" to="162.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9XNQIAAF8EAAAOAAAAZHJzL2Uyb0RvYy54bWysVMGO2jAQvVfqP1g+9AZJKLCQElYVgV5o&#10;i7TbDzC2Q6w6tmsbAqr23zt2Ai3tparKwYztmTdv3oyzeDw3Ep24dUKrAmfDFCOuqGZCHQr85Xkz&#10;mGHkPFGMSK14gS/c4cfl61eL1uR8pGstGbcIQJTLW1Pg2nuTJ4mjNW+IG2rDFVxW2jbEw9YeEmZJ&#10;C+iNTEZpOk1abZmxmnLn4LTsLvEy4lcVp/5zVTnukSwwcPNxtXHdhzVZLkh+sMTUgvY0yD+waIhQ&#10;kPQGVRJP0NGKP6AaQa12uvJDqptEV5WgPNYA1WTpb9U81cTwWAuI48xNJvf/YOmn084iwaB3GCnS&#10;QIu2QnGUpZMHjBh3FMR68+2o/btuDYq1xuUQuFI7G2qmZ/Vktpp+dUjpVU3UgUfmzxcDcFmISO5C&#10;wsYZyLtvP2oGPuTodZTvXNkmQIIw6By7dLl1iZ89ot0hhdMsTefTSQQn+TXOWOc/cN2gYBRYQikR&#10;l5y2zgceJL+6hDRKb4SUcQakQm2B55PRJAY4LQULl8HN2cN+JS06kTBF8dfnvXOz+qhYBKs5Yeve&#10;9kRIsJGPangrQB/JccjmGowkh3cDRkdOqpAPKgW6vdWN0fd5Ol/P1rPxYDyargfjtCwH7zer8WC6&#10;yR4m5dtytSqzl0A9G+e1YIyrwP460tn470amf1zdMN6G+iZTco8e9QSy1/9IOrY6dLebk71ml50N&#10;1YWuwxRH5/7FhWfy6z56/fwuLH8AAAD//wMAUEsDBBQABgAIAAAAIQCC20aA3wAAAAoBAAAPAAAA&#10;ZHJzL2Rvd25yZXYueG1sTI/dToQwEEbvTXyHZky8cwusoIuUjfEvm5hsIvoAXToCSqdIyy769I7x&#10;Qi9n5uSb8xXr2fZij6PvHCmIFxEIpNqZjhoFL8/3Z5cgfNBkdO8IFXyih3V5fFTo3LgDPeG+Co3g&#10;EPK5VtCGMORS+rpFq/3CDUh8e3Wj1YHHsZFm1AcOt71MoiiTVnfEH1o94E2L9Xs1WQXZ5m55kd4+&#10;xNnH9usxobdtlchJqdOT+foKRMA5/MHwo8/qULLTzk1kvOgVLJN0xaiC1XkGgoHfxY7JOEpBloX8&#10;X6H8BgAA//8DAFBLAQItABQABgAIAAAAIQC2gziS/gAAAOEBAAATAAAAAAAAAAAAAAAAAAAAAABb&#10;Q29udGVudF9UeXBlc10ueG1sUEsBAi0AFAAGAAgAAAAhADj9If/WAAAAlAEAAAsAAAAAAAAAAAAA&#10;AAAALwEAAF9yZWxzLy5yZWxzUEsBAi0AFAAGAAgAAAAhADl671c1AgAAXwQAAA4AAAAAAAAAAAAA&#10;AAAALgIAAGRycy9lMm9Eb2MueG1sUEsBAi0AFAAGAAgAAAAhAILbRoDfAAAACgEAAA8AAAAAAAAA&#10;AAAAAAAAjwQAAGRycy9kb3ducmV2LnhtbFBLBQYAAAAABAAEAPMAAACbBQAAAAA=&#10;" o:allowincell="f">
                            <v:stroke endarrow="block" endarrowwidth="narrow" endarrowlength="short"/>
                          </v:line>
                        </w:pict>
                      </mc:Fallback>
                    </mc:AlternateContent>
                  </w:r>
                  <w:bookmarkEnd w:id="3"/>
                </w:p>
              </w:tc>
              <w:tc>
                <w:tcPr>
                  <w:tcW w:w="68" w:type="pct"/>
                  <w:tcBorders>
                    <w:top w:val="single" w:sz="6" w:space="0" w:color="BFBFBF"/>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3B6F04" w:rsidRPr="008C0DD9" w:rsidRDefault="003B6F04" w:rsidP="00C070C3">
                  <w:pPr>
                    <w:pStyle w:val="TableColumnHeading"/>
                    <w:spacing w:before="0" w:after="0" w:line="240" w:lineRule="auto"/>
                    <w:ind w:right="28"/>
                    <w:jc w:val="center"/>
                    <w:rPr>
                      <w:i w:val="0"/>
                      <w:sz w:val="10"/>
                      <w:szCs w:val="10"/>
                    </w:rPr>
                  </w:pPr>
                </w:p>
              </w:tc>
            </w:tr>
            <w:tr w:rsidR="003B6F04" w:rsidTr="003B6F04">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3B6F04" w:rsidRPr="006A75BA" w:rsidRDefault="003B6F04" w:rsidP="00C070C3">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3B6F04" w:rsidRPr="006A75BA" w:rsidRDefault="003B6F04" w:rsidP="00C070C3">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B6F04" w:rsidRPr="006A75BA" w:rsidRDefault="003B6F04" w:rsidP="00C070C3">
                  <w:pPr>
                    <w:pStyle w:val="TableColumnHeading"/>
                    <w:ind w:left="0" w:right="0"/>
                    <w:jc w:val="center"/>
                    <w:rPr>
                      <w:i w:val="0"/>
                      <w:sz w:val="16"/>
                      <w:szCs w:val="16"/>
                    </w:rPr>
                  </w:pPr>
                  <w:r>
                    <w:rPr>
                      <w:i w:val="0"/>
                      <w:sz w:val="16"/>
                      <w:szCs w:val="16"/>
                    </w:rPr>
                    <w:t>Safe and supportive communities</w:t>
                  </w:r>
                </w:p>
              </w:tc>
            </w:tr>
            <w:tr w:rsidR="003B6F04" w:rsidTr="00C070C3">
              <w:tc>
                <w:tcPr>
                  <w:tcW w:w="1621" w:type="pct"/>
                  <w:gridSpan w:val="5"/>
                  <w:tcBorders>
                    <w:bottom w:val="single" w:sz="6" w:space="0" w:color="000000" w:themeColor="text1"/>
                  </w:tcBorders>
                </w:tcPr>
                <w:p w:rsidR="003B6F04" w:rsidRPr="008C0DD9" w:rsidRDefault="003B6F04" w:rsidP="00C070C3">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3B6F04" w:rsidRPr="008C0DD9" w:rsidRDefault="003B6F04" w:rsidP="00C070C3">
                  <w:pPr>
                    <w:pStyle w:val="TableUnitsRow"/>
                    <w:spacing w:before="0" w:after="0" w:line="240" w:lineRule="auto"/>
                    <w:rPr>
                      <w:sz w:val="10"/>
                      <w:szCs w:val="10"/>
                    </w:rPr>
                  </w:pPr>
                </w:p>
              </w:tc>
              <w:tc>
                <w:tcPr>
                  <w:tcW w:w="1882" w:type="pct"/>
                  <w:gridSpan w:val="5"/>
                  <w:tcBorders>
                    <w:bottom w:val="single" w:sz="6" w:space="0" w:color="000000" w:themeColor="text1"/>
                  </w:tcBorders>
                </w:tcPr>
                <w:p w:rsidR="003B6F04" w:rsidRPr="008C0DD9" w:rsidRDefault="003B6F04" w:rsidP="00C070C3">
                  <w:pPr>
                    <w:pStyle w:val="TableUnitsRow"/>
                    <w:spacing w:before="0" w:after="0" w:line="240" w:lineRule="auto"/>
                    <w:ind w:right="28"/>
                    <w:rPr>
                      <w:sz w:val="10"/>
                      <w:szCs w:val="10"/>
                    </w:rPr>
                  </w:pPr>
                </w:p>
              </w:tc>
            </w:tr>
            <w:tr w:rsidR="003B6F04" w:rsidTr="00C070C3">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3B6F04" w:rsidRPr="00F30AF6" w:rsidRDefault="003B6F04" w:rsidP="007B54CC">
                  <w:pPr>
                    <w:pStyle w:val="TableBodyText"/>
                    <w:spacing w:before="40"/>
                    <w:ind w:left="17"/>
                    <w:jc w:val="left"/>
                    <w:rPr>
                      <w:sz w:val="16"/>
                      <w:szCs w:val="16"/>
                      <w:lang w:eastAsia="en-US"/>
                    </w:rPr>
                  </w:pPr>
                  <w:r>
                    <w:rPr>
                      <w:sz w:val="16"/>
                      <w:szCs w:val="16"/>
                      <w:lang w:eastAsia="en-US"/>
                    </w:rPr>
                    <w:t>7.1    Year 1 to 10 attendance</w:t>
                  </w:r>
                </w:p>
                <w:p w:rsidR="003B6F04" w:rsidRDefault="003B6F04" w:rsidP="007B54CC">
                  <w:pPr>
                    <w:pStyle w:val="TableBodyText"/>
                    <w:spacing w:before="40"/>
                    <w:ind w:left="17"/>
                    <w:jc w:val="left"/>
                  </w:pPr>
                  <w:r>
                    <w:rPr>
                      <w:sz w:val="16"/>
                      <w:szCs w:val="16"/>
                      <w:lang w:eastAsia="en-US"/>
                    </w:rPr>
                    <w:t>7.2</w:t>
                  </w:r>
                  <w:r>
                    <w:rPr>
                      <w:noProof/>
                      <w:sz w:val="16"/>
                      <w:szCs w:val="16"/>
                      <w:lang w:eastAsia="en-US"/>
                    </w:rPr>
                    <w:t xml:space="preserve">    </w:t>
                  </w:r>
                  <w:r>
                    <w:rPr>
                      <w:sz w:val="16"/>
                      <w:szCs w:val="16"/>
                      <w:lang w:eastAsia="en-US"/>
                    </w:rPr>
                    <w:t>Teacher quality</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3B6F04" w:rsidRDefault="003B6F04" w:rsidP="00C070C3">
                  <w:pPr>
                    <w:pStyle w:val="TableBodyText"/>
                    <w:spacing w:before="40"/>
                    <w:jc w:val="left"/>
                    <w:rPr>
                      <w:sz w:val="16"/>
                      <w:szCs w:val="16"/>
                      <w:lang w:eastAsia="en-US"/>
                    </w:rPr>
                  </w:pPr>
                  <w:r>
                    <w:rPr>
                      <w:sz w:val="16"/>
                      <w:szCs w:val="16"/>
                      <w:lang w:eastAsia="en-US"/>
                    </w:rPr>
                    <w:t>7.3    School engagement</w:t>
                  </w:r>
                </w:p>
                <w:p w:rsidR="003B6F04" w:rsidRPr="003B6F04" w:rsidRDefault="003B6F04" w:rsidP="003B6F04">
                  <w:pPr>
                    <w:pStyle w:val="TableBodyText"/>
                    <w:spacing w:before="40"/>
                    <w:jc w:val="left"/>
                    <w:rPr>
                      <w:sz w:val="16"/>
                      <w:szCs w:val="16"/>
                      <w:lang w:eastAsia="en-US"/>
                    </w:rPr>
                  </w:pPr>
                  <w:r>
                    <w:rPr>
                      <w:sz w:val="16"/>
                      <w:szCs w:val="16"/>
                      <w:lang w:eastAsia="en-US"/>
                    </w:rPr>
                    <w:t>7.4</w:t>
                  </w:r>
                  <w:r>
                    <w:rPr>
                      <w:noProof/>
                      <w:sz w:val="16"/>
                      <w:szCs w:val="16"/>
                      <w:lang w:eastAsia="en-US"/>
                    </w:rPr>
                    <w:t xml:space="preserve">    </w:t>
                  </w:r>
                  <w:r>
                    <w:rPr>
                      <w:sz w:val="16"/>
                      <w:szCs w:val="16"/>
                      <w:lang w:eastAsia="en-US"/>
                    </w:rPr>
                    <w:t>Transition from school to work</w:t>
                  </w:r>
                </w:p>
              </w:tc>
            </w:tr>
            <w:tr w:rsidR="003B6F04" w:rsidTr="00C070C3">
              <w:tc>
                <w:tcPr>
                  <w:tcW w:w="1621" w:type="pct"/>
                  <w:gridSpan w:val="5"/>
                  <w:tcBorders>
                    <w:top w:val="single" w:sz="6" w:space="0" w:color="000000" w:themeColor="text1"/>
                  </w:tcBorders>
                  <w:shd w:val="clear" w:color="auto" w:fill="auto"/>
                </w:tcPr>
                <w:p w:rsidR="003B6F04" w:rsidRPr="008C0DD9" w:rsidRDefault="003B6F04" w:rsidP="00C070C3">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3B6F04" w:rsidRPr="008C0DD9" w:rsidRDefault="003B6F04" w:rsidP="00C070C3">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3B6F04" w:rsidRPr="008C0DD9" w:rsidRDefault="003B6F04" w:rsidP="00C070C3">
                  <w:pPr>
                    <w:pStyle w:val="TableBodyText"/>
                    <w:spacing w:after="0" w:line="240" w:lineRule="auto"/>
                    <w:ind w:right="28"/>
                    <w:rPr>
                      <w:sz w:val="10"/>
                      <w:szCs w:val="10"/>
                    </w:rPr>
                  </w:pPr>
                </w:p>
              </w:tc>
            </w:tr>
          </w:tbl>
          <w:p w:rsidR="003B6F04" w:rsidRDefault="003B6F04" w:rsidP="00C070C3">
            <w:pPr>
              <w:pStyle w:val="Box"/>
            </w:pPr>
          </w:p>
        </w:tc>
      </w:tr>
      <w:tr w:rsidR="003B6F04" w:rsidTr="00C070C3">
        <w:trPr>
          <w:cantSplit/>
        </w:trPr>
        <w:tc>
          <w:tcPr>
            <w:tcW w:w="8767" w:type="dxa"/>
            <w:tcBorders>
              <w:top w:val="nil"/>
              <w:left w:val="nil"/>
              <w:bottom w:val="single" w:sz="6" w:space="0" w:color="78A22F"/>
              <w:right w:val="nil"/>
            </w:tcBorders>
            <w:shd w:val="clear" w:color="auto" w:fill="auto"/>
          </w:tcPr>
          <w:p w:rsidR="003B6F04" w:rsidRDefault="003B6F04" w:rsidP="00C070C3">
            <w:pPr>
              <w:pStyle w:val="Box"/>
              <w:spacing w:before="0" w:line="120" w:lineRule="exact"/>
            </w:pPr>
          </w:p>
        </w:tc>
      </w:tr>
      <w:tr w:rsidR="003B6F04" w:rsidRPr="000863A5" w:rsidTr="00C070C3">
        <w:tc>
          <w:tcPr>
            <w:tcW w:w="8767" w:type="dxa"/>
            <w:tcBorders>
              <w:top w:val="single" w:sz="6" w:space="0" w:color="78A22F"/>
              <w:left w:val="nil"/>
              <w:bottom w:val="nil"/>
              <w:right w:val="nil"/>
            </w:tcBorders>
          </w:tcPr>
          <w:p w:rsidR="003B6F04" w:rsidRPr="00626D32" w:rsidRDefault="003B6F04" w:rsidP="00C070C3">
            <w:pPr>
              <w:pStyle w:val="BoxSpaceBelow"/>
            </w:pPr>
          </w:p>
        </w:tc>
      </w:tr>
    </w:tbl>
    <w:p w:rsidR="009E1844" w:rsidRDefault="00274DA7" w:rsidP="00120072">
      <w:pPr>
        <w:pStyle w:val="BodyText"/>
      </w:pPr>
      <w:r w:rsidRPr="00310A1D">
        <w:t>Education is a life</w:t>
      </w:r>
      <w:r w:rsidR="00E40504">
        <w:noBreakHyphen/>
      </w:r>
      <w:r w:rsidRPr="00310A1D">
        <w:t xml:space="preserve">long activity, beginning with learning and development in the home through to the more formal settings of school education, vocational education and training (VET) and higher education. Education and training aims to develop the capacities and talents of students, so they have the necessary knowledge, understanding, skills and values for a productive and rewarding life. Actions in this strategic area can help strengthen communities and regions </w:t>
      </w:r>
      <w:r w:rsidR="0054448D">
        <w:t xml:space="preserve">both </w:t>
      </w:r>
      <w:r w:rsidRPr="00310A1D">
        <w:t>economically and socially, and there are strong links between higher levels of education and improved health outcomes.</w:t>
      </w:r>
    </w:p>
    <w:p w:rsidR="002C594F" w:rsidRPr="00291E29" w:rsidRDefault="002C594F" w:rsidP="002C594F">
      <w:pPr>
        <w:pStyle w:val="BodyText"/>
      </w:pPr>
      <w:r w:rsidRPr="00291E29">
        <w:t>The indicators in this strategic area for action focus on the key factors that contribute to positive education and training outcomes, as well as measures of the outcomes themselves:</w:t>
      </w:r>
    </w:p>
    <w:p w:rsidR="002C594F" w:rsidRPr="00291E29" w:rsidRDefault="002C594F" w:rsidP="002C594F">
      <w:pPr>
        <w:pStyle w:val="ListBullet"/>
      </w:pPr>
      <w:r w:rsidRPr="00291E29">
        <w:t>school attendance (section</w:t>
      </w:r>
      <w:r>
        <w:t> </w:t>
      </w:r>
      <w:r w:rsidRPr="00291E29">
        <w:t xml:space="preserve">7.1) — there is a direct relationship between days </w:t>
      </w:r>
      <w:r>
        <w:t>attending</w:t>
      </w:r>
      <w:r w:rsidRPr="00291E29">
        <w:t xml:space="preserve"> school and acad</w:t>
      </w:r>
      <w:r>
        <w:t>emic performance</w:t>
      </w:r>
    </w:p>
    <w:p w:rsidR="002C594F" w:rsidRPr="00570971" w:rsidRDefault="002C594F" w:rsidP="002C594F">
      <w:pPr>
        <w:pStyle w:val="ListBullet"/>
      </w:pPr>
      <w:proofErr w:type="gramStart"/>
      <w:r w:rsidRPr="00570971">
        <w:t>teacher</w:t>
      </w:r>
      <w:proofErr w:type="gramEnd"/>
      <w:r w:rsidRPr="00570971">
        <w:t xml:space="preserve"> quality (section 7.2) — the quality of teaching is a key determinant of student outcomes. However, defining and measuring teacher quality is difficult. This section discusses research into the determinants of teacher quality and identifies data that could be used for future reporting</w:t>
      </w:r>
    </w:p>
    <w:p w:rsidR="002C594F" w:rsidRPr="00E20AAF" w:rsidRDefault="002C594F" w:rsidP="002C594F">
      <w:pPr>
        <w:pStyle w:val="ListBullet"/>
      </w:pPr>
      <w:proofErr w:type="gramStart"/>
      <w:r>
        <w:t>s</w:t>
      </w:r>
      <w:r w:rsidRPr="00E20AAF">
        <w:t>chool</w:t>
      </w:r>
      <w:proofErr w:type="gramEnd"/>
      <w:r w:rsidRPr="00E20AAF">
        <w:t xml:space="preserve"> engagement (section</w:t>
      </w:r>
      <w:r>
        <w:t> </w:t>
      </w:r>
      <w:r w:rsidRPr="00E20AAF">
        <w:t>7.3) —</w:t>
      </w:r>
      <w:r>
        <w:t xml:space="preserve"> school </w:t>
      </w:r>
      <w:r w:rsidRPr="009A5F16">
        <w:t xml:space="preserve">attendance alone is </w:t>
      </w:r>
      <w:r>
        <w:t>unlikely to be</w:t>
      </w:r>
      <w:r w:rsidRPr="009A5F16">
        <w:t xml:space="preserve"> enough to </w:t>
      </w:r>
      <w:r>
        <w:t>improve</w:t>
      </w:r>
      <w:r w:rsidRPr="009A5F16">
        <w:t xml:space="preserve"> </w:t>
      </w:r>
      <w:r w:rsidR="0054448D">
        <w:t>students’</w:t>
      </w:r>
      <w:r w:rsidR="0054448D" w:rsidRPr="009A5F16">
        <w:t xml:space="preserve"> </w:t>
      </w:r>
      <w:r w:rsidRPr="009A5F16">
        <w:t>educational outcomes</w:t>
      </w:r>
      <w:r>
        <w:t xml:space="preserve">. </w:t>
      </w:r>
      <w:r w:rsidR="0054448D">
        <w:t>Although d</w:t>
      </w:r>
      <w:r>
        <w:t>efining and measuring s</w:t>
      </w:r>
      <w:r w:rsidRPr="009A5F16">
        <w:t>tudent engagement with schooling</w:t>
      </w:r>
      <w:r>
        <w:t xml:space="preserve"> is complex</w:t>
      </w:r>
      <w:r w:rsidR="0054448D">
        <w:t>, r</w:t>
      </w:r>
      <w:r>
        <w:t xml:space="preserve">esearch suggests that </w:t>
      </w:r>
      <w:r w:rsidR="0054448D">
        <w:t xml:space="preserve">relevant </w:t>
      </w:r>
      <w:r>
        <w:t>dimensions include positive self</w:t>
      </w:r>
      <w:r>
        <w:noBreakHyphen/>
        <w:t>identity, belonging, participation</w:t>
      </w:r>
      <w:r w:rsidR="00783CAD">
        <w:t>, and attendance</w:t>
      </w:r>
      <w:r>
        <w:t xml:space="preserve"> </w:t>
      </w:r>
    </w:p>
    <w:p w:rsidR="002C594F" w:rsidRPr="00310A1D" w:rsidRDefault="002C594F" w:rsidP="009A5234">
      <w:pPr>
        <w:pStyle w:val="ListBullet"/>
      </w:pPr>
      <w:proofErr w:type="gramStart"/>
      <w:r>
        <w:t>t</w:t>
      </w:r>
      <w:r w:rsidRPr="00E20AAF">
        <w:t>ransition</w:t>
      </w:r>
      <w:proofErr w:type="gramEnd"/>
      <w:r w:rsidRPr="00E20AAF">
        <w:t xml:space="preserve"> from school to work (section</w:t>
      </w:r>
      <w:r>
        <w:t> </w:t>
      </w:r>
      <w:r w:rsidRPr="00E20AAF">
        <w:t>7.4)</w:t>
      </w:r>
      <w:r>
        <w:t xml:space="preserve"> — </w:t>
      </w:r>
      <w:r w:rsidRPr="008F3047">
        <w:t>the transition from school to work is a critical period. Young people who are actively enga</w:t>
      </w:r>
      <w:r>
        <w:t xml:space="preserve">ged in education and training, </w:t>
      </w:r>
      <w:r w:rsidRPr="008F3047">
        <w:t xml:space="preserve">or employed, are at </w:t>
      </w:r>
      <w:r>
        <w:t xml:space="preserve">a lower </w:t>
      </w:r>
      <w:r w:rsidRPr="008F3047">
        <w:t>risk of long term disadvantage.</w:t>
      </w:r>
    </w:p>
    <w:p w:rsidR="00274DA7" w:rsidRPr="00310A1D" w:rsidRDefault="00274DA7" w:rsidP="008C3BCE">
      <w:pPr>
        <w:pStyle w:val="BodyText"/>
        <w:keepNext/>
      </w:pPr>
      <w:r w:rsidRPr="00310A1D">
        <w:lastRenderedPageBreak/>
        <w:t>Several COAG targets and headline indicators reflect the importance of education and training:</w:t>
      </w:r>
    </w:p>
    <w:p w:rsidR="00274DA7" w:rsidRPr="00310A1D" w:rsidRDefault="00274DA7" w:rsidP="00274DA7">
      <w:pPr>
        <w:pStyle w:val="ListBullet"/>
      </w:pPr>
      <w:r w:rsidRPr="00310A1D">
        <w:t>early childhood education (section</w:t>
      </w:r>
      <w:r w:rsidR="00E40504">
        <w:t> </w:t>
      </w:r>
      <w:r w:rsidRPr="00310A1D">
        <w:t>4.3)</w:t>
      </w:r>
    </w:p>
    <w:p w:rsidR="00274DA7" w:rsidRPr="00310A1D" w:rsidRDefault="00274DA7" w:rsidP="00274DA7">
      <w:pPr>
        <w:pStyle w:val="ListBullet"/>
      </w:pPr>
      <w:r w:rsidRPr="00310A1D">
        <w:t>reading, writing and numeracy (section</w:t>
      </w:r>
      <w:r w:rsidR="00E40504">
        <w:t> </w:t>
      </w:r>
      <w:r w:rsidRPr="00310A1D">
        <w:t>4.4)</w:t>
      </w:r>
    </w:p>
    <w:p w:rsidR="00274DA7" w:rsidRPr="00310A1D" w:rsidRDefault="00274DA7" w:rsidP="00274DA7">
      <w:pPr>
        <w:pStyle w:val="ListBullet"/>
      </w:pPr>
      <w:r w:rsidRPr="00310A1D">
        <w:t>year 12 attainment (section</w:t>
      </w:r>
      <w:r w:rsidR="00E40504">
        <w:t> </w:t>
      </w:r>
      <w:r w:rsidRPr="00310A1D">
        <w:t>4.5)</w:t>
      </w:r>
    </w:p>
    <w:p w:rsidR="00274DA7" w:rsidRPr="00310A1D" w:rsidRDefault="00274DA7" w:rsidP="00274DA7">
      <w:pPr>
        <w:pStyle w:val="ListBullet"/>
      </w:pPr>
      <w:proofErr w:type="gramStart"/>
      <w:r w:rsidRPr="00310A1D">
        <w:t>post</w:t>
      </w:r>
      <w:r w:rsidR="00E40504">
        <w:noBreakHyphen/>
      </w:r>
      <w:r w:rsidRPr="00310A1D">
        <w:t>secondary</w:t>
      </w:r>
      <w:proofErr w:type="gramEnd"/>
      <w:r w:rsidRPr="00310A1D">
        <w:t xml:space="preserve"> education — participation and attainment (section</w:t>
      </w:r>
      <w:r w:rsidR="00E40504">
        <w:t> </w:t>
      </w:r>
      <w:r w:rsidRPr="00310A1D">
        <w:t>4.7).</w:t>
      </w:r>
    </w:p>
    <w:p w:rsidR="00274DA7" w:rsidRPr="00310A1D" w:rsidRDefault="0004541C" w:rsidP="00274DA7">
      <w:pPr>
        <w:pStyle w:val="BodyText"/>
      </w:pPr>
      <w:r w:rsidRPr="00310A1D">
        <w:t>Other COAG targets and headline indicators can be directly influenced by education and training outcomes:</w:t>
      </w:r>
    </w:p>
    <w:p w:rsidR="0004541C" w:rsidRPr="00400206" w:rsidRDefault="0004541C" w:rsidP="0004541C">
      <w:pPr>
        <w:pStyle w:val="ListBullet"/>
      </w:pPr>
      <w:r w:rsidRPr="00400206">
        <w:t>employment (section</w:t>
      </w:r>
      <w:r w:rsidR="00E40504">
        <w:t> </w:t>
      </w:r>
      <w:r w:rsidRPr="00400206">
        <w:t>4.6)</w:t>
      </w:r>
    </w:p>
    <w:p w:rsidR="0004541C" w:rsidRPr="00400206" w:rsidRDefault="0004541C" w:rsidP="0004541C">
      <w:pPr>
        <w:pStyle w:val="ListBullet"/>
      </w:pPr>
      <w:proofErr w:type="gramStart"/>
      <w:r w:rsidRPr="00400206">
        <w:t>household</w:t>
      </w:r>
      <w:proofErr w:type="gramEnd"/>
      <w:r w:rsidRPr="00400206">
        <w:t xml:space="preserve"> and individual income (section</w:t>
      </w:r>
      <w:r w:rsidR="00E40504">
        <w:t> </w:t>
      </w:r>
      <w:r w:rsidRPr="00400206">
        <w:t>4.9).</w:t>
      </w:r>
    </w:p>
    <w:p w:rsidR="0004541C" w:rsidRPr="00400206" w:rsidRDefault="0004541C" w:rsidP="0004541C">
      <w:pPr>
        <w:pStyle w:val="BodyText"/>
      </w:pPr>
      <w:r w:rsidRPr="00400206">
        <w:t>Outcomes in the education and training area can be affected by outcomes in several other strategic areas, or can influence outcomes in other areas:</w:t>
      </w:r>
    </w:p>
    <w:p w:rsidR="00400206" w:rsidRPr="00400206" w:rsidRDefault="00400206" w:rsidP="0004541C">
      <w:pPr>
        <w:pStyle w:val="ListBullet"/>
      </w:pPr>
      <w:r w:rsidRPr="00400206">
        <w:t>governance</w:t>
      </w:r>
      <w:r w:rsidR="008C3BCE">
        <w:t xml:space="preserve">, </w:t>
      </w:r>
      <w:r w:rsidRPr="00400206">
        <w:t xml:space="preserve">leadership </w:t>
      </w:r>
      <w:r w:rsidR="008C3BCE">
        <w:t xml:space="preserve">and culture </w:t>
      </w:r>
      <w:r w:rsidRPr="00400206">
        <w:t>(governance capacity and skills) (chapter</w:t>
      </w:r>
      <w:r w:rsidR="00E40504">
        <w:t> </w:t>
      </w:r>
      <w:r w:rsidRPr="00400206">
        <w:t>5</w:t>
      </w:r>
      <w:r>
        <w:t>)</w:t>
      </w:r>
    </w:p>
    <w:p w:rsidR="0004541C" w:rsidRPr="00400206" w:rsidRDefault="0004541C" w:rsidP="0004541C">
      <w:pPr>
        <w:pStyle w:val="ListBullet"/>
      </w:pPr>
      <w:r w:rsidRPr="00400206">
        <w:t xml:space="preserve">early child development (basic skills for life </w:t>
      </w:r>
      <w:r w:rsidR="00FA1D92" w:rsidRPr="00400206">
        <w:t>and learning, ear health</w:t>
      </w:r>
      <w:r w:rsidRPr="00400206">
        <w:t>) (chapter</w:t>
      </w:r>
      <w:r w:rsidR="00E40504">
        <w:t> </w:t>
      </w:r>
      <w:r w:rsidR="00400206" w:rsidRPr="00400206">
        <w:t>6</w:t>
      </w:r>
      <w:r w:rsidRPr="00400206">
        <w:t>)</w:t>
      </w:r>
    </w:p>
    <w:p w:rsidR="0004541C" w:rsidRPr="00400206" w:rsidRDefault="0004541C" w:rsidP="0004541C">
      <w:pPr>
        <w:pStyle w:val="ListBullet"/>
      </w:pPr>
      <w:r w:rsidRPr="00400206">
        <w:t xml:space="preserve">healthy lives (access to primary health care and fewer </w:t>
      </w:r>
      <w:r w:rsidR="00400206" w:rsidRPr="00400206">
        <w:t xml:space="preserve">potentially </w:t>
      </w:r>
      <w:r w:rsidRPr="00400206">
        <w:t>preventable hospitalisations will affect education outcomes, while education outcomes can influence tobacco consumption and harm, and obesity and nutrition) (chapter</w:t>
      </w:r>
      <w:r w:rsidR="00E40504">
        <w:t> </w:t>
      </w:r>
      <w:r w:rsidR="00400206" w:rsidRPr="00400206">
        <w:t>8</w:t>
      </w:r>
      <w:r w:rsidRPr="00400206">
        <w:t>)</w:t>
      </w:r>
    </w:p>
    <w:p w:rsidR="00B929F5" w:rsidRDefault="0004541C" w:rsidP="00575202">
      <w:pPr>
        <w:pStyle w:val="ListBullet"/>
        <w:rPr>
          <w:color w:val="808080" w:themeColor="background1" w:themeShade="80"/>
        </w:rPr>
      </w:pPr>
      <w:proofErr w:type="gramStart"/>
      <w:r w:rsidRPr="00400206">
        <w:t>economic</w:t>
      </w:r>
      <w:proofErr w:type="gramEnd"/>
      <w:r w:rsidRPr="00400206">
        <w:t xml:space="preserve"> participation (</w:t>
      </w:r>
      <w:r w:rsidR="00400206">
        <w:t>e</w:t>
      </w:r>
      <w:r w:rsidR="00400206" w:rsidRPr="00400206">
        <w:t>mployment and occupation</w:t>
      </w:r>
      <w:r w:rsidRPr="00400206">
        <w:t xml:space="preserve">, </w:t>
      </w:r>
      <w:r w:rsidR="00400206" w:rsidRPr="00400206">
        <w:t xml:space="preserve">and </w:t>
      </w:r>
      <w:r w:rsidRPr="00400206">
        <w:t>home ownership) (chapter</w:t>
      </w:r>
      <w:r w:rsidR="00E40504">
        <w:t> </w:t>
      </w:r>
      <w:r w:rsidR="00400206">
        <w:t>9</w:t>
      </w:r>
      <w:r w:rsidRPr="00400206">
        <w:t>)</w:t>
      </w:r>
      <w:r w:rsidR="000A1EAB">
        <w:t>.</w:t>
      </w:r>
    </w:p>
    <w:p w:rsidR="00575202" w:rsidRPr="00B929F5" w:rsidRDefault="00575202" w:rsidP="00B929F5">
      <w:pPr>
        <w:pStyle w:val="Heading4"/>
      </w:pPr>
      <w:r w:rsidRPr="00B929F5">
        <w:t>Attachment tables</w:t>
      </w:r>
    </w:p>
    <w:p w:rsidR="00935C67" w:rsidRDefault="00575202" w:rsidP="00120072">
      <w:pPr>
        <w:pStyle w:val="BodyText"/>
      </w:pPr>
      <w:r w:rsidRPr="0099587B">
        <w:t>Attachment tables for this chapter are identified in references throughout this chapter by an ‘A’ suffix (for e</w:t>
      </w:r>
      <w:r w:rsidR="0099587B">
        <w:t>xample, table</w:t>
      </w:r>
      <w:r w:rsidR="00E40504">
        <w:t> </w:t>
      </w:r>
      <w:r w:rsidR="0099587B">
        <w:t>7</w:t>
      </w:r>
      <w:r w:rsidRPr="0099587B">
        <w:t>A.1.1</w:t>
      </w:r>
      <w:r w:rsidR="0099587B">
        <w:t>)</w:t>
      </w:r>
      <w:r w:rsidRPr="0099587B">
        <w:t>. These tables can be found on the Review web page (www.pc.gov.au/gsp), or users can contact the Secretariat directly.</w:t>
      </w:r>
    </w:p>
    <w:p w:rsidR="00935C67" w:rsidRDefault="00935C67" w:rsidP="00935C67">
      <w:pPr>
        <w:pStyle w:val="BodyText"/>
      </w:pPr>
      <w:r>
        <w:br w:type="page"/>
      </w:r>
    </w:p>
    <w:p w:rsidR="00935C67" w:rsidRPr="009B4EA3" w:rsidRDefault="00935C67" w:rsidP="00935C67">
      <w:pPr>
        <w:pStyle w:val="Heading2"/>
        <w:rPr>
          <w:rStyle w:val="NoteLabel"/>
        </w:rPr>
      </w:pPr>
      <w:r>
        <w:lastRenderedPageBreak/>
        <w:t>7.</w:t>
      </w:r>
      <w:r w:rsidRPr="009763F0">
        <w:t>1</w:t>
      </w:r>
      <w:r w:rsidRPr="009763F0">
        <w:tab/>
      </w:r>
      <w:r>
        <w:t>Year 1 to 10 attendance</w:t>
      </w:r>
      <w:r w:rsidRPr="009B4EA3">
        <w:rPr>
          <w:rStyle w:val="NoteLabel"/>
        </w:rPr>
        <w:footnoteReference w:id="1"/>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hemeFill="background1" w:themeFillShade="F2"/>
          </w:tcPr>
          <w:p w:rsidR="00935C67" w:rsidRDefault="00935C67" w:rsidP="00510401">
            <w:pPr>
              <w:pStyle w:val="BoxTitle"/>
            </w:pPr>
            <w:r>
              <w:rPr>
                <w:b w:val="0"/>
              </w:rPr>
              <w:t>Box 7.1.</w:t>
            </w:r>
            <w:r>
              <w:rPr>
                <w:b w:val="0"/>
                <w:noProof/>
              </w:rPr>
              <w:t>1</w:t>
            </w:r>
            <w:r>
              <w:tab/>
              <w:t>Key messages</w:t>
            </w:r>
          </w:p>
        </w:tc>
      </w:tr>
      <w:tr w:rsidR="00935C67" w:rsidTr="00510401">
        <w:trPr>
          <w:cantSplit/>
        </w:trPr>
        <w:tc>
          <w:tcPr>
            <w:tcW w:w="8771" w:type="dxa"/>
            <w:tcBorders>
              <w:top w:val="nil"/>
              <w:left w:val="nil"/>
              <w:bottom w:val="nil"/>
              <w:right w:val="nil"/>
            </w:tcBorders>
            <w:shd w:val="clear" w:color="auto" w:fill="F2F2F2" w:themeFill="background1" w:themeFillShade="F2"/>
          </w:tcPr>
          <w:p w:rsidR="00935C67" w:rsidRDefault="00935C67" w:rsidP="00510401">
            <w:pPr>
              <w:pStyle w:val="BoxListBullet"/>
            </w:pPr>
            <w:r>
              <w:t>In May 2014, COAG agreed to a target to close the gap in school attendance between Aboriginal and Torres Strait Islander children and non</w:t>
            </w:r>
            <w:r>
              <w:noBreakHyphen/>
              <w:t xml:space="preserve">Indigenous children within 5 years </w:t>
            </w:r>
            <w:r w:rsidRPr="008A227F">
              <w:rPr>
                <w:rFonts w:cs="Arial"/>
                <w:szCs w:val="24"/>
              </w:rPr>
              <w:t>(COAG 2014)</w:t>
            </w:r>
            <w:r>
              <w:t>. However, nationally comparable data were not available for this report.</w:t>
            </w:r>
          </w:p>
          <w:p w:rsidR="00935C67" w:rsidRPr="00A1587A" w:rsidRDefault="00935C67" w:rsidP="00510401">
            <w:pPr>
              <w:pStyle w:val="BoxListBullet"/>
            </w:pPr>
            <w:r w:rsidRPr="00A1587A">
              <w:t>Years 5 and 10 have been selected to represent the middle (primary) and later (secondary) years of schooling.</w:t>
            </w:r>
          </w:p>
          <w:p w:rsidR="00935C67" w:rsidRDefault="00935C67" w:rsidP="00510401">
            <w:pPr>
              <w:pStyle w:val="BoxListBullet2"/>
              <w:rPr>
                <w:szCs w:val="24"/>
              </w:rPr>
            </w:pPr>
            <w:r>
              <w:t>W</w:t>
            </w:r>
            <w:r w:rsidRPr="00F92692">
              <w:t xml:space="preserve">ithin individual school sectors within a State or Territory </w:t>
            </w:r>
            <w:r>
              <w:t xml:space="preserve">in 2013, </w:t>
            </w:r>
            <w:r w:rsidRPr="0020431F">
              <w:t>Aboriginal and Torres Strait Islander students generally had lower attendance than non</w:t>
            </w:r>
            <w:r>
              <w:noBreakHyphen/>
            </w:r>
            <w:r w:rsidRPr="0020431F">
              <w:t xml:space="preserve">Indigenous students, and this difference was larger in </w:t>
            </w:r>
            <w:r>
              <w:t>y</w:t>
            </w:r>
            <w:r w:rsidRPr="0020431F">
              <w:t xml:space="preserve">ear 10 compared to </w:t>
            </w:r>
            <w:r>
              <w:t>y</w:t>
            </w:r>
            <w:r w:rsidRPr="0020431F">
              <w:t>ear 5</w:t>
            </w:r>
            <w:r>
              <w:t xml:space="preserve"> (</w:t>
            </w:r>
            <w:r w:rsidRPr="0020431F">
              <w:t>tables</w:t>
            </w:r>
            <w:r>
              <w:t> </w:t>
            </w:r>
            <w:r w:rsidRPr="0020431F">
              <w:t>7A.1.1–21</w:t>
            </w:r>
            <w:r>
              <w:t xml:space="preserve">). </w:t>
            </w:r>
          </w:p>
          <w:p w:rsidR="00935C67" w:rsidRDefault="00935C67" w:rsidP="00510401">
            <w:pPr>
              <w:pStyle w:val="BoxListBullet2"/>
            </w:pPr>
            <w:r w:rsidRPr="008A227F">
              <w:t>From 2007 to 2013, attendance rates for Aboriginal and Torres Strait Islander students in year 5 were fairly stable in government schools, but decreased for year 10</w:t>
            </w:r>
            <w:r w:rsidRPr="00251C00">
              <w:t xml:space="preserve"> (</w:t>
            </w:r>
            <w:r>
              <w:t>tables </w:t>
            </w:r>
            <w:r w:rsidRPr="00251C00">
              <w:t xml:space="preserve">7A.1.1–21). </w:t>
            </w:r>
            <w:r>
              <w:t xml:space="preserve">Attendance rates in </w:t>
            </w:r>
            <w:r w:rsidRPr="00251C00">
              <w:t>Catholic and independent schools</w:t>
            </w:r>
            <w:r>
              <w:t xml:space="preserve"> fluctuated over time with no clear trend</w:t>
            </w:r>
            <w:r w:rsidRPr="00251C00">
              <w:t>.</w:t>
            </w:r>
          </w:p>
        </w:tc>
      </w:tr>
      <w:tr w:rsidR="00935C67" w:rsidTr="00510401">
        <w:trPr>
          <w:cantSplit/>
        </w:trPr>
        <w:tc>
          <w:tcPr>
            <w:tcW w:w="8771" w:type="dxa"/>
            <w:tcBorders>
              <w:top w:val="nil"/>
              <w:left w:val="nil"/>
              <w:bottom w:val="single" w:sz="6" w:space="0" w:color="78A22F"/>
              <w:right w:val="nil"/>
            </w:tcBorders>
            <w:shd w:val="clear" w:color="auto" w:fill="F2F2F2" w:themeFill="background1" w:themeFillShade="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hemeFill="background1" w:themeFillShade="F2"/>
          </w:tcPr>
          <w:p w:rsidR="00935C67" w:rsidRDefault="00935C67" w:rsidP="00510401">
            <w:pPr>
              <w:pStyle w:val="BoxTitle"/>
            </w:pPr>
            <w:r>
              <w:rPr>
                <w:b w:val="0"/>
              </w:rPr>
              <w:t>Box 7.1.</w:t>
            </w:r>
            <w:r>
              <w:rPr>
                <w:b w:val="0"/>
                <w:noProof/>
              </w:rPr>
              <w:t>2</w:t>
            </w:r>
            <w:r>
              <w:tab/>
              <w:t>Measure of Year 1 to 10 attendance</w:t>
            </w:r>
          </w:p>
        </w:tc>
      </w:tr>
      <w:tr w:rsidR="00935C67" w:rsidTr="00510401">
        <w:trPr>
          <w:cantSplit/>
        </w:trPr>
        <w:tc>
          <w:tcPr>
            <w:tcW w:w="8771" w:type="dxa"/>
            <w:tcBorders>
              <w:top w:val="nil"/>
              <w:left w:val="nil"/>
              <w:bottom w:val="nil"/>
              <w:right w:val="nil"/>
            </w:tcBorders>
            <w:shd w:val="clear" w:color="auto" w:fill="F2F2F2" w:themeFill="background1" w:themeFillShade="F2"/>
          </w:tcPr>
          <w:p w:rsidR="00935C67" w:rsidRDefault="00935C67" w:rsidP="00510401">
            <w:pPr>
              <w:pStyle w:val="Box"/>
            </w:pPr>
            <w:r w:rsidRPr="00194DCE">
              <w:t xml:space="preserve">There is one main measure for this indicator (aligned with the associated NIRA indicator). </w:t>
            </w:r>
          </w:p>
          <w:p w:rsidR="00935C67" w:rsidRDefault="00935C67" w:rsidP="00510401">
            <w:pPr>
              <w:pStyle w:val="BoxListBullet"/>
            </w:pPr>
            <w:r>
              <w:rPr>
                <w:i/>
              </w:rPr>
              <w:t xml:space="preserve">Student attendance </w:t>
            </w:r>
            <w:r w:rsidRPr="00D143AD">
              <w:t>is defined as the number of actual full time equivalent student days attended over the collection period</w:t>
            </w:r>
            <w:r>
              <w:t xml:space="preserve"> </w:t>
            </w:r>
            <w:r w:rsidRPr="00D143AD">
              <w:t>as a percentage of the total number of possible student days</w:t>
            </w:r>
            <w:r>
              <w:t xml:space="preserve">, for children enrolled full time in years 1 to 10. Data are sourced </w:t>
            </w:r>
            <w:r w:rsidRPr="00A24FC7">
              <w:t>from the Australian Curriculum, Assessment and Reporting Authority (ACARA) National Schools Attendance Collection</w:t>
            </w:r>
            <w:r>
              <w:t>, with the most recent available data for 2013 (State and Territory; school sector)</w:t>
            </w:r>
            <w:r w:rsidRPr="00A24FC7">
              <w:t xml:space="preserve">. </w:t>
            </w:r>
          </w:p>
          <w:p w:rsidR="00935C67" w:rsidRDefault="00935C67" w:rsidP="00510401">
            <w:pPr>
              <w:pStyle w:val="Box"/>
            </w:pPr>
            <w:r>
              <w:t>Data are of acceptable accuracy within individual school sectors within a State or Territory, but are currently not comparable across school sectors or states and territories, due to differences in collection and reporting processes.</w:t>
            </w:r>
          </w:p>
        </w:tc>
      </w:tr>
      <w:tr w:rsidR="00935C67" w:rsidTr="00510401">
        <w:trPr>
          <w:cantSplit/>
        </w:trPr>
        <w:tc>
          <w:tcPr>
            <w:tcW w:w="8771" w:type="dxa"/>
            <w:tcBorders>
              <w:top w:val="nil"/>
              <w:left w:val="nil"/>
              <w:bottom w:val="single" w:sz="6" w:space="0" w:color="78A22F"/>
              <w:right w:val="nil"/>
            </w:tcBorders>
            <w:shd w:val="clear" w:color="auto" w:fill="F2F2F2" w:themeFill="background1" w:themeFillShade="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rsidRPr="002D7DC0">
        <w:t xml:space="preserve">COAG has identified student attendance as one of the progress measures for the Closing the Gap target of halving the gap in year 12 or equivalent attainment by 2020. </w:t>
      </w:r>
      <w:r>
        <w:t>In addition, as part of the 2014 </w:t>
      </w:r>
      <w:proofErr w:type="gramStart"/>
      <w:r>
        <w:t>Closing</w:t>
      </w:r>
      <w:proofErr w:type="gramEnd"/>
      <w:r>
        <w:t xml:space="preserve"> the Gap report release </w:t>
      </w:r>
      <w:r w:rsidRPr="00561173">
        <w:rPr>
          <w:szCs w:val="24"/>
        </w:rPr>
        <w:t>(Australian Government 2014)</w:t>
      </w:r>
      <w:r>
        <w:t>, the Prime Minister proposed a new target to close the gap in</w:t>
      </w:r>
      <w:r w:rsidRPr="00080A6A">
        <w:t xml:space="preserve"> school attendance within five years</w:t>
      </w:r>
      <w:r>
        <w:t>. This is to be accomplished by all schools achieving a minimum 90 per cent attendance rate, r</w:t>
      </w:r>
      <w:r w:rsidRPr="00561173">
        <w:t xml:space="preserve">egardless of their </w:t>
      </w:r>
      <w:r>
        <w:t>proportion</w:t>
      </w:r>
      <w:r w:rsidRPr="00561173">
        <w:t xml:space="preserve"> of </w:t>
      </w:r>
      <w:r>
        <w:t>Aboriginal and Torres Strait Islander</w:t>
      </w:r>
      <w:r w:rsidRPr="00561173">
        <w:t xml:space="preserve"> students</w:t>
      </w:r>
      <w:r>
        <w:t xml:space="preserve">. COAG agreed the new target in May 2014 </w:t>
      </w:r>
      <w:r w:rsidRPr="00EF70A8">
        <w:rPr>
          <w:szCs w:val="24"/>
        </w:rPr>
        <w:t>(COAG 2014)</w:t>
      </w:r>
      <w:r>
        <w:t>. However, detailed measures are yet to be determined.</w:t>
      </w:r>
    </w:p>
    <w:p w:rsidR="00935C67" w:rsidRDefault="00935C67" w:rsidP="00935C67">
      <w:pPr>
        <w:pStyle w:val="BodyText"/>
      </w:pPr>
      <w:r>
        <w:t xml:space="preserve">National and international research identify that regular school attendance is important to achieving core skills, such as literacy and numeracy </w:t>
      </w:r>
      <w:r w:rsidRPr="00B223E7">
        <w:rPr>
          <w:szCs w:val="24"/>
        </w:rPr>
        <w:t>(</w:t>
      </w:r>
      <w:proofErr w:type="spellStart"/>
      <w:r w:rsidRPr="00B223E7">
        <w:rPr>
          <w:szCs w:val="24"/>
        </w:rPr>
        <w:t>Balfanz</w:t>
      </w:r>
      <w:proofErr w:type="spellEnd"/>
      <w:r w:rsidRPr="00B223E7">
        <w:rPr>
          <w:szCs w:val="24"/>
        </w:rPr>
        <w:t xml:space="preserve"> and Byrnes 2012; Purdie and </w:t>
      </w:r>
      <w:r w:rsidRPr="00B223E7">
        <w:rPr>
          <w:szCs w:val="24"/>
        </w:rPr>
        <w:lastRenderedPageBreak/>
        <w:t xml:space="preserve">Buckley 2010; UNICEF </w:t>
      </w:r>
      <w:proofErr w:type="spellStart"/>
      <w:r w:rsidRPr="00B223E7">
        <w:rPr>
          <w:szCs w:val="24"/>
        </w:rPr>
        <w:t>Innocenti</w:t>
      </w:r>
      <w:proofErr w:type="spellEnd"/>
      <w:r w:rsidRPr="00B223E7">
        <w:rPr>
          <w:szCs w:val="24"/>
        </w:rPr>
        <w:t xml:space="preserve"> Research Centre 2004)</w:t>
      </w:r>
      <w:r>
        <w:t xml:space="preserve">. </w:t>
      </w:r>
      <w:r w:rsidRPr="00637757">
        <w:t xml:space="preserve">The Western Australian Aboriginal Child Health Survey 2000–2002 </w:t>
      </w:r>
      <w:r>
        <w:t>showed</w:t>
      </w:r>
      <w:r w:rsidRPr="00637757">
        <w:t xml:space="preserve"> a direct relationship between the number of days absent from school and academic performance </w:t>
      </w:r>
      <w:r w:rsidRPr="0015714D">
        <w:rPr>
          <w:szCs w:val="24"/>
        </w:rPr>
        <w:t>(</w:t>
      </w:r>
      <w:proofErr w:type="spellStart"/>
      <w:r w:rsidRPr="0015714D">
        <w:rPr>
          <w:szCs w:val="24"/>
        </w:rPr>
        <w:t>Zubrick</w:t>
      </w:r>
      <w:proofErr w:type="spellEnd"/>
      <w:r w:rsidRPr="0015714D">
        <w:rPr>
          <w:szCs w:val="24"/>
        </w:rPr>
        <w:t xml:space="preserve"> et al. 2006)</w:t>
      </w:r>
      <w:r w:rsidRPr="0015714D">
        <w:t xml:space="preserve">. </w:t>
      </w:r>
      <w:r w:rsidRPr="00F215F1">
        <w:t>A 2006 study found that school attendance was i</w:t>
      </w:r>
      <w:r>
        <w:t>nfluenced by three main factors</w:t>
      </w:r>
      <w:r w:rsidRPr="0015714D">
        <w:t xml:space="preserve"> </w:t>
      </w:r>
      <w:r w:rsidRPr="0067171F">
        <w:t>—</w:t>
      </w:r>
      <w:r>
        <w:t xml:space="preserve"> </w:t>
      </w:r>
      <w:r w:rsidRPr="0067171F">
        <w:t xml:space="preserve">parental insistence that children go to school, teacher quality and bullying and teasing </w:t>
      </w:r>
      <w:r w:rsidRPr="008A615E">
        <w:rPr>
          <w:szCs w:val="24"/>
        </w:rPr>
        <w:t xml:space="preserve">(DEWR 2006; </w:t>
      </w:r>
      <w:r>
        <w:rPr>
          <w:szCs w:val="24"/>
        </w:rPr>
        <w:t xml:space="preserve">see also </w:t>
      </w:r>
      <w:r w:rsidRPr="008A615E">
        <w:rPr>
          <w:szCs w:val="24"/>
        </w:rPr>
        <w:t>Taylor 2004)</w:t>
      </w:r>
      <w:r>
        <w:t xml:space="preserve"> (teacher quality is discussed in section 7.2).</w:t>
      </w:r>
      <w:r w:rsidRPr="0067171F">
        <w:t xml:space="preserve"> </w:t>
      </w:r>
      <w:r w:rsidRPr="00FE2835">
        <w:t xml:space="preserve">Indigenous </w:t>
      </w:r>
      <w:r>
        <w:t>students</w:t>
      </w:r>
      <w:r w:rsidRPr="00FE2835">
        <w:t xml:space="preserve"> are less likely to have parental support, such as help with homework, compared with non</w:t>
      </w:r>
      <w:r w:rsidRPr="00FE2835">
        <w:noBreakHyphen/>
      </w:r>
      <w:r>
        <w:t>i</w:t>
      </w:r>
      <w:r w:rsidRPr="00FE2835">
        <w:t>ndigenous</w:t>
      </w:r>
      <w:r>
        <w:t xml:space="preserve"> children </w:t>
      </w:r>
      <w:r w:rsidRPr="00FE2835">
        <w:rPr>
          <w:szCs w:val="24"/>
        </w:rPr>
        <w:t xml:space="preserve">(UNICEF </w:t>
      </w:r>
      <w:proofErr w:type="spellStart"/>
      <w:r w:rsidRPr="00FE2835">
        <w:rPr>
          <w:szCs w:val="24"/>
        </w:rPr>
        <w:t>Innocenti</w:t>
      </w:r>
      <w:proofErr w:type="spellEnd"/>
      <w:r w:rsidRPr="00FE2835">
        <w:rPr>
          <w:szCs w:val="24"/>
        </w:rPr>
        <w:t xml:space="preserve"> Research Centre 2004)</w:t>
      </w:r>
      <w:r w:rsidRPr="00FE2835">
        <w:t xml:space="preserve">. </w:t>
      </w:r>
      <w:r w:rsidRPr="008A227F">
        <w:t>Research highlights that attendance at school is necessary but it alone is not sufficient to achieve improved educational outcomes</w:t>
      </w:r>
      <w:r w:rsidRPr="0042510B">
        <w:t xml:space="preserve"> </w:t>
      </w:r>
      <w:r w:rsidRPr="008E3CBB">
        <w:rPr>
          <w:szCs w:val="24"/>
        </w:rPr>
        <w:t>(Hancock et al. 2013; Mellor and Corrigan 2004)</w:t>
      </w:r>
      <w:r>
        <w:t>, and other factors such as how engaged a student is at school is also important. Student engagement with schooling is discussed in more detail in section 7.3.</w:t>
      </w:r>
    </w:p>
    <w:p w:rsidR="00935C67" w:rsidRPr="00D143AD" w:rsidRDefault="00935C67" w:rsidP="00935C67">
      <w:pPr>
        <w:pStyle w:val="Heading3"/>
      </w:pPr>
      <w:r w:rsidRPr="00D143AD">
        <w:t>Student attendance</w:t>
      </w:r>
    </w:p>
    <w:p w:rsidR="00935C67" w:rsidRPr="008D51B2" w:rsidRDefault="00935C67" w:rsidP="00935C67">
      <w:pPr>
        <w:pStyle w:val="BodyText"/>
      </w:pPr>
      <w:r>
        <w:t>In Australia in 2013</w:t>
      </w:r>
      <w:r w:rsidRPr="009D2DF4">
        <w:t xml:space="preserve">, school attendance was compulsory for children </w:t>
      </w:r>
      <w:r>
        <w:t>from</w:t>
      </w:r>
      <w:r w:rsidRPr="009D2DF4">
        <w:t xml:space="preserve"> </w:t>
      </w:r>
      <w:r>
        <w:t xml:space="preserve">the age of </w:t>
      </w:r>
      <w:r w:rsidRPr="009D2DF4">
        <w:t>6</w:t>
      </w:r>
      <w:r>
        <w:t xml:space="preserve"> years </w:t>
      </w:r>
      <w:r w:rsidRPr="009D2DF4">
        <w:t>(</w:t>
      </w:r>
      <w:r>
        <w:t>5 years</w:t>
      </w:r>
      <w:r w:rsidRPr="009D2DF4">
        <w:t xml:space="preserve"> in </w:t>
      </w:r>
      <w:r>
        <w:t>WA</w:t>
      </w:r>
      <w:r>
        <w:rPr>
          <w:rStyle w:val="FootnoteReference"/>
        </w:rPr>
        <w:footnoteReference w:id="2"/>
      </w:r>
      <w:r>
        <w:t xml:space="preserve"> and Tasmania), although children may start school at an age younger than the compulsory age. Most children commence full time </w:t>
      </w:r>
      <w:r w:rsidRPr="008D51B2">
        <w:t xml:space="preserve">schooling in the </w:t>
      </w:r>
      <w:r>
        <w:t xml:space="preserve">grade preceding Year 1 (pre </w:t>
      </w:r>
      <w:r w:rsidRPr="008D51B2">
        <w:t>year 1).</w:t>
      </w:r>
    </w:p>
    <w:p w:rsidR="00935C67" w:rsidRPr="008D51B2" w:rsidRDefault="00935C67" w:rsidP="00935C67">
      <w:pPr>
        <w:pStyle w:val="BodyText"/>
      </w:pPr>
      <w:r w:rsidRPr="008D51B2">
        <w:t>As part of the Compact with Young Australians, COAG implemented a National Youth Participation Requirement, which commenced on 1 January 2010</w:t>
      </w:r>
      <w:r>
        <w:t xml:space="preserve"> </w:t>
      </w:r>
      <w:r w:rsidRPr="00D66BAC">
        <w:rPr>
          <w:szCs w:val="24"/>
        </w:rPr>
        <w:t>(COAG 2009)</w:t>
      </w:r>
      <w:r w:rsidRPr="008D51B2">
        <w:t>. Young people are required to:</w:t>
      </w:r>
    </w:p>
    <w:p w:rsidR="00935C67" w:rsidRDefault="00935C67" w:rsidP="00935C67">
      <w:pPr>
        <w:pStyle w:val="ListBullet"/>
      </w:pPr>
      <w:r w:rsidRPr="00D143AD">
        <w:t>participate in schooling (or an approved equivale</w:t>
      </w:r>
      <w:r>
        <w:t>nt) until they complete year 10</w:t>
      </w:r>
      <w:r w:rsidRPr="00D143AD">
        <w:t xml:space="preserve"> </w:t>
      </w:r>
    </w:p>
    <w:p w:rsidR="00935C67" w:rsidRDefault="00935C67" w:rsidP="00935C67">
      <w:pPr>
        <w:pStyle w:val="ListBullet"/>
      </w:pPr>
      <w:proofErr w:type="gramStart"/>
      <w:r>
        <w:t>following</w:t>
      </w:r>
      <w:proofErr w:type="gramEnd"/>
      <w:r>
        <w:t xml:space="preserve"> year 10, participate full </w:t>
      </w:r>
      <w:r w:rsidRPr="00D143AD">
        <w:t>time (at least 25 hours per week) in education, training or employment, or a combinatio</w:t>
      </w:r>
      <w:r>
        <w:t xml:space="preserve">n of these activities, until </w:t>
      </w:r>
      <w:r w:rsidRPr="00D143AD">
        <w:t>17</w:t>
      </w:r>
      <w:r>
        <w:t xml:space="preserve"> years of age</w:t>
      </w:r>
      <w:r w:rsidRPr="00D143AD">
        <w:t xml:space="preserve">. </w:t>
      </w:r>
    </w:p>
    <w:p w:rsidR="00935C67" w:rsidRPr="008B3E1E" w:rsidRDefault="00935C67" w:rsidP="00935C67">
      <w:pPr>
        <w:pStyle w:val="BodyText"/>
      </w:pPr>
      <w:r w:rsidRPr="0078500A">
        <w:t xml:space="preserve">Data on student attendance rates </w:t>
      </w:r>
      <w:r w:rsidRPr="008B3E1E">
        <w:t xml:space="preserve">across all school </w:t>
      </w:r>
      <w:r>
        <w:t>sectors for the period 2007–2013</w:t>
      </w:r>
      <w:r w:rsidRPr="008B3E1E">
        <w:t xml:space="preserve"> are available in </w:t>
      </w:r>
      <w:proofErr w:type="gramStart"/>
      <w:r w:rsidRPr="008B3E1E">
        <w:t>tables</w:t>
      </w:r>
      <w:proofErr w:type="gramEnd"/>
      <w:r w:rsidRPr="008B3E1E">
        <w:t> </w:t>
      </w:r>
      <w:r>
        <w:t>7A.1.1–21</w:t>
      </w:r>
      <w:r w:rsidRPr="008B3E1E">
        <w:t xml:space="preserve">. Years 5 and 10 have been selected to represent the middle (primary) and later (secondary) years of schooling. </w:t>
      </w:r>
      <w:r w:rsidRPr="008A227F">
        <w:t xml:space="preserve">Although attendance rates cannot be directly compared across jurisdictions or school sectors (government, independent or Catholic), some broad generalisations can be drawn from the data. </w:t>
      </w:r>
      <w:r>
        <w:t>A</w:t>
      </w:r>
      <w:r w:rsidRPr="00D33A2B">
        <w:t xml:space="preserve">cross </w:t>
      </w:r>
      <w:r>
        <w:t>each</w:t>
      </w:r>
      <w:r w:rsidRPr="00D33A2B">
        <w:t xml:space="preserve"> </w:t>
      </w:r>
      <w:r>
        <w:t xml:space="preserve">State and Territory </w:t>
      </w:r>
      <w:r w:rsidRPr="00D33A2B">
        <w:t>and school sector</w:t>
      </w:r>
      <w:r>
        <w:t xml:space="preserve"> in 2013:</w:t>
      </w:r>
    </w:p>
    <w:p w:rsidR="00935C67" w:rsidRDefault="00935C67" w:rsidP="00935C67">
      <w:pPr>
        <w:pStyle w:val="ListBullet"/>
      </w:pPr>
      <w:r>
        <w:t>Aboriginal and Torres Strait Islander students generally had lower attendance rates than non</w:t>
      </w:r>
      <w:r>
        <w:noBreakHyphen/>
        <w:t>Indigenous students, and this difference was larger in year 10 than in year 5</w:t>
      </w:r>
    </w:p>
    <w:p w:rsidR="00935C67" w:rsidRPr="00502107" w:rsidRDefault="00935C67" w:rsidP="00935C67">
      <w:pPr>
        <w:pStyle w:val="ListBullet"/>
      </w:pPr>
      <w:r w:rsidRPr="009F32E2">
        <w:t>attendance rates for both Aboriginal and Torres Strait Islander students and non</w:t>
      </w:r>
      <w:r w:rsidRPr="009F32E2">
        <w:noBreakHyphen/>
        <w:t xml:space="preserve">Indigenous students generally declined from </w:t>
      </w:r>
      <w:r>
        <w:t>y</w:t>
      </w:r>
      <w:r w:rsidRPr="009F32E2">
        <w:t xml:space="preserve">ear 5 to </w:t>
      </w:r>
      <w:r>
        <w:t>y</w:t>
      </w:r>
      <w:r w:rsidRPr="009F32E2">
        <w:t xml:space="preserve">ear 10 </w:t>
      </w:r>
    </w:p>
    <w:p w:rsidR="00935C67" w:rsidRPr="009F32E2" w:rsidRDefault="00935C67" w:rsidP="00935C67">
      <w:pPr>
        <w:pStyle w:val="ListBullet"/>
      </w:pPr>
      <w:proofErr w:type="gramStart"/>
      <w:r w:rsidRPr="008A227F">
        <w:t>in</w:t>
      </w:r>
      <w:proofErr w:type="gramEnd"/>
      <w:r w:rsidRPr="008A227F">
        <w:t xml:space="preserve"> government schools, from 2007 to 2013, there was little change in attendance rates for Aboriginal and Torres Strait Islander students in year 5 but </w:t>
      </w:r>
      <w:r>
        <w:t xml:space="preserve">the rates </w:t>
      </w:r>
      <w:r w:rsidRPr="008A227F">
        <w:t xml:space="preserve">decreased for year 10 students (6 percentage points or less for each jurisdiction except the NT, which </w:t>
      </w:r>
      <w:r w:rsidRPr="008A227F">
        <w:lastRenderedPageBreak/>
        <w:t>fell 13 percentage points)</w:t>
      </w:r>
      <w:r w:rsidRPr="00A1587A">
        <w:t>. Attendance rates in Catholic and independent schools fluctuated over time with no clear trend</w:t>
      </w:r>
      <w:r w:rsidRPr="009F32E2">
        <w:t xml:space="preserve">. </w:t>
      </w:r>
    </w:p>
    <w:p w:rsidR="00935C67" w:rsidRDefault="00935C67" w:rsidP="00935C67">
      <w:pPr>
        <w:pStyle w:val="BodyText"/>
      </w:pPr>
      <w:r>
        <w:t>Northern Territory a</w:t>
      </w:r>
      <w:r w:rsidRPr="00F6283D">
        <w:t>ttendance rates b</w:t>
      </w:r>
      <w:r>
        <w:t xml:space="preserve">y geolocation are available </w:t>
      </w:r>
      <w:r w:rsidRPr="00F6283D">
        <w:t xml:space="preserve">for </w:t>
      </w:r>
      <w:r>
        <w:t xml:space="preserve">the first two terms of 2013. These data are not directly </w:t>
      </w:r>
      <w:r w:rsidRPr="00F6283D">
        <w:t>comparable to</w:t>
      </w:r>
      <w:r>
        <w:t xml:space="preserve"> other</w:t>
      </w:r>
      <w:r w:rsidRPr="00F6283D">
        <w:t xml:space="preserve"> data </w:t>
      </w:r>
      <w:r>
        <w:t>in this report</w:t>
      </w:r>
      <w:r w:rsidRPr="00F6283D">
        <w:t xml:space="preserve">. </w:t>
      </w:r>
      <w:r>
        <w:t>In Term 1, a</w:t>
      </w:r>
      <w:r w:rsidRPr="00F6283D">
        <w:t xml:space="preserve">ttendance rates for Aboriginal and Torres Strait Islander </w:t>
      </w:r>
      <w:r w:rsidRPr="00835058">
        <w:t>students were highest in provincial locations (85</w:t>
      </w:r>
      <w:r>
        <w:t xml:space="preserve"> per cent),</w:t>
      </w:r>
      <w:r w:rsidRPr="00835058">
        <w:t xml:space="preserve"> and </w:t>
      </w:r>
      <w:r>
        <w:t>lower</w:t>
      </w:r>
      <w:r w:rsidRPr="00835058">
        <w:t xml:space="preserve"> in remote and very remote locations (75</w:t>
      </w:r>
      <w:r>
        <w:t xml:space="preserve"> per cent</w:t>
      </w:r>
      <w:r w:rsidRPr="00835058">
        <w:t xml:space="preserve"> and 58</w:t>
      </w:r>
      <w:r>
        <w:t xml:space="preserve"> per cent</w:t>
      </w:r>
      <w:r w:rsidRPr="00835058">
        <w:t xml:space="preserve"> respectively). </w:t>
      </w:r>
      <w:r>
        <w:t>The attendance rates for non</w:t>
      </w:r>
      <w:r>
        <w:noBreakHyphen/>
        <w:t xml:space="preserve">Indigenous students were stable across remoteness locations (provincial 92 per cent, remote 90 per cent, and very remote 91 per cent). Term 2 data showed a similar pattern. </w:t>
      </w:r>
      <w:r w:rsidRPr="00E71B11">
        <w:rPr>
          <w:szCs w:val="24"/>
        </w:rPr>
        <w:t>(NT Department of Education 2014)</w:t>
      </w:r>
    </w:p>
    <w:p w:rsidR="00935C67" w:rsidRDefault="00935C67" w:rsidP="00935C67">
      <w:pPr>
        <w:pStyle w:val="BodyText"/>
      </w:pPr>
      <w:r>
        <w:t>Data are reported by jurisdiction, by school sector, and for each year of schooling</w:t>
      </w:r>
      <w:r w:rsidRPr="00E53623">
        <w:t xml:space="preserve"> </w:t>
      </w:r>
      <w:r>
        <w:t xml:space="preserve">in </w:t>
      </w:r>
      <w:proofErr w:type="gramStart"/>
      <w:r w:rsidRPr="008B3E1E">
        <w:t>tables</w:t>
      </w:r>
      <w:proofErr w:type="gramEnd"/>
      <w:r w:rsidRPr="008B3E1E">
        <w:t> </w:t>
      </w:r>
      <w:r>
        <w:t xml:space="preserve">7A.1.1–21. </w:t>
      </w:r>
    </w:p>
    <w:p w:rsidR="00935C67" w:rsidRPr="00502107" w:rsidRDefault="00935C67" w:rsidP="00935C67">
      <w:pPr>
        <w:pStyle w:val="Heading3"/>
      </w:pPr>
      <w:r>
        <w:t>Things that work</w:t>
      </w:r>
    </w:p>
    <w:p w:rsidR="00935C67" w:rsidRDefault="00935C67" w:rsidP="00935C67">
      <w:pPr>
        <w:pStyle w:val="BodyText"/>
      </w:pPr>
      <w:r>
        <w:t>A literature review</w:t>
      </w:r>
      <w:r w:rsidRPr="008134BB">
        <w:t xml:space="preserve"> for the Closing the Gap Clearinghouse found very few high quality evaluations </w:t>
      </w:r>
      <w:r>
        <w:t>of</w:t>
      </w:r>
      <w:r w:rsidRPr="008134BB">
        <w:t xml:space="preserve"> programs that were aimed at increasing attendance </w:t>
      </w:r>
      <w:r w:rsidRPr="008134BB">
        <w:rPr>
          <w:szCs w:val="24"/>
        </w:rPr>
        <w:t>(Purdie and Buckley 2010)</w:t>
      </w:r>
      <w:r>
        <w:t>. However, the review</w:t>
      </w:r>
      <w:r w:rsidRPr="008134BB">
        <w:t xml:space="preserve"> </w:t>
      </w:r>
      <w:r>
        <w:t>found</w:t>
      </w:r>
      <w:r w:rsidRPr="008134BB">
        <w:t xml:space="preserve"> that a common feature of successful </w:t>
      </w:r>
      <w:r>
        <w:t xml:space="preserve">school attendance </w:t>
      </w:r>
      <w:r w:rsidRPr="008134BB">
        <w:t>programs was collaboration between public agencies and the community</w:t>
      </w:r>
      <w:r>
        <w:t xml:space="preserve"> </w:t>
      </w:r>
      <w:r w:rsidRPr="008134BB">
        <w:t>in program design and decision</w:t>
      </w:r>
      <w:r w:rsidRPr="008134BB">
        <w:noBreakHyphen/>
        <w:t>making</w:t>
      </w:r>
      <w:r>
        <w:t xml:space="preserve"> </w:t>
      </w:r>
      <w:r w:rsidRPr="008134BB">
        <w:t xml:space="preserve">(often by engaging parents or community based organisations). </w:t>
      </w:r>
    </w:p>
    <w:p w:rsidR="00935C67" w:rsidRDefault="00935C67" w:rsidP="00935C67">
      <w:pPr>
        <w:pStyle w:val="Heading3"/>
      </w:pPr>
      <w:r>
        <w:t>Future directions in data</w:t>
      </w:r>
    </w:p>
    <w:p w:rsidR="00935C67" w:rsidRDefault="00935C67" w:rsidP="00935C67">
      <w:pPr>
        <w:pStyle w:val="BodyText"/>
      </w:pPr>
      <w:r>
        <w:t xml:space="preserve">Data comparability issues across jurisdictions and school sectors limit the usefulness of the existing data. ACARA, in consultation with jurisdictions, has developed National Standards for Student Attendance Data Reporting (National Standards) which were endorsed by the </w:t>
      </w:r>
      <w:r w:rsidRPr="00C926CD">
        <w:t xml:space="preserve">Standing Council on School Education and Early Childhood </w:t>
      </w:r>
      <w:r>
        <w:t>(SCSEEC) in December 2012. The National Standards specify reporting by Indigenous status by geographic location (</w:t>
      </w:r>
      <w:r w:rsidRPr="008A227F">
        <w:t>geographic location not available in current data</w:t>
      </w:r>
      <w:r>
        <w:t>). It is anticipated that data for all jurisdictions except NSW will be available for reporting according to the new standards from 2015. Data from NSW are expected to be available from 2016. Further work will be needed to determine whether amendments to the National Standards are required to address reporting requirements for the new COAG target.</w:t>
      </w:r>
    </w:p>
    <w:p w:rsidR="00935C67" w:rsidRDefault="00935C67" w:rsidP="00935C67">
      <w:pPr>
        <w:pStyle w:val="Heading3"/>
      </w:pPr>
      <w:r>
        <w:t>References</w:t>
      </w:r>
    </w:p>
    <w:p w:rsidR="00935C67" w:rsidRPr="00D66BAC" w:rsidRDefault="00935C67" w:rsidP="00935C67">
      <w:pPr>
        <w:pStyle w:val="Reference"/>
      </w:pPr>
      <w:r w:rsidRPr="00D66BAC">
        <w:t xml:space="preserve">Australian Government 2014, </w:t>
      </w:r>
      <w:r w:rsidRPr="00D66BAC">
        <w:rPr>
          <w:i/>
          <w:iCs/>
        </w:rPr>
        <w:t>Closing the gap Prime Minister’s report 2014</w:t>
      </w:r>
      <w:r w:rsidRPr="00D66BAC">
        <w:t>, Department of the Prime Minister and Cabinet, Canberra, ACT, http://www.dpmc.gov.au/publications/docs/closing_the_gap_2014.pdf (accessed 27 May 2014).</w:t>
      </w:r>
    </w:p>
    <w:p w:rsidR="00935C67" w:rsidRPr="00D66BAC" w:rsidRDefault="00935C67" w:rsidP="00935C67">
      <w:pPr>
        <w:pStyle w:val="Reference"/>
      </w:pPr>
      <w:proofErr w:type="spellStart"/>
      <w:r w:rsidRPr="00D66BAC">
        <w:lastRenderedPageBreak/>
        <w:t>Balfanz</w:t>
      </w:r>
      <w:proofErr w:type="spellEnd"/>
      <w:r w:rsidRPr="00D66BAC">
        <w:t xml:space="preserve">, R. and Byrnes, V. 2012, </w:t>
      </w:r>
      <w:r w:rsidRPr="00D66BAC">
        <w:rPr>
          <w:i/>
          <w:iCs/>
        </w:rPr>
        <w:t>Chronic Absenteeism: Summarizing What We Know From Nationally Available Data</w:t>
      </w:r>
      <w:r w:rsidRPr="00D66BAC">
        <w:t xml:space="preserve">, The Johns Hopkins University </w:t>
      </w:r>
      <w:proofErr w:type="spellStart"/>
      <w:r w:rsidRPr="00D66BAC">
        <w:t>Center</w:t>
      </w:r>
      <w:proofErr w:type="spellEnd"/>
      <w:r w:rsidRPr="00D66BAC">
        <w:t xml:space="preserve"> for Social Organization of Schools, Baltimore.</w:t>
      </w:r>
    </w:p>
    <w:p w:rsidR="00935C67" w:rsidRPr="00D66BAC" w:rsidRDefault="00935C67" w:rsidP="00935C67">
      <w:pPr>
        <w:pStyle w:val="Reference"/>
      </w:pPr>
      <w:r w:rsidRPr="00D66BAC">
        <w:t xml:space="preserve">COAG 2014, </w:t>
      </w:r>
      <w:r w:rsidRPr="00D66BAC">
        <w:rPr>
          <w:i/>
          <w:iCs/>
        </w:rPr>
        <w:t>Communique 02 May 2014 Canberra Meeting</w:t>
      </w:r>
      <w:r w:rsidRPr="00D66BAC">
        <w:t>, Canberra, ACT, https://www.coag.gov.au/sites/default/files/COAG%20communique%202%20May%20-%20final%201300.pdf (accessed 27 May 2014).</w:t>
      </w:r>
    </w:p>
    <w:p w:rsidR="00935C67" w:rsidRPr="00D66BAC" w:rsidRDefault="00935C67" w:rsidP="00935C67">
      <w:pPr>
        <w:pStyle w:val="Reference"/>
      </w:pPr>
      <w:r w:rsidRPr="00D66BAC">
        <w:t xml:space="preserve">—— (Council of Australian Governments) 2009, </w:t>
      </w:r>
      <w:r w:rsidRPr="00D66BAC">
        <w:rPr>
          <w:i/>
          <w:iCs/>
        </w:rPr>
        <w:t>Council of Australian Governments Meeting Communique - 30 April 2009</w:t>
      </w:r>
      <w:r w:rsidRPr="00D66BAC">
        <w:t>.</w:t>
      </w:r>
    </w:p>
    <w:p w:rsidR="00935C67" w:rsidRPr="00D66BAC" w:rsidRDefault="00935C67" w:rsidP="00935C67">
      <w:pPr>
        <w:pStyle w:val="Reference"/>
      </w:pPr>
      <w:proofErr w:type="gramStart"/>
      <w:r w:rsidRPr="00D66BAC">
        <w:t xml:space="preserve">DEWR 2006, </w:t>
      </w:r>
      <w:r w:rsidRPr="00D66BAC">
        <w:rPr>
          <w:i/>
          <w:iCs/>
        </w:rPr>
        <w:t>Halls Creek Engaging Families Trial February–July 2006 — Evaluation Report</w:t>
      </w:r>
      <w:r w:rsidRPr="00D66BAC">
        <w:t>, Australian Government, Canberra.</w:t>
      </w:r>
      <w:proofErr w:type="gramEnd"/>
    </w:p>
    <w:p w:rsidR="00935C67" w:rsidRPr="00D66BAC" w:rsidRDefault="00935C67" w:rsidP="00935C67">
      <w:pPr>
        <w:pStyle w:val="Reference"/>
      </w:pPr>
      <w:r w:rsidRPr="00D66BAC">
        <w:t xml:space="preserve">Hancock, K.J., Shepherd, C.C.J., Lawrence, D. and </w:t>
      </w:r>
      <w:proofErr w:type="spellStart"/>
      <w:r w:rsidRPr="00D66BAC">
        <w:t>Zubrick</w:t>
      </w:r>
      <w:proofErr w:type="spellEnd"/>
      <w:r w:rsidRPr="00D66BAC">
        <w:t xml:space="preserve">, S.R. 2013, </w:t>
      </w:r>
      <w:r w:rsidRPr="00D66BAC">
        <w:rPr>
          <w:i/>
          <w:iCs/>
        </w:rPr>
        <w:t>Student attendance and educational outcomes every day counts</w:t>
      </w:r>
      <w:r w:rsidRPr="00D66BAC">
        <w:t>, Telethon Institute for Child Health Research, Subiaco, W.A.</w:t>
      </w:r>
    </w:p>
    <w:p w:rsidR="00935C67" w:rsidRPr="00D66BAC" w:rsidRDefault="00935C67" w:rsidP="00935C67">
      <w:pPr>
        <w:pStyle w:val="Reference"/>
      </w:pPr>
      <w:r w:rsidRPr="00D66BAC">
        <w:t xml:space="preserve">Mellor, S. and Corrigan, M. 2004, </w:t>
      </w:r>
      <w:proofErr w:type="gramStart"/>
      <w:r w:rsidRPr="00D66BAC">
        <w:rPr>
          <w:i/>
          <w:iCs/>
        </w:rPr>
        <w:t>The</w:t>
      </w:r>
      <w:proofErr w:type="gramEnd"/>
      <w:r w:rsidRPr="00D66BAC">
        <w:rPr>
          <w:i/>
          <w:iCs/>
        </w:rPr>
        <w:t xml:space="preserve"> case for change: a review of contemporary research on indigenous education outcomes</w:t>
      </w:r>
      <w:r w:rsidRPr="00D66BAC">
        <w:t>, Australian Council for Educational Research, Camberwell, Vic.</w:t>
      </w:r>
    </w:p>
    <w:p w:rsidR="00935C67" w:rsidRPr="00D66BAC" w:rsidRDefault="00935C67" w:rsidP="00935C67">
      <w:pPr>
        <w:pStyle w:val="Reference"/>
      </w:pPr>
      <w:proofErr w:type="gramStart"/>
      <w:r w:rsidRPr="00D66BAC">
        <w:t xml:space="preserve">NT Department of Education 2014, </w:t>
      </w:r>
      <w:r w:rsidRPr="00D66BAC">
        <w:rPr>
          <w:i/>
          <w:iCs/>
        </w:rPr>
        <w:t>2013 enrolment and attendance statistics</w:t>
      </w:r>
      <w:r w:rsidRPr="00D66BAC">
        <w:t>.</w:t>
      </w:r>
      <w:proofErr w:type="gramEnd"/>
    </w:p>
    <w:p w:rsidR="00935C67" w:rsidRPr="00D66BAC" w:rsidRDefault="00935C67" w:rsidP="00935C67">
      <w:pPr>
        <w:pStyle w:val="Reference"/>
      </w:pPr>
      <w:r w:rsidRPr="00D66BAC">
        <w:t xml:space="preserve">Purdie, N. and Buckley, S., Closing the Gap Clearinghouse (Australia), Australian Institute of Health and Welfare, Australian Institute of Family Studies 2010, </w:t>
      </w:r>
      <w:r w:rsidRPr="00D66BAC">
        <w:rPr>
          <w:i/>
          <w:iCs/>
        </w:rPr>
        <w:t>School attendance and retention of Indigenous Australian students</w:t>
      </w:r>
      <w:r w:rsidRPr="00D66BAC">
        <w:t>, Closing the Gap Clearinghouse], Canberra, A.C.T., http://www.aihw.gov.au/closingthegap/documents/issues_papers/ihw/33/12176.pdf (accessed 27 May 2014).</w:t>
      </w:r>
    </w:p>
    <w:p w:rsidR="00935C67" w:rsidRPr="00D66BAC" w:rsidRDefault="00935C67" w:rsidP="00935C67">
      <w:pPr>
        <w:pStyle w:val="Reference"/>
      </w:pPr>
      <w:r w:rsidRPr="00D66BAC">
        <w:t xml:space="preserve">Taylor, J. 2004, </w:t>
      </w:r>
      <w:proofErr w:type="gramStart"/>
      <w:r w:rsidRPr="00D66BAC">
        <w:rPr>
          <w:i/>
          <w:iCs/>
        </w:rPr>
        <w:t>Social</w:t>
      </w:r>
      <w:proofErr w:type="gramEnd"/>
      <w:r w:rsidRPr="00D66BAC">
        <w:rPr>
          <w:i/>
          <w:iCs/>
        </w:rPr>
        <w:t xml:space="preserve"> Indicators for Aboriginal Governance: Insights from the </w:t>
      </w:r>
      <w:proofErr w:type="spellStart"/>
      <w:r w:rsidRPr="00D66BAC">
        <w:rPr>
          <w:i/>
          <w:iCs/>
        </w:rPr>
        <w:t>Thamarrurr</w:t>
      </w:r>
      <w:proofErr w:type="spellEnd"/>
      <w:r w:rsidRPr="00D66BAC">
        <w:rPr>
          <w:i/>
          <w:iCs/>
        </w:rPr>
        <w:t xml:space="preserve"> Region, Northern Territory</w:t>
      </w:r>
      <w:r w:rsidRPr="00D66BAC">
        <w:t>, Research Monograph no.24, Centre for Aboriginal Economic Policy Research, Canberra.</w:t>
      </w:r>
    </w:p>
    <w:p w:rsidR="00935C67" w:rsidRPr="00D66BAC" w:rsidRDefault="00935C67" w:rsidP="00935C67">
      <w:pPr>
        <w:pStyle w:val="Reference"/>
      </w:pPr>
      <w:proofErr w:type="gramStart"/>
      <w:r w:rsidRPr="00D66BAC">
        <w:t xml:space="preserve">UNICEF </w:t>
      </w:r>
      <w:proofErr w:type="spellStart"/>
      <w:r w:rsidRPr="00D66BAC">
        <w:t>Innocenti</w:t>
      </w:r>
      <w:proofErr w:type="spellEnd"/>
      <w:r w:rsidRPr="00D66BAC">
        <w:t xml:space="preserve"> Research Centre 2004, ‘Ensuring the rights of indigenous children’, </w:t>
      </w:r>
      <w:proofErr w:type="spellStart"/>
      <w:r w:rsidRPr="00D66BAC">
        <w:rPr>
          <w:i/>
          <w:iCs/>
        </w:rPr>
        <w:t>Innocenti</w:t>
      </w:r>
      <w:proofErr w:type="spellEnd"/>
      <w:r w:rsidRPr="00D66BAC">
        <w:rPr>
          <w:i/>
          <w:iCs/>
        </w:rPr>
        <w:t xml:space="preserve"> Digest</w:t>
      </w:r>
      <w:r w:rsidRPr="00D66BAC">
        <w:t>, vol. 11, http://www.unicef-irc.org/publications/pdf/digest11e.pdf (accessed 27 May 2014).</w:t>
      </w:r>
      <w:proofErr w:type="gramEnd"/>
    </w:p>
    <w:p w:rsidR="00935C67" w:rsidRPr="008A227F" w:rsidRDefault="00935C67" w:rsidP="00935C67">
      <w:pPr>
        <w:pStyle w:val="Reference"/>
      </w:pPr>
      <w:proofErr w:type="spellStart"/>
      <w:r w:rsidRPr="00D66BAC">
        <w:t>Zubrick</w:t>
      </w:r>
      <w:proofErr w:type="spellEnd"/>
      <w:r w:rsidRPr="00D66BAC">
        <w:t xml:space="preserve">, S.R., </w:t>
      </w:r>
      <w:proofErr w:type="spellStart"/>
      <w:r w:rsidRPr="00D66BAC">
        <w:t>Silburn</w:t>
      </w:r>
      <w:proofErr w:type="spellEnd"/>
      <w:r w:rsidRPr="00D66BAC">
        <w:t xml:space="preserve">, S., De </w:t>
      </w:r>
      <w:proofErr w:type="spellStart"/>
      <w:r w:rsidRPr="00D66BAC">
        <w:t>Maio</w:t>
      </w:r>
      <w:proofErr w:type="spellEnd"/>
      <w:r w:rsidRPr="00D66BAC">
        <w:t xml:space="preserve">, J., Shepherd, C., Griffin, J., Dalby, R., </w:t>
      </w:r>
      <w:proofErr w:type="spellStart"/>
      <w:r w:rsidRPr="00D66BAC">
        <w:t>Mitrou</w:t>
      </w:r>
      <w:proofErr w:type="spellEnd"/>
      <w:r w:rsidRPr="00D66BAC">
        <w:t xml:space="preserve">, F., Lawrence, D., Hayward, C., Pearson, G., Milroy, H., Milroy, J. and Cox, A. 2006, </w:t>
      </w:r>
      <w:r w:rsidRPr="00D66BAC">
        <w:rPr>
          <w:i/>
          <w:iCs/>
        </w:rPr>
        <w:t>The Western Australian Aboriginal Child Health Survey: Improving the Educational Experiences of Aboriginal Children and Young People</w:t>
      </w:r>
      <w:r w:rsidRPr="00D66BAC">
        <w:t>, Curtin University of Technology and Telethon Institute for Child Health Research, Perth.</w:t>
      </w:r>
      <w:r>
        <w:t xml:space="preserve"> </w:t>
      </w:r>
    </w:p>
    <w:p w:rsidR="00935C67" w:rsidRDefault="00935C67">
      <w:pPr>
        <w:rPr>
          <w:szCs w:val="20"/>
        </w:rPr>
      </w:pPr>
      <w:r>
        <w:br w:type="page"/>
      </w:r>
    </w:p>
    <w:p w:rsidR="00935C67" w:rsidRPr="000E17E9" w:rsidRDefault="00935C67" w:rsidP="00935C67">
      <w:pPr>
        <w:pStyle w:val="Heading2"/>
        <w:rPr>
          <w:rStyle w:val="NoteLabel"/>
        </w:rPr>
      </w:pPr>
      <w:r>
        <w:lastRenderedPageBreak/>
        <w:t>7.2</w:t>
      </w:r>
      <w:r>
        <w:tab/>
        <w:t>Teacher quality</w:t>
      </w:r>
      <w:r w:rsidRPr="000E17E9">
        <w:rPr>
          <w:rStyle w:val="NoteLabel"/>
        </w:rPr>
        <w:footnoteReference w:id="3"/>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7.2.</w:t>
            </w:r>
            <w:r>
              <w:rPr>
                <w:b w:val="0"/>
                <w:noProof/>
              </w:rPr>
              <w:t>1</w:t>
            </w:r>
            <w:r>
              <w:tab/>
              <w:t>Key message</w:t>
            </w:r>
          </w:p>
        </w:tc>
      </w:tr>
      <w:tr w:rsidR="00935C67" w:rsidTr="00510401">
        <w:trPr>
          <w:cantSplit/>
        </w:trPr>
        <w:tc>
          <w:tcPr>
            <w:tcW w:w="8771" w:type="dxa"/>
            <w:tcBorders>
              <w:top w:val="nil"/>
              <w:left w:val="nil"/>
              <w:bottom w:val="nil"/>
              <w:right w:val="nil"/>
            </w:tcBorders>
            <w:shd w:val="clear" w:color="auto" w:fill="F2F2F2"/>
          </w:tcPr>
          <w:p w:rsidR="00935C67" w:rsidRPr="003C0EEA" w:rsidRDefault="00935C67" w:rsidP="00510401">
            <w:pPr>
              <w:pStyle w:val="BoxListBullet"/>
            </w:pPr>
            <w:r w:rsidRPr="00D850F6">
              <w:t xml:space="preserve">Teacher quality is </w:t>
            </w:r>
            <w:r>
              <w:t xml:space="preserve">considered </w:t>
            </w:r>
            <w:r w:rsidRPr="00D850F6">
              <w:t xml:space="preserve">the most important </w:t>
            </w:r>
            <w:r>
              <w:t>‘</w:t>
            </w:r>
            <w:r w:rsidRPr="00C9190A">
              <w:t>in</w:t>
            </w:r>
            <w:r>
              <w:noBreakHyphen/>
            </w:r>
            <w:r w:rsidRPr="00C9190A">
              <w:t>school</w:t>
            </w:r>
            <w:r>
              <w:t>’</w:t>
            </w:r>
            <w:r w:rsidRPr="00C9190A">
              <w:t xml:space="preserve"> influence</w:t>
            </w:r>
            <w:r w:rsidRPr="00D850F6">
              <w:t xml:space="preserve"> </w:t>
            </w:r>
            <w:r>
              <w:t xml:space="preserve">on student educational outcomes. </w:t>
            </w:r>
            <w:r w:rsidRPr="00EB1E68">
              <w:t>However</w:t>
            </w:r>
            <w:r>
              <w:t>, no m</w:t>
            </w:r>
            <w:r w:rsidRPr="00697F13">
              <w:t xml:space="preserve">easures </w:t>
            </w:r>
            <w:r>
              <w:t>or</w:t>
            </w:r>
            <w:r w:rsidRPr="00697F13">
              <w:t xml:space="preserve"> data are currently available for reporting against this indicator.</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rsidRPr="00493E33">
        <w:rPr>
          <w:rStyle w:val="BodyTextChar"/>
        </w:rPr>
        <w:t>While a lack of systematic evaluation makes it difficult to identify the most effective combination of measures to address educational disadvantage, it is clear that improving teacher quality overa</w:t>
      </w:r>
      <w:r>
        <w:rPr>
          <w:rStyle w:val="BodyTextChar"/>
        </w:rPr>
        <w:t xml:space="preserve">ll is an important precondition </w:t>
      </w:r>
      <w:r w:rsidRPr="00AC4F21">
        <w:rPr>
          <w:szCs w:val="24"/>
        </w:rPr>
        <w:t>(PC 2012)</w:t>
      </w:r>
      <w:r>
        <w:rPr>
          <w:rStyle w:val="BodyTextChar"/>
        </w:rPr>
        <w:t xml:space="preserve">. Teachers are the single most important ‘in school’ influence on student achievement </w:t>
      </w:r>
      <w:r w:rsidRPr="00AC4F21">
        <w:rPr>
          <w:szCs w:val="24"/>
        </w:rPr>
        <w:t>(Hattie 2009)</w:t>
      </w:r>
      <w:r>
        <w:rPr>
          <w:rStyle w:val="BodyTextChar"/>
        </w:rPr>
        <w:t xml:space="preserve">. </w:t>
      </w:r>
      <w:r w:rsidRPr="00384D64">
        <w:rPr>
          <w:rStyle w:val="BodyTextChar"/>
        </w:rPr>
        <w:t xml:space="preserve">Teacher quality </w:t>
      </w:r>
      <w:r>
        <w:rPr>
          <w:rStyle w:val="BodyTextChar"/>
        </w:rPr>
        <w:t xml:space="preserve">can influence </w:t>
      </w:r>
      <w:r w:rsidRPr="00B237E7">
        <w:rPr>
          <w:rStyle w:val="BodyTextChar"/>
        </w:rPr>
        <w:t xml:space="preserve">student </w:t>
      </w:r>
      <w:r>
        <w:rPr>
          <w:rStyle w:val="BodyTextChar"/>
        </w:rPr>
        <w:t xml:space="preserve">educational </w:t>
      </w:r>
      <w:r w:rsidRPr="00B237E7">
        <w:rPr>
          <w:rStyle w:val="BodyTextChar"/>
        </w:rPr>
        <w:t>outcomes</w:t>
      </w:r>
      <w:r w:rsidRPr="00697F13">
        <w:rPr>
          <w:rStyle w:val="BodyTextChar"/>
        </w:rPr>
        <w:t xml:space="preserve"> </w:t>
      </w:r>
      <w:r>
        <w:rPr>
          <w:rStyle w:val="BodyTextChar"/>
        </w:rPr>
        <w:t>both directly and indirectly, by fostering</w:t>
      </w:r>
      <w:r w:rsidRPr="00384D64">
        <w:rPr>
          <w:rStyle w:val="BodyTextChar"/>
        </w:rPr>
        <w:t xml:space="preserve"> a positive, inclusive and safe learning environment</w:t>
      </w:r>
      <w:r>
        <w:rPr>
          <w:rStyle w:val="BodyTextChar"/>
        </w:rPr>
        <w:t xml:space="preserve"> </w:t>
      </w:r>
      <w:r w:rsidRPr="00AC4F21">
        <w:rPr>
          <w:szCs w:val="24"/>
        </w:rPr>
        <w:t>(Boon 2011)</w:t>
      </w:r>
      <w:r w:rsidRPr="00384D64">
        <w:rPr>
          <w:rStyle w:val="BodyTextChar"/>
        </w:rPr>
        <w:t xml:space="preserve">. </w:t>
      </w:r>
      <w:r>
        <w:t>However, s</w:t>
      </w:r>
      <w:r w:rsidRPr="00B237E7">
        <w:t xml:space="preserve">tudent educational outcomes </w:t>
      </w:r>
      <w:r>
        <w:t xml:space="preserve">(including reading, writing and literacy, covered in section 4.4, and year 12 attainment, covered in section 4.5) </w:t>
      </w:r>
      <w:r w:rsidRPr="00B237E7">
        <w:t xml:space="preserve">are also affected by a range of </w:t>
      </w:r>
      <w:r>
        <w:t xml:space="preserve">other </w:t>
      </w:r>
      <w:r w:rsidRPr="00B237E7">
        <w:t>factors</w:t>
      </w:r>
      <w:r>
        <w:t xml:space="preserve"> </w:t>
      </w:r>
      <w:r w:rsidRPr="00B237E7">
        <w:t>such as family life</w:t>
      </w:r>
      <w:r>
        <w:t xml:space="preserve">, </w:t>
      </w:r>
      <w:r w:rsidRPr="00B237E7">
        <w:t>student motivation and abilit</w:t>
      </w:r>
      <w:r>
        <w:t xml:space="preserve">y </w:t>
      </w:r>
      <w:r w:rsidRPr="00AC4F21">
        <w:rPr>
          <w:szCs w:val="24"/>
        </w:rPr>
        <w:t>(Biddle and Cameron 2012)</w:t>
      </w:r>
      <w:r>
        <w:t xml:space="preserve">, and </w:t>
      </w:r>
      <w:r w:rsidRPr="00B237E7">
        <w:t xml:space="preserve">school resourcing </w:t>
      </w:r>
      <w:r w:rsidRPr="00AC4F21">
        <w:rPr>
          <w:szCs w:val="24"/>
        </w:rPr>
        <w:t xml:space="preserve">(Sullivan, Perry and </w:t>
      </w:r>
      <w:proofErr w:type="spellStart"/>
      <w:r w:rsidRPr="00AC4F21">
        <w:rPr>
          <w:szCs w:val="24"/>
        </w:rPr>
        <w:t>McConney</w:t>
      </w:r>
      <w:proofErr w:type="spellEnd"/>
      <w:r w:rsidRPr="00AC4F21">
        <w:rPr>
          <w:szCs w:val="24"/>
        </w:rPr>
        <w:t> 2013)</w:t>
      </w:r>
      <w:r>
        <w:t>.</w:t>
      </w:r>
    </w:p>
    <w:p w:rsidR="00935C67" w:rsidRDefault="00935C67" w:rsidP="00935C67">
      <w:pPr>
        <w:pStyle w:val="BodyText"/>
      </w:pPr>
      <w:r w:rsidRPr="00493E33">
        <w:rPr>
          <w:rStyle w:val="BodyTextChar"/>
        </w:rPr>
        <w:t xml:space="preserve">Schools with higher proportions of disadvantaged students often report persistent difficulties in attracting and retaining teachers, leaders and support staff </w:t>
      </w:r>
      <w:proofErr w:type="gramStart"/>
      <w:r w:rsidRPr="00493E33">
        <w:rPr>
          <w:rStyle w:val="BodyTextChar"/>
        </w:rPr>
        <w:t>who</w:t>
      </w:r>
      <w:proofErr w:type="gramEnd"/>
      <w:r w:rsidRPr="00493E33">
        <w:rPr>
          <w:rStyle w:val="BodyTextChar"/>
        </w:rPr>
        <w:t xml:space="preserve"> have the skills, knowledge and capabilities to appropriately meet the learning needs of these students</w:t>
      </w:r>
      <w:r>
        <w:rPr>
          <w:rStyle w:val="BodyTextChar"/>
        </w:rPr>
        <w:t xml:space="preserve"> </w:t>
      </w:r>
      <w:r w:rsidRPr="00AC4F21">
        <w:rPr>
          <w:szCs w:val="24"/>
        </w:rPr>
        <w:t>(PC 2012)</w:t>
      </w:r>
      <w:r w:rsidRPr="00493E33">
        <w:rPr>
          <w:rStyle w:val="BodyTextChar"/>
        </w:rPr>
        <w:t xml:space="preserve">. Schools in </w:t>
      </w:r>
      <w:r>
        <w:rPr>
          <w:rStyle w:val="BodyTextChar"/>
        </w:rPr>
        <w:t>disadvantaged areas</w:t>
      </w:r>
      <w:r w:rsidRPr="00493E33">
        <w:rPr>
          <w:rStyle w:val="BodyTextChar"/>
        </w:rPr>
        <w:t xml:space="preserve"> often have a high proportion of </w:t>
      </w:r>
      <w:r>
        <w:rPr>
          <w:rStyle w:val="BodyTextChar"/>
        </w:rPr>
        <w:t>teachers who are recent graduates</w:t>
      </w:r>
      <w:r w:rsidRPr="00493E33">
        <w:rPr>
          <w:rStyle w:val="BodyTextChar"/>
        </w:rPr>
        <w:t>, as well as a high staff turnover</w:t>
      </w:r>
      <w:r>
        <w:rPr>
          <w:rStyle w:val="BodyTextChar"/>
        </w:rPr>
        <w:t xml:space="preserve">, </w:t>
      </w:r>
      <w:r w:rsidRPr="00493E33">
        <w:rPr>
          <w:rStyle w:val="BodyTextChar"/>
        </w:rPr>
        <w:t>which can impede student learning</w:t>
      </w:r>
      <w:r>
        <w:rPr>
          <w:rStyle w:val="BodyTextChar"/>
        </w:rPr>
        <w:t xml:space="preserve">. </w:t>
      </w:r>
      <w:r w:rsidRPr="00493E33">
        <w:rPr>
          <w:rStyle w:val="BodyTextChar"/>
        </w:rPr>
        <w:t>The low quantity and quality of housing in disadvantaged</w:t>
      </w:r>
      <w:r>
        <w:rPr>
          <w:rStyle w:val="BodyTextChar"/>
        </w:rPr>
        <w:t xml:space="preserve"> areas, as well as the unpredictability of the social environment </w:t>
      </w:r>
      <w:r w:rsidRPr="00493E33">
        <w:rPr>
          <w:rStyle w:val="BodyTextChar"/>
        </w:rPr>
        <w:t>can contribute to the difficulties in attracting</w:t>
      </w:r>
      <w:r>
        <w:rPr>
          <w:rStyle w:val="BodyTextChar"/>
        </w:rPr>
        <w:t xml:space="preserve"> and retaining</w:t>
      </w:r>
      <w:r w:rsidRPr="00493E33">
        <w:rPr>
          <w:rStyle w:val="BodyTextChar"/>
        </w:rPr>
        <w:t xml:space="preserve"> teachers</w:t>
      </w:r>
      <w:r>
        <w:rPr>
          <w:rStyle w:val="BodyTextChar"/>
        </w:rPr>
        <w:t xml:space="preserve">. </w:t>
      </w:r>
      <w:r w:rsidRPr="00493E33">
        <w:rPr>
          <w:rStyle w:val="BodyTextChar"/>
        </w:rPr>
        <w:t>Such problems are particularly seve</w:t>
      </w:r>
      <w:r>
        <w:rPr>
          <w:rStyle w:val="BodyTextChar"/>
        </w:rPr>
        <w:t xml:space="preserve">re in remote Indigenous schools </w:t>
      </w:r>
      <w:r w:rsidRPr="00AC4F21">
        <w:rPr>
          <w:szCs w:val="24"/>
        </w:rPr>
        <w:t>(</w:t>
      </w:r>
      <w:proofErr w:type="spellStart"/>
      <w:r w:rsidRPr="00AC4F21">
        <w:rPr>
          <w:szCs w:val="24"/>
        </w:rPr>
        <w:t>Brasche</w:t>
      </w:r>
      <w:proofErr w:type="spellEnd"/>
      <w:r w:rsidRPr="00AC4F21">
        <w:rPr>
          <w:szCs w:val="24"/>
        </w:rPr>
        <w:t xml:space="preserve"> and Harrington 2012)</w:t>
      </w:r>
      <w:r>
        <w:rPr>
          <w:rStyle w:val="BodyTextChar"/>
        </w:rPr>
        <w:t>.</w:t>
      </w:r>
    </w:p>
    <w:p w:rsidR="00935C67" w:rsidRDefault="00935C67" w:rsidP="00935C67">
      <w:pPr>
        <w:pStyle w:val="BodyText"/>
        <w:rPr>
          <w:rStyle w:val="BodyTextChar"/>
        </w:rPr>
      </w:pPr>
      <w:r w:rsidRPr="00EB021C">
        <w:rPr>
          <w:rStyle w:val="BodyTextChar"/>
        </w:rPr>
        <w:t>Quality teachers work closely with their peers and other school workers, recognise the diverse ways that students learn, challenge them by setting high expectations, provide them with continuous feedback and bring to the classroom a deep knowledge of the subject matter (box</w:t>
      </w:r>
      <w:r>
        <w:rPr>
          <w:rStyle w:val="BodyTextChar"/>
        </w:rPr>
        <w:t> </w:t>
      </w:r>
      <w:r>
        <w:t>7.2.2</w:t>
      </w:r>
      <w:r w:rsidRPr="00EB021C">
        <w:rPr>
          <w:rStyle w:val="BodyTextChar"/>
        </w:rPr>
        <w:t>).</w:t>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7.2.</w:t>
            </w:r>
            <w:r>
              <w:rPr>
                <w:b w:val="0"/>
                <w:noProof/>
              </w:rPr>
              <w:t>2</w:t>
            </w:r>
            <w:r>
              <w:tab/>
              <w:t>What makes for quality teaching</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
            </w:pPr>
            <w:r w:rsidRPr="00EB021C">
              <w:t>Fully understanding what constitutes quality teaching remains an ongoing policy challenge. This is partly due to the diverse ways that individual students learn. Mapping the professional dimensions (content and pedagogy) and personal capability dimensions of teaching is also complex. Even so, there are some recurring themes in the available evidence.</w:t>
            </w:r>
          </w:p>
          <w:p w:rsidR="00935C67" w:rsidRDefault="00935C67" w:rsidP="00510401">
            <w:pPr>
              <w:pStyle w:val="Box"/>
              <w:rPr>
                <w:szCs w:val="24"/>
              </w:rPr>
            </w:pPr>
            <w:r w:rsidRPr="00EB021C">
              <w:t xml:space="preserve">In a synthesis of the research evidence, Professor Geoff Masters concluded that highly effective teachers are those who: </w:t>
            </w:r>
          </w:p>
          <w:p w:rsidR="00935C67" w:rsidRDefault="00935C67" w:rsidP="00510401">
            <w:pPr>
              <w:pStyle w:val="BoxListBullet"/>
              <w:rPr>
                <w:szCs w:val="24"/>
              </w:rPr>
            </w:pPr>
            <w:r w:rsidRPr="00EB021C">
              <w:t>create an environment where all students are expected to learn successfully</w:t>
            </w:r>
          </w:p>
          <w:p w:rsidR="00935C67" w:rsidRDefault="00935C67" w:rsidP="00510401">
            <w:pPr>
              <w:pStyle w:val="BoxListBullet"/>
              <w:rPr>
                <w:szCs w:val="24"/>
              </w:rPr>
            </w:pPr>
            <w:r w:rsidRPr="00EB021C">
              <w:t>have a deep understanding of the subjects they teach</w:t>
            </w:r>
          </w:p>
          <w:p w:rsidR="00935C67" w:rsidRDefault="00935C67" w:rsidP="00510401">
            <w:pPr>
              <w:pStyle w:val="BoxListBullet"/>
              <w:rPr>
                <w:szCs w:val="24"/>
              </w:rPr>
            </w:pPr>
            <w:r w:rsidRPr="00EB021C">
              <w:t>direct their teaching to student needs and readiness</w:t>
            </w:r>
          </w:p>
          <w:p w:rsidR="00935C67" w:rsidRDefault="00935C67" w:rsidP="00510401">
            <w:pPr>
              <w:pStyle w:val="BoxListBullet"/>
              <w:rPr>
                <w:szCs w:val="24"/>
              </w:rPr>
            </w:pPr>
            <w:r w:rsidRPr="00EB021C">
              <w:t>provide continuous feedback to students about their learning</w:t>
            </w:r>
          </w:p>
          <w:p w:rsidR="00935C67" w:rsidRDefault="00935C67" w:rsidP="00510401">
            <w:pPr>
              <w:pStyle w:val="BoxListBullet"/>
              <w:rPr>
                <w:szCs w:val="24"/>
              </w:rPr>
            </w:pPr>
            <w:proofErr w:type="gramStart"/>
            <w:r w:rsidRPr="00EB021C">
              <w:t>reflect</w:t>
            </w:r>
            <w:proofErr w:type="gramEnd"/>
            <w:r w:rsidRPr="00EB021C">
              <w:t xml:space="preserve"> on their own practice and strive for continuous improvement.</w:t>
            </w:r>
          </w:p>
          <w:p w:rsidR="00935C67" w:rsidRDefault="00935C67" w:rsidP="00510401">
            <w:pPr>
              <w:pStyle w:val="Box"/>
            </w:pPr>
            <w:r>
              <w:t>The particular characteristics of quality teachers of Indigenous students can include cultural awareness, a</w:t>
            </w:r>
            <w:r w:rsidRPr="00493E33">
              <w:t>wareness of individual student needs and setting ambitious learning goals</w:t>
            </w:r>
            <w:r>
              <w:t>.</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Source"/>
            </w:pPr>
            <w:r>
              <w:rPr>
                <w:i/>
              </w:rPr>
              <w:t>Source</w:t>
            </w:r>
            <w:r w:rsidRPr="00167F06">
              <w:t xml:space="preserve">: </w:t>
            </w:r>
            <w:proofErr w:type="gramStart"/>
            <w:r>
              <w:t>PC  2012</w:t>
            </w:r>
            <w:proofErr w:type="gramEnd"/>
            <w:r>
              <w:t xml:space="preserve">, </w:t>
            </w:r>
            <w:r w:rsidRPr="00BF3FC0">
              <w:rPr>
                <w:i/>
              </w:rPr>
              <w:t>Schools Workforce - Productivity Commission Research Report</w:t>
            </w:r>
            <w:r w:rsidRPr="00BC70D8">
              <w:t>, http://www.pc.gov.au/projects/study/education-workforce/schools/report (accessed 18 February 2014).</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rPr>
          <w:rStyle w:val="BodyTextChar"/>
        </w:rPr>
        <w:t>Improving t</w:t>
      </w:r>
      <w:r w:rsidRPr="000B1870">
        <w:rPr>
          <w:rStyle w:val="BodyTextChar"/>
        </w:rPr>
        <w:t>eacher quality is part of COAG’s strategy to close the gap in educational outcomes between Aboriginal and Torres Strait Islander and</w:t>
      </w:r>
      <w:r>
        <w:rPr>
          <w:rStyle w:val="BodyTextChar"/>
        </w:rPr>
        <w:t xml:space="preserve"> </w:t>
      </w:r>
      <w:r w:rsidRPr="000B1870">
        <w:rPr>
          <w:rStyle w:val="BodyTextChar"/>
        </w:rPr>
        <w:t>non</w:t>
      </w:r>
      <w:r>
        <w:rPr>
          <w:rStyle w:val="BodyTextChar"/>
        </w:rPr>
        <w:noBreakHyphen/>
      </w:r>
      <w:r w:rsidRPr="000B1870">
        <w:rPr>
          <w:rStyle w:val="BodyTextChar"/>
        </w:rPr>
        <w:t>Indigenous students</w:t>
      </w:r>
      <w:r>
        <w:rPr>
          <w:rStyle w:val="BodyTextChar"/>
        </w:rPr>
        <w:t xml:space="preserve"> </w:t>
      </w:r>
      <w:r w:rsidRPr="00AC4F21">
        <w:rPr>
          <w:szCs w:val="24"/>
        </w:rPr>
        <w:t>(MCEECDYA 2010)</w:t>
      </w:r>
      <w:r>
        <w:rPr>
          <w:rStyle w:val="BodyTextChar"/>
        </w:rPr>
        <w:t xml:space="preserve"> </w:t>
      </w:r>
      <w:r w:rsidRPr="000B1870">
        <w:rPr>
          <w:rStyle w:val="BodyTextChar"/>
        </w:rPr>
        <w:t xml:space="preserve">and </w:t>
      </w:r>
      <w:r>
        <w:rPr>
          <w:rStyle w:val="BodyTextChar"/>
        </w:rPr>
        <w:t>is a</w:t>
      </w:r>
      <w:r w:rsidRPr="000B1870">
        <w:rPr>
          <w:rStyle w:val="BodyTextChar"/>
        </w:rPr>
        <w:t xml:space="preserve"> priority under the </w:t>
      </w:r>
      <w:r w:rsidRPr="000B1870">
        <w:rPr>
          <w:rStyle w:val="BodyTextChar"/>
          <w:i/>
        </w:rPr>
        <w:t>National Education Agreement</w:t>
      </w:r>
      <w:r>
        <w:rPr>
          <w:rStyle w:val="BodyTextChar"/>
        </w:rPr>
        <w:t xml:space="preserve"> </w:t>
      </w:r>
      <w:r w:rsidRPr="00AC4F21">
        <w:rPr>
          <w:szCs w:val="24"/>
        </w:rPr>
        <w:t>(Council of Australian Governments 2012)</w:t>
      </w:r>
      <w:r w:rsidRPr="000B1870">
        <w:rPr>
          <w:rStyle w:val="BodyTextChar"/>
        </w:rPr>
        <w:t xml:space="preserve">. </w:t>
      </w:r>
      <w:r w:rsidRPr="000B1870">
        <w:t xml:space="preserve">The </w:t>
      </w:r>
      <w:r w:rsidRPr="000B1870">
        <w:rPr>
          <w:i/>
        </w:rPr>
        <w:t xml:space="preserve">National Partnership </w:t>
      </w:r>
      <w:r>
        <w:rPr>
          <w:i/>
        </w:rPr>
        <w:t>Agreement on</w:t>
      </w:r>
      <w:r w:rsidRPr="000B1870">
        <w:rPr>
          <w:i/>
        </w:rPr>
        <w:t xml:space="preserve"> Improving Teacher Quality</w:t>
      </w:r>
      <w:r w:rsidRPr="000B1870">
        <w:t xml:space="preserve"> </w:t>
      </w:r>
      <w:r>
        <w:t xml:space="preserve">(which ended 31 December 2013) </w:t>
      </w:r>
      <w:r w:rsidRPr="000B1870">
        <w:t>targeted a series of reforms aimed at improving teacher and school leader quality for all students, and in particular, for students in disadvantaged Indigenous, rural/remote and hard to staff schools</w:t>
      </w:r>
      <w:r>
        <w:t xml:space="preserve"> </w:t>
      </w:r>
      <w:r w:rsidRPr="00AC4F21">
        <w:rPr>
          <w:szCs w:val="24"/>
        </w:rPr>
        <w:t>(Council of Australian Governments 2009)</w:t>
      </w:r>
      <w:r>
        <w:t>.</w:t>
      </w:r>
    </w:p>
    <w:p w:rsidR="00935C67" w:rsidRDefault="00935C67" w:rsidP="00935C67">
      <w:pPr>
        <w:pStyle w:val="BodyText"/>
      </w:pPr>
      <w:r>
        <w:t>A significant outcome of the National Partnership was the</w:t>
      </w:r>
      <w:r w:rsidRPr="000938B1">
        <w:rPr>
          <w:rStyle w:val="BodyTextChar"/>
          <w:szCs w:val="24"/>
        </w:rPr>
        <w:t xml:space="preserve"> </w:t>
      </w:r>
      <w:r w:rsidRPr="001802C1">
        <w:rPr>
          <w:rStyle w:val="BodyTextChar"/>
          <w:i/>
          <w:szCs w:val="24"/>
        </w:rPr>
        <w:t>National Professional Standards</w:t>
      </w:r>
      <w:r w:rsidRPr="000938B1">
        <w:rPr>
          <w:rStyle w:val="BodyTextChar"/>
          <w:szCs w:val="24"/>
        </w:rPr>
        <w:t xml:space="preserve"> </w:t>
      </w:r>
      <w:r w:rsidRPr="000556CD">
        <w:rPr>
          <w:rStyle w:val="BodyTextChar"/>
          <w:i/>
          <w:szCs w:val="24"/>
        </w:rPr>
        <w:t xml:space="preserve">for </w:t>
      </w:r>
      <w:r w:rsidRPr="00AC4F21">
        <w:rPr>
          <w:rStyle w:val="BodyTextChar"/>
          <w:i/>
          <w:szCs w:val="24"/>
        </w:rPr>
        <w:t xml:space="preserve">Teachers </w:t>
      </w:r>
      <w:r w:rsidRPr="00AC4F21">
        <w:rPr>
          <w:rStyle w:val="BodyTextChar"/>
          <w:szCs w:val="24"/>
        </w:rPr>
        <w:t>(now known as the</w:t>
      </w:r>
      <w:r w:rsidRPr="00AC4F21">
        <w:rPr>
          <w:rStyle w:val="BodyTextChar"/>
          <w:i/>
          <w:szCs w:val="24"/>
        </w:rPr>
        <w:t xml:space="preserve"> Australian Professional Standards for Teachers</w:t>
      </w:r>
      <w:r w:rsidRPr="00AC4F21">
        <w:rPr>
          <w:rStyle w:val="BodyTextChar"/>
          <w:szCs w:val="24"/>
        </w:rPr>
        <w:t>)</w:t>
      </w:r>
      <w:r w:rsidRPr="004E24D2">
        <w:rPr>
          <w:rStyle w:val="BodyTextChar"/>
          <w:szCs w:val="24"/>
        </w:rPr>
        <w:t>,</w:t>
      </w:r>
      <w:r w:rsidRPr="000938B1">
        <w:rPr>
          <w:rStyle w:val="BodyTextChar"/>
          <w:szCs w:val="24"/>
        </w:rPr>
        <w:t xml:space="preserve"> </w:t>
      </w:r>
      <w:r>
        <w:rPr>
          <w:rStyle w:val="BodyTextChar"/>
          <w:szCs w:val="24"/>
        </w:rPr>
        <w:t xml:space="preserve">which </w:t>
      </w:r>
      <w:r w:rsidRPr="000938B1">
        <w:t>provide a nationally consistent basis to recognise teacher quality levels</w:t>
      </w:r>
      <w:r>
        <w:t xml:space="preserve">. </w:t>
      </w:r>
      <w:r w:rsidRPr="00B237E7">
        <w:t xml:space="preserve">The standards outline what teachers </w:t>
      </w:r>
      <w:r>
        <w:t xml:space="preserve">should </w:t>
      </w:r>
      <w:r w:rsidRPr="00B237E7">
        <w:t>know and be able to do and are grouped in to three domains of teaching: professional knowledge, professional practice, and professional engagement.</w:t>
      </w:r>
      <w:r>
        <w:t xml:space="preserve"> </w:t>
      </w:r>
      <w:r w:rsidRPr="00C40A6E">
        <w:t xml:space="preserve">These are then separated into </w:t>
      </w:r>
      <w:r>
        <w:t>d</w:t>
      </w:r>
      <w:r w:rsidRPr="00C40A6E">
        <w:t>escriptors at four professional career stages: Graduate, Proficient, Highly Accomplished and Lead</w:t>
      </w:r>
      <w:r>
        <w:t xml:space="preserve"> which reflect the continuum of a teacher’s developing professional expertise</w:t>
      </w:r>
      <w:r w:rsidRPr="00C40A6E">
        <w:t xml:space="preserve">. </w:t>
      </w:r>
      <w:r>
        <w:rPr>
          <w:rStyle w:val="BodyTextChar"/>
        </w:rPr>
        <w:t xml:space="preserve">The standards require </w:t>
      </w:r>
      <w:r w:rsidRPr="00B67C1D">
        <w:rPr>
          <w:rStyle w:val="BodyTextChar"/>
        </w:rPr>
        <w:t>that</w:t>
      </w:r>
      <w:r>
        <w:rPr>
          <w:rStyle w:val="BodyTextChar"/>
        </w:rPr>
        <w:t xml:space="preserve"> </w:t>
      </w:r>
      <w:r w:rsidRPr="00B67C1D">
        <w:rPr>
          <w:rStyle w:val="BodyTextChar"/>
        </w:rPr>
        <w:t>all teachers demonstrate professional expertise when teaching Aboriginal and Torres Strait Islander students</w:t>
      </w:r>
      <w:r>
        <w:rPr>
          <w:rStyle w:val="BodyTextChar"/>
        </w:rPr>
        <w:t xml:space="preserve"> </w:t>
      </w:r>
      <w:r w:rsidRPr="00AC4F21">
        <w:rPr>
          <w:szCs w:val="24"/>
        </w:rPr>
        <w:t>(AITSL 2011)</w:t>
      </w:r>
      <w:r w:rsidRPr="00B67C1D">
        <w:rPr>
          <w:rStyle w:val="BodyTextChar"/>
        </w:rPr>
        <w:t>.</w:t>
      </w:r>
    </w:p>
    <w:p w:rsidR="00935C67" w:rsidRDefault="00935C67" w:rsidP="00935C67">
      <w:pPr>
        <w:pStyle w:val="BodyText"/>
      </w:pPr>
      <w:r>
        <w:t xml:space="preserve">Data on teacher accreditation are not currently available. However, subject to data availability in the future, measures of initial accreditation and then progression through career stages may be considered for future reports. </w:t>
      </w:r>
    </w:p>
    <w:p w:rsidR="00935C67" w:rsidRDefault="00935C67" w:rsidP="00935C67">
      <w:pPr>
        <w:pStyle w:val="BodyText"/>
      </w:pPr>
      <w:r>
        <w:t xml:space="preserve">The initial National Teacher Workforce Dataset (NTWD) collected data from mid-2012 to mid-2013, and may provide baseline data on qualification, registration and employment </w:t>
      </w:r>
      <w:r>
        <w:lastRenderedPageBreak/>
        <w:t>status of teachers. The initial NTWD includes some basic data on teachers’ Indigenous status, and found that Aboriginal and Torres Strait Islander teachers were less likely than non-Indigenous teachers to have postgraduate qualifications, and that the conversion from graduate to teaching or applying for teaching is lower for Aboriginal and Torres Strait Islander teachers than for non-Indigenous teachers (although the reasons for this are not currently known). However, for teachers with an education qualification (Bachelor, Graduate Diploma or Diploma in Education), the proportion going on to complete further qualifications is similar for Aboriginal and Torres Strait Islander teachers and non</w:t>
      </w:r>
      <w:r>
        <w:noBreakHyphen/>
        <w:t xml:space="preserve">Indigenous teachers (4 to 5 per cent) </w:t>
      </w:r>
      <w:r w:rsidRPr="00A542D9">
        <w:rPr>
          <w:szCs w:val="24"/>
        </w:rPr>
        <w:t>(Ernst and Young 2014)</w:t>
      </w:r>
      <w:r>
        <w:t xml:space="preserve">. </w:t>
      </w:r>
    </w:p>
    <w:p w:rsidR="00935C67" w:rsidRDefault="00935C67" w:rsidP="00935C67">
      <w:pPr>
        <w:pStyle w:val="Heading3"/>
      </w:pPr>
      <w:r>
        <w:t>Aboriginal and Torres Strait Islander school teachers</w:t>
      </w:r>
    </w:p>
    <w:p w:rsidR="00935C67" w:rsidRDefault="00935C67" w:rsidP="00935C67">
      <w:pPr>
        <w:pStyle w:val="BodyText"/>
      </w:pPr>
      <w:r w:rsidRPr="00CE6C6B">
        <w:t xml:space="preserve">Increasing the number of Aboriginal and Torres Strait Islander teachers </w:t>
      </w:r>
      <w:r>
        <w:t>could help foster</w:t>
      </w:r>
      <w:r w:rsidRPr="00CE6C6B">
        <w:t xml:space="preserve"> student engagement and improv</w:t>
      </w:r>
      <w:r>
        <w:t>e</w:t>
      </w:r>
      <w:r w:rsidRPr="00CE6C6B">
        <w:t xml:space="preserve"> educational outcomes for Aboriginal and Torres Strait Islander students. </w:t>
      </w:r>
    </w:p>
    <w:p w:rsidR="00935C67" w:rsidRDefault="00935C67" w:rsidP="00935C67">
      <w:pPr>
        <w:pStyle w:val="BodyText"/>
      </w:pPr>
      <w:r>
        <w:t xml:space="preserve">In 2013, </w:t>
      </w:r>
      <w:r w:rsidRPr="00093ACD">
        <w:t xml:space="preserve">Aboriginal and Torres Strait Islander </w:t>
      </w:r>
      <w:r w:rsidRPr="00AC4F21">
        <w:t>Australians</w:t>
      </w:r>
      <w:r>
        <w:t xml:space="preserve"> made up a much lower proportion of teachers (p</w:t>
      </w:r>
      <w:r w:rsidRPr="00DF15D1">
        <w:t xml:space="preserve">rimary </w:t>
      </w:r>
      <w:r>
        <w:t xml:space="preserve">1.1 per cent </w:t>
      </w:r>
      <w:r w:rsidRPr="00DF15D1">
        <w:t xml:space="preserve">and secondary </w:t>
      </w:r>
      <w:r>
        <w:t xml:space="preserve">0.8 per cent) </w:t>
      </w:r>
      <w:r w:rsidRPr="00093ACD">
        <w:t xml:space="preserve">than </w:t>
      </w:r>
      <w:r>
        <w:t xml:space="preserve">students (primary </w:t>
      </w:r>
      <w:r w:rsidRPr="00DF15D1">
        <w:t xml:space="preserve">5.1 </w:t>
      </w:r>
      <w:r>
        <w:t>per cent and secondary 4.5</w:t>
      </w:r>
      <w:r w:rsidRPr="00DF15D1">
        <w:t xml:space="preserve"> per cent</w:t>
      </w:r>
      <w:r>
        <w:t xml:space="preserve">) </w:t>
      </w:r>
      <w:r w:rsidRPr="00AC4F21">
        <w:rPr>
          <w:szCs w:val="24"/>
        </w:rPr>
        <w:t>(ABS 2013; MATSITI 2014; McKenzie et al. 2014</w:t>
      </w:r>
      <w:r>
        <w:t xml:space="preserve">; table 5A.6.1 in this report) Whilst these proportions were similar in 2010 </w:t>
      </w:r>
      <w:r w:rsidRPr="00AC4F21">
        <w:rPr>
          <w:szCs w:val="24"/>
        </w:rPr>
        <w:t>(McKenzie et al. 2011)</w:t>
      </w:r>
      <w:r>
        <w:t xml:space="preserve">, a notable area of growth since 2010 was among primary school leaders, where the proportion who identified as being of Aboriginal and/or Torres Strait Islander origin increased from near zero to 1.1 per cent in 2013 </w:t>
      </w:r>
      <w:r w:rsidRPr="00AC4F21">
        <w:rPr>
          <w:szCs w:val="24"/>
        </w:rPr>
        <w:t>(McKenzie et al. 2014)</w:t>
      </w:r>
      <w:r>
        <w:t xml:space="preserve">. </w:t>
      </w:r>
      <w:r w:rsidRPr="00CE6C6B">
        <w:t>Section</w:t>
      </w:r>
      <w:r>
        <w:t> </w:t>
      </w:r>
      <w:r w:rsidRPr="00CE6C6B">
        <w:t>5.6 on Indigenous cultural studies contains further information on the Aboriginal and Torres Strait Islander education workforce.</w:t>
      </w:r>
    </w:p>
    <w:p w:rsidR="00935C67" w:rsidRPr="00845339" w:rsidRDefault="00935C67" w:rsidP="00935C67">
      <w:pPr>
        <w:pStyle w:val="Heading3"/>
      </w:pPr>
      <w:r>
        <w:t>Future directions in data</w:t>
      </w:r>
    </w:p>
    <w:p w:rsidR="00935C67" w:rsidRDefault="00935C67" w:rsidP="00935C67">
      <w:pPr>
        <w:pStyle w:val="BodyText"/>
      </w:pPr>
      <w:r>
        <w:t>Under the (now ceased) National Partnership Agreement on Teacher Quality, two new data collections related to the teacher workforce were established.</w:t>
      </w:r>
    </w:p>
    <w:p w:rsidR="00935C67" w:rsidRDefault="00935C67" w:rsidP="00935C67">
      <w:pPr>
        <w:pStyle w:val="ListBullet"/>
      </w:pPr>
      <w:r>
        <w:t xml:space="preserve">The National Teaching Workforce Dataset collected data on the Australian teaching workforce including qualifications, </w:t>
      </w:r>
      <w:r w:rsidRPr="003D57F4">
        <w:t xml:space="preserve">registration and employment status </w:t>
      </w:r>
      <w:r>
        <w:t xml:space="preserve">(data on professional development was generally not available). However, Indigenous status is unknown for over half the workforce covered by the dataset, largely driven by the extremely low proportion of teachers in Victoria declaring their Indigenous status (0.1 per cent). </w:t>
      </w:r>
    </w:p>
    <w:p w:rsidR="00935C67" w:rsidRDefault="00935C67" w:rsidP="00935C67">
      <w:pPr>
        <w:pStyle w:val="ListBullet"/>
      </w:pPr>
      <w:r>
        <w:t>The first national results from the</w:t>
      </w:r>
      <w:r w:rsidRPr="000938B1">
        <w:t xml:space="preserve"> Longitudinal Teacher </w:t>
      </w:r>
      <w:r>
        <w:t xml:space="preserve">Education </w:t>
      </w:r>
      <w:r w:rsidRPr="000938B1">
        <w:t>Workforce Study</w:t>
      </w:r>
      <w:r>
        <w:t xml:space="preserve"> are anticipated to be available in late 2014. </w:t>
      </w:r>
      <w:r w:rsidRPr="000938B1">
        <w:t>The</w:t>
      </w:r>
      <w:r>
        <w:t xml:space="preserve"> study tracked a national cohort of teacher education graduates from 2011 to 2013 and collected data on the impact of pre</w:t>
      </w:r>
      <w:r>
        <w:noBreakHyphen/>
        <w:t>service and in</w:t>
      </w:r>
      <w:r>
        <w:noBreakHyphen/>
        <w:t>service education and experiences on teacher quality. However, data are not available by Indigenous status, due to the small number of Aboriginal and Torres Strait Islander teaches in the sample (17 teachers — 1 per cent of the sample).</w:t>
      </w:r>
    </w:p>
    <w:p w:rsidR="0012043F" w:rsidRDefault="0012043F" w:rsidP="0012043F">
      <w:pPr>
        <w:pStyle w:val="Heading3"/>
      </w:pPr>
      <w:r>
        <w:lastRenderedPageBreak/>
        <w:t>References</w:t>
      </w:r>
    </w:p>
    <w:p w:rsidR="00935C67" w:rsidRPr="00B278BD" w:rsidRDefault="00935C67" w:rsidP="00935C67">
      <w:pPr>
        <w:pStyle w:val="Reference"/>
      </w:pPr>
      <w:proofErr w:type="gramStart"/>
      <w:r w:rsidRPr="00B278BD">
        <w:t xml:space="preserve">ABS 2013, </w:t>
      </w:r>
      <w:r w:rsidRPr="00B278BD">
        <w:rPr>
          <w:i/>
          <w:iCs/>
        </w:rPr>
        <w:t>Schools, Australia 2012</w:t>
      </w:r>
      <w:r w:rsidRPr="00B278BD">
        <w:t>, 6 February, 4221.0, Australian Bureau of Statistics, Canberra.</w:t>
      </w:r>
      <w:proofErr w:type="gramEnd"/>
    </w:p>
    <w:p w:rsidR="00935C67" w:rsidRPr="00B278BD" w:rsidRDefault="00935C67" w:rsidP="00935C67">
      <w:pPr>
        <w:pStyle w:val="Reference"/>
      </w:pPr>
      <w:proofErr w:type="gramStart"/>
      <w:r w:rsidRPr="00B278BD">
        <w:t xml:space="preserve">AITSL (Australian Institute for Teaching and School Leadership) 2011, </w:t>
      </w:r>
      <w:r w:rsidRPr="00B278BD">
        <w:rPr>
          <w:i/>
          <w:iCs/>
        </w:rPr>
        <w:t>National Professional Standards for Teachers</w:t>
      </w:r>
      <w:r w:rsidRPr="00B278BD">
        <w:t>, http://www.aitsl.edu.au/verve/_resources/AITSL_National_Professional_Standards_for_Teachers.pdf#search=national professional standards for teachers (accessed 22 November 2013).</w:t>
      </w:r>
      <w:proofErr w:type="gramEnd"/>
    </w:p>
    <w:p w:rsidR="00935C67" w:rsidRPr="00B278BD" w:rsidRDefault="00935C67" w:rsidP="00935C67">
      <w:pPr>
        <w:pStyle w:val="Reference"/>
      </w:pPr>
      <w:r w:rsidRPr="00B278BD">
        <w:t xml:space="preserve">Biddle, N. and Cameron, T. 2012, </w:t>
      </w:r>
      <w:r w:rsidRPr="00B278BD">
        <w:rPr>
          <w:i/>
          <w:iCs/>
        </w:rPr>
        <w:t xml:space="preserve">Potential Factors Influencing Indigenous Education Participation and Achievement. </w:t>
      </w:r>
      <w:proofErr w:type="gramStart"/>
      <w:r w:rsidRPr="00B278BD">
        <w:rPr>
          <w:i/>
          <w:iCs/>
        </w:rPr>
        <w:t>Research Report</w:t>
      </w:r>
      <w:r w:rsidRPr="00B278BD">
        <w:t xml:space="preserve">, ISBN-978-1-9220-5634-4, National Centre for Vocational Education Research Ltd. P.O. Box 8288, </w:t>
      </w:r>
      <w:proofErr w:type="spellStart"/>
      <w:r w:rsidRPr="00B278BD">
        <w:t>Stational</w:t>
      </w:r>
      <w:proofErr w:type="spellEnd"/>
      <w:r w:rsidRPr="00B278BD">
        <w:t xml:space="preserve"> Arcade, Adelaide, SA 5000, Australia.</w:t>
      </w:r>
      <w:proofErr w:type="gramEnd"/>
      <w:r w:rsidRPr="00B278BD">
        <w:t xml:space="preserve"> Tel: +61-8-230-8400; Fax: +61-8-212-3436; </w:t>
      </w:r>
      <w:proofErr w:type="spellStart"/>
      <w:r w:rsidRPr="00B278BD">
        <w:t>e-mail</w:t>
      </w:r>
      <w:proofErr w:type="spellEnd"/>
      <w:r w:rsidRPr="00B278BD">
        <w:t>: ncver@ncver.edu.au; Web site:  http://www.ncver.edu.au, http://www.eric.ed.gov/ERICWebPortal/detail?accno=ED538263 (accessed 19 March 2013).</w:t>
      </w:r>
    </w:p>
    <w:p w:rsidR="00935C67" w:rsidRPr="00B278BD" w:rsidRDefault="00935C67" w:rsidP="00935C67">
      <w:pPr>
        <w:pStyle w:val="Reference"/>
      </w:pPr>
      <w:r w:rsidRPr="00B278BD">
        <w:t>Boon, H.J. 2011, ‘</w:t>
      </w:r>
      <w:proofErr w:type="gramStart"/>
      <w:r w:rsidRPr="00B278BD">
        <w:t>Raising</w:t>
      </w:r>
      <w:proofErr w:type="gramEnd"/>
      <w:r w:rsidRPr="00B278BD">
        <w:t xml:space="preserve"> the bar: ethics education for quality teachers’, </w:t>
      </w:r>
      <w:r w:rsidRPr="00B278BD">
        <w:rPr>
          <w:i/>
          <w:iCs/>
        </w:rPr>
        <w:t>Australian Journal of Teacher Education</w:t>
      </w:r>
      <w:r w:rsidRPr="00B278BD">
        <w:t>, vol. 36, pp. 76–93.</w:t>
      </w:r>
    </w:p>
    <w:p w:rsidR="00935C67" w:rsidRPr="00B278BD" w:rsidRDefault="00935C67" w:rsidP="00935C67">
      <w:pPr>
        <w:pStyle w:val="Reference"/>
      </w:pPr>
      <w:proofErr w:type="spellStart"/>
      <w:r w:rsidRPr="00B278BD">
        <w:t>Brasche</w:t>
      </w:r>
      <w:proofErr w:type="spellEnd"/>
      <w:r w:rsidRPr="00B278BD">
        <w:t xml:space="preserve">, I. and Harrington, I. 2012, ‘Promoting teacher quality and </w:t>
      </w:r>
      <w:proofErr w:type="spellStart"/>
      <w:r w:rsidRPr="00B278BD">
        <w:t>continuity</w:t>
      </w:r>
      <w:proofErr w:type="gramStart"/>
      <w:r w:rsidRPr="00B278BD">
        <w:t>:Tackling</w:t>
      </w:r>
      <w:proofErr w:type="spellEnd"/>
      <w:proofErr w:type="gramEnd"/>
      <w:r w:rsidRPr="00B278BD">
        <w:t xml:space="preserve"> the disadvantages of remote Indigenous schools in the Northern Territory’, </w:t>
      </w:r>
      <w:r w:rsidRPr="00B278BD">
        <w:rPr>
          <w:i/>
          <w:iCs/>
        </w:rPr>
        <w:t>Australian Journal of Education</w:t>
      </w:r>
      <w:r w:rsidRPr="00B278BD">
        <w:t>, vol. 56, no. 2, pp. 110–125.</w:t>
      </w:r>
    </w:p>
    <w:p w:rsidR="00935C67" w:rsidRPr="00B278BD" w:rsidRDefault="00935C67" w:rsidP="00935C67">
      <w:pPr>
        <w:pStyle w:val="Reference"/>
      </w:pPr>
      <w:proofErr w:type="gramStart"/>
      <w:r w:rsidRPr="00B278BD">
        <w:t xml:space="preserve">Council of Australian Governments 2009, </w:t>
      </w:r>
      <w:r w:rsidRPr="00B278BD">
        <w:rPr>
          <w:i/>
          <w:iCs/>
        </w:rPr>
        <w:t>National Partnership Agreement on Improving Teacher Quality</w:t>
      </w:r>
      <w:r w:rsidRPr="00B278BD">
        <w:t>, http://www.federalfinancialrelations.gov.au/content/npa/</w:t>
      </w:r>
      <w:r>
        <w:t xml:space="preserve"> </w:t>
      </w:r>
      <w:r w:rsidRPr="00B278BD">
        <w:t>education.aspx (accessed 22 November 2013).</w:t>
      </w:r>
      <w:proofErr w:type="gramEnd"/>
    </w:p>
    <w:p w:rsidR="00935C67" w:rsidRPr="00B278BD" w:rsidRDefault="00935C67" w:rsidP="00935C67">
      <w:pPr>
        <w:pStyle w:val="Reference"/>
      </w:pPr>
      <w:proofErr w:type="gramStart"/>
      <w:r w:rsidRPr="00B278BD">
        <w:t xml:space="preserve">—— 2012, </w:t>
      </w:r>
      <w:r w:rsidRPr="00B278BD">
        <w:rPr>
          <w:i/>
          <w:iCs/>
        </w:rPr>
        <w:t>National Education Agreement</w:t>
      </w:r>
      <w:r w:rsidRPr="00B278BD">
        <w:t>, http://www.federalfinancialrelations.gov.au/</w:t>
      </w:r>
      <w:r>
        <w:t xml:space="preserve"> </w:t>
      </w:r>
      <w:r w:rsidRPr="00B278BD">
        <w:t>content/national_agreements.aspx (accessed 22 November 2013).</w:t>
      </w:r>
      <w:proofErr w:type="gramEnd"/>
    </w:p>
    <w:p w:rsidR="00935C67" w:rsidRPr="00B278BD" w:rsidRDefault="00935C67" w:rsidP="00935C67">
      <w:pPr>
        <w:pStyle w:val="Reference"/>
      </w:pPr>
      <w:proofErr w:type="gramStart"/>
      <w:r w:rsidRPr="00B278BD">
        <w:t xml:space="preserve">Ernst and Young (Willett, Segal and </w:t>
      </w:r>
      <w:proofErr w:type="spellStart"/>
      <w:r w:rsidRPr="00B278BD">
        <w:t>Walford</w:t>
      </w:r>
      <w:proofErr w:type="spellEnd"/>
      <w:r w:rsidRPr="00B278BD">
        <w:t xml:space="preserve">) 2014, </w:t>
      </w:r>
      <w:r w:rsidRPr="00B278BD">
        <w:rPr>
          <w:i/>
          <w:iCs/>
        </w:rPr>
        <w:t>National Teaching Workforce Dataset Data Analysis Report 2014</w:t>
      </w:r>
      <w:r w:rsidRPr="00B278BD">
        <w:t>, Commonwealth Department of Education, http://docs.education.gov.au/system/files/doc/other/ntwd_project_report.pdf (accessed 23 October 2014).</w:t>
      </w:r>
      <w:proofErr w:type="gramEnd"/>
    </w:p>
    <w:p w:rsidR="00935C67" w:rsidRPr="00B278BD" w:rsidRDefault="00935C67" w:rsidP="00935C67">
      <w:pPr>
        <w:pStyle w:val="Reference"/>
      </w:pPr>
      <w:r w:rsidRPr="00B278BD">
        <w:t xml:space="preserve">Hattie, J.A. 2009, </w:t>
      </w:r>
      <w:r w:rsidRPr="00B278BD">
        <w:rPr>
          <w:i/>
          <w:iCs/>
        </w:rPr>
        <w:t>Visible Learning: A synthesis of over 800 meta-analyses relating to achievement</w:t>
      </w:r>
      <w:r w:rsidRPr="00B278BD">
        <w:t>, Routledge, New York, USA.</w:t>
      </w:r>
    </w:p>
    <w:p w:rsidR="00935C67" w:rsidRPr="00B278BD" w:rsidRDefault="00935C67" w:rsidP="00935C67">
      <w:pPr>
        <w:pStyle w:val="Reference"/>
      </w:pPr>
      <w:proofErr w:type="gramStart"/>
      <w:r w:rsidRPr="00B278BD">
        <w:t xml:space="preserve">MATSITI 2014, </w:t>
      </w:r>
      <w:r w:rsidRPr="00B278BD">
        <w:rPr>
          <w:i/>
          <w:iCs/>
        </w:rPr>
        <w:t>Research | More Aboriginal and Torres Strait Islander Teachers Initiative</w:t>
      </w:r>
      <w:r w:rsidRPr="00B278BD">
        <w:t>, http://matsiti.edu.au/research/ (accessed 23 January 2014).</w:t>
      </w:r>
      <w:proofErr w:type="gramEnd"/>
    </w:p>
    <w:p w:rsidR="00935C67" w:rsidRPr="00B278BD" w:rsidRDefault="00935C67" w:rsidP="00935C67">
      <w:pPr>
        <w:pStyle w:val="Reference"/>
      </w:pPr>
      <w:r w:rsidRPr="00B278BD">
        <w:t xml:space="preserve">MCEECDYA 2010, </w:t>
      </w:r>
      <w:r w:rsidRPr="00B278BD">
        <w:rPr>
          <w:i/>
          <w:iCs/>
        </w:rPr>
        <w:t xml:space="preserve">Aboriginal and Torres Strait Islander </w:t>
      </w:r>
      <w:proofErr w:type="spellStart"/>
      <w:r w:rsidRPr="00B278BD">
        <w:rPr>
          <w:i/>
          <w:iCs/>
        </w:rPr>
        <w:t>Eduation</w:t>
      </w:r>
      <w:proofErr w:type="spellEnd"/>
      <w:r w:rsidRPr="00B278BD">
        <w:rPr>
          <w:i/>
          <w:iCs/>
        </w:rPr>
        <w:t xml:space="preserve"> Action Plan 2010-2014</w:t>
      </w:r>
      <w:r w:rsidRPr="00B278BD">
        <w:t>, Ministerial Council for Education, Early Childhood Development and Youth Affairs, and Education Services Australia, Victoria, http://www.mceecdya.edu.au/verve/_resources/a10-0945_ieap_web_version_final2.pdf (accessed 23 January 2014).</w:t>
      </w:r>
    </w:p>
    <w:p w:rsidR="00935C67" w:rsidRPr="00B278BD" w:rsidRDefault="00935C67" w:rsidP="00935C67">
      <w:pPr>
        <w:pStyle w:val="Reference"/>
      </w:pPr>
      <w:r w:rsidRPr="00B278BD">
        <w:t xml:space="preserve">McKenzie, P., Rowley, G., Weldon, P.R. and Murphy, M. 2011, </w:t>
      </w:r>
      <w:r w:rsidRPr="00B278BD">
        <w:rPr>
          <w:i/>
          <w:iCs/>
        </w:rPr>
        <w:t>Staff in Australia’s schools 2010: main report on the survey</w:t>
      </w:r>
      <w:r w:rsidRPr="00B278BD">
        <w:t xml:space="preserve">, </w:t>
      </w:r>
      <w:proofErr w:type="spellStart"/>
      <w:r w:rsidRPr="00B278BD">
        <w:t>ACEReSearch</w:t>
      </w:r>
      <w:proofErr w:type="spellEnd"/>
      <w:r w:rsidRPr="00B278BD">
        <w:t xml:space="preserve">, Australian Council for </w:t>
      </w:r>
      <w:r w:rsidRPr="00B278BD">
        <w:lastRenderedPageBreak/>
        <w:t xml:space="preserve">Educational Research, Camberwell, Victoria, </w:t>
      </w:r>
      <w:proofErr w:type="gramStart"/>
      <w:r w:rsidRPr="00B278BD">
        <w:t>http</w:t>
      </w:r>
      <w:proofErr w:type="gramEnd"/>
      <w:r w:rsidRPr="00B278BD">
        <w:t>://research.acer.edu.au/tll_misc/14 (accessed 6 February 2014).</w:t>
      </w:r>
    </w:p>
    <w:p w:rsidR="00935C67" w:rsidRPr="00B278BD" w:rsidRDefault="00935C67" w:rsidP="00935C67">
      <w:pPr>
        <w:pStyle w:val="Reference"/>
      </w:pPr>
      <w:r w:rsidRPr="00B278BD">
        <w:t xml:space="preserve">——, Weldon, P., Rowley, G., Murphy, M. and McMillan, J. 2014, </w:t>
      </w:r>
      <w:r w:rsidRPr="00B278BD">
        <w:rPr>
          <w:i/>
          <w:iCs/>
        </w:rPr>
        <w:t>Staff in Australia’s Schools 2013: Main report on the survey</w:t>
      </w:r>
      <w:r w:rsidRPr="00B278BD">
        <w:t>, April, Australian Council for Educational Research.</w:t>
      </w:r>
    </w:p>
    <w:p w:rsidR="00935C67" w:rsidRPr="00B278BD" w:rsidRDefault="00935C67" w:rsidP="00935C67">
      <w:pPr>
        <w:pStyle w:val="Reference"/>
      </w:pPr>
      <w:r w:rsidRPr="00B278BD">
        <w:t xml:space="preserve">PC (Productivity Commission) 2012, </w:t>
      </w:r>
      <w:r w:rsidRPr="00B278BD">
        <w:rPr>
          <w:i/>
          <w:iCs/>
        </w:rPr>
        <w:t>Schools Workforce - Productivity Commission Research Report</w:t>
      </w:r>
      <w:r w:rsidRPr="00B278BD">
        <w:t>, http://www.pc.gov.au/projects/study/education-workforce/schools/</w:t>
      </w:r>
      <w:r>
        <w:t xml:space="preserve"> </w:t>
      </w:r>
      <w:r w:rsidRPr="00B278BD">
        <w:t>report (accessed 18 February 2014).</w:t>
      </w:r>
    </w:p>
    <w:p w:rsidR="00935C67" w:rsidRPr="00B278BD" w:rsidRDefault="00935C67" w:rsidP="00935C67">
      <w:pPr>
        <w:pStyle w:val="Reference"/>
      </w:pPr>
      <w:r w:rsidRPr="00B278BD">
        <w:t xml:space="preserve">Sullivan, K., Perry, L.B. and </w:t>
      </w:r>
      <w:proofErr w:type="spellStart"/>
      <w:r w:rsidRPr="00B278BD">
        <w:t>McConney</w:t>
      </w:r>
      <w:proofErr w:type="spellEnd"/>
      <w:r w:rsidRPr="00B278BD">
        <w:t>, A. 2013, ‘How do school resources and academic performance differ across Australia’s rural, regional and metropolitan communities?</w:t>
      </w:r>
      <w:proofErr w:type="gramStart"/>
      <w:r w:rsidRPr="00B278BD">
        <w:t>’,</w:t>
      </w:r>
      <w:proofErr w:type="gramEnd"/>
      <w:r w:rsidRPr="00B278BD">
        <w:t xml:space="preserve"> </w:t>
      </w:r>
      <w:r w:rsidRPr="00B278BD">
        <w:rPr>
          <w:i/>
          <w:iCs/>
        </w:rPr>
        <w:t>The Australian Educational Researcher</w:t>
      </w:r>
      <w:r w:rsidRPr="00B278BD">
        <w:t>, vol. 40, no. 3, pp. 353–372.</w:t>
      </w:r>
    </w:p>
    <w:p w:rsidR="00935C67" w:rsidRPr="004F4D86" w:rsidRDefault="00935C67" w:rsidP="00935C67">
      <w:pPr>
        <w:pStyle w:val="Reference"/>
      </w:pPr>
      <w:bookmarkStart w:id="4" w:name="RFN2-0420371"/>
      <w:bookmarkEnd w:id="4"/>
    </w:p>
    <w:p w:rsidR="00935C67" w:rsidRDefault="00935C67">
      <w:pPr>
        <w:rPr>
          <w:szCs w:val="20"/>
        </w:rPr>
      </w:pPr>
      <w:r>
        <w:br w:type="page"/>
      </w:r>
    </w:p>
    <w:p w:rsidR="00935C67" w:rsidRPr="002C2C02" w:rsidRDefault="00935C67" w:rsidP="00935C67">
      <w:pPr>
        <w:pStyle w:val="Heading2"/>
        <w:rPr>
          <w:rStyle w:val="NoteLabel"/>
        </w:rPr>
      </w:pPr>
      <w:r>
        <w:lastRenderedPageBreak/>
        <w:t>7.3</w:t>
      </w:r>
      <w:r>
        <w:tab/>
        <w:t>School engagement</w:t>
      </w:r>
      <w:r w:rsidRPr="002C2C02">
        <w:rPr>
          <w:rStyle w:val="NoteLabel"/>
        </w:rPr>
        <w:footnoteReference w:id="4"/>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7.3.</w:t>
            </w:r>
            <w:r>
              <w:rPr>
                <w:b w:val="0"/>
                <w:noProof/>
              </w:rPr>
              <w:t>1</w:t>
            </w:r>
            <w:r>
              <w:tab/>
              <w:t>Key messages</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ListBullet"/>
            </w:pPr>
            <w:r>
              <w:t>S</w:t>
            </w:r>
            <w:r w:rsidRPr="00607710">
              <w:t xml:space="preserve">tudent engagement with school and learning </w:t>
            </w:r>
            <w:r>
              <w:t xml:space="preserve">is </w:t>
            </w:r>
            <w:proofErr w:type="gramStart"/>
            <w:r>
              <w:t>key</w:t>
            </w:r>
            <w:proofErr w:type="gramEnd"/>
            <w:r>
              <w:t xml:space="preserve"> to achieving improved educational outcomes.</w:t>
            </w:r>
          </w:p>
          <w:p w:rsidR="00935C67" w:rsidRDefault="00935C67" w:rsidP="00510401">
            <w:pPr>
              <w:pStyle w:val="BoxListBullet"/>
            </w:pPr>
            <w:r>
              <w:t>There is no nationally agreed definition of school engagement. Further work is required to develop nationally agreed measures and data sources.</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rsidRPr="0070213C">
        <w:t xml:space="preserve">While </w:t>
      </w:r>
      <w:r>
        <w:t xml:space="preserve">school </w:t>
      </w:r>
      <w:r w:rsidRPr="0070213C">
        <w:t>attendance is important</w:t>
      </w:r>
      <w:r>
        <w:t xml:space="preserve"> (see section 7.1)</w:t>
      </w:r>
      <w:r w:rsidRPr="0070213C">
        <w:t xml:space="preserve">, </w:t>
      </w:r>
      <w:r>
        <w:t xml:space="preserve">there is growing interest nationally and internationally, in looking beyond students’ physical presence at school to examine their relationships with school and learning </w:t>
      </w:r>
      <w:r>
        <w:rPr>
          <w:szCs w:val="24"/>
        </w:rPr>
        <w:t>(</w:t>
      </w:r>
      <w:r w:rsidRPr="00587393">
        <w:rPr>
          <w:szCs w:val="24"/>
        </w:rPr>
        <w:t>Fredericks and McCloskey</w:t>
      </w:r>
      <w:r>
        <w:rPr>
          <w:szCs w:val="24"/>
        </w:rPr>
        <w:t xml:space="preserve"> (</w:t>
      </w:r>
      <w:proofErr w:type="spellStart"/>
      <w:proofErr w:type="gramStart"/>
      <w:r>
        <w:rPr>
          <w:szCs w:val="24"/>
        </w:rPr>
        <w:t>eds</w:t>
      </w:r>
      <w:proofErr w:type="spellEnd"/>
      <w:proofErr w:type="gramEnd"/>
      <w:r>
        <w:rPr>
          <w:szCs w:val="24"/>
        </w:rPr>
        <w:t>)</w:t>
      </w:r>
      <w:r w:rsidRPr="00587393">
        <w:rPr>
          <w:szCs w:val="24"/>
        </w:rPr>
        <w:t xml:space="preserve"> 2012; </w:t>
      </w:r>
      <w:proofErr w:type="spellStart"/>
      <w:r w:rsidRPr="00587393">
        <w:rPr>
          <w:szCs w:val="24"/>
        </w:rPr>
        <w:t>Phan</w:t>
      </w:r>
      <w:proofErr w:type="spellEnd"/>
      <w:r w:rsidRPr="00587393">
        <w:rPr>
          <w:szCs w:val="24"/>
        </w:rPr>
        <w:t> 2014; Social Inclusion Board 2007)</w:t>
      </w:r>
      <w:r>
        <w:t>. Aboriginal and Torres Strait Islander</w:t>
      </w:r>
      <w:r w:rsidRPr="002F148F">
        <w:t xml:space="preserve"> students’ engagement with schooling is a key outcome in the 2010–2014 Aboriginal and Torres Strait Islander Education Action Plan</w:t>
      </w:r>
      <w:r>
        <w:t xml:space="preserve"> </w:t>
      </w:r>
      <w:r w:rsidRPr="00587393">
        <w:rPr>
          <w:szCs w:val="24"/>
        </w:rPr>
        <w:t>(MCEECDYA 2010)</w:t>
      </w:r>
      <w:r w:rsidRPr="002F148F">
        <w:t xml:space="preserve"> (and is also a key outcome for the general population as specified in the National Education Agreement).</w:t>
      </w:r>
    </w:p>
    <w:p w:rsidR="00935C67" w:rsidRDefault="00935C67" w:rsidP="00935C67">
      <w:pPr>
        <w:pStyle w:val="BodyText"/>
      </w:pPr>
      <w:r w:rsidRPr="003E657B">
        <w:t>Although evidence suggests a link between school engagement and improved educational attainment, the strength of this link remains unclear and varies by school</w:t>
      </w:r>
      <w:r>
        <w:t xml:space="preserve"> </w:t>
      </w:r>
      <w:r w:rsidRPr="00D034BB">
        <w:rPr>
          <w:szCs w:val="24"/>
        </w:rPr>
        <w:t>(Lonsdale et al. 2011; OECD 2003)</w:t>
      </w:r>
      <w:r w:rsidRPr="003E657B">
        <w:t xml:space="preserve">. </w:t>
      </w:r>
      <w:r>
        <w:t xml:space="preserve">In addition, the concept of school engagement has proven to be difficult to define and measure </w:t>
      </w:r>
      <w:r w:rsidRPr="00587393">
        <w:rPr>
          <w:szCs w:val="24"/>
        </w:rPr>
        <w:t>(</w:t>
      </w:r>
      <w:proofErr w:type="spellStart"/>
      <w:r w:rsidRPr="00587393">
        <w:rPr>
          <w:szCs w:val="24"/>
        </w:rPr>
        <w:t>Axelson</w:t>
      </w:r>
      <w:proofErr w:type="spellEnd"/>
      <w:r w:rsidRPr="00587393">
        <w:rPr>
          <w:szCs w:val="24"/>
        </w:rPr>
        <w:t xml:space="preserve"> and Flick </w:t>
      </w:r>
      <w:r>
        <w:rPr>
          <w:szCs w:val="24"/>
        </w:rPr>
        <w:t xml:space="preserve">2011; </w:t>
      </w:r>
      <w:r w:rsidRPr="00587393">
        <w:rPr>
          <w:szCs w:val="24"/>
        </w:rPr>
        <w:t>Fredericks and McCloskey</w:t>
      </w:r>
      <w:r>
        <w:rPr>
          <w:szCs w:val="24"/>
        </w:rPr>
        <w:t xml:space="preserve"> (</w:t>
      </w:r>
      <w:proofErr w:type="spellStart"/>
      <w:proofErr w:type="gramStart"/>
      <w:r>
        <w:rPr>
          <w:szCs w:val="24"/>
        </w:rPr>
        <w:t>eds</w:t>
      </w:r>
      <w:proofErr w:type="spellEnd"/>
      <w:proofErr w:type="gramEnd"/>
      <w:r>
        <w:rPr>
          <w:szCs w:val="24"/>
        </w:rPr>
        <w:t>)</w:t>
      </w:r>
      <w:r w:rsidRPr="00587393">
        <w:rPr>
          <w:szCs w:val="24"/>
        </w:rPr>
        <w:t> 2012)</w:t>
      </w:r>
      <w:r>
        <w:t>. In general, school engagement has been described using three main constructs:</w:t>
      </w:r>
    </w:p>
    <w:p w:rsidR="00935C67" w:rsidRDefault="00935C67" w:rsidP="00935C67">
      <w:pPr>
        <w:pStyle w:val="ListBullet"/>
      </w:pPr>
      <w:r w:rsidRPr="00B50490">
        <w:t>behavioural</w:t>
      </w:r>
      <w:r>
        <w:t xml:space="preserve">/participatory — such as following the rules and being present at school (attendance) </w:t>
      </w:r>
    </w:p>
    <w:p w:rsidR="00935C67" w:rsidRDefault="00935C67" w:rsidP="00935C67">
      <w:pPr>
        <w:pStyle w:val="ListBullet"/>
      </w:pPr>
      <w:r w:rsidRPr="00B50490">
        <w:t>emotional</w:t>
      </w:r>
      <w:r>
        <w:t xml:space="preserve">/affective — such as values and emotional responses toward school, subjects and learning (such as interest or anxiety) </w:t>
      </w:r>
    </w:p>
    <w:p w:rsidR="00935C67" w:rsidRPr="00976A3C" w:rsidRDefault="00935C67" w:rsidP="00935C67">
      <w:pPr>
        <w:pStyle w:val="ListBullet"/>
      </w:pPr>
      <w:proofErr w:type="gramStart"/>
      <w:r w:rsidRPr="00B50490">
        <w:t>cognitive</w:t>
      </w:r>
      <w:r>
        <w:t>/academic</w:t>
      </w:r>
      <w:proofErr w:type="gramEnd"/>
      <w:r>
        <w:t xml:space="preserve"> — such as motivation and effort </w:t>
      </w:r>
      <w:r w:rsidRPr="00587393">
        <w:rPr>
          <w:szCs w:val="24"/>
        </w:rPr>
        <w:t>(</w:t>
      </w:r>
      <w:proofErr w:type="spellStart"/>
      <w:r w:rsidRPr="00587393">
        <w:rPr>
          <w:szCs w:val="24"/>
        </w:rPr>
        <w:t>Fredricks</w:t>
      </w:r>
      <w:proofErr w:type="spellEnd"/>
      <w:r w:rsidRPr="00587393">
        <w:rPr>
          <w:szCs w:val="24"/>
        </w:rPr>
        <w:t xml:space="preserve">, </w:t>
      </w:r>
      <w:proofErr w:type="spellStart"/>
      <w:r w:rsidRPr="00587393">
        <w:rPr>
          <w:szCs w:val="24"/>
        </w:rPr>
        <w:t>Blumenfeld</w:t>
      </w:r>
      <w:proofErr w:type="spellEnd"/>
      <w:r w:rsidRPr="00587393">
        <w:rPr>
          <w:szCs w:val="24"/>
        </w:rPr>
        <w:t xml:space="preserve"> and Paris 2004; Lonsdale et al. 2011)</w:t>
      </w:r>
      <w:r>
        <w:t xml:space="preserve">. </w:t>
      </w:r>
    </w:p>
    <w:p w:rsidR="00935C67" w:rsidRDefault="00935C67" w:rsidP="00935C67">
      <w:pPr>
        <w:pStyle w:val="BodyText"/>
      </w:pPr>
      <w:r>
        <w:t xml:space="preserve">Research has shown that school engagement can be shaped by contextual factors such as: </w:t>
      </w:r>
    </w:p>
    <w:p w:rsidR="00935C67" w:rsidRDefault="00935C67" w:rsidP="00935C67">
      <w:pPr>
        <w:pStyle w:val="ListBullet"/>
      </w:pPr>
      <w:r>
        <w:t>students’ experiences, needs and characteristics, including self</w:t>
      </w:r>
      <w:r>
        <w:noBreakHyphen/>
        <w:t>identity and connectedness</w:t>
      </w:r>
    </w:p>
    <w:p w:rsidR="00935C67" w:rsidRDefault="00935C67" w:rsidP="00935C67">
      <w:pPr>
        <w:pStyle w:val="ListBullet"/>
      </w:pPr>
      <w:r>
        <w:t>the school and classroom context, including teacher quality (see section 7.2), teacher support, school funding, attitudes of peers and culturally inclusive structures and practices in schools (see section 5.6)</w:t>
      </w:r>
    </w:p>
    <w:p w:rsidR="00935C67" w:rsidRDefault="00935C67" w:rsidP="00935C67">
      <w:pPr>
        <w:pStyle w:val="ListBullet"/>
      </w:pPr>
      <w:proofErr w:type="gramStart"/>
      <w:r>
        <w:t>the</w:t>
      </w:r>
      <w:proofErr w:type="gramEnd"/>
      <w:r>
        <w:t xml:space="preserve"> wider environment, including </w:t>
      </w:r>
      <w:proofErr w:type="spellStart"/>
      <w:r>
        <w:t>socio</w:t>
      </w:r>
      <w:r>
        <w:noBreakHyphen/>
        <w:t>economic</w:t>
      </w:r>
      <w:proofErr w:type="spellEnd"/>
      <w:r>
        <w:t xml:space="preserve"> circumstances, and parental and community involvement </w:t>
      </w:r>
      <w:r w:rsidRPr="000955E1">
        <w:rPr>
          <w:szCs w:val="24"/>
        </w:rPr>
        <w:t>(</w:t>
      </w:r>
      <w:proofErr w:type="spellStart"/>
      <w:r w:rsidRPr="000955E1">
        <w:rPr>
          <w:szCs w:val="24"/>
        </w:rPr>
        <w:t>Fredricks</w:t>
      </w:r>
      <w:proofErr w:type="spellEnd"/>
      <w:r w:rsidRPr="000955E1">
        <w:rPr>
          <w:szCs w:val="24"/>
        </w:rPr>
        <w:t xml:space="preserve">, </w:t>
      </w:r>
      <w:proofErr w:type="spellStart"/>
      <w:r w:rsidRPr="000955E1">
        <w:rPr>
          <w:szCs w:val="24"/>
        </w:rPr>
        <w:t>Blumenfeld</w:t>
      </w:r>
      <w:proofErr w:type="spellEnd"/>
      <w:r w:rsidRPr="000955E1">
        <w:rPr>
          <w:szCs w:val="24"/>
        </w:rPr>
        <w:t xml:space="preserve"> and Paris 2004; </w:t>
      </w:r>
      <w:proofErr w:type="spellStart"/>
      <w:r w:rsidRPr="000955E1">
        <w:rPr>
          <w:szCs w:val="24"/>
        </w:rPr>
        <w:t>Helme</w:t>
      </w:r>
      <w:proofErr w:type="spellEnd"/>
      <w:r w:rsidRPr="000955E1">
        <w:rPr>
          <w:szCs w:val="24"/>
        </w:rPr>
        <w:t xml:space="preserve"> and Lamb 2011; </w:t>
      </w:r>
      <w:proofErr w:type="spellStart"/>
      <w:r w:rsidRPr="000955E1">
        <w:rPr>
          <w:szCs w:val="24"/>
        </w:rPr>
        <w:t>Munns</w:t>
      </w:r>
      <w:proofErr w:type="spellEnd"/>
      <w:r w:rsidRPr="000955E1">
        <w:rPr>
          <w:szCs w:val="24"/>
        </w:rPr>
        <w:t>, O’Rourke and Bodkin-Andrews 2013; Social Inclusion Board 2007)</w:t>
      </w:r>
      <w:r>
        <w:t>.</w:t>
      </w:r>
    </w:p>
    <w:p w:rsidR="00935C67" w:rsidRDefault="00935C67" w:rsidP="00935C67">
      <w:pPr>
        <w:pStyle w:val="BodyText"/>
      </w:pPr>
      <w:r>
        <w:lastRenderedPageBreak/>
        <w:t>Schools have been found to have higher levels of student engagement when there was a strong disciplinary climate, good student</w:t>
      </w:r>
      <w:r>
        <w:noBreakHyphen/>
        <w:t xml:space="preserve">teacher relations and high expectations for student success </w:t>
      </w:r>
      <w:r w:rsidRPr="00DF4544">
        <w:rPr>
          <w:szCs w:val="24"/>
        </w:rPr>
        <w:t>(OECD 2003)</w:t>
      </w:r>
      <w:r>
        <w:t>.</w:t>
      </w:r>
    </w:p>
    <w:p w:rsidR="00935C67" w:rsidRPr="00F16B38" w:rsidRDefault="00935C67" w:rsidP="00935C67">
      <w:pPr>
        <w:pStyle w:val="Heading3"/>
      </w:pPr>
      <w:r>
        <w:t>School engagement and Aboriginal and Torres Strait Islander students</w:t>
      </w:r>
    </w:p>
    <w:p w:rsidR="00935C67" w:rsidRDefault="00935C67" w:rsidP="00935C67">
      <w:pPr>
        <w:pStyle w:val="BodyText"/>
      </w:pPr>
      <w:r>
        <w:t>Relatively few studies have considered</w:t>
      </w:r>
      <w:r w:rsidRPr="007D66F7">
        <w:t xml:space="preserve"> </w:t>
      </w:r>
      <w:r>
        <w:t>how the</w:t>
      </w:r>
      <w:r w:rsidRPr="007D66F7">
        <w:t xml:space="preserve"> concept of school engagement </w:t>
      </w:r>
      <w:r>
        <w:t xml:space="preserve">relates to Aboriginal and Torres Strait Islander students. </w:t>
      </w:r>
      <w:r w:rsidRPr="00F25D2E">
        <w:t>As part of its evaluation of the Sporting Chance Program, the Australian Council</w:t>
      </w:r>
      <w:r>
        <w:t xml:space="preserve"> for Educational Research (ACER) </w:t>
      </w:r>
      <w:r w:rsidRPr="00F25D2E">
        <w:t xml:space="preserve">completed a literature review of </w:t>
      </w:r>
      <w:r>
        <w:t>Aboriginal and Torres Strait Islander</w:t>
      </w:r>
      <w:r w:rsidRPr="00F25D2E">
        <w:t xml:space="preserve"> </w:t>
      </w:r>
      <w:r>
        <w:t>school</w:t>
      </w:r>
      <w:r w:rsidRPr="00F25D2E">
        <w:t xml:space="preserve"> engagement</w:t>
      </w:r>
      <w:r>
        <w:t xml:space="preserve"> </w:t>
      </w:r>
      <w:r w:rsidRPr="00DF4544">
        <w:rPr>
          <w:szCs w:val="24"/>
        </w:rPr>
        <w:t>(Lonsdale et al. 2011)</w:t>
      </w:r>
      <w:r>
        <w:t>. F</w:t>
      </w:r>
      <w:r w:rsidRPr="00F25D2E">
        <w:t>our key components</w:t>
      </w:r>
      <w:r>
        <w:t xml:space="preserve"> were identified:</w:t>
      </w:r>
    </w:p>
    <w:p w:rsidR="00935C67" w:rsidRDefault="00935C67" w:rsidP="00935C67">
      <w:pPr>
        <w:pStyle w:val="ListBullet"/>
      </w:pPr>
      <w:r>
        <w:t>positive self</w:t>
      </w:r>
      <w:r>
        <w:noBreakHyphen/>
        <w:t>identity — including feelings about one’s self and culture</w:t>
      </w:r>
    </w:p>
    <w:p w:rsidR="00935C67" w:rsidRDefault="00935C67" w:rsidP="00935C67">
      <w:pPr>
        <w:pStyle w:val="ListBullet"/>
      </w:pPr>
      <w:r w:rsidRPr="00F25D2E">
        <w:t>belo</w:t>
      </w:r>
      <w:r>
        <w:t>nging — including both broad cultural connectedness, and group connectedness (with peers), and is closely linked to self</w:t>
      </w:r>
      <w:r>
        <w:noBreakHyphen/>
        <w:t xml:space="preserve">identity </w:t>
      </w:r>
    </w:p>
    <w:p w:rsidR="00935C67" w:rsidRDefault="00935C67" w:rsidP="00935C67">
      <w:pPr>
        <w:pStyle w:val="ListBullet"/>
      </w:pPr>
      <w:r w:rsidRPr="00F25D2E">
        <w:t>participation</w:t>
      </w:r>
      <w:r>
        <w:t xml:space="preserve"> — including following rules</w:t>
      </w:r>
      <w:r w:rsidRPr="00F25D2E">
        <w:t xml:space="preserve"> </w:t>
      </w:r>
      <w:r>
        <w:t xml:space="preserve">and </w:t>
      </w:r>
      <w:r w:rsidRPr="00F25D2E">
        <w:t>active inv</w:t>
      </w:r>
      <w:r>
        <w:t>olvement in learning tasks</w:t>
      </w:r>
    </w:p>
    <w:p w:rsidR="00935C67" w:rsidRDefault="00935C67" w:rsidP="00935C67">
      <w:pPr>
        <w:pStyle w:val="ListBullet"/>
      </w:pPr>
      <w:proofErr w:type="gramStart"/>
      <w:r>
        <w:t>attendance</w:t>
      </w:r>
      <w:proofErr w:type="gramEnd"/>
      <w:r>
        <w:t xml:space="preserve"> — including being present at school. However, merely being present did not mean that a student was engaged in school, and conversely, absenteeism did not mean that a student was not engaged (for example, cultural reasons for absences could mean a student is engaged in learning that is important to their self</w:t>
      </w:r>
      <w:r>
        <w:noBreakHyphen/>
        <w:t xml:space="preserve">identity and belonging). </w:t>
      </w:r>
    </w:p>
    <w:p w:rsidR="00935C67" w:rsidRDefault="00935C67" w:rsidP="00935C67">
      <w:pPr>
        <w:pStyle w:val="BodyText"/>
      </w:pPr>
      <w:r>
        <w:t xml:space="preserve">De </w:t>
      </w:r>
      <w:proofErr w:type="spellStart"/>
      <w:r>
        <w:t>Bortoli</w:t>
      </w:r>
      <w:proofErr w:type="spellEnd"/>
      <w:r>
        <w:t xml:space="preserve"> and Thomson </w:t>
      </w:r>
      <w:r>
        <w:rPr>
          <w:szCs w:val="24"/>
        </w:rPr>
        <w:t>(</w:t>
      </w:r>
      <w:r w:rsidRPr="00DF4544">
        <w:rPr>
          <w:szCs w:val="24"/>
        </w:rPr>
        <w:t>2010)</w:t>
      </w:r>
      <w:r>
        <w:t xml:space="preserve"> examined the influence of contextual factors on the results of Aboriginal and Torres Strait Islander students and non</w:t>
      </w:r>
      <w:r>
        <w:noBreakHyphen/>
        <w:t xml:space="preserve">Indigenous students in the 2000 and 2006 </w:t>
      </w:r>
      <w:r w:rsidRPr="00B64CCB">
        <w:t xml:space="preserve">Programme for International Student Assessment </w:t>
      </w:r>
      <w:r>
        <w:t>(PISA) tests.</w:t>
      </w:r>
      <w:r>
        <w:rPr>
          <w:rStyle w:val="FootnoteReference"/>
        </w:rPr>
        <w:footnoteReference w:id="5"/>
      </w:r>
      <w:r>
        <w:t xml:space="preserve"> For both Aboriginal and Torres Strait Islander and non</w:t>
      </w:r>
      <w:r>
        <w:noBreakHyphen/>
        <w:t>Indigenous students, performance in maths and science was strongly associated with self</w:t>
      </w:r>
      <w:r>
        <w:noBreakHyphen/>
        <w:t>efficacy, and positively correlated with self</w:t>
      </w:r>
      <w:r>
        <w:noBreakHyphen/>
        <w:t xml:space="preserve">concept. On average, Aboriginal and Torres Strait Islander students reported significantly lower levels of confidence in their abilities. </w:t>
      </w:r>
    </w:p>
    <w:p w:rsidR="00935C67" w:rsidRDefault="00935C67" w:rsidP="00935C67">
      <w:pPr>
        <w:pStyle w:val="Heading3"/>
      </w:pPr>
      <w:r>
        <w:t>Things that work</w:t>
      </w:r>
    </w:p>
    <w:p w:rsidR="00935C67" w:rsidRDefault="00935C67" w:rsidP="00935C67">
      <w:pPr>
        <w:pStyle w:val="BodyText"/>
      </w:pPr>
      <w:r>
        <w:t xml:space="preserve">Whilst there is a lack of research and program evaluation on Aboriginal and Torres Strait Islander school engagement </w:t>
      </w:r>
      <w:r w:rsidRPr="00DF4544">
        <w:rPr>
          <w:szCs w:val="24"/>
        </w:rPr>
        <w:t>(Purdie and Buckley 2010)</w:t>
      </w:r>
      <w:r>
        <w:t xml:space="preserve">, the ACER literature review </w:t>
      </w:r>
      <w:r w:rsidRPr="00DF4544">
        <w:rPr>
          <w:szCs w:val="24"/>
        </w:rPr>
        <w:t>(Lonsdale et al. 2011)</w:t>
      </w:r>
      <w:r>
        <w:t xml:space="preserve"> identified several programs that use incentives and rewards to increase student attention and retention. Box 7.3.2 presents one program identified as increasing Aboriginal and Torres Strait Islander students’ school engagement, </w:t>
      </w:r>
      <w:r w:rsidRPr="00620BD9">
        <w:t>and one promising program worth further consideration</w:t>
      </w:r>
      <w:r>
        <w:t xml:space="preserve">. </w:t>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7.3.</w:t>
            </w:r>
            <w:r>
              <w:rPr>
                <w:b w:val="0"/>
                <w:noProof/>
              </w:rPr>
              <w:t>2</w:t>
            </w:r>
            <w:r>
              <w:tab/>
            </w:r>
            <w:r w:rsidRPr="00D23187">
              <w:t xml:space="preserve">Things that work – </w:t>
            </w:r>
            <w:r>
              <w:t>school engagement</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
            </w:pPr>
            <w:r>
              <w:t xml:space="preserve">The </w:t>
            </w:r>
            <w:r w:rsidRPr="004427C8">
              <w:rPr>
                <w:b/>
              </w:rPr>
              <w:t>Sporting Chance Program</w:t>
            </w:r>
            <w:r>
              <w:t xml:space="preserve"> is an Australian Government initiative that commenced operating in 2007. The Program aims to improve educational outcomes for Aboriginal and Torres Strait Islander students through sport and recreation. In 2012, a total of 21 providers delivered 64 projects for up to 11 000 primary and secondary students across NSW, Victoria, WA and the NT. The Program has two elements:</w:t>
            </w:r>
          </w:p>
          <w:p w:rsidR="00935C67" w:rsidRDefault="00935C67" w:rsidP="00510401">
            <w:pPr>
              <w:pStyle w:val="BoxListBullet"/>
              <w:rPr>
                <w:szCs w:val="24"/>
              </w:rPr>
            </w:pPr>
            <w:r>
              <w:t>School</w:t>
            </w:r>
            <w:r>
              <w:noBreakHyphen/>
              <w:t>based Sports Academies for secondary school students, which provide sports</w:t>
            </w:r>
            <w:r>
              <w:noBreakHyphen/>
              <w:t>focused learning and development opportunities to students before, during and after school</w:t>
            </w:r>
          </w:p>
          <w:p w:rsidR="00935C67" w:rsidRDefault="00935C67" w:rsidP="00510401">
            <w:pPr>
              <w:pStyle w:val="BoxListBullet"/>
              <w:rPr>
                <w:szCs w:val="24"/>
              </w:rPr>
            </w:pPr>
            <w:r>
              <w:t>Education Engagement Strategies (EES) for primary and secondary school students, which include school visits by high profile athletes at least twice per year. Visiting athletes stay in the community for 1–5 days and participate in mentoring and role</w:t>
            </w:r>
            <w:r>
              <w:noBreakHyphen/>
              <w:t>modelling activities.</w:t>
            </w:r>
          </w:p>
          <w:p w:rsidR="00935C67" w:rsidRDefault="00935C67" w:rsidP="00510401">
            <w:pPr>
              <w:pStyle w:val="Box"/>
            </w:pPr>
            <w:r>
              <w:t xml:space="preserve">In December 2010, ACER was commissioned to evaluate the program. The evaluation method used a mix of surveys, interviews and small group discussions with Academy project providers, principals, staff, parents, students and community members and analysis of administrative data on enrolment, attendance and literacy and numeracy outcomes. Of the 143 schools contacted as part of the evaluation, 87 (61 per cent) participated. </w:t>
            </w:r>
          </w:p>
          <w:p w:rsidR="00935C67" w:rsidRDefault="00935C67" w:rsidP="00510401">
            <w:pPr>
              <w:pStyle w:val="Box"/>
            </w:pPr>
            <w:r>
              <w:t xml:space="preserve">The evaluation found that school </w:t>
            </w:r>
            <w:proofErr w:type="gramStart"/>
            <w:r>
              <w:t>staff in both the Academies and ESS projects consider</w:t>
            </w:r>
            <w:proofErr w:type="gramEnd"/>
            <w:r>
              <w:t xml:space="preserve"> that the Program is having a moderate (positive) impact on school engagement (although the degree and nature of improvement varied between schools). The sustainability of this engagement was more evident in the Academies than in the EES projects. The evaluation did not include comparison results for schools and students not in the Program.</w:t>
            </w:r>
          </w:p>
          <w:p w:rsidR="00935C67" w:rsidRDefault="00935C67" w:rsidP="00510401">
            <w:pPr>
              <w:pStyle w:val="Box"/>
            </w:pPr>
            <w:r>
              <w:t xml:space="preserve">Although it has not been formally evaluated, the Steering Committee has identified the </w:t>
            </w:r>
            <w:r w:rsidRPr="0090481F">
              <w:rPr>
                <w:b/>
              </w:rPr>
              <w:t>Students Hairdressing Integrating Education (SHINE) program</w:t>
            </w:r>
            <w:r>
              <w:t xml:space="preserve"> (Geraldton, WA) as a promising program worth further examination.</w:t>
            </w:r>
          </w:p>
          <w:p w:rsidR="00935C67" w:rsidRDefault="00935C67" w:rsidP="00510401">
            <w:pPr>
              <w:pStyle w:val="Box"/>
            </w:pPr>
            <w:r>
              <w:t>The SHINE program, established in 2010</w:t>
            </w:r>
            <w:proofErr w:type="gramStart"/>
            <w:r>
              <w:t>,  targets</w:t>
            </w:r>
            <w:proofErr w:type="gramEnd"/>
            <w:r>
              <w:t xml:space="preserve"> year 9 Aboriginal female students who have a history of low attendance and are significantly at risk of not completing school. The program provides a workplace simulation in a college classroom refurbished into a hair salon. </w:t>
            </w:r>
            <w:r w:rsidRPr="006B557F">
              <w:t>The program is coordinated by a classroom teacher who is also a qualified hairdresser, b</w:t>
            </w:r>
            <w:r>
              <w:t>eauty therapist and counsellor.</w:t>
            </w:r>
            <w:r w:rsidRPr="006B557F">
              <w:t xml:space="preserve"> Students attend the program in addition to completing normal school requirements.</w:t>
            </w:r>
          </w:p>
          <w:p w:rsidR="00935C67" w:rsidRDefault="00935C67" w:rsidP="00510401">
            <w:pPr>
              <w:pStyle w:val="Box"/>
            </w:pPr>
            <w:r>
              <w:t>As at the end of 2013, over 140 girls had participated in the program. The program has improved attendance and behaviours at school, as well as the uptake of traineeships among program participants (PHAA 2013).</w:t>
            </w:r>
          </w:p>
          <w:p w:rsidR="00935C67" w:rsidRDefault="00935C67" w:rsidP="00510401">
            <w:pPr>
              <w:pStyle w:val="Box"/>
            </w:pPr>
            <w:r>
              <w:t>The program has won the following awards:</w:t>
            </w:r>
          </w:p>
          <w:p w:rsidR="00935C67" w:rsidRDefault="00935C67" w:rsidP="00510401">
            <w:pPr>
              <w:pStyle w:val="BoxListBullet"/>
            </w:pPr>
            <w:r>
              <w:t>2011 Milton Thorne Award for WA Outstanding School Initiative for Aboriginal Education</w:t>
            </w:r>
          </w:p>
          <w:p w:rsidR="00935C67" w:rsidRDefault="00935C67" w:rsidP="00510401">
            <w:pPr>
              <w:pStyle w:val="BoxListBullet"/>
            </w:pPr>
            <w:r>
              <w:t>2012 National Australia Bank Schools First Awards — WA State Impact Award</w:t>
            </w:r>
          </w:p>
          <w:p w:rsidR="00935C67" w:rsidRDefault="00935C67" w:rsidP="00510401">
            <w:pPr>
              <w:pStyle w:val="BoxListBullet"/>
            </w:pPr>
            <w:r>
              <w:t>2013 PHAA WA award — Aboriginal health award.</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Continued"/>
            </w:pPr>
            <w:r>
              <w:t>(continued next page)</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7.3.2</w:t>
            </w:r>
            <w:r>
              <w:tab/>
            </w:r>
            <w:r w:rsidRPr="00570F33">
              <w:rPr>
                <w:sz w:val="18"/>
                <w:szCs w:val="18"/>
              </w:rPr>
              <w:t>(continued)</w:t>
            </w:r>
            <w:r>
              <w:t xml:space="preserve"> </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Source"/>
            </w:pPr>
            <w:r>
              <w:rPr>
                <w:i/>
              </w:rPr>
              <w:t>Sources</w:t>
            </w:r>
            <w:r w:rsidRPr="00167F06">
              <w:t xml:space="preserve">: </w:t>
            </w:r>
            <w:r>
              <w:t>L</w:t>
            </w:r>
            <w:r w:rsidRPr="0017675E">
              <w:t xml:space="preserve">onsdale </w:t>
            </w:r>
            <w:r>
              <w:t>et al</w:t>
            </w:r>
            <w:r w:rsidRPr="0017675E">
              <w:t xml:space="preserve">. 2011, </w:t>
            </w:r>
            <w:r w:rsidRPr="004427C8">
              <w:rPr>
                <w:i/>
              </w:rPr>
              <w:t xml:space="preserve">Evaluation of the Sporting Chance Program for Department of Education, Employment and </w:t>
            </w:r>
            <w:r w:rsidRPr="00620BD9">
              <w:rPr>
                <w:i/>
              </w:rPr>
              <w:t>Workplace Relations</w:t>
            </w:r>
            <w:r w:rsidRPr="00620BD9">
              <w:t xml:space="preserve">, October, Australian Council for Educational Research, Camberwell, Victoria; WA Government (unpublished); PHAA (Population Health Association of Australia) 2013, </w:t>
            </w:r>
            <w:r w:rsidRPr="00620BD9">
              <w:rPr>
                <w:i/>
              </w:rPr>
              <w:t>in</w:t>
            </w:r>
            <w:r>
              <w:rPr>
                <w:i/>
              </w:rPr>
              <w:t xml:space="preserve"> </w:t>
            </w:r>
            <w:r w:rsidRPr="00620BD9">
              <w:rPr>
                <w:i/>
              </w:rPr>
              <w:t>touch in WA</w:t>
            </w:r>
            <w:r w:rsidRPr="00620BD9">
              <w:t>, PHAA WA Branch Newsletter: December 2013</w:t>
            </w:r>
            <w:r>
              <w:t>.</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Heading3"/>
      </w:pPr>
      <w:r>
        <w:t>Future directions in data</w:t>
      </w:r>
    </w:p>
    <w:p w:rsidR="00935C67" w:rsidRDefault="00935C67" w:rsidP="00935C67">
      <w:pPr>
        <w:pStyle w:val="BodyText"/>
      </w:pPr>
      <w:r>
        <w:t xml:space="preserve">Further work is required to determine the definitions, appropriateness and method of collating and reporting data on Aboriginal and Torres Strait Islander students’ engagement with school. The ACER evaluation proposed measures against the four dimensions it identified as important to Aboriginal and Torres Strait Islander students’ school engagement (table 7A.3.1). The suitability of these measures for national reporting should be assessed and, if found suitable, appropriate data sources identified. </w:t>
      </w:r>
    </w:p>
    <w:p w:rsidR="00935C67" w:rsidRDefault="00935C67" w:rsidP="00935C67">
      <w:pPr>
        <w:pStyle w:val="BodyText"/>
      </w:pPr>
      <w:r>
        <w:t xml:space="preserve">Further work is also required to investigate the factors affecting the link between school </w:t>
      </w:r>
      <w:proofErr w:type="gramStart"/>
      <w:r>
        <w:t>engagement</w:t>
      </w:r>
      <w:proofErr w:type="gramEnd"/>
      <w:r>
        <w:t xml:space="preserve"> and learning outcomes.</w:t>
      </w:r>
    </w:p>
    <w:p w:rsidR="00935C67" w:rsidRPr="00135E33" w:rsidRDefault="00935C67" w:rsidP="00935C67">
      <w:pPr>
        <w:pStyle w:val="Heading3"/>
      </w:pPr>
      <w:r>
        <w:t>References</w:t>
      </w:r>
    </w:p>
    <w:p w:rsidR="00935C67" w:rsidRPr="00F10BAE" w:rsidRDefault="00935C67" w:rsidP="00935C67">
      <w:pPr>
        <w:pStyle w:val="Reference"/>
      </w:pPr>
      <w:proofErr w:type="spellStart"/>
      <w:r w:rsidRPr="00F10BAE">
        <w:t>Axelson</w:t>
      </w:r>
      <w:proofErr w:type="spellEnd"/>
      <w:r w:rsidRPr="00F10BAE">
        <w:t xml:space="preserve">, R.D. and Flick, A. 2011, ‘Defining Student Engagement’, </w:t>
      </w:r>
      <w:r w:rsidRPr="00F10BAE">
        <w:rPr>
          <w:i/>
          <w:iCs/>
        </w:rPr>
        <w:t>Change: The Magazine of Higher Learning</w:t>
      </w:r>
      <w:r w:rsidRPr="00F10BAE">
        <w:t>, vol. 43, no. 1, pp. 38–43.</w:t>
      </w:r>
    </w:p>
    <w:p w:rsidR="00935C67" w:rsidRPr="00F10BAE" w:rsidRDefault="00935C67" w:rsidP="00935C67">
      <w:pPr>
        <w:pStyle w:val="Reference"/>
      </w:pPr>
      <w:r w:rsidRPr="00F10BAE">
        <w:t xml:space="preserve">De </w:t>
      </w:r>
      <w:proofErr w:type="spellStart"/>
      <w:r w:rsidRPr="00F10BAE">
        <w:t>Bortoli</w:t>
      </w:r>
      <w:proofErr w:type="spellEnd"/>
      <w:r w:rsidRPr="00F10BAE">
        <w:t xml:space="preserve">, L. and Thomson, S. 2010, </w:t>
      </w:r>
      <w:r w:rsidRPr="00F10BAE">
        <w:rPr>
          <w:i/>
          <w:iCs/>
        </w:rPr>
        <w:t>Contextual Factors that Influence the Achievement of Australia’s Indigenous Students: Results from PISA 2000–2006</w:t>
      </w:r>
      <w:r w:rsidRPr="00F10BAE">
        <w:t>, Australian Council for Educational Research, Melbourne.</w:t>
      </w:r>
    </w:p>
    <w:p w:rsidR="00935C67" w:rsidRPr="00F10BAE" w:rsidRDefault="00935C67" w:rsidP="00935C67">
      <w:pPr>
        <w:pStyle w:val="Reference"/>
      </w:pPr>
      <w:proofErr w:type="spellStart"/>
      <w:r w:rsidRPr="00F10BAE">
        <w:t>Fredricks</w:t>
      </w:r>
      <w:proofErr w:type="spellEnd"/>
      <w:r w:rsidRPr="00F10BAE">
        <w:t xml:space="preserve">, J.A., </w:t>
      </w:r>
      <w:proofErr w:type="spellStart"/>
      <w:r w:rsidRPr="00F10BAE">
        <w:t>Blumenfeld</w:t>
      </w:r>
      <w:proofErr w:type="spellEnd"/>
      <w:r w:rsidRPr="00F10BAE">
        <w:t xml:space="preserve">, P.C. and Paris, A.H. 2004, ‘School Engagement: Potential of the Concept, State of the Evidence’, </w:t>
      </w:r>
      <w:r w:rsidRPr="00F10BAE">
        <w:rPr>
          <w:i/>
          <w:iCs/>
        </w:rPr>
        <w:t>Review of Educational Research</w:t>
      </w:r>
      <w:r w:rsidRPr="00F10BAE">
        <w:t>, vol. 74, no. 1, pp. 59–109.</w:t>
      </w:r>
    </w:p>
    <w:p w:rsidR="00935C67" w:rsidRPr="00F10BAE" w:rsidRDefault="00935C67" w:rsidP="00935C67">
      <w:pPr>
        <w:pStyle w:val="Reference"/>
      </w:pPr>
      <w:proofErr w:type="spellStart"/>
      <w:proofErr w:type="gramStart"/>
      <w:r w:rsidRPr="00F10BAE">
        <w:t>Helme</w:t>
      </w:r>
      <w:proofErr w:type="spellEnd"/>
      <w:r w:rsidRPr="00F10BAE">
        <w:t xml:space="preserve">, S. and Lamb, S. 2011, </w:t>
      </w:r>
      <w:r w:rsidRPr="00F10BAE">
        <w:rPr>
          <w:i/>
          <w:iCs/>
        </w:rPr>
        <w:t>Closing the School Completion Gap for Indigenous Students.</w:t>
      </w:r>
      <w:proofErr w:type="gramEnd"/>
      <w:r w:rsidRPr="00F10BAE">
        <w:rPr>
          <w:i/>
          <w:iCs/>
        </w:rPr>
        <w:t xml:space="preserve"> Resource Sheet No. 6</w:t>
      </w:r>
      <w:r w:rsidRPr="00F10BAE">
        <w:t>, 1 January, Australian Institute of Health and Welfare.</w:t>
      </w:r>
    </w:p>
    <w:p w:rsidR="00935C67" w:rsidRPr="00F10BAE" w:rsidRDefault="00935C67" w:rsidP="00935C67">
      <w:pPr>
        <w:pStyle w:val="Reference"/>
      </w:pPr>
      <w:r w:rsidRPr="00F10BAE">
        <w:t>Fredericks, J.A. and McCloskey, W. (</w:t>
      </w:r>
      <w:proofErr w:type="spellStart"/>
      <w:r w:rsidRPr="00F10BAE">
        <w:t>eds</w:t>
      </w:r>
      <w:proofErr w:type="spellEnd"/>
      <w:r w:rsidRPr="00F10BAE">
        <w:t xml:space="preserve">) 2012, ‘The Measurement of Student Engagement: Comparative Analysis of Various Methods and Student Self-report Instruments’, </w:t>
      </w:r>
      <w:r w:rsidRPr="00F10BAE">
        <w:rPr>
          <w:i/>
          <w:iCs/>
        </w:rPr>
        <w:t>Handbook of Research on Student Engagement</w:t>
      </w:r>
      <w:r w:rsidRPr="00F10BAE">
        <w:t>, Springer US, Boston, MA, pp. 763–782, http://www.springerlink.com/index/10.1007/978-1-4614-2018-7 (accessed 1 June 2014).</w:t>
      </w:r>
    </w:p>
    <w:p w:rsidR="00935C67" w:rsidRPr="00F10BAE" w:rsidRDefault="00935C67" w:rsidP="00935C67">
      <w:pPr>
        <w:pStyle w:val="Reference"/>
      </w:pPr>
      <w:r w:rsidRPr="00F10BAE">
        <w:t xml:space="preserve">Lonsdale, M., Wilkinson, J., Armstrong, S., </w:t>
      </w:r>
      <w:proofErr w:type="spellStart"/>
      <w:r w:rsidRPr="00F10BAE">
        <w:t>McClay</w:t>
      </w:r>
      <w:proofErr w:type="spellEnd"/>
      <w:r w:rsidRPr="00F10BAE">
        <w:t xml:space="preserve">, D., </w:t>
      </w:r>
      <w:proofErr w:type="spellStart"/>
      <w:r w:rsidRPr="00F10BAE">
        <w:t>Clerke</w:t>
      </w:r>
      <w:proofErr w:type="spellEnd"/>
      <w:r w:rsidRPr="00F10BAE">
        <w:t xml:space="preserve">, S., Cook, J., </w:t>
      </w:r>
      <w:proofErr w:type="spellStart"/>
      <w:r w:rsidRPr="00F10BAE">
        <w:t>Wano</w:t>
      </w:r>
      <w:proofErr w:type="spellEnd"/>
      <w:r w:rsidRPr="00F10BAE">
        <w:t xml:space="preserve">, K., Simons, R., </w:t>
      </w:r>
      <w:proofErr w:type="spellStart"/>
      <w:r w:rsidRPr="00F10BAE">
        <w:t>Milgate</w:t>
      </w:r>
      <w:proofErr w:type="spellEnd"/>
      <w:r w:rsidRPr="00F10BAE">
        <w:t xml:space="preserve">, G. and </w:t>
      </w:r>
      <w:proofErr w:type="spellStart"/>
      <w:r w:rsidRPr="00F10BAE">
        <w:t>Bramich</w:t>
      </w:r>
      <w:proofErr w:type="spellEnd"/>
      <w:r w:rsidRPr="00F10BAE">
        <w:t xml:space="preserve">, M. 2011, </w:t>
      </w:r>
      <w:r w:rsidRPr="00F10BAE">
        <w:rPr>
          <w:i/>
          <w:iCs/>
        </w:rPr>
        <w:t>Evaluation of the Sporting Chance Program for Department of Education, Employment and Workplace Relations</w:t>
      </w:r>
      <w:r w:rsidRPr="00F10BAE">
        <w:t>, October, Australian Council for Educational Research, Camberwell, Victoria.</w:t>
      </w:r>
    </w:p>
    <w:p w:rsidR="00935C67" w:rsidRPr="00F10BAE" w:rsidRDefault="00935C67" w:rsidP="00935C67">
      <w:pPr>
        <w:pStyle w:val="Reference"/>
      </w:pPr>
      <w:r w:rsidRPr="00F10BAE">
        <w:lastRenderedPageBreak/>
        <w:t xml:space="preserve">MCEECDYA 2010, </w:t>
      </w:r>
      <w:r w:rsidRPr="00F10BAE">
        <w:rPr>
          <w:i/>
          <w:iCs/>
        </w:rPr>
        <w:t>Aboriginal and Torres Strait Islander Education Action Plan 2010-2014</w:t>
      </w:r>
      <w:r w:rsidRPr="00F10BAE">
        <w:t>, Ministerial Council for Education, Early Childhood Development and Youth Affairs, and Education Services Australia, Victoria, http://www.mceecdya.edu.au/verve</w:t>
      </w:r>
      <w:r>
        <w:br/>
      </w:r>
      <w:r w:rsidRPr="00F10BAE">
        <w:t>/_resources/a10-0945_ieap_web_version_final2.pdf (accessed 23 January 2014).</w:t>
      </w:r>
    </w:p>
    <w:p w:rsidR="00935C67" w:rsidRPr="00F10BAE" w:rsidRDefault="00935C67" w:rsidP="00935C67">
      <w:pPr>
        <w:pStyle w:val="Reference"/>
      </w:pPr>
      <w:proofErr w:type="spellStart"/>
      <w:r w:rsidRPr="00F10BAE">
        <w:t>Munns</w:t>
      </w:r>
      <w:proofErr w:type="spellEnd"/>
      <w:r w:rsidRPr="00F10BAE">
        <w:t xml:space="preserve">, G., O’Rourke, V. and Bodkin-Andrews, G. 2013, ‘Seeding Success: Schools That Work for Aboriginal Students’, </w:t>
      </w:r>
      <w:r w:rsidRPr="00F10BAE">
        <w:rPr>
          <w:i/>
          <w:iCs/>
        </w:rPr>
        <w:t>The Australian Journal of Indigenous Education</w:t>
      </w:r>
      <w:r w:rsidRPr="00F10BAE">
        <w:t>, vol. 42, no. 1, pp. 1–11.</w:t>
      </w:r>
    </w:p>
    <w:p w:rsidR="00935C67" w:rsidRPr="00F10BAE" w:rsidRDefault="00935C67" w:rsidP="00935C67">
      <w:pPr>
        <w:pStyle w:val="Reference"/>
      </w:pPr>
      <w:r w:rsidRPr="00F10BAE">
        <w:t xml:space="preserve">OECD 2003, </w:t>
      </w:r>
      <w:r w:rsidRPr="00F10BAE">
        <w:rPr>
          <w:i/>
          <w:iCs/>
        </w:rPr>
        <w:t>Student Engagement at School A Sense of Belonging and Participation: Results from PISA 2000</w:t>
      </w:r>
      <w:r w:rsidRPr="00F10BAE">
        <w:t>, OECD Publishing.</w:t>
      </w:r>
    </w:p>
    <w:p w:rsidR="00935C67" w:rsidRPr="00F10BAE" w:rsidRDefault="00935C67" w:rsidP="00935C67">
      <w:pPr>
        <w:pStyle w:val="Reference"/>
      </w:pPr>
      <w:proofErr w:type="spellStart"/>
      <w:proofErr w:type="gramStart"/>
      <w:r w:rsidRPr="00F10BAE">
        <w:t>Phan</w:t>
      </w:r>
      <w:proofErr w:type="spellEnd"/>
      <w:r w:rsidRPr="00F10BAE">
        <w:t xml:space="preserve">, H. 2014, ‘An Integrated Framework Involving Enactive Learning Experiences, Mastery Goals, and Academic Engagement-Disengagement’, </w:t>
      </w:r>
      <w:r w:rsidRPr="00F10BAE">
        <w:rPr>
          <w:i/>
          <w:iCs/>
        </w:rPr>
        <w:t>Europe’s Journal of Psychology</w:t>
      </w:r>
      <w:r w:rsidRPr="00F10BAE">
        <w:t>, vol. 10, no. 1, pp. 41–66.</w:t>
      </w:r>
      <w:proofErr w:type="gramEnd"/>
    </w:p>
    <w:p w:rsidR="00935C67" w:rsidRPr="00F10BAE" w:rsidRDefault="00935C67" w:rsidP="00935C67">
      <w:pPr>
        <w:pStyle w:val="Reference"/>
      </w:pPr>
      <w:r w:rsidRPr="00F10BAE">
        <w:t xml:space="preserve">Purdie, N. and Buckley, S. 2010, </w:t>
      </w:r>
      <w:r w:rsidRPr="00F10BAE">
        <w:rPr>
          <w:i/>
          <w:iCs/>
        </w:rPr>
        <w:t>School attendance and retention of Indigenous Australian students</w:t>
      </w:r>
      <w:r w:rsidRPr="00F10BAE">
        <w:t>, Issues Paper No. 1 produced for the Closing the Gap Clearinghouse, Canberra: Australian Institute of Health and Welfare &amp; Melbourne: Australian Institute of Family Studies.</w:t>
      </w:r>
    </w:p>
    <w:p w:rsidR="00935C67" w:rsidRPr="00F10BAE" w:rsidRDefault="00935C67" w:rsidP="00935C67">
      <w:pPr>
        <w:pStyle w:val="Reference"/>
      </w:pPr>
      <w:r w:rsidRPr="00F10BAE">
        <w:t xml:space="preserve">Social Inclusion Board 2007, </w:t>
      </w:r>
      <w:proofErr w:type="gramStart"/>
      <w:r w:rsidRPr="00F10BAE">
        <w:rPr>
          <w:i/>
          <w:iCs/>
        </w:rPr>
        <w:t>Supporting</w:t>
      </w:r>
      <w:proofErr w:type="gramEnd"/>
      <w:r w:rsidRPr="00F10BAE">
        <w:rPr>
          <w:i/>
          <w:iCs/>
        </w:rPr>
        <w:t xml:space="preserve"> young people’s success: forging the links : learning from the School Retention Action Plan.</w:t>
      </w:r>
      <w:r w:rsidRPr="00F10BAE">
        <w:t>, Social Inclusion Board, Department of the Premier and Cabinet, Adelaide, http://www.socialinclusion.sa.gov.au</w:t>
      </w:r>
      <w:r>
        <w:br/>
      </w:r>
      <w:r w:rsidRPr="00F10BAE">
        <w:t>/files/Supporting%20young%20peoples%20success_WEB.pdf (accessed 2 June 2014).</w:t>
      </w:r>
    </w:p>
    <w:p w:rsidR="00935C67" w:rsidRPr="00620BD9" w:rsidRDefault="00935C67" w:rsidP="00935C67">
      <w:pPr>
        <w:pStyle w:val="Reference"/>
      </w:pPr>
    </w:p>
    <w:p w:rsidR="00935C67" w:rsidRDefault="00935C67">
      <w:pPr>
        <w:rPr>
          <w:szCs w:val="20"/>
        </w:rPr>
      </w:pPr>
      <w:r>
        <w:br w:type="page"/>
      </w:r>
    </w:p>
    <w:p w:rsidR="00935C67" w:rsidRPr="00FF7656" w:rsidRDefault="00935C67" w:rsidP="00935C67">
      <w:pPr>
        <w:pStyle w:val="Heading2"/>
        <w:spacing w:before="360"/>
        <w:rPr>
          <w:rStyle w:val="NoteLabel"/>
        </w:rPr>
      </w:pPr>
      <w:r>
        <w:lastRenderedPageBreak/>
        <w:t>7.4</w:t>
      </w:r>
      <w:r>
        <w:tab/>
        <w:t>Transition from school to work</w:t>
      </w:r>
      <w:r w:rsidRPr="00FF7656">
        <w:rPr>
          <w:rStyle w:val="NoteLabel"/>
        </w:rPr>
        <w:footnoteReference w:id="6"/>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7.4.</w:t>
            </w:r>
            <w:r>
              <w:rPr>
                <w:b w:val="0"/>
                <w:noProof/>
              </w:rPr>
              <w:t>1</w:t>
            </w:r>
            <w:r>
              <w:tab/>
              <w:t>Key messages</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ListBullet"/>
            </w:pPr>
            <w:r>
              <w:t>Young people who do not successfully make the transition from education to work are at risk of long-term disadvantage.</w:t>
            </w:r>
          </w:p>
          <w:p w:rsidR="00935C67" w:rsidRDefault="00935C67" w:rsidP="00510401">
            <w:pPr>
              <w:pStyle w:val="BoxListBullet"/>
            </w:pPr>
            <w:r w:rsidRPr="00492ABA">
              <w:t>Between 2002 and 2011–13, there was an increase in the proportion of Aboriginal a</w:t>
            </w:r>
            <w:r>
              <w:t>nd Torres Strait Islander 17–</w:t>
            </w:r>
            <w:r w:rsidRPr="00492ABA">
              <w:t>24 year</w:t>
            </w:r>
            <w:r>
              <w:t xml:space="preserve"> old</w:t>
            </w:r>
            <w:r w:rsidRPr="00492ABA">
              <w:t xml:space="preserve">s who were participating in </w:t>
            </w:r>
            <w:r>
              <w:t xml:space="preserve">post-school </w:t>
            </w:r>
            <w:r w:rsidRPr="00492ABA">
              <w:t>education or training or were employed (from 32.4 per cent in 2002 to 40.3 per cent in 2011–13). The non</w:t>
            </w:r>
            <w:r>
              <w:noBreakHyphen/>
            </w:r>
            <w:r w:rsidRPr="00492ABA">
              <w:t xml:space="preserve">Indigenous rate </w:t>
            </w:r>
            <w:r w:rsidRPr="008F746D">
              <w:t>remained</w:t>
            </w:r>
            <w:r>
              <w:t xml:space="preserve"> around 75 per cent</w:t>
            </w:r>
            <w:r w:rsidRPr="00492ABA">
              <w:t>, leading to a narrowing of the gap (from 42.8 percentage points in 2002 to 35.2 percentage points in 2011–13) (figure</w:t>
            </w:r>
            <w:r>
              <w:t> </w:t>
            </w:r>
            <w:r w:rsidRPr="00492ABA">
              <w:t>7.4.2).</w:t>
            </w:r>
          </w:p>
          <w:p w:rsidR="00935C67" w:rsidRDefault="00935C67" w:rsidP="00510401">
            <w:pPr>
              <w:pStyle w:val="BoxListBullet"/>
            </w:pPr>
            <w:r>
              <w:t>I</w:t>
            </w:r>
            <w:r w:rsidRPr="001331E6">
              <w:t>n 2011, the proportion of Aboriginal and Torres Strait Islander Australians fully engaged in work, study or training decreased as the lo</w:t>
            </w:r>
            <w:r>
              <w:t>cation became more remote (</w:t>
            </w:r>
            <w:r w:rsidRPr="001331E6">
              <w:t>50.5 per cent in major cities, 17.9</w:t>
            </w:r>
            <w:r>
              <w:t xml:space="preserve"> per cent in very remote areas) (figure 7.4.3).</w:t>
            </w:r>
          </w:p>
          <w:p w:rsidR="00935C67" w:rsidRDefault="00935C67" w:rsidP="00510401">
            <w:pPr>
              <w:pStyle w:val="BoxListBullet"/>
            </w:pPr>
            <w:r w:rsidRPr="00115E33">
              <w:t>Among people aged 18–64 years</w:t>
            </w:r>
            <w:r>
              <w:t>,</w:t>
            </w:r>
            <w:r w:rsidRPr="00115E33">
              <w:t xml:space="preserve"> </w:t>
            </w:r>
            <w:r>
              <w:t>l</w:t>
            </w:r>
            <w:r w:rsidRPr="00484695">
              <w:t xml:space="preserve">abour force </w:t>
            </w:r>
            <w:r>
              <w:t xml:space="preserve">participation </w:t>
            </w:r>
            <w:r w:rsidRPr="00484695">
              <w:t xml:space="preserve">and </w:t>
            </w:r>
            <w:r>
              <w:t>employment</w:t>
            </w:r>
            <w:r>
              <w:noBreakHyphen/>
              <w:t>to</w:t>
            </w:r>
            <w:r>
              <w:noBreakHyphen/>
              <w:t xml:space="preserve">population ratios for </w:t>
            </w:r>
            <w:r w:rsidRPr="00484695">
              <w:t xml:space="preserve">Aboriginal and Torres Strait Islander </w:t>
            </w:r>
            <w:r>
              <w:t>Australians</w:t>
            </w:r>
            <w:r w:rsidRPr="00484695">
              <w:t xml:space="preserve"> </w:t>
            </w:r>
            <w:r>
              <w:t xml:space="preserve">were lower than those for </w:t>
            </w:r>
            <w:r w:rsidRPr="00484695">
              <w:t>non</w:t>
            </w:r>
            <w:r>
              <w:noBreakHyphen/>
            </w:r>
            <w:r w:rsidRPr="00484695">
              <w:t xml:space="preserve">Indigenous </w:t>
            </w:r>
            <w:r>
              <w:t>Australians for all l</w:t>
            </w:r>
            <w:r w:rsidRPr="00484695">
              <w:t>evel</w:t>
            </w:r>
            <w:r>
              <w:t>s</w:t>
            </w:r>
            <w:r w:rsidRPr="00484695">
              <w:t xml:space="preserve"> of non</w:t>
            </w:r>
            <w:r>
              <w:noBreakHyphen/>
            </w:r>
            <w:r w:rsidRPr="00484695">
              <w:t xml:space="preserve">school qualification except </w:t>
            </w:r>
            <w:r>
              <w:t>‘Bachelor D</w:t>
            </w:r>
            <w:r w:rsidRPr="00484695">
              <w:t>egree or highe</w:t>
            </w:r>
            <w:r>
              <w:t>r’</w:t>
            </w:r>
            <w:r w:rsidRPr="00484695">
              <w:t>, where the</w:t>
            </w:r>
            <w:r>
              <w:t xml:space="preserve"> rates where similar </w:t>
            </w:r>
            <w:r w:rsidRPr="00484695">
              <w:t>(table</w:t>
            </w:r>
            <w:r>
              <w:t> </w:t>
            </w:r>
            <w:r w:rsidRPr="00484695">
              <w:t>7.4.1).</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F2F2F2"/>
          </w:tcPr>
          <w:p w:rsidR="00935C67" w:rsidRDefault="00935C67" w:rsidP="00510401">
            <w:pPr>
              <w:pStyle w:val="BoxTitle"/>
            </w:pPr>
            <w:r>
              <w:rPr>
                <w:b w:val="0"/>
              </w:rPr>
              <w:t>Box 7.4.</w:t>
            </w:r>
            <w:r>
              <w:rPr>
                <w:b w:val="0"/>
                <w:noProof/>
              </w:rPr>
              <w:t>2</w:t>
            </w:r>
            <w:r>
              <w:tab/>
              <w:t>Measures of transition from school to work</w:t>
            </w:r>
          </w:p>
        </w:tc>
      </w:tr>
      <w:tr w:rsidR="00935C67" w:rsidTr="00510401">
        <w:trPr>
          <w:cantSplit/>
        </w:trPr>
        <w:tc>
          <w:tcPr>
            <w:tcW w:w="8771" w:type="dxa"/>
            <w:tcBorders>
              <w:top w:val="nil"/>
              <w:left w:val="nil"/>
              <w:bottom w:val="nil"/>
              <w:right w:val="nil"/>
            </w:tcBorders>
            <w:shd w:val="clear" w:color="auto" w:fill="F2F2F2"/>
          </w:tcPr>
          <w:p w:rsidR="00935C67" w:rsidRDefault="00935C67" w:rsidP="00510401">
            <w:pPr>
              <w:pStyle w:val="Box"/>
            </w:pPr>
            <w:r>
              <w:t>There are two main measures for this indicator:</w:t>
            </w:r>
          </w:p>
          <w:p w:rsidR="00935C67" w:rsidRDefault="00935C67" w:rsidP="00510401">
            <w:pPr>
              <w:pStyle w:val="BoxListBullet"/>
            </w:pPr>
            <w:r w:rsidRPr="00090E10">
              <w:rPr>
                <w:i/>
              </w:rPr>
              <w:t xml:space="preserve">Successful transition from school </w:t>
            </w:r>
            <w:r>
              <w:t xml:space="preserve">is defined as the proportion of young people aged </w:t>
            </w:r>
            <w:r>
              <w:br/>
              <w:t>17–24 years who are participating in post-school education or training or are employed.</w:t>
            </w:r>
          </w:p>
          <w:p w:rsidR="00935C67" w:rsidRDefault="00935C67" w:rsidP="00510401">
            <w:pPr>
              <w:pStyle w:val="BoxListBullet"/>
            </w:pPr>
            <w:r w:rsidRPr="00090E10">
              <w:rPr>
                <w:i/>
              </w:rPr>
              <w:t>Labour for</w:t>
            </w:r>
            <w:r>
              <w:rPr>
                <w:i/>
              </w:rPr>
              <w:t>ce status and employment</w:t>
            </w:r>
            <w:r>
              <w:rPr>
                <w:i/>
              </w:rPr>
              <w:noBreakHyphen/>
              <w:t>to</w:t>
            </w:r>
            <w:r>
              <w:rPr>
                <w:i/>
              </w:rPr>
              <w:noBreakHyphen/>
              <w:t xml:space="preserve">population ratio of people aged </w:t>
            </w:r>
            <w:r>
              <w:rPr>
                <w:i/>
              </w:rPr>
              <w:br/>
              <w:t>18 to 6</w:t>
            </w:r>
            <w:r w:rsidRPr="00090E10">
              <w:rPr>
                <w:i/>
              </w:rPr>
              <w:t xml:space="preserve">4 years who have achieved a qualification of </w:t>
            </w:r>
            <w:r>
              <w:rPr>
                <w:i/>
              </w:rPr>
              <w:t>Certificate</w:t>
            </w:r>
            <w:r w:rsidRPr="00090E10">
              <w:rPr>
                <w:i/>
              </w:rPr>
              <w:t xml:space="preserve"> level III or above</w:t>
            </w:r>
            <w:r>
              <w:t xml:space="preserve"> is defined as the proportion of people aged 18–64 years with a qualification of Certificate level III or above who are </w:t>
            </w:r>
            <w:r w:rsidRPr="008F746D">
              <w:t>(a) in the labour force and (b) employed</w:t>
            </w:r>
            <w:r>
              <w:t>.</w:t>
            </w:r>
          </w:p>
          <w:p w:rsidR="00935C67" w:rsidRDefault="00935C67" w:rsidP="00510401">
            <w:pPr>
              <w:pStyle w:val="Box"/>
            </w:pPr>
            <w:r>
              <w:t>D</w:t>
            </w:r>
            <w:r w:rsidRPr="00090E10">
              <w:t>ata for both measures are</w:t>
            </w:r>
            <w:r>
              <w:t xml:space="preserve"> sourced from the</w:t>
            </w:r>
            <w:r w:rsidRPr="00090E10">
              <w:t xml:space="preserve"> ABS Australian Aboriginal and Torres Strait Islander Health</w:t>
            </w:r>
            <w:r>
              <w:t xml:space="preserve"> Survey </w:t>
            </w:r>
            <w:r w:rsidRPr="00090E10">
              <w:t>(AATSIHS)</w:t>
            </w:r>
            <w:r>
              <w:t>/National Aboriginal and Torres Strait Islander Social Survey (NATSISS), with the most recent available data for 2012</w:t>
            </w:r>
            <w:r>
              <w:noBreakHyphen/>
              <w:t>13 (engagement by remoteness: employment status by sex; remoteness; jurisdiction)</w:t>
            </w:r>
            <w:r w:rsidRPr="00090E10">
              <w:t>. Comparable data for the non</w:t>
            </w:r>
            <w:r>
              <w:noBreakHyphen/>
            </w:r>
            <w:r w:rsidRPr="00090E10">
              <w:t>Indigenous population are available from the ABS National Health Survey</w:t>
            </w:r>
            <w:r>
              <w:t>, with the most recent available data for</w:t>
            </w:r>
            <w:r w:rsidRPr="00090E10">
              <w:t xml:space="preserve"> 2011</w:t>
            </w:r>
            <w:r>
              <w:noBreakHyphen/>
            </w:r>
            <w:r w:rsidRPr="00090E10">
              <w:t>1</w:t>
            </w:r>
            <w:r>
              <w:t>2</w:t>
            </w:r>
            <w:r w:rsidRPr="00090E10">
              <w:t>.</w:t>
            </w:r>
            <w:r w:rsidRPr="00C92586">
              <w:t xml:space="preserve"> </w:t>
            </w:r>
            <w:r w:rsidRPr="00783B4B">
              <w:t>Indicators using both AATSIHS (2012</w:t>
            </w:r>
            <w:r>
              <w:noBreakHyphen/>
            </w:r>
            <w:r w:rsidRPr="00783B4B">
              <w:t>13) and AHS (2011</w:t>
            </w:r>
            <w:r>
              <w:noBreakHyphen/>
            </w:r>
            <w:r w:rsidRPr="00783B4B">
              <w:t xml:space="preserve">12) </w:t>
            </w:r>
            <w:r>
              <w:t xml:space="preserve">data </w:t>
            </w:r>
            <w:r w:rsidRPr="00783B4B">
              <w:t>are referenced as 2011–13</w:t>
            </w:r>
            <w:r>
              <w:t>.</w:t>
            </w:r>
          </w:p>
          <w:p w:rsidR="00935C67" w:rsidRDefault="00935C67" w:rsidP="00510401">
            <w:pPr>
              <w:pStyle w:val="Box"/>
            </w:pPr>
            <w:r>
              <w:t>Supplementary data are also reported from the ABS Census of Population and Housing (Census), with the most recent available data for 2011 (remoteness; all jurisdictions).</w:t>
            </w:r>
            <w:r w:rsidRPr="00930103">
              <w:t xml:space="preserve"> Survey and Census data are not directly comparable</w:t>
            </w:r>
            <w:r>
              <w:t>.</w:t>
            </w:r>
          </w:p>
        </w:tc>
      </w:tr>
      <w:tr w:rsidR="00935C67" w:rsidTr="00510401">
        <w:trPr>
          <w:cantSplit/>
        </w:trPr>
        <w:tc>
          <w:tcPr>
            <w:tcW w:w="8771" w:type="dxa"/>
            <w:tcBorders>
              <w:top w:val="nil"/>
              <w:left w:val="nil"/>
              <w:bottom w:val="single" w:sz="6" w:space="0" w:color="78A22F"/>
              <w:right w:val="nil"/>
            </w:tcBorders>
            <w:shd w:val="clear" w:color="auto" w:fill="F2F2F2"/>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rsidRPr="001539B9">
        <w:t>Young people who do not successfully make the transition from educat</w:t>
      </w:r>
      <w:r>
        <w:t>ion to work are at risk of long-</w:t>
      </w:r>
      <w:r w:rsidRPr="001539B9">
        <w:t>term disadvantage.</w:t>
      </w:r>
      <w:r>
        <w:t xml:space="preserve"> Levels of education are key contributors to labour market </w:t>
      </w:r>
      <w:r>
        <w:lastRenderedPageBreak/>
        <w:t>success. School leavers without a formal school qualification may have few opportunities for work, and as time passes, their chances of gaining employment or re</w:t>
      </w:r>
      <w:r>
        <w:noBreakHyphen/>
        <w:t xml:space="preserve">entering full time education are likely to decline further </w:t>
      </w:r>
      <w:r w:rsidRPr="006237D7">
        <w:rPr>
          <w:szCs w:val="24"/>
        </w:rPr>
        <w:t>(AIHW 2013; Marks 2008; McMillan and Marks 2003)</w:t>
      </w:r>
      <w:r>
        <w:t xml:space="preserve">. </w:t>
      </w:r>
    </w:p>
    <w:p w:rsidR="00935C67" w:rsidRPr="00545179" w:rsidRDefault="00935C67" w:rsidP="00935C67">
      <w:pPr>
        <w:pStyle w:val="BodyText"/>
      </w:pPr>
      <w:r>
        <w:t>T</w:t>
      </w:r>
      <w:r w:rsidRPr="00545179">
        <w:t xml:space="preserve">he transition from study to work </w:t>
      </w:r>
      <w:r>
        <w:t>i</w:t>
      </w:r>
      <w:r w:rsidRPr="00545179">
        <w:t xml:space="preserve">s generally smoother for </w:t>
      </w:r>
      <w:r>
        <w:t>u</w:t>
      </w:r>
      <w:r w:rsidRPr="00545179">
        <w:t>niversity and TAFE graduates</w:t>
      </w:r>
      <w:r>
        <w:t>, who also tend to</w:t>
      </w:r>
      <w:r w:rsidRPr="00545179">
        <w:t xml:space="preserve"> earn significantly more than those who enter the workforce directly from school</w:t>
      </w:r>
      <w:r>
        <w:t xml:space="preserve"> </w:t>
      </w:r>
      <w:r w:rsidRPr="00A77FCE">
        <w:rPr>
          <w:szCs w:val="24"/>
        </w:rPr>
        <w:t>(Lamb and McKenzie 2001; Lamb 2001)</w:t>
      </w:r>
      <w:r w:rsidRPr="00545179">
        <w:t xml:space="preserve">. </w:t>
      </w:r>
      <w:r w:rsidRPr="00ED1FAA">
        <w:t xml:space="preserve">Data on employment and training outcomes for VET graduates are obtained from the National Centre for Vocational Education Research’s Student Outcomes Survey, and are reported in the Report on Government Services on an annual basis </w:t>
      </w:r>
      <w:r w:rsidRPr="00A77FCE">
        <w:rPr>
          <w:szCs w:val="24"/>
        </w:rPr>
        <w:t>(SCRGSP 2014)</w:t>
      </w:r>
      <w:r w:rsidRPr="00ED1FAA">
        <w:t>.</w:t>
      </w:r>
      <w:r>
        <w:t xml:space="preserve"> </w:t>
      </w:r>
      <w:r w:rsidRPr="00545179">
        <w:t xml:space="preserve">For university </w:t>
      </w:r>
      <w:r>
        <w:t xml:space="preserve">bachelor degree </w:t>
      </w:r>
      <w:r w:rsidRPr="00545179">
        <w:t>graduates, including Aboriginal and Torres Strait Islander graduates,</w:t>
      </w:r>
      <w:r>
        <w:t xml:space="preserve"> </w:t>
      </w:r>
      <w:r w:rsidRPr="00545179">
        <w:t xml:space="preserve">work participation and salary outcomes </w:t>
      </w:r>
      <w:r>
        <w:t xml:space="preserve">have been shown to </w:t>
      </w:r>
      <w:r w:rsidRPr="00545179">
        <w:t>continue to improve for at least five years</w:t>
      </w:r>
      <w:r>
        <w:t xml:space="preserve"> after graduation </w:t>
      </w:r>
      <w:r w:rsidRPr="00A77FCE">
        <w:rPr>
          <w:szCs w:val="24"/>
        </w:rPr>
        <w:t>(Coates and Edwards 2009)</w:t>
      </w:r>
      <w:r w:rsidRPr="00545179">
        <w:t xml:space="preserve">. </w:t>
      </w:r>
    </w:p>
    <w:p w:rsidR="00935C67" w:rsidRPr="00DE4C8D" w:rsidRDefault="00935C67" w:rsidP="00935C67">
      <w:pPr>
        <w:pStyle w:val="BodyText"/>
      </w:pPr>
      <w:r w:rsidRPr="00DE4C8D">
        <w:t>Section</w:t>
      </w:r>
      <w:r>
        <w:t> </w:t>
      </w:r>
      <w:r w:rsidRPr="00DE4C8D">
        <w:t xml:space="preserve">4.5 contains more information on secondary school attainment for </w:t>
      </w:r>
      <w:r>
        <w:t>Aboriginal and Torres Strait Islander</w:t>
      </w:r>
      <w:r w:rsidRPr="00DE4C8D">
        <w:t xml:space="preserve"> students. Unemployment and labour force participation for </w:t>
      </w:r>
      <w:r>
        <w:t>Aboriginal and Torres Strait Islander Australians</w:t>
      </w:r>
      <w:r w:rsidRPr="00DE4C8D">
        <w:t xml:space="preserve"> aged 15</w:t>
      </w:r>
      <w:r>
        <w:t>–</w:t>
      </w:r>
      <w:r w:rsidRPr="00DE4C8D">
        <w:t>64 years are discussed in section</w:t>
      </w:r>
      <w:r>
        <w:t> </w:t>
      </w:r>
      <w:r w:rsidRPr="00DE4C8D">
        <w:t xml:space="preserve">4.6. More information on employment undertaken by </w:t>
      </w:r>
      <w:r>
        <w:t>Aboriginal and Torres Strait Islander Australians</w:t>
      </w:r>
      <w:r w:rsidRPr="00DE4C8D">
        <w:t xml:space="preserve"> — including employment by full time and part time status, sector, industry and skill level — is in section</w:t>
      </w:r>
      <w:r>
        <w:t> </w:t>
      </w:r>
      <w:r w:rsidRPr="00DE4C8D">
        <w:t xml:space="preserve">9.1. </w:t>
      </w:r>
    </w:p>
    <w:p w:rsidR="00935C67" w:rsidRDefault="00935C67" w:rsidP="00935C67">
      <w:pPr>
        <w:pStyle w:val="BodyText"/>
      </w:pPr>
      <w:r>
        <w:t>Additional f</w:t>
      </w:r>
      <w:r w:rsidRPr="00B20377">
        <w:t>actors that may affect Aboriginal and Torres Strait Islander school</w:t>
      </w:r>
      <w:r>
        <w:noBreakHyphen/>
      </w:r>
      <w:r w:rsidRPr="00B20377">
        <w:t>leavers in the transition to employment include ‘entrenched disadvantage’</w:t>
      </w:r>
      <w:r>
        <w:t>,</w:t>
      </w:r>
      <w:r w:rsidRPr="00B20377">
        <w:t xml:space="preserve"> social exclusion factors such as labour market discrimination</w:t>
      </w:r>
      <w:r>
        <w:t>,</w:t>
      </w:r>
      <w:r w:rsidRPr="00B20377">
        <w:t xml:space="preserve"> and the relatively higher cost of education to those of lower socioeconomic status</w:t>
      </w:r>
      <w:r>
        <w:t xml:space="preserve"> </w:t>
      </w:r>
      <w:r w:rsidRPr="00B64C86">
        <w:rPr>
          <w:szCs w:val="24"/>
        </w:rPr>
        <w:t>(Hunter 2010)</w:t>
      </w:r>
      <w:r w:rsidRPr="00B20377">
        <w:t>.</w:t>
      </w:r>
      <w:r>
        <w:t xml:space="preserve"> Section 5.1 includes information on levels of trust, perceptions of prejudice and experience of discrimination.</w:t>
      </w:r>
    </w:p>
    <w:p w:rsidR="00935C67" w:rsidRPr="002777C0" w:rsidRDefault="00935C67" w:rsidP="00935C67">
      <w:pPr>
        <w:pStyle w:val="BodyText"/>
      </w:pPr>
      <w:r w:rsidRPr="002777C0">
        <w:t>Some people are not working or studying because of carer responsibilities. In 2012, the birth rate of Aboriginal and Torres Strait Islander females aged 19 years was around five times as high as that for non</w:t>
      </w:r>
      <w:r>
        <w:noBreakHyphen/>
      </w:r>
      <w:r w:rsidRPr="002777C0">
        <w:t xml:space="preserve">Indigenous females (68 </w:t>
      </w:r>
      <w:r>
        <w:t>babies per 1000 females, and 13 </w:t>
      </w:r>
      <w:r w:rsidRPr="002777C0">
        <w:t>babies per 1000 females, respectively) (table</w:t>
      </w:r>
      <w:r>
        <w:t> </w:t>
      </w:r>
      <w:r w:rsidRPr="002777C0">
        <w:t>6A.3.1). Teenage birth rates are examined in more detail in section</w:t>
      </w:r>
      <w:r>
        <w:t> </w:t>
      </w:r>
      <w:r w:rsidRPr="002777C0">
        <w:t>6.3.</w:t>
      </w:r>
    </w:p>
    <w:p w:rsidR="00935C67" w:rsidRPr="00735798" w:rsidRDefault="00935C67" w:rsidP="00935C67">
      <w:pPr>
        <w:pStyle w:val="Heading3"/>
      </w:pPr>
      <w:r w:rsidRPr="00735798">
        <w:t xml:space="preserve">Young people </w:t>
      </w:r>
      <w:r>
        <w:t>who have</w:t>
      </w:r>
      <w:r w:rsidRPr="00A2629D">
        <w:rPr>
          <w:i/>
        </w:rPr>
        <w:t xml:space="preserve"> </w:t>
      </w:r>
      <w:r w:rsidRPr="00A2629D">
        <w:t>successfully transitioned from school</w:t>
      </w:r>
      <w:r w:rsidRPr="00090E10">
        <w:rPr>
          <w:i/>
        </w:rPr>
        <w:t xml:space="preserve"> </w:t>
      </w:r>
    </w:p>
    <w:p w:rsidR="00935C67" w:rsidRPr="00316077" w:rsidRDefault="00935C67" w:rsidP="00935C67">
      <w:pPr>
        <w:pStyle w:val="BodyText"/>
      </w:pPr>
      <w:r w:rsidRPr="00316077">
        <w:t xml:space="preserve">Young people who are participating in study benefit from </w:t>
      </w:r>
      <w:r>
        <w:t xml:space="preserve">the additional returns to further education. Those participating in </w:t>
      </w:r>
      <w:r w:rsidRPr="00316077">
        <w:t xml:space="preserve">employment </w:t>
      </w:r>
      <w:r>
        <w:t xml:space="preserve">benefit from </w:t>
      </w:r>
      <w:r w:rsidRPr="00316077">
        <w:t xml:space="preserve">employment experience, the development of work skills and familiarity with new technologies. </w:t>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auto"/>
          </w:tcPr>
          <w:p w:rsidR="00935C67" w:rsidRPr="00176D3F" w:rsidRDefault="00935C67" w:rsidP="00510401">
            <w:pPr>
              <w:pStyle w:val="FigureTitle"/>
            </w:pPr>
            <w:r w:rsidRPr="00784A05">
              <w:rPr>
                <w:b w:val="0"/>
              </w:rPr>
              <w:t xml:space="preserve">Figure </w:t>
            </w:r>
            <w:r>
              <w:rPr>
                <w:b w:val="0"/>
              </w:rPr>
              <w:t>7.4.</w:t>
            </w:r>
            <w:r>
              <w:rPr>
                <w:b w:val="0"/>
                <w:noProof/>
              </w:rPr>
              <w:t>1</w:t>
            </w:r>
            <w:r>
              <w:tab/>
              <w:t xml:space="preserve">Proportion </w:t>
            </w:r>
            <w:r w:rsidRPr="00316077">
              <w:t>of 17–24 year</w:t>
            </w:r>
            <w:r>
              <w:t xml:space="preserve"> olds who are fully engaged in post</w:t>
            </w:r>
            <w:r>
              <w:noBreakHyphen/>
            </w:r>
            <w:r w:rsidRPr="00316077">
              <w:t>school education and/or training or employment</w:t>
            </w:r>
            <w:r>
              <w:t xml:space="preserve">, </w:t>
            </w:r>
            <w:r>
              <w:br/>
              <w:t>2011–13</w:t>
            </w:r>
            <w:proofErr w:type="spellStart"/>
            <w:r w:rsidRPr="00696218">
              <w:rPr>
                <w:rStyle w:val="NoteLabel"/>
                <w:b/>
              </w:rPr>
              <w:t>a</w:t>
            </w:r>
            <w:r>
              <w:rPr>
                <w:rStyle w:val="NoteLabel"/>
                <w:b/>
              </w:rPr>
              <w:t>,b,c</w:t>
            </w:r>
            <w:proofErr w:type="spellEnd"/>
          </w:p>
        </w:tc>
      </w:tr>
      <w:tr w:rsidR="00935C67" w:rsidTr="00510401">
        <w:tc>
          <w:tcPr>
            <w:tcW w:w="8771" w:type="dxa"/>
            <w:tcBorders>
              <w:top w:val="nil"/>
              <w:left w:val="nil"/>
              <w:bottom w:val="nil"/>
              <w:right w:val="nil"/>
            </w:tcBorders>
            <w:shd w:val="clear" w:color="auto" w:fill="auto"/>
            <w:tcMar>
              <w:top w:w="28" w:type="dxa"/>
              <w:bottom w:w="28" w:type="dxa"/>
            </w:tcMar>
          </w:tcPr>
          <w:p w:rsidR="00935C67" w:rsidRDefault="00935C67" w:rsidP="00510401">
            <w:pPr>
              <w:pStyle w:val="Figure"/>
            </w:pPr>
            <w:r>
              <w:rPr>
                <w:noProof/>
              </w:rPr>
              <w:drawing>
                <wp:inline distT="0" distB="0" distL="0" distR="0">
                  <wp:extent cx="5272405" cy="2838450"/>
                  <wp:effectExtent l="0" t="0" r="4445" b="0"/>
                  <wp:docPr id="4" name="Picture 4" descr="Figure 7.4.1 Proportion of 17-24 year olds who are fully engaged in post-school education and/or training or employement,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405" cy="2838450"/>
                          </a:xfrm>
                          <a:prstGeom prst="rect">
                            <a:avLst/>
                          </a:prstGeom>
                          <a:noFill/>
                          <a:ln>
                            <a:noFill/>
                          </a:ln>
                        </pic:spPr>
                      </pic:pic>
                    </a:graphicData>
                  </a:graphic>
                </wp:inline>
              </w:drawing>
            </w:r>
          </w:p>
        </w:tc>
      </w:tr>
      <w:tr w:rsidR="00935C67" w:rsidRPr="00176D3F" w:rsidTr="00510401">
        <w:tc>
          <w:tcPr>
            <w:tcW w:w="8771" w:type="dxa"/>
            <w:tcBorders>
              <w:top w:val="nil"/>
              <w:left w:val="nil"/>
              <w:bottom w:val="nil"/>
              <w:right w:val="nil"/>
            </w:tcBorders>
            <w:shd w:val="clear" w:color="auto" w:fill="auto"/>
          </w:tcPr>
          <w:p w:rsidR="00935C67" w:rsidRPr="00176D3F" w:rsidRDefault="00935C67" w:rsidP="00510401">
            <w:pPr>
              <w:pStyle w:val="Note"/>
            </w:pPr>
            <w:proofErr w:type="gramStart"/>
            <w:r>
              <w:rPr>
                <w:rStyle w:val="NoteLabel"/>
              </w:rPr>
              <w:t>a</w:t>
            </w:r>
            <w:proofErr w:type="gramEnd"/>
            <w:r>
              <w:t xml:space="preserve"> </w:t>
            </w:r>
            <w:r w:rsidRPr="00756B1F">
              <w:t>Data exclude people enrolled in secondary school.</w:t>
            </w:r>
            <w:r>
              <w:t xml:space="preserve"> </w:t>
            </w:r>
            <w:proofErr w:type="gramStart"/>
            <w:r w:rsidRPr="00BE5BCA">
              <w:rPr>
                <w:rStyle w:val="NoteLabel"/>
              </w:rPr>
              <w:t>b</w:t>
            </w:r>
            <w:proofErr w:type="gramEnd"/>
            <w:r>
              <w:rPr>
                <w:rStyle w:val="NoteLabel"/>
              </w:rPr>
              <w:t xml:space="preserve"> </w:t>
            </w:r>
            <w:r w:rsidRPr="00BE5BCA">
              <w:t>Error bars represent 95 per cent confidence intervals around each estimate.</w:t>
            </w:r>
            <w:r w:rsidRPr="00987813">
              <w:rPr>
                <w:rStyle w:val="NoteLabel"/>
              </w:rPr>
              <w:t xml:space="preserve"> </w:t>
            </w:r>
            <w:proofErr w:type="gramStart"/>
            <w:r>
              <w:rPr>
                <w:rStyle w:val="NoteLabel"/>
              </w:rPr>
              <w:t>c</w:t>
            </w:r>
            <w:proofErr w:type="gramEnd"/>
            <w:r>
              <w:t xml:space="preserve"> The 2011–13 reference year includes d</w:t>
            </w:r>
            <w:r w:rsidRPr="00791157">
              <w:t>ata for Aboriginal and Torres Strait Islander Australians from the 2012</w:t>
            </w:r>
            <w:r>
              <w:t>-</w:t>
            </w:r>
            <w:r w:rsidRPr="00791157">
              <w:t>13 AATSIHS. Data for non</w:t>
            </w:r>
            <w:r>
              <w:noBreakHyphen/>
            </w:r>
            <w:r w:rsidRPr="00791157">
              <w:t>Indigenous Australians are from the 2011</w:t>
            </w:r>
            <w:r>
              <w:t>–</w:t>
            </w:r>
            <w:r w:rsidRPr="00791157">
              <w:t>13 AHS (for the period 2011</w:t>
            </w:r>
            <w:r>
              <w:t>-</w:t>
            </w:r>
            <w:r w:rsidRPr="00791157">
              <w:t>12</w:t>
            </w:r>
            <w:r>
              <w:t>)</w:t>
            </w:r>
            <w:r w:rsidRPr="00791157">
              <w:t>.</w:t>
            </w:r>
          </w:p>
        </w:tc>
      </w:tr>
      <w:tr w:rsidR="00935C67" w:rsidRPr="00176D3F" w:rsidTr="00510401">
        <w:tc>
          <w:tcPr>
            <w:tcW w:w="8771" w:type="dxa"/>
            <w:tcBorders>
              <w:top w:val="nil"/>
              <w:left w:val="nil"/>
              <w:bottom w:val="nil"/>
              <w:right w:val="nil"/>
            </w:tcBorders>
            <w:shd w:val="clear" w:color="auto" w:fill="auto"/>
          </w:tcPr>
          <w:p w:rsidR="00935C67" w:rsidRPr="00176D3F" w:rsidRDefault="00935C67" w:rsidP="00510401">
            <w:pPr>
              <w:pStyle w:val="Source"/>
            </w:pPr>
            <w:r>
              <w:rPr>
                <w:i/>
              </w:rPr>
              <w:t>S</w:t>
            </w:r>
            <w:r w:rsidRPr="00784A05">
              <w:rPr>
                <w:i/>
              </w:rPr>
              <w:t>ource</w:t>
            </w:r>
            <w:r>
              <w:rPr>
                <w:i/>
              </w:rPr>
              <w:t>s</w:t>
            </w:r>
            <w:r w:rsidRPr="00176D3F">
              <w:t xml:space="preserve">: </w:t>
            </w:r>
            <w:r w:rsidRPr="00756B1F">
              <w:t>ABS (unpublished) Australian Aboriginal and Torres Strait Islander Health Survey, 2012</w:t>
            </w:r>
            <w:r>
              <w:noBreakHyphen/>
            </w:r>
            <w:r w:rsidRPr="00756B1F">
              <w:t>13 (Core component); ABS (unpublished) Australian Health Survey 2</w:t>
            </w:r>
            <w:r>
              <w:t>011–13 (2011</w:t>
            </w:r>
            <w:r>
              <w:noBreakHyphen/>
              <w:t>12 Core component); table 7A.4.1.</w:t>
            </w:r>
          </w:p>
        </w:tc>
      </w:tr>
      <w:tr w:rsidR="00935C67" w:rsidTr="00510401">
        <w:tc>
          <w:tcPr>
            <w:tcW w:w="8771" w:type="dxa"/>
            <w:tcBorders>
              <w:top w:val="nil"/>
              <w:left w:val="nil"/>
              <w:bottom w:val="single" w:sz="6" w:space="0" w:color="78A22F"/>
              <w:right w:val="nil"/>
            </w:tcBorders>
            <w:shd w:val="clear" w:color="auto" w:fill="auto"/>
          </w:tcPr>
          <w:p w:rsidR="00935C67" w:rsidRDefault="00935C67" w:rsidP="00510401">
            <w:pPr>
              <w:pStyle w:val="Figurespace"/>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t>Nationally in 2011–13, 40.3 per cent of Aboriginal and Torres Strait Islander Australians aged 17–</w:t>
      </w:r>
      <w:r w:rsidRPr="00316077">
        <w:t xml:space="preserve">24 years </w:t>
      </w:r>
      <w:r>
        <w:t>were</w:t>
      </w:r>
      <w:r w:rsidRPr="00316077">
        <w:t xml:space="preserve"> participating in </w:t>
      </w:r>
      <w:r>
        <w:t xml:space="preserve">post-school </w:t>
      </w:r>
      <w:r w:rsidRPr="00316077">
        <w:t xml:space="preserve">education or training or </w:t>
      </w:r>
      <w:r>
        <w:t>were</w:t>
      </w:r>
      <w:r w:rsidRPr="00316077">
        <w:t xml:space="preserve"> employed</w:t>
      </w:r>
      <w:r>
        <w:t>, compared with 75.5 per cent of non</w:t>
      </w:r>
      <w:r>
        <w:noBreakHyphen/>
        <w:t>Indigenous 17–24 year olds. Larger proportions of non</w:t>
      </w:r>
      <w:r>
        <w:noBreakHyphen/>
        <w:t xml:space="preserve">Indigenous young people </w:t>
      </w:r>
      <w:r w:rsidRPr="007D5B67">
        <w:t xml:space="preserve">than Aboriginal and Torres Strait Islander young people </w:t>
      </w:r>
      <w:r>
        <w:t xml:space="preserve">were engaged in ‘full time study’ </w:t>
      </w:r>
      <w:r w:rsidRPr="007D5B67">
        <w:t>(32.7 per</w:t>
      </w:r>
      <w:r>
        <w:t xml:space="preserve"> </w:t>
      </w:r>
      <w:r w:rsidRPr="007D5B67">
        <w:t>cent compared with 11.6 per</w:t>
      </w:r>
      <w:r>
        <w:t xml:space="preserve"> </w:t>
      </w:r>
      <w:r w:rsidRPr="007D5B67">
        <w:t>cent)</w:t>
      </w:r>
      <w:r>
        <w:t xml:space="preserve"> and ‘full time </w:t>
      </w:r>
      <w:proofErr w:type="gramStart"/>
      <w:r>
        <w:t>employment’</w:t>
      </w:r>
      <w:r w:rsidRPr="007D5B67">
        <w:t>(</w:t>
      </w:r>
      <w:proofErr w:type="gramEnd"/>
      <w:r w:rsidRPr="007D5B67">
        <w:t>34.7 per</w:t>
      </w:r>
      <w:r>
        <w:t xml:space="preserve"> cent compared with 23.1 </w:t>
      </w:r>
      <w:r w:rsidRPr="007D5B67">
        <w:t>per</w:t>
      </w:r>
      <w:r>
        <w:t xml:space="preserve"> </w:t>
      </w:r>
      <w:r w:rsidRPr="007D5B67">
        <w:t>cent)</w:t>
      </w:r>
      <w:r>
        <w:t>, while the rates were similar between the ‘</w:t>
      </w:r>
      <w:r w:rsidRPr="00756B1F">
        <w:t>full time study and full time employment</w:t>
      </w:r>
      <w:r>
        <w:t>’, and ‘</w:t>
      </w:r>
      <w:r w:rsidRPr="00756B1F">
        <w:t>part time study and part time employment</w:t>
      </w:r>
      <w:r>
        <w:t>’ categories (figure 7.4.1). These data are also reported by remoteness in table 7A.4.1.</w:t>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auto"/>
          </w:tcPr>
          <w:p w:rsidR="00935C67" w:rsidRPr="00176D3F" w:rsidRDefault="00935C67" w:rsidP="00510401">
            <w:pPr>
              <w:pStyle w:val="FigureTitle"/>
            </w:pPr>
            <w:r w:rsidRPr="00784A05">
              <w:rPr>
                <w:b w:val="0"/>
              </w:rPr>
              <w:t xml:space="preserve">Figure </w:t>
            </w:r>
            <w:r>
              <w:rPr>
                <w:b w:val="0"/>
              </w:rPr>
              <w:t>7.4.</w:t>
            </w:r>
            <w:r>
              <w:rPr>
                <w:b w:val="0"/>
                <w:noProof/>
              </w:rPr>
              <w:t>2</w:t>
            </w:r>
            <w:r>
              <w:tab/>
            </w:r>
            <w:r w:rsidRPr="00B54EED">
              <w:t>Proportion of 17–24 year</w:t>
            </w:r>
            <w:r>
              <w:t xml:space="preserve"> olds who are fully engaged in post</w:t>
            </w:r>
            <w:r>
              <w:noBreakHyphen/>
            </w:r>
            <w:r w:rsidRPr="00B54EED">
              <w:t>school education and/or training or employment, 2002, 2004</w:t>
            </w:r>
            <w:r>
              <w:noBreakHyphen/>
            </w:r>
            <w:r w:rsidRPr="00B54EED">
              <w:t>05, 2008 and 2011</w:t>
            </w:r>
            <w:r>
              <w:t>–</w:t>
            </w:r>
            <w:r w:rsidRPr="00B54EED">
              <w:t>13</w:t>
            </w:r>
            <w:proofErr w:type="spellStart"/>
            <w:r w:rsidRPr="00B54EED">
              <w:rPr>
                <w:rStyle w:val="NoteLabel"/>
                <w:b/>
              </w:rPr>
              <w:t>a</w:t>
            </w:r>
            <w:r>
              <w:rPr>
                <w:rStyle w:val="NoteLabel"/>
                <w:b/>
              </w:rPr>
              <w:t>,b,c</w:t>
            </w:r>
            <w:proofErr w:type="spellEnd"/>
          </w:p>
        </w:tc>
      </w:tr>
      <w:tr w:rsidR="00935C67" w:rsidTr="00510401">
        <w:tc>
          <w:tcPr>
            <w:tcW w:w="8771" w:type="dxa"/>
            <w:tcBorders>
              <w:top w:val="nil"/>
              <w:left w:val="nil"/>
              <w:bottom w:val="nil"/>
              <w:right w:val="nil"/>
            </w:tcBorders>
            <w:shd w:val="clear" w:color="auto" w:fill="auto"/>
            <w:tcMar>
              <w:top w:w="28" w:type="dxa"/>
              <w:bottom w:w="28" w:type="dxa"/>
            </w:tcMar>
          </w:tcPr>
          <w:p w:rsidR="00935C67" w:rsidRDefault="00935C67" w:rsidP="00510401">
            <w:pPr>
              <w:pStyle w:val="Figure"/>
            </w:pPr>
            <w:r>
              <w:rPr>
                <w:noProof/>
              </w:rPr>
              <w:drawing>
                <wp:inline distT="0" distB="0" distL="0" distR="0">
                  <wp:extent cx="5307965" cy="2672080"/>
                  <wp:effectExtent l="0" t="0" r="6985" b="0"/>
                  <wp:docPr id="3" name="Picture 3" descr="Figure 7.4.2 Proportion of 17-24 year olds who are fully engaged in post-school education and/or traning or employment, 2002, 2004-05, 2008 and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7965" cy="2672080"/>
                          </a:xfrm>
                          <a:prstGeom prst="rect">
                            <a:avLst/>
                          </a:prstGeom>
                          <a:noFill/>
                          <a:ln>
                            <a:noFill/>
                          </a:ln>
                        </pic:spPr>
                      </pic:pic>
                    </a:graphicData>
                  </a:graphic>
                </wp:inline>
              </w:drawing>
            </w:r>
          </w:p>
        </w:tc>
      </w:tr>
      <w:tr w:rsidR="00935C67" w:rsidRPr="00176D3F" w:rsidTr="00510401">
        <w:tc>
          <w:tcPr>
            <w:tcW w:w="8771" w:type="dxa"/>
            <w:tcBorders>
              <w:top w:val="nil"/>
              <w:left w:val="nil"/>
              <w:bottom w:val="nil"/>
              <w:right w:val="nil"/>
            </w:tcBorders>
            <w:shd w:val="clear" w:color="auto" w:fill="auto"/>
          </w:tcPr>
          <w:p w:rsidR="00935C67" w:rsidRPr="00176D3F" w:rsidRDefault="00935C67" w:rsidP="00510401">
            <w:pPr>
              <w:pStyle w:val="Note"/>
            </w:pPr>
            <w:proofErr w:type="gramStart"/>
            <w:r>
              <w:rPr>
                <w:rStyle w:val="NoteLabel"/>
              </w:rPr>
              <w:t>a</w:t>
            </w:r>
            <w:proofErr w:type="gramEnd"/>
            <w:r>
              <w:t xml:space="preserve"> </w:t>
            </w:r>
            <w:r w:rsidRPr="00756B1F">
              <w:t>Data exclude people enrolled in secondary school.</w:t>
            </w:r>
            <w:r>
              <w:t xml:space="preserve"> </w:t>
            </w:r>
            <w:proofErr w:type="gramStart"/>
            <w:r w:rsidRPr="00A60065">
              <w:rPr>
                <w:rStyle w:val="NoteLabel"/>
              </w:rPr>
              <w:t>b</w:t>
            </w:r>
            <w:proofErr w:type="gramEnd"/>
            <w:r>
              <w:t xml:space="preserve"> </w:t>
            </w:r>
            <w:r w:rsidRPr="00BE5BCA">
              <w:t xml:space="preserve">Relative standard errors and 95 per cent confidence intervals should be considered when interpreting these data, and are available in </w:t>
            </w:r>
            <w:r w:rsidRPr="00AC57BC">
              <w:t>table 7A.4.2</w:t>
            </w:r>
            <w:r w:rsidRPr="00BE5BCA">
              <w:t>.</w:t>
            </w:r>
            <w:r w:rsidRPr="00CE3A30">
              <w:rPr>
                <w:rStyle w:val="NoteLabel"/>
              </w:rPr>
              <w:t xml:space="preserve"> </w:t>
            </w:r>
            <w:proofErr w:type="gramStart"/>
            <w:r>
              <w:rPr>
                <w:rStyle w:val="NoteLabel"/>
              </w:rPr>
              <w:t>c</w:t>
            </w:r>
            <w:proofErr w:type="gramEnd"/>
            <w:r>
              <w:t xml:space="preserve"> The 2011–13 reference year includes d</w:t>
            </w:r>
            <w:r w:rsidRPr="00791157">
              <w:t>ata for Aboriginal and Torres Strait Islander Australians from the 2012</w:t>
            </w:r>
            <w:r>
              <w:noBreakHyphen/>
            </w:r>
            <w:r w:rsidRPr="00791157">
              <w:t>13 AATSIHS. Data for non</w:t>
            </w:r>
            <w:r>
              <w:t>-</w:t>
            </w:r>
            <w:r w:rsidRPr="00791157">
              <w:t>Indigenous Australians are from the 2011</w:t>
            </w:r>
            <w:r>
              <w:t>–</w:t>
            </w:r>
            <w:r w:rsidRPr="00791157">
              <w:t>13 AHS (for the period 2011</w:t>
            </w:r>
            <w:r>
              <w:noBreakHyphen/>
            </w:r>
            <w:r w:rsidRPr="00791157">
              <w:t>12</w:t>
            </w:r>
            <w:r>
              <w:t>)</w:t>
            </w:r>
            <w:r w:rsidRPr="00791157">
              <w:t>.</w:t>
            </w:r>
          </w:p>
        </w:tc>
      </w:tr>
      <w:tr w:rsidR="00935C67" w:rsidRPr="00176D3F" w:rsidTr="00510401">
        <w:tc>
          <w:tcPr>
            <w:tcW w:w="8771" w:type="dxa"/>
            <w:tcBorders>
              <w:top w:val="nil"/>
              <w:left w:val="nil"/>
              <w:bottom w:val="nil"/>
              <w:right w:val="nil"/>
            </w:tcBorders>
            <w:shd w:val="clear" w:color="auto" w:fill="auto"/>
          </w:tcPr>
          <w:p w:rsidR="00935C67" w:rsidRPr="00176D3F" w:rsidRDefault="00935C67" w:rsidP="00510401">
            <w:pPr>
              <w:pStyle w:val="Source"/>
            </w:pPr>
            <w:r>
              <w:rPr>
                <w:i/>
              </w:rPr>
              <w:t>S</w:t>
            </w:r>
            <w:r w:rsidRPr="00784A05">
              <w:rPr>
                <w:i/>
              </w:rPr>
              <w:t>ource</w:t>
            </w:r>
            <w:r>
              <w:rPr>
                <w:i/>
              </w:rPr>
              <w:t>s</w:t>
            </w:r>
            <w:r w:rsidRPr="00176D3F">
              <w:t xml:space="preserve">: </w:t>
            </w:r>
            <w:r w:rsidRPr="00AC57BC">
              <w:t>ABS (unpublished) National Aboriginal and Torres Strait Islander Social Survey, 2002; ABS (unpublished) General Social Survey 2002; ABS (unpublished) National Aboriginal and Torres Strait Islander Health Survey 2004</w:t>
            </w:r>
            <w:r w:rsidRPr="00AC57BC">
              <w:noBreakHyphen/>
              <w:t>05; ABS (unpublished) National Health Survey, 2004</w:t>
            </w:r>
            <w:r w:rsidRPr="00AC57BC">
              <w:noBreakHyphen/>
              <w:t>05; ABS (unpublished) National Aboriginal and Torres Strait Islander Social Survey 2008; ABS (unpublished) National Health Survey 2007</w:t>
            </w:r>
            <w:r w:rsidRPr="00AC57BC">
              <w:noBreakHyphen/>
              <w:t>08; ABS (unpublished) Australian Aboriginal and Torres Strait Islander Health Survey 2012</w:t>
            </w:r>
            <w:r w:rsidRPr="00AC57BC">
              <w:noBreakHyphen/>
              <w:t>13 (Core component); ABS (unpublished) Australian Health Survey 2011–13 (2011</w:t>
            </w:r>
            <w:r w:rsidRPr="00AC57BC">
              <w:noBreakHyphen/>
              <w:t>12 Core component); table 7A.4.2.</w:t>
            </w:r>
          </w:p>
        </w:tc>
      </w:tr>
      <w:tr w:rsidR="00935C67" w:rsidTr="00510401">
        <w:tc>
          <w:tcPr>
            <w:tcW w:w="8771" w:type="dxa"/>
            <w:tcBorders>
              <w:top w:val="nil"/>
              <w:left w:val="nil"/>
              <w:bottom w:val="single" w:sz="6" w:space="0" w:color="78A22F"/>
              <w:right w:val="nil"/>
            </w:tcBorders>
            <w:shd w:val="clear" w:color="auto" w:fill="auto"/>
          </w:tcPr>
          <w:p w:rsidR="00935C67" w:rsidRDefault="00935C67" w:rsidP="00510401">
            <w:pPr>
              <w:pStyle w:val="Figurespace"/>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rsidRPr="002D1EBA">
        <w:t>Between 2002 and 2011</w:t>
      </w:r>
      <w:r>
        <w:t>–</w:t>
      </w:r>
      <w:r w:rsidRPr="002D1EBA">
        <w:t xml:space="preserve">13, there was an increase in the proportion </w:t>
      </w:r>
      <w:r>
        <w:t>of</w:t>
      </w:r>
      <w:r w:rsidRPr="002D1EBA">
        <w:t xml:space="preserve"> </w:t>
      </w:r>
      <w:r>
        <w:t>Aboriginal and Torres Strait Islander Australians</w:t>
      </w:r>
      <w:r w:rsidRPr="002D1EBA">
        <w:t xml:space="preserve"> aged 17</w:t>
      </w:r>
      <w:r>
        <w:t>–</w:t>
      </w:r>
      <w:r w:rsidRPr="002D1EBA">
        <w:t xml:space="preserve">24 years who were </w:t>
      </w:r>
      <w:r>
        <w:t xml:space="preserve">fully engaged and </w:t>
      </w:r>
      <w:r w:rsidRPr="00492ABA">
        <w:t xml:space="preserve">participating in </w:t>
      </w:r>
      <w:r>
        <w:t xml:space="preserve">post-school </w:t>
      </w:r>
      <w:r w:rsidRPr="00492ABA">
        <w:t>education or training or were employed</w:t>
      </w:r>
      <w:r>
        <w:t xml:space="preserve"> (from 32.4 per cent in 2002 to 40.3 per cent in 2011–13). The rate for non-Indigenous Australians </w:t>
      </w:r>
      <w:r w:rsidRPr="008F746D">
        <w:t>remained constant</w:t>
      </w:r>
      <w:r>
        <w:t xml:space="preserve"> over this period (75.2 per cent in 2002 and 75.5 per cent in 2011–13), leading to a narrowing of the gap (from 42.8 percentage points in 2002 to 35.2 percentage points in 2011–13) (figure 7.4.2). These data are also reported by remoteness in table 7A.4.2. </w:t>
      </w:r>
    </w:p>
    <w:p w:rsidR="00935C67" w:rsidRDefault="00935C67" w:rsidP="00935C67">
      <w:pPr>
        <w:pStyle w:val="BodyText"/>
      </w:pPr>
      <w:r w:rsidRPr="00344488">
        <w:t>Although not directly comparable, data from the Census show similar trends to the survey data. Census data show that the</w:t>
      </w:r>
      <w:r>
        <w:t xml:space="preserve"> </w:t>
      </w:r>
      <w:r w:rsidRPr="00344488">
        <w:t xml:space="preserve">proportion of Aboriginal and Torres Strait Islander </w:t>
      </w:r>
      <w:r>
        <w:br/>
        <w:t>17–24 year olds</w:t>
      </w:r>
      <w:r w:rsidRPr="00344488">
        <w:t xml:space="preserve"> who </w:t>
      </w:r>
      <w:r>
        <w:t>we</w:t>
      </w:r>
      <w:r w:rsidRPr="00344488">
        <w:t xml:space="preserve">re fully engaged in </w:t>
      </w:r>
      <w:proofErr w:type="spellStart"/>
      <w:r w:rsidRPr="00344488">
        <w:t>post­school</w:t>
      </w:r>
      <w:proofErr w:type="spellEnd"/>
      <w:r w:rsidRPr="00344488">
        <w:t xml:space="preserve"> education, training or employment</w:t>
      </w:r>
      <w:r w:rsidRPr="00FD34ED">
        <w:t xml:space="preserve"> </w:t>
      </w:r>
      <w:r w:rsidRPr="00344488">
        <w:t xml:space="preserve">increased from </w:t>
      </w:r>
      <w:r>
        <w:t>33.8</w:t>
      </w:r>
      <w:r w:rsidRPr="00344488">
        <w:t xml:space="preserve"> per cent in 2001 to </w:t>
      </w:r>
      <w:r>
        <w:t>39.4 per cent in 2011.</w:t>
      </w:r>
      <w:r w:rsidRPr="00344488">
        <w:t xml:space="preserve"> Over the same period, the rate for non</w:t>
      </w:r>
      <w:r>
        <w:noBreakHyphen/>
      </w:r>
      <w:r w:rsidRPr="00344488">
        <w:t xml:space="preserve">Indigenous Australians increased from </w:t>
      </w:r>
      <w:r>
        <w:t>71.8</w:t>
      </w:r>
      <w:r w:rsidRPr="00344488">
        <w:t xml:space="preserve"> per cent in 2001 to </w:t>
      </w:r>
      <w:r>
        <w:t>73.9 per cent, leading to a narrowing of the gap from 38.0 percentage points to 34.5 percentage points (table 7A.4.6</w:t>
      </w:r>
      <w:r w:rsidRPr="00344488">
        <w:t>).</w:t>
      </w:r>
      <w:r>
        <w:t xml:space="preserve"> </w:t>
      </w:r>
    </w:p>
    <w:p w:rsidR="00935C67" w:rsidRPr="00FD34ED" w:rsidRDefault="00935C67" w:rsidP="00935C67">
      <w:pPr>
        <w:pStyle w:val="BodyText"/>
      </w:pPr>
      <w:r w:rsidRPr="00FD34ED">
        <w:lastRenderedPageBreak/>
        <w:t>Figure</w:t>
      </w:r>
      <w:r>
        <w:t xml:space="preserve"> 7.4.3 </w:t>
      </w:r>
      <w:r w:rsidRPr="00FD34ED">
        <w:t>show</w:t>
      </w:r>
      <w:r>
        <w:t>s</w:t>
      </w:r>
      <w:r w:rsidRPr="00FD34ED">
        <w:t xml:space="preserve"> Census data by remoteness (survey data </w:t>
      </w:r>
      <w:r>
        <w:t xml:space="preserve">for very remote areas </w:t>
      </w:r>
      <w:r w:rsidRPr="00FD34ED">
        <w:t>are not available for non</w:t>
      </w:r>
      <w:r>
        <w:noBreakHyphen/>
      </w:r>
      <w:r w:rsidRPr="00FD34ED">
        <w:t>Indigenous Australians for 2008 and 2011–13).</w:t>
      </w:r>
      <w:r>
        <w:t xml:space="preserve"> </w:t>
      </w:r>
    </w:p>
    <w:p w:rsidR="00935C67" w:rsidRDefault="00935C67" w:rsidP="00935C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auto"/>
          </w:tcPr>
          <w:p w:rsidR="00935C67" w:rsidRPr="00176D3F" w:rsidRDefault="00935C67" w:rsidP="00510401">
            <w:pPr>
              <w:pStyle w:val="FigureTitle"/>
            </w:pPr>
            <w:r w:rsidRPr="00784A05">
              <w:rPr>
                <w:b w:val="0"/>
              </w:rPr>
              <w:t xml:space="preserve">Figure </w:t>
            </w:r>
            <w:r>
              <w:rPr>
                <w:b w:val="0"/>
              </w:rPr>
              <w:t>7.4.</w:t>
            </w:r>
            <w:r>
              <w:rPr>
                <w:b w:val="0"/>
                <w:noProof/>
              </w:rPr>
              <w:t>3</w:t>
            </w:r>
            <w:r>
              <w:tab/>
            </w:r>
            <w:r w:rsidRPr="00811519">
              <w:t>Proportion of 17–24 year</w:t>
            </w:r>
            <w:r>
              <w:t xml:space="preserve"> old</w:t>
            </w:r>
            <w:r w:rsidRPr="00811519">
              <w:t xml:space="preserve">s who are fully engaged in </w:t>
            </w:r>
            <w:proofErr w:type="spellStart"/>
            <w:r w:rsidRPr="00811519">
              <w:t>post­school</w:t>
            </w:r>
            <w:proofErr w:type="spellEnd"/>
            <w:r w:rsidRPr="00811519">
              <w:t xml:space="preserve"> education and/or training or employment, </w:t>
            </w:r>
            <w:r>
              <w:t xml:space="preserve">by remoteness, </w:t>
            </w:r>
            <w:r w:rsidRPr="00811519">
              <w:t>2011</w:t>
            </w:r>
            <w:r w:rsidRPr="00C402A6">
              <w:rPr>
                <w:rStyle w:val="NoteLabel"/>
                <w:b/>
              </w:rPr>
              <w:t>a</w:t>
            </w:r>
          </w:p>
        </w:tc>
      </w:tr>
      <w:tr w:rsidR="00935C67" w:rsidTr="00510401">
        <w:tc>
          <w:tcPr>
            <w:tcW w:w="8771" w:type="dxa"/>
            <w:tcBorders>
              <w:top w:val="nil"/>
              <w:left w:val="nil"/>
              <w:bottom w:val="nil"/>
              <w:right w:val="nil"/>
            </w:tcBorders>
            <w:shd w:val="clear" w:color="auto" w:fill="auto"/>
            <w:tcMar>
              <w:top w:w="28" w:type="dxa"/>
              <w:bottom w:w="28" w:type="dxa"/>
            </w:tcMar>
          </w:tcPr>
          <w:p w:rsidR="00935C67" w:rsidRDefault="00935C67" w:rsidP="00510401">
            <w:pPr>
              <w:pStyle w:val="Figure"/>
            </w:pPr>
            <w:r>
              <w:rPr>
                <w:noProof/>
              </w:rPr>
              <w:drawing>
                <wp:inline distT="0" distB="0" distL="0" distR="0">
                  <wp:extent cx="5344160" cy="2861945"/>
                  <wp:effectExtent l="0" t="0" r="8890" b="0"/>
                  <wp:docPr id="2" name="Picture 2" descr="Figure 7.4.3 Proportion of 17-24 year olds who are fully engaged in post-school education and/or traning or employment, by remoteness,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160" cy="2861945"/>
                          </a:xfrm>
                          <a:prstGeom prst="rect">
                            <a:avLst/>
                          </a:prstGeom>
                          <a:noFill/>
                          <a:ln>
                            <a:noFill/>
                          </a:ln>
                        </pic:spPr>
                      </pic:pic>
                    </a:graphicData>
                  </a:graphic>
                </wp:inline>
              </w:drawing>
            </w:r>
          </w:p>
        </w:tc>
      </w:tr>
      <w:tr w:rsidR="00935C67" w:rsidRPr="00176D3F" w:rsidTr="00510401">
        <w:tc>
          <w:tcPr>
            <w:tcW w:w="8771" w:type="dxa"/>
            <w:tcBorders>
              <w:top w:val="nil"/>
              <w:left w:val="nil"/>
              <w:bottom w:val="nil"/>
              <w:right w:val="nil"/>
            </w:tcBorders>
            <w:shd w:val="clear" w:color="auto" w:fill="auto"/>
          </w:tcPr>
          <w:p w:rsidR="00935C67" w:rsidRPr="00176D3F" w:rsidRDefault="00935C67" w:rsidP="00510401">
            <w:pPr>
              <w:pStyle w:val="Note"/>
            </w:pPr>
            <w:proofErr w:type="gramStart"/>
            <w:r>
              <w:rPr>
                <w:rStyle w:val="NoteLabel"/>
              </w:rPr>
              <w:t>a</w:t>
            </w:r>
            <w:proofErr w:type="gramEnd"/>
            <w:r>
              <w:t xml:space="preserve"> See table 7A.4.6 for more information on caveats to this data.</w:t>
            </w:r>
          </w:p>
        </w:tc>
      </w:tr>
      <w:tr w:rsidR="00935C67" w:rsidRPr="00176D3F" w:rsidTr="00510401">
        <w:tc>
          <w:tcPr>
            <w:tcW w:w="8771" w:type="dxa"/>
            <w:tcBorders>
              <w:top w:val="nil"/>
              <w:left w:val="nil"/>
              <w:bottom w:val="nil"/>
              <w:right w:val="nil"/>
            </w:tcBorders>
            <w:shd w:val="clear" w:color="auto" w:fill="auto"/>
          </w:tcPr>
          <w:p w:rsidR="00935C67" w:rsidRPr="00176D3F" w:rsidRDefault="00935C67" w:rsidP="00510401">
            <w:pPr>
              <w:pStyle w:val="Source"/>
            </w:pPr>
            <w:r>
              <w:rPr>
                <w:i/>
              </w:rPr>
              <w:t>S</w:t>
            </w:r>
            <w:r w:rsidRPr="00784A05">
              <w:rPr>
                <w:i/>
              </w:rPr>
              <w:t>ource</w:t>
            </w:r>
            <w:r w:rsidRPr="00176D3F">
              <w:t xml:space="preserve">: </w:t>
            </w:r>
            <w:r w:rsidRPr="00CE3810">
              <w:t>ABS (unpublished) 2011 Census of Population and Housing</w:t>
            </w:r>
            <w:r>
              <w:t xml:space="preserve">; table 7A.4.6. </w:t>
            </w:r>
          </w:p>
        </w:tc>
      </w:tr>
      <w:tr w:rsidR="00935C67" w:rsidTr="00510401">
        <w:tc>
          <w:tcPr>
            <w:tcW w:w="8771" w:type="dxa"/>
            <w:tcBorders>
              <w:top w:val="nil"/>
              <w:left w:val="nil"/>
              <w:bottom w:val="single" w:sz="6" w:space="0" w:color="78A22F"/>
              <w:right w:val="nil"/>
            </w:tcBorders>
            <w:shd w:val="clear" w:color="auto" w:fill="auto"/>
          </w:tcPr>
          <w:p w:rsidR="00935C67" w:rsidRDefault="00935C67" w:rsidP="00510401">
            <w:pPr>
              <w:pStyle w:val="Figurespace"/>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Default="00935C67" w:rsidP="00935C67">
      <w:pPr>
        <w:pStyle w:val="BodyText"/>
      </w:pPr>
      <w:r>
        <w:t>Nationally, in 2011, the proportion of Aboriginal and Torres Strait Islander Australians aged 17–24 years fully engaged in work, study or training decreased as the location became more remote (50.5 per cent in major cities, 17.9 per cent in very remote areas). This trend differed for non</w:t>
      </w:r>
      <w:r>
        <w:noBreakHyphen/>
        <w:t xml:space="preserve">Indigenous Australians, where the proportion was higher in major cities (76.2 per cent) compared to outer regional areas (66.6 per cent) but was highest in very remote areas (78.4 per cent) (figure 7.4.3). </w:t>
      </w:r>
    </w:p>
    <w:p w:rsidR="00935C67" w:rsidRPr="001973F1" w:rsidRDefault="00935C67" w:rsidP="00935C67">
      <w:pPr>
        <w:pStyle w:val="BodyText"/>
      </w:pPr>
      <w:r w:rsidRPr="001973F1">
        <w:t xml:space="preserve">Census data disaggregated by State and Territory, and remoteness area for people aged </w:t>
      </w:r>
      <w:r>
        <w:br/>
      </w:r>
      <w:r w:rsidRPr="001973F1">
        <w:t>17</w:t>
      </w:r>
      <w:r>
        <w:t>–</w:t>
      </w:r>
      <w:r w:rsidRPr="001973F1">
        <w:t xml:space="preserve">24 years who were not employed or studying for 2001, 2006 and 2011 are included in </w:t>
      </w:r>
      <w:proofErr w:type="gramStart"/>
      <w:r w:rsidRPr="001973F1">
        <w:t>tables</w:t>
      </w:r>
      <w:proofErr w:type="gramEnd"/>
      <w:r>
        <w:t> </w:t>
      </w:r>
      <w:r w:rsidRPr="001973F1">
        <w:t>7A.4.6–7.</w:t>
      </w:r>
    </w:p>
    <w:p w:rsidR="00935C67" w:rsidRPr="008E13DD" w:rsidRDefault="00935C67" w:rsidP="00935C67">
      <w:pPr>
        <w:pStyle w:val="Heading3"/>
      </w:pPr>
      <w:r w:rsidRPr="008E13DD">
        <w:t xml:space="preserve">Outcomes from education — </w:t>
      </w:r>
      <w:r>
        <w:t>labour force participation and employment</w:t>
      </w:r>
      <w:r w:rsidRPr="008E13DD">
        <w:t xml:space="preserve"> status by educational attainment</w:t>
      </w:r>
    </w:p>
    <w:p w:rsidR="00935C67" w:rsidRDefault="00935C67" w:rsidP="00935C67">
      <w:pPr>
        <w:pStyle w:val="BodyText"/>
      </w:pPr>
      <w:r w:rsidRPr="008E13DD">
        <w:t xml:space="preserve">This measure examines the labour force status of people </w:t>
      </w:r>
      <w:r>
        <w:t xml:space="preserve">with different levels of educational </w:t>
      </w:r>
      <w:r w:rsidRPr="008E13DD">
        <w:t xml:space="preserve">qualifications. </w:t>
      </w:r>
      <w:r>
        <w:t>Certificate</w:t>
      </w:r>
      <w:r w:rsidRPr="008E13DD">
        <w:t xml:space="preserve"> level III is usually considered the minimum qualification necessary to substantially improve a person’s employment outcomes (see </w:t>
      </w:r>
      <w:r w:rsidRPr="008E13DD">
        <w:lastRenderedPageBreak/>
        <w:t>section</w:t>
      </w:r>
      <w:r>
        <w:t> </w:t>
      </w:r>
      <w:r w:rsidRPr="008E13DD">
        <w:t>4.7 for more information on post</w:t>
      </w:r>
      <w:r>
        <w:noBreakHyphen/>
      </w:r>
      <w:r w:rsidRPr="008E13DD">
        <w:t>secondary education, participation and attainment).</w:t>
      </w:r>
    </w:p>
    <w:p w:rsidR="00935C67" w:rsidRDefault="00935C67" w:rsidP="00935C6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35C67" w:rsidTr="00510401">
        <w:tc>
          <w:tcPr>
            <w:tcW w:w="8771" w:type="dxa"/>
            <w:tcBorders>
              <w:top w:val="single" w:sz="6" w:space="0" w:color="78A22F"/>
              <w:left w:val="nil"/>
              <w:bottom w:val="nil"/>
              <w:right w:val="nil"/>
            </w:tcBorders>
            <w:shd w:val="clear" w:color="auto" w:fill="auto"/>
          </w:tcPr>
          <w:p w:rsidR="00935C67" w:rsidRPr="005E4111" w:rsidRDefault="00935C67" w:rsidP="00510401">
            <w:pPr>
              <w:pStyle w:val="TableTitle"/>
              <w:rPr>
                <w:b w:val="0"/>
                <w:position w:val="6"/>
                <w:sz w:val="18"/>
              </w:rPr>
            </w:pPr>
            <w:r>
              <w:rPr>
                <w:b w:val="0"/>
              </w:rPr>
              <w:t>Table 7.4.</w:t>
            </w:r>
            <w:r>
              <w:rPr>
                <w:b w:val="0"/>
                <w:noProof/>
              </w:rPr>
              <w:t>1</w:t>
            </w:r>
            <w:r>
              <w:tab/>
            </w:r>
            <w:r w:rsidRPr="00CA5F03">
              <w:t>Level of highest non</w:t>
            </w:r>
            <w:r>
              <w:noBreakHyphen/>
            </w:r>
            <w:r w:rsidRPr="00CA5F03">
              <w:t xml:space="preserve">school qualification and employment status, </w:t>
            </w:r>
            <w:r>
              <w:t>2002</w:t>
            </w:r>
            <w:r w:rsidRPr="00CA5F03">
              <w:t xml:space="preserve"> </w:t>
            </w:r>
            <w:r>
              <w:t>and 2011–</w:t>
            </w:r>
            <w:r w:rsidRPr="00CA5F03">
              <w:t>13</w:t>
            </w:r>
            <w:proofErr w:type="spellStart"/>
            <w:r w:rsidRPr="00B86C60">
              <w:rPr>
                <w:rStyle w:val="NoteLabel"/>
                <w:b/>
              </w:rPr>
              <w:t>a</w:t>
            </w:r>
            <w:r>
              <w:rPr>
                <w:rStyle w:val="NoteLabel"/>
                <w:b/>
              </w:rPr>
              <w:t>,b,c</w:t>
            </w:r>
            <w:r w:rsidR="00E35110">
              <w:rPr>
                <w:rStyle w:val="NoteLabel"/>
                <w:b/>
              </w:rPr>
              <w:t>,d</w:t>
            </w:r>
            <w:proofErr w:type="spellEnd"/>
          </w:p>
        </w:tc>
      </w:tr>
      <w:tr w:rsidR="00935C67" w:rsidTr="00510401">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79"/>
              <w:gridCol w:w="1136"/>
              <w:gridCol w:w="1417"/>
              <w:gridCol w:w="1141"/>
              <w:gridCol w:w="1414"/>
            </w:tblGrid>
            <w:tr w:rsidR="00935C67" w:rsidTr="00510401">
              <w:tc>
                <w:tcPr>
                  <w:tcW w:w="1991" w:type="pct"/>
                  <w:tcBorders>
                    <w:top w:val="single" w:sz="6" w:space="0" w:color="BFBFBF"/>
                    <w:bottom w:val="single" w:sz="6" w:space="0" w:color="BFBFBF"/>
                  </w:tcBorders>
                  <w:shd w:val="clear" w:color="auto" w:fill="auto"/>
                  <w:tcMar>
                    <w:top w:w="28" w:type="dxa"/>
                  </w:tcMar>
                </w:tcPr>
                <w:p w:rsidR="00935C67" w:rsidRDefault="00935C67" w:rsidP="00510401">
                  <w:pPr>
                    <w:pStyle w:val="TableColumnHeading"/>
                    <w:jc w:val="left"/>
                  </w:pPr>
                </w:p>
              </w:tc>
              <w:tc>
                <w:tcPr>
                  <w:tcW w:w="1504" w:type="pct"/>
                  <w:gridSpan w:val="2"/>
                  <w:tcBorders>
                    <w:top w:val="single" w:sz="6" w:space="0" w:color="BFBFBF"/>
                    <w:bottom w:val="single" w:sz="6" w:space="0" w:color="BFBFBF"/>
                  </w:tcBorders>
                  <w:shd w:val="clear" w:color="auto" w:fill="auto"/>
                  <w:tcMar>
                    <w:top w:w="28" w:type="dxa"/>
                  </w:tcMar>
                </w:tcPr>
                <w:p w:rsidR="00935C67" w:rsidRDefault="00935C67" w:rsidP="00510401">
                  <w:pPr>
                    <w:pStyle w:val="TableColumnHeading"/>
                    <w:jc w:val="center"/>
                  </w:pPr>
                  <w:r>
                    <w:t>2002</w:t>
                  </w:r>
                </w:p>
              </w:tc>
              <w:tc>
                <w:tcPr>
                  <w:tcW w:w="1505" w:type="pct"/>
                  <w:gridSpan w:val="2"/>
                  <w:tcBorders>
                    <w:top w:val="single" w:sz="6" w:space="0" w:color="BFBFBF"/>
                    <w:bottom w:val="single" w:sz="6" w:space="0" w:color="BFBFBF"/>
                  </w:tcBorders>
                  <w:shd w:val="clear" w:color="auto" w:fill="auto"/>
                  <w:tcMar>
                    <w:top w:w="28" w:type="dxa"/>
                  </w:tcMar>
                </w:tcPr>
                <w:p w:rsidR="00935C67" w:rsidRDefault="00935C67" w:rsidP="00510401">
                  <w:pPr>
                    <w:pStyle w:val="TableColumnHeading"/>
                    <w:ind w:right="28"/>
                    <w:jc w:val="center"/>
                  </w:pPr>
                  <w:r>
                    <w:t>2011–13</w:t>
                  </w:r>
                </w:p>
              </w:tc>
            </w:tr>
            <w:tr w:rsidR="00935C67" w:rsidTr="00510401">
              <w:tc>
                <w:tcPr>
                  <w:tcW w:w="1991" w:type="pct"/>
                  <w:tcBorders>
                    <w:top w:val="single" w:sz="6" w:space="0" w:color="BFBFBF"/>
                    <w:bottom w:val="single" w:sz="6" w:space="0" w:color="BFBFBF"/>
                  </w:tcBorders>
                  <w:shd w:val="clear" w:color="auto" w:fill="auto"/>
                  <w:tcMar>
                    <w:top w:w="28" w:type="dxa"/>
                  </w:tcMar>
                </w:tcPr>
                <w:p w:rsidR="00935C67" w:rsidRDefault="00935C67" w:rsidP="00510401">
                  <w:pPr>
                    <w:pStyle w:val="TableColumnHeading"/>
                    <w:jc w:val="left"/>
                  </w:pPr>
                </w:p>
              </w:tc>
              <w:tc>
                <w:tcPr>
                  <w:tcW w:w="669" w:type="pct"/>
                  <w:tcBorders>
                    <w:top w:val="single" w:sz="6" w:space="0" w:color="BFBFBF"/>
                    <w:bottom w:val="single" w:sz="6" w:space="0" w:color="BFBFBF"/>
                  </w:tcBorders>
                  <w:shd w:val="clear" w:color="auto" w:fill="auto"/>
                  <w:tcMar>
                    <w:top w:w="28" w:type="dxa"/>
                  </w:tcMar>
                </w:tcPr>
                <w:p w:rsidR="00935C67" w:rsidRDefault="00935C67" w:rsidP="00510401">
                  <w:pPr>
                    <w:pStyle w:val="TableColumnHeading"/>
                  </w:pPr>
                  <w:r>
                    <w:t>Indigenous</w:t>
                  </w:r>
                </w:p>
              </w:tc>
              <w:tc>
                <w:tcPr>
                  <w:tcW w:w="835" w:type="pct"/>
                  <w:tcBorders>
                    <w:top w:val="single" w:sz="6" w:space="0" w:color="BFBFBF"/>
                    <w:bottom w:val="single" w:sz="6" w:space="0" w:color="BFBFBF"/>
                  </w:tcBorders>
                  <w:shd w:val="clear" w:color="auto" w:fill="auto"/>
                </w:tcPr>
                <w:p w:rsidR="00935C67" w:rsidRDefault="00935C67" w:rsidP="00510401">
                  <w:pPr>
                    <w:pStyle w:val="TableColumnHeading"/>
                  </w:pPr>
                  <w:r>
                    <w:t>Non</w:t>
                  </w:r>
                  <w:r>
                    <w:noBreakHyphen/>
                    <w:t>Indigenous</w:t>
                  </w:r>
                </w:p>
              </w:tc>
              <w:tc>
                <w:tcPr>
                  <w:tcW w:w="672" w:type="pct"/>
                  <w:tcBorders>
                    <w:top w:val="single" w:sz="6" w:space="0" w:color="BFBFBF"/>
                    <w:bottom w:val="single" w:sz="6" w:space="0" w:color="BFBFBF"/>
                  </w:tcBorders>
                  <w:shd w:val="clear" w:color="auto" w:fill="auto"/>
                  <w:tcMar>
                    <w:top w:w="28" w:type="dxa"/>
                  </w:tcMar>
                </w:tcPr>
                <w:p w:rsidR="00935C67" w:rsidRDefault="00935C67" w:rsidP="00510401">
                  <w:pPr>
                    <w:pStyle w:val="TableColumnHeading"/>
                    <w:ind w:right="28"/>
                  </w:pPr>
                  <w:r>
                    <w:t>Indigenous</w:t>
                  </w:r>
                </w:p>
              </w:tc>
              <w:tc>
                <w:tcPr>
                  <w:tcW w:w="833" w:type="pct"/>
                  <w:tcBorders>
                    <w:top w:val="single" w:sz="6" w:space="0" w:color="BFBFBF"/>
                    <w:bottom w:val="single" w:sz="6" w:space="0" w:color="BFBFBF"/>
                  </w:tcBorders>
                  <w:shd w:val="clear" w:color="auto" w:fill="auto"/>
                </w:tcPr>
                <w:p w:rsidR="00935C67" w:rsidRDefault="00935C67" w:rsidP="00510401">
                  <w:pPr>
                    <w:pStyle w:val="TableColumnHeading"/>
                    <w:ind w:right="0"/>
                  </w:pPr>
                  <w:r>
                    <w:t>Non</w:t>
                  </w:r>
                  <w:r>
                    <w:noBreakHyphen/>
                    <w:t>Indigenous</w:t>
                  </w:r>
                </w:p>
              </w:tc>
            </w:tr>
            <w:tr w:rsidR="00935C67" w:rsidTr="00510401">
              <w:tc>
                <w:tcPr>
                  <w:tcW w:w="5000" w:type="pct"/>
                  <w:gridSpan w:val="5"/>
                  <w:tcBorders>
                    <w:top w:val="single" w:sz="6" w:space="0" w:color="BFBFBF"/>
                  </w:tcBorders>
                </w:tcPr>
                <w:p w:rsidR="00935C67" w:rsidRDefault="00935C67" w:rsidP="00510401">
                  <w:pPr>
                    <w:pStyle w:val="TableUnitsRow"/>
                    <w:spacing w:before="80" w:after="80"/>
                    <w:ind w:right="28"/>
                    <w:jc w:val="left"/>
                  </w:pPr>
                  <w:r w:rsidRPr="000C1F13">
                    <w:rPr>
                      <w:i/>
                    </w:rPr>
                    <w:t>Labour force participation as a proportion of the population aged 18–64 years (%)</w:t>
                  </w:r>
                </w:p>
              </w:tc>
            </w:tr>
            <w:tr w:rsidR="00935C67" w:rsidTr="00510401">
              <w:tc>
                <w:tcPr>
                  <w:tcW w:w="1991" w:type="pct"/>
                </w:tcPr>
                <w:p w:rsidR="00935C67" w:rsidRDefault="00935C67" w:rsidP="00510401">
                  <w:pPr>
                    <w:pStyle w:val="TableBodyText"/>
                    <w:jc w:val="left"/>
                  </w:pPr>
                  <w:r>
                    <w:t>Certificate</w:t>
                  </w:r>
                  <w:r w:rsidRPr="002C05C6">
                    <w:t xml:space="preserve"> III and higher</w:t>
                  </w:r>
                </w:p>
              </w:tc>
              <w:tc>
                <w:tcPr>
                  <w:tcW w:w="669" w:type="pct"/>
                </w:tcPr>
                <w:p w:rsidR="00935C67" w:rsidRDefault="00935C67" w:rsidP="00510401">
                  <w:pPr>
                    <w:pStyle w:val="TableBodyText"/>
                  </w:pPr>
                  <w:r>
                    <w:t>83.9</w:t>
                  </w:r>
                </w:p>
              </w:tc>
              <w:tc>
                <w:tcPr>
                  <w:tcW w:w="835" w:type="pct"/>
                </w:tcPr>
                <w:p w:rsidR="00935C67" w:rsidRDefault="00935C67" w:rsidP="00510401">
                  <w:pPr>
                    <w:pStyle w:val="TableBodyText"/>
                  </w:pPr>
                  <w:r>
                    <w:t>87.2</w:t>
                  </w:r>
                </w:p>
              </w:tc>
              <w:tc>
                <w:tcPr>
                  <w:tcW w:w="672" w:type="pct"/>
                </w:tcPr>
                <w:p w:rsidR="00935C67" w:rsidRPr="006806B7" w:rsidRDefault="00935C67" w:rsidP="00510401">
                  <w:pPr>
                    <w:pStyle w:val="TableBodyText"/>
                  </w:pPr>
                  <w:r>
                    <w:t>78.1</w:t>
                  </w:r>
                </w:p>
              </w:tc>
              <w:tc>
                <w:tcPr>
                  <w:tcW w:w="833" w:type="pct"/>
                </w:tcPr>
                <w:p w:rsidR="00935C67" w:rsidRDefault="00935C67" w:rsidP="00510401">
                  <w:pPr>
                    <w:jc w:val="right"/>
                    <w:rPr>
                      <w:rFonts w:ascii="Arial" w:hAnsi="Arial" w:cs="Arial"/>
                      <w:sz w:val="20"/>
                      <w:szCs w:val="20"/>
                    </w:rPr>
                  </w:pPr>
                  <w:r>
                    <w:rPr>
                      <w:rFonts w:ascii="Arial" w:hAnsi="Arial" w:cs="Arial"/>
                      <w:sz w:val="20"/>
                      <w:szCs w:val="20"/>
                    </w:rPr>
                    <w:t>86.8</w:t>
                  </w:r>
                </w:p>
              </w:tc>
            </w:tr>
            <w:tr w:rsidR="00935C67" w:rsidTr="00510401">
              <w:tc>
                <w:tcPr>
                  <w:tcW w:w="1991" w:type="pct"/>
                  <w:shd w:val="clear" w:color="auto" w:fill="auto"/>
                </w:tcPr>
                <w:p w:rsidR="00935C67" w:rsidRDefault="00935C67" w:rsidP="00510401">
                  <w:pPr>
                    <w:pStyle w:val="TableBodyText"/>
                    <w:jc w:val="left"/>
                  </w:pPr>
                  <w:r>
                    <w:t xml:space="preserve">        Certificate</w:t>
                  </w:r>
                  <w:r w:rsidRPr="002C05C6">
                    <w:t xml:space="preserve"> III to advanced diploma</w:t>
                  </w:r>
                </w:p>
              </w:tc>
              <w:tc>
                <w:tcPr>
                  <w:tcW w:w="669" w:type="pct"/>
                  <w:shd w:val="clear" w:color="auto" w:fill="auto"/>
                </w:tcPr>
                <w:p w:rsidR="00935C67" w:rsidRDefault="00935C67" w:rsidP="00510401">
                  <w:pPr>
                    <w:pStyle w:val="TableBodyText"/>
                  </w:pPr>
                  <w:r>
                    <w:t>81.9</w:t>
                  </w:r>
                </w:p>
              </w:tc>
              <w:tc>
                <w:tcPr>
                  <w:tcW w:w="835" w:type="pct"/>
                  <w:shd w:val="clear" w:color="auto" w:fill="auto"/>
                </w:tcPr>
                <w:p w:rsidR="00935C67" w:rsidRDefault="00935C67" w:rsidP="00510401">
                  <w:pPr>
                    <w:pStyle w:val="TableBodyText"/>
                  </w:pPr>
                  <w:r>
                    <w:t>85.6</w:t>
                  </w:r>
                </w:p>
              </w:tc>
              <w:tc>
                <w:tcPr>
                  <w:tcW w:w="672" w:type="pct"/>
                  <w:shd w:val="clear" w:color="auto" w:fill="auto"/>
                </w:tcPr>
                <w:p w:rsidR="00935C67" w:rsidRDefault="00935C67" w:rsidP="00510401">
                  <w:pPr>
                    <w:pStyle w:val="TableBodyText"/>
                  </w:pPr>
                  <w:r>
                    <w:t>76.7</w:t>
                  </w:r>
                </w:p>
              </w:tc>
              <w:tc>
                <w:tcPr>
                  <w:tcW w:w="833" w:type="pct"/>
                  <w:shd w:val="clear" w:color="auto" w:fill="auto"/>
                </w:tcPr>
                <w:p w:rsidR="00935C67" w:rsidRDefault="00935C67" w:rsidP="00510401">
                  <w:pPr>
                    <w:jc w:val="right"/>
                    <w:rPr>
                      <w:rFonts w:ascii="Arial" w:hAnsi="Arial" w:cs="Arial"/>
                      <w:sz w:val="20"/>
                      <w:szCs w:val="20"/>
                    </w:rPr>
                  </w:pPr>
                  <w:r>
                    <w:rPr>
                      <w:rFonts w:ascii="Arial" w:hAnsi="Arial" w:cs="Arial"/>
                      <w:sz w:val="20"/>
                      <w:szCs w:val="20"/>
                    </w:rPr>
                    <w:t>85.8</w:t>
                  </w:r>
                </w:p>
              </w:tc>
            </w:tr>
            <w:tr w:rsidR="00935C67" w:rsidTr="00510401">
              <w:tc>
                <w:tcPr>
                  <w:tcW w:w="1991" w:type="pct"/>
                  <w:shd w:val="clear" w:color="auto" w:fill="auto"/>
                </w:tcPr>
                <w:p w:rsidR="00935C67" w:rsidRDefault="00935C67" w:rsidP="00510401">
                  <w:pPr>
                    <w:pStyle w:val="TableBodyText"/>
                    <w:jc w:val="left"/>
                  </w:pPr>
                  <w:r>
                    <w:t xml:space="preserve">        </w:t>
                  </w:r>
                  <w:r w:rsidRPr="002C05C6">
                    <w:t>Bachelor degree or higher</w:t>
                  </w:r>
                </w:p>
              </w:tc>
              <w:tc>
                <w:tcPr>
                  <w:tcW w:w="669" w:type="pct"/>
                  <w:shd w:val="clear" w:color="auto" w:fill="auto"/>
                </w:tcPr>
                <w:p w:rsidR="00935C67" w:rsidRDefault="00935C67" w:rsidP="00510401">
                  <w:pPr>
                    <w:pStyle w:val="TableBodyText"/>
                  </w:pPr>
                  <w:r>
                    <w:t>90.8</w:t>
                  </w:r>
                </w:p>
              </w:tc>
              <w:tc>
                <w:tcPr>
                  <w:tcW w:w="835" w:type="pct"/>
                  <w:shd w:val="clear" w:color="auto" w:fill="auto"/>
                </w:tcPr>
                <w:p w:rsidR="00935C67" w:rsidRDefault="00935C67" w:rsidP="00510401">
                  <w:pPr>
                    <w:pStyle w:val="TableBodyText"/>
                  </w:pPr>
                  <w:r>
                    <w:t>89.2</w:t>
                  </w:r>
                </w:p>
              </w:tc>
              <w:tc>
                <w:tcPr>
                  <w:tcW w:w="672" w:type="pct"/>
                  <w:shd w:val="clear" w:color="auto" w:fill="auto"/>
                </w:tcPr>
                <w:p w:rsidR="00935C67" w:rsidRPr="006806B7" w:rsidRDefault="00935C67" w:rsidP="00510401">
                  <w:pPr>
                    <w:pStyle w:val="TableBodyText"/>
                  </w:pPr>
                  <w:r w:rsidRPr="006806B7">
                    <w:t>86.0</w:t>
                  </w:r>
                </w:p>
              </w:tc>
              <w:tc>
                <w:tcPr>
                  <w:tcW w:w="833" w:type="pct"/>
                  <w:shd w:val="clear" w:color="auto" w:fill="auto"/>
                </w:tcPr>
                <w:p w:rsidR="00935C67" w:rsidRDefault="00935C67" w:rsidP="00510401">
                  <w:pPr>
                    <w:jc w:val="right"/>
                    <w:rPr>
                      <w:rFonts w:ascii="Arial" w:hAnsi="Arial" w:cs="Arial"/>
                      <w:sz w:val="20"/>
                      <w:szCs w:val="20"/>
                    </w:rPr>
                  </w:pPr>
                  <w:r>
                    <w:rPr>
                      <w:rFonts w:ascii="Arial" w:hAnsi="Arial" w:cs="Arial"/>
                      <w:sz w:val="20"/>
                      <w:szCs w:val="20"/>
                    </w:rPr>
                    <w:t>87.9</w:t>
                  </w:r>
                </w:p>
              </w:tc>
            </w:tr>
            <w:tr w:rsidR="00935C67" w:rsidTr="00510401">
              <w:tc>
                <w:tcPr>
                  <w:tcW w:w="1991" w:type="pct"/>
                  <w:shd w:val="clear" w:color="auto" w:fill="auto"/>
                </w:tcPr>
                <w:p w:rsidR="00935C67" w:rsidRDefault="00935C67" w:rsidP="00510401">
                  <w:pPr>
                    <w:pStyle w:val="TableBodyText"/>
                    <w:jc w:val="left"/>
                  </w:pPr>
                  <w:r>
                    <w:t>Other</w:t>
                  </w:r>
                </w:p>
              </w:tc>
              <w:tc>
                <w:tcPr>
                  <w:tcW w:w="669" w:type="pct"/>
                  <w:shd w:val="clear" w:color="auto" w:fill="auto"/>
                </w:tcPr>
                <w:p w:rsidR="00935C67" w:rsidRDefault="00935C67" w:rsidP="00510401">
                  <w:pPr>
                    <w:pStyle w:val="TableBodyText"/>
                  </w:pPr>
                  <w:r>
                    <w:t>59.5</w:t>
                  </w:r>
                </w:p>
              </w:tc>
              <w:tc>
                <w:tcPr>
                  <w:tcW w:w="835" w:type="pct"/>
                  <w:shd w:val="clear" w:color="auto" w:fill="auto"/>
                </w:tcPr>
                <w:p w:rsidR="00935C67" w:rsidRDefault="00935C67" w:rsidP="00510401">
                  <w:pPr>
                    <w:pStyle w:val="TableBodyText"/>
                  </w:pPr>
                  <w:r>
                    <w:t>72.5</w:t>
                  </w:r>
                </w:p>
              </w:tc>
              <w:tc>
                <w:tcPr>
                  <w:tcW w:w="672" w:type="pct"/>
                  <w:shd w:val="clear" w:color="auto" w:fill="auto"/>
                </w:tcPr>
                <w:p w:rsidR="00935C67" w:rsidRPr="006806B7" w:rsidRDefault="00935C67" w:rsidP="00510401">
                  <w:pPr>
                    <w:pStyle w:val="TableBodyText"/>
                  </w:pPr>
                  <w:r>
                    <w:t>54.3</w:t>
                  </w:r>
                </w:p>
              </w:tc>
              <w:tc>
                <w:tcPr>
                  <w:tcW w:w="833" w:type="pct"/>
                  <w:shd w:val="clear" w:color="auto" w:fill="auto"/>
                </w:tcPr>
                <w:p w:rsidR="00935C67" w:rsidRDefault="00935C67" w:rsidP="00510401">
                  <w:pPr>
                    <w:jc w:val="right"/>
                    <w:rPr>
                      <w:rFonts w:ascii="Arial" w:hAnsi="Arial" w:cs="Arial"/>
                      <w:sz w:val="20"/>
                      <w:szCs w:val="20"/>
                    </w:rPr>
                  </w:pPr>
                  <w:r>
                    <w:rPr>
                      <w:rFonts w:ascii="Arial" w:hAnsi="Arial" w:cs="Arial"/>
                      <w:sz w:val="20"/>
                      <w:szCs w:val="20"/>
                    </w:rPr>
                    <w:t>73.8</w:t>
                  </w:r>
                </w:p>
              </w:tc>
            </w:tr>
            <w:tr w:rsidR="00935C67" w:rsidTr="00510401">
              <w:tc>
                <w:tcPr>
                  <w:tcW w:w="1991" w:type="pct"/>
                  <w:shd w:val="clear" w:color="auto" w:fill="auto"/>
                </w:tcPr>
                <w:p w:rsidR="00935C67" w:rsidRDefault="00935C67" w:rsidP="00510401">
                  <w:pPr>
                    <w:pStyle w:val="TableBodyText"/>
                    <w:jc w:val="left"/>
                  </w:pPr>
                  <w:r w:rsidRPr="005809EA">
                    <w:rPr>
                      <w:b/>
                    </w:rPr>
                    <w:t>Total</w:t>
                  </w:r>
                </w:p>
              </w:tc>
              <w:tc>
                <w:tcPr>
                  <w:tcW w:w="669" w:type="pct"/>
                  <w:shd w:val="clear" w:color="auto" w:fill="auto"/>
                </w:tcPr>
                <w:p w:rsidR="00935C67" w:rsidRPr="005809EA" w:rsidRDefault="00935C67" w:rsidP="00510401">
                  <w:pPr>
                    <w:pStyle w:val="TableBodyText"/>
                    <w:rPr>
                      <w:b/>
                    </w:rPr>
                  </w:pPr>
                  <w:r w:rsidRPr="005809EA">
                    <w:rPr>
                      <w:b/>
                    </w:rPr>
                    <w:t>64.5</w:t>
                  </w:r>
                </w:p>
              </w:tc>
              <w:tc>
                <w:tcPr>
                  <w:tcW w:w="835" w:type="pct"/>
                  <w:shd w:val="clear" w:color="auto" w:fill="auto"/>
                </w:tcPr>
                <w:p w:rsidR="00935C67" w:rsidRPr="005809EA" w:rsidRDefault="00935C67" w:rsidP="00510401">
                  <w:pPr>
                    <w:pStyle w:val="TableBodyText"/>
                    <w:rPr>
                      <w:b/>
                    </w:rPr>
                  </w:pPr>
                  <w:r w:rsidRPr="005809EA">
                    <w:rPr>
                      <w:b/>
                    </w:rPr>
                    <w:t>79.1</w:t>
                  </w:r>
                </w:p>
              </w:tc>
              <w:tc>
                <w:tcPr>
                  <w:tcW w:w="672" w:type="pct"/>
                  <w:shd w:val="clear" w:color="auto" w:fill="auto"/>
                </w:tcPr>
                <w:p w:rsidR="00935C67" w:rsidRPr="005809EA" w:rsidRDefault="00935C67" w:rsidP="00510401">
                  <w:pPr>
                    <w:pStyle w:val="TableBodyText"/>
                    <w:rPr>
                      <w:b/>
                    </w:rPr>
                  </w:pPr>
                  <w:r w:rsidRPr="005809EA">
                    <w:rPr>
                      <w:b/>
                    </w:rPr>
                    <w:t>62.7</w:t>
                  </w:r>
                </w:p>
              </w:tc>
              <w:tc>
                <w:tcPr>
                  <w:tcW w:w="833" w:type="pct"/>
                  <w:shd w:val="clear" w:color="auto" w:fill="auto"/>
                </w:tcPr>
                <w:p w:rsidR="00935C67" w:rsidRPr="005809EA" w:rsidRDefault="00935C67" w:rsidP="00510401">
                  <w:pPr>
                    <w:jc w:val="right"/>
                    <w:rPr>
                      <w:rFonts w:ascii="Arial" w:hAnsi="Arial" w:cs="Arial"/>
                      <w:b/>
                      <w:sz w:val="20"/>
                      <w:szCs w:val="20"/>
                    </w:rPr>
                  </w:pPr>
                  <w:r w:rsidRPr="005809EA">
                    <w:rPr>
                      <w:rFonts w:ascii="Arial" w:hAnsi="Arial" w:cs="Arial"/>
                      <w:b/>
                      <w:sz w:val="20"/>
                      <w:szCs w:val="20"/>
                    </w:rPr>
                    <w:t>81.6</w:t>
                  </w:r>
                </w:p>
              </w:tc>
            </w:tr>
            <w:tr w:rsidR="00935C67" w:rsidTr="00510401">
              <w:tc>
                <w:tcPr>
                  <w:tcW w:w="5000" w:type="pct"/>
                  <w:gridSpan w:val="5"/>
                  <w:shd w:val="clear" w:color="auto" w:fill="auto"/>
                </w:tcPr>
                <w:p w:rsidR="00935C67" w:rsidRDefault="00935C67" w:rsidP="00510401">
                  <w:pPr>
                    <w:pStyle w:val="TableBodyText"/>
                    <w:spacing w:before="80" w:after="80"/>
                    <w:ind w:right="28"/>
                    <w:jc w:val="left"/>
                  </w:pPr>
                  <w:r w:rsidRPr="000C1F13">
                    <w:rPr>
                      <w:i/>
                    </w:rPr>
                    <w:t>Employed people as a proportion of the population aged 18–64 years (%)</w:t>
                  </w:r>
                </w:p>
              </w:tc>
            </w:tr>
            <w:tr w:rsidR="00935C67" w:rsidTr="00510401">
              <w:tc>
                <w:tcPr>
                  <w:tcW w:w="1991" w:type="pct"/>
                  <w:shd w:val="clear" w:color="auto" w:fill="auto"/>
                </w:tcPr>
                <w:p w:rsidR="00935C67" w:rsidRDefault="00935C67" w:rsidP="00510401">
                  <w:pPr>
                    <w:pStyle w:val="TableBodyText"/>
                    <w:jc w:val="left"/>
                  </w:pPr>
                  <w:r>
                    <w:t>Certificate</w:t>
                  </w:r>
                  <w:r w:rsidRPr="002C05C6">
                    <w:t xml:space="preserve"> III and higher</w:t>
                  </w:r>
                </w:p>
              </w:tc>
              <w:tc>
                <w:tcPr>
                  <w:tcW w:w="669" w:type="pct"/>
                  <w:shd w:val="clear" w:color="auto" w:fill="auto"/>
                </w:tcPr>
                <w:p w:rsidR="00935C67" w:rsidRDefault="00935C67" w:rsidP="00510401">
                  <w:pPr>
                    <w:pStyle w:val="TableBodyText"/>
                  </w:pPr>
                  <w:r>
                    <w:t>74.3</w:t>
                  </w:r>
                </w:p>
              </w:tc>
              <w:tc>
                <w:tcPr>
                  <w:tcW w:w="835" w:type="pct"/>
                  <w:shd w:val="clear" w:color="auto" w:fill="auto"/>
                </w:tcPr>
                <w:p w:rsidR="00935C67" w:rsidRDefault="00935C67" w:rsidP="00510401">
                  <w:pPr>
                    <w:pStyle w:val="TableBodyText"/>
                  </w:pPr>
                  <w:r>
                    <w:t>84.4</w:t>
                  </w:r>
                </w:p>
              </w:tc>
              <w:tc>
                <w:tcPr>
                  <w:tcW w:w="672" w:type="pct"/>
                  <w:shd w:val="clear" w:color="auto" w:fill="auto"/>
                </w:tcPr>
                <w:p w:rsidR="00935C67" w:rsidRPr="00A81512" w:rsidRDefault="00935C67" w:rsidP="00510401">
                  <w:pPr>
                    <w:pStyle w:val="TableBodyText"/>
                  </w:pPr>
                  <w:r w:rsidRPr="00A81512">
                    <w:t>69.7</w:t>
                  </w:r>
                </w:p>
              </w:tc>
              <w:tc>
                <w:tcPr>
                  <w:tcW w:w="833" w:type="pct"/>
                  <w:shd w:val="clear" w:color="auto" w:fill="auto"/>
                </w:tcPr>
                <w:p w:rsidR="00935C67" w:rsidRPr="00B86C60" w:rsidRDefault="00935C67" w:rsidP="00510401">
                  <w:pPr>
                    <w:jc w:val="right"/>
                    <w:rPr>
                      <w:rFonts w:ascii="Arial" w:hAnsi="Arial" w:cs="Arial"/>
                      <w:sz w:val="20"/>
                      <w:szCs w:val="20"/>
                    </w:rPr>
                  </w:pPr>
                  <w:r w:rsidRPr="00B86C60">
                    <w:rPr>
                      <w:rFonts w:ascii="Arial" w:hAnsi="Arial" w:cs="Arial"/>
                      <w:sz w:val="20"/>
                      <w:szCs w:val="20"/>
                    </w:rPr>
                    <w:t>84.6</w:t>
                  </w:r>
                </w:p>
              </w:tc>
            </w:tr>
            <w:tr w:rsidR="00935C67" w:rsidTr="00510401">
              <w:tc>
                <w:tcPr>
                  <w:tcW w:w="1991" w:type="pct"/>
                  <w:shd w:val="clear" w:color="auto" w:fill="auto"/>
                </w:tcPr>
                <w:p w:rsidR="00935C67" w:rsidRDefault="00935C67" w:rsidP="00510401">
                  <w:pPr>
                    <w:pStyle w:val="TableBodyText"/>
                    <w:jc w:val="left"/>
                  </w:pPr>
                  <w:r>
                    <w:t xml:space="preserve">        Certificate</w:t>
                  </w:r>
                  <w:r w:rsidRPr="002C05C6">
                    <w:t xml:space="preserve"> III to advanced diploma</w:t>
                  </w:r>
                </w:p>
              </w:tc>
              <w:tc>
                <w:tcPr>
                  <w:tcW w:w="669" w:type="pct"/>
                  <w:shd w:val="clear" w:color="auto" w:fill="auto"/>
                </w:tcPr>
                <w:p w:rsidR="00935C67" w:rsidRDefault="00935C67" w:rsidP="00510401">
                  <w:pPr>
                    <w:pStyle w:val="TableBodyText"/>
                  </w:pPr>
                  <w:r>
                    <w:t>72.6</w:t>
                  </w:r>
                </w:p>
              </w:tc>
              <w:tc>
                <w:tcPr>
                  <w:tcW w:w="835" w:type="pct"/>
                  <w:shd w:val="clear" w:color="auto" w:fill="auto"/>
                </w:tcPr>
                <w:p w:rsidR="00935C67" w:rsidRDefault="00935C67" w:rsidP="00510401">
                  <w:pPr>
                    <w:pStyle w:val="TableBodyText"/>
                  </w:pPr>
                  <w:r>
                    <w:t>82.4</w:t>
                  </w:r>
                </w:p>
              </w:tc>
              <w:tc>
                <w:tcPr>
                  <w:tcW w:w="672" w:type="pct"/>
                  <w:shd w:val="clear" w:color="auto" w:fill="auto"/>
                </w:tcPr>
                <w:p w:rsidR="00935C67" w:rsidRPr="00A81512" w:rsidRDefault="00935C67" w:rsidP="00510401">
                  <w:pPr>
                    <w:pStyle w:val="TableBodyText"/>
                  </w:pPr>
                  <w:r w:rsidRPr="00A81512">
                    <w:t>67.4</w:t>
                  </w:r>
                </w:p>
              </w:tc>
              <w:tc>
                <w:tcPr>
                  <w:tcW w:w="833" w:type="pct"/>
                  <w:shd w:val="clear" w:color="auto" w:fill="auto"/>
                </w:tcPr>
                <w:p w:rsidR="00935C67" w:rsidRPr="00B86C60" w:rsidRDefault="00935C67" w:rsidP="00510401">
                  <w:pPr>
                    <w:jc w:val="right"/>
                    <w:rPr>
                      <w:rFonts w:ascii="Arial" w:hAnsi="Arial" w:cs="Arial"/>
                      <w:sz w:val="20"/>
                      <w:szCs w:val="20"/>
                    </w:rPr>
                  </w:pPr>
                  <w:r>
                    <w:rPr>
                      <w:rFonts w:ascii="Arial" w:hAnsi="Arial" w:cs="Arial"/>
                      <w:sz w:val="20"/>
                      <w:szCs w:val="20"/>
                    </w:rPr>
                    <w:t xml:space="preserve"> </w:t>
                  </w:r>
                  <w:r w:rsidRPr="00B86C60">
                    <w:rPr>
                      <w:rFonts w:ascii="Arial" w:hAnsi="Arial" w:cs="Arial"/>
                      <w:sz w:val="20"/>
                      <w:szCs w:val="20"/>
                    </w:rPr>
                    <w:t>83.2</w:t>
                  </w:r>
                </w:p>
              </w:tc>
            </w:tr>
            <w:tr w:rsidR="00935C67" w:rsidTr="00510401">
              <w:tc>
                <w:tcPr>
                  <w:tcW w:w="1991" w:type="pct"/>
                  <w:shd w:val="clear" w:color="auto" w:fill="auto"/>
                </w:tcPr>
                <w:p w:rsidR="00935C67" w:rsidRDefault="00935C67" w:rsidP="00510401">
                  <w:pPr>
                    <w:pStyle w:val="TableBodyText"/>
                    <w:jc w:val="left"/>
                  </w:pPr>
                  <w:r>
                    <w:t xml:space="preserve">        </w:t>
                  </w:r>
                  <w:r w:rsidRPr="002C05C6">
                    <w:t>Bachelor degree or higher</w:t>
                  </w:r>
                </w:p>
              </w:tc>
              <w:tc>
                <w:tcPr>
                  <w:tcW w:w="669" w:type="pct"/>
                  <w:shd w:val="clear" w:color="auto" w:fill="auto"/>
                </w:tcPr>
                <w:p w:rsidR="00935C67" w:rsidRDefault="00935C67" w:rsidP="00510401">
                  <w:pPr>
                    <w:pStyle w:val="TableBodyText"/>
                  </w:pPr>
                  <w:r>
                    <w:t>80.4</w:t>
                  </w:r>
                </w:p>
              </w:tc>
              <w:tc>
                <w:tcPr>
                  <w:tcW w:w="835" w:type="pct"/>
                  <w:shd w:val="clear" w:color="auto" w:fill="auto"/>
                </w:tcPr>
                <w:p w:rsidR="00935C67" w:rsidRDefault="00935C67" w:rsidP="00510401">
                  <w:pPr>
                    <w:pStyle w:val="TableBodyText"/>
                  </w:pPr>
                  <w:r>
                    <w:t>86.9</w:t>
                  </w:r>
                </w:p>
              </w:tc>
              <w:tc>
                <w:tcPr>
                  <w:tcW w:w="672" w:type="pct"/>
                  <w:shd w:val="clear" w:color="auto" w:fill="auto"/>
                </w:tcPr>
                <w:p w:rsidR="00935C67" w:rsidRPr="00A81512" w:rsidRDefault="00935C67" w:rsidP="00510401">
                  <w:pPr>
                    <w:pStyle w:val="TableBodyText"/>
                  </w:pPr>
                  <w:r w:rsidRPr="00A81512">
                    <w:t>81.8</w:t>
                  </w:r>
                </w:p>
              </w:tc>
              <w:tc>
                <w:tcPr>
                  <w:tcW w:w="833" w:type="pct"/>
                  <w:shd w:val="clear" w:color="auto" w:fill="auto"/>
                </w:tcPr>
                <w:p w:rsidR="00935C67" w:rsidRPr="00B86C60" w:rsidRDefault="00935C67" w:rsidP="00510401">
                  <w:pPr>
                    <w:jc w:val="right"/>
                    <w:rPr>
                      <w:rFonts w:ascii="Arial" w:hAnsi="Arial" w:cs="Arial"/>
                      <w:sz w:val="20"/>
                      <w:szCs w:val="20"/>
                    </w:rPr>
                  </w:pPr>
                  <w:r>
                    <w:rPr>
                      <w:rFonts w:ascii="Arial" w:hAnsi="Arial" w:cs="Arial"/>
                      <w:sz w:val="20"/>
                      <w:szCs w:val="20"/>
                    </w:rPr>
                    <w:t xml:space="preserve"> </w:t>
                  </w:r>
                  <w:r w:rsidRPr="00B86C60">
                    <w:rPr>
                      <w:rFonts w:ascii="Arial" w:hAnsi="Arial" w:cs="Arial"/>
                      <w:sz w:val="20"/>
                      <w:szCs w:val="20"/>
                    </w:rPr>
                    <w:t>86.3</w:t>
                  </w:r>
                </w:p>
              </w:tc>
            </w:tr>
            <w:tr w:rsidR="00935C67" w:rsidTr="00510401">
              <w:tc>
                <w:tcPr>
                  <w:tcW w:w="1991" w:type="pct"/>
                  <w:shd w:val="clear" w:color="auto" w:fill="auto"/>
                </w:tcPr>
                <w:p w:rsidR="00935C67" w:rsidRDefault="00935C67" w:rsidP="00510401">
                  <w:pPr>
                    <w:pStyle w:val="TableBodyText"/>
                    <w:jc w:val="left"/>
                  </w:pPr>
                  <w:r>
                    <w:t>Other</w:t>
                  </w:r>
                </w:p>
              </w:tc>
              <w:tc>
                <w:tcPr>
                  <w:tcW w:w="669" w:type="pct"/>
                  <w:shd w:val="clear" w:color="auto" w:fill="auto"/>
                </w:tcPr>
                <w:p w:rsidR="00935C67" w:rsidRDefault="00935C67" w:rsidP="00510401">
                  <w:pPr>
                    <w:pStyle w:val="TableBodyText"/>
                  </w:pPr>
                  <w:r>
                    <w:t>46.1</w:t>
                  </w:r>
                </w:p>
              </w:tc>
              <w:tc>
                <w:tcPr>
                  <w:tcW w:w="835" w:type="pct"/>
                  <w:shd w:val="clear" w:color="auto" w:fill="auto"/>
                </w:tcPr>
                <w:p w:rsidR="00935C67" w:rsidRDefault="00935C67" w:rsidP="00510401">
                  <w:pPr>
                    <w:pStyle w:val="TableBodyText"/>
                  </w:pPr>
                  <w:r>
                    <w:t>66.7</w:t>
                  </w:r>
                </w:p>
              </w:tc>
              <w:tc>
                <w:tcPr>
                  <w:tcW w:w="672" w:type="pct"/>
                  <w:shd w:val="clear" w:color="auto" w:fill="auto"/>
                </w:tcPr>
                <w:p w:rsidR="00935C67" w:rsidRPr="00A81512" w:rsidRDefault="00935C67" w:rsidP="00510401">
                  <w:pPr>
                    <w:pStyle w:val="TableBodyText"/>
                  </w:pPr>
                  <w:r w:rsidRPr="00A81512">
                    <w:t>40.5</w:t>
                  </w:r>
                </w:p>
              </w:tc>
              <w:tc>
                <w:tcPr>
                  <w:tcW w:w="833" w:type="pct"/>
                  <w:shd w:val="clear" w:color="auto" w:fill="auto"/>
                </w:tcPr>
                <w:p w:rsidR="00935C67" w:rsidRPr="00B86C60" w:rsidRDefault="00935C67" w:rsidP="00510401">
                  <w:pPr>
                    <w:jc w:val="right"/>
                    <w:rPr>
                      <w:rFonts w:ascii="Arial" w:hAnsi="Arial" w:cs="Arial"/>
                      <w:sz w:val="20"/>
                      <w:szCs w:val="20"/>
                    </w:rPr>
                  </w:pPr>
                  <w:r w:rsidRPr="00B86C60">
                    <w:rPr>
                      <w:rFonts w:ascii="Arial" w:hAnsi="Arial" w:cs="Arial"/>
                      <w:sz w:val="20"/>
                      <w:szCs w:val="20"/>
                    </w:rPr>
                    <w:t>69.4</w:t>
                  </w:r>
                </w:p>
              </w:tc>
            </w:tr>
            <w:tr w:rsidR="00935C67" w:rsidTr="00510401">
              <w:tc>
                <w:tcPr>
                  <w:tcW w:w="1991" w:type="pct"/>
                  <w:tcBorders>
                    <w:bottom w:val="single" w:sz="6" w:space="0" w:color="BFBFBF"/>
                  </w:tcBorders>
                  <w:shd w:val="clear" w:color="auto" w:fill="auto"/>
                </w:tcPr>
                <w:p w:rsidR="00935C67" w:rsidRDefault="00935C67" w:rsidP="00E35110">
                  <w:pPr>
                    <w:pStyle w:val="TableBodyText"/>
                    <w:jc w:val="left"/>
                  </w:pPr>
                  <w:r w:rsidRPr="005809EA">
                    <w:rPr>
                      <w:b/>
                    </w:rPr>
                    <w:t>Total</w:t>
                  </w:r>
                </w:p>
              </w:tc>
              <w:tc>
                <w:tcPr>
                  <w:tcW w:w="669" w:type="pct"/>
                  <w:tcBorders>
                    <w:bottom w:val="single" w:sz="6" w:space="0" w:color="BFBFBF"/>
                  </w:tcBorders>
                  <w:shd w:val="clear" w:color="auto" w:fill="auto"/>
                </w:tcPr>
                <w:p w:rsidR="00935C67" w:rsidRPr="005809EA" w:rsidRDefault="00935C67" w:rsidP="00510401">
                  <w:pPr>
                    <w:pStyle w:val="TableBodyText"/>
                    <w:rPr>
                      <w:b/>
                    </w:rPr>
                  </w:pPr>
                  <w:r w:rsidRPr="005809EA">
                    <w:rPr>
                      <w:b/>
                    </w:rPr>
                    <w:t>51.4</w:t>
                  </w:r>
                </w:p>
              </w:tc>
              <w:tc>
                <w:tcPr>
                  <w:tcW w:w="835" w:type="pct"/>
                  <w:tcBorders>
                    <w:bottom w:val="single" w:sz="6" w:space="0" w:color="BFBFBF"/>
                  </w:tcBorders>
                  <w:shd w:val="clear" w:color="auto" w:fill="auto"/>
                </w:tcPr>
                <w:p w:rsidR="00935C67" w:rsidRPr="005809EA" w:rsidRDefault="00935C67" w:rsidP="00510401">
                  <w:pPr>
                    <w:pStyle w:val="TableBodyText"/>
                    <w:rPr>
                      <w:b/>
                    </w:rPr>
                  </w:pPr>
                  <w:r w:rsidRPr="005809EA">
                    <w:rPr>
                      <w:b/>
                    </w:rPr>
                    <w:t>74.5</w:t>
                  </w:r>
                </w:p>
              </w:tc>
              <w:tc>
                <w:tcPr>
                  <w:tcW w:w="672" w:type="pct"/>
                  <w:tcBorders>
                    <w:bottom w:val="single" w:sz="6" w:space="0" w:color="BFBFBF"/>
                  </w:tcBorders>
                  <w:shd w:val="clear" w:color="auto" w:fill="auto"/>
                </w:tcPr>
                <w:p w:rsidR="00935C67" w:rsidRPr="005809EA" w:rsidRDefault="00935C67" w:rsidP="00510401">
                  <w:pPr>
                    <w:pStyle w:val="TableBodyText"/>
                    <w:rPr>
                      <w:b/>
                    </w:rPr>
                  </w:pPr>
                  <w:r w:rsidRPr="005809EA">
                    <w:rPr>
                      <w:b/>
                    </w:rPr>
                    <w:t>50.7</w:t>
                  </w:r>
                </w:p>
              </w:tc>
              <w:tc>
                <w:tcPr>
                  <w:tcW w:w="833" w:type="pct"/>
                  <w:tcBorders>
                    <w:bottom w:val="single" w:sz="6" w:space="0" w:color="BFBFBF"/>
                  </w:tcBorders>
                  <w:shd w:val="clear" w:color="auto" w:fill="auto"/>
                </w:tcPr>
                <w:p w:rsidR="00935C67" w:rsidRPr="005809EA" w:rsidRDefault="00935C67" w:rsidP="00510401">
                  <w:pPr>
                    <w:jc w:val="right"/>
                    <w:rPr>
                      <w:rFonts w:ascii="Arial" w:hAnsi="Arial" w:cs="Arial"/>
                      <w:b/>
                      <w:sz w:val="20"/>
                      <w:szCs w:val="20"/>
                    </w:rPr>
                  </w:pPr>
                  <w:r w:rsidRPr="005809EA">
                    <w:rPr>
                      <w:rFonts w:ascii="Arial" w:hAnsi="Arial" w:cs="Arial"/>
                      <w:b/>
                      <w:sz w:val="20"/>
                      <w:szCs w:val="20"/>
                    </w:rPr>
                    <w:t>78.6</w:t>
                  </w:r>
                </w:p>
              </w:tc>
            </w:tr>
          </w:tbl>
          <w:p w:rsidR="00935C67" w:rsidRDefault="00935C67" w:rsidP="00510401">
            <w:pPr>
              <w:pStyle w:val="Box"/>
            </w:pPr>
          </w:p>
        </w:tc>
      </w:tr>
      <w:tr w:rsidR="00935C67" w:rsidTr="00510401">
        <w:trPr>
          <w:cantSplit/>
        </w:trPr>
        <w:tc>
          <w:tcPr>
            <w:tcW w:w="8771" w:type="dxa"/>
            <w:tcBorders>
              <w:top w:val="nil"/>
              <w:left w:val="nil"/>
              <w:bottom w:val="nil"/>
              <w:right w:val="nil"/>
            </w:tcBorders>
            <w:shd w:val="clear" w:color="auto" w:fill="auto"/>
          </w:tcPr>
          <w:p w:rsidR="00935C67" w:rsidRDefault="00935C67" w:rsidP="00510401">
            <w:pPr>
              <w:pStyle w:val="Note"/>
              <w:spacing w:line="240" w:lineRule="exact"/>
              <w:rPr>
                <w:i/>
              </w:rPr>
            </w:pPr>
            <w:proofErr w:type="spellStart"/>
            <w:proofErr w:type="gramStart"/>
            <w:r w:rsidRPr="008E77FE">
              <w:rPr>
                <w:rStyle w:val="NoteLabel"/>
              </w:rPr>
              <w:t>a</w:t>
            </w:r>
            <w:proofErr w:type="spellEnd"/>
            <w:proofErr w:type="gramEnd"/>
            <w:r>
              <w:t xml:space="preserve"> </w:t>
            </w:r>
            <w:r w:rsidRPr="00805150">
              <w:t>Excludes people enrolled in secondary school.</w:t>
            </w:r>
            <w:r>
              <w:t xml:space="preserve"> </w:t>
            </w:r>
            <w:proofErr w:type="gramStart"/>
            <w:r w:rsidRPr="00A60065">
              <w:rPr>
                <w:rStyle w:val="NoteLabel"/>
              </w:rPr>
              <w:t>b</w:t>
            </w:r>
            <w:proofErr w:type="gramEnd"/>
            <w:r>
              <w:t xml:space="preserve"> </w:t>
            </w:r>
            <w:r w:rsidRPr="00BE5BCA">
              <w:t xml:space="preserve">Relative standard errors and 95 per cent confidence intervals should be considered when interpreting these data, and are available in </w:t>
            </w:r>
            <w:r w:rsidRPr="00AC57BC">
              <w:t>table 7A.4</w:t>
            </w:r>
            <w:r>
              <w:t>.3</w:t>
            </w:r>
            <w:r w:rsidRPr="00BE5BCA">
              <w:t>.</w:t>
            </w:r>
            <w:r>
              <w:t xml:space="preserve"> </w:t>
            </w:r>
            <w:proofErr w:type="gramStart"/>
            <w:r>
              <w:rPr>
                <w:rStyle w:val="NoteLabel"/>
              </w:rPr>
              <w:t>c</w:t>
            </w:r>
            <w:proofErr w:type="gramEnd"/>
            <w:r>
              <w:t xml:space="preserve"> The 2011–13 reference year includes d</w:t>
            </w:r>
            <w:r w:rsidRPr="00791157">
              <w:t>ata for Aboriginal and Torres Strait Islander Australians from the 2012</w:t>
            </w:r>
            <w:r>
              <w:noBreakHyphen/>
            </w:r>
            <w:r w:rsidRPr="00791157">
              <w:t>13 AATSIHS. Data for non</w:t>
            </w:r>
            <w:r>
              <w:noBreakHyphen/>
            </w:r>
            <w:r w:rsidRPr="00791157">
              <w:t>Indigenous Australians are from the 2011</w:t>
            </w:r>
            <w:r>
              <w:t>–</w:t>
            </w:r>
            <w:r w:rsidRPr="00791157">
              <w:t>13 AHS (for the period 2011</w:t>
            </w:r>
            <w:r>
              <w:noBreakHyphen/>
            </w:r>
            <w:r w:rsidRPr="00791157">
              <w:t>12</w:t>
            </w:r>
            <w:r>
              <w:t>)</w:t>
            </w:r>
            <w:r w:rsidRPr="00791157">
              <w:t>.</w:t>
            </w:r>
            <w:r>
              <w:rPr>
                <w:rStyle w:val="NoteLabel"/>
              </w:rPr>
              <w:t xml:space="preserve">d </w:t>
            </w:r>
            <w:r>
              <w:t>See table 7A.4.3 for detailed footnotes</w:t>
            </w:r>
            <w:r w:rsidRPr="005A6030">
              <w:t>.</w:t>
            </w:r>
            <w:r>
              <w:t xml:space="preserve"> </w:t>
            </w:r>
          </w:p>
        </w:tc>
      </w:tr>
      <w:tr w:rsidR="00935C67" w:rsidTr="00510401">
        <w:trPr>
          <w:cantSplit/>
        </w:trPr>
        <w:tc>
          <w:tcPr>
            <w:tcW w:w="8771" w:type="dxa"/>
            <w:tcBorders>
              <w:top w:val="nil"/>
              <w:left w:val="nil"/>
              <w:bottom w:val="nil"/>
              <w:right w:val="nil"/>
            </w:tcBorders>
            <w:shd w:val="clear" w:color="auto" w:fill="auto"/>
          </w:tcPr>
          <w:p w:rsidR="00935C67" w:rsidRDefault="00935C67" w:rsidP="00510401">
            <w:pPr>
              <w:pStyle w:val="Source"/>
            </w:pPr>
            <w:r>
              <w:rPr>
                <w:i/>
              </w:rPr>
              <w:t>Sources</w:t>
            </w:r>
            <w:r w:rsidRPr="00167F06">
              <w:t xml:space="preserve">: </w:t>
            </w:r>
            <w:r w:rsidRPr="005A6030">
              <w:t>ABS (unpublished) National Aboriginal and Torres Strait Islander Social Survey 2002; ABS (unpublished) General Social Survey 2002; ABS (unpublished) Australian Aboriginal and Torres Strait Islander Health Survey 2012</w:t>
            </w:r>
            <w:r>
              <w:noBreakHyphen/>
            </w:r>
            <w:r w:rsidRPr="005A6030">
              <w:t>13 (2012</w:t>
            </w:r>
            <w:r>
              <w:noBreakHyphen/>
            </w:r>
            <w:r w:rsidRPr="005A6030">
              <w:t>13 Core component); ABS (unpublished) Australian Health Survey 2</w:t>
            </w:r>
            <w:r>
              <w:t>011–13 (2011</w:t>
            </w:r>
            <w:r>
              <w:noBreakHyphen/>
              <w:t>12 Core component); table 7A.4.3.</w:t>
            </w:r>
          </w:p>
        </w:tc>
      </w:tr>
      <w:tr w:rsidR="00935C67" w:rsidTr="00510401">
        <w:trPr>
          <w:cantSplit/>
        </w:trPr>
        <w:tc>
          <w:tcPr>
            <w:tcW w:w="8771" w:type="dxa"/>
            <w:tcBorders>
              <w:top w:val="nil"/>
              <w:left w:val="nil"/>
              <w:bottom w:val="single" w:sz="6" w:space="0" w:color="78A22F"/>
              <w:right w:val="nil"/>
            </w:tcBorders>
            <w:shd w:val="clear" w:color="auto" w:fill="auto"/>
          </w:tcPr>
          <w:p w:rsidR="00935C67" w:rsidRDefault="00935C67" w:rsidP="00510401">
            <w:pPr>
              <w:pStyle w:val="Box"/>
              <w:spacing w:before="0" w:line="120" w:lineRule="exact"/>
            </w:pPr>
          </w:p>
        </w:tc>
      </w:tr>
      <w:tr w:rsidR="00935C67" w:rsidRPr="000863A5" w:rsidTr="00510401">
        <w:tc>
          <w:tcPr>
            <w:tcW w:w="8771" w:type="dxa"/>
            <w:tcBorders>
              <w:top w:val="single" w:sz="6" w:space="0" w:color="78A22F"/>
              <w:left w:val="nil"/>
              <w:bottom w:val="nil"/>
              <w:right w:val="nil"/>
            </w:tcBorders>
          </w:tcPr>
          <w:p w:rsidR="00935C67" w:rsidRPr="00626D32" w:rsidRDefault="00935C67" w:rsidP="00510401">
            <w:pPr>
              <w:pStyle w:val="BoxSpaceBelow"/>
            </w:pPr>
          </w:p>
        </w:tc>
      </w:tr>
    </w:tbl>
    <w:p w:rsidR="00935C67" w:rsidRPr="006E7267" w:rsidRDefault="00935C67" w:rsidP="00935C67">
      <w:pPr>
        <w:pStyle w:val="BodyText"/>
      </w:pPr>
      <w:r w:rsidRPr="006E7267">
        <w:t>Nationally, for people aged 18</w:t>
      </w:r>
      <w:r>
        <w:t>–</w:t>
      </w:r>
      <w:r w:rsidRPr="006E7267">
        <w:t>64 years:</w:t>
      </w:r>
    </w:p>
    <w:p w:rsidR="00935C67" w:rsidRDefault="00935C67" w:rsidP="00935C67">
      <w:pPr>
        <w:pStyle w:val="ListBullet"/>
      </w:pPr>
      <w:proofErr w:type="gramStart"/>
      <w:r>
        <w:t>in</w:t>
      </w:r>
      <w:proofErr w:type="gramEnd"/>
      <w:r>
        <w:t xml:space="preserve"> 2011–13, among </w:t>
      </w:r>
      <w:r w:rsidRPr="00DE6B76">
        <w:t xml:space="preserve">Aboriginal and Torres Strait Islander </w:t>
      </w:r>
      <w:r>
        <w:t xml:space="preserve">Australians, those </w:t>
      </w:r>
      <w:r w:rsidRPr="00DE6B76">
        <w:t xml:space="preserve">with a </w:t>
      </w:r>
      <w:r>
        <w:t>B</w:t>
      </w:r>
      <w:r w:rsidRPr="00DE6B76">
        <w:t xml:space="preserve">achelor </w:t>
      </w:r>
      <w:r>
        <w:t>D</w:t>
      </w:r>
      <w:r w:rsidRPr="00DE6B76">
        <w:t>egree or higher</w:t>
      </w:r>
      <w:r>
        <w:t xml:space="preserve"> had the highest labour force participation rate (86.0 per cent) and </w:t>
      </w:r>
      <w:r w:rsidRPr="00DE6B76">
        <w:t>employment</w:t>
      </w:r>
      <w:r>
        <w:noBreakHyphen/>
        <w:t>to</w:t>
      </w:r>
      <w:r>
        <w:noBreakHyphen/>
        <w:t>population</w:t>
      </w:r>
      <w:r w:rsidRPr="00DE6B76">
        <w:t xml:space="preserve"> </w:t>
      </w:r>
      <w:r>
        <w:t>ratio</w:t>
      </w:r>
      <w:r w:rsidRPr="00DE6B76">
        <w:t xml:space="preserve"> </w:t>
      </w:r>
      <w:r>
        <w:t>(81.8 per cent), similar to that for non</w:t>
      </w:r>
      <w:r>
        <w:noBreakHyphen/>
        <w:t xml:space="preserve">Indigenous Australians with the same level of qualifications. For all other categories, rates for </w:t>
      </w:r>
      <w:r w:rsidRPr="00ED1FAA">
        <w:t>Aboriginal and Torres Strait Islander Australians</w:t>
      </w:r>
      <w:r>
        <w:t xml:space="preserve"> were lower than for non</w:t>
      </w:r>
      <w:r>
        <w:noBreakHyphen/>
        <w:t>Indigenous Australians</w:t>
      </w:r>
    </w:p>
    <w:p w:rsidR="00935C67" w:rsidRPr="00DE6B76" w:rsidRDefault="00935C67" w:rsidP="00935C67">
      <w:pPr>
        <w:pStyle w:val="ListBullet"/>
      </w:pPr>
      <w:proofErr w:type="gramStart"/>
      <w:r>
        <w:t>the</w:t>
      </w:r>
      <w:proofErr w:type="gramEnd"/>
      <w:r>
        <w:t xml:space="preserve"> </w:t>
      </w:r>
      <w:r w:rsidRPr="00EB05FD">
        <w:t>labour force participation rate</w:t>
      </w:r>
      <w:r>
        <w:t xml:space="preserve"> for </w:t>
      </w:r>
      <w:r w:rsidRPr="00DE6B76">
        <w:t>Aboriginal and Torres Strait Islander</w:t>
      </w:r>
      <w:r>
        <w:t xml:space="preserve"> Australians decreased for all qualification categories between 2002 and </w:t>
      </w:r>
      <w:r>
        <w:br/>
        <w:t>2011–13, except for those with a B</w:t>
      </w:r>
      <w:r w:rsidRPr="00EB05FD">
        <w:t xml:space="preserve">achelor </w:t>
      </w:r>
      <w:r>
        <w:t>D</w:t>
      </w:r>
      <w:r w:rsidRPr="00EB05FD">
        <w:t>egree or higher</w:t>
      </w:r>
      <w:r>
        <w:t>, whose labour force participation was stable over time. Employment</w:t>
      </w:r>
      <w:r>
        <w:noBreakHyphen/>
        <w:t>to</w:t>
      </w:r>
      <w:r>
        <w:noBreakHyphen/>
        <w:t xml:space="preserve">population ratios </w:t>
      </w:r>
      <w:r w:rsidRPr="00462572">
        <w:t xml:space="preserve">for Aboriginal and Torres Strait Islander Australians </w:t>
      </w:r>
      <w:r>
        <w:t>were stable over time for those with Certificate III and higher, but fell for those with Certificate II or lower (‘other’)</w:t>
      </w:r>
    </w:p>
    <w:p w:rsidR="00935C67" w:rsidRPr="008C318D" w:rsidRDefault="00935C67" w:rsidP="00935C67">
      <w:pPr>
        <w:pStyle w:val="ListBullet"/>
      </w:pPr>
      <w:proofErr w:type="gramStart"/>
      <w:r>
        <w:lastRenderedPageBreak/>
        <w:t>t</w:t>
      </w:r>
      <w:r w:rsidRPr="008C318D">
        <w:t>he</w:t>
      </w:r>
      <w:proofErr w:type="gramEnd"/>
      <w:r w:rsidRPr="008C318D">
        <w:t xml:space="preserve"> </w:t>
      </w:r>
      <w:r>
        <w:t>non</w:t>
      </w:r>
      <w:r>
        <w:noBreakHyphen/>
        <w:t>Indigenous labour force participation rate and employment</w:t>
      </w:r>
      <w:r>
        <w:noBreakHyphen/>
        <w:t>to</w:t>
      </w:r>
      <w:r>
        <w:noBreakHyphen/>
        <w:t xml:space="preserve">population ratios were higher than their </w:t>
      </w:r>
      <w:r w:rsidRPr="00DE6B76">
        <w:t>Aboriginal and Torres Strait Islander</w:t>
      </w:r>
      <w:r>
        <w:t xml:space="preserve"> counterparts in all categories</w:t>
      </w:r>
      <w:r w:rsidRPr="00CF1774">
        <w:t xml:space="preserve"> </w:t>
      </w:r>
      <w:r>
        <w:t>except for those with a Bachelor D</w:t>
      </w:r>
      <w:r w:rsidRPr="00CF1774">
        <w:t>egree or higher</w:t>
      </w:r>
      <w:r>
        <w:t>, where the rates were similar (table 7.4.1).</w:t>
      </w:r>
    </w:p>
    <w:p w:rsidR="00935C67" w:rsidRPr="00B25BBE" w:rsidRDefault="00935C67" w:rsidP="00935C67">
      <w:pPr>
        <w:pStyle w:val="BodyText"/>
      </w:pPr>
      <w:proofErr w:type="gramStart"/>
      <w:r w:rsidRPr="00B25BBE">
        <w:t>Tables</w:t>
      </w:r>
      <w:proofErr w:type="gramEnd"/>
      <w:r>
        <w:t> </w:t>
      </w:r>
      <w:r w:rsidRPr="00B25BBE">
        <w:t>7A4.3</w:t>
      </w:r>
      <w:r>
        <w:t>–</w:t>
      </w:r>
      <w:r w:rsidRPr="00B25BBE">
        <w:t>5 provide data on the level of highest non</w:t>
      </w:r>
      <w:r>
        <w:noBreakHyphen/>
      </w:r>
      <w:r w:rsidRPr="00B25BBE">
        <w:t xml:space="preserve">school qualification and </w:t>
      </w:r>
      <w:r>
        <w:t>labour force</w:t>
      </w:r>
      <w:r w:rsidRPr="00B25BBE">
        <w:t xml:space="preserve"> status by sex, remoteness, and jurisdiction. </w:t>
      </w:r>
    </w:p>
    <w:p w:rsidR="00935C67" w:rsidRPr="00D742DE" w:rsidRDefault="00935C67" w:rsidP="00935C67">
      <w:pPr>
        <w:pStyle w:val="Heading3"/>
      </w:pPr>
      <w:r w:rsidRPr="00D742DE">
        <w:t>Future directions in data</w:t>
      </w:r>
    </w:p>
    <w:p w:rsidR="00935C67" w:rsidRPr="00D742DE" w:rsidRDefault="00935C67" w:rsidP="00935C67">
      <w:pPr>
        <w:pStyle w:val="BodyText"/>
      </w:pPr>
      <w:r w:rsidRPr="00D742DE">
        <w:t>The AB</w:t>
      </w:r>
      <w:r>
        <w:t>S program of ongoing Indigenous-</w:t>
      </w:r>
      <w:r w:rsidRPr="00D742DE">
        <w:t xml:space="preserve">specific household surveys will continue to provide </w:t>
      </w:r>
      <w:r>
        <w:t>a range of</w:t>
      </w:r>
      <w:r w:rsidRPr="00D742DE">
        <w:t xml:space="preserve"> education and labour </w:t>
      </w:r>
      <w:r>
        <w:t xml:space="preserve">force </w:t>
      </w:r>
      <w:r w:rsidRPr="00D742DE">
        <w:t>data on a three</w:t>
      </w:r>
      <w:r>
        <w:noBreakHyphen/>
      </w:r>
      <w:r w:rsidRPr="00D742DE">
        <w:t>yearly cycle. Data on this topic are also available from the Census.</w:t>
      </w:r>
    </w:p>
    <w:p w:rsidR="00935C67" w:rsidRPr="006C0899" w:rsidRDefault="00935C67" w:rsidP="006C0899">
      <w:pPr>
        <w:pStyle w:val="Heading3"/>
      </w:pPr>
      <w:r w:rsidRPr="006C0899">
        <w:t>References</w:t>
      </w:r>
    </w:p>
    <w:p w:rsidR="00935C67" w:rsidRPr="00B64C86" w:rsidRDefault="00935C67" w:rsidP="00935C67">
      <w:pPr>
        <w:pStyle w:val="Reference"/>
      </w:pPr>
      <w:r w:rsidRPr="00B64C86">
        <w:t xml:space="preserve">AIHW (Australian Institute of Health and Welfare) 2013, </w:t>
      </w:r>
      <w:r w:rsidRPr="00B64C86">
        <w:rPr>
          <w:i/>
          <w:iCs/>
        </w:rPr>
        <w:t>Australia’s welfare 2013</w:t>
      </w:r>
      <w:r w:rsidRPr="00B64C86">
        <w:t xml:space="preserve">, Cat. </w:t>
      </w:r>
      <w:proofErr w:type="gramStart"/>
      <w:r w:rsidRPr="00B64C86">
        <w:t>no</w:t>
      </w:r>
      <w:proofErr w:type="gramEnd"/>
      <w:r w:rsidRPr="00B64C86">
        <w:t>. AUS 174, Canberra.</w:t>
      </w:r>
    </w:p>
    <w:p w:rsidR="00935C67" w:rsidRPr="00B64C86" w:rsidRDefault="00935C67" w:rsidP="00935C67">
      <w:pPr>
        <w:pStyle w:val="Reference"/>
      </w:pPr>
      <w:r w:rsidRPr="00B64C86">
        <w:t xml:space="preserve">Coates, H. and Edwards, D. 2009, </w:t>
      </w:r>
      <w:r w:rsidRPr="00B64C86">
        <w:rPr>
          <w:i/>
          <w:iCs/>
        </w:rPr>
        <w:t>The 2008 Graduate Pathways Survey: Graduates’ education and employment outcomes five years after completion of a bachelor degree at an Australian university</w:t>
      </w:r>
      <w:r w:rsidRPr="00B64C86">
        <w:t xml:space="preserve">, Higher Education Research, </w:t>
      </w:r>
      <w:proofErr w:type="gramStart"/>
      <w:r w:rsidRPr="00B64C86">
        <w:t>12.,</w:t>
      </w:r>
      <w:proofErr w:type="gramEnd"/>
      <w:r w:rsidRPr="00B64C86">
        <w:t xml:space="preserve"> http://research.acer.edu.au</w:t>
      </w:r>
      <w:r>
        <w:br/>
      </w:r>
      <w:r w:rsidRPr="00B64C86">
        <w:t>/</w:t>
      </w:r>
      <w:proofErr w:type="spellStart"/>
      <w:r w:rsidRPr="00B64C86">
        <w:t>cgi</w:t>
      </w:r>
      <w:proofErr w:type="spellEnd"/>
      <w:r w:rsidRPr="00B64C86">
        <w:t>/</w:t>
      </w:r>
      <w:proofErr w:type="spellStart"/>
      <w:r w:rsidRPr="00B64C86">
        <w:t>viewcontent.cgi?article</w:t>
      </w:r>
      <w:proofErr w:type="spellEnd"/>
      <w:r w:rsidRPr="00B64C86">
        <w:t>=1011&amp;context=</w:t>
      </w:r>
      <w:proofErr w:type="spellStart"/>
      <w:r w:rsidRPr="00B64C86">
        <w:t>higher_education</w:t>
      </w:r>
      <w:proofErr w:type="spellEnd"/>
      <w:r w:rsidRPr="00B64C86">
        <w:t xml:space="preserve"> (accessed 26 June 2014).</w:t>
      </w:r>
    </w:p>
    <w:p w:rsidR="00935C67" w:rsidRPr="00B64C86" w:rsidRDefault="00935C67" w:rsidP="00935C67">
      <w:pPr>
        <w:pStyle w:val="Reference"/>
      </w:pPr>
      <w:r w:rsidRPr="00B64C86">
        <w:t xml:space="preserve">Hunter, B.H. 2010, </w:t>
      </w:r>
      <w:r w:rsidRPr="00B64C86">
        <w:rPr>
          <w:i/>
          <w:iCs/>
        </w:rPr>
        <w:t>Pathways for Indigenous School Leavers to Undertake Training or Gain Employment</w:t>
      </w:r>
      <w:r w:rsidRPr="00B64C86">
        <w:t xml:space="preserve">, Resource sheet no. 2, </w:t>
      </w:r>
      <w:proofErr w:type="gramStart"/>
      <w:r w:rsidRPr="00B64C86">
        <w:t>Closing</w:t>
      </w:r>
      <w:proofErr w:type="gramEnd"/>
      <w:r w:rsidRPr="00B64C86">
        <w:t xml:space="preserve"> the Gap Clearinghouse.</w:t>
      </w:r>
    </w:p>
    <w:p w:rsidR="00935C67" w:rsidRPr="00B64C86" w:rsidRDefault="00935C67" w:rsidP="00935C67">
      <w:pPr>
        <w:pStyle w:val="Reference"/>
      </w:pPr>
      <w:r w:rsidRPr="00B64C86">
        <w:t xml:space="preserve">Lamb, S. 2001, </w:t>
      </w:r>
      <w:r w:rsidRPr="00B64C86">
        <w:rPr>
          <w:i/>
          <w:iCs/>
        </w:rPr>
        <w:t>The Pathways from School to Further Study and Work for Australian Graduates</w:t>
      </w:r>
      <w:r w:rsidRPr="00B64C86">
        <w:t>, LSAY Research Report no. 19, Australian Council for Educational Research, Melbourne.</w:t>
      </w:r>
    </w:p>
    <w:p w:rsidR="00935C67" w:rsidRPr="00B64C86" w:rsidRDefault="00935C67" w:rsidP="00935C67">
      <w:pPr>
        <w:pStyle w:val="Reference"/>
      </w:pPr>
      <w:r w:rsidRPr="00B64C86">
        <w:t xml:space="preserve">—— and McKenzie, P. 2001, </w:t>
      </w:r>
      <w:r w:rsidRPr="00B64C86">
        <w:rPr>
          <w:i/>
          <w:iCs/>
        </w:rPr>
        <w:t>Patterns of Success and Failure in the Transition from School to Work in Australia</w:t>
      </w:r>
      <w:r w:rsidRPr="00B64C86">
        <w:t xml:space="preserve">, LSAY Research Report no. 18, Australian Council for Educational Research, </w:t>
      </w:r>
      <w:proofErr w:type="spellStart"/>
      <w:r w:rsidRPr="00B64C86">
        <w:t>Mebourne</w:t>
      </w:r>
      <w:proofErr w:type="spellEnd"/>
      <w:r w:rsidRPr="00B64C86">
        <w:t>.</w:t>
      </w:r>
    </w:p>
    <w:p w:rsidR="00935C67" w:rsidRPr="00B64C86" w:rsidRDefault="00935C67" w:rsidP="00935C67">
      <w:pPr>
        <w:pStyle w:val="Reference"/>
      </w:pPr>
      <w:r w:rsidRPr="00B64C86">
        <w:t xml:space="preserve">Marks, G.N. 2008, </w:t>
      </w:r>
      <w:proofErr w:type="gramStart"/>
      <w:r w:rsidRPr="00B64C86">
        <w:rPr>
          <w:i/>
          <w:iCs/>
        </w:rPr>
        <w:t>The</w:t>
      </w:r>
      <w:proofErr w:type="gramEnd"/>
      <w:r w:rsidRPr="00B64C86">
        <w:rPr>
          <w:i/>
          <w:iCs/>
        </w:rPr>
        <w:t xml:space="preserve"> occupations and earnings of young Australians: the role of education and training</w:t>
      </w:r>
      <w:r w:rsidRPr="00B64C86">
        <w:t>, Australian Council for Educational Research, Camberwell, Vic.</w:t>
      </w:r>
    </w:p>
    <w:p w:rsidR="00935C67" w:rsidRPr="00B64C86" w:rsidRDefault="00935C67" w:rsidP="00935C67">
      <w:pPr>
        <w:pStyle w:val="Reference"/>
      </w:pPr>
      <w:r w:rsidRPr="00B64C86">
        <w:t xml:space="preserve">McMillan, J. and Marks, G.N. 2003, </w:t>
      </w:r>
      <w:r w:rsidRPr="00B64C86">
        <w:rPr>
          <w:i/>
          <w:iCs/>
        </w:rPr>
        <w:t>School Leavers in Australia: Profiles and Pathways</w:t>
      </w:r>
      <w:r w:rsidRPr="00B64C86">
        <w:t>, LSAY Research Report no. 31, Australian Council for Educational Research, Melbourne.</w:t>
      </w:r>
    </w:p>
    <w:p w:rsidR="00F056FC" w:rsidRPr="00935C67" w:rsidRDefault="00935C67" w:rsidP="00935C67">
      <w:pPr>
        <w:pStyle w:val="Reference"/>
        <w:rPr>
          <w:szCs w:val="24"/>
        </w:rPr>
      </w:pPr>
      <w:r w:rsidRPr="00B64C86">
        <w:t xml:space="preserve">SCRGSP (Secretariat for the Review of Government Service Provision) 2014, </w:t>
      </w:r>
      <w:r w:rsidRPr="00B64C86">
        <w:rPr>
          <w:i/>
          <w:iCs/>
        </w:rPr>
        <w:t>Report on Government Services, 2014</w:t>
      </w:r>
      <w:r w:rsidRPr="00B64C86">
        <w:t>, Productivity Commission, Canberra, http://www.pc.gov.au/gsp/rogs (accessed 19 November 2013).</w:t>
      </w:r>
    </w:p>
    <w:sectPr w:rsidR="00F056FC" w:rsidRPr="00935C67" w:rsidSect="00FB5486">
      <w:headerReference w:type="even" r:id="rId12"/>
      <w:headerReference w:type="default" r:id="rId13"/>
      <w:footerReference w:type="even" r:id="rId14"/>
      <w:footerReference w:type="default" r:id="rId15"/>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A7" w:rsidRDefault="00274DA7">
      <w:r>
        <w:separator/>
      </w:r>
    </w:p>
  </w:endnote>
  <w:endnote w:type="continuationSeparator" w:id="0">
    <w:p w:rsidR="00274DA7" w:rsidRDefault="002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B5486" w:rsidTr="005F48ED">
      <w:trPr>
        <w:trHeight w:hRule="exact" w:val="567"/>
      </w:trPr>
      <w:tc>
        <w:tcPr>
          <w:tcW w:w="510" w:type="dxa"/>
        </w:tcPr>
        <w:p w:rsidR="00FB5486" w:rsidRPr="00A24443" w:rsidRDefault="004420CA" w:rsidP="0019293B">
          <w:pPr>
            <w:pStyle w:val="Footer"/>
            <w:tabs>
              <w:tab w:val="left" w:pos="0"/>
            </w:tabs>
            <w:ind w:right="0"/>
            <w:rPr>
              <w:rStyle w:val="PageNumber"/>
              <w:caps w:val="0"/>
            </w:rPr>
          </w:pPr>
          <w:r>
            <w:rPr>
              <w:rStyle w:val="PageNumber"/>
              <w:caps w:val="0"/>
            </w:rPr>
            <w:t>7.</w:t>
          </w:r>
          <w:r w:rsidR="00FB5486" w:rsidRPr="00A24443">
            <w:rPr>
              <w:rStyle w:val="PageNumber"/>
              <w:caps w:val="0"/>
            </w:rPr>
            <w:fldChar w:fldCharType="begin"/>
          </w:r>
          <w:r w:rsidR="00FB5486" w:rsidRPr="00A24443">
            <w:rPr>
              <w:rStyle w:val="PageNumber"/>
              <w:caps w:val="0"/>
            </w:rPr>
            <w:instrText xml:space="preserve">PAGE  </w:instrText>
          </w:r>
          <w:r w:rsidR="00FB5486" w:rsidRPr="00A24443">
            <w:rPr>
              <w:rStyle w:val="PageNumber"/>
              <w:caps w:val="0"/>
            </w:rPr>
            <w:fldChar w:fldCharType="separate"/>
          </w:r>
          <w:r w:rsidR="009E6196">
            <w:rPr>
              <w:rStyle w:val="PageNumber"/>
              <w:caps w:val="0"/>
              <w:noProof/>
            </w:rPr>
            <w:t>22</w:t>
          </w:r>
          <w:r w:rsidR="00FB5486" w:rsidRPr="00A24443">
            <w:rPr>
              <w:rStyle w:val="PageNumber"/>
              <w:caps w:val="0"/>
            </w:rPr>
            <w:fldChar w:fldCharType="end"/>
          </w:r>
        </w:p>
      </w:tc>
      <w:tc>
        <w:tcPr>
          <w:tcW w:w="7767" w:type="dxa"/>
        </w:tcPr>
        <w:p w:rsidR="00FB5486" w:rsidRPr="0013739A" w:rsidRDefault="00A601CA" w:rsidP="0013739A">
          <w:pPr>
            <w:pStyle w:val="Footer"/>
            <w:rPr>
              <w:rFonts w:cs="Arial"/>
            </w:rPr>
          </w:pPr>
          <w:r>
            <w:rPr>
              <w:rFonts w:cs="Arial"/>
            </w:rPr>
            <w:t>Overcoming Indigenous disadvantage 2014</w:t>
          </w:r>
          <w:bookmarkStart w:id="5" w:name="DraftReportEven"/>
          <w:bookmarkEnd w:id="5"/>
        </w:p>
      </w:tc>
      <w:tc>
        <w:tcPr>
          <w:tcW w:w="510" w:type="dxa"/>
        </w:tcPr>
        <w:p w:rsidR="00FB5486" w:rsidRDefault="00FB5486" w:rsidP="0019293B">
          <w:pPr>
            <w:pStyle w:val="Footer"/>
          </w:pPr>
        </w:p>
      </w:tc>
    </w:tr>
  </w:tbl>
  <w:p w:rsidR="00FB5486" w:rsidRDefault="00FB5486"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B5486" w:rsidTr="005F48ED">
      <w:trPr>
        <w:trHeight w:hRule="exact" w:val="567"/>
      </w:trPr>
      <w:tc>
        <w:tcPr>
          <w:tcW w:w="510" w:type="dxa"/>
        </w:tcPr>
        <w:p w:rsidR="00FB5486" w:rsidRDefault="00FB5486">
          <w:pPr>
            <w:pStyle w:val="Footer"/>
            <w:ind w:right="360" w:firstLine="360"/>
          </w:pPr>
        </w:p>
      </w:tc>
      <w:tc>
        <w:tcPr>
          <w:tcW w:w="7767" w:type="dxa"/>
        </w:tcPr>
        <w:p w:rsidR="00FB5486" w:rsidRPr="00BA5B14" w:rsidRDefault="00A601CA" w:rsidP="0013739A">
          <w:pPr>
            <w:pStyle w:val="Footer"/>
            <w:jc w:val="right"/>
            <w:rPr>
              <w:rFonts w:cs="Arial"/>
            </w:rPr>
          </w:pPr>
          <w:r>
            <w:rPr>
              <w:rFonts w:cs="Arial"/>
            </w:rPr>
            <w:t>Education and training</w:t>
          </w:r>
        </w:p>
      </w:tc>
      <w:tc>
        <w:tcPr>
          <w:tcW w:w="510" w:type="dxa"/>
        </w:tcPr>
        <w:p w:rsidR="00FB5486" w:rsidRPr="00A24443" w:rsidRDefault="004420CA">
          <w:pPr>
            <w:pStyle w:val="Footer"/>
            <w:jc w:val="right"/>
            <w:rPr>
              <w:caps w:val="0"/>
            </w:rPr>
          </w:pPr>
          <w:r>
            <w:rPr>
              <w:rStyle w:val="PageNumber"/>
              <w:caps w:val="0"/>
            </w:rPr>
            <w:t>7.</w:t>
          </w:r>
          <w:r w:rsidR="00FB5486" w:rsidRPr="00A24443">
            <w:rPr>
              <w:rStyle w:val="PageNumber"/>
              <w:caps w:val="0"/>
            </w:rPr>
            <w:fldChar w:fldCharType="begin"/>
          </w:r>
          <w:r w:rsidR="00FB5486" w:rsidRPr="00A24443">
            <w:rPr>
              <w:rStyle w:val="PageNumber"/>
              <w:caps w:val="0"/>
            </w:rPr>
            <w:instrText xml:space="preserve">PAGE  </w:instrText>
          </w:r>
          <w:r w:rsidR="00FB5486" w:rsidRPr="00A24443">
            <w:rPr>
              <w:rStyle w:val="PageNumber"/>
              <w:caps w:val="0"/>
            </w:rPr>
            <w:fldChar w:fldCharType="separate"/>
          </w:r>
          <w:r w:rsidR="009E6196">
            <w:rPr>
              <w:rStyle w:val="PageNumber"/>
              <w:caps w:val="0"/>
              <w:noProof/>
            </w:rPr>
            <w:t>1</w:t>
          </w:r>
          <w:r w:rsidR="00FB5486" w:rsidRPr="00A24443">
            <w:rPr>
              <w:rStyle w:val="PageNumber"/>
              <w:caps w:val="0"/>
            </w:rPr>
            <w:fldChar w:fldCharType="end"/>
          </w:r>
        </w:p>
      </w:tc>
    </w:tr>
  </w:tbl>
  <w:p w:rsidR="00FB5486" w:rsidRDefault="00FB5486">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A7" w:rsidRDefault="00274DA7">
      <w:r>
        <w:separator/>
      </w:r>
    </w:p>
  </w:footnote>
  <w:footnote w:type="continuationSeparator" w:id="0">
    <w:p w:rsidR="00274DA7" w:rsidRDefault="00274DA7">
      <w:r>
        <w:continuationSeparator/>
      </w:r>
    </w:p>
  </w:footnote>
  <w:footnote w:id="1">
    <w:p w:rsidR="00935C67" w:rsidRDefault="00935C67" w:rsidP="00935C67">
      <w:pPr>
        <w:pStyle w:val="FootnoteText"/>
      </w:pPr>
      <w:r>
        <w:rPr>
          <w:rStyle w:val="FootnoteReference"/>
        </w:rPr>
        <w:footnoteRef/>
      </w:r>
      <w:r>
        <w:tab/>
        <w:t xml:space="preserve">The Steering Committee notes its appreciation to Dr </w:t>
      </w:r>
      <w:proofErr w:type="spellStart"/>
      <w:r>
        <w:t>Gawaian</w:t>
      </w:r>
      <w:proofErr w:type="spellEnd"/>
      <w:r>
        <w:t xml:space="preserve"> Bodkin-Andrews, Macquarie University, who reviewed a draft of this section of the report.</w:t>
      </w:r>
    </w:p>
  </w:footnote>
  <w:footnote w:id="2">
    <w:p w:rsidR="00935C67" w:rsidRDefault="00935C67" w:rsidP="00935C67">
      <w:pPr>
        <w:pStyle w:val="FootnoteText"/>
      </w:pPr>
      <w:r>
        <w:rPr>
          <w:rStyle w:val="FootnoteReference"/>
        </w:rPr>
        <w:footnoteRef/>
      </w:r>
      <w:r>
        <w:tab/>
      </w:r>
      <w:r w:rsidRPr="009D2DF4">
        <w:t>The compulsory starting age for WA changed from 6 to 5 years of age starting from 2013.</w:t>
      </w:r>
    </w:p>
  </w:footnote>
  <w:footnote w:id="3">
    <w:p w:rsidR="00935C67" w:rsidRDefault="00935C67" w:rsidP="00935C67">
      <w:pPr>
        <w:pStyle w:val="FootnoteText"/>
      </w:pPr>
      <w:r>
        <w:rPr>
          <w:rStyle w:val="FootnoteReference"/>
        </w:rPr>
        <w:footnoteRef/>
      </w:r>
      <w:r>
        <w:tab/>
      </w:r>
      <w:r w:rsidRPr="004D5D5C">
        <w:t xml:space="preserve">The Steering Committee notes its appreciation to Dr </w:t>
      </w:r>
      <w:proofErr w:type="spellStart"/>
      <w:r w:rsidRPr="004D5D5C">
        <w:t>Gawaian</w:t>
      </w:r>
      <w:proofErr w:type="spellEnd"/>
      <w:r w:rsidRPr="004D5D5C">
        <w:t xml:space="preserve"> Bodkin-Andrews, Macquarie University, who reviewed a draft of this section of the report.</w:t>
      </w:r>
    </w:p>
  </w:footnote>
  <w:footnote w:id="4">
    <w:p w:rsidR="00935C67" w:rsidRDefault="00935C67" w:rsidP="00935C67">
      <w:pPr>
        <w:pStyle w:val="FootnoteText"/>
      </w:pPr>
      <w:r>
        <w:rPr>
          <w:rStyle w:val="FootnoteReference"/>
        </w:rPr>
        <w:footnoteRef/>
      </w:r>
      <w:r>
        <w:tab/>
      </w:r>
      <w:r w:rsidRPr="00923F77">
        <w:t xml:space="preserve">The Steering Committee notes its appreciation to Dr </w:t>
      </w:r>
      <w:proofErr w:type="spellStart"/>
      <w:r w:rsidRPr="00923F77">
        <w:t>Gawaian</w:t>
      </w:r>
      <w:proofErr w:type="spellEnd"/>
      <w:r w:rsidRPr="00923F77">
        <w:t xml:space="preserve"> Bodkin-Andrews, Macquarie University, who reviewed a draft of this section of the report.</w:t>
      </w:r>
    </w:p>
  </w:footnote>
  <w:footnote w:id="5">
    <w:p w:rsidR="00935C67" w:rsidRDefault="00935C67" w:rsidP="00935C67">
      <w:pPr>
        <w:pStyle w:val="FootnoteText"/>
      </w:pPr>
      <w:r>
        <w:rPr>
          <w:rStyle w:val="FootnoteReference"/>
        </w:rPr>
        <w:footnoteRef/>
      </w:r>
      <w:r>
        <w:t xml:space="preserve"> </w:t>
      </w:r>
      <w:r>
        <w:rPr>
          <w:rFonts w:ascii="Arial" w:hAnsi="Arial" w:cs="Arial"/>
          <w:color w:val="222222"/>
          <w:sz w:val="18"/>
          <w:szCs w:val="18"/>
          <w:shd w:val="clear" w:color="auto" w:fill="F9F9F9"/>
        </w:rPr>
        <w:t>PISA is a triennial international survey which aims to evaluate education systems worldwide by testing the skills and knowledge of 15-year-old students.</w:t>
      </w:r>
      <w:r w:rsidRPr="009C743C">
        <w:t xml:space="preserve"> </w:t>
      </w:r>
      <w:r w:rsidRPr="009C743C">
        <w:rPr>
          <w:rFonts w:ascii="Arial" w:hAnsi="Arial" w:cs="Arial"/>
          <w:color w:val="222222"/>
          <w:sz w:val="18"/>
          <w:szCs w:val="18"/>
          <w:shd w:val="clear" w:color="auto" w:fill="F9F9F9"/>
        </w:rPr>
        <w:t>In Australia, PISA is a key part of the National Assessment Program (NAP) and complements other NAP assessments</w:t>
      </w:r>
      <w:r>
        <w:rPr>
          <w:rFonts w:ascii="Arial" w:hAnsi="Arial" w:cs="Arial"/>
          <w:color w:val="222222"/>
          <w:sz w:val="18"/>
          <w:szCs w:val="18"/>
          <w:shd w:val="clear" w:color="auto" w:fill="F9F9F9"/>
        </w:rPr>
        <w:t xml:space="preserve">, such as </w:t>
      </w:r>
      <w:r w:rsidRPr="009C743C">
        <w:rPr>
          <w:rFonts w:ascii="Arial" w:hAnsi="Arial" w:cs="Arial"/>
          <w:color w:val="222222"/>
          <w:sz w:val="18"/>
          <w:szCs w:val="18"/>
          <w:shd w:val="clear" w:color="auto" w:fill="F9F9F9"/>
        </w:rPr>
        <w:t>the National Assessment Program — Literacy and Numeracy (NAPLAN).</w:t>
      </w:r>
      <w:r w:rsidRPr="009C743C" w:rsidDel="009C743C">
        <w:rPr>
          <w:rFonts w:ascii="Arial" w:hAnsi="Arial" w:cs="Arial"/>
          <w:color w:val="222222"/>
          <w:sz w:val="18"/>
          <w:szCs w:val="18"/>
          <w:shd w:val="clear" w:color="auto" w:fill="F9F9F9"/>
        </w:rPr>
        <w:t xml:space="preserve"> </w:t>
      </w:r>
    </w:p>
  </w:footnote>
  <w:footnote w:id="6">
    <w:p w:rsidR="00935C67" w:rsidRDefault="00935C67" w:rsidP="00935C67">
      <w:pPr>
        <w:pStyle w:val="FootnoteText"/>
      </w:pPr>
      <w:r>
        <w:rPr>
          <w:rStyle w:val="FootnoteReference"/>
        </w:rPr>
        <w:footnoteRef/>
      </w:r>
      <w:r>
        <w:tab/>
      </w:r>
      <w:r w:rsidRPr="009E2832">
        <w:t xml:space="preserve">The Steering Committee notes its appreciation to Dr </w:t>
      </w:r>
      <w:proofErr w:type="spellStart"/>
      <w:r w:rsidRPr="009E2832">
        <w:t>Gawaian</w:t>
      </w:r>
      <w:proofErr w:type="spellEnd"/>
      <w:r w:rsidRPr="009E2832">
        <w:t xml:space="preserve"> Bodkin-Andrews, Macquarie University, who reviewed a draft of this section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rsidTr="0028738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A601CA">
          <w:pPr>
            <w:pStyle w:val="HeaderEven"/>
            <w:jc w:val="right"/>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A601CA">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1F7E6F"/>
    <w:multiLevelType w:val="multilevel"/>
    <w:tmpl w:val="E946D106"/>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4"/>
  </w:num>
  <w:num w:numId="3">
    <w:abstractNumId w:val="20"/>
  </w:num>
  <w:num w:numId="4">
    <w:abstractNumId w:val="2"/>
  </w:num>
  <w:num w:numId="5">
    <w:abstractNumId w:val="14"/>
  </w:num>
  <w:num w:numId="6">
    <w:abstractNumId w:val="3"/>
  </w:num>
  <w:num w:numId="7">
    <w:abstractNumId w:val="19"/>
  </w:num>
  <w:num w:numId="8">
    <w:abstractNumId w:val="16"/>
  </w:num>
  <w:num w:numId="9">
    <w:abstractNumId w:val="21"/>
  </w:num>
  <w:num w:numId="10">
    <w:abstractNumId w:val="10"/>
  </w:num>
  <w:num w:numId="11">
    <w:abstractNumId w:val="8"/>
  </w:num>
  <w:num w:numId="12">
    <w:abstractNumId w:val="15"/>
  </w:num>
  <w:num w:numId="13">
    <w:abstractNumId w:val="7"/>
  </w:num>
  <w:num w:numId="14">
    <w:abstractNumId w:val="5"/>
  </w:num>
  <w:num w:numId="15">
    <w:abstractNumId w:val="11"/>
  </w:num>
  <w:num w:numId="16">
    <w:abstractNumId w:val="13"/>
  </w:num>
  <w:num w:numId="17">
    <w:abstractNumId w:val="17"/>
  </w:num>
  <w:num w:numId="18">
    <w:abstractNumId w:val="6"/>
  </w:num>
  <w:num w:numId="19">
    <w:abstractNumId w:val="18"/>
  </w:num>
  <w:num w:numId="20">
    <w:abstractNumId w:val="9"/>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Education and training"/>
    <w:docVar w:name="ShortReportTitle" w:val="Overcoming Indigenous disadvantage 2014"/>
  </w:docVars>
  <w:rsids>
    <w:rsidRoot w:val="00274DA7"/>
    <w:rsid w:val="0000752B"/>
    <w:rsid w:val="000227D5"/>
    <w:rsid w:val="000245AA"/>
    <w:rsid w:val="0003664B"/>
    <w:rsid w:val="0004111F"/>
    <w:rsid w:val="0004541C"/>
    <w:rsid w:val="000565B3"/>
    <w:rsid w:val="00065259"/>
    <w:rsid w:val="0007150B"/>
    <w:rsid w:val="000938F5"/>
    <w:rsid w:val="00096E55"/>
    <w:rsid w:val="000A1EAB"/>
    <w:rsid w:val="000B601B"/>
    <w:rsid w:val="000C207E"/>
    <w:rsid w:val="000F0035"/>
    <w:rsid w:val="000F420B"/>
    <w:rsid w:val="00110116"/>
    <w:rsid w:val="00120072"/>
    <w:rsid w:val="0012043F"/>
    <w:rsid w:val="00126EB8"/>
    <w:rsid w:val="001274D4"/>
    <w:rsid w:val="00134B45"/>
    <w:rsid w:val="001363AA"/>
    <w:rsid w:val="00183E82"/>
    <w:rsid w:val="001878BB"/>
    <w:rsid w:val="00191AE0"/>
    <w:rsid w:val="0019293B"/>
    <w:rsid w:val="0019426B"/>
    <w:rsid w:val="001A4E02"/>
    <w:rsid w:val="001B1DD7"/>
    <w:rsid w:val="001C0865"/>
    <w:rsid w:val="001C3ABA"/>
    <w:rsid w:val="001E7BE8"/>
    <w:rsid w:val="001F0248"/>
    <w:rsid w:val="001F3EB3"/>
    <w:rsid w:val="001F4F86"/>
    <w:rsid w:val="00202C2C"/>
    <w:rsid w:val="002135AB"/>
    <w:rsid w:val="002144BE"/>
    <w:rsid w:val="00233793"/>
    <w:rsid w:val="00242279"/>
    <w:rsid w:val="00245C82"/>
    <w:rsid w:val="00274DA7"/>
    <w:rsid w:val="00287385"/>
    <w:rsid w:val="00291B40"/>
    <w:rsid w:val="00291E29"/>
    <w:rsid w:val="002B4008"/>
    <w:rsid w:val="002C594F"/>
    <w:rsid w:val="002D0E8E"/>
    <w:rsid w:val="002D6A3E"/>
    <w:rsid w:val="00301189"/>
    <w:rsid w:val="00310A1D"/>
    <w:rsid w:val="00323E09"/>
    <w:rsid w:val="00333932"/>
    <w:rsid w:val="003518AA"/>
    <w:rsid w:val="00352165"/>
    <w:rsid w:val="00353182"/>
    <w:rsid w:val="003565D9"/>
    <w:rsid w:val="003602E1"/>
    <w:rsid w:val="0037026F"/>
    <w:rsid w:val="00371240"/>
    <w:rsid w:val="00374731"/>
    <w:rsid w:val="00376E59"/>
    <w:rsid w:val="003919F9"/>
    <w:rsid w:val="003B6F04"/>
    <w:rsid w:val="003C38B5"/>
    <w:rsid w:val="003C5D99"/>
    <w:rsid w:val="003E2F59"/>
    <w:rsid w:val="003F0236"/>
    <w:rsid w:val="003F0789"/>
    <w:rsid w:val="00400206"/>
    <w:rsid w:val="00401882"/>
    <w:rsid w:val="004100C8"/>
    <w:rsid w:val="00411DBD"/>
    <w:rsid w:val="00412ACE"/>
    <w:rsid w:val="00431249"/>
    <w:rsid w:val="00434C19"/>
    <w:rsid w:val="004420CA"/>
    <w:rsid w:val="00450810"/>
    <w:rsid w:val="00477144"/>
    <w:rsid w:val="00491380"/>
    <w:rsid w:val="0049459F"/>
    <w:rsid w:val="004A38DD"/>
    <w:rsid w:val="004B43AE"/>
    <w:rsid w:val="004C30ED"/>
    <w:rsid w:val="004D5675"/>
    <w:rsid w:val="004E585A"/>
    <w:rsid w:val="00506032"/>
    <w:rsid w:val="00522FF8"/>
    <w:rsid w:val="00523639"/>
    <w:rsid w:val="00531FE5"/>
    <w:rsid w:val="005402FA"/>
    <w:rsid w:val="0054448D"/>
    <w:rsid w:val="00570971"/>
    <w:rsid w:val="00572310"/>
    <w:rsid w:val="00575202"/>
    <w:rsid w:val="00583C39"/>
    <w:rsid w:val="00587F28"/>
    <w:rsid w:val="005909CF"/>
    <w:rsid w:val="00591E71"/>
    <w:rsid w:val="005A0D41"/>
    <w:rsid w:val="005C4D99"/>
    <w:rsid w:val="005C7092"/>
    <w:rsid w:val="00607BF1"/>
    <w:rsid w:val="00630D4D"/>
    <w:rsid w:val="00632A74"/>
    <w:rsid w:val="006A4655"/>
    <w:rsid w:val="006B2B3C"/>
    <w:rsid w:val="006C0899"/>
    <w:rsid w:val="006C1D81"/>
    <w:rsid w:val="006C7038"/>
    <w:rsid w:val="006E73EF"/>
    <w:rsid w:val="00714D4D"/>
    <w:rsid w:val="007604BB"/>
    <w:rsid w:val="00783CAD"/>
    <w:rsid w:val="00785232"/>
    <w:rsid w:val="007A21EB"/>
    <w:rsid w:val="007A5A1E"/>
    <w:rsid w:val="007B1A93"/>
    <w:rsid w:val="007B54CC"/>
    <w:rsid w:val="007C36C9"/>
    <w:rsid w:val="007C711F"/>
    <w:rsid w:val="007D6401"/>
    <w:rsid w:val="007E01E4"/>
    <w:rsid w:val="007F7107"/>
    <w:rsid w:val="00800D4C"/>
    <w:rsid w:val="0081030F"/>
    <w:rsid w:val="0082087D"/>
    <w:rsid w:val="00835771"/>
    <w:rsid w:val="00842933"/>
    <w:rsid w:val="00845C5A"/>
    <w:rsid w:val="0086082C"/>
    <w:rsid w:val="00861F26"/>
    <w:rsid w:val="00864ADC"/>
    <w:rsid w:val="008713A8"/>
    <w:rsid w:val="00880153"/>
    <w:rsid w:val="00880F97"/>
    <w:rsid w:val="0088133A"/>
    <w:rsid w:val="0089285E"/>
    <w:rsid w:val="0089436C"/>
    <w:rsid w:val="008C3BCE"/>
    <w:rsid w:val="008D365C"/>
    <w:rsid w:val="008F3047"/>
    <w:rsid w:val="008F55B1"/>
    <w:rsid w:val="009030BF"/>
    <w:rsid w:val="0091032F"/>
    <w:rsid w:val="00911B68"/>
    <w:rsid w:val="00914368"/>
    <w:rsid w:val="00931076"/>
    <w:rsid w:val="009345D9"/>
    <w:rsid w:val="00934B15"/>
    <w:rsid w:val="00935C67"/>
    <w:rsid w:val="00940C87"/>
    <w:rsid w:val="00942B62"/>
    <w:rsid w:val="0095323B"/>
    <w:rsid w:val="00956A0C"/>
    <w:rsid w:val="00956BD9"/>
    <w:rsid w:val="00962489"/>
    <w:rsid w:val="00984ECC"/>
    <w:rsid w:val="00990C2C"/>
    <w:rsid w:val="0099587B"/>
    <w:rsid w:val="009A163D"/>
    <w:rsid w:val="009A5234"/>
    <w:rsid w:val="009A5F16"/>
    <w:rsid w:val="009C0CE0"/>
    <w:rsid w:val="009C34A7"/>
    <w:rsid w:val="009E1844"/>
    <w:rsid w:val="009E2F21"/>
    <w:rsid w:val="009E6196"/>
    <w:rsid w:val="009F0D1B"/>
    <w:rsid w:val="009F696D"/>
    <w:rsid w:val="009F6BC6"/>
    <w:rsid w:val="00A00EA2"/>
    <w:rsid w:val="00A15F24"/>
    <w:rsid w:val="00A160C9"/>
    <w:rsid w:val="00A17328"/>
    <w:rsid w:val="00A17EE2"/>
    <w:rsid w:val="00A23A20"/>
    <w:rsid w:val="00A268B9"/>
    <w:rsid w:val="00A2703A"/>
    <w:rsid w:val="00A33DFF"/>
    <w:rsid w:val="00A35115"/>
    <w:rsid w:val="00A36D9A"/>
    <w:rsid w:val="00A554AB"/>
    <w:rsid w:val="00A57062"/>
    <w:rsid w:val="00A601CA"/>
    <w:rsid w:val="00A92B53"/>
    <w:rsid w:val="00A94FA6"/>
    <w:rsid w:val="00AA49A0"/>
    <w:rsid w:val="00AA6710"/>
    <w:rsid w:val="00AB0681"/>
    <w:rsid w:val="00AD520B"/>
    <w:rsid w:val="00AE33CA"/>
    <w:rsid w:val="00B425C3"/>
    <w:rsid w:val="00B440AD"/>
    <w:rsid w:val="00B479BB"/>
    <w:rsid w:val="00B53E7E"/>
    <w:rsid w:val="00B6342E"/>
    <w:rsid w:val="00B7113F"/>
    <w:rsid w:val="00B929F5"/>
    <w:rsid w:val="00B97E60"/>
    <w:rsid w:val="00BA73B6"/>
    <w:rsid w:val="00BA7E27"/>
    <w:rsid w:val="00BB2603"/>
    <w:rsid w:val="00BB4FCD"/>
    <w:rsid w:val="00BC04E9"/>
    <w:rsid w:val="00BD13EA"/>
    <w:rsid w:val="00BE3808"/>
    <w:rsid w:val="00C062E9"/>
    <w:rsid w:val="00C07B64"/>
    <w:rsid w:val="00C13721"/>
    <w:rsid w:val="00C14FE4"/>
    <w:rsid w:val="00C3066D"/>
    <w:rsid w:val="00C40BCD"/>
    <w:rsid w:val="00C52416"/>
    <w:rsid w:val="00C543F4"/>
    <w:rsid w:val="00C6291C"/>
    <w:rsid w:val="00C633CB"/>
    <w:rsid w:val="00C736B7"/>
    <w:rsid w:val="00C81D4A"/>
    <w:rsid w:val="00C8762C"/>
    <w:rsid w:val="00CA00F9"/>
    <w:rsid w:val="00CA2961"/>
    <w:rsid w:val="00CB50D7"/>
    <w:rsid w:val="00CB7177"/>
    <w:rsid w:val="00CC164E"/>
    <w:rsid w:val="00CC1998"/>
    <w:rsid w:val="00CC4946"/>
    <w:rsid w:val="00CE7BEF"/>
    <w:rsid w:val="00D270A4"/>
    <w:rsid w:val="00D31FE9"/>
    <w:rsid w:val="00D34E1B"/>
    <w:rsid w:val="00D376BA"/>
    <w:rsid w:val="00D45634"/>
    <w:rsid w:val="00D53BF6"/>
    <w:rsid w:val="00D5568A"/>
    <w:rsid w:val="00D63D73"/>
    <w:rsid w:val="00D64452"/>
    <w:rsid w:val="00D66E1E"/>
    <w:rsid w:val="00D75722"/>
    <w:rsid w:val="00D80CF5"/>
    <w:rsid w:val="00DA5BBA"/>
    <w:rsid w:val="00DB26D2"/>
    <w:rsid w:val="00DB67C9"/>
    <w:rsid w:val="00DC0C95"/>
    <w:rsid w:val="00DD6580"/>
    <w:rsid w:val="00E17C72"/>
    <w:rsid w:val="00E20AAF"/>
    <w:rsid w:val="00E21FC6"/>
    <w:rsid w:val="00E35110"/>
    <w:rsid w:val="00E40504"/>
    <w:rsid w:val="00E411B7"/>
    <w:rsid w:val="00E431A9"/>
    <w:rsid w:val="00E669E2"/>
    <w:rsid w:val="00E711F0"/>
    <w:rsid w:val="00E76135"/>
    <w:rsid w:val="00E82F4F"/>
    <w:rsid w:val="00EC2844"/>
    <w:rsid w:val="00EC5500"/>
    <w:rsid w:val="00ED18F8"/>
    <w:rsid w:val="00EE576C"/>
    <w:rsid w:val="00EF6C6C"/>
    <w:rsid w:val="00F03901"/>
    <w:rsid w:val="00F056FC"/>
    <w:rsid w:val="00F10476"/>
    <w:rsid w:val="00F135D8"/>
    <w:rsid w:val="00F27504"/>
    <w:rsid w:val="00F31299"/>
    <w:rsid w:val="00F3534A"/>
    <w:rsid w:val="00F51609"/>
    <w:rsid w:val="00F7517E"/>
    <w:rsid w:val="00F81006"/>
    <w:rsid w:val="00F85325"/>
    <w:rsid w:val="00FA1D92"/>
    <w:rsid w:val="00FB5486"/>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6196"/>
    <w:rPr>
      <w:sz w:val="24"/>
      <w:szCs w:val="24"/>
    </w:rPr>
  </w:style>
  <w:style w:type="paragraph" w:styleId="Heading1">
    <w:name w:val="heading 1"/>
    <w:basedOn w:val="BodyText"/>
    <w:next w:val="BodyText"/>
    <w:rsid w:val="009E6196"/>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9E6196"/>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9E6196"/>
    <w:pPr>
      <w:spacing w:before="560" w:line="320" w:lineRule="exact"/>
      <w:ind w:left="0" w:firstLine="0"/>
      <w:outlineLvl w:val="2"/>
    </w:pPr>
    <w:rPr>
      <w:sz w:val="26"/>
    </w:rPr>
  </w:style>
  <w:style w:type="paragraph" w:styleId="Heading4">
    <w:name w:val="heading 4"/>
    <w:basedOn w:val="Heading3"/>
    <w:next w:val="BodyText"/>
    <w:qFormat/>
    <w:rsid w:val="009E6196"/>
    <w:pPr>
      <w:spacing w:before="480"/>
      <w:outlineLvl w:val="3"/>
    </w:pPr>
    <w:rPr>
      <w:b w:val="0"/>
      <w:sz w:val="24"/>
    </w:rPr>
  </w:style>
  <w:style w:type="paragraph" w:styleId="Heading5">
    <w:name w:val="heading 5"/>
    <w:basedOn w:val="Heading4"/>
    <w:next w:val="BodyText"/>
    <w:link w:val="Heading5Char"/>
    <w:qFormat/>
    <w:rsid w:val="009E6196"/>
    <w:pPr>
      <w:outlineLvl w:val="4"/>
    </w:pPr>
    <w:rPr>
      <w:i/>
      <w:sz w:val="22"/>
    </w:rPr>
  </w:style>
  <w:style w:type="paragraph" w:styleId="Heading6">
    <w:name w:val="heading 6"/>
    <w:basedOn w:val="BodyText"/>
    <w:next w:val="BodyText"/>
    <w:rsid w:val="009E6196"/>
    <w:pPr>
      <w:spacing w:after="60"/>
      <w:jc w:val="left"/>
      <w:outlineLvl w:val="5"/>
    </w:pPr>
    <w:rPr>
      <w:i/>
      <w:sz w:val="22"/>
    </w:rPr>
  </w:style>
  <w:style w:type="paragraph" w:styleId="Heading7">
    <w:name w:val="heading 7"/>
    <w:basedOn w:val="BodyText"/>
    <w:next w:val="BodyText"/>
    <w:rsid w:val="009E6196"/>
    <w:pPr>
      <w:spacing w:after="60" w:line="240" w:lineRule="auto"/>
      <w:jc w:val="left"/>
      <w:outlineLvl w:val="6"/>
    </w:pPr>
    <w:rPr>
      <w:rFonts w:ascii="Arial" w:hAnsi="Arial"/>
      <w:sz w:val="20"/>
    </w:rPr>
  </w:style>
  <w:style w:type="paragraph" w:styleId="Heading8">
    <w:name w:val="heading 8"/>
    <w:basedOn w:val="BodyText"/>
    <w:next w:val="BodyText"/>
    <w:rsid w:val="009E6196"/>
    <w:pPr>
      <w:spacing w:after="60" w:line="240" w:lineRule="auto"/>
      <w:jc w:val="left"/>
      <w:outlineLvl w:val="7"/>
    </w:pPr>
    <w:rPr>
      <w:rFonts w:ascii="Arial" w:hAnsi="Arial"/>
      <w:i/>
      <w:sz w:val="20"/>
    </w:rPr>
  </w:style>
  <w:style w:type="paragraph" w:styleId="Heading9">
    <w:name w:val="heading 9"/>
    <w:basedOn w:val="BodyText"/>
    <w:next w:val="BodyText"/>
    <w:rsid w:val="009E619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E6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6196"/>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9E6196"/>
    <w:pPr>
      <w:spacing w:before="240" w:line="300" w:lineRule="atLeast"/>
      <w:jc w:val="both"/>
    </w:pPr>
    <w:rPr>
      <w:sz w:val="24"/>
    </w:rPr>
  </w:style>
  <w:style w:type="paragraph" w:styleId="Footer">
    <w:name w:val="footer"/>
    <w:basedOn w:val="BodyText"/>
    <w:link w:val="FooterChar"/>
    <w:rsid w:val="009E6196"/>
    <w:pPr>
      <w:spacing w:before="80" w:line="200" w:lineRule="exact"/>
      <w:ind w:right="6"/>
      <w:jc w:val="left"/>
    </w:pPr>
    <w:rPr>
      <w:rFonts w:ascii="Arial" w:hAnsi="Arial"/>
      <w:caps/>
      <w:spacing w:val="-4"/>
      <w:sz w:val="16"/>
    </w:rPr>
  </w:style>
  <w:style w:type="paragraph" w:customStyle="1" w:styleId="FooterEnd">
    <w:name w:val="Footer End"/>
    <w:basedOn w:val="Footer"/>
    <w:rsid w:val="009E6196"/>
    <w:pPr>
      <w:spacing w:before="0" w:line="20" w:lineRule="exact"/>
    </w:pPr>
  </w:style>
  <w:style w:type="paragraph" w:styleId="Header">
    <w:name w:val="header"/>
    <w:basedOn w:val="BodyText"/>
    <w:rsid w:val="009E619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E6196"/>
    <w:pPr>
      <w:spacing w:line="20" w:lineRule="exact"/>
    </w:pPr>
    <w:rPr>
      <w:sz w:val="16"/>
    </w:rPr>
  </w:style>
  <w:style w:type="paragraph" w:customStyle="1" w:styleId="HeaderEven">
    <w:name w:val="Header Even"/>
    <w:basedOn w:val="Header"/>
    <w:semiHidden/>
    <w:rsid w:val="009E6196"/>
  </w:style>
  <w:style w:type="paragraph" w:customStyle="1" w:styleId="HeaderOdd">
    <w:name w:val="Header Odd"/>
    <w:basedOn w:val="Header"/>
    <w:semiHidden/>
    <w:rsid w:val="009E6196"/>
  </w:style>
  <w:style w:type="character" w:styleId="PageNumber">
    <w:name w:val="page number"/>
    <w:basedOn w:val="DefaultParagraphFont"/>
    <w:rsid w:val="009E6196"/>
    <w:rPr>
      <w:rFonts w:ascii="Arial" w:hAnsi="Arial"/>
      <w:b/>
      <w:sz w:val="16"/>
    </w:rPr>
  </w:style>
  <w:style w:type="paragraph" w:customStyle="1" w:styleId="Abbreviation">
    <w:name w:val="Abbreviation"/>
    <w:basedOn w:val="BodyText"/>
    <w:rsid w:val="009E6196"/>
    <w:pPr>
      <w:spacing w:before="120"/>
      <w:ind w:left="2381" w:hanging="2381"/>
      <w:jc w:val="left"/>
    </w:pPr>
  </w:style>
  <w:style w:type="paragraph" w:customStyle="1" w:styleId="Box">
    <w:name w:val="Box"/>
    <w:basedOn w:val="BodyText"/>
    <w:link w:val="BoxChar"/>
    <w:qFormat/>
    <w:rsid w:val="009E6196"/>
    <w:pPr>
      <w:keepNext/>
      <w:spacing w:before="120" w:line="260" w:lineRule="atLeast"/>
    </w:pPr>
    <w:rPr>
      <w:rFonts w:ascii="Arial" w:hAnsi="Arial"/>
      <w:sz w:val="20"/>
    </w:rPr>
  </w:style>
  <w:style w:type="paragraph" w:customStyle="1" w:styleId="BoxContinued">
    <w:name w:val="Box Continued"/>
    <w:basedOn w:val="BodyText"/>
    <w:next w:val="BodyText"/>
    <w:semiHidden/>
    <w:rsid w:val="009E6196"/>
    <w:pPr>
      <w:spacing w:before="180" w:line="220" w:lineRule="exact"/>
      <w:jc w:val="right"/>
    </w:pPr>
    <w:rPr>
      <w:rFonts w:ascii="Arial" w:hAnsi="Arial"/>
      <w:sz w:val="18"/>
    </w:rPr>
  </w:style>
  <w:style w:type="paragraph" w:customStyle="1" w:styleId="BoxHeading1">
    <w:name w:val="Box Heading 1"/>
    <w:basedOn w:val="BodyText"/>
    <w:next w:val="Box"/>
    <w:rsid w:val="009E6196"/>
    <w:pPr>
      <w:keepNext/>
      <w:spacing w:before="200" w:line="280" w:lineRule="atLeast"/>
    </w:pPr>
    <w:rPr>
      <w:rFonts w:ascii="Arial" w:hAnsi="Arial"/>
      <w:b/>
      <w:sz w:val="22"/>
    </w:rPr>
  </w:style>
  <w:style w:type="paragraph" w:customStyle="1" w:styleId="BoxHeading2">
    <w:name w:val="Box Heading 2"/>
    <w:basedOn w:val="BoxHeading1"/>
    <w:next w:val="Normal"/>
    <w:rsid w:val="009E6196"/>
    <w:rPr>
      <w:b w:val="0"/>
      <w:i/>
    </w:rPr>
  </w:style>
  <w:style w:type="paragraph" w:customStyle="1" w:styleId="BoxListBullet">
    <w:name w:val="Box List Bullet"/>
    <w:basedOn w:val="BodyText"/>
    <w:link w:val="BoxListBulletChar"/>
    <w:rsid w:val="009E619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9E6196"/>
    <w:pPr>
      <w:numPr>
        <w:numId w:val="2"/>
      </w:numPr>
      <w:ind w:left="568" w:hanging="284"/>
    </w:pPr>
  </w:style>
  <w:style w:type="paragraph" w:customStyle="1" w:styleId="BoxListNumber">
    <w:name w:val="Box List Number"/>
    <w:basedOn w:val="BodyText"/>
    <w:rsid w:val="009E619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9E6196"/>
    <w:pPr>
      <w:numPr>
        <w:ilvl w:val="1"/>
      </w:numPr>
      <w:ind w:left="681" w:hanging="397"/>
    </w:pPr>
  </w:style>
  <w:style w:type="paragraph" w:customStyle="1" w:styleId="BoxQuote">
    <w:name w:val="Box Quote"/>
    <w:basedOn w:val="BodyText"/>
    <w:next w:val="Box"/>
    <w:qFormat/>
    <w:rsid w:val="009E6196"/>
    <w:pPr>
      <w:keepNext/>
      <w:spacing w:before="60" w:line="240" w:lineRule="exact"/>
      <w:ind w:left="284"/>
    </w:pPr>
    <w:rPr>
      <w:rFonts w:ascii="Arial" w:hAnsi="Arial"/>
      <w:sz w:val="18"/>
    </w:rPr>
  </w:style>
  <w:style w:type="paragraph" w:customStyle="1" w:styleId="Note">
    <w:name w:val="Note"/>
    <w:basedOn w:val="BodyText"/>
    <w:next w:val="BodyText"/>
    <w:rsid w:val="009E6196"/>
    <w:pPr>
      <w:keepLines/>
      <w:spacing w:before="80" w:line="220" w:lineRule="exact"/>
    </w:pPr>
    <w:rPr>
      <w:rFonts w:ascii="Arial" w:hAnsi="Arial"/>
      <w:sz w:val="18"/>
    </w:rPr>
  </w:style>
  <w:style w:type="paragraph" w:customStyle="1" w:styleId="Source">
    <w:name w:val="Source"/>
    <w:basedOn w:val="Normal"/>
    <w:next w:val="BodyText"/>
    <w:rsid w:val="009E6196"/>
    <w:pPr>
      <w:keepLines/>
      <w:spacing w:before="80" w:line="220" w:lineRule="exact"/>
      <w:jc w:val="both"/>
    </w:pPr>
    <w:rPr>
      <w:rFonts w:ascii="Arial" w:hAnsi="Arial"/>
      <w:sz w:val="18"/>
      <w:szCs w:val="20"/>
    </w:rPr>
  </w:style>
  <w:style w:type="paragraph" w:customStyle="1" w:styleId="BoxSource">
    <w:name w:val="Box Source"/>
    <w:basedOn w:val="Source"/>
    <w:next w:val="BodyText"/>
    <w:rsid w:val="009E6196"/>
    <w:pPr>
      <w:spacing w:before="120"/>
    </w:pPr>
  </w:style>
  <w:style w:type="paragraph" w:customStyle="1" w:styleId="BoxSpaceAbove">
    <w:name w:val="Box Space Above"/>
    <w:basedOn w:val="BodyText"/>
    <w:rsid w:val="009E6196"/>
    <w:pPr>
      <w:keepNext/>
      <w:spacing w:before="360" w:line="80" w:lineRule="exact"/>
      <w:jc w:val="left"/>
    </w:pPr>
  </w:style>
  <w:style w:type="paragraph" w:styleId="Caption">
    <w:name w:val="caption"/>
    <w:basedOn w:val="Normal"/>
    <w:next w:val="BodyText"/>
    <w:rsid w:val="009E619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E6196"/>
    <w:pPr>
      <w:spacing w:before="120" w:after="0"/>
    </w:pPr>
  </w:style>
  <w:style w:type="paragraph" w:customStyle="1" w:styleId="BoxSubtitle">
    <w:name w:val="Box Subtitle"/>
    <w:basedOn w:val="BoxTitle"/>
    <w:next w:val="Normal"/>
    <w:rsid w:val="009E6196"/>
    <w:pPr>
      <w:spacing w:after="80" w:line="200" w:lineRule="exact"/>
      <w:ind w:firstLine="0"/>
    </w:pPr>
    <w:rPr>
      <w:b w:val="0"/>
      <w:sz w:val="20"/>
    </w:rPr>
  </w:style>
  <w:style w:type="paragraph" w:customStyle="1" w:styleId="Chapter">
    <w:name w:val="Chapter"/>
    <w:basedOn w:val="Heading1"/>
    <w:next w:val="BodyText"/>
    <w:semiHidden/>
    <w:rsid w:val="009E6196"/>
    <w:pPr>
      <w:ind w:left="0" w:firstLine="0"/>
      <w:outlineLvl w:val="9"/>
    </w:pPr>
  </w:style>
  <w:style w:type="paragraph" w:customStyle="1" w:styleId="ChapterSummary">
    <w:name w:val="Chapter Summary"/>
    <w:basedOn w:val="BodyText"/>
    <w:rsid w:val="009E6196"/>
    <w:pPr>
      <w:spacing w:line="280" w:lineRule="atLeast"/>
      <w:ind w:left="907"/>
    </w:pPr>
    <w:rPr>
      <w:rFonts w:ascii="Arial" w:hAnsi="Arial"/>
      <w:b/>
      <w:sz w:val="20"/>
    </w:rPr>
  </w:style>
  <w:style w:type="character" w:styleId="CommentReference">
    <w:name w:val="annotation reference"/>
    <w:basedOn w:val="DefaultParagraphFont"/>
    <w:semiHidden/>
    <w:rsid w:val="009E6196"/>
    <w:rPr>
      <w:b/>
      <w:vanish/>
      <w:color w:val="FF00FF"/>
      <w:sz w:val="20"/>
    </w:rPr>
  </w:style>
  <w:style w:type="paragraph" w:styleId="CommentText">
    <w:name w:val="annotation text"/>
    <w:basedOn w:val="Normal"/>
    <w:link w:val="CommentTextChar"/>
    <w:semiHidden/>
    <w:rsid w:val="009E6196"/>
    <w:pPr>
      <w:spacing w:before="120" w:line="240" w:lineRule="atLeast"/>
      <w:ind w:left="567" w:hanging="567"/>
    </w:pPr>
    <w:rPr>
      <w:sz w:val="20"/>
    </w:rPr>
  </w:style>
  <w:style w:type="paragraph" w:customStyle="1" w:styleId="Continued">
    <w:name w:val="Continued"/>
    <w:basedOn w:val="BoxContinued"/>
    <w:next w:val="BodyText"/>
    <w:rsid w:val="009E6196"/>
  </w:style>
  <w:style w:type="character" w:customStyle="1" w:styleId="DocumentInfo">
    <w:name w:val="Document Info"/>
    <w:basedOn w:val="DefaultParagraphFont"/>
    <w:semiHidden/>
    <w:rsid w:val="009E6196"/>
    <w:rPr>
      <w:rFonts w:ascii="Arial" w:hAnsi="Arial"/>
      <w:sz w:val="14"/>
    </w:rPr>
  </w:style>
  <w:style w:type="character" w:customStyle="1" w:styleId="DraftingNote">
    <w:name w:val="Drafting Note"/>
    <w:basedOn w:val="DefaultParagraphFont"/>
    <w:rsid w:val="009E6196"/>
    <w:rPr>
      <w:b/>
      <w:color w:val="FF0000"/>
      <w:sz w:val="24"/>
      <w:u w:val="dotted"/>
    </w:rPr>
  </w:style>
  <w:style w:type="paragraph" w:customStyle="1" w:styleId="Figure">
    <w:name w:val="Figure"/>
    <w:basedOn w:val="BodyText"/>
    <w:rsid w:val="009E6196"/>
    <w:pPr>
      <w:keepNext/>
      <w:spacing w:before="120" w:after="120" w:line="240" w:lineRule="atLeast"/>
      <w:jc w:val="center"/>
    </w:pPr>
  </w:style>
  <w:style w:type="paragraph" w:customStyle="1" w:styleId="FigureTitle">
    <w:name w:val="Figure Title"/>
    <w:basedOn w:val="Caption"/>
    <w:next w:val="Subtitle"/>
    <w:rsid w:val="009E6196"/>
    <w:pPr>
      <w:spacing w:before="120"/>
    </w:pPr>
  </w:style>
  <w:style w:type="paragraph" w:styleId="Subtitle">
    <w:name w:val="Subtitle"/>
    <w:basedOn w:val="Caption"/>
    <w:link w:val="SubtitleChar"/>
    <w:qFormat/>
    <w:rsid w:val="009E6196"/>
    <w:pPr>
      <w:spacing w:before="0" w:line="200" w:lineRule="exact"/>
      <w:ind w:firstLine="0"/>
    </w:pPr>
    <w:rPr>
      <w:b w:val="0"/>
      <w:sz w:val="20"/>
    </w:rPr>
  </w:style>
  <w:style w:type="paragraph" w:customStyle="1" w:styleId="Finding">
    <w:name w:val="Finding"/>
    <w:basedOn w:val="BodyText"/>
    <w:rsid w:val="009E6196"/>
    <w:pPr>
      <w:keepLines/>
      <w:spacing w:before="120" w:line="280" w:lineRule="atLeast"/>
    </w:pPr>
    <w:rPr>
      <w:rFonts w:ascii="Arial" w:hAnsi="Arial"/>
      <w:sz w:val="22"/>
    </w:rPr>
  </w:style>
  <w:style w:type="paragraph" w:customStyle="1" w:styleId="FindingBullet">
    <w:name w:val="Finding Bullet"/>
    <w:basedOn w:val="Finding"/>
    <w:rsid w:val="009E6196"/>
    <w:pPr>
      <w:numPr>
        <w:numId w:val="3"/>
      </w:numPr>
      <w:spacing w:before="80"/>
    </w:pPr>
  </w:style>
  <w:style w:type="paragraph" w:customStyle="1" w:styleId="FindingNoTitle">
    <w:name w:val="Finding NoTitle"/>
    <w:basedOn w:val="Finding"/>
    <w:semiHidden/>
    <w:rsid w:val="009E6196"/>
    <w:pPr>
      <w:spacing w:before="240"/>
    </w:pPr>
  </w:style>
  <w:style w:type="paragraph" w:customStyle="1" w:styleId="RecTitle">
    <w:name w:val="Rec Title"/>
    <w:basedOn w:val="BodyText"/>
    <w:next w:val="Rec"/>
    <w:qFormat/>
    <w:rsid w:val="009E6196"/>
    <w:pPr>
      <w:keepNext/>
      <w:keepLines/>
      <w:spacing w:line="280" w:lineRule="atLeast"/>
    </w:pPr>
    <w:rPr>
      <w:rFonts w:ascii="Arial" w:hAnsi="Arial"/>
      <w:caps/>
      <w:sz w:val="18"/>
    </w:rPr>
  </w:style>
  <w:style w:type="paragraph" w:customStyle="1" w:styleId="FindingTitle">
    <w:name w:val="Finding Title"/>
    <w:basedOn w:val="RecTitle"/>
    <w:next w:val="Finding"/>
    <w:rsid w:val="009E6196"/>
  </w:style>
  <w:style w:type="character" w:styleId="FootnoteReference">
    <w:name w:val="footnote reference"/>
    <w:basedOn w:val="DefaultParagraphFont"/>
    <w:semiHidden/>
    <w:rsid w:val="009E6196"/>
    <w:rPr>
      <w:rFonts w:ascii="Times New Roman" w:hAnsi="Times New Roman"/>
      <w:position w:val="6"/>
      <w:sz w:val="20"/>
      <w:vertAlign w:val="baseline"/>
    </w:rPr>
  </w:style>
  <w:style w:type="paragraph" w:styleId="FootnoteText">
    <w:name w:val="footnote text"/>
    <w:basedOn w:val="BodyText"/>
    <w:link w:val="FootnoteTextChar"/>
    <w:rsid w:val="009E619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E6196"/>
    <w:rPr>
      <w:i/>
    </w:rPr>
  </w:style>
  <w:style w:type="paragraph" w:customStyle="1" w:styleId="Jurisdictioncommentsbodytext">
    <w:name w:val="Jurisdiction comments body text"/>
    <w:rsid w:val="009E6196"/>
    <w:pPr>
      <w:spacing w:after="140"/>
      <w:jc w:val="both"/>
    </w:pPr>
    <w:rPr>
      <w:rFonts w:ascii="Arial" w:hAnsi="Arial"/>
      <w:sz w:val="24"/>
      <w:lang w:eastAsia="en-US"/>
    </w:rPr>
  </w:style>
  <w:style w:type="paragraph" w:customStyle="1" w:styleId="Jurisdictioncommentsheading">
    <w:name w:val="Jurisdiction comments heading"/>
    <w:rsid w:val="009E619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E6196"/>
    <w:pPr>
      <w:numPr>
        <w:numId w:val="4"/>
      </w:numPr>
      <w:spacing w:after="140"/>
      <w:jc w:val="both"/>
    </w:pPr>
    <w:rPr>
      <w:rFonts w:ascii="Arial" w:hAnsi="Arial"/>
      <w:sz w:val="24"/>
      <w:lang w:eastAsia="en-US"/>
    </w:rPr>
  </w:style>
  <w:style w:type="paragraph" w:styleId="ListBullet">
    <w:name w:val="List Bullet"/>
    <w:basedOn w:val="BodyText"/>
    <w:rsid w:val="009E6196"/>
    <w:pPr>
      <w:numPr>
        <w:numId w:val="5"/>
      </w:numPr>
      <w:spacing w:before="120"/>
    </w:pPr>
  </w:style>
  <w:style w:type="paragraph" w:styleId="ListBullet2">
    <w:name w:val="List Bullet 2"/>
    <w:basedOn w:val="BodyText"/>
    <w:rsid w:val="009E6196"/>
    <w:pPr>
      <w:numPr>
        <w:numId w:val="6"/>
      </w:numPr>
      <w:spacing w:before="120"/>
    </w:pPr>
  </w:style>
  <w:style w:type="paragraph" w:styleId="ListBullet3">
    <w:name w:val="List Bullet 3"/>
    <w:basedOn w:val="BodyText"/>
    <w:rsid w:val="009E6196"/>
    <w:pPr>
      <w:numPr>
        <w:numId w:val="7"/>
      </w:numPr>
      <w:spacing w:before="120"/>
      <w:ind w:left="1020" w:hanging="340"/>
    </w:pPr>
  </w:style>
  <w:style w:type="paragraph" w:styleId="ListNumber">
    <w:name w:val="List Number"/>
    <w:basedOn w:val="BodyText"/>
    <w:rsid w:val="009E6196"/>
    <w:pPr>
      <w:numPr>
        <w:numId w:val="13"/>
      </w:numPr>
      <w:spacing w:before="120"/>
    </w:pPr>
  </w:style>
  <w:style w:type="paragraph" w:styleId="ListNumber2">
    <w:name w:val="List Number 2"/>
    <w:basedOn w:val="ListNumber"/>
    <w:rsid w:val="009E6196"/>
    <w:pPr>
      <w:numPr>
        <w:ilvl w:val="1"/>
      </w:numPr>
    </w:pPr>
  </w:style>
  <w:style w:type="paragraph" w:styleId="ListNumber3">
    <w:name w:val="List Number 3"/>
    <w:basedOn w:val="ListNumber2"/>
    <w:rsid w:val="009E6196"/>
    <w:pPr>
      <w:numPr>
        <w:ilvl w:val="2"/>
      </w:numPr>
    </w:pPr>
  </w:style>
  <w:style w:type="character" w:customStyle="1" w:styleId="NoteLabel">
    <w:name w:val="Note Label"/>
    <w:basedOn w:val="DefaultParagraphFont"/>
    <w:rsid w:val="009E6196"/>
    <w:rPr>
      <w:rFonts w:ascii="Arial" w:hAnsi="Arial"/>
      <w:b/>
      <w:position w:val="6"/>
      <w:sz w:val="18"/>
    </w:rPr>
  </w:style>
  <w:style w:type="paragraph" w:customStyle="1" w:styleId="PartDivider">
    <w:name w:val="Part Divider"/>
    <w:basedOn w:val="BodyText"/>
    <w:next w:val="BodyText"/>
    <w:semiHidden/>
    <w:rsid w:val="009E6196"/>
    <w:pPr>
      <w:spacing w:before="0" w:line="40" w:lineRule="exact"/>
      <w:jc w:val="right"/>
    </w:pPr>
    <w:rPr>
      <w:smallCaps/>
      <w:sz w:val="16"/>
    </w:rPr>
  </w:style>
  <w:style w:type="paragraph" w:customStyle="1" w:styleId="PartNumber">
    <w:name w:val="Part Number"/>
    <w:basedOn w:val="BodyText"/>
    <w:next w:val="BodyText"/>
    <w:semiHidden/>
    <w:rsid w:val="009E6196"/>
    <w:pPr>
      <w:spacing w:before="4000" w:line="320" w:lineRule="exact"/>
      <w:ind w:left="6634"/>
      <w:jc w:val="right"/>
    </w:pPr>
    <w:rPr>
      <w:smallCaps/>
      <w:spacing w:val="60"/>
      <w:sz w:val="32"/>
    </w:rPr>
  </w:style>
  <w:style w:type="paragraph" w:customStyle="1" w:styleId="PartTitle">
    <w:name w:val="Part Title"/>
    <w:basedOn w:val="BodyText"/>
    <w:semiHidden/>
    <w:rsid w:val="009E6196"/>
    <w:pPr>
      <w:spacing w:before="160" w:after="1360" w:line="520" w:lineRule="exact"/>
      <w:ind w:right="2381"/>
      <w:jc w:val="right"/>
    </w:pPr>
    <w:rPr>
      <w:smallCaps/>
      <w:sz w:val="52"/>
    </w:rPr>
  </w:style>
  <w:style w:type="paragraph" w:styleId="Quote">
    <w:name w:val="Quote"/>
    <w:basedOn w:val="BodyText"/>
    <w:next w:val="BodyText"/>
    <w:qFormat/>
    <w:rsid w:val="009E6196"/>
    <w:pPr>
      <w:spacing w:before="120" w:line="280" w:lineRule="exact"/>
      <w:ind w:left="340"/>
    </w:pPr>
    <w:rPr>
      <w:sz w:val="22"/>
    </w:rPr>
  </w:style>
  <w:style w:type="paragraph" w:customStyle="1" w:styleId="QuoteBullet">
    <w:name w:val="Quote Bullet"/>
    <w:basedOn w:val="Quote"/>
    <w:rsid w:val="009E6196"/>
    <w:pPr>
      <w:numPr>
        <w:numId w:val="8"/>
      </w:numPr>
    </w:pPr>
  </w:style>
  <w:style w:type="paragraph" w:customStyle="1" w:styleId="Rec">
    <w:name w:val="Rec"/>
    <w:basedOn w:val="BodyText"/>
    <w:qFormat/>
    <w:rsid w:val="009E6196"/>
    <w:pPr>
      <w:keepLines/>
      <w:spacing w:before="120" w:line="280" w:lineRule="atLeast"/>
    </w:pPr>
    <w:rPr>
      <w:rFonts w:ascii="Arial" w:hAnsi="Arial"/>
      <w:sz w:val="22"/>
    </w:rPr>
  </w:style>
  <w:style w:type="paragraph" w:customStyle="1" w:styleId="RecBullet">
    <w:name w:val="Rec Bullet"/>
    <w:basedOn w:val="Rec"/>
    <w:rsid w:val="009E6196"/>
    <w:pPr>
      <w:numPr>
        <w:numId w:val="9"/>
      </w:numPr>
      <w:spacing w:before="80"/>
    </w:pPr>
  </w:style>
  <w:style w:type="paragraph" w:customStyle="1" w:styleId="RecB">
    <w:name w:val="RecB"/>
    <w:basedOn w:val="Normal"/>
    <w:semiHidden/>
    <w:rsid w:val="009E619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9E6196"/>
    <w:pPr>
      <w:numPr>
        <w:numId w:val="10"/>
      </w:numPr>
      <w:spacing w:before="80"/>
    </w:pPr>
  </w:style>
  <w:style w:type="paragraph" w:customStyle="1" w:styleId="RecBNoTitle">
    <w:name w:val="RecB NoTitle"/>
    <w:basedOn w:val="RecB"/>
    <w:semiHidden/>
    <w:rsid w:val="009E6196"/>
    <w:pPr>
      <w:spacing w:before="240"/>
    </w:pPr>
  </w:style>
  <w:style w:type="paragraph" w:customStyle="1" w:styleId="Reference">
    <w:name w:val="Reference"/>
    <w:basedOn w:val="BodyText"/>
    <w:rsid w:val="009E6196"/>
    <w:pPr>
      <w:spacing w:before="120"/>
      <w:ind w:left="340" w:hanging="340"/>
    </w:pPr>
  </w:style>
  <w:style w:type="paragraph" w:customStyle="1" w:styleId="SequenceInfo">
    <w:name w:val="Sequence Info"/>
    <w:basedOn w:val="BodyText"/>
    <w:semiHidden/>
    <w:rsid w:val="009E6196"/>
    <w:rPr>
      <w:vanish/>
      <w:sz w:val="16"/>
    </w:rPr>
  </w:style>
  <w:style w:type="paragraph" w:customStyle="1" w:styleId="SideNote">
    <w:name w:val="Side Note"/>
    <w:basedOn w:val="BodyText"/>
    <w:next w:val="BodyText"/>
    <w:semiHidden/>
    <w:rsid w:val="009E619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9E6196"/>
    <w:pPr>
      <w:framePr w:wrap="around"/>
      <w:numPr>
        <w:numId w:val="11"/>
      </w:numPr>
      <w:tabs>
        <w:tab w:val="left" w:pos="227"/>
      </w:tabs>
    </w:pPr>
  </w:style>
  <w:style w:type="paragraph" w:customStyle="1" w:styleId="SideNoteGraphic">
    <w:name w:val="Side Note Graphic"/>
    <w:basedOn w:val="SideNote"/>
    <w:next w:val="BodyText"/>
    <w:semiHidden/>
    <w:rsid w:val="009E6196"/>
    <w:pPr>
      <w:framePr w:wrap="around"/>
    </w:pPr>
  </w:style>
  <w:style w:type="paragraph" w:customStyle="1" w:styleId="TableBodyText">
    <w:name w:val="Table Body Text"/>
    <w:basedOn w:val="BodyText"/>
    <w:link w:val="TableBodyTextChar"/>
    <w:rsid w:val="009E619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E6196"/>
    <w:pPr>
      <w:numPr>
        <w:numId w:val="12"/>
      </w:numPr>
      <w:jc w:val="left"/>
    </w:pPr>
  </w:style>
  <w:style w:type="paragraph" w:customStyle="1" w:styleId="TableColumnHeading">
    <w:name w:val="Table Column Heading"/>
    <w:basedOn w:val="TableBodyText"/>
    <w:rsid w:val="009E6196"/>
    <w:pPr>
      <w:spacing w:before="80" w:after="80"/>
    </w:pPr>
    <w:rPr>
      <w:i/>
    </w:rPr>
  </w:style>
  <w:style w:type="paragraph" w:styleId="TOC2">
    <w:name w:val="toc 2"/>
    <w:basedOn w:val="TOC1"/>
    <w:rsid w:val="009E6196"/>
    <w:pPr>
      <w:ind w:left="1134" w:hanging="624"/>
    </w:pPr>
    <w:rPr>
      <w:b w:val="0"/>
    </w:rPr>
  </w:style>
  <w:style w:type="paragraph" w:styleId="TOC3">
    <w:name w:val="toc 3"/>
    <w:basedOn w:val="TOC2"/>
    <w:rsid w:val="009E6196"/>
    <w:pPr>
      <w:spacing w:before="60"/>
      <w:ind w:left="1190" w:hanging="680"/>
    </w:pPr>
  </w:style>
  <w:style w:type="paragraph" w:styleId="TableofFigures">
    <w:name w:val="table of figures"/>
    <w:basedOn w:val="TOC3"/>
    <w:next w:val="BodyText"/>
    <w:semiHidden/>
    <w:rsid w:val="009E6196"/>
    <w:pPr>
      <w:ind w:left="737" w:hanging="737"/>
    </w:pPr>
  </w:style>
  <w:style w:type="paragraph" w:customStyle="1" w:styleId="TableTitle">
    <w:name w:val="Table Title"/>
    <w:basedOn w:val="Caption"/>
    <w:next w:val="Subtitle"/>
    <w:qFormat/>
    <w:rsid w:val="009E6196"/>
    <w:pPr>
      <w:spacing w:before="120"/>
    </w:pPr>
  </w:style>
  <w:style w:type="paragraph" w:customStyle="1" w:styleId="TableUnitsRow">
    <w:name w:val="Table Units Row"/>
    <w:basedOn w:val="TableBodyText"/>
    <w:rsid w:val="009E6196"/>
    <w:pPr>
      <w:spacing w:before="40"/>
    </w:pPr>
  </w:style>
  <w:style w:type="paragraph" w:styleId="TOC1">
    <w:name w:val="toc 1"/>
    <w:basedOn w:val="Normal"/>
    <w:next w:val="TOC2"/>
    <w:link w:val="TOC1Char"/>
    <w:rsid w:val="009E619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9E6196"/>
    <w:pPr>
      <w:ind w:left="1191" w:firstLine="0"/>
    </w:pPr>
  </w:style>
  <w:style w:type="paragraph" w:customStyle="1" w:styleId="RecBBullet2">
    <w:name w:val="RecB Bullet 2"/>
    <w:basedOn w:val="ListBullet2"/>
    <w:semiHidden/>
    <w:rsid w:val="009E6196"/>
    <w:pPr>
      <w:pBdr>
        <w:left w:val="single" w:sz="24" w:space="29" w:color="C0C0C0"/>
      </w:pBdr>
    </w:pPr>
    <w:rPr>
      <w:b/>
      <w:i/>
    </w:rPr>
  </w:style>
  <w:style w:type="paragraph" w:styleId="BalloonText">
    <w:name w:val="Balloon Text"/>
    <w:basedOn w:val="Normal"/>
    <w:link w:val="BalloonTextChar"/>
    <w:rsid w:val="009E6196"/>
    <w:rPr>
      <w:rFonts w:ascii="Tahoma" w:hAnsi="Tahoma" w:cs="Tahoma"/>
      <w:sz w:val="16"/>
      <w:szCs w:val="16"/>
    </w:rPr>
  </w:style>
  <w:style w:type="character" w:customStyle="1" w:styleId="BalloonTextChar">
    <w:name w:val="Balloon Text Char"/>
    <w:basedOn w:val="DefaultParagraphFont"/>
    <w:link w:val="BalloonText"/>
    <w:rsid w:val="009E6196"/>
    <w:rPr>
      <w:rFonts w:ascii="Tahoma" w:hAnsi="Tahoma" w:cs="Tahoma"/>
      <w:sz w:val="16"/>
      <w:szCs w:val="16"/>
    </w:rPr>
  </w:style>
  <w:style w:type="character" w:customStyle="1" w:styleId="SubtitleChar">
    <w:name w:val="Subtitle Char"/>
    <w:basedOn w:val="DefaultParagraphFont"/>
    <w:link w:val="Subtitle"/>
    <w:rsid w:val="009E6196"/>
    <w:rPr>
      <w:rFonts w:ascii="Arial" w:hAnsi="Arial"/>
      <w:szCs w:val="24"/>
    </w:rPr>
  </w:style>
  <w:style w:type="paragraph" w:customStyle="1" w:styleId="BoxListBullet3">
    <w:name w:val="Box List Bullet 3"/>
    <w:basedOn w:val="ListBullet3"/>
    <w:rsid w:val="009E619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E6196"/>
    <w:rPr>
      <w:i/>
      <w:iCs/>
    </w:rPr>
  </w:style>
  <w:style w:type="paragraph" w:customStyle="1" w:styleId="BoxQuoteBullet">
    <w:name w:val="Box Quote Bullet"/>
    <w:basedOn w:val="BoxQuote"/>
    <w:next w:val="Box"/>
    <w:rsid w:val="009E6196"/>
    <w:pPr>
      <w:numPr>
        <w:numId w:val="15"/>
      </w:numPr>
      <w:ind w:left="568" w:hanging="284"/>
    </w:pPr>
  </w:style>
  <w:style w:type="paragraph" w:customStyle="1" w:styleId="InformationRequestBullet">
    <w:name w:val="Information Request Bullet"/>
    <w:basedOn w:val="ListBullet"/>
    <w:next w:val="BodyText"/>
    <w:rsid w:val="009E619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6196"/>
    <w:pPr>
      <w:keepNext w:val="0"/>
      <w:spacing w:before="60" w:after="60" w:line="80" w:lineRule="exact"/>
    </w:pPr>
    <w:rPr>
      <w:sz w:val="14"/>
    </w:rPr>
  </w:style>
  <w:style w:type="table" w:styleId="TableGrid">
    <w:name w:val="Table Grid"/>
    <w:basedOn w:val="TableNormal"/>
    <w:rsid w:val="009E6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4448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4448D"/>
    <w:rPr>
      <w:szCs w:val="24"/>
    </w:rPr>
  </w:style>
  <w:style w:type="character" w:customStyle="1" w:styleId="CommentSubjectChar">
    <w:name w:val="Comment Subject Char"/>
    <w:basedOn w:val="CommentTextChar"/>
    <w:link w:val="CommentSubject"/>
    <w:rsid w:val="0054448D"/>
    <w:rPr>
      <w:b/>
      <w:bCs/>
      <w:szCs w:val="24"/>
    </w:rPr>
  </w:style>
  <w:style w:type="paragraph" w:styleId="Revision">
    <w:name w:val="Revision"/>
    <w:hidden/>
    <w:uiPriority w:val="99"/>
    <w:semiHidden/>
    <w:rsid w:val="0054448D"/>
    <w:rPr>
      <w:sz w:val="26"/>
      <w:szCs w:val="24"/>
    </w:rPr>
  </w:style>
  <w:style w:type="paragraph" w:customStyle="1" w:styleId="KeyPointsListBullet">
    <w:name w:val="Key Points List Bullet"/>
    <w:basedOn w:val="Normal"/>
    <w:qFormat/>
    <w:rsid w:val="009E6196"/>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9E6196"/>
    <w:pPr>
      <w:numPr>
        <w:numId w:val="20"/>
      </w:numPr>
      <w:ind w:left="568" w:hanging="284"/>
    </w:pPr>
  </w:style>
  <w:style w:type="paragraph" w:customStyle="1" w:styleId="InformationRequestTitle">
    <w:name w:val="Information Request Title"/>
    <w:basedOn w:val="FindingTitle"/>
    <w:next w:val="InformationRequest"/>
    <w:rsid w:val="009E6196"/>
    <w:rPr>
      <w:i/>
    </w:rPr>
  </w:style>
  <w:style w:type="paragraph" w:customStyle="1" w:styleId="Space">
    <w:name w:val="Space"/>
    <w:basedOn w:val="Normal"/>
    <w:rsid w:val="009E6196"/>
    <w:pPr>
      <w:keepNext/>
      <w:spacing w:line="120" w:lineRule="exact"/>
      <w:jc w:val="both"/>
    </w:pPr>
    <w:rPr>
      <w:rFonts w:ascii="Arial" w:hAnsi="Arial"/>
      <w:sz w:val="20"/>
      <w:szCs w:val="20"/>
    </w:rPr>
  </w:style>
  <w:style w:type="paragraph" w:customStyle="1" w:styleId="Heading1nochapterno">
    <w:name w:val="Heading 1 (no chapter no.)"/>
    <w:basedOn w:val="Heading1"/>
    <w:rsid w:val="009E6196"/>
    <w:pPr>
      <w:spacing w:before="0"/>
      <w:ind w:left="0" w:firstLine="0"/>
    </w:pPr>
  </w:style>
  <w:style w:type="paragraph" w:customStyle="1" w:styleId="Heading2nosectionno">
    <w:name w:val="Heading 2 (no section no.)"/>
    <w:basedOn w:val="Heading2"/>
    <w:rsid w:val="009E6196"/>
    <w:pPr>
      <w:ind w:left="0" w:firstLine="0"/>
    </w:pPr>
  </w:style>
  <w:style w:type="character" w:customStyle="1" w:styleId="Heading5Char">
    <w:name w:val="Heading 5 Char"/>
    <w:basedOn w:val="DefaultParagraphFont"/>
    <w:link w:val="Heading5"/>
    <w:rsid w:val="009E6196"/>
    <w:rPr>
      <w:rFonts w:ascii="Arial" w:hAnsi="Arial"/>
      <w:i/>
      <w:sz w:val="22"/>
    </w:rPr>
  </w:style>
  <w:style w:type="paragraph" w:customStyle="1" w:styleId="Figurespace">
    <w:name w:val="Figure space"/>
    <w:basedOn w:val="Box"/>
    <w:rsid w:val="009E6196"/>
    <w:pPr>
      <w:spacing w:before="0" w:line="120" w:lineRule="exact"/>
    </w:pPr>
  </w:style>
  <w:style w:type="paragraph" w:customStyle="1" w:styleId="FooterDraftReport">
    <w:name w:val="FooterDraftReport"/>
    <w:basedOn w:val="Footer"/>
    <w:link w:val="FooterDraftReportChar"/>
    <w:rsid w:val="009E619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9E6196"/>
    <w:rPr>
      <w:sz w:val="24"/>
    </w:rPr>
  </w:style>
  <w:style w:type="character" w:customStyle="1" w:styleId="FooterChar">
    <w:name w:val="Footer Char"/>
    <w:basedOn w:val="BodyTextChar"/>
    <w:link w:val="Footer"/>
    <w:rsid w:val="009E6196"/>
    <w:rPr>
      <w:rFonts w:ascii="Arial" w:hAnsi="Arial"/>
      <w:caps/>
      <w:spacing w:val="-4"/>
      <w:sz w:val="16"/>
    </w:rPr>
  </w:style>
  <w:style w:type="character" w:customStyle="1" w:styleId="FooterDraftReportChar">
    <w:name w:val="FooterDraftReport Char"/>
    <w:basedOn w:val="FooterChar"/>
    <w:link w:val="FooterDraftReport"/>
    <w:rsid w:val="009E619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9E6196"/>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E411B7"/>
    <w:rPr>
      <w:sz w:val="24"/>
    </w:rPr>
  </w:style>
  <w:style w:type="character" w:customStyle="1" w:styleId="TableBodyTextChar">
    <w:name w:val="Table Body Text Char"/>
    <w:link w:val="TableBodyText"/>
    <w:locked/>
    <w:rsid w:val="00E411B7"/>
    <w:rPr>
      <w:rFonts w:ascii="Arial" w:hAnsi="Arial"/>
      <w:sz w:val="18"/>
    </w:rPr>
  </w:style>
  <w:style w:type="character" w:customStyle="1" w:styleId="Heading2Char">
    <w:name w:val="Heading 2 Char"/>
    <w:basedOn w:val="DefaultParagraphFont"/>
    <w:link w:val="Heading2"/>
    <w:rsid w:val="00935C67"/>
    <w:rPr>
      <w:rFonts w:ascii="Arial" w:hAnsi="Arial"/>
      <w:b/>
      <w:sz w:val="32"/>
    </w:rPr>
  </w:style>
  <w:style w:type="character" w:customStyle="1" w:styleId="Heading3Char">
    <w:name w:val="Heading 3 Char"/>
    <w:basedOn w:val="Heading2Char"/>
    <w:link w:val="Heading3"/>
    <w:rsid w:val="00935C67"/>
    <w:rPr>
      <w:rFonts w:ascii="Arial" w:hAnsi="Arial"/>
      <w:b/>
      <w:sz w:val="26"/>
    </w:rPr>
  </w:style>
  <w:style w:type="character" w:customStyle="1" w:styleId="BoxChar">
    <w:name w:val="Box Char"/>
    <w:basedOn w:val="DefaultParagraphFont"/>
    <w:link w:val="Box"/>
    <w:rsid w:val="00935C67"/>
    <w:rPr>
      <w:rFonts w:ascii="Arial" w:hAnsi="Arial"/>
    </w:rPr>
  </w:style>
  <w:style w:type="character" w:customStyle="1" w:styleId="FootnoteTextChar">
    <w:name w:val="Footnote Text Char"/>
    <w:basedOn w:val="DefaultParagraphFont"/>
    <w:link w:val="FootnoteText"/>
    <w:rsid w:val="00935C67"/>
  </w:style>
  <w:style w:type="character" w:customStyle="1" w:styleId="BoxListBulletChar">
    <w:name w:val="Box List Bullet Char"/>
    <w:basedOn w:val="BoxChar"/>
    <w:link w:val="BoxListBullet"/>
    <w:rsid w:val="00935C6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6196"/>
    <w:rPr>
      <w:sz w:val="24"/>
      <w:szCs w:val="24"/>
    </w:rPr>
  </w:style>
  <w:style w:type="paragraph" w:styleId="Heading1">
    <w:name w:val="heading 1"/>
    <w:basedOn w:val="BodyText"/>
    <w:next w:val="BodyText"/>
    <w:rsid w:val="009E6196"/>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9E6196"/>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9E6196"/>
    <w:pPr>
      <w:spacing w:before="560" w:line="320" w:lineRule="exact"/>
      <w:ind w:left="0" w:firstLine="0"/>
      <w:outlineLvl w:val="2"/>
    </w:pPr>
    <w:rPr>
      <w:sz w:val="26"/>
    </w:rPr>
  </w:style>
  <w:style w:type="paragraph" w:styleId="Heading4">
    <w:name w:val="heading 4"/>
    <w:basedOn w:val="Heading3"/>
    <w:next w:val="BodyText"/>
    <w:qFormat/>
    <w:rsid w:val="009E6196"/>
    <w:pPr>
      <w:spacing w:before="480"/>
      <w:outlineLvl w:val="3"/>
    </w:pPr>
    <w:rPr>
      <w:b w:val="0"/>
      <w:sz w:val="24"/>
    </w:rPr>
  </w:style>
  <w:style w:type="paragraph" w:styleId="Heading5">
    <w:name w:val="heading 5"/>
    <w:basedOn w:val="Heading4"/>
    <w:next w:val="BodyText"/>
    <w:link w:val="Heading5Char"/>
    <w:qFormat/>
    <w:rsid w:val="009E6196"/>
    <w:pPr>
      <w:outlineLvl w:val="4"/>
    </w:pPr>
    <w:rPr>
      <w:i/>
      <w:sz w:val="22"/>
    </w:rPr>
  </w:style>
  <w:style w:type="paragraph" w:styleId="Heading6">
    <w:name w:val="heading 6"/>
    <w:basedOn w:val="BodyText"/>
    <w:next w:val="BodyText"/>
    <w:rsid w:val="009E6196"/>
    <w:pPr>
      <w:spacing w:after="60"/>
      <w:jc w:val="left"/>
      <w:outlineLvl w:val="5"/>
    </w:pPr>
    <w:rPr>
      <w:i/>
      <w:sz w:val="22"/>
    </w:rPr>
  </w:style>
  <w:style w:type="paragraph" w:styleId="Heading7">
    <w:name w:val="heading 7"/>
    <w:basedOn w:val="BodyText"/>
    <w:next w:val="BodyText"/>
    <w:rsid w:val="009E6196"/>
    <w:pPr>
      <w:spacing w:after="60" w:line="240" w:lineRule="auto"/>
      <w:jc w:val="left"/>
      <w:outlineLvl w:val="6"/>
    </w:pPr>
    <w:rPr>
      <w:rFonts w:ascii="Arial" w:hAnsi="Arial"/>
      <w:sz w:val="20"/>
    </w:rPr>
  </w:style>
  <w:style w:type="paragraph" w:styleId="Heading8">
    <w:name w:val="heading 8"/>
    <w:basedOn w:val="BodyText"/>
    <w:next w:val="BodyText"/>
    <w:rsid w:val="009E6196"/>
    <w:pPr>
      <w:spacing w:after="60" w:line="240" w:lineRule="auto"/>
      <w:jc w:val="left"/>
      <w:outlineLvl w:val="7"/>
    </w:pPr>
    <w:rPr>
      <w:rFonts w:ascii="Arial" w:hAnsi="Arial"/>
      <w:i/>
      <w:sz w:val="20"/>
    </w:rPr>
  </w:style>
  <w:style w:type="paragraph" w:styleId="Heading9">
    <w:name w:val="heading 9"/>
    <w:basedOn w:val="BodyText"/>
    <w:next w:val="BodyText"/>
    <w:rsid w:val="009E619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E6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6196"/>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9E6196"/>
    <w:pPr>
      <w:spacing w:before="240" w:line="300" w:lineRule="atLeast"/>
      <w:jc w:val="both"/>
    </w:pPr>
    <w:rPr>
      <w:sz w:val="24"/>
    </w:rPr>
  </w:style>
  <w:style w:type="paragraph" w:styleId="Footer">
    <w:name w:val="footer"/>
    <w:basedOn w:val="BodyText"/>
    <w:link w:val="FooterChar"/>
    <w:rsid w:val="009E6196"/>
    <w:pPr>
      <w:spacing w:before="80" w:line="200" w:lineRule="exact"/>
      <w:ind w:right="6"/>
      <w:jc w:val="left"/>
    </w:pPr>
    <w:rPr>
      <w:rFonts w:ascii="Arial" w:hAnsi="Arial"/>
      <w:caps/>
      <w:spacing w:val="-4"/>
      <w:sz w:val="16"/>
    </w:rPr>
  </w:style>
  <w:style w:type="paragraph" w:customStyle="1" w:styleId="FooterEnd">
    <w:name w:val="Footer End"/>
    <w:basedOn w:val="Footer"/>
    <w:rsid w:val="009E6196"/>
    <w:pPr>
      <w:spacing w:before="0" w:line="20" w:lineRule="exact"/>
    </w:pPr>
  </w:style>
  <w:style w:type="paragraph" w:styleId="Header">
    <w:name w:val="header"/>
    <w:basedOn w:val="BodyText"/>
    <w:rsid w:val="009E619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E6196"/>
    <w:pPr>
      <w:spacing w:line="20" w:lineRule="exact"/>
    </w:pPr>
    <w:rPr>
      <w:sz w:val="16"/>
    </w:rPr>
  </w:style>
  <w:style w:type="paragraph" w:customStyle="1" w:styleId="HeaderEven">
    <w:name w:val="Header Even"/>
    <w:basedOn w:val="Header"/>
    <w:semiHidden/>
    <w:rsid w:val="009E6196"/>
  </w:style>
  <w:style w:type="paragraph" w:customStyle="1" w:styleId="HeaderOdd">
    <w:name w:val="Header Odd"/>
    <w:basedOn w:val="Header"/>
    <w:semiHidden/>
    <w:rsid w:val="009E6196"/>
  </w:style>
  <w:style w:type="character" w:styleId="PageNumber">
    <w:name w:val="page number"/>
    <w:basedOn w:val="DefaultParagraphFont"/>
    <w:rsid w:val="009E6196"/>
    <w:rPr>
      <w:rFonts w:ascii="Arial" w:hAnsi="Arial"/>
      <w:b/>
      <w:sz w:val="16"/>
    </w:rPr>
  </w:style>
  <w:style w:type="paragraph" w:customStyle="1" w:styleId="Abbreviation">
    <w:name w:val="Abbreviation"/>
    <w:basedOn w:val="BodyText"/>
    <w:rsid w:val="009E6196"/>
    <w:pPr>
      <w:spacing w:before="120"/>
      <w:ind w:left="2381" w:hanging="2381"/>
      <w:jc w:val="left"/>
    </w:pPr>
  </w:style>
  <w:style w:type="paragraph" w:customStyle="1" w:styleId="Box">
    <w:name w:val="Box"/>
    <w:basedOn w:val="BodyText"/>
    <w:link w:val="BoxChar"/>
    <w:qFormat/>
    <w:rsid w:val="009E6196"/>
    <w:pPr>
      <w:keepNext/>
      <w:spacing w:before="120" w:line="260" w:lineRule="atLeast"/>
    </w:pPr>
    <w:rPr>
      <w:rFonts w:ascii="Arial" w:hAnsi="Arial"/>
      <w:sz w:val="20"/>
    </w:rPr>
  </w:style>
  <w:style w:type="paragraph" w:customStyle="1" w:styleId="BoxContinued">
    <w:name w:val="Box Continued"/>
    <w:basedOn w:val="BodyText"/>
    <w:next w:val="BodyText"/>
    <w:semiHidden/>
    <w:rsid w:val="009E6196"/>
    <w:pPr>
      <w:spacing w:before="180" w:line="220" w:lineRule="exact"/>
      <w:jc w:val="right"/>
    </w:pPr>
    <w:rPr>
      <w:rFonts w:ascii="Arial" w:hAnsi="Arial"/>
      <w:sz w:val="18"/>
    </w:rPr>
  </w:style>
  <w:style w:type="paragraph" w:customStyle="1" w:styleId="BoxHeading1">
    <w:name w:val="Box Heading 1"/>
    <w:basedOn w:val="BodyText"/>
    <w:next w:val="Box"/>
    <w:rsid w:val="009E6196"/>
    <w:pPr>
      <w:keepNext/>
      <w:spacing w:before="200" w:line="280" w:lineRule="atLeast"/>
    </w:pPr>
    <w:rPr>
      <w:rFonts w:ascii="Arial" w:hAnsi="Arial"/>
      <w:b/>
      <w:sz w:val="22"/>
    </w:rPr>
  </w:style>
  <w:style w:type="paragraph" w:customStyle="1" w:styleId="BoxHeading2">
    <w:name w:val="Box Heading 2"/>
    <w:basedOn w:val="BoxHeading1"/>
    <w:next w:val="Normal"/>
    <w:rsid w:val="009E6196"/>
    <w:rPr>
      <w:b w:val="0"/>
      <w:i/>
    </w:rPr>
  </w:style>
  <w:style w:type="paragraph" w:customStyle="1" w:styleId="BoxListBullet">
    <w:name w:val="Box List Bullet"/>
    <w:basedOn w:val="BodyText"/>
    <w:link w:val="BoxListBulletChar"/>
    <w:rsid w:val="009E619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9E6196"/>
    <w:pPr>
      <w:numPr>
        <w:numId w:val="2"/>
      </w:numPr>
      <w:ind w:left="568" w:hanging="284"/>
    </w:pPr>
  </w:style>
  <w:style w:type="paragraph" w:customStyle="1" w:styleId="BoxListNumber">
    <w:name w:val="Box List Number"/>
    <w:basedOn w:val="BodyText"/>
    <w:rsid w:val="009E619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9E6196"/>
    <w:pPr>
      <w:numPr>
        <w:ilvl w:val="1"/>
      </w:numPr>
      <w:ind w:left="681" w:hanging="397"/>
    </w:pPr>
  </w:style>
  <w:style w:type="paragraph" w:customStyle="1" w:styleId="BoxQuote">
    <w:name w:val="Box Quote"/>
    <w:basedOn w:val="BodyText"/>
    <w:next w:val="Box"/>
    <w:qFormat/>
    <w:rsid w:val="009E6196"/>
    <w:pPr>
      <w:keepNext/>
      <w:spacing w:before="60" w:line="240" w:lineRule="exact"/>
      <w:ind w:left="284"/>
    </w:pPr>
    <w:rPr>
      <w:rFonts w:ascii="Arial" w:hAnsi="Arial"/>
      <w:sz w:val="18"/>
    </w:rPr>
  </w:style>
  <w:style w:type="paragraph" w:customStyle="1" w:styleId="Note">
    <w:name w:val="Note"/>
    <w:basedOn w:val="BodyText"/>
    <w:next w:val="BodyText"/>
    <w:rsid w:val="009E6196"/>
    <w:pPr>
      <w:keepLines/>
      <w:spacing w:before="80" w:line="220" w:lineRule="exact"/>
    </w:pPr>
    <w:rPr>
      <w:rFonts w:ascii="Arial" w:hAnsi="Arial"/>
      <w:sz w:val="18"/>
    </w:rPr>
  </w:style>
  <w:style w:type="paragraph" w:customStyle="1" w:styleId="Source">
    <w:name w:val="Source"/>
    <w:basedOn w:val="Normal"/>
    <w:next w:val="BodyText"/>
    <w:rsid w:val="009E6196"/>
    <w:pPr>
      <w:keepLines/>
      <w:spacing w:before="80" w:line="220" w:lineRule="exact"/>
      <w:jc w:val="both"/>
    </w:pPr>
    <w:rPr>
      <w:rFonts w:ascii="Arial" w:hAnsi="Arial"/>
      <w:sz w:val="18"/>
      <w:szCs w:val="20"/>
    </w:rPr>
  </w:style>
  <w:style w:type="paragraph" w:customStyle="1" w:styleId="BoxSource">
    <w:name w:val="Box Source"/>
    <w:basedOn w:val="Source"/>
    <w:next w:val="BodyText"/>
    <w:rsid w:val="009E6196"/>
    <w:pPr>
      <w:spacing w:before="120"/>
    </w:pPr>
  </w:style>
  <w:style w:type="paragraph" w:customStyle="1" w:styleId="BoxSpaceAbove">
    <w:name w:val="Box Space Above"/>
    <w:basedOn w:val="BodyText"/>
    <w:rsid w:val="009E6196"/>
    <w:pPr>
      <w:keepNext/>
      <w:spacing w:before="360" w:line="80" w:lineRule="exact"/>
      <w:jc w:val="left"/>
    </w:pPr>
  </w:style>
  <w:style w:type="paragraph" w:styleId="Caption">
    <w:name w:val="caption"/>
    <w:basedOn w:val="Normal"/>
    <w:next w:val="BodyText"/>
    <w:rsid w:val="009E619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E6196"/>
    <w:pPr>
      <w:spacing w:before="120" w:after="0"/>
    </w:pPr>
  </w:style>
  <w:style w:type="paragraph" w:customStyle="1" w:styleId="BoxSubtitle">
    <w:name w:val="Box Subtitle"/>
    <w:basedOn w:val="BoxTitle"/>
    <w:next w:val="Normal"/>
    <w:rsid w:val="009E6196"/>
    <w:pPr>
      <w:spacing w:after="80" w:line="200" w:lineRule="exact"/>
      <w:ind w:firstLine="0"/>
    </w:pPr>
    <w:rPr>
      <w:b w:val="0"/>
      <w:sz w:val="20"/>
    </w:rPr>
  </w:style>
  <w:style w:type="paragraph" w:customStyle="1" w:styleId="Chapter">
    <w:name w:val="Chapter"/>
    <w:basedOn w:val="Heading1"/>
    <w:next w:val="BodyText"/>
    <w:semiHidden/>
    <w:rsid w:val="009E6196"/>
    <w:pPr>
      <w:ind w:left="0" w:firstLine="0"/>
      <w:outlineLvl w:val="9"/>
    </w:pPr>
  </w:style>
  <w:style w:type="paragraph" w:customStyle="1" w:styleId="ChapterSummary">
    <w:name w:val="Chapter Summary"/>
    <w:basedOn w:val="BodyText"/>
    <w:rsid w:val="009E6196"/>
    <w:pPr>
      <w:spacing w:line="280" w:lineRule="atLeast"/>
      <w:ind w:left="907"/>
    </w:pPr>
    <w:rPr>
      <w:rFonts w:ascii="Arial" w:hAnsi="Arial"/>
      <w:b/>
      <w:sz w:val="20"/>
    </w:rPr>
  </w:style>
  <w:style w:type="character" w:styleId="CommentReference">
    <w:name w:val="annotation reference"/>
    <w:basedOn w:val="DefaultParagraphFont"/>
    <w:semiHidden/>
    <w:rsid w:val="009E6196"/>
    <w:rPr>
      <w:b/>
      <w:vanish/>
      <w:color w:val="FF00FF"/>
      <w:sz w:val="20"/>
    </w:rPr>
  </w:style>
  <w:style w:type="paragraph" w:styleId="CommentText">
    <w:name w:val="annotation text"/>
    <w:basedOn w:val="Normal"/>
    <w:link w:val="CommentTextChar"/>
    <w:semiHidden/>
    <w:rsid w:val="009E6196"/>
    <w:pPr>
      <w:spacing w:before="120" w:line="240" w:lineRule="atLeast"/>
      <w:ind w:left="567" w:hanging="567"/>
    </w:pPr>
    <w:rPr>
      <w:sz w:val="20"/>
    </w:rPr>
  </w:style>
  <w:style w:type="paragraph" w:customStyle="1" w:styleId="Continued">
    <w:name w:val="Continued"/>
    <w:basedOn w:val="BoxContinued"/>
    <w:next w:val="BodyText"/>
    <w:rsid w:val="009E6196"/>
  </w:style>
  <w:style w:type="character" w:customStyle="1" w:styleId="DocumentInfo">
    <w:name w:val="Document Info"/>
    <w:basedOn w:val="DefaultParagraphFont"/>
    <w:semiHidden/>
    <w:rsid w:val="009E6196"/>
    <w:rPr>
      <w:rFonts w:ascii="Arial" w:hAnsi="Arial"/>
      <w:sz w:val="14"/>
    </w:rPr>
  </w:style>
  <w:style w:type="character" w:customStyle="1" w:styleId="DraftingNote">
    <w:name w:val="Drafting Note"/>
    <w:basedOn w:val="DefaultParagraphFont"/>
    <w:rsid w:val="009E6196"/>
    <w:rPr>
      <w:b/>
      <w:color w:val="FF0000"/>
      <w:sz w:val="24"/>
      <w:u w:val="dotted"/>
    </w:rPr>
  </w:style>
  <w:style w:type="paragraph" w:customStyle="1" w:styleId="Figure">
    <w:name w:val="Figure"/>
    <w:basedOn w:val="BodyText"/>
    <w:rsid w:val="009E6196"/>
    <w:pPr>
      <w:keepNext/>
      <w:spacing w:before="120" w:after="120" w:line="240" w:lineRule="atLeast"/>
      <w:jc w:val="center"/>
    </w:pPr>
  </w:style>
  <w:style w:type="paragraph" w:customStyle="1" w:styleId="FigureTitle">
    <w:name w:val="Figure Title"/>
    <w:basedOn w:val="Caption"/>
    <w:next w:val="Subtitle"/>
    <w:rsid w:val="009E6196"/>
    <w:pPr>
      <w:spacing w:before="120"/>
    </w:pPr>
  </w:style>
  <w:style w:type="paragraph" w:styleId="Subtitle">
    <w:name w:val="Subtitle"/>
    <w:basedOn w:val="Caption"/>
    <w:link w:val="SubtitleChar"/>
    <w:qFormat/>
    <w:rsid w:val="009E6196"/>
    <w:pPr>
      <w:spacing w:before="0" w:line="200" w:lineRule="exact"/>
      <w:ind w:firstLine="0"/>
    </w:pPr>
    <w:rPr>
      <w:b w:val="0"/>
      <w:sz w:val="20"/>
    </w:rPr>
  </w:style>
  <w:style w:type="paragraph" w:customStyle="1" w:styleId="Finding">
    <w:name w:val="Finding"/>
    <w:basedOn w:val="BodyText"/>
    <w:rsid w:val="009E6196"/>
    <w:pPr>
      <w:keepLines/>
      <w:spacing w:before="120" w:line="280" w:lineRule="atLeast"/>
    </w:pPr>
    <w:rPr>
      <w:rFonts w:ascii="Arial" w:hAnsi="Arial"/>
      <w:sz w:val="22"/>
    </w:rPr>
  </w:style>
  <w:style w:type="paragraph" w:customStyle="1" w:styleId="FindingBullet">
    <w:name w:val="Finding Bullet"/>
    <w:basedOn w:val="Finding"/>
    <w:rsid w:val="009E6196"/>
    <w:pPr>
      <w:numPr>
        <w:numId w:val="3"/>
      </w:numPr>
      <w:spacing w:before="80"/>
    </w:pPr>
  </w:style>
  <w:style w:type="paragraph" w:customStyle="1" w:styleId="FindingNoTitle">
    <w:name w:val="Finding NoTitle"/>
    <w:basedOn w:val="Finding"/>
    <w:semiHidden/>
    <w:rsid w:val="009E6196"/>
    <w:pPr>
      <w:spacing w:before="240"/>
    </w:pPr>
  </w:style>
  <w:style w:type="paragraph" w:customStyle="1" w:styleId="RecTitle">
    <w:name w:val="Rec Title"/>
    <w:basedOn w:val="BodyText"/>
    <w:next w:val="Rec"/>
    <w:qFormat/>
    <w:rsid w:val="009E6196"/>
    <w:pPr>
      <w:keepNext/>
      <w:keepLines/>
      <w:spacing w:line="280" w:lineRule="atLeast"/>
    </w:pPr>
    <w:rPr>
      <w:rFonts w:ascii="Arial" w:hAnsi="Arial"/>
      <w:caps/>
      <w:sz w:val="18"/>
    </w:rPr>
  </w:style>
  <w:style w:type="paragraph" w:customStyle="1" w:styleId="FindingTitle">
    <w:name w:val="Finding Title"/>
    <w:basedOn w:val="RecTitle"/>
    <w:next w:val="Finding"/>
    <w:rsid w:val="009E6196"/>
  </w:style>
  <w:style w:type="character" w:styleId="FootnoteReference">
    <w:name w:val="footnote reference"/>
    <w:basedOn w:val="DefaultParagraphFont"/>
    <w:semiHidden/>
    <w:rsid w:val="009E6196"/>
    <w:rPr>
      <w:rFonts w:ascii="Times New Roman" w:hAnsi="Times New Roman"/>
      <w:position w:val="6"/>
      <w:sz w:val="20"/>
      <w:vertAlign w:val="baseline"/>
    </w:rPr>
  </w:style>
  <w:style w:type="paragraph" w:styleId="FootnoteText">
    <w:name w:val="footnote text"/>
    <w:basedOn w:val="BodyText"/>
    <w:link w:val="FootnoteTextChar"/>
    <w:rsid w:val="009E619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E6196"/>
    <w:rPr>
      <w:i/>
    </w:rPr>
  </w:style>
  <w:style w:type="paragraph" w:customStyle="1" w:styleId="Jurisdictioncommentsbodytext">
    <w:name w:val="Jurisdiction comments body text"/>
    <w:rsid w:val="009E6196"/>
    <w:pPr>
      <w:spacing w:after="140"/>
      <w:jc w:val="both"/>
    </w:pPr>
    <w:rPr>
      <w:rFonts w:ascii="Arial" w:hAnsi="Arial"/>
      <w:sz w:val="24"/>
      <w:lang w:eastAsia="en-US"/>
    </w:rPr>
  </w:style>
  <w:style w:type="paragraph" w:customStyle="1" w:styleId="Jurisdictioncommentsheading">
    <w:name w:val="Jurisdiction comments heading"/>
    <w:rsid w:val="009E619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E6196"/>
    <w:pPr>
      <w:numPr>
        <w:numId w:val="4"/>
      </w:numPr>
      <w:spacing w:after="140"/>
      <w:jc w:val="both"/>
    </w:pPr>
    <w:rPr>
      <w:rFonts w:ascii="Arial" w:hAnsi="Arial"/>
      <w:sz w:val="24"/>
      <w:lang w:eastAsia="en-US"/>
    </w:rPr>
  </w:style>
  <w:style w:type="paragraph" w:styleId="ListBullet">
    <w:name w:val="List Bullet"/>
    <w:basedOn w:val="BodyText"/>
    <w:rsid w:val="009E6196"/>
    <w:pPr>
      <w:numPr>
        <w:numId w:val="5"/>
      </w:numPr>
      <w:spacing w:before="120"/>
    </w:pPr>
  </w:style>
  <w:style w:type="paragraph" w:styleId="ListBullet2">
    <w:name w:val="List Bullet 2"/>
    <w:basedOn w:val="BodyText"/>
    <w:rsid w:val="009E6196"/>
    <w:pPr>
      <w:numPr>
        <w:numId w:val="6"/>
      </w:numPr>
      <w:spacing w:before="120"/>
    </w:pPr>
  </w:style>
  <w:style w:type="paragraph" w:styleId="ListBullet3">
    <w:name w:val="List Bullet 3"/>
    <w:basedOn w:val="BodyText"/>
    <w:rsid w:val="009E6196"/>
    <w:pPr>
      <w:numPr>
        <w:numId w:val="7"/>
      </w:numPr>
      <w:spacing w:before="120"/>
      <w:ind w:left="1020" w:hanging="340"/>
    </w:pPr>
  </w:style>
  <w:style w:type="paragraph" w:styleId="ListNumber">
    <w:name w:val="List Number"/>
    <w:basedOn w:val="BodyText"/>
    <w:rsid w:val="009E6196"/>
    <w:pPr>
      <w:numPr>
        <w:numId w:val="13"/>
      </w:numPr>
      <w:spacing w:before="120"/>
    </w:pPr>
  </w:style>
  <w:style w:type="paragraph" w:styleId="ListNumber2">
    <w:name w:val="List Number 2"/>
    <w:basedOn w:val="ListNumber"/>
    <w:rsid w:val="009E6196"/>
    <w:pPr>
      <w:numPr>
        <w:ilvl w:val="1"/>
      </w:numPr>
    </w:pPr>
  </w:style>
  <w:style w:type="paragraph" w:styleId="ListNumber3">
    <w:name w:val="List Number 3"/>
    <w:basedOn w:val="ListNumber2"/>
    <w:rsid w:val="009E6196"/>
    <w:pPr>
      <w:numPr>
        <w:ilvl w:val="2"/>
      </w:numPr>
    </w:pPr>
  </w:style>
  <w:style w:type="character" w:customStyle="1" w:styleId="NoteLabel">
    <w:name w:val="Note Label"/>
    <w:basedOn w:val="DefaultParagraphFont"/>
    <w:rsid w:val="009E6196"/>
    <w:rPr>
      <w:rFonts w:ascii="Arial" w:hAnsi="Arial"/>
      <w:b/>
      <w:position w:val="6"/>
      <w:sz w:val="18"/>
    </w:rPr>
  </w:style>
  <w:style w:type="paragraph" w:customStyle="1" w:styleId="PartDivider">
    <w:name w:val="Part Divider"/>
    <w:basedOn w:val="BodyText"/>
    <w:next w:val="BodyText"/>
    <w:semiHidden/>
    <w:rsid w:val="009E6196"/>
    <w:pPr>
      <w:spacing w:before="0" w:line="40" w:lineRule="exact"/>
      <w:jc w:val="right"/>
    </w:pPr>
    <w:rPr>
      <w:smallCaps/>
      <w:sz w:val="16"/>
    </w:rPr>
  </w:style>
  <w:style w:type="paragraph" w:customStyle="1" w:styleId="PartNumber">
    <w:name w:val="Part Number"/>
    <w:basedOn w:val="BodyText"/>
    <w:next w:val="BodyText"/>
    <w:semiHidden/>
    <w:rsid w:val="009E6196"/>
    <w:pPr>
      <w:spacing w:before="4000" w:line="320" w:lineRule="exact"/>
      <w:ind w:left="6634"/>
      <w:jc w:val="right"/>
    </w:pPr>
    <w:rPr>
      <w:smallCaps/>
      <w:spacing w:val="60"/>
      <w:sz w:val="32"/>
    </w:rPr>
  </w:style>
  <w:style w:type="paragraph" w:customStyle="1" w:styleId="PartTitle">
    <w:name w:val="Part Title"/>
    <w:basedOn w:val="BodyText"/>
    <w:semiHidden/>
    <w:rsid w:val="009E6196"/>
    <w:pPr>
      <w:spacing w:before="160" w:after="1360" w:line="520" w:lineRule="exact"/>
      <w:ind w:right="2381"/>
      <w:jc w:val="right"/>
    </w:pPr>
    <w:rPr>
      <w:smallCaps/>
      <w:sz w:val="52"/>
    </w:rPr>
  </w:style>
  <w:style w:type="paragraph" w:styleId="Quote">
    <w:name w:val="Quote"/>
    <w:basedOn w:val="BodyText"/>
    <w:next w:val="BodyText"/>
    <w:qFormat/>
    <w:rsid w:val="009E6196"/>
    <w:pPr>
      <w:spacing w:before="120" w:line="280" w:lineRule="exact"/>
      <w:ind w:left="340"/>
    </w:pPr>
    <w:rPr>
      <w:sz w:val="22"/>
    </w:rPr>
  </w:style>
  <w:style w:type="paragraph" w:customStyle="1" w:styleId="QuoteBullet">
    <w:name w:val="Quote Bullet"/>
    <w:basedOn w:val="Quote"/>
    <w:rsid w:val="009E6196"/>
    <w:pPr>
      <w:numPr>
        <w:numId w:val="8"/>
      </w:numPr>
    </w:pPr>
  </w:style>
  <w:style w:type="paragraph" w:customStyle="1" w:styleId="Rec">
    <w:name w:val="Rec"/>
    <w:basedOn w:val="BodyText"/>
    <w:qFormat/>
    <w:rsid w:val="009E6196"/>
    <w:pPr>
      <w:keepLines/>
      <w:spacing w:before="120" w:line="280" w:lineRule="atLeast"/>
    </w:pPr>
    <w:rPr>
      <w:rFonts w:ascii="Arial" w:hAnsi="Arial"/>
      <w:sz w:val="22"/>
    </w:rPr>
  </w:style>
  <w:style w:type="paragraph" w:customStyle="1" w:styleId="RecBullet">
    <w:name w:val="Rec Bullet"/>
    <w:basedOn w:val="Rec"/>
    <w:rsid w:val="009E6196"/>
    <w:pPr>
      <w:numPr>
        <w:numId w:val="9"/>
      </w:numPr>
      <w:spacing w:before="80"/>
    </w:pPr>
  </w:style>
  <w:style w:type="paragraph" w:customStyle="1" w:styleId="RecB">
    <w:name w:val="RecB"/>
    <w:basedOn w:val="Normal"/>
    <w:semiHidden/>
    <w:rsid w:val="009E619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9E6196"/>
    <w:pPr>
      <w:numPr>
        <w:numId w:val="10"/>
      </w:numPr>
      <w:spacing w:before="80"/>
    </w:pPr>
  </w:style>
  <w:style w:type="paragraph" w:customStyle="1" w:styleId="RecBNoTitle">
    <w:name w:val="RecB NoTitle"/>
    <w:basedOn w:val="RecB"/>
    <w:semiHidden/>
    <w:rsid w:val="009E6196"/>
    <w:pPr>
      <w:spacing w:before="240"/>
    </w:pPr>
  </w:style>
  <w:style w:type="paragraph" w:customStyle="1" w:styleId="Reference">
    <w:name w:val="Reference"/>
    <w:basedOn w:val="BodyText"/>
    <w:rsid w:val="009E6196"/>
    <w:pPr>
      <w:spacing w:before="120"/>
      <w:ind w:left="340" w:hanging="340"/>
    </w:pPr>
  </w:style>
  <w:style w:type="paragraph" w:customStyle="1" w:styleId="SequenceInfo">
    <w:name w:val="Sequence Info"/>
    <w:basedOn w:val="BodyText"/>
    <w:semiHidden/>
    <w:rsid w:val="009E6196"/>
    <w:rPr>
      <w:vanish/>
      <w:sz w:val="16"/>
    </w:rPr>
  </w:style>
  <w:style w:type="paragraph" w:customStyle="1" w:styleId="SideNote">
    <w:name w:val="Side Note"/>
    <w:basedOn w:val="BodyText"/>
    <w:next w:val="BodyText"/>
    <w:semiHidden/>
    <w:rsid w:val="009E619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9E6196"/>
    <w:pPr>
      <w:framePr w:wrap="around"/>
      <w:numPr>
        <w:numId w:val="11"/>
      </w:numPr>
      <w:tabs>
        <w:tab w:val="left" w:pos="227"/>
      </w:tabs>
    </w:pPr>
  </w:style>
  <w:style w:type="paragraph" w:customStyle="1" w:styleId="SideNoteGraphic">
    <w:name w:val="Side Note Graphic"/>
    <w:basedOn w:val="SideNote"/>
    <w:next w:val="BodyText"/>
    <w:semiHidden/>
    <w:rsid w:val="009E6196"/>
    <w:pPr>
      <w:framePr w:wrap="around"/>
    </w:pPr>
  </w:style>
  <w:style w:type="paragraph" w:customStyle="1" w:styleId="TableBodyText">
    <w:name w:val="Table Body Text"/>
    <w:basedOn w:val="BodyText"/>
    <w:link w:val="TableBodyTextChar"/>
    <w:rsid w:val="009E619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E6196"/>
    <w:pPr>
      <w:numPr>
        <w:numId w:val="12"/>
      </w:numPr>
      <w:jc w:val="left"/>
    </w:pPr>
  </w:style>
  <w:style w:type="paragraph" w:customStyle="1" w:styleId="TableColumnHeading">
    <w:name w:val="Table Column Heading"/>
    <w:basedOn w:val="TableBodyText"/>
    <w:rsid w:val="009E6196"/>
    <w:pPr>
      <w:spacing w:before="80" w:after="80"/>
    </w:pPr>
    <w:rPr>
      <w:i/>
    </w:rPr>
  </w:style>
  <w:style w:type="paragraph" w:styleId="TOC2">
    <w:name w:val="toc 2"/>
    <w:basedOn w:val="TOC1"/>
    <w:rsid w:val="009E6196"/>
    <w:pPr>
      <w:ind w:left="1134" w:hanging="624"/>
    </w:pPr>
    <w:rPr>
      <w:b w:val="0"/>
    </w:rPr>
  </w:style>
  <w:style w:type="paragraph" w:styleId="TOC3">
    <w:name w:val="toc 3"/>
    <w:basedOn w:val="TOC2"/>
    <w:rsid w:val="009E6196"/>
    <w:pPr>
      <w:spacing w:before="60"/>
      <w:ind w:left="1190" w:hanging="680"/>
    </w:pPr>
  </w:style>
  <w:style w:type="paragraph" w:styleId="TableofFigures">
    <w:name w:val="table of figures"/>
    <w:basedOn w:val="TOC3"/>
    <w:next w:val="BodyText"/>
    <w:semiHidden/>
    <w:rsid w:val="009E6196"/>
    <w:pPr>
      <w:ind w:left="737" w:hanging="737"/>
    </w:pPr>
  </w:style>
  <w:style w:type="paragraph" w:customStyle="1" w:styleId="TableTitle">
    <w:name w:val="Table Title"/>
    <w:basedOn w:val="Caption"/>
    <w:next w:val="Subtitle"/>
    <w:qFormat/>
    <w:rsid w:val="009E6196"/>
    <w:pPr>
      <w:spacing w:before="120"/>
    </w:pPr>
  </w:style>
  <w:style w:type="paragraph" w:customStyle="1" w:styleId="TableUnitsRow">
    <w:name w:val="Table Units Row"/>
    <w:basedOn w:val="TableBodyText"/>
    <w:rsid w:val="009E6196"/>
    <w:pPr>
      <w:spacing w:before="40"/>
    </w:pPr>
  </w:style>
  <w:style w:type="paragraph" w:styleId="TOC1">
    <w:name w:val="toc 1"/>
    <w:basedOn w:val="Normal"/>
    <w:next w:val="TOC2"/>
    <w:link w:val="TOC1Char"/>
    <w:rsid w:val="009E619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9E6196"/>
    <w:pPr>
      <w:ind w:left="1191" w:firstLine="0"/>
    </w:pPr>
  </w:style>
  <w:style w:type="paragraph" w:customStyle="1" w:styleId="RecBBullet2">
    <w:name w:val="RecB Bullet 2"/>
    <w:basedOn w:val="ListBullet2"/>
    <w:semiHidden/>
    <w:rsid w:val="009E6196"/>
    <w:pPr>
      <w:pBdr>
        <w:left w:val="single" w:sz="24" w:space="29" w:color="C0C0C0"/>
      </w:pBdr>
    </w:pPr>
    <w:rPr>
      <w:b/>
      <w:i/>
    </w:rPr>
  </w:style>
  <w:style w:type="paragraph" w:styleId="BalloonText">
    <w:name w:val="Balloon Text"/>
    <w:basedOn w:val="Normal"/>
    <w:link w:val="BalloonTextChar"/>
    <w:rsid w:val="009E6196"/>
    <w:rPr>
      <w:rFonts w:ascii="Tahoma" w:hAnsi="Tahoma" w:cs="Tahoma"/>
      <w:sz w:val="16"/>
      <w:szCs w:val="16"/>
    </w:rPr>
  </w:style>
  <w:style w:type="character" w:customStyle="1" w:styleId="BalloonTextChar">
    <w:name w:val="Balloon Text Char"/>
    <w:basedOn w:val="DefaultParagraphFont"/>
    <w:link w:val="BalloonText"/>
    <w:rsid w:val="009E6196"/>
    <w:rPr>
      <w:rFonts w:ascii="Tahoma" w:hAnsi="Tahoma" w:cs="Tahoma"/>
      <w:sz w:val="16"/>
      <w:szCs w:val="16"/>
    </w:rPr>
  </w:style>
  <w:style w:type="character" w:customStyle="1" w:styleId="SubtitleChar">
    <w:name w:val="Subtitle Char"/>
    <w:basedOn w:val="DefaultParagraphFont"/>
    <w:link w:val="Subtitle"/>
    <w:rsid w:val="009E6196"/>
    <w:rPr>
      <w:rFonts w:ascii="Arial" w:hAnsi="Arial"/>
      <w:szCs w:val="24"/>
    </w:rPr>
  </w:style>
  <w:style w:type="paragraph" w:customStyle="1" w:styleId="BoxListBullet3">
    <w:name w:val="Box List Bullet 3"/>
    <w:basedOn w:val="ListBullet3"/>
    <w:rsid w:val="009E619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E6196"/>
    <w:rPr>
      <w:i/>
      <w:iCs/>
    </w:rPr>
  </w:style>
  <w:style w:type="paragraph" w:customStyle="1" w:styleId="BoxQuoteBullet">
    <w:name w:val="Box Quote Bullet"/>
    <w:basedOn w:val="BoxQuote"/>
    <w:next w:val="Box"/>
    <w:rsid w:val="009E6196"/>
    <w:pPr>
      <w:numPr>
        <w:numId w:val="15"/>
      </w:numPr>
      <w:ind w:left="568" w:hanging="284"/>
    </w:pPr>
  </w:style>
  <w:style w:type="paragraph" w:customStyle="1" w:styleId="InformationRequestBullet">
    <w:name w:val="Information Request Bullet"/>
    <w:basedOn w:val="ListBullet"/>
    <w:next w:val="BodyText"/>
    <w:rsid w:val="009E619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6196"/>
    <w:pPr>
      <w:keepNext w:val="0"/>
      <w:spacing w:before="60" w:after="60" w:line="80" w:lineRule="exact"/>
    </w:pPr>
    <w:rPr>
      <w:sz w:val="14"/>
    </w:rPr>
  </w:style>
  <w:style w:type="table" w:styleId="TableGrid">
    <w:name w:val="Table Grid"/>
    <w:basedOn w:val="TableNormal"/>
    <w:rsid w:val="009E6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4448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4448D"/>
    <w:rPr>
      <w:szCs w:val="24"/>
    </w:rPr>
  </w:style>
  <w:style w:type="character" w:customStyle="1" w:styleId="CommentSubjectChar">
    <w:name w:val="Comment Subject Char"/>
    <w:basedOn w:val="CommentTextChar"/>
    <w:link w:val="CommentSubject"/>
    <w:rsid w:val="0054448D"/>
    <w:rPr>
      <w:b/>
      <w:bCs/>
      <w:szCs w:val="24"/>
    </w:rPr>
  </w:style>
  <w:style w:type="paragraph" w:styleId="Revision">
    <w:name w:val="Revision"/>
    <w:hidden/>
    <w:uiPriority w:val="99"/>
    <w:semiHidden/>
    <w:rsid w:val="0054448D"/>
    <w:rPr>
      <w:sz w:val="26"/>
      <w:szCs w:val="24"/>
    </w:rPr>
  </w:style>
  <w:style w:type="paragraph" w:customStyle="1" w:styleId="KeyPointsListBullet">
    <w:name w:val="Key Points List Bullet"/>
    <w:basedOn w:val="Normal"/>
    <w:qFormat/>
    <w:rsid w:val="009E6196"/>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9E6196"/>
    <w:pPr>
      <w:numPr>
        <w:numId w:val="20"/>
      </w:numPr>
      <w:ind w:left="568" w:hanging="284"/>
    </w:pPr>
  </w:style>
  <w:style w:type="paragraph" w:customStyle="1" w:styleId="InformationRequestTitle">
    <w:name w:val="Information Request Title"/>
    <w:basedOn w:val="FindingTitle"/>
    <w:next w:val="InformationRequest"/>
    <w:rsid w:val="009E6196"/>
    <w:rPr>
      <w:i/>
    </w:rPr>
  </w:style>
  <w:style w:type="paragraph" w:customStyle="1" w:styleId="Space">
    <w:name w:val="Space"/>
    <w:basedOn w:val="Normal"/>
    <w:rsid w:val="009E6196"/>
    <w:pPr>
      <w:keepNext/>
      <w:spacing w:line="120" w:lineRule="exact"/>
      <w:jc w:val="both"/>
    </w:pPr>
    <w:rPr>
      <w:rFonts w:ascii="Arial" w:hAnsi="Arial"/>
      <w:sz w:val="20"/>
      <w:szCs w:val="20"/>
    </w:rPr>
  </w:style>
  <w:style w:type="paragraph" w:customStyle="1" w:styleId="Heading1nochapterno">
    <w:name w:val="Heading 1 (no chapter no.)"/>
    <w:basedOn w:val="Heading1"/>
    <w:rsid w:val="009E6196"/>
    <w:pPr>
      <w:spacing w:before="0"/>
      <w:ind w:left="0" w:firstLine="0"/>
    </w:pPr>
  </w:style>
  <w:style w:type="paragraph" w:customStyle="1" w:styleId="Heading2nosectionno">
    <w:name w:val="Heading 2 (no section no.)"/>
    <w:basedOn w:val="Heading2"/>
    <w:rsid w:val="009E6196"/>
    <w:pPr>
      <w:ind w:left="0" w:firstLine="0"/>
    </w:pPr>
  </w:style>
  <w:style w:type="character" w:customStyle="1" w:styleId="Heading5Char">
    <w:name w:val="Heading 5 Char"/>
    <w:basedOn w:val="DefaultParagraphFont"/>
    <w:link w:val="Heading5"/>
    <w:rsid w:val="009E6196"/>
    <w:rPr>
      <w:rFonts w:ascii="Arial" w:hAnsi="Arial"/>
      <w:i/>
      <w:sz w:val="22"/>
    </w:rPr>
  </w:style>
  <w:style w:type="paragraph" w:customStyle="1" w:styleId="Figurespace">
    <w:name w:val="Figure space"/>
    <w:basedOn w:val="Box"/>
    <w:rsid w:val="009E6196"/>
    <w:pPr>
      <w:spacing w:before="0" w:line="120" w:lineRule="exact"/>
    </w:pPr>
  </w:style>
  <w:style w:type="paragraph" w:customStyle="1" w:styleId="FooterDraftReport">
    <w:name w:val="FooterDraftReport"/>
    <w:basedOn w:val="Footer"/>
    <w:link w:val="FooterDraftReportChar"/>
    <w:rsid w:val="009E619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9E6196"/>
    <w:rPr>
      <w:sz w:val="24"/>
    </w:rPr>
  </w:style>
  <w:style w:type="character" w:customStyle="1" w:styleId="FooterChar">
    <w:name w:val="Footer Char"/>
    <w:basedOn w:val="BodyTextChar"/>
    <w:link w:val="Footer"/>
    <w:rsid w:val="009E6196"/>
    <w:rPr>
      <w:rFonts w:ascii="Arial" w:hAnsi="Arial"/>
      <w:caps/>
      <w:spacing w:val="-4"/>
      <w:sz w:val="16"/>
    </w:rPr>
  </w:style>
  <w:style w:type="character" w:customStyle="1" w:styleId="FooterDraftReportChar">
    <w:name w:val="FooterDraftReport Char"/>
    <w:basedOn w:val="FooterChar"/>
    <w:link w:val="FooterDraftReport"/>
    <w:rsid w:val="009E619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9E6196"/>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E411B7"/>
    <w:rPr>
      <w:sz w:val="24"/>
    </w:rPr>
  </w:style>
  <w:style w:type="character" w:customStyle="1" w:styleId="TableBodyTextChar">
    <w:name w:val="Table Body Text Char"/>
    <w:link w:val="TableBodyText"/>
    <w:locked/>
    <w:rsid w:val="00E411B7"/>
    <w:rPr>
      <w:rFonts w:ascii="Arial" w:hAnsi="Arial"/>
      <w:sz w:val="18"/>
    </w:rPr>
  </w:style>
  <w:style w:type="character" w:customStyle="1" w:styleId="Heading2Char">
    <w:name w:val="Heading 2 Char"/>
    <w:basedOn w:val="DefaultParagraphFont"/>
    <w:link w:val="Heading2"/>
    <w:rsid w:val="00935C67"/>
    <w:rPr>
      <w:rFonts w:ascii="Arial" w:hAnsi="Arial"/>
      <w:b/>
      <w:sz w:val="32"/>
    </w:rPr>
  </w:style>
  <w:style w:type="character" w:customStyle="1" w:styleId="Heading3Char">
    <w:name w:val="Heading 3 Char"/>
    <w:basedOn w:val="Heading2Char"/>
    <w:link w:val="Heading3"/>
    <w:rsid w:val="00935C67"/>
    <w:rPr>
      <w:rFonts w:ascii="Arial" w:hAnsi="Arial"/>
      <w:b/>
      <w:sz w:val="26"/>
    </w:rPr>
  </w:style>
  <w:style w:type="character" w:customStyle="1" w:styleId="BoxChar">
    <w:name w:val="Box Char"/>
    <w:basedOn w:val="DefaultParagraphFont"/>
    <w:link w:val="Box"/>
    <w:rsid w:val="00935C67"/>
    <w:rPr>
      <w:rFonts w:ascii="Arial" w:hAnsi="Arial"/>
    </w:rPr>
  </w:style>
  <w:style w:type="character" w:customStyle="1" w:styleId="FootnoteTextChar">
    <w:name w:val="Footnote Text Char"/>
    <w:basedOn w:val="DefaultParagraphFont"/>
    <w:link w:val="FootnoteText"/>
    <w:rsid w:val="00935C67"/>
  </w:style>
  <w:style w:type="character" w:customStyle="1" w:styleId="BoxListBulletChar">
    <w:name w:val="Box List Bullet Char"/>
    <w:basedOn w:val="BoxChar"/>
    <w:link w:val="BoxListBullet"/>
    <w:rsid w:val="00935C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2532-38EC-4E2D-BCE8-EF9071E0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24</TotalTime>
  <Pages>23</Pages>
  <Words>7342</Words>
  <Characters>44282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Chapter 7 Education and training - Overcoming Indigenous Disadvantage - Key Indicators 2014 Report</vt:lpstr>
    </vt:vector>
  </TitlesOfParts>
  <Company>Productivity Commission</Company>
  <LinksUpToDate>false</LinksUpToDate>
  <CharactersWithSpaces>51521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Education and training - Overcoming Indigenous Disadvantage - Key Indicators 2014 Report</dc:title>
  <dc:subject/>
  <dc:creator>Steering Committee for the Review of Government Service Provision</dc:creator>
  <dc:description/>
  <cp:lastModifiedBy>Mark Pimperl</cp:lastModifiedBy>
  <cp:revision>11</cp:revision>
  <cp:lastPrinted>2014-09-03T04:04:00Z</cp:lastPrinted>
  <dcterms:created xsi:type="dcterms:W3CDTF">2014-10-27T03:09:00Z</dcterms:created>
  <dcterms:modified xsi:type="dcterms:W3CDTF">2014-11-18T06:09:00Z</dcterms:modified>
</cp:coreProperties>
</file>